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3C269256"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04667A" w:rsidRPr="0038014E">
            <w:rPr>
              <w:rStyle w:val="Style1"/>
              <w:color w:val="7030A0"/>
            </w:rPr>
            <w:t>0684</w:t>
          </w:r>
        </w:sdtContent>
      </w:sdt>
    </w:p>
    <w:p w14:paraId="55B8DA2F" w14:textId="0840EE25" w:rsidR="00496AF8" w:rsidRPr="003B1CC5" w:rsidRDefault="00496AF8" w:rsidP="002E2177">
      <w:pPr>
        <w:ind w:left="0" w:firstLine="0"/>
        <w:rPr>
          <w:noProof/>
        </w:rPr>
      </w:pPr>
      <w:r w:rsidRPr="003B1CC5">
        <w:rPr>
          <w:b/>
          <w:noProof/>
        </w:rPr>
        <w:t>Measure Title</w:t>
      </w:r>
      <w:r w:rsidRPr="003B1CC5">
        <w:rPr>
          <w:noProof/>
        </w:rPr>
        <w:t>:</w:t>
      </w:r>
      <w:r w:rsidR="00A76BE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sdt>
            <w:sdtPr>
              <w:rPr>
                <w:rStyle w:val="Style1"/>
                <w:rFonts w:eastAsiaTheme="minorEastAsia"/>
              </w:rPr>
              <w:id w:val="-291436900"/>
              <w:placeholder>
                <w:docPart w:val="3F645D24C06F45C992FC6EAF5AF7F3FD"/>
              </w:placeholder>
            </w:sdtPr>
            <w:sdtEndPr>
              <w:rPr>
                <w:rStyle w:val="DefaultParagraphFont"/>
                <w:rFonts w:ascii="Calibri" w:eastAsiaTheme="minorHAnsi" w:hAnsi="Calibri"/>
                <w:color w:val="7030A0"/>
                <w:sz w:val="20"/>
                <w:szCs w:val="20"/>
              </w:rPr>
            </w:sdtEndPr>
            <w:sdtContent>
              <w:sdt>
                <w:sdtPr>
                  <w:rPr>
                    <w:rFonts w:ascii="Calibri" w:hAnsi="Calibri"/>
                    <w:color w:val="0000FF"/>
                    <w:sz w:val="20"/>
                    <w:szCs w:val="20"/>
                  </w:rPr>
                  <w:id w:val="-1364206501"/>
                  <w:placeholder>
                    <w:docPart w:val="5F5710FE61404DE7B9B6352BAC451895"/>
                  </w:placeholder>
                </w:sdtPr>
                <w:sdtEndPr>
                  <w:rPr>
                    <w:color w:val="7030A0"/>
                  </w:rPr>
                </w:sdtEndPr>
                <w:sdtContent>
                  <w:r w:rsidR="00506B6F" w:rsidRPr="0038014E">
                    <w:rPr>
                      <w:rFonts w:ascii="Calibri" w:hAnsi="Calibri"/>
                      <w:color w:val="7030A0"/>
                      <w:szCs w:val="20"/>
                    </w:rPr>
                    <w:t xml:space="preserve">Percent of </w:t>
                  </w:r>
                  <w:r w:rsidR="00D267B2" w:rsidRPr="0038014E">
                    <w:rPr>
                      <w:rFonts w:ascii="Calibri" w:hAnsi="Calibri"/>
                      <w:color w:val="7030A0"/>
                      <w:szCs w:val="20"/>
                    </w:rPr>
                    <w:t xml:space="preserve">Residents with </w:t>
                  </w:r>
                  <w:r w:rsidR="00D267B2" w:rsidRPr="0038014E">
                    <w:rPr>
                      <w:rStyle w:val="ResponseChar"/>
                    </w:rPr>
                    <w:t>Urinary T</w:t>
                  </w:r>
                  <w:r w:rsidR="00D267B2" w:rsidRPr="0038014E">
                    <w:rPr>
                      <w:rFonts w:ascii="Calibri" w:hAnsi="Calibri"/>
                      <w:color w:val="7030A0"/>
                      <w:szCs w:val="20"/>
                    </w:rPr>
                    <w:t>ract Infection</w:t>
                  </w:r>
                </w:sdtContent>
              </w:sdt>
            </w:sdtContent>
          </w:sdt>
          <w:r w:rsidR="00A76BE5" w:rsidRPr="0038014E">
            <w:rPr>
              <w:rFonts w:ascii="Calibri" w:hAnsi="Calibri"/>
              <w:color w:val="7030A0"/>
              <w:sz w:val="20"/>
              <w:szCs w:val="20"/>
            </w:rPr>
            <w:t xml:space="preserve"> </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9AE9784" w14:textId="77777777" w:rsidR="00FB4D30" w:rsidRPr="004E1764" w:rsidRDefault="00FB4D30" w:rsidP="00FB4D30">
      <w:pPr>
        <w:ind w:left="0" w:firstLine="0"/>
        <w:rPr>
          <w:rStyle w:val="Style2"/>
          <w:color w:val="7030A0"/>
        </w:rPr>
      </w:pPr>
      <w:r w:rsidRPr="003B1CC5">
        <w:rPr>
          <w:b/>
          <w:noProof/>
        </w:rPr>
        <w:t>Date of Submission</w:t>
      </w:r>
      <w:r w:rsidRPr="003B1CC5">
        <w:rPr>
          <w:noProof/>
        </w:rPr>
        <w:t>:</w:t>
      </w:r>
      <w:r>
        <w:rPr>
          <w:noProof/>
        </w:rPr>
        <w:t xml:space="preserve"> </w:t>
      </w:r>
      <w:sdt>
        <w:sdtPr>
          <w:rPr>
            <w:rStyle w:val="Style2"/>
          </w:rPr>
          <w:id w:val="-1689821638"/>
          <w:placeholder>
            <w:docPart w:val="6E5C0CF3363D41C693D3075993D83BDB"/>
          </w:placeholder>
          <w:date w:fullDate="2019-10-31T00:00:00Z">
            <w:dateFormat w:val="M/d/yyyy"/>
            <w:lid w:val="en-US"/>
            <w:storeMappedDataAs w:val="dateTime"/>
            <w:calendar w:val="gregorian"/>
          </w:date>
        </w:sdtPr>
        <w:sdtEndPr>
          <w:rPr>
            <w:rStyle w:val="DefaultParagraphFont"/>
            <w:noProof/>
            <w:color w:val="auto"/>
            <w:u w:val="none"/>
          </w:rPr>
        </w:sdtEndPr>
        <w:sdtContent>
          <w:r>
            <w:rPr>
              <w:rStyle w:val="Style2"/>
            </w:rPr>
            <w:t>10/31/2019</w:t>
          </w:r>
        </w:sdtContent>
      </w:sdt>
    </w:p>
    <w:p w14:paraId="55B8DA32" w14:textId="77777777" w:rsidR="00176E60" w:rsidRPr="0038014E" w:rsidRDefault="00176E60" w:rsidP="002E2177">
      <w:pPr>
        <w:ind w:left="0" w:firstLine="0"/>
        <w:rPr>
          <w:rStyle w:val="Style2"/>
          <w:color w:val="7030A0"/>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6F04D9BC" w:rsidR="00024526" w:rsidRPr="003B1CC5" w:rsidRDefault="00024526" w:rsidP="00024526">
            <w:pPr>
              <w:pStyle w:val="CommentText"/>
              <w:numPr>
                <w:ilvl w:val="0"/>
                <w:numId w:val="5"/>
              </w:numPr>
              <w:rPr>
                <w:i/>
                <w:sz w:val="22"/>
                <w:szCs w:val="22"/>
              </w:rPr>
            </w:pPr>
            <w:r w:rsidRPr="003B1CC5">
              <w:rPr>
                <w:i/>
                <w:sz w:val="22"/>
                <w:szCs w:val="22"/>
              </w:rPr>
              <w:t>For composite performance measures:</w:t>
            </w:r>
            <w:r w:rsidR="00A76BE5">
              <w:rPr>
                <w:i/>
                <w:sz w:val="22"/>
                <w:szCs w:val="22"/>
              </w:rPr>
              <w:t xml:space="preserve">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3B8F1E06"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w:t>
            </w:r>
            <w:r w:rsidR="00A76BE5">
              <w:t xml:space="preserve"> </w:t>
            </w:r>
            <w:r w:rsidRPr="003B1CC5">
              <w:t xml:space="preserve">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46FFCBC6"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1a. Evidence to Support the Measure Focus</w:t>
            </w:r>
            <w:r w:rsidR="00A76BE5">
              <w:rPr>
                <w:rFonts w:asciiTheme="minorHAnsi" w:hAnsiTheme="minorHAnsi"/>
                <w:sz w:val="20"/>
                <w:szCs w:val="20"/>
              </w:rPr>
              <w:t xml:space="preserve">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1F33CFBA"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AC669C">
              <w:rPr>
                <w:rFonts w:eastAsia="Calibri" w:cs="Calibri"/>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8014E">
              <w:rPr>
                <w:rFonts w:eastAsia="Calibri" w:cs="Calibri"/>
                <w:color w:val="7030A0"/>
                <w:sz w:val="20"/>
                <w:szCs w:val="20"/>
              </w:rPr>
              <w:t xml:space="preserve"> </w:t>
            </w:r>
            <w:r w:rsidRPr="00B35C5F">
              <w:rPr>
                <w:rFonts w:eastAsia="Calibri" w:cs="Calibri"/>
                <w:sz w:val="20"/>
                <w:szCs w:val="20"/>
              </w:rPr>
              <w:t>Empirical data demonstrate a relationship between the outcome and at least one healthcare structure, process, intervention, or service.</w:t>
            </w:r>
            <w:r w:rsidR="00A76BE5">
              <w:rPr>
                <w:rFonts w:eastAsia="Calibri" w:cs="Calibri"/>
                <w:sz w:val="20"/>
                <w:szCs w:val="20"/>
              </w:rPr>
              <w:t xml:space="preserve"> </w:t>
            </w:r>
            <w:r w:rsidRPr="00B35C5F">
              <w:rPr>
                <w:rFonts w:eastAsia="Calibri" w:cs="Calibri"/>
                <w:sz w:val="20"/>
                <w:szCs w:val="20"/>
              </w:rPr>
              <w:t>If not available, wide variation in performance can be used as evidence, assuming the data are from a robust number of providers and results are not subject to systematic bias.</w:t>
            </w:r>
            <w:r w:rsidR="00A76BE5">
              <w:rPr>
                <w:rFonts w:eastAsia="Calibri" w:cs="Calibri"/>
                <w:sz w:val="20"/>
                <w:szCs w:val="20"/>
              </w:rPr>
              <w:t xml:space="preserve">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31B96E0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00A76BE5">
              <w:rPr>
                <w:rFonts w:eastAsia="Calibri" w:cs="Calibri"/>
                <w:b/>
                <w:sz w:val="20"/>
                <w:szCs w:val="20"/>
                <w:vertAlign w:val="superscript"/>
              </w:rPr>
              <w:t xml:space="preserve"> </w:t>
            </w:r>
            <w:r w:rsidRPr="003B1CC5">
              <w:rPr>
                <w:rFonts w:eastAsia="Calibri" w:cs="Calibri"/>
                <w:bCs/>
                <w:sz w:val="20"/>
                <w:szCs w:val="20"/>
              </w:rPr>
              <w:t>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2600F6BC"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2" w:history="1">
              <w:r w:rsidRPr="0038014E">
                <w:rPr>
                  <w:rFonts w:eastAsia="Calibri" w:cs="Calibri"/>
                  <w:color w:val="7030A0"/>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proofErr w:type="gramStart"/>
            <w:r w:rsidRPr="003B1CC5">
              <w:rPr>
                <w:rFonts w:eastAsia="Calibri" w:cs="Calibri"/>
                <w:sz w:val="20"/>
                <w:szCs w:val="20"/>
              </w:rPr>
              <w:lastRenderedPageBreak/>
              <w:t>step</w:t>
            </w:r>
            <w:proofErr w:type="gramEnd"/>
            <w:r w:rsidRPr="003B1CC5">
              <w:rPr>
                <w:rFonts w:eastAsia="Calibri" w:cs="Calibri"/>
                <w:sz w:val="20"/>
                <w:szCs w:val="20"/>
              </w:rPr>
              <w:t xml:space="preserve">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8014E">
                <w:rPr>
                  <w:rFonts w:eastAsia="Calibri" w:cs="Calibri"/>
                  <w:color w:val="7030A0"/>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8014E">
                <w:rPr>
                  <w:rFonts w:eastAsia="Calibri" w:cs="Calibri"/>
                  <w:color w:val="7030A0"/>
                  <w:sz w:val="20"/>
                  <w:szCs w:val="20"/>
                  <w:u w:val="single"/>
                </w:rPr>
                <w:t>AQA Principles of Efficiency Measures</w:t>
              </w:r>
            </w:hyperlink>
            <w:r w:rsidRPr="003B1CC5">
              <w:rPr>
                <w:rFonts w:eastAsia="Calibri" w:cs="Calibri"/>
                <w:sz w:val="20"/>
                <w:szCs w:val="20"/>
              </w:rPr>
              <w:t>).</w:t>
            </w:r>
          </w:p>
        </w:tc>
      </w:tr>
    </w:tbl>
    <w:p w14:paraId="55B8DA4E" w14:textId="77777777" w:rsidR="00F81FE3" w:rsidRPr="0038014E" w:rsidRDefault="00F81FE3" w:rsidP="002E2177">
      <w:pPr>
        <w:ind w:left="0" w:firstLine="0"/>
        <w:rPr>
          <w:b/>
          <w:bCs/>
          <w:color w:val="7030A0"/>
        </w:rPr>
      </w:pPr>
    </w:p>
    <w:p w14:paraId="55B8DA4F" w14:textId="6DBC4289" w:rsidR="00A67EB1" w:rsidRPr="003B1CC5" w:rsidRDefault="00496AF8" w:rsidP="005A0E2D">
      <w:pPr>
        <w:ind w:left="547" w:hanging="547"/>
        <w:rPr>
          <w:bCs/>
          <w:i/>
        </w:rPr>
      </w:pPr>
      <w:r w:rsidRPr="0038014E">
        <w:rPr>
          <w:b/>
          <w:bCs/>
          <w:color w:val="7030A0"/>
        </w:rPr>
        <w:t>1</w:t>
      </w:r>
      <w:r w:rsidR="00773485" w:rsidRPr="0038014E">
        <w:rPr>
          <w:b/>
          <w:bCs/>
          <w:color w:val="7030A0"/>
        </w:rPr>
        <w:t>a</w:t>
      </w:r>
      <w:r w:rsidRPr="0038014E">
        <w:rPr>
          <w:b/>
          <w:bCs/>
          <w:color w:val="7030A0"/>
        </w:rPr>
        <w:t>.1.</w:t>
      </w:r>
      <w:r w:rsidR="005A0E2D" w:rsidRPr="0038014E">
        <w:rPr>
          <w:b/>
          <w:bCs/>
          <w:color w:val="7030A0"/>
        </w:rPr>
        <w:tab/>
      </w:r>
      <w:proofErr w:type="gramStart"/>
      <w:r w:rsidRPr="008F6F51">
        <w:rPr>
          <w:b/>
          <w:bCs/>
        </w:rPr>
        <w:t>This</w:t>
      </w:r>
      <w:proofErr w:type="gramEnd"/>
      <w:r w:rsidRPr="008F6F51">
        <w:rPr>
          <w:b/>
          <w:bCs/>
        </w:rPr>
        <w:t xml:space="preserve">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10F93A25" w:rsidR="00496AF8" w:rsidRPr="0038014E" w:rsidRDefault="00044CD8" w:rsidP="00A9011D">
      <w:pPr>
        <w:ind w:left="432" w:hanging="432"/>
        <w:rPr>
          <w:rStyle w:val="Style2"/>
          <w:rFonts w:cstheme="minorHAnsi"/>
          <w:color w:val="7030A0"/>
        </w:rPr>
      </w:pPr>
      <w:sdt>
        <w:sdtPr>
          <w:rPr>
            <w:bCs/>
            <w:color w:val="7030A0"/>
            <w:u w:val="single"/>
          </w:rPr>
          <w:id w:val="1077707841"/>
          <w14:checkbox>
            <w14:checked w14:val="1"/>
            <w14:checkedState w14:val="2612" w14:font="MS Gothic"/>
            <w14:uncheckedState w14:val="2610" w14:font="MS Gothic"/>
          </w14:checkbox>
        </w:sdtPr>
        <w:sdtEndPr/>
        <w:sdtContent>
          <w:r w:rsidR="003E2EA0" w:rsidRPr="0038014E">
            <w:rPr>
              <w:rFonts w:ascii="MS Gothic" w:eastAsia="MS Gothic" w:hAnsi="MS Gothic" w:hint="eastAsia"/>
              <w:bCs/>
              <w:color w:val="7030A0"/>
              <w:u w:val="single"/>
            </w:rPr>
            <w:t>☒</w:t>
          </w:r>
        </w:sdtContent>
      </w:sdt>
      <w:r w:rsidR="0015535B" w:rsidRPr="0038014E">
        <w:rPr>
          <w:bCs/>
          <w:color w:val="7030A0"/>
        </w:rPr>
        <w:t xml:space="preserve"> </w:t>
      </w:r>
      <w:r w:rsidR="00CC0F87" w:rsidRPr="0038014E">
        <w:rPr>
          <w:bCs/>
          <w:color w:val="7030A0"/>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dtPr>
        <w:sdtEndPr>
          <w:rPr>
            <w:rStyle w:val="DefaultParagraphFont"/>
            <w:rFonts w:cstheme="minorBidi"/>
            <w:color w:val="7030A0"/>
            <w:u w:val="none"/>
          </w:rPr>
        </w:sdtEndPr>
        <w:sdtContent>
          <w:r w:rsidR="00B73386" w:rsidRPr="0038014E">
            <w:rPr>
              <w:rStyle w:val="Style2"/>
              <w:rFonts w:cstheme="minorHAnsi"/>
              <w:color w:val="7030A0"/>
              <w:u w:val="none"/>
            </w:rPr>
            <w:t>Urinary Tract Infection</w:t>
          </w:r>
        </w:sdtContent>
      </w:sdt>
    </w:p>
    <w:p w14:paraId="55B8DA52" w14:textId="7EB21A01" w:rsidR="00236F87" w:rsidRPr="003B1CC5" w:rsidRDefault="00044CD8" w:rsidP="009E359A">
      <w:pPr>
        <w:ind w:left="720" w:hanging="432"/>
        <w:rPr>
          <w:b/>
          <w:bCs/>
        </w:rPr>
      </w:pPr>
      <w:sdt>
        <w:sdtPr>
          <w:rPr>
            <w:bCs/>
            <w:color w:val="7030A0"/>
          </w:rPr>
          <w:id w:val="-1541041819"/>
          <w14:checkbox>
            <w14:checked w14:val="0"/>
            <w14:checkedState w14:val="2612" w14:font="MS Gothic"/>
            <w14:uncheckedState w14:val="2610" w14:font="MS Gothic"/>
          </w14:checkbox>
        </w:sdtPr>
        <w:sdtEndPr/>
        <w:sdtContent>
          <w:r w:rsidR="009E359A" w:rsidRPr="0038014E">
            <w:rPr>
              <w:rFonts w:ascii="MS Gothic" w:eastAsia="MS Gothic" w:hAnsi="MS Gothic" w:hint="eastAsia"/>
              <w:bCs/>
              <w:color w:val="7030A0"/>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38014E" w:rsidRDefault="00B117D0" w:rsidP="005857F8">
      <w:pPr>
        <w:ind w:left="720" w:firstLine="0"/>
        <w:rPr>
          <w:rFonts w:eastAsia="MS Gothic" w:cs="MS Gothic"/>
          <w:bCs/>
          <w:i/>
          <w:color w:val="7030A0"/>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258FEC26" w:rsidR="00496AF8" w:rsidRPr="003B1CC5" w:rsidRDefault="00044CD8" w:rsidP="004E7215">
      <w:pPr>
        <w:rPr>
          <w:bCs/>
        </w:rPr>
      </w:pPr>
      <w:sdt>
        <w:sdtPr>
          <w:rPr>
            <w:bCs/>
            <w:color w:val="7030A0"/>
          </w:rPr>
          <w:id w:val="-720977531"/>
          <w14:checkbox>
            <w14:checked w14:val="0"/>
            <w14:checkedState w14:val="2612" w14:font="MS Gothic"/>
            <w14:uncheckedState w14:val="2610" w14:font="MS Gothic"/>
          </w14:checkbox>
        </w:sdtPr>
        <w:sdtEndPr/>
        <w:sdtContent>
          <w:r w:rsidR="00D73685" w:rsidRPr="0038014E">
            <w:rPr>
              <w:rFonts w:ascii="Segoe UI Symbol" w:hAnsi="Segoe UI Symbol" w:cs="Segoe UI Symbol"/>
              <w:bCs/>
              <w:color w:val="7030A0"/>
            </w:rPr>
            <w:t>☐</w:t>
          </w:r>
        </w:sdtContent>
      </w:sdt>
      <w:r w:rsidR="00D73685" w:rsidRPr="0038014E" w:rsidDel="00D73685">
        <w:rPr>
          <w:bCs/>
          <w:color w:val="7030A0"/>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w:t>
      </w:r>
      <w:r w:rsidR="00A76BE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017EBC1F" w:rsidR="00D73685" w:rsidRDefault="00044CD8" w:rsidP="00015986">
      <w:pPr>
        <w:ind w:left="432" w:hanging="432"/>
        <w:rPr>
          <w:bCs/>
        </w:rPr>
      </w:pPr>
      <w:sdt>
        <w:sdtPr>
          <w:rPr>
            <w:bCs/>
            <w:color w:val="7030A0"/>
          </w:rPr>
          <w:id w:val="-1535727686"/>
          <w14:checkbox>
            <w14:checked w14:val="0"/>
            <w14:checkedState w14:val="2612" w14:font="MS Gothic"/>
            <w14:uncheckedState w14:val="2610" w14:font="MS Gothic"/>
          </w14:checkbox>
        </w:sdtPr>
        <w:sdtEndPr/>
        <w:sdtContent>
          <w:r w:rsidR="00D73685" w:rsidRPr="0038014E">
            <w:rPr>
              <w:rFonts w:ascii="MS Gothic" w:eastAsia="MS Gothic" w:hAnsi="MS Gothic" w:hint="eastAsia"/>
              <w:bCs/>
              <w:color w:val="7030A0"/>
            </w:rPr>
            <w:t>☐</w:t>
          </w:r>
        </w:sdtContent>
      </w:sdt>
      <w:r w:rsidR="0015535B" w:rsidRPr="003B1CC5">
        <w:rPr>
          <w:bCs/>
        </w:rPr>
        <w:t xml:space="preserve"> </w:t>
      </w:r>
      <w:r w:rsidR="00E41417" w:rsidRPr="003B1CC5">
        <w:rPr>
          <w:bCs/>
        </w:rPr>
        <w:t>P</w:t>
      </w:r>
      <w:r w:rsidR="00496AF8" w:rsidRPr="003B1CC5">
        <w:rPr>
          <w:bCs/>
        </w:rPr>
        <w:t>rocess:</w:t>
      </w:r>
      <w:r w:rsidR="00A76BE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05A2AF07" w:rsidR="00496AF8" w:rsidRPr="0038014E" w:rsidRDefault="00044CD8" w:rsidP="009E359A">
      <w:pPr>
        <w:ind w:left="720" w:hanging="432"/>
        <w:rPr>
          <w:rFonts w:ascii="MS Gothic" w:eastAsia="MS Gothic" w:hAnsi="MS Gothic"/>
          <w:b/>
          <w:bCs/>
          <w:color w:val="7030A0"/>
        </w:rPr>
      </w:pPr>
      <w:sdt>
        <w:sdtPr>
          <w:rPr>
            <w:rFonts w:ascii="MS Gothic" w:eastAsia="MS Gothic" w:hAnsi="MS Gothic"/>
            <w:bCs/>
            <w:color w:val="7030A0"/>
          </w:rPr>
          <w:id w:val="1303807965"/>
          <w14:checkbox>
            <w14:checked w14:val="0"/>
            <w14:checkedState w14:val="2612" w14:font="MS Gothic"/>
            <w14:uncheckedState w14:val="2610" w14:font="MS Gothic"/>
          </w14:checkbox>
        </w:sdtPr>
        <w:sdtEndPr/>
        <w:sdtContent>
          <w:r w:rsidR="00D73685" w:rsidRPr="0038014E">
            <w:rPr>
              <w:rFonts w:ascii="MS Gothic" w:eastAsia="MS Gothic" w:hAnsi="MS Gothic" w:hint="eastAsia"/>
              <w:bCs/>
              <w:color w:val="7030A0"/>
            </w:rPr>
            <w:t>☐</w:t>
          </w:r>
        </w:sdtContent>
      </w:sdt>
      <w:r w:rsidR="00D73685" w:rsidRPr="0038014E">
        <w:rPr>
          <w:rFonts w:ascii="MS Gothic" w:eastAsia="MS Gothic" w:hAnsi="MS Gothic"/>
          <w:bCs/>
          <w:color w:val="7030A0"/>
        </w:rPr>
        <w:t xml:space="preserve"> </w:t>
      </w:r>
      <w:r w:rsidR="00D73685" w:rsidRPr="004E7215">
        <w:rPr>
          <w:rFonts w:eastAsia="MS Gothic"/>
          <w:bCs/>
        </w:rPr>
        <w:t>Appropriate use measure</w:t>
      </w:r>
      <w:r w:rsidR="00D73685">
        <w:rPr>
          <w:rFonts w:eastAsia="MS Gothic"/>
          <w:bCs/>
        </w:rPr>
        <w:t>:</w:t>
      </w:r>
      <w:r w:rsidR="00A76BE5">
        <w:rPr>
          <w:bCs/>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r w:rsidR="00D73685" w:rsidRPr="0038014E">
        <w:rPr>
          <w:rStyle w:val="Style2"/>
          <w:rFonts w:cstheme="minorHAnsi"/>
          <w:color w:val="7030A0"/>
        </w:rPr>
        <w:t xml:space="preserve"> </w:t>
      </w:r>
      <w:sdt>
        <w:sdtPr>
          <w:rPr>
            <w:rStyle w:val="Style2"/>
            <w:rFonts w:cstheme="minorHAnsi"/>
            <w:color w:val="7030A0"/>
          </w:rPr>
          <w:id w:val="-1371599399"/>
          <w:showingPlcHdr/>
        </w:sdtPr>
        <w:sdtEndPr>
          <w:rPr>
            <w:rStyle w:val="DefaultParagraphFont"/>
            <w:rFonts w:cstheme="minorBidi"/>
            <w:bCs/>
            <w:u w:val="none"/>
          </w:rPr>
        </w:sdtEndPr>
        <w:sdtContent>
          <w:r w:rsidR="00D73685" w:rsidRPr="0038014E">
            <w:rPr>
              <w:rStyle w:val="Style2"/>
              <w:rFonts w:cstheme="minorHAnsi"/>
              <w:color w:val="7030A0"/>
            </w:rPr>
            <w:t xml:space="preserve">     </w:t>
          </w:r>
        </w:sdtContent>
      </w:sdt>
    </w:p>
    <w:p w14:paraId="55B8DA57" w14:textId="77777777" w:rsidR="00496AF8" w:rsidRPr="003B1CC5" w:rsidRDefault="00044CD8" w:rsidP="00015986">
      <w:pPr>
        <w:ind w:left="432" w:hanging="432"/>
        <w:rPr>
          <w:bCs/>
        </w:rPr>
      </w:pPr>
      <w:sdt>
        <w:sdtPr>
          <w:rPr>
            <w:bCs/>
            <w:color w:val="7030A0"/>
          </w:rPr>
          <w:id w:val="1676770628"/>
          <w14:checkbox>
            <w14:checked w14:val="0"/>
            <w14:checkedState w14:val="2612" w14:font="MS Gothic"/>
            <w14:uncheckedState w14:val="2610" w14:font="MS Gothic"/>
          </w14:checkbox>
        </w:sdtPr>
        <w:sdtEndPr/>
        <w:sdtContent>
          <w:r w:rsidR="00D73685" w:rsidRPr="0038014E">
            <w:rPr>
              <w:rFonts w:ascii="MS Gothic" w:eastAsia="MS Gothic" w:hAnsi="MS Gothic" w:hint="eastAsia"/>
              <w:bCs/>
              <w:color w:val="7030A0"/>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0FEB55FA" w:rsidR="00496AF8" w:rsidRPr="003B1CC5" w:rsidRDefault="00044CD8" w:rsidP="00015986">
      <w:pPr>
        <w:ind w:left="432" w:hanging="432"/>
        <w:rPr>
          <w:bCs/>
        </w:rPr>
      </w:pPr>
      <w:sdt>
        <w:sdtPr>
          <w:rPr>
            <w:bCs/>
            <w:color w:val="7030A0"/>
          </w:rPr>
          <w:id w:val="1719405626"/>
          <w14:checkbox>
            <w14:checked w14:val="0"/>
            <w14:checkedState w14:val="2612" w14:font="MS Gothic"/>
            <w14:uncheckedState w14:val="2610" w14:font="MS Gothic"/>
          </w14:checkbox>
        </w:sdtPr>
        <w:sdtEndPr/>
        <w:sdtContent>
          <w:r w:rsidR="0015535B" w:rsidRPr="0038014E">
            <w:rPr>
              <w:rFonts w:ascii="MS Gothic" w:eastAsia="MS Gothic" w:hAnsi="MS Gothic" w:cs="MS Gothic" w:hint="eastAsia"/>
              <w:bCs/>
              <w:color w:val="7030A0"/>
            </w:rPr>
            <w:t>☐</w:t>
          </w:r>
        </w:sdtContent>
      </w:sdt>
      <w:r w:rsidR="0015535B" w:rsidRPr="003B1CC5">
        <w:rPr>
          <w:bCs/>
        </w:rPr>
        <w:t xml:space="preserve"> </w:t>
      </w:r>
      <w:r w:rsidR="00D73685">
        <w:rPr>
          <w:bCs/>
        </w:rPr>
        <w:t>Composite</w:t>
      </w:r>
      <w:r w:rsidR="00496AF8" w:rsidRPr="003B1CC5">
        <w:rPr>
          <w:bCs/>
        </w:rPr>
        <w:t>:</w:t>
      </w:r>
      <w:r w:rsidR="00A76BE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0485A55C" w:rsidR="002B06BD" w:rsidRDefault="00676BD4" w:rsidP="005A0E2D">
      <w:pPr>
        <w:ind w:left="547" w:hanging="547"/>
        <w:rPr>
          <w:iCs/>
        </w:rPr>
      </w:pPr>
      <w:r w:rsidRPr="0038014E">
        <w:rPr>
          <w:b/>
          <w:bCs/>
          <w:color w:val="7030A0"/>
        </w:rPr>
        <w:t>1a.</w:t>
      </w:r>
      <w:r w:rsidR="00C41794" w:rsidRPr="0038014E">
        <w:rPr>
          <w:b/>
          <w:bCs/>
          <w:color w:val="7030A0"/>
        </w:rPr>
        <w:t>2</w:t>
      </w:r>
      <w:r w:rsidR="005A0E2D" w:rsidRPr="0038014E">
        <w:rPr>
          <w:b/>
          <w:bCs/>
          <w:color w:val="7030A0"/>
        </w:rPr>
        <w:tab/>
      </w:r>
      <w:r w:rsidRPr="006653C9">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45B60830" w14:textId="4B7E144F" w:rsidR="00486EF8" w:rsidRDefault="00486EF8" w:rsidP="002B06BD">
      <w:pPr>
        <w:ind w:left="432" w:hanging="432"/>
        <w:rPr>
          <w:iCs/>
        </w:rPr>
      </w:pPr>
    </w:p>
    <w:p w14:paraId="641502A4" w14:textId="77777777" w:rsidR="00E00AC0" w:rsidRPr="0038014E" w:rsidRDefault="00E00AC0" w:rsidP="005A0E2D">
      <w:pPr>
        <w:ind w:left="547" w:firstLine="0"/>
        <w:jc w:val="both"/>
        <w:rPr>
          <w:b/>
          <w:bCs/>
          <w:color w:val="7030A0"/>
        </w:rPr>
      </w:pPr>
      <w:r w:rsidRPr="0038014E">
        <w:rPr>
          <w:b/>
          <w:bCs/>
          <w:color w:val="7030A0"/>
        </w:rPr>
        <w:t>Outcomes and corollary outcomes</w:t>
      </w:r>
    </w:p>
    <w:p w14:paraId="1513283F" w14:textId="757FE5F6" w:rsidR="00E00AC0" w:rsidRPr="0038014E" w:rsidRDefault="00E00AC0" w:rsidP="00A76BE5">
      <w:pPr>
        <w:ind w:left="547" w:firstLine="0"/>
        <w:rPr>
          <w:color w:val="7030A0"/>
        </w:rPr>
      </w:pPr>
      <w:r w:rsidRPr="0038014E">
        <w:rPr>
          <w:color w:val="7030A0"/>
        </w:rPr>
        <w:t xml:space="preserve">This outcome-based quality measure reports the percentage of </w:t>
      </w:r>
      <w:r w:rsidR="00B34FBC" w:rsidRPr="0038014E">
        <w:rPr>
          <w:color w:val="7030A0"/>
        </w:rPr>
        <w:t>long stay-nursing home</w:t>
      </w:r>
      <w:r w:rsidRPr="0038014E">
        <w:rPr>
          <w:color w:val="7030A0"/>
        </w:rPr>
        <w:t xml:space="preserve"> residents with a urinary tract infection</w:t>
      </w:r>
      <w:r w:rsidR="00B34FBC" w:rsidRPr="0038014E">
        <w:rPr>
          <w:color w:val="7030A0"/>
        </w:rPr>
        <w:t xml:space="preserve"> (UTI)</w:t>
      </w:r>
      <w:r w:rsidRPr="0038014E">
        <w:rPr>
          <w:color w:val="7030A0"/>
        </w:rPr>
        <w:t>.</w:t>
      </w:r>
      <w:r w:rsidR="00A76BE5" w:rsidRPr="0038014E">
        <w:rPr>
          <w:color w:val="7030A0"/>
        </w:rPr>
        <w:t xml:space="preserve"> </w:t>
      </w:r>
      <w:r w:rsidR="00B34FBC" w:rsidRPr="0038014E">
        <w:rPr>
          <w:color w:val="7030A0"/>
        </w:rPr>
        <w:t>UTIs</w:t>
      </w:r>
      <w:r w:rsidRPr="0038014E">
        <w:rPr>
          <w:color w:val="7030A0"/>
        </w:rPr>
        <w:t xml:space="preserve"> are important to address both because of their impacts on health as an intermediate outcome (such as unpleasant symptoms) and because they can lead to serious corollary outcomes and complications</w:t>
      </w:r>
      <w:r w:rsidR="00B34FBC" w:rsidRPr="0038014E">
        <w:rPr>
          <w:color w:val="7030A0"/>
        </w:rPr>
        <w:t>,</w:t>
      </w:r>
      <w:r w:rsidRPr="0038014E">
        <w:rPr>
          <w:color w:val="7030A0"/>
        </w:rPr>
        <w:t xml:space="preserve"> such as sepsis, hospitalization, emergency department use, delirium, or death.</w:t>
      </w:r>
      <w:r w:rsidR="00A76BE5" w:rsidRPr="0038014E">
        <w:rPr>
          <w:color w:val="7030A0"/>
        </w:rPr>
        <w:t xml:space="preserve"> </w:t>
      </w:r>
    </w:p>
    <w:p w14:paraId="1AFBA41F" w14:textId="77777777" w:rsidR="00E00AC0" w:rsidRPr="0038014E" w:rsidRDefault="00E00AC0" w:rsidP="005A0E2D">
      <w:pPr>
        <w:ind w:left="547" w:firstLine="0"/>
        <w:jc w:val="both"/>
        <w:rPr>
          <w:color w:val="7030A0"/>
        </w:rPr>
      </w:pPr>
    </w:p>
    <w:p w14:paraId="711154F2" w14:textId="17C2C42C" w:rsidR="00527714" w:rsidRPr="00920221" w:rsidRDefault="00E00AC0" w:rsidP="005A0E2D">
      <w:pPr>
        <w:ind w:left="547" w:firstLine="0"/>
        <w:rPr>
          <w:iCs/>
          <w:color w:val="C00000"/>
        </w:rPr>
      </w:pPr>
      <w:r w:rsidRPr="00920221">
        <w:rPr>
          <w:color w:val="C00000"/>
        </w:rPr>
        <w:t xml:space="preserve">Additionally, an increasingly prevalent corollary outcome is antimicrobial resistance in UTIs. In one study, </w:t>
      </w:r>
      <w:proofErr w:type="spellStart"/>
      <w:r w:rsidRPr="00920221">
        <w:rPr>
          <w:color w:val="C00000"/>
        </w:rPr>
        <w:t>Kistler</w:t>
      </w:r>
      <w:proofErr w:type="spellEnd"/>
      <w:r w:rsidRPr="00920221">
        <w:rPr>
          <w:color w:val="C00000"/>
        </w:rPr>
        <w:t xml:space="preserve"> et al. (2017) found MDROs in 12% of bacterial UTI cultures across 31 nursing homes.</w:t>
      </w:r>
      <w:r w:rsidR="00A76BE5" w:rsidRPr="00920221">
        <w:rPr>
          <w:color w:val="C00000"/>
        </w:rPr>
        <w:t xml:space="preserve"> </w:t>
      </w:r>
      <w:r w:rsidRPr="00920221">
        <w:rPr>
          <w:color w:val="C00000"/>
        </w:rPr>
        <w:t xml:space="preserve">Antimicrobial resistance </w:t>
      </w:r>
      <w:r w:rsidR="00B34FBC" w:rsidRPr="00920221">
        <w:rPr>
          <w:color w:val="C00000"/>
        </w:rPr>
        <w:t>proliferates through</w:t>
      </w:r>
      <w:r w:rsidRPr="00920221">
        <w:rPr>
          <w:color w:val="C00000"/>
        </w:rPr>
        <w:t xml:space="preserve"> inappropriate widespread antibiotic treatment of asymptomatic bacteriuria (often misdiagnosed as UTI), which has no benefits for patients (Cooper et al., 2019; </w:t>
      </w:r>
      <w:proofErr w:type="spellStart"/>
      <w:r w:rsidRPr="00920221">
        <w:rPr>
          <w:color w:val="C00000"/>
        </w:rPr>
        <w:t>Crninch</w:t>
      </w:r>
      <w:proofErr w:type="spellEnd"/>
      <w:r w:rsidRPr="00920221">
        <w:rPr>
          <w:color w:val="C00000"/>
        </w:rPr>
        <w:t xml:space="preserve"> &amp; </w:t>
      </w:r>
      <w:proofErr w:type="spellStart"/>
      <w:r w:rsidRPr="00920221">
        <w:rPr>
          <w:color w:val="C00000"/>
        </w:rPr>
        <w:t>Drinka</w:t>
      </w:r>
      <w:proofErr w:type="spellEnd"/>
      <w:r w:rsidRPr="00920221">
        <w:rPr>
          <w:color w:val="C00000"/>
        </w:rPr>
        <w:t>, 2014).</w:t>
      </w:r>
      <w:r w:rsidR="00A76BE5" w:rsidRPr="00920221">
        <w:rPr>
          <w:color w:val="C00000"/>
        </w:rPr>
        <w:t xml:space="preserve"> </w:t>
      </w:r>
      <w:r w:rsidRPr="00920221">
        <w:rPr>
          <w:color w:val="C00000"/>
        </w:rPr>
        <w:t>The growing prevalence of antibiotic resistance increases the importance of preventing UTIs in coordination with treatment efforts and only prescribing antibiotics when necessary and clinically appropriate.</w:t>
      </w:r>
    </w:p>
    <w:p w14:paraId="570637D1" w14:textId="7F63A6B2" w:rsidR="00991C64" w:rsidRPr="0038014E" w:rsidRDefault="00991C64" w:rsidP="005A0E2D">
      <w:pPr>
        <w:pStyle w:val="question"/>
        <w:ind w:left="547" w:firstLine="0"/>
        <w:rPr>
          <w:rStyle w:val="Style1"/>
          <w:color w:val="7030A0"/>
        </w:rPr>
      </w:pPr>
      <w:r w:rsidRPr="0038014E">
        <w:rPr>
          <w:rStyle w:val="Style1"/>
          <w:color w:val="7030A0"/>
        </w:rPr>
        <w:t>Nursing home structural characteristics and care processes can impact the quality of care that facilities provide to residents (</w:t>
      </w:r>
      <w:proofErr w:type="spellStart"/>
      <w:r w:rsidRPr="0038014E">
        <w:rPr>
          <w:rStyle w:val="Style1"/>
          <w:color w:val="7030A0"/>
        </w:rPr>
        <w:t>Mukamel</w:t>
      </w:r>
      <w:proofErr w:type="spellEnd"/>
      <w:r w:rsidRPr="0038014E">
        <w:rPr>
          <w:rStyle w:val="Style1"/>
          <w:color w:val="7030A0"/>
        </w:rPr>
        <w:t xml:space="preserve"> et al.,</w:t>
      </w:r>
      <w:r w:rsidRPr="0038014E">
        <w:rPr>
          <w:rFonts w:ascii="Calibri" w:eastAsia="Calibri" w:hAnsi="Calibri" w:cs="Times New Roman"/>
          <w:color w:val="7030A0"/>
        </w:rPr>
        <w:t xml:space="preserve"> 2008</w:t>
      </w:r>
      <w:r w:rsidRPr="0038014E">
        <w:rPr>
          <w:rStyle w:val="Style1"/>
          <w:color w:val="7030A0"/>
        </w:rPr>
        <w:t>) and may therefore ultimately impact the health outcomes of residents, including UTIs.</w:t>
      </w:r>
      <w:r w:rsidRPr="0038014E">
        <w:rPr>
          <w:b/>
          <w:bCs/>
          <w:color w:val="7030A0"/>
        </w:rPr>
        <w:t xml:space="preserve"> </w:t>
      </w:r>
      <w:r w:rsidRPr="0038014E">
        <w:rPr>
          <w:b/>
          <w:bCs/>
          <w:i/>
          <w:iCs w:val="0"/>
          <w:color w:val="7030A0"/>
        </w:rPr>
        <w:t>Figure 1</w:t>
      </w:r>
      <w:r w:rsidRPr="0038014E">
        <w:rPr>
          <w:color w:val="7030A0"/>
        </w:rPr>
        <w:t xml:space="preserve"> below illustrates the key structures and outcomes that are associated with lower rates of UTI.</w:t>
      </w:r>
      <w:r w:rsidR="00A76BE5" w:rsidRPr="0038014E">
        <w:rPr>
          <w:color w:val="7030A0"/>
        </w:rPr>
        <w:t xml:space="preserve"> </w:t>
      </w:r>
      <w:r w:rsidRPr="0038014E">
        <w:rPr>
          <w:color w:val="7030A0"/>
        </w:rPr>
        <w:t xml:space="preserve">The structures and processes listed in the figure are not exhaustive but are intended as examples. </w:t>
      </w:r>
    </w:p>
    <w:p w14:paraId="00414EC5" w14:textId="77777777" w:rsidR="00991C64" w:rsidRPr="0038014E" w:rsidRDefault="00991C64" w:rsidP="005A0E2D">
      <w:pPr>
        <w:ind w:left="547" w:firstLine="0"/>
        <w:jc w:val="both"/>
        <w:rPr>
          <w:rStyle w:val="Style1"/>
          <w:color w:val="7030A0"/>
        </w:rPr>
      </w:pPr>
    </w:p>
    <w:p w14:paraId="0A602D83" w14:textId="249842A4" w:rsidR="006017D4" w:rsidRPr="0038014E" w:rsidRDefault="006017D4" w:rsidP="005A0E2D">
      <w:pPr>
        <w:ind w:left="547" w:firstLine="0"/>
        <w:jc w:val="both"/>
        <w:rPr>
          <w:rStyle w:val="Style1"/>
          <w:b/>
          <w:bCs/>
          <w:color w:val="7030A0"/>
        </w:rPr>
      </w:pPr>
      <w:r w:rsidRPr="0038014E">
        <w:rPr>
          <w:rStyle w:val="Style1"/>
          <w:b/>
          <w:bCs/>
          <w:color w:val="7030A0"/>
        </w:rPr>
        <w:t>Evidence for link between structure and quality of care outcomes</w:t>
      </w:r>
    </w:p>
    <w:p w14:paraId="3F698367" w14:textId="7553ADEF" w:rsidR="008B320F" w:rsidRPr="00920221" w:rsidRDefault="006017D4" w:rsidP="005A0E2D">
      <w:pPr>
        <w:ind w:left="547" w:firstLine="0"/>
        <w:rPr>
          <w:rStyle w:val="Style1"/>
          <w:color w:val="C00000"/>
        </w:rPr>
      </w:pPr>
      <w:r w:rsidRPr="0038014E">
        <w:rPr>
          <w:color w:val="7030A0"/>
        </w:rPr>
        <w:t xml:space="preserve">Nursing home characteristics associated with higher UTI incidence include chain membership </w:t>
      </w:r>
      <w:r w:rsidR="009C7A97" w:rsidRPr="0038014E">
        <w:rPr>
          <w:color w:val="7030A0"/>
        </w:rPr>
        <w:t>(i.e., a type of ownership structure where 2 or more facilities share the same owner)</w:t>
      </w:r>
      <w:r w:rsidR="00D869E0" w:rsidRPr="0038014E">
        <w:rPr>
          <w:color w:val="7030A0"/>
        </w:rPr>
        <w:t xml:space="preserve"> </w:t>
      </w:r>
      <w:r w:rsidRPr="0038014E">
        <w:rPr>
          <w:color w:val="7030A0"/>
        </w:rPr>
        <w:t>and occupancy rate (Castle &amp; Anderson, 201</w:t>
      </w:r>
      <w:r w:rsidR="002A63FE" w:rsidRPr="0038014E">
        <w:rPr>
          <w:color w:val="7030A0"/>
        </w:rPr>
        <w:t>1</w:t>
      </w:r>
      <w:r w:rsidRPr="0038014E">
        <w:rPr>
          <w:color w:val="7030A0"/>
        </w:rPr>
        <w:t>).</w:t>
      </w:r>
      <w:r w:rsidR="00A76BE5" w:rsidRPr="0038014E">
        <w:rPr>
          <w:color w:val="7030A0"/>
        </w:rPr>
        <w:t xml:space="preserve"> </w:t>
      </w:r>
      <w:r w:rsidRPr="00920221">
        <w:rPr>
          <w:color w:val="C00000"/>
        </w:rPr>
        <w:t xml:space="preserve">Nurse staffing levels have also been </w:t>
      </w:r>
      <w:r w:rsidR="00991C64" w:rsidRPr="00920221">
        <w:rPr>
          <w:color w:val="C00000"/>
        </w:rPr>
        <w:t xml:space="preserve">found </w:t>
      </w:r>
      <w:r w:rsidRPr="00920221">
        <w:rPr>
          <w:color w:val="C00000"/>
        </w:rPr>
        <w:t>to</w:t>
      </w:r>
      <w:r w:rsidR="00991C64" w:rsidRPr="00920221">
        <w:rPr>
          <w:color w:val="C00000"/>
        </w:rPr>
        <w:t xml:space="preserve"> be associated with</w:t>
      </w:r>
      <w:r w:rsidRPr="00920221">
        <w:rPr>
          <w:color w:val="C00000"/>
        </w:rPr>
        <w:t xml:space="preserve"> </w:t>
      </w:r>
      <w:r w:rsidRPr="00920221">
        <w:rPr>
          <w:color w:val="C00000"/>
        </w:rPr>
        <w:lastRenderedPageBreak/>
        <w:t xml:space="preserve">UTI rates </w:t>
      </w:r>
      <w:r w:rsidRPr="00920221">
        <w:rPr>
          <w:rStyle w:val="Style1"/>
          <w:color w:val="C00000"/>
        </w:rPr>
        <w:t>(Castle &amp; Anderson, 201</w:t>
      </w:r>
      <w:r w:rsidR="002A63FE" w:rsidRPr="00920221">
        <w:rPr>
          <w:rStyle w:val="Style1"/>
          <w:color w:val="C00000"/>
        </w:rPr>
        <w:t>1</w:t>
      </w:r>
      <w:r w:rsidRPr="00920221">
        <w:rPr>
          <w:rStyle w:val="Style1"/>
          <w:color w:val="C00000"/>
        </w:rPr>
        <w:t>;</w:t>
      </w:r>
      <w:r w:rsidR="002A63FE" w:rsidRPr="00920221">
        <w:rPr>
          <w:rStyle w:val="Style1"/>
          <w:color w:val="C00000"/>
        </w:rPr>
        <w:t xml:space="preserve"> Castle et al., 2017;</w:t>
      </w:r>
      <w:r w:rsidRPr="00920221">
        <w:rPr>
          <w:rStyle w:val="Style1"/>
          <w:color w:val="C00000"/>
        </w:rPr>
        <w:t xml:space="preserve"> </w:t>
      </w:r>
      <w:proofErr w:type="spellStart"/>
      <w:r w:rsidRPr="00920221">
        <w:rPr>
          <w:rStyle w:val="Style1"/>
          <w:color w:val="C00000"/>
        </w:rPr>
        <w:t>Hyer</w:t>
      </w:r>
      <w:proofErr w:type="spellEnd"/>
      <w:r w:rsidRPr="00920221">
        <w:rPr>
          <w:rStyle w:val="Style1"/>
          <w:color w:val="C00000"/>
        </w:rPr>
        <w:t xml:space="preserve"> et al., 2011).</w:t>
      </w:r>
      <w:r w:rsidR="00A76BE5" w:rsidRPr="00920221">
        <w:rPr>
          <w:rStyle w:val="Style1"/>
          <w:color w:val="C00000"/>
        </w:rPr>
        <w:t xml:space="preserve"> </w:t>
      </w:r>
      <w:r w:rsidRPr="00920221">
        <w:rPr>
          <w:rStyle w:val="Style1"/>
          <w:color w:val="C00000"/>
        </w:rPr>
        <w:t xml:space="preserve">In addition to nurse staffing levels, </w:t>
      </w:r>
      <w:r w:rsidR="00991C64" w:rsidRPr="00920221">
        <w:rPr>
          <w:rStyle w:val="Style1"/>
          <w:color w:val="C00000"/>
        </w:rPr>
        <w:t>organizational</w:t>
      </w:r>
      <w:r w:rsidR="00991C64" w:rsidRPr="00920221">
        <w:rPr>
          <w:color w:val="C00000"/>
        </w:rPr>
        <w:t xml:space="preserve"> </w:t>
      </w:r>
      <w:r w:rsidRPr="00920221">
        <w:rPr>
          <w:color w:val="C00000"/>
        </w:rPr>
        <w:t>efforts to educate staff in catheter protocols and infection prevention have</w:t>
      </w:r>
      <w:r w:rsidR="00991C64" w:rsidRPr="00920221">
        <w:rPr>
          <w:color w:val="C00000"/>
        </w:rPr>
        <w:t xml:space="preserve"> </w:t>
      </w:r>
      <w:r w:rsidRPr="00920221">
        <w:rPr>
          <w:color w:val="C00000"/>
        </w:rPr>
        <w:t>successfully reduced UTI rates (</w:t>
      </w:r>
      <w:proofErr w:type="spellStart"/>
      <w:r w:rsidR="00574FD0" w:rsidRPr="00920221">
        <w:rPr>
          <w:color w:val="C00000"/>
        </w:rPr>
        <w:t>Meddings</w:t>
      </w:r>
      <w:proofErr w:type="spellEnd"/>
      <w:r w:rsidRPr="00920221">
        <w:rPr>
          <w:color w:val="C00000"/>
        </w:rPr>
        <w:t xml:space="preserve"> et al., 2017; </w:t>
      </w:r>
      <w:proofErr w:type="spellStart"/>
      <w:r w:rsidRPr="00920221">
        <w:rPr>
          <w:color w:val="C00000"/>
        </w:rPr>
        <w:t>Trautner</w:t>
      </w:r>
      <w:proofErr w:type="spellEnd"/>
      <w:r w:rsidRPr="00920221">
        <w:rPr>
          <w:color w:val="C00000"/>
        </w:rPr>
        <w:t xml:space="preserve"> et al., 2017).</w:t>
      </w:r>
      <w:r w:rsidR="00A76BE5" w:rsidRPr="00920221">
        <w:rPr>
          <w:color w:val="C00000"/>
        </w:rPr>
        <w:t xml:space="preserve"> </w:t>
      </w:r>
      <w:r w:rsidR="00502C4B" w:rsidRPr="00920221">
        <w:rPr>
          <w:color w:val="C00000"/>
        </w:rPr>
        <w:t>One study found training for staff from the Association for Professionals in Infection Control and Epidemiology to be associated with lower rates of UTIs (</w:t>
      </w:r>
      <w:proofErr w:type="spellStart"/>
      <w:r w:rsidR="00502C4B" w:rsidRPr="00920221">
        <w:rPr>
          <w:color w:val="C00000"/>
        </w:rPr>
        <w:t>Herzig</w:t>
      </w:r>
      <w:proofErr w:type="spellEnd"/>
      <w:r w:rsidR="00502C4B" w:rsidRPr="00920221">
        <w:rPr>
          <w:color w:val="C00000"/>
        </w:rPr>
        <w:t xml:space="preserve"> et al., 2016).</w:t>
      </w:r>
    </w:p>
    <w:p w14:paraId="6666607E" w14:textId="77777777" w:rsidR="008B320F" w:rsidRPr="0038014E" w:rsidRDefault="008B320F" w:rsidP="005A0E2D">
      <w:pPr>
        <w:ind w:left="547" w:firstLine="0"/>
        <w:jc w:val="both"/>
        <w:rPr>
          <w:color w:val="7030A0"/>
        </w:rPr>
      </w:pPr>
    </w:p>
    <w:p w14:paraId="5F7DE0C2" w14:textId="38918394" w:rsidR="006017D4" w:rsidRPr="0038014E" w:rsidRDefault="006017D4" w:rsidP="005A0E2D">
      <w:pPr>
        <w:ind w:left="547" w:firstLine="0"/>
        <w:jc w:val="both"/>
        <w:rPr>
          <w:rStyle w:val="Style1"/>
          <w:b/>
          <w:bCs/>
          <w:color w:val="7030A0"/>
        </w:rPr>
      </w:pPr>
      <w:r w:rsidRPr="0038014E">
        <w:rPr>
          <w:rStyle w:val="Style1"/>
          <w:b/>
          <w:bCs/>
          <w:color w:val="7030A0"/>
        </w:rPr>
        <w:t>Evidence for link between processes and quality of care outcomes</w:t>
      </w:r>
    </w:p>
    <w:p w14:paraId="15A3037C" w14:textId="33529F42" w:rsidR="00502C4B" w:rsidRPr="0038014E" w:rsidRDefault="006017D4" w:rsidP="005A0E2D">
      <w:pPr>
        <w:ind w:left="547" w:firstLine="0"/>
        <w:rPr>
          <w:color w:val="7030A0"/>
        </w:rPr>
      </w:pPr>
      <w:r w:rsidRPr="0038014E">
        <w:rPr>
          <w:color w:val="7030A0"/>
        </w:rPr>
        <w:t>Nursing home characteristics, infrastructure, and resources may affect key processes known to influence UTI outcomes</w:t>
      </w:r>
      <w:r w:rsidR="00502C4B" w:rsidRPr="0038014E">
        <w:rPr>
          <w:color w:val="7030A0"/>
        </w:rPr>
        <w:t>.</w:t>
      </w:r>
      <w:r w:rsidR="00A76BE5" w:rsidRPr="0038014E">
        <w:rPr>
          <w:color w:val="7030A0"/>
        </w:rPr>
        <w:t xml:space="preserve"> </w:t>
      </w:r>
      <w:r w:rsidR="00CC7BC4" w:rsidRPr="0038014E">
        <w:rPr>
          <w:color w:val="7030A0"/>
        </w:rPr>
        <w:t>As described in the text that follows, t</w:t>
      </w:r>
      <w:r w:rsidR="00502C4B" w:rsidRPr="0038014E">
        <w:rPr>
          <w:color w:val="7030A0"/>
        </w:rPr>
        <w:t>hese key processes are adherence to clinical guidelines</w:t>
      </w:r>
      <w:r w:rsidR="000C5C84" w:rsidRPr="0038014E">
        <w:rPr>
          <w:color w:val="7030A0"/>
        </w:rPr>
        <w:t>,</w:t>
      </w:r>
      <w:r w:rsidR="00502C4B" w:rsidRPr="0038014E">
        <w:rPr>
          <w:color w:val="7030A0"/>
        </w:rPr>
        <w:t xml:space="preserve"> appropriate antibiotic treatment</w:t>
      </w:r>
      <w:r w:rsidR="00991C64" w:rsidRPr="0038014E">
        <w:rPr>
          <w:color w:val="7030A0"/>
        </w:rPr>
        <w:t xml:space="preserve">, </w:t>
      </w:r>
      <w:r w:rsidR="00502C4B" w:rsidRPr="0038014E">
        <w:rPr>
          <w:color w:val="7030A0"/>
        </w:rPr>
        <w:t>appropriate assessments of and use of catheters</w:t>
      </w:r>
      <w:r w:rsidR="000C5C84" w:rsidRPr="0038014E">
        <w:rPr>
          <w:color w:val="7030A0"/>
        </w:rPr>
        <w:t>,</w:t>
      </w:r>
      <w:r w:rsidR="00502C4B" w:rsidRPr="0038014E">
        <w:rPr>
          <w:color w:val="7030A0"/>
        </w:rPr>
        <w:t xml:space="preserve"> and best practices in hygiene and hydration.</w:t>
      </w:r>
    </w:p>
    <w:p w14:paraId="2D17ACB7" w14:textId="77777777" w:rsidR="00502C4B" w:rsidRPr="00920221" w:rsidRDefault="00502C4B" w:rsidP="005A0E2D">
      <w:pPr>
        <w:ind w:left="547" w:firstLine="0"/>
        <w:jc w:val="both"/>
        <w:rPr>
          <w:color w:val="C00000"/>
        </w:rPr>
      </w:pPr>
    </w:p>
    <w:p w14:paraId="75D8CB78" w14:textId="2E3ED39C" w:rsidR="00502C4B" w:rsidRPr="00920221" w:rsidRDefault="00502C4B" w:rsidP="005A0E2D">
      <w:pPr>
        <w:ind w:left="547" w:firstLine="0"/>
        <w:rPr>
          <w:color w:val="C00000"/>
        </w:rPr>
      </w:pPr>
      <w:r w:rsidRPr="00920221">
        <w:rPr>
          <w:color w:val="C00000"/>
        </w:rPr>
        <w:t>First, implementation of clinical guidelines for UTI diagnos</w:t>
      </w:r>
      <w:r w:rsidR="00610CCC" w:rsidRPr="00920221">
        <w:rPr>
          <w:color w:val="C00000"/>
        </w:rPr>
        <w:t>tic</w:t>
      </w:r>
      <w:r w:rsidRPr="00920221">
        <w:rPr>
          <w:color w:val="C00000"/>
        </w:rPr>
        <w:t xml:space="preserve"> processes and treatment, including the prescription of antibiotics, reduces adverse outcomes (Cooper et al., 2019</w:t>
      </w:r>
      <w:r w:rsidR="002A63FE" w:rsidRPr="00920221">
        <w:rPr>
          <w:color w:val="C00000"/>
        </w:rPr>
        <w:t xml:space="preserve">; </w:t>
      </w:r>
      <w:proofErr w:type="spellStart"/>
      <w:r w:rsidRPr="00920221">
        <w:rPr>
          <w:color w:val="C00000"/>
        </w:rPr>
        <w:t>McMaughan</w:t>
      </w:r>
      <w:proofErr w:type="spellEnd"/>
      <w:r w:rsidRPr="00920221">
        <w:rPr>
          <w:color w:val="C00000"/>
        </w:rPr>
        <w:t xml:space="preserve"> et al., 2016; Nicolle, 2016).</w:t>
      </w:r>
      <w:r w:rsidR="00A76BE5" w:rsidRPr="00920221">
        <w:rPr>
          <w:color w:val="C00000"/>
        </w:rPr>
        <w:t xml:space="preserve"> </w:t>
      </w:r>
      <w:r w:rsidRPr="00920221">
        <w:rPr>
          <w:color w:val="C00000"/>
        </w:rPr>
        <w:t xml:space="preserve">To relieve the burning pain and urgent need to urinate </w:t>
      </w:r>
      <w:r w:rsidR="00BC5F61" w:rsidRPr="00920221">
        <w:rPr>
          <w:color w:val="C00000"/>
        </w:rPr>
        <w:t xml:space="preserve">associated with UTI </w:t>
      </w:r>
      <w:r w:rsidRPr="00920221">
        <w:rPr>
          <w:color w:val="C00000"/>
        </w:rPr>
        <w:t xml:space="preserve">and prevent complications, </w:t>
      </w:r>
      <w:r w:rsidR="00B34FBC" w:rsidRPr="00920221">
        <w:rPr>
          <w:color w:val="C00000"/>
        </w:rPr>
        <w:t>UTIs</w:t>
      </w:r>
      <w:r w:rsidRPr="00920221">
        <w:rPr>
          <w:color w:val="C00000"/>
        </w:rPr>
        <w:t xml:space="preserve"> are usually successfully treated with antibiotics and other medications (</w:t>
      </w:r>
      <w:proofErr w:type="spellStart"/>
      <w:r w:rsidRPr="00920221">
        <w:rPr>
          <w:color w:val="C00000"/>
        </w:rPr>
        <w:t>Detweiler</w:t>
      </w:r>
      <w:proofErr w:type="spellEnd"/>
      <w:r w:rsidRPr="00920221">
        <w:rPr>
          <w:color w:val="C00000"/>
        </w:rPr>
        <w:t xml:space="preserve"> et al., 2015; Nicolle, 2009; Saint et al., 2006; </w:t>
      </w:r>
      <w:proofErr w:type="spellStart"/>
      <w:r w:rsidRPr="00920221">
        <w:rPr>
          <w:color w:val="C00000"/>
        </w:rPr>
        <w:t>Gradwohl</w:t>
      </w:r>
      <w:proofErr w:type="spellEnd"/>
      <w:r w:rsidRPr="00920221">
        <w:rPr>
          <w:color w:val="C00000"/>
        </w:rPr>
        <w:t xml:space="preserve"> et al., 2016).</w:t>
      </w:r>
      <w:r w:rsidR="00A76BE5" w:rsidRPr="00920221">
        <w:rPr>
          <w:color w:val="C00000"/>
        </w:rPr>
        <w:t xml:space="preserve"> </w:t>
      </w:r>
      <w:r w:rsidRPr="0038014E">
        <w:rPr>
          <w:color w:val="7030A0"/>
        </w:rPr>
        <w:t>In fact, one study estimated that antibiotic therapy shortens the duration of symptoms and likely cures more than 90 percent of infections (Nicolle et al., 2006).</w:t>
      </w:r>
      <w:r w:rsidR="00A76BE5" w:rsidRPr="0038014E">
        <w:rPr>
          <w:color w:val="7030A0"/>
        </w:rPr>
        <w:t xml:space="preserve"> </w:t>
      </w:r>
      <w:r w:rsidRPr="00920221">
        <w:rPr>
          <w:color w:val="C00000"/>
        </w:rPr>
        <w:t xml:space="preserve">Clinical guidelines can help nursing homes identify the cause of a UTI and implement appropriate treatment sooner, which can prevent the infection </w:t>
      </w:r>
      <w:r w:rsidR="00B34FBC" w:rsidRPr="00920221">
        <w:rPr>
          <w:color w:val="C00000"/>
        </w:rPr>
        <w:t xml:space="preserve">from </w:t>
      </w:r>
      <w:r w:rsidRPr="00920221">
        <w:rPr>
          <w:color w:val="C00000"/>
        </w:rPr>
        <w:t>becoming more serious or causing serious complications, such as sepsis and death (Smith et al., 2018).</w:t>
      </w:r>
      <w:r w:rsidR="00A76BE5" w:rsidRPr="00920221">
        <w:rPr>
          <w:color w:val="C00000"/>
        </w:rPr>
        <w:t xml:space="preserve"> </w:t>
      </w:r>
      <w:r w:rsidRPr="00920221">
        <w:rPr>
          <w:color w:val="C00000"/>
        </w:rPr>
        <w:t>Consistent surveillance of residents is also important in UTI prevention, with miss</w:t>
      </w:r>
      <w:r w:rsidR="000D21F8" w:rsidRPr="00920221">
        <w:rPr>
          <w:color w:val="C00000"/>
        </w:rPr>
        <w:t>ing</w:t>
      </w:r>
      <w:r w:rsidRPr="00920221">
        <w:rPr>
          <w:color w:val="C00000"/>
        </w:rPr>
        <w:t xml:space="preserve"> activities such as administering medication on time and documenting nursing care associated with higher rates of UTIs (Nelson &amp; Flynn, 2015).</w:t>
      </w:r>
    </w:p>
    <w:p w14:paraId="76066B2D" w14:textId="18D63F7F" w:rsidR="006017D4" w:rsidRPr="0038014E" w:rsidRDefault="006017D4" w:rsidP="005A0E2D">
      <w:pPr>
        <w:ind w:left="547" w:firstLine="0"/>
        <w:jc w:val="both"/>
        <w:rPr>
          <w:color w:val="7030A0"/>
        </w:rPr>
      </w:pPr>
    </w:p>
    <w:p w14:paraId="5AB46CDC" w14:textId="3FFB69C0" w:rsidR="006017D4" w:rsidRPr="00920221" w:rsidRDefault="00502C4B" w:rsidP="005A0E2D">
      <w:pPr>
        <w:ind w:left="547" w:firstLine="0"/>
        <w:rPr>
          <w:color w:val="C00000"/>
        </w:rPr>
      </w:pPr>
      <w:r w:rsidRPr="00920221">
        <w:rPr>
          <w:color w:val="C00000"/>
        </w:rPr>
        <w:t>Second, o</w:t>
      </w:r>
      <w:r w:rsidR="006017D4" w:rsidRPr="00920221">
        <w:rPr>
          <w:color w:val="C00000"/>
        </w:rPr>
        <w:t xml:space="preserve">ne commonly cited </w:t>
      </w:r>
      <w:r w:rsidRPr="00920221">
        <w:rPr>
          <w:color w:val="C00000"/>
        </w:rPr>
        <w:t xml:space="preserve">evidence-based clinical practice </w:t>
      </w:r>
      <w:r w:rsidR="006017D4" w:rsidRPr="00920221">
        <w:rPr>
          <w:color w:val="C00000"/>
        </w:rPr>
        <w:t xml:space="preserve">for preventing UTIs </w:t>
      </w:r>
      <w:r w:rsidRPr="00920221">
        <w:rPr>
          <w:color w:val="C00000"/>
        </w:rPr>
        <w:t xml:space="preserve">and reducing UTI rates </w:t>
      </w:r>
      <w:r w:rsidR="006017D4" w:rsidRPr="00920221">
        <w:rPr>
          <w:color w:val="C00000"/>
        </w:rPr>
        <w:t>is appropriate use of catheterization.</w:t>
      </w:r>
      <w:r w:rsidR="00A76BE5" w:rsidRPr="00920221">
        <w:rPr>
          <w:color w:val="C00000"/>
        </w:rPr>
        <w:t xml:space="preserve"> </w:t>
      </w:r>
      <w:r w:rsidR="006017D4" w:rsidRPr="00920221">
        <w:rPr>
          <w:color w:val="C00000"/>
        </w:rPr>
        <w:t>Generally, the use of catheters is associated with urinary tract infections, with one study finding that 3</w:t>
      </w:r>
      <w:r w:rsidR="00B52A7E" w:rsidRPr="00920221">
        <w:rPr>
          <w:color w:val="C00000"/>
        </w:rPr>
        <w:t>%</w:t>
      </w:r>
      <w:r w:rsidR="006017D4" w:rsidRPr="00920221">
        <w:rPr>
          <w:color w:val="C00000"/>
        </w:rPr>
        <w:t xml:space="preserve"> to 7% of residents with indwelling catheters develop UTIs (</w:t>
      </w:r>
      <w:proofErr w:type="spellStart"/>
      <w:r w:rsidR="006017D4" w:rsidRPr="00920221">
        <w:rPr>
          <w:color w:val="C00000"/>
        </w:rPr>
        <w:t>Gucwa</w:t>
      </w:r>
      <w:proofErr w:type="spellEnd"/>
      <w:r w:rsidR="006017D4" w:rsidRPr="00920221">
        <w:rPr>
          <w:color w:val="C00000"/>
        </w:rPr>
        <w:t xml:space="preserve"> et al., 2016).</w:t>
      </w:r>
      <w:r w:rsidR="00A76BE5" w:rsidRPr="00920221">
        <w:rPr>
          <w:color w:val="C00000"/>
        </w:rPr>
        <w:t xml:space="preserve"> </w:t>
      </w:r>
      <w:r w:rsidR="006017D4" w:rsidRPr="00920221">
        <w:rPr>
          <w:color w:val="C00000"/>
        </w:rPr>
        <w:t>Moreover, the odds of a resident having a</w:t>
      </w:r>
      <w:r w:rsidR="007342B1" w:rsidRPr="00920221">
        <w:rPr>
          <w:color w:val="C00000"/>
        </w:rPr>
        <w:t xml:space="preserve"> multi-drug resistant organism (</w:t>
      </w:r>
      <w:r w:rsidR="006017D4" w:rsidRPr="00920221">
        <w:rPr>
          <w:color w:val="C00000"/>
        </w:rPr>
        <w:t>MDRO</w:t>
      </w:r>
      <w:r w:rsidR="007342B1" w:rsidRPr="00920221">
        <w:rPr>
          <w:color w:val="C00000"/>
        </w:rPr>
        <w:t>)</w:t>
      </w:r>
      <w:r w:rsidR="006017D4" w:rsidRPr="00920221">
        <w:rPr>
          <w:color w:val="C00000"/>
        </w:rPr>
        <w:t xml:space="preserve"> UTI significantly increased with the presence of catheterization (</w:t>
      </w:r>
      <w:proofErr w:type="spellStart"/>
      <w:r w:rsidR="006017D4" w:rsidRPr="00920221">
        <w:rPr>
          <w:color w:val="C00000"/>
        </w:rPr>
        <w:t>Gucwa</w:t>
      </w:r>
      <w:proofErr w:type="spellEnd"/>
      <w:r w:rsidR="006017D4" w:rsidRPr="00920221">
        <w:rPr>
          <w:color w:val="C00000"/>
        </w:rPr>
        <w:t xml:space="preserve"> et al., 2016).</w:t>
      </w:r>
      <w:r w:rsidR="00A76BE5" w:rsidRPr="00920221">
        <w:rPr>
          <w:color w:val="C00000"/>
        </w:rPr>
        <w:t xml:space="preserve"> </w:t>
      </w:r>
      <w:r w:rsidR="006017D4" w:rsidRPr="00920221">
        <w:rPr>
          <w:color w:val="C00000"/>
        </w:rPr>
        <w:t xml:space="preserve">Therefore, </w:t>
      </w:r>
      <w:r w:rsidR="00044CD8">
        <w:rPr>
          <w:color w:val="C00000"/>
        </w:rPr>
        <w:t>encouraging only</w:t>
      </w:r>
      <w:r w:rsidR="006017D4" w:rsidRPr="00920221">
        <w:rPr>
          <w:color w:val="C00000"/>
        </w:rPr>
        <w:t xml:space="preserve"> appropriate use of </w:t>
      </w:r>
      <w:r w:rsidR="00044CD8">
        <w:rPr>
          <w:color w:val="C00000"/>
        </w:rPr>
        <w:t xml:space="preserve">urinary </w:t>
      </w:r>
      <w:bookmarkStart w:id="5" w:name="_GoBack"/>
      <w:bookmarkEnd w:id="5"/>
      <w:r w:rsidR="006017D4" w:rsidRPr="00920221">
        <w:rPr>
          <w:color w:val="C00000"/>
        </w:rPr>
        <w:t xml:space="preserve">catheterization can help to lower the rate of UTIs and prevent the corollary adverse outcome of MDRO proliferation. </w:t>
      </w:r>
    </w:p>
    <w:p w14:paraId="01DFA0A5" w14:textId="7A17D23F" w:rsidR="00502C4B" w:rsidRPr="00920221" w:rsidRDefault="00502C4B" w:rsidP="005A0E2D">
      <w:pPr>
        <w:ind w:left="547" w:firstLine="0"/>
        <w:jc w:val="both"/>
        <w:rPr>
          <w:color w:val="C00000"/>
        </w:rPr>
      </w:pPr>
    </w:p>
    <w:p w14:paraId="7EE9BFE2" w14:textId="717E5E13" w:rsidR="00502C4B" w:rsidRPr="00920221" w:rsidRDefault="00502C4B" w:rsidP="005A0E2D">
      <w:pPr>
        <w:ind w:left="547" w:firstLine="0"/>
        <w:rPr>
          <w:color w:val="C00000"/>
        </w:rPr>
      </w:pPr>
      <w:r w:rsidRPr="00920221">
        <w:rPr>
          <w:color w:val="C00000"/>
        </w:rPr>
        <w:t xml:space="preserve">Third, </w:t>
      </w:r>
      <w:r w:rsidR="00A75C8F" w:rsidRPr="00920221">
        <w:rPr>
          <w:color w:val="C00000"/>
        </w:rPr>
        <w:t xml:space="preserve">evidence suggests that there are </w:t>
      </w:r>
      <w:r w:rsidR="00C6097C" w:rsidRPr="00920221">
        <w:rPr>
          <w:color w:val="C00000"/>
        </w:rPr>
        <w:t xml:space="preserve">broader </w:t>
      </w:r>
      <w:r w:rsidR="00A75C8F" w:rsidRPr="00920221">
        <w:rPr>
          <w:color w:val="C00000"/>
        </w:rPr>
        <w:t>clinical practices nursing homes can implement,</w:t>
      </w:r>
      <w:r w:rsidR="00881A0F" w:rsidRPr="00920221">
        <w:rPr>
          <w:color w:val="C00000"/>
        </w:rPr>
        <w:t xml:space="preserve"> beyond </w:t>
      </w:r>
      <w:r w:rsidR="00A81058" w:rsidRPr="00920221">
        <w:rPr>
          <w:color w:val="C00000"/>
        </w:rPr>
        <w:t xml:space="preserve">appropriate </w:t>
      </w:r>
      <w:r w:rsidR="00881A0F" w:rsidRPr="00920221">
        <w:rPr>
          <w:color w:val="C00000"/>
        </w:rPr>
        <w:t>cathe</w:t>
      </w:r>
      <w:r w:rsidR="00036377" w:rsidRPr="00920221">
        <w:rPr>
          <w:color w:val="C00000"/>
        </w:rPr>
        <w:t>te</w:t>
      </w:r>
      <w:r w:rsidR="00881A0F" w:rsidRPr="00920221">
        <w:rPr>
          <w:color w:val="C00000"/>
        </w:rPr>
        <w:t>rization</w:t>
      </w:r>
      <w:r w:rsidR="00A75C8F" w:rsidRPr="00920221">
        <w:rPr>
          <w:color w:val="C00000"/>
        </w:rPr>
        <w:t>,</w:t>
      </w:r>
      <w:r w:rsidRPr="00920221">
        <w:rPr>
          <w:color w:val="C00000"/>
        </w:rPr>
        <w:t xml:space="preserve"> that are effective in preventing UTIs.</w:t>
      </w:r>
      <w:r w:rsidR="00A76BE5" w:rsidRPr="00920221">
        <w:rPr>
          <w:color w:val="C00000"/>
        </w:rPr>
        <w:t xml:space="preserve"> </w:t>
      </w:r>
      <w:r w:rsidRPr="00920221">
        <w:rPr>
          <w:color w:val="C00000"/>
        </w:rPr>
        <w:t>These processes include keeping the peri</w:t>
      </w:r>
      <w:r w:rsidR="00336415" w:rsidRPr="00920221">
        <w:rPr>
          <w:color w:val="C00000"/>
        </w:rPr>
        <w:t>neal</w:t>
      </w:r>
      <w:r w:rsidRPr="00920221">
        <w:rPr>
          <w:color w:val="C00000"/>
        </w:rPr>
        <w:t xml:space="preserve"> area clean</w:t>
      </w:r>
      <w:r w:rsidR="00E52B4D" w:rsidRPr="00920221">
        <w:rPr>
          <w:color w:val="C00000"/>
        </w:rPr>
        <w:t xml:space="preserve"> (Wolff et al., 2017), ensuring hand hygiene</w:t>
      </w:r>
      <w:r w:rsidRPr="00920221">
        <w:rPr>
          <w:color w:val="C00000"/>
        </w:rPr>
        <w:t xml:space="preserve"> (Montoya et al., 2016; </w:t>
      </w:r>
      <w:proofErr w:type="spellStart"/>
      <w:r w:rsidRPr="00920221">
        <w:rPr>
          <w:color w:val="C00000"/>
        </w:rPr>
        <w:t>Meddings</w:t>
      </w:r>
      <w:proofErr w:type="spellEnd"/>
      <w:r w:rsidRPr="00920221">
        <w:rPr>
          <w:color w:val="C00000"/>
        </w:rPr>
        <w:t xml:space="preserve"> et al., 2017), </w:t>
      </w:r>
      <w:bookmarkStart w:id="6" w:name="_Hlk11160001"/>
      <w:r w:rsidR="00B34FBC" w:rsidRPr="00920221">
        <w:rPr>
          <w:color w:val="C00000"/>
        </w:rPr>
        <w:t>improving management of urinary incontinence</w:t>
      </w:r>
      <w:r w:rsidR="00B34FBC" w:rsidRPr="00920221" w:rsidDel="00B34FBC">
        <w:rPr>
          <w:color w:val="C00000"/>
        </w:rPr>
        <w:t xml:space="preserve"> </w:t>
      </w:r>
      <w:bookmarkEnd w:id="6"/>
      <w:r w:rsidRPr="00920221">
        <w:rPr>
          <w:color w:val="C00000"/>
        </w:rPr>
        <w:t>(</w:t>
      </w:r>
      <w:proofErr w:type="spellStart"/>
      <w:r w:rsidR="00B34FBC" w:rsidRPr="00920221">
        <w:rPr>
          <w:color w:val="C00000"/>
        </w:rPr>
        <w:t>Meddings</w:t>
      </w:r>
      <w:proofErr w:type="spellEnd"/>
      <w:r w:rsidR="00B34FBC" w:rsidRPr="00920221">
        <w:rPr>
          <w:color w:val="C00000"/>
        </w:rPr>
        <w:t xml:space="preserve"> et al., 2017</w:t>
      </w:r>
      <w:r w:rsidRPr="00920221">
        <w:rPr>
          <w:color w:val="C00000"/>
        </w:rPr>
        <w:t>), and implementing hydration regimens (</w:t>
      </w:r>
      <w:r w:rsidR="002B4F7D" w:rsidRPr="00920221">
        <w:rPr>
          <w:color w:val="C00000"/>
        </w:rPr>
        <w:t>Wolff et al., 2017</w:t>
      </w:r>
      <w:r w:rsidRPr="00920221">
        <w:rPr>
          <w:color w:val="C00000"/>
        </w:rPr>
        <w:t xml:space="preserve">). </w:t>
      </w:r>
    </w:p>
    <w:p w14:paraId="5264A33B" w14:textId="77777777" w:rsidR="007D174E" w:rsidRPr="0038014E" w:rsidRDefault="007D174E" w:rsidP="00F46363">
      <w:pPr>
        <w:ind w:left="432" w:firstLine="0"/>
        <w:rPr>
          <w:rFonts w:ascii="Calibri" w:hAnsi="Calibri"/>
          <w:noProof/>
          <w:color w:val="7030A0"/>
          <w:szCs w:val="24"/>
        </w:rPr>
      </w:pPr>
    </w:p>
    <w:p w14:paraId="2BA8F953" w14:textId="77777777" w:rsidR="00D67250" w:rsidRPr="0038014E" w:rsidRDefault="00D67250">
      <w:pPr>
        <w:rPr>
          <w:rFonts w:ascii="Calibri" w:hAnsi="Calibri"/>
          <w:noProof/>
          <w:color w:val="7030A0"/>
          <w:szCs w:val="24"/>
        </w:rPr>
      </w:pPr>
      <w:r w:rsidRPr="0038014E">
        <w:rPr>
          <w:rFonts w:ascii="Calibri" w:hAnsi="Calibri"/>
          <w:noProof/>
          <w:color w:val="7030A0"/>
          <w:szCs w:val="24"/>
        </w:rPr>
        <w:br w:type="page"/>
      </w:r>
    </w:p>
    <w:p w14:paraId="71E5CA43" w14:textId="39988812" w:rsidR="00E65D9E" w:rsidRPr="0038014E" w:rsidRDefault="002A7E66" w:rsidP="006A0D5D">
      <w:pPr>
        <w:spacing w:after="200"/>
        <w:ind w:left="432" w:firstLine="0"/>
        <w:rPr>
          <w:rFonts w:ascii="Calibri" w:hAnsi="Calibri"/>
          <w:b/>
          <w:noProof/>
          <w:color w:val="7030A0"/>
          <w:szCs w:val="24"/>
        </w:rPr>
      </w:pPr>
      <w:r w:rsidRPr="0038014E">
        <w:rPr>
          <w:rFonts w:ascii="Calibri" w:hAnsi="Calibri"/>
          <w:b/>
          <w:noProof/>
          <w:color w:val="7030A0"/>
          <w:szCs w:val="24"/>
        </w:rPr>
        <w:lastRenderedPageBreak/>
        <w:t xml:space="preserve">Figure 1: </w:t>
      </w:r>
      <w:r w:rsidR="002F0987" w:rsidRPr="0038014E">
        <w:rPr>
          <w:rFonts w:ascii="Calibri" w:hAnsi="Calibri"/>
          <w:b/>
          <w:noProof/>
          <w:color w:val="7030A0"/>
          <w:szCs w:val="24"/>
        </w:rPr>
        <w:t>Role of Nursing Home Structure</w:t>
      </w:r>
      <w:r w:rsidR="004427A7" w:rsidRPr="0038014E">
        <w:rPr>
          <w:rFonts w:ascii="Calibri" w:hAnsi="Calibri"/>
          <w:b/>
          <w:noProof/>
          <w:color w:val="7030A0"/>
          <w:szCs w:val="24"/>
        </w:rPr>
        <w:t>s and Processes in Rate of Urinary Tract Infections</w:t>
      </w:r>
    </w:p>
    <w:p w14:paraId="6771C9CC" w14:textId="1DA5A544" w:rsidR="00FB47A6" w:rsidRPr="0038014E" w:rsidRDefault="00FB47A6" w:rsidP="00F46363">
      <w:pPr>
        <w:ind w:left="432" w:firstLine="0"/>
        <w:rPr>
          <w:rFonts w:ascii="Calibri" w:hAnsi="Calibri"/>
          <w:noProof/>
          <w:color w:val="7030A0"/>
          <w:szCs w:val="24"/>
        </w:rPr>
      </w:pPr>
      <w:r>
        <w:rPr>
          <w:noProof/>
        </w:rPr>
        <mc:AlternateContent>
          <mc:Choice Requires="wpc">
            <w:drawing>
              <wp:inline distT="0" distB="0" distL="0" distR="0" wp14:anchorId="779EAB02" wp14:editId="19643D32">
                <wp:extent cx="5486400" cy="3983604"/>
                <wp:effectExtent l="0" t="0" r="0" b="0"/>
                <wp:docPr id="2" name="Canvas 2" descr="Role of Nursing Home Structures and Processes in Rate of Urinary Tract Infections flow chart: from structures to processes to outcomes." title="Figure 1. Role of Nursing Home Structures and Processes in Rate of Urinary Tract Infections flow chart"/>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3" name="Rectangle: Rounded Corners 3"/>
                        <wps:cNvSpPr/>
                        <wps:spPr>
                          <a:xfrm>
                            <a:off x="0" y="54757"/>
                            <a:ext cx="1406106" cy="3618746"/>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357919F" w14:textId="7754036C" w:rsidR="001639B3" w:rsidRDefault="001639B3" w:rsidP="00B34FBC">
                              <w:pPr>
                                <w:ind w:left="0" w:firstLine="0"/>
                              </w:pPr>
                              <w:r>
                                <w:t>STRUCTURES</w:t>
                              </w:r>
                            </w:p>
                            <w:p w14:paraId="217A3391" w14:textId="108463C4" w:rsidR="001639B3" w:rsidRDefault="001639B3" w:rsidP="00FB47A6">
                              <w:pPr>
                                <w:numPr>
                                  <w:ilvl w:val="0"/>
                                  <w:numId w:val="28"/>
                                </w:numPr>
                                <w:tabs>
                                  <w:tab w:val="clear" w:pos="720"/>
                                  <w:tab w:val="num" w:pos="180"/>
                                </w:tabs>
                                <w:ind w:left="187" w:hanging="187"/>
                              </w:pPr>
                              <w:r w:rsidRPr="00A8755B">
                                <w:t xml:space="preserve">Facility characteristics (e.g., size, ownership, chain affiliation, financial resources, profit status, case mix, culture)  </w:t>
                              </w:r>
                            </w:p>
                            <w:p w14:paraId="2161E0C1" w14:textId="77777777" w:rsidR="001639B3" w:rsidRPr="00A8755B" w:rsidRDefault="001639B3" w:rsidP="00FB47A6">
                              <w:pPr>
                                <w:numPr>
                                  <w:ilvl w:val="0"/>
                                  <w:numId w:val="28"/>
                                </w:numPr>
                                <w:tabs>
                                  <w:tab w:val="clear" w:pos="720"/>
                                  <w:tab w:val="num" w:pos="180"/>
                                </w:tabs>
                                <w:ind w:left="187" w:hanging="187"/>
                              </w:pPr>
                              <w:r w:rsidRPr="00A8755B">
                                <w:t>Staffing resources (e.g., ratios and mix</w:t>
                              </w:r>
                              <w:r>
                                <w:t>, education level</w:t>
                              </w:r>
                              <w:r w:rsidRPr="00A8755B">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Rounded Corners 4"/>
                        <wps:cNvSpPr/>
                        <wps:spPr>
                          <a:xfrm>
                            <a:off x="1880558" y="44971"/>
                            <a:ext cx="1473963" cy="36523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295ED2E" w14:textId="77777777" w:rsidR="001639B3" w:rsidRDefault="001639B3" w:rsidP="00FB47A6">
                              <w:r>
                                <w:t>PROCESSES</w:t>
                              </w:r>
                            </w:p>
                            <w:p w14:paraId="0CB8C353" w14:textId="187FB2A4" w:rsidR="001639B3" w:rsidRDefault="001639B3" w:rsidP="00FB47A6">
                              <w:pPr>
                                <w:pStyle w:val="ListParagraph"/>
                                <w:numPr>
                                  <w:ilvl w:val="0"/>
                                  <w:numId w:val="27"/>
                                </w:numPr>
                              </w:pPr>
                              <w:r>
                                <w:t>Best practices (hygiene and hydration regimens)</w:t>
                              </w:r>
                            </w:p>
                            <w:p w14:paraId="2729F0D0" w14:textId="77777777" w:rsidR="001639B3" w:rsidRDefault="001639B3" w:rsidP="00FB47A6">
                              <w:pPr>
                                <w:pStyle w:val="ListParagraph"/>
                                <w:numPr>
                                  <w:ilvl w:val="0"/>
                                  <w:numId w:val="27"/>
                                </w:numPr>
                              </w:pPr>
                              <w:r>
                                <w:t>Adherence to guidelines (prevention and alternative approaches to care)</w:t>
                              </w:r>
                            </w:p>
                            <w:p w14:paraId="0F08351B" w14:textId="7C813723" w:rsidR="001639B3" w:rsidRDefault="001639B3" w:rsidP="00FB47A6">
                              <w:pPr>
                                <w:pStyle w:val="ListParagraph"/>
                                <w:numPr>
                                  <w:ilvl w:val="0"/>
                                  <w:numId w:val="27"/>
                                </w:numPr>
                              </w:pPr>
                              <w:r>
                                <w:t>Appropriate assessments and use of catheterization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 name="Rectangle: Rounded Corners 5"/>
                        <wps:cNvSpPr/>
                        <wps:spPr>
                          <a:xfrm>
                            <a:off x="3812876" y="44977"/>
                            <a:ext cx="1621765" cy="3692136"/>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8EA029B" w14:textId="519AD8DC" w:rsidR="001639B3" w:rsidRDefault="001639B3" w:rsidP="00FB47A6">
                              <w:pPr>
                                <w:ind w:left="0" w:firstLine="0"/>
                              </w:pPr>
                              <w:r>
                                <w:t>OUTCOME</w:t>
                              </w:r>
                            </w:p>
                            <w:p w14:paraId="5472DE2E" w14:textId="77777777" w:rsidR="001639B3" w:rsidRDefault="001639B3" w:rsidP="00FB47A6">
                              <w:pPr>
                                <w:pStyle w:val="ListParagraph"/>
                                <w:numPr>
                                  <w:ilvl w:val="0"/>
                                  <w:numId w:val="26"/>
                                </w:numPr>
                              </w:pPr>
                              <w:r>
                                <w:t>Lower rate of urinary tract infections</w:t>
                              </w:r>
                            </w:p>
                            <w:p w14:paraId="55C27DCD" w14:textId="4F8D8B4A" w:rsidR="001639B3" w:rsidRDefault="001639B3" w:rsidP="00FB47A6">
                              <w:pPr>
                                <w:ind w:left="0" w:firstLine="0"/>
                              </w:pPr>
                              <w:r>
                                <w:t>COROLLARY OUTCOMES</w:t>
                              </w:r>
                            </w:p>
                            <w:p w14:paraId="5475D0BD" w14:textId="77777777" w:rsidR="001639B3" w:rsidRPr="00B504F6" w:rsidRDefault="001639B3" w:rsidP="0018429E">
                              <w:pPr>
                                <w:pStyle w:val="ListParagraph"/>
                                <w:numPr>
                                  <w:ilvl w:val="0"/>
                                  <w:numId w:val="26"/>
                                </w:numPr>
                                <w:rPr>
                                  <w:color w:val="FFFFFF" w:themeColor="background1"/>
                                </w:rPr>
                              </w:pPr>
                              <w:r w:rsidRPr="00B504F6">
                                <w:rPr>
                                  <w:color w:val="FFFFFF" w:themeColor="background1"/>
                                </w:rPr>
                                <w:t>Lower rates of sepsis, hospitalization, emergency department use, delirium, or death</w:t>
                              </w:r>
                            </w:p>
                            <w:p w14:paraId="3533EEB0" w14:textId="3470546C" w:rsidR="001639B3" w:rsidRPr="00B504F6" w:rsidRDefault="001639B3" w:rsidP="00B504F6">
                              <w:pPr>
                                <w:pStyle w:val="ListParagraph"/>
                                <w:numPr>
                                  <w:ilvl w:val="0"/>
                                  <w:numId w:val="26"/>
                                </w:numPr>
                                <w:rPr>
                                  <w:color w:val="FFFFFF" w:themeColor="background1"/>
                                </w:rPr>
                              </w:pPr>
                              <w:r w:rsidRPr="00B504F6">
                                <w:rPr>
                                  <w:color w:val="FFFFFF" w:themeColor="background1"/>
                                </w:rPr>
                                <w:t>Decrease proliferation of MDROs</w:t>
                              </w:r>
                              <w:r w:rsidRPr="00B504F6" w:rsidDel="0018429E">
                                <w:rPr>
                                  <w:color w:val="FFFFFF" w:themeColor="background1"/>
                                </w:rPr>
                                <w:t xml:space="preserve">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6" name="Arrow: Right 6"/>
                        <wps:cNvSpPr/>
                        <wps:spPr>
                          <a:xfrm>
                            <a:off x="1466490" y="1227873"/>
                            <a:ext cx="414068" cy="36231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Arrow: Right 7"/>
                        <wps:cNvSpPr/>
                        <wps:spPr>
                          <a:xfrm>
                            <a:off x="3398856" y="1228311"/>
                            <a:ext cx="414020" cy="3619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779EAB02" id="Canvas 2" o:spid="_x0000_s1026" editas="canvas" alt="Title: Figure 1. Role of Nursing Home Structures and Processes in Rate of Urinary Tract Infections flow chart - Description: Role of Nursing Home Structures and Processes in Rate of Urinary Tract Infections flow chart: from structures to processes to outcomes." style="width:6in;height:313.65pt;mso-position-horizontal-relative:char;mso-position-vertical-relative:line" coordsize="54864,39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Role of Nursing Home Structures and Processes in Rate of Urinary Tract Infections flow chart: from structures to processes to outcomes." style="position:absolute;width:54864;height:39833;visibility:visible;mso-wrap-style:square">
                  <v:fill o:detectmouseclick="t"/>
                  <v:path o:connecttype="none"/>
                </v:shape>
                <v:roundrect id="Rectangle: Rounded Corners 3" o:spid="_x0000_s1028" style="position:absolute;top:547;width:14061;height:3618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" fillcolor="#4f81bd [3204]" strokecolor="#243f60 [1604]" strokeweight="2pt">
                  <v:textbox>
                    <w:txbxContent>
                      <w:p w14:paraId="1357919F" w14:textId="7754036C" w:rsidR="001639B3" w:rsidRDefault="001639B3" w:rsidP="00B34FBC">
                        <w:pPr>
                          <w:ind w:left="0" w:firstLine="0"/>
                        </w:pPr>
                        <w:r>
                          <w:t>STRUCTURES</w:t>
                        </w:r>
                      </w:p>
                      <w:p w14:paraId="217A3391" w14:textId="108463C4" w:rsidR="001639B3" w:rsidRDefault="001639B3" w:rsidP="00FB47A6">
                        <w:pPr>
                          <w:numPr>
                            <w:ilvl w:val="0"/>
                            <w:numId w:val="28"/>
                          </w:numPr>
                          <w:tabs>
                            <w:tab w:val="clear" w:pos="720"/>
                            <w:tab w:val="num" w:pos="180"/>
                          </w:tabs>
                          <w:ind w:left="187" w:hanging="187"/>
                        </w:pPr>
                        <w:r w:rsidRPr="00A8755B">
                          <w:t xml:space="preserve">Facility characteristics (e.g., size, ownership, chain affiliation, financial resources, profit status, case mix, culture)  </w:t>
                        </w:r>
                      </w:p>
                      <w:p w14:paraId="2161E0C1" w14:textId="77777777" w:rsidR="001639B3" w:rsidRPr="00A8755B" w:rsidRDefault="001639B3" w:rsidP="00FB47A6">
                        <w:pPr>
                          <w:numPr>
                            <w:ilvl w:val="0"/>
                            <w:numId w:val="28"/>
                          </w:numPr>
                          <w:tabs>
                            <w:tab w:val="clear" w:pos="720"/>
                            <w:tab w:val="num" w:pos="180"/>
                          </w:tabs>
                          <w:ind w:left="187" w:hanging="187"/>
                        </w:pPr>
                        <w:r w:rsidRPr="00A8755B">
                          <w:t>Staffing resources (e.g., ratios and mix</w:t>
                        </w:r>
                        <w:r>
                          <w:t>, education level</w:t>
                        </w:r>
                        <w:r w:rsidRPr="00A8755B">
                          <w:t>)</w:t>
                        </w:r>
                      </w:p>
                    </w:txbxContent>
                  </v:textbox>
                </v:roundrect>
                <v:roundrect id="Rectangle: Rounded Corners 4" o:spid="_x0000_s1029" style="position:absolute;left:18805;top:449;width:14740;height:365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" fillcolor="#4f81bd [3204]" strokecolor="#243f60 [1604]" strokeweight="2pt">
                  <v:textbox>
                    <w:txbxContent>
                      <w:p w14:paraId="4295ED2E" w14:textId="77777777" w:rsidR="001639B3" w:rsidRDefault="001639B3" w:rsidP="00FB47A6">
                        <w:r>
                          <w:t>PROCESSES</w:t>
                        </w:r>
                      </w:p>
                      <w:p w14:paraId="0CB8C353" w14:textId="187FB2A4" w:rsidR="001639B3" w:rsidRDefault="001639B3" w:rsidP="00FB47A6">
                        <w:pPr>
                          <w:pStyle w:val="ListParagraph"/>
                          <w:numPr>
                            <w:ilvl w:val="0"/>
                            <w:numId w:val="27"/>
                          </w:numPr>
                        </w:pPr>
                        <w:r>
                          <w:t>Best practices (hygiene and hydration regimens)</w:t>
                        </w:r>
                      </w:p>
                      <w:p w14:paraId="2729F0D0" w14:textId="77777777" w:rsidR="001639B3" w:rsidRDefault="001639B3" w:rsidP="00FB47A6">
                        <w:pPr>
                          <w:pStyle w:val="ListParagraph"/>
                          <w:numPr>
                            <w:ilvl w:val="0"/>
                            <w:numId w:val="27"/>
                          </w:numPr>
                        </w:pPr>
                        <w:r>
                          <w:t>Adherence to guidelines (prevention and alternative approaches to care)</w:t>
                        </w:r>
                      </w:p>
                      <w:p w14:paraId="0F08351B" w14:textId="7C813723" w:rsidR="001639B3" w:rsidRDefault="001639B3" w:rsidP="00FB47A6">
                        <w:pPr>
                          <w:pStyle w:val="ListParagraph"/>
                          <w:numPr>
                            <w:ilvl w:val="0"/>
                            <w:numId w:val="27"/>
                          </w:numPr>
                        </w:pPr>
                        <w:r>
                          <w:t>Appropriate assessments and use of catheterization</w:t>
                        </w:r>
                      </w:p>
                    </w:txbxContent>
                  </v:textbox>
                </v:roundrect>
                <v:roundrect id="Rectangle: Rounded Corners 5" o:spid="_x0000_s1030" style="position:absolute;left:38128;top:449;width:16218;height:3692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" fillcolor="#4f81bd [3204]" strokecolor="#243f60 [1604]" strokeweight="2pt">
                  <v:textbox>
                    <w:txbxContent>
                      <w:p w14:paraId="48EA029B" w14:textId="519AD8DC" w:rsidR="001639B3" w:rsidRDefault="001639B3" w:rsidP="00FB47A6">
                        <w:pPr>
                          <w:ind w:left="0" w:firstLine="0"/>
                        </w:pPr>
                        <w:r>
                          <w:t>OUTCOME</w:t>
                        </w:r>
                      </w:p>
                      <w:p w14:paraId="5472DE2E" w14:textId="77777777" w:rsidR="001639B3" w:rsidRDefault="001639B3" w:rsidP="00FB47A6">
                        <w:pPr>
                          <w:pStyle w:val="ListParagraph"/>
                          <w:numPr>
                            <w:ilvl w:val="0"/>
                            <w:numId w:val="26"/>
                          </w:numPr>
                        </w:pPr>
                        <w:r>
                          <w:t>Lower rate of urinary tract infections</w:t>
                        </w:r>
                      </w:p>
                      <w:p w14:paraId="55C27DCD" w14:textId="4F8D8B4A" w:rsidR="001639B3" w:rsidRDefault="001639B3" w:rsidP="00FB47A6">
                        <w:pPr>
                          <w:ind w:left="0" w:firstLine="0"/>
                        </w:pPr>
                        <w:r>
                          <w:t>COROLLARY OUTCOMES</w:t>
                        </w:r>
                      </w:p>
                      <w:p w14:paraId="5475D0BD" w14:textId="77777777" w:rsidR="001639B3" w:rsidRPr="00B504F6" w:rsidRDefault="001639B3" w:rsidP="0018429E">
                        <w:pPr>
                          <w:pStyle w:val="ListParagraph"/>
                          <w:numPr>
                            <w:ilvl w:val="0"/>
                            <w:numId w:val="26"/>
                          </w:numPr>
                          <w:rPr>
                            <w:color w:val="FFFFFF" w:themeColor="background1"/>
                          </w:rPr>
                        </w:pPr>
                        <w:r w:rsidRPr="00B504F6">
                          <w:rPr>
                            <w:color w:val="FFFFFF" w:themeColor="background1"/>
                          </w:rPr>
                          <w:t>Lower rates of sepsis, hospitalization, emergency department use, delirium, or death</w:t>
                        </w:r>
                      </w:p>
                      <w:p w14:paraId="3533EEB0" w14:textId="3470546C" w:rsidR="001639B3" w:rsidRPr="00B504F6" w:rsidRDefault="001639B3" w:rsidP="00B504F6">
                        <w:pPr>
                          <w:pStyle w:val="ListParagraph"/>
                          <w:numPr>
                            <w:ilvl w:val="0"/>
                            <w:numId w:val="26"/>
                          </w:numPr>
                          <w:rPr>
                            <w:color w:val="FFFFFF" w:themeColor="background1"/>
                          </w:rPr>
                        </w:pPr>
                        <w:r w:rsidRPr="00B504F6">
                          <w:rPr>
                            <w:color w:val="FFFFFF" w:themeColor="background1"/>
                          </w:rPr>
                          <w:t>Decrease proliferation of MDROs</w:t>
                        </w:r>
                        <w:r w:rsidRPr="00B504F6" w:rsidDel="0018429E">
                          <w:rPr>
                            <w:color w:val="FFFFFF" w:themeColor="background1"/>
                          </w:rPr>
                          <w:t xml:space="preserve"> </w:t>
                        </w:r>
                      </w:p>
                    </w:txbxContent>
                  </v:textbox>
                </v:round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6" o:spid="_x0000_s1031" type="#_x0000_t13" style="position:absolute;left:14664;top:12278;width:4141;height:36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" adj="12150" fillcolor="#4f81bd [3204]" strokecolor="#243f60 [1604]" strokeweight="2pt"/>
                <v:shape id="Arrow: Right 7" o:spid="_x0000_s1032" type="#_x0000_t13" style="position:absolute;left:33988;top:12283;width:4140;height:3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" adj="12158" fillcolor="#4f81bd [3204]" strokecolor="#243f60 [1604]" strokeweight="2pt"/>
                <w10:anchorlock/>
              </v:group>
            </w:pict>
          </mc:Fallback>
        </mc:AlternateContent>
      </w:r>
    </w:p>
    <w:p w14:paraId="3D16939A" w14:textId="1DD3E4FC" w:rsidR="009F5D0F" w:rsidRPr="0038014E" w:rsidRDefault="009F5D0F" w:rsidP="005A0E2D">
      <w:pPr>
        <w:pStyle w:val="question"/>
        <w:spacing w:before="0" w:after="240"/>
        <w:ind w:left="792" w:right="0" w:hanging="360"/>
        <w:rPr>
          <w:color w:val="7030A0"/>
          <w:sz w:val="20"/>
          <w:szCs w:val="20"/>
        </w:rPr>
      </w:pPr>
      <w:r w:rsidRPr="0038014E">
        <w:rPr>
          <w:iCs w:val="0"/>
          <w:color w:val="7030A0"/>
          <w:sz w:val="20"/>
          <w:szCs w:val="20"/>
        </w:rPr>
        <w:t>Castle, N. G.</w:t>
      </w:r>
      <w:r w:rsidR="009E1035" w:rsidRPr="0038014E">
        <w:rPr>
          <w:iCs w:val="0"/>
          <w:color w:val="7030A0"/>
          <w:sz w:val="20"/>
          <w:szCs w:val="20"/>
        </w:rPr>
        <w:t>,</w:t>
      </w:r>
      <w:r w:rsidR="003D2F11" w:rsidRPr="0038014E">
        <w:rPr>
          <w:iCs w:val="0"/>
          <w:color w:val="7030A0"/>
          <w:sz w:val="20"/>
          <w:szCs w:val="20"/>
        </w:rPr>
        <w:t xml:space="preserve"> </w:t>
      </w:r>
      <w:r w:rsidR="00543D95" w:rsidRPr="0038014E">
        <w:rPr>
          <w:iCs w:val="0"/>
          <w:color w:val="7030A0"/>
          <w:sz w:val="20"/>
          <w:szCs w:val="20"/>
        </w:rPr>
        <w:t>&amp;</w:t>
      </w:r>
      <w:r w:rsidRPr="0038014E">
        <w:rPr>
          <w:iCs w:val="0"/>
          <w:color w:val="7030A0"/>
          <w:sz w:val="20"/>
          <w:szCs w:val="20"/>
        </w:rPr>
        <w:t xml:space="preserve"> Anderson, R. A. (201</w:t>
      </w:r>
      <w:r w:rsidR="00D2664B" w:rsidRPr="0038014E">
        <w:rPr>
          <w:iCs w:val="0"/>
          <w:color w:val="7030A0"/>
          <w:sz w:val="20"/>
          <w:szCs w:val="20"/>
        </w:rPr>
        <w:t>1</w:t>
      </w:r>
      <w:r w:rsidRPr="0038014E">
        <w:rPr>
          <w:iCs w:val="0"/>
          <w:color w:val="7030A0"/>
          <w:sz w:val="20"/>
          <w:szCs w:val="20"/>
        </w:rPr>
        <w:t xml:space="preserve">). Caregiver staffing in nursing homes and their influence on quality of care: </w:t>
      </w:r>
      <w:r w:rsidR="003B6356" w:rsidRPr="0038014E">
        <w:rPr>
          <w:iCs w:val="0"/>
          <w:color w:val="7030A0"/>
          <w:sz w:val="20"/>
          <w:szCs w:val="20"/>
        </w:rPr>
        <w:t>U</w:t>
      </w:r>
      <w:r w:rsidRPr="0038014E">
        <w:rPr>
          <w:iCs w:val="0"/>
          <w:color w:val="7030A0"/>
          <w:sz w:val="20"/>
          <w:szCs w:val="20"/>
        </w:rPr>
        <w:t xml:space="preserve">sing dynamic panel estimation methods. </w:t>
      </w:r>
      <w:r w:rsidRPr="0038014E">
        <w:rPr>
          <w:i/>
          <w:color w:val="7030A0"/>
          <w:sz w:val="20"/>
          <w:szCs w:val="20"/>
        </w:rPr>
        <w:t>Medical Care, 49</w:t>
      </w:r>
      <w:r w:rsidRPr="0038014E">
        <w:rPr>
          <w:iCs w:val="0"/>
          <w:color w:val="7030A0"/>
          <w:sz w:val="20"/>
          <w:szCs w:val="20"/>
        </w:rPr>
        <w:t>(6), 545-552.</w:t>
      </w:r>
      <w:r w:rsidRPr="0038014E">
        <w:rPr>
          <w:color w:val="7030A0"/>
          <w:sz w:val="20"/>
          <w:szCs w:val="20"/>
        </w:rPr>
        <w:t xml:space="preserve"> </w:t>
      </w:r>
    </w:p>
    <w:p w14:paraId="147FA83B" w14:textId="0DEDEA8A" w:rsidR="002A63FE" w:rsidRPr="00920221" w:rsidRDefault="002A63FE" w:rsidP="005A0E2D">
      <w:pPr>
        <w:pStyle w:val="question"/>
        <w:spacing w:before="0" w:after="240"/>
        <w:ind w:left="792" w:right="0" w:hanging="360"/>
        <w:rPr>
          <w:color w:val="C00000"/>
          <w:sz w:val="20"/>
          <w:szCs w:val="20"/>
        </w:rPr>
      </w:pPr>
      <w:r w:rsidRPr="00920221">
        <w:rPr>
          <w:color w:val="C00000"/>
          <w:sz w:val="20"/>
          <w:szCs w:val="20"/>
        </w:rPr>
        <w:t xml:space="preserve">Castle, N., Engberg, J. B., Wagner, L. M., &amp; Handler, S. (2017). Resident and facility factors associated with the incidence of urinary tract infections identified in the nursing home </w:t>
      </w:r>
      <w:r w:rsidR="00D2664B" w:rsidRPr="00920221">
        <w:rPr>
          <w:color w:val="C00000"/>
          <w:sz w:val="20"/>
          <w:szCs w:val="20"/>
        </w:rPr>
        <w:t>M</w:t>
      </w:r>
      <w:r w:rsidRPr="00920221">
        <w:rPr>
          <w:color w:val="C00000"/>
          <w:sz w:val="20"/>
          <w:szCs w:val="20"/>
        </w:rPr>
        <w:t xml:space="preserve">inimum </w:t>
      </w:r>
      <w:r w:rsidR="00D2664B" w:rsidRPr="00920221">
        <w:rPr>
          <w:color w:val="C00000"/>
          <w:sz w:val="20"/>
          <w:szCs w:val="20"/>
        </w:rPr>
        <w:t>D</w:t>
      </w:r>
      <w:r w:rsidRPr="00920221">
        <w:rPr>
          <w:color w:val="C00000"/>
          <w:sz w:val="20"/>
          <w:szCs w:val="20"/>
        </w:rPr>
        <w:t xml:space="preserve">ata </w:t>
      </w:r>
      <w:r w:rsidR="00D2664B" w:rsidRPr="00920221">
        <w:rPr>
          <w:color w:val="C00000"/>
          <w:sz w:val="20"/>
          <w:szCs w:val="20"/>
        </w:rPr>
        <w:t>S</w:t>
      </w:r>
      <w:r w:rsidRPr="00920221">
        <w:rPr>
          <w:color w:val="C00000"/>
          <w:sz w:val="20"/>
          <w:szCs w:val="20"/>
        </w:rPr>
        <w:t xml:space="preserve">et. </w:t>
      </w:r>
      <w:r w:rsidRPr="00920221">
        <w:rPr>
          <w:i/>
          <w:iCs w:val="0"/>
          <w:color w:val="C00000"/>
          <w:sz w:val="20"/>
          <w:szCs w:val="20"/>
        </w:rPr>
        <w:t>Journal of Applied Gerontology, 36</w:t>
      </w:r>
      <w:r w:rsidRPr="00920221">
        <w:rPr>
          <w:color w:val="C00000"/>
          <w:sz w:val="20"/>
          <w:szCs w:val="20"/>
        </w:rPr>
        <w:t>(2), 173-194.</w:t>
      </w:r>
    </w:p>
    <w:p w14:paraId="61BE3BB4" w14:textId="5BCF5392" w:rsidR="003C7F86" w:rsidRPr="00920221" w:rsidRDefault="003C7F86" w:rsidP="005A0E2D">
      <w:pPr>
        <w:spacing w:after="240"/>
        <w:ind w:left="792"/>
        <w:rPr>
          <w:rFonts w:ascii="Calibri" w:hAnsi="Calibri"/>
          <w:noProof/>
          <w:color w:val="C00000"/>
          <w:sz w:val="20"/>
          <w:szCs w:val="20"/>
        </w:rPr>
      </w:pPr>
      <w:r w:rsidRPr="00920221">
        <w:rPr>
          <w:rFonts w:ascii="Calibri" w:hAnsi="Calibri"/>
          <w:noProof/>
          <w:color w:val="C00000"/>
          <w:sz w:val="20"/>
          <w:szCs w:val="20"/>
        </w:rPr>
        <w:t xml:space="preserve">Cooper, D., </w:t>
      </w:r>
      <w:r w:rsidR="00543D95" w:rsidRPr="00920221">
        <w:rPr>
          <w:rFonts w:ascii="Calibri" w:hAnsi="Calibri"/>
          <w:noProof/>
          <w:color w:val="C00000"/>
          <w:sz w:val="20"/>
          <w:szCs w:val="20"/>
        </w:rPr>
        <w:t>McFarland, M., Petrilli, F.</w:t>
      </w:r>
      <w:r w:rsidR="009E1035" w:rsidRPr="00920221">
        <w:rPr>
          <w:rFonts w:ascii="Calibri" w:hAnsi="Calibri"/>
          <w:noProof/>
          <w:color w:val="C00000"/>
          <w:sz w:val="20"/>
          <w:szCs w:val="20"/>
        </w:rPr>
        <w:t>,</w:t>
      </w:r>
      <w:r w:rsidR="00543D95" w:rsidRPr="00920221">
        <w:rPr>
          <w:rFonts w:ascii="Calibri" w:hAnsi="Calibri"/>
          <w:noProof/>
          <w:color w:val="C00000"/>
          <w:sz w:val="20"/>
          <w:szCs w:val="20"/>
        </w:rPr>
        <w:t xml:space="preserve"> &amp; Shells, C</w:t>
      </w:r>
      <w:r w:rsidRPr="00920221">
        <w:rPr>
          <w:rFonts w:ascii="Calibri" w:hAnsi="Calibri"/>
          <w:noProof/>
          <w:color w:val="C00000"/>
          <w:sz w:val="20"/>
          <w:szCs w:val="20"/>
        </w:rPr>
        <w:t xml:space="preserve">. (2019). Reducing </w:t>
      </w:r>
      <w:r w:rsidR="00D2664B" w:rsidRPr="00920221">
        <w:rPr>
          <w:rFonts w:ascii="Calibri" w:hAnsi="Calibri"/>
          <w:noProof/>
          <w:color w:val="C00000"/>
          <w:sz w:val="20"/>
          <w:szCs w:val="20"/>
        </w:rPr>
        <w:t>i</w:t>
      </w:r>
      <w:r w:rsidRPr="00920221">
        <w:rPr>
          <w:rFonts w:ascii="Calibri" w:hAnsi="Calibri"/>
          <w:noProof/>
          <w:color w:val="C00000"/>
          <w:sz w:val="20"/>
          <w:szCs w:val="20"/>
        </w:rPr>
        <w:t xml:space="preserve">nappropriate </w:t>
      </w:r>
      <w:r w:rsidR="00D2664B" w:rsidRPr="00920221">
        <w:rPr>
          <w:rFonts w:ascii="Calibri" w:hAnsi="Calibri"/>
          <w:noProof/>
          <w:color w:val="C00000"/>
          <w:sz w:val="20"/>
          <w:szCs w:val="20"/>
        </w:rPr>
        <w:t>a</w:t>
      </w:r>
      <w:r w:rsidRPr="00920221">
        <w:rPr>
          <w:rFonts w:ascii="Calibri" w:hAnsi="Calibri"/>
          <w:noProof/>
          <w:color w:val="C00000"/>
          <w:sz w:val="20"/>
          <w:szCs w:val="20"/>
        </w:rPr>
        <w:t xml:space="preserve">ntibiotics for </w:t>
      </w:r>
      <w:r w:rsidR="00D2664B" w:rsidRPr="00920221">
        <w:rPr>
          <w:rFonts w:ascii="Calibri" w:hAnsi="Calibri"/>
          <w:noProof/>
          <w:color w:val="C00000"/>
          <w:sz w:val="20"/>
          <w:szCs w:val="20"/>
        </w:rPr>
        <w:t>u</w:t>
      </w:r>
      <w:r w:rsidRPr="00920221">
        <w:rPr>
          <w:rFonts w:ascii="Calibri" w:hAnsi="Calibri"/>
          <w:noProof/>
          <w:color w:val="C00000"/>
          <w:sz w:val="20"/>
          <w:szCs w:val="20"/>
        </w:rPr>
        <w:t xml:space="preserve">rinary </w:t>
      </w:r>
      <w:r w:rsidR="00D2664B" w:rsidRPr="00920221">
        <w:rPr>
          <w:rFonts w:ascii="Calibri" w:hAnsi="Calibri"/>
          <w:noProof/>
          <w:color w:val="C00000"/>
          <w:sz w:val="20"/>
          <w:szCs w:val="20"/>
        </w:rPr>
        <w:t>t</w:t>
      </w:r>
      <w:r w:rsidRPr="00920221">
        <w:rPr>
          <w:rFonts w:ascii="Calibri" w:hAnsi="Calibri"/>
          <w:noProof/>
          <w:color w:val="C00000"/>
          <w:sz w:val="20"/>
          <w:szCs w:val="20"/>
        </w:rPr>
        <w:t xml:space="preserve">ract </w:t>
      </w:r>
      <w:r w:rsidR="00D2664B" w:rsidRPr="00920221">
        <w:rPr>
          <w:rFonts w:ascii="Calibri" w:hAnsi="Calibri"/>
          <w:noProof/>
          <w:color w:val="C00000"/>
          <w:sz w:val="20"/>
          <w:szCs w:val="20"/>
        </w:rPr>
        <w:t>i</w:t>
      </w:r>
      <w:r w:rsidRPr="00920221">
        <w:rPr>
          <w:rFonts w:ascii="Calibri" w:hAnsi="Calibri"/>
          <w:noProof/>
          <w:color w:val="C00000"/>
          <w:sz w:val="20"/>
          <w:szCs w:val="20"/>
        </w:rPr>
        <w:t xml:space="preserve">nfections in </w:t>
      </w:r>
      <w:r w:rsidR="00D2664B" w:rsidRPr="00920221">
        <w:rPr>
          <w:rFonts w:ascii="Calibri" w:hAnsi="Calibri"/>
          <w:noProof/>
          <w:color w:val="C00000"/>
          <w:sz w:val="20"/>
          <w:szCs w:val="20"/>
        </w:rPr>
        <w:t>l</w:t>
      </w:r>
      <w:r w:rsidRPr="00920221">
        <w:rPr>
          <w:rFonts w:ascii="Calibri" w:hAnsi="Calibri"/>
          <w:noProof/>
          <w:color w:val="C00000"/>
          <w:sz w:val="20"/>
          <w:szCs w:val="20"/>
        </w:rPr>
        <w:t>ong-</w:t>
      </w:r>
      <w:r w:rsidR="00D2664B" w:rsidRPr="00920221">
        <w:rPr>
          <w:rFonts w:ascii="Calibri" w:hAnsi="Calibri"/>
          <w:noProof/>
          <w:color w:val="C00000"/>
          <w:sz w:val="20"/>
          <w:szCs w:val="20"/>
        </w:rPr>
        <w:t>t</w:t>
      </w:r>
      <w:r w:rsidRPr="00920221">
        <w:rPr>
          <w:rFonts w:ascii="Calibri" w:hAnsi="Calibri"/>
          <w:noProof/>
          <w:color w:val="C00000"/>
          <w:sz w:val="20"/>
          <w:szCs w:val="20"/>
        </w:rPr>
        <w:t xml:space="preserve">erm </w:t>
      </w:r>
      <w:r w:rsidR="00D2664B" w:rsidRPr="00920221">
        <w:rPr>
          <w:rFonts w:ascii="Calibri" w:hAnsi="Calibri"/>
          <w:noProof/>
          <w:color w:val="C00000"/>
          <w:sz w:val="20"/>
          <w:szCs w:val="20"/>
        </w:rPr>
        <w:t>c</w:t>
      </w:r>
      <w:r w:rsidRPr="00920221">
        <w:rPr>
          <w:rFonts w:ascii="Calibri" w:hAnsi="Calibri"/>
          <w:noProof/>
          <w:color w:val="C00000"/>
          <w:sz w:val="20"/>
          <w:szCs w:val="20"/>
        </w:rPr>
        <w:t xml:space="preserve">are: A </w:t>
      </w:r>
      <w:r w:rsidR="00D2664B" w:rsidRPr="00920221">
        <w:rPr>
          <w:rFonts w:ascii="Calibri" w:hAnsi="Calibri"/>
          <w:noProof/>
          <w:color w:val="C00000"/>
          <w:sz w:val="20"/>
          <w:szCs w:val="20"/>
        </w:rPr>
        <w:t>r</w:t>
      </w:r>
      <w:r w:rsidRPr="00920221">
        <w:rPr>
          <w:rFonts w:ascii="Calibri" w:hAnsi="Calibri"/>
          <w:noProof/>
          <w:color w:val="C00000"/>
          <w:sz w:val="20"/>
          <w:szCs w:val="20"/>
        </w:rPr>
        <w:t xml:space="preserve">eplication </w:t>
      </w:r>
      <w:r w:rsidR="00D2664B" w:rsidRPr="00920221">
        <w:rPr>
          <w:rFonts w:ascii="Calibri" w:hAnsi="Calibri"/>
          <w:noProof/>
          <w:color w:val="C00000"/>
          <w:sz w:val="20"/>
          <w:szCs w:val="20"/>
        </w:rPr>
        <w:t>s</w:t>
      </w:r>
      <w:r w:rsidRPr="00920221">
        <w:rPr>
          <w:rFonts w:ascii="Calibri" w:hAnsi="Calibri"/>
          <w:noProof/>
          <w:color w:val="C00000"/>
          <w:sz w:val="20"/>
          <w:szCs w:val="20"/>
        </w:rPr>
        <w:t xml:space="preserve">tudy. </w:t>
      </w:r>
      <w:r w:rsidRPr="00920221">
        <w:rPr>
          <w:rFonts w:ascii="Calibri" w:hAnsi="Calibri"/>
          <w:i/>
          <w:iCs/>
          <w:noProof/>
          <w:color w:val="C00000"/>
          <w:sz w:val="20"/>
          <w:szCs w:val="20"/>
        </w:rPr>
        <w:t>J</w:t>
      </w:r>
      <w:r w:rsidR="002C1C32" w:rsidRPr="00920221">
        <w:rPr>
          <w:rFonts w:ascii="Calibri" w:hAnsi="Calibri"/>
          <w:i/>
          <w:iCs/>
          <w:noProof/>
          <w:color w:val="C00000"/>
          <w:sz w:val="20"/>
          <w:szCs w:val="20"/>
        </w:rPr>
        <w:t>ournal of</w:t>
      </w:r>
      <w:r w:rsidRPr="00920221">
        <w:rPr>
          <w:rFonts w:ascii="Calibri" w:hAnsi="Calibri"/>
          <w:i/>
          <w:iCs/>
          <w:noProof/>
          <w:color w:val="C00000"/>
          <w:sz w:val="20"/>
          <w:szCs w:val="20"/>
        </w:rPr>
        <w:t xml:space="preserve"> Nurs</w:t>
      </w:r>
      <w:r w:rsidR="002C1C32" w:rsidRPr="00920221">
        <w:rPr>
          <w:rFonts w:ascii="Calibri" w:hAnsi="Calibri"/>
          <w:i/>
          <w:iCs/>
          <w:noProof/>
          <w:color w:val="C00000"/>
          <w:sz w:val="20"/>
          <w:szCs w:val="20"/>
        </w:rPr>
        <w:t>ing</w:t>
      </w:r>
      <w:r w:rsidRPr="00920221">
        <w:rPr>
          <w:rFonts w:ascii="Calibri" w:hAnsi="Calibri"/>
          <w:i/>
          <w:iCs/>
          <w:noProof/>
          <w:color w:val="C00000"/>
          <w:sz w:val="20"/>
          <w:szCs w:val="20"/>
        </w:rPr>
        <w:t xml:space="preserve"> Care Qual</w:t>
      </w:r>
      <w:r w:rsidR="002C1C32" w:rsidRPr="00920221">
        <w:rPr>
          <w:rFonts w:ascii="Calibri" w:hAnsi="Calibri"/>
          <w:i/>
          <w:iCs/>
          <w:noProof/>
          <w:color w:val="C00000"/>
          <w:sz w:val="20"/>
          <w:szCs w:val="20"/>
        </w:rPr>
        <w:t>ity</w:t>
      </w:r>
      <w:r w:rsidRPr="00920221">
        <w:rPr>
          <w:rFonts w:ascii="Calibri" w:hAnsi="Calibri"/>
          <w:i/>
          <w:iCs/>
          <w:noProof/>
          <w:color w:val="C00000"/>
          <w:sz w:val="20"/>
          <w:szCs w:val="20"/>
        </w:rPr>
        <w:t>, 34</w:t>
      </w:r>
      <w:r w:rsidRPr="00920221">
        <w:rPr>
          <w:rFonts w:ascii="Calibri" w:hAnsi="Calibri"/>
          <w:noProof/>
          <w:color w:val="C00000"/>
          <w:sz w:val="20"/>
          <w:szCs w:val="20"/>
        </w:rPr>
        <w:t>(1), 16-21.</w:t>
      </w:r>
    </w:p>
    <w:p w14:paraId="7CC3C064" w14:textId="0B6488B6" w:rsidR="002A63FE" w:rsidRPr="0038014E" w:rsidRDefault="002A63FE" w:rsidP="005A0E2D">
      <w:pPr>
        <w:pStyle w:val="question"/>
        <w:spacing w:before="0" w:after="240"/>
        <w:ind w:left="792" w:right="0" w:hanging="360"/>
        <w:rPr>
          <w:color w:val="7030A0"/>
          <w:sz w:val="20"/>
          <w:szCs w:val="20"/>
        </w:rPr>
      </w:pPr>
      <w:proofErr w:type="spellStart"/>
      <w:r w:rsidRPr="0038014E">
        <w:rPr>
          <w:color w:val="7030A0"/>
          <w:sz w:val="20"/>
          <w:szCs w:val="20"/>
        </w:rPr>
        <w:t>Crnich</w:t>
      </w:r>
      <w:proofErr w:type="spellEnd"/>
      <w:r w:rsidRPr="0038014E">
        <w:rPr>
          <w:color w:val="7030A0"/>
          <w:sz w:val="20"/>
          <w:szCs w:val="20"/>
        </w:rPr>
        <w:t xml:space="preserve">, C. J. &amp; </w:t>
      </w:r>
      <w:proofErr w:type="spellStart"/>
      <w:r w:rsidRPr="0038014E">
        <w:rPr>
          <w:color w:val="7030A0"/>
          <w:sz w:val="20"/>
          <w:szCs w:val="20"/>
        </w:rPr>
        <w:t>Drinka</w:t>
      </w:r>
      <w:proofErr w:type="spellEnd"/>
      <w:r w:rsidRPr="0038014E">
        <w:rPr>
          <w:color w:val="7030A0"/>
          <w:sz w:val="20"/>
          <w:szCs w:val="20"/>
        </w:rPr>
        <w:t xml:space="preserve">, P. (2014). Improving the </w:t>
      </w:r>
      <w:r w:rsidR="00D2664B" w:rsidRPr="0038014E">
        <w:rPr>
          <w:color w:val="7030A0"/>
          <w:sz w:val="20"/>
          <w:szCs w:val="20"/>
        </w:rPr>
        <w:t>m</w:t>
      </w:r>
      <w:r w:rsidRPr="0038014E">
        <w:rPr>
          <w:color w:val="7030A0"/>
          <w:sz w:val="20"/>
          <w:szCs w:val="20"/>
        </w:rPr>
        <w:t xml:space="preserve">anagement of </w:t>
      </w:r>
      <w:r w:rsidR="00D2664B" w:rsidRPr="0038014E">
        <w:rPr>
          <w:color w:val="7030A0"/>
          <w:sz w:val="20"/>
          <w:szCs w:val="20"/>
        </w:rPr>
        <w:t>u</w:t>
      </w:r>
      <w:r w:rsidRPr="0038014E">
        <w:rPr>
          <w:color w:val="7030A0"/>
          <w:sz w:val="20"/>
          <w:szCs w:val="20"/>
        </w:rPr>
        <w:t xml:space="preserve">rinary </w:t>
      </w:r>
      <w:r w:rsidR="00D2664B" w:rsidRPr="0038014E">
        <w:rPr>
          <w:color w:val="7030A0"/>
          <w:sz w:val="20"/>
          <w:szCs w:val="20"/>
        </w:rPr>
        <w:t>t</w:t>
      </w:r>
      <w:r w:rsidRPr="0038014E">
        <w:rPr>
          <w:color w:val="7030A0"/>
          <w:sz w:val="20"/>
          <w:szCs w:val="20"/>
        </w:rPr>
        <w:t xml:space="preserve">ract Infections in </w:t>
      </w:r>
      <w:r w:rsidR="00D2664B" w:rsidRPr="0038014E">
        <w:rPr>
          <w:color w:val="7030A0"/>
          <w:sz w:val="20"/>
          <w:szCs w:val="20"/>
        </w:rPr>
        <w:t>n</w:t>
      </w:r>
      <w:r w:rsidRPr="0038014E">
        <w:rPr>
          <w:color w:val="7030A0"/>
          <w:sz w:val="20"/>
          <w:szCs w:val="20"/>
        </w:rPr>
        <w:t xml:space="preserve">ursing </w:t>
      </w:r>
      <w:r w:rsidR="00D2664B" w:rsidRPr="0038014E">
        <w:rPr>
          <w:color w:val="7030A0"/>
          <w:sz w:val="20"/>
          <w:szCs w:val="20"/>
        </w:rPr>
        <w:t>h</w:t>
      </w:r>
      <w:r w:rsidRPr="0038014E">
        <w:rPr>
          <w:color w:val="7030A0"/>
          <w:sz w:val="20"/>
          <w:szCs w:val="20"/>
        </w:rPr>
        <w:t xml:space="preserve">omes: It's </w:t>
      </w:r>
      <w:r w:rsidR="00D2664B" w:rsidRPr="0038014E">
        <w:rPr>
          <w:color w:val="7030A0"/>
          <w:sz w:val="20"/>
          <w:szCs w:val="20"/>
        </w:rPr>
        <w:t>t</w:t>
      </w:r>
      <w:r w:rsidRPr="0038014E">
        <w:rPr>
          <w:color w:val="7030A0"/>
          <w:sz w:val="20"/>
          <w:szCs w:val="20"/>
        </w:rPr>
        <w:t xml:space="preserve">ime to </w:t>
      </w:r>
      <w:r w:rsidR="00D2664B" w:rsidRPr="0038014E">
        <w:rPr>
          <w:color w:val="7030A0"/>
          <w:sz w:val="20"/>
          <w:szCs w:val="20"/>
        </w:rPr>
        <w:t>s</w:t>
      </w:r>
      <w:r w:rsidRPr="0038014E">
        <w:rPr>
          <w:color w:val="7030A0"/>
          <w:sz w:val="20"/>
          <w:szCs w:val="20"/>
        </w:rPr>
        <w:t xml:space="preserve">top the </w:t>
      </w:r>
      <w:r w:rsidR="00D2664B" w:rsidRPr="0038014E">
        <w:rPr>
          <w:color w:val="7030A0"/>
          <w:sz w:val="20"/>
          <w:szCs w:val="20"/>
        </w:rPr>
        <w:t>t</w:t>
      </w:r>
      <w:r w:rsidRPr="0038014E">
        <w:rPr>
          <w:color w:val="7030A0"/>
          <w:sz w:val="20"/>
          <w:szCs w:val="20"/>
        </w:rPr>
        <w:t xml:space="preserve">ail </w:t>
      </w:r>
      <w:r w:rsidR="006C429D" w:rsidRPr="0038014E">
        <w:rPr>
          <w:color w:val="7030A0"/>
          <w:sz w:val="20"/>
          <w:szCs w:val="20"/>
        </w:rPr>
        <w:t>f</w:t>
      </w:r>
      <w:r w:rsidRPr="0038014E">
        <w:rPr>
          <w:color w:val="7030A0"/>
          <w:sz w:val="20"/>
          <w:szCs w:val="20"/>
        </w:rPr>
        <w:t xml:space="preserve">rom </w:t>
      </w:r>
      <w:r w:rsidR="00D2664B" w:rsidRPr="0038014E">
        <w:rPr>
          <w:color w:val="7030A0"/>
          <w:sz w:val="20"/>
          <w:szCs w:val="20"/>
        </w:rPr>
        <w:t>w</w:t>
      </w:r>
      <w:r w:rsidRPr="0038014E">
        <w:rPr>
          <w:color w:val="7030A0"/>
          <w:sz w:val="20"/>
          <w:szCs w:val="20"/>
        </w:rPr>
        <w:t xml:space="preserve">agging the </w:t>
      </w:r>
      <w:r w:rsidR="00D2664B" w:rsidRPr="0038014E">
        <w:rPr>
          <w:color w:val="7030A0"/>
          <w:sz w:val="20"/>
          <w:szCs w:val="20"/>
        </w:rPr>
        <w:t>d</w:t>
      </w:r>
      <w:r w:rsidRPr="0038014E">
        <w:rPr>
          <w:color w:val="7030A0"/>
          <w:sz w:val="20"/>
          <w:szCs w:val="20"/>
        </w:rPr>
        <w:t xml:space="preserve">og." </w:t>
      </w:r>
      <w:r w:rsidRPr="0038014E">
        <w:rPr>
          <w:i/>
          <w:iCs w:val="0"/>
          <w:color w:val="7030A0"/>
          <w:sz w:val="20"/>
          <w:szCs w:val="20"/>
        </w:rPr>
        <w:t>Annals of Long Term Care: Clinical Care and Aging, 22</w:t>
      </w:r>
      <w:r w:rsidRPr="0038014E">
        <w:rPr>
          <w:color w:val="7030A0"/>
          <w:sz w:val="20"/>
          <w:szCs w:val="20"/>
        </w:rPr>
        <w:t>(9), 32-36.</w:t>
      </w:r>
    </w:p>
    <w:p w14:paraId="14168608" w14:textId="3673998C" w:rsidR="00E65D9E" w:rsidRPr="00920221" w:rsidRDefault="00E65D9E" w:rsidP="005A0E2D">
      <w:pPr>
        <w:spacing w:after="240"/>
        <w:ind w:left="792"/>
        <w:rPr>
          <w:rFonts w:ascii="Calibri" w:eastAsia="Times New Roman" w:hAnsi="Calibri" w:cs="Calibri"/>
          <w:color w:val="C00000"/>
          <w:sz w:val="20"/>
          <w:szCs w:val="20"/>
        </w:rPr>
      </w:pPr>
      <w:proofErr w:type="spellStart"/>
      <w:r w:rsidRPr="00920221">
        <w:rPr>
          <w:rFonts w:ascii="Calibri" w:eastAsia="Times New Roman" w:hAnsi="Calibri" w:cs="Calibri"/>
          <w:color w:val="C00000"/>
          <w:sz w:val="20"/>
          <w:szCs w:val="20"/>
        </w:rPr>
        <w:t>Detweiler</w:t>
      </w:r>
      <w:proofErr w:type="spellEnd"/>
      <w:r w:rsidRPr="00920221">
        <w:rPr>
          <w:rFonts w:ascii="Calibri" w:eastAsia="Times New Roman" w:hAnsi="Calibri" w:cs="Calibri"/>
          <w:color w:val="C00000"/>
          <w:sz w:val="20"/>
          <w:szCs w:val="20"/>
        </w:rPr>
        <w:t xml:space="preserve">, K., </w:t>
      </w:r>
      <w:proofErr w:type="spellStart"/>
      <w:r w:rsidRPr="00920221">
        <w:rPr>
          <w:rFonts w:ascii="Calibri" w:eastAsia="Times New Roman" w:hAnsi="Calibri" w:cs="Calibri"/>
          <w:color w:val="C00000"/>
          <w:sz w:val="20"/>
          <w:szCs w:val="20"/>
        </w:rPr>
        <w:t>Mayers</w:t>
      </w:r>
      <w:proofErr w:type="spellEnd"/>
      <w:r w:rsidRPr="00920221">
        <w:rPr>
          <w:rFonts w:ascii="Calibri" w:eastAsia="Times New Roman" w:hAnsi="Calibri" w:cs="Calibri"/>
          <w:color w:val="C00000"/>
          <w:sz w:val="20"/>
          <w:szCs w:val="20"/>
        </w:rPr>
        <w:t xml:space="preserve">, D., &amp; Fletcher, S. G. (2015). </w:t>
      </w:r>
      <w:r w:rsidR="00A75C8F" w:rsidRPr="00920221">
        <w:rPr>
          <w:rFonts w:ascii="Calibri" w:eastAsia="Times New Roman" w:hAnsi="Calibri" w:cs="Calibri"/>
          <w:color w:val="C00000"/>
          <w:sz w:val="20"/>
          <w:szCs w:val="20"/>
        </w:rPr>
        <w:t>Bacteriuria</w:t>
      </w:r>
      <w:r w:rsidRPr="00920221">
        <w:rPr>
          <w:rFonts w:ascii="Calibri" w:eastAsia="Times New Roman" w:hAnsi="Calibri" w:cs="Calibri"/>
          <w:color w:val="C00000"/>
          <w:sz w:val="20"/>
          <w:szCs w:val="20"/>
        </w:rPr>
        <w:t xml:space="preserve"> and urinary tract infections in the elderly. </w:t>
      </w:r>
      <w:r w:rsidRPr="00920221">
        <w:rPr>
          <w:rFonts w:ascii="Calibri" w:eastAsia="Times New Roman" w:hAnsi="Calibri" w:cs="Calibri"/>
          <w:i/>
          <w:iCs/>
          <w:color w:val="C00000"/>
          <w:sz w:val="20"/>
          <w:szCs w:val="20"/>
        </w:rPr>
        <w:t>Urologic Clinics</w:t>
      </w:r>
      <w:r w:rsidR="002C1C32" w:rsidRPr="00920221">
        <w:rPr>
          <w:rFonts w:ascii="Calibri" w:eastAsia="Times New Roman" w:hAnsi="Calibri" w:cs="Calibri"/>
          <w:i/>
          <w:iCs/>
          <w:color w:val="C00000"/>
          <w:sz w:val="20"/>
          <w:szCs w:val="20"/>
        </w:rPr>
        <w:t xml:space="preserve"> of North America</w:t>
      </w:r>
      <w:r w:rsidRPr="00920221">
        <w:rPr>
          <w:rFonts w:ascii="Calibri" w:eastAsia="Times New Roman" w:hAnsi="Calibri" w:cs="Calibri"/>
          <w:i/>
          <w:iCs/>
          <w:color w:val="C00000"/>
          <w:sz w:val="20"/>
          <w:szCs w:val="20"/>
        </w:rPr>
        <w:t>, 42</w:t>
      </w:r>
      <w:r w:rsidRPr="00920221">
        <w:rPr>
          <w:rFonts w:ascii="Calibri" w:eastAsia="Times New Roman" w:hAnsi="Calibri" w:cs="Calibri"/>
          <w:color w:val="C00000"/>
          <w:sz w:val="20"/>
          <w:szCs w:val="20"/>
        </w:rPr>
        <w:t>(4), 561-568.</w:t>
      </w:r>
    </w:p>
    <w:p w14:paraId="1B94726A" w14:textId="2B126E08" w:rsidR="00E1219C" w:rsidRPr="00920221" w:rsidRDefault="0080433A" w:rsidP="005A0E2D">
      <w:pPr>
        <w:spacing w:after="240"/>
        <w:ind w:left="792"/>
        <w:rPr>
          <w:rFonts w:ascii="Calibri" w:eastAsia="Times New Roman" w:hAnsi="Calibri" w:cs="Calibri"/>
          <w:color w:val="C00000"/>
          <w:sz w:val="20"/>
          <w:szCs w:val="20"/>
        </w:rPr>
      </w:pPr>
      <w:proofErr w:type="spellStart"/>
      <w:r w:rsidRPr="00920221">
        <w:rPr>
          <w:rFonts w:ascii="Calibri" w:eastAsia="Times New Roman" w:hAnsi="Calibri" w:cs="Calibri"/>
          <w:color w:val="C00000"/>
          <w:sz w:val="20"/>
          <w:szCs w:val="20"/>
        </w:rPr>
        <w:t>Gradwohl</w:t>
      </w:r>
      <w:proofErr w:type="spellEnd"/>
      <w:r w:rsidRPr="00920221">
        <w:rPr>
          <w:rFonts w:ascii="Calibri" w:eastAsia="Times New Roman" w:hAnsi="Calibri" w:cs="Calibri"/>
          <w:color w:val="C00000"/>
          <w:sz w:val="20"/>
          <w:szCs w:val="20"/>
        </w:rPr>
        <w:t xml:space="preserve"> S</w:t>
      </w:r>
      <w:r w:rsidR="003B6356" w:rsidRPr="00920221">
        <w:rPr>
          <w:rFonts w:ascii="Calibri" w:eastAsia="Times New Roman" w:hAnsi="Calibri" w:cs="Calibri"/>
          <w:color w:val="C00000"/>
          <w:sz w:val="20"/>
          <w:szCs w:val="20"/>
        </w:rPr>
        <w:t>.</w:t>
      </w:r>
      <w:r w:rsidRPr="00920221">
        <w:rPr>
          <w:rFonts w:ascii="Calibri" w:eastAsia="Times New Roman" w:hAnsi="Calibri" w:cs="Calibri"/>
          <w:color w:val="C00000"/>
          <w:sz w:val="20"/>
          <w:szCs w:val="20"/>
        </w:rPr>
        <w:t>E</w:t>
      </w:r>
      <w:r w:rsidR="003B6356" w:rsidRPr="00920221">
        <w:rPr>
          <w:rFonts w:ascii="Calibri" w:eastAsia="Times New Roman" w:hAnsi="Calibri" w:cs="Calibri"/>
          <w:color w:val="C00000"/>
          <w:sz w:val="20"/>
          <w:szCs w:val="20"/>
        </w:rPr>
        <w:t>.</w:t>
      </w:r>
      <w:r w:rsidRPr="00920221">
        <w:rPr>
          <w:rFonts w:ascii="Calibri" w:eastAsia="Times New Roman" w:hAnsi="Calibri" w:cs="Calibri"/>
          <w:color w:val="C00000"/>
          <w:sz w:val="20"/>
          <w:szCs w:val="20"/>
        </w:rPr>
        <w:t xml:space="preserve">, </w:t>
      </w:r>
      <w:proofErr w:type="spellStart"/>
      <w:r w:rsidR="009309DB" w:rsidRPr="00920221">
        <w:rPr>
          <w:rFonts w:ascii="Calibri" w:eastAsia="Times New Roman" w:hAnsi="Calibri" w:cs="Calibri"/>
          <w:color w:val="C00000"/>
          <w:sz w:val="20"/>
          <w:szCs w:val="20"/>
        </w:rPr>
        <w:t>Bettcher</w:t>
      </w:r>
      <w:proofErr w:type="spellEnd"/>
      <w:r w:rsidR="009309DB" w:rsidRPr="00920221">
        <w:rPr>
          <w:rFonts w:ascii="Calibri" w:eastAsia="Times New Roman" w:hAnsi="Calibri" w:cs="Calibri"/>
          <w:color w:val="C00000"/>
          <w:sz w:val="20"/>
          <w:szCs w:val="20"/>
        </w:rPr>
        <w:t>, C.M</w:t>
      </w:r>
      <w:r w:rsidR="00543D95" w:rsidRPr="00920221">
        <w:rPr>
          <w:rFonts w:ascii="Calibri" w:eastAsia="Times New Roman" w:hAnsi="Calibri" w:cs="Calibri"/>
          <w:color w:val="C00000"/>
          <w:sz w:val="20"/>
          <w:szCs w:val="20"/>
        </w:rPr>
        <w:t>.</w:t>
      </w:r>
      <w:r w:rsidR="009309DB" w:rsidRPr="00920221">
        <w:rPr>
          <w:rFonts w:ascii="Calibri" w:eastAsia="Times New Roman" w:hAnsi="Calibri" w:cs="Calibri"/>
          <w:color w:val="C00000"/>
          <w:sz w:val="20"/>
          <w:szCs w:val="20"/>
        </w:rPr>
        <w:t xml:space="preserve">, </w:t>
      </w:r>
      <w:r w:rsidRPr="00920221">
        <w:rPr>
          <w:rFonts w:ascii="Calibri" w:eastAsia="Times New Roman" w:hAnsi="Calibri" w:cs="Calibri"/>
          <w:color w:val="C00000"/>
          <w:sz w:val="20"/>
          <w:szCs w:val="20"/>
        </w:rPr>
        <w:t>Chenoweth C</w:t>
      </w:r>
      <w:r w:rsidR="00543D95" w:rsidRPr="00920221">
        <w:rPr>
          <w:rFonts w:ascii="Calibri" w:eastAsia="Times New Roman" w:hAnsi="Calibri" w:cs="Calibri"/>
          <w:color w:val="C00000"/>
          <w:sz w:val="20"/>
          <w:szCs w:val="20"/>
        </w:rPr>
        <w:t>.</w:t>
      </w:r>
      <w:r w:rsidRPr="00920221">
        <w:rPr>
          <w:rFonts w:ascii="Calibri" w:eastAsia="Times New Roman" w:hAnsi="Calibri" w:cs="Calibri"/>
          <w:color w:val="C00000"/>
          <w:sz w:val="20"/>
          <w:szCs w:val="20"/>
        </w:rPr>
        <w:t>E</w:t>
      </w:r>
      <w:r w:rsidR="00543D95" w:rsidRPr="00920221">
        <w:rPr>
          <w:rFonts w:ascii="Calibri" w:eastAsia="Times New Roman" w:hAnsi="Calibri" w:cs="Calibri"/>
          <w:color w:val="C00000"/>
          <w:sz w:val="20"/>
          <w:szCs w:val="20"/>
        </w:rPr>
        <w:t>.</w:t>
      </w:r>
      <w:r w:rsidRPr="00920221">
        <w:rPr>
          <w:rFonts w:ascii="Calibri" w:eastAsia="Times New Roman" w:hAnsi="Calibri" w:cs="Calibri"/>
          <w:color w:val="C00000"/>
          <w:sz w:val="20"/>
          <w:szCs w:val="20"/>
        </w:rPr>
        <w:t xml:space="preserve">, </w:t>
      </w:r>
      <w:r w:rsidR="00D2664B" w:rsidRPr="00920221">
        <w:rPr>
          <w:rFonts w:ascii="Calibri" w:eastAsia="Times New Roman" w:hAnsi="Calibri" w:cs="Calibri"/>
          <w:color w:val="C00000"/>
          <w:sz w:val="20"/>
          <w:szCs w:val="20"/>
        </w:rPr>
        <w:t xml:space="preserve">Van </w:t>
      </w:r>
      <w:r w:rsidRPr="00920221">
        <w:rPr>
          <w:rFonts w:ascii="Calibri" w:eastAsia="Times New Roman" w:hAnsi="Calibri" w:cs="Calibri"/>
          <w:color w:val="C00000"/>
          <w:sz w:val="20"/>
          <w:szCs w:val="20"/>
        </w:rPr>
        <w:t>Harrison R</w:t>
      </w:r>
      <w:r w:rsidR="00543D95" w:rsidRPr="00920221">
        <w:rPr>
          <w:rFonts w:ascii="Calibri" w:eastAsia="Times New Roman" w:hAnsi="Calibri" w:cs="Calibri"/>
          <w:color w:val="C00000"/>
          <w:sz w:val="20"/>
          <w:szCs w:val="20"/>
        </w:rPr>
        <w:t>.</w:t>
      </w:r>
      <w:r w:rsidRPr="00920221">
        <w:rPr>
          <w:rFonts w:ascii="Calibri" w:eastAsia="Times New Roman" w:hAnsi="Calibri" w:cs="Calibri"/>
          <w:color w:val="C00000"/>
          <w:sz w:val="20"/>
          <w:szCs w:val="20"/>
        </w:rPr>
        <w:t>,</w:t>
      </w:r>
      <w:r w:rsidR="009E1035" w:rsidRPr="00920221">
        <w:rPr>
          <w:rFonts w:ascii="Calibri" w:eastAsia="Times New Roman" w:hAnsi="Calibri" w:cs="Calibri"/>
          <w:color w:val="C00000"/>
          <w:sz w:val="20"/>
          <w:szCs w:val="20"/>
        </w:rPr>
        <w:t xml:space="preserve"> &amp;</w:t>
      </w:r>
      <w:r w:rsidRPr="00920221">
        <w:rPr>
          <w:rFonts w:ascii="Calibri" w:eastAsia="Times New Roman" w:hAnsi="Calibri" w:cs="Calibri"/>
          <w:color w:val="C00000"/>
          <w:sz w:val="20"/>
          <w:szCs w:val="20"/>
        </w:rPr>
        <w:t xml:space="preserve"> </w:t>
      </w:r>
      <w:proofErr w:type="spellStart"/>
      <w:r w:rsidRPr="00920221">
        <w:rPr>
          <w:rFonts w:ascii="Calibri" w:eastAsia="Times New Roman" w:hAnsi="Calibri" w:cs="Calibri"/>
          <w:color w:val="C00000"/>
          <w:sz w:val="20"/>
          <w:szCs w:val="20"/>
        </w:rPr>
        <w:t>Zoschnick</w:t>
      </w:r>
      <w:proofErr w:type="spellEnd"/>
      <w:r w:rsidRPr="00920221">
        <w:rPr>
          <w:rFonts w:ascii="Calibri" w:eastAsia="Times New Roman" w:hAnsi="Calibri" w:cs="Calibri"/>
          <w:color w:val="C00000"/>
          <w:sz w:val="20"/>
          <w:szCs w:val="20"/>
        </w:rPr>
        <w:t xml:space="preserve"> L</w:t>
      </w:r>
      <w:r w:rsidR="00543D95" w:rsidRPr="00920221">
        <w:rPr>
          <w:rFonts w:ascii="Calibri" w:eastAsia="Times New Roman" w:hAnsi="Calibri" w:cs="Calibri"/>
          <w:color w:val="C00000"/>
          <w:sz w:val="20"/>
          <w:szCs w:val="20"/>
        </w:rPr>
        <w:t>.</w:t>
      </w:r>
      <w:r w:rsidRPr="00920221">
        <w:rPr>
          <w:rFonts w:ascii="Calibri" w:eastAsia="Times New Roman" w:hAnsi="Calibri" w:cs="Calibri"/>
          <w:color w:val="C00000"/>
          <w:sz w:val="20"/>
          <w:szCs w:val="20"/>
        </w:rPr>
        <w:t>B. (</w:t>
      </w:r>
      <w:r w:rsidR="009309DB" w:rsidRPr="00920221">
        <w:rPr>
          <w:rFonts w:ascii="Calibri" w:eastAsia="Times New Roman" w:hAnsi="Calibri" w:cs="Calibri"/>
          <w:color w:val="C00000"/>
          <w:sz w:val="20"/>
          <w:szCs w:val="20"/>
        </w:rPr>
        <w:t>2016</w:t>
      </w:r>
      <w:r w:rsidRPr="00920221">
        <w:rPr>
          <w:rFonts w:ascii="Calibri" w:eastAsia="Times New Roman" w:hAnsi="Calibri" w:cs="Calibri"/>
          <w:color w:val="C00000"/>
          <w:sz w:val="20"/>
          <w:szCs w:val="20"/>
        </w:rPr>
        <w:t>).</w:t>
      </w:r>
      <w:r w:rsidR="00D2664B" w:rsidRPr="00920221">
        <w:rPr>
          <w:rFonts w:ascii="Calibri" w:eastAsia="Times New Roman" w:hAnsi="Calibri" w:cs="Calibri"/>
          <w:color w:val="C00000"/>
          <w:sz w:val="20"/>
          <w:szCs w:val="20"/>
        </w:rPr>
        <w:t xml:space="preserve"> Michigan Medicine</w:t>
      </w:r>
      <w:r w:rsidRPr="00920221">
        <w:rPr>
          <w:rFonts w:ascii="Calibri" w:eastAsia="Times New Roman" w:hAnsi="Calibri" w:cs="Calibri"/>
          <w:color w:val="C00000"/>
          <w:sz w:val="20"/>
          <w:szCs w:val="20"/>
        </w:rPr>
        <w:t xml:space="preserve">: </w:t>
      </w:r>
      <w:r w:rsidR="00D2664B" w:rsidRPr="00920221">
        <w:rPr>
          <w:rFonts w:ascii="Calibri" w:eastAsia="Times New Roman" w:hAnsi="Calibri" w:cs="Calibri"/>
          <w:color w:val="C00000"/>
          <w:sz w:val="20"/>
          <w:szCs w:val="20"/>
        </w:rPr>
        <w:t>U</w:t>
      </w:r>
      <w:r w:rsidRPr="00920221">
        <w:rPr>
          <w:rFonts w:ascii="Calibri" w:eastAsia="Times New Roman" w:hAnsi="Calibri" w:cs="Calibri"/>
          <w:color w:val="C00000"/>
          <w:sz w:val="20"/>
          <w:szCs w:val="20"/>
        </w:rPr>
        <w:t>rinary tract infection</w:t>
      </w:r>
      <w:r w:rsidR="003B6356" w:rsidRPr="00920221">
        <w:rPr>
          <w:rFonts w:ascii="Calibri" w:eastAsia="Times New Roman" w:hAnsi="Calibri" w:cs="Calibri"/>
          <w:color w:val="C00000"/>
          <w:sz w:val="20"/>
          <w:szCs w:val="20"/>
        </w:rPr>
        <w:t xml:space="preserve"> [PDF]</w:t>
      </w:r>
      <w:r w:rsidRPr="00920221">
        <w:rPr>
          <w:rFonts w:ascii="Calibri" w:eastAsia="Times New Roman" w:hAnsi="Calibri" w:cs="Calibri"/>
          <w:color w:val="C00000"/>
          <w:sz w:val="20"/>
          <w:szCs w:val="20"/>
        </w:rPr>
        <w:t xml:space="preserve">. </w:t>
      </w:r>
      <w:r w:rsidR="00A75C8F" w:rsidRPr="00920221">
        <w:rPr>
          <w:rFonts w:ascii="Calibri" w:eastAsia="Times New Roman" w:hAnsi="Calibri" w:cs="Calibri"/>
          <w:color w:val="C00000"/>
          <w:sz w:val="20"/>
          <w:szCs w:val="20"/>
        </w:rPr>
        <w:t>Retrieved from</w:t>
      </w:r>
      <w:r w:rsidRPr="00920221">
        <w:rPr>
          <w:rFonts w:ascii="Calibri" w:eastAsia="Times New Roman" w:hAnsi="Calibri" w:cs="Calibri"/>
          <w:color w:val="C00000"/>
          <w:sz w:val="20"/>
          <w:szCs w:val="20"/>
        </w:rPr>
        <w:t xml:space="preserve"> </w:t>
      </w:r>
      <w:hyperlink r:id="rId15" w:history="1">
        <w:r w:rsidR="002A63FE" w:rsidRPr="00920221">
          <w:rPr>
            <w:rStyle w:val="Hyperlink"/>
            <w:rFonts w:ascii="Calibri" w:eastAsia="Times New Roman" w:hAnsi="Calibri" w:cs="Calibri"/>
            <w:color w:val="C00000"/>
            <w:sz w:val="20"/>
            <w:szCs w:val="20"/>
          </w:rPr>
          <w:t>http://www.med.umich.edu/1info/FHP/practiceguides/uti/uti.pdf</w:t>
        </w:r>
      </w:hyperlink>
    </w:p>
    <w:p w14:paraId="755BF073" w14:textId="77777777" w:rsidR="002A63FE" w:rsidRPr="00920221" w:rsidRDefault="002A63FE" w:rsidP="005A0E2D">
      <w:pPr>
        <w:spacing w:after="240"/>
        <w:ind w:left="792"/>
        <w:rPr>
          <w:rFonts w:ascii="Calibri" w:eastAsia="Times New Roman" w:hAnsi="Calibri" w:cs="Calibri"/>
          <w:color w:val="C00000"/>
          <w:sz w:val="20"/>
          <w:szCs w:val="20"/>
        </w:rPr>
      </w:pPr>
      <w:proofErr w:type="spellStart"/>
      <w:r w:rsidRPr="00920221">
        <w:rPr>
          <w:rFonts w:ascii="Calibri" w:eastAsia="Times New Roman" w:hAnsi="Calibri" w:cs="Calibri"/>
          <w:color w:val="C00000"/>
          <w:sz w:val="20"/>
          <w:szCs w:val="20"/>
        </w:rPr>
        <w:t>Gucwa</w:t>
      </w:r>
      <w:proofErr w:type="spellEnd"/>
      <w:r w:rsidRPr="00920221">
        <w:rPr>
          <w:rFonts w:ascii="Calibri" w:eastAsia="Times New Roman" w:hAnsi="Calibri" w:cs="Calibri"/>
          <w:color w:val="C00000"/>
          <w:sz w:val="20"/>
          <w:szCs w:val="20"/>
        </w:rPr>
        <w:t xml:space="preserve">, A. L., </w:t>
      </w:r>
      <w:proofErr w:type="spellStart"/>
      <w:r w:rsidRPr="00920221">
        <w:rPr>
          <w:rFonts w:ascii="Calibri" w:eastAsia="Times New Roman" w:hAnsi="Calibri" w:cs="Calibri"/>
          <w:color w:val="C00000"/>
          <w:sz w:val="20"/>
          <w:szCs w:val="20"/>
        </w:rPr>
        <w:t>Dolar</w:t>
      </w:r>
      <w:proofErr w:type="spellEnd"/>
      <w:r w:rsidRPr="00920221">
        <w:rPr>
          <w:rFonts w:ascii="Calibri" w:eastAsia="Times New Roman" w:hAnsi="Calibri" w:cs="Calibri"/>
          <w:color w:val="C00000"/>
          <w:sz w:val="20"/>
          <w:szCs w:val="20"/>
        </w:rPr>
        <w:t>, V., Ye, C., &amp; Epstein, S. (2016). Correlations between quality ratings of skilled nursing facilities and multidrug-resistant urinary tract infections.</w:t>
      </w:r>
      <w:r w:rsidRPr="00920221">
        <w:rPr>
          <w:rFonts w:ascii="Calibri" w:eastAsia="Times New Roman" w:hAnsi="Calibri" w:cs="Calibri"/>
          <w:i/>
          <w:iCs/>
          <w:color w:val="C00000"/>
          <w:sz w:val="20"/>
          <w:szCs w:val="20"/>
        </w:rPr>
        <w:t xml:space="preserve"> American Journal of Infection Control, 44</w:t>
      </w:r>
      <w:r w:rsidRPr="00920221">
        <w:rPr>
          <w:rFonts w:ascii="Calibri" w:eastAsia="Times New Roman" w:hAnsi="Calibri" w:cs="Calibri"/>
          <w:color w:val="C00000"/>
          <w:sz w:val="20"/>
          <w:szCs w:val="20"/>
        </w:rPr>
        <w:t>(11), 1256-1260.</w:t>
      </w:r>
    </w:p>
    <w:p w14:paraId="4C7174DE" w14:textId="0C8EE56E" w:rsidR="00F66EE7" w:rsidRPr="0038014E" w:rsidRDefault="00F66EE7" w:rsidP="005A0E2D">
      <w:pPr>
        <w:spacing w:after="240"/>
        <w:ind w:left="792"/>
        <w:rPr>
          <w:rFonts w:ascii="Calibri" w:eastAsia="Times New Roman" w:hAnsi="Calibri" w:cs="Calibri"/>
          <w:color w:val="7030A0"/>
          <w:sz w:val="20"/>
          <w:szCs w:val="20"/>
        </w:rPr>
      </w:pPr>
      <w:proofErr w:type="spellStart"/>
      <w:r w:rsidRPr="0038014E">
        <w:rPr>
          <w:rFonts w:ascii="Calibri" w:eastAsia="Times New Roman" w:hAnsi="Calibri" w:cs="Calibri"/>
          <w:color w:val="7030A0"/>
          <w:sz w:val="20"/>
          <w:szCs w:val="20"/>
        </w:rPr>
        <w:lastRenderedPageBreak/>
        <w:t>Herzig</w:t>
      </w:r>
      <w:proofErr w:type="spellEnd"/>
      <w:r w:rsidRPr="0038014E">
        <w:rPr>
          <w:rFonts w:ascii="Calibri" w:eastAsia="Times New Roman" w:hAnsi="Calibri" w:cs="Calibri"/>
          <w:color w:val="7030A0"/>
          <w:sz w:val="20"/>
          <w:szCs w:val="20"/>
        </w:rPr>
        <w:t xml:space="preserve">, C., </w:t>
      </w:r>
      <w:r w:rsidR="009E1035" w:rsidRPr="0038014E">
        <w:rPr>
          <w:rFonts w:ascii="Calibri" w:eastAsia="Times New Roman" w:hAnsi="Calibri" w:cs="Calibri"/>
          <w:color w:val="7030A0"/>
          <w:sz w:val="20"/>
          <w:szCs w:val="20"/>
        </w:rPr>
        <w:t>Dick, A., Castle, N., &amp; Stone, P.</w:t>
      </w:r>
      <w:r w:rsidRPr="0038014E">
        <w:rPr>
          <w:rFonts w:ascii="Calibri" w:eastAsia="Times New Roman" w:hAnsi="Calibri" w:cs="Calibri"/>
          <w:color w:val="7030A0"/>
          <w:sz w:val="20"/>
          <w:szCs w:val="20"/>
        </w:rPr>
        <w:t xml:space="preserve"> (2016). Policies and </w:t>
      </w:r>
      <w:r w:rsidR="000A37C3" w:rsidRPr="0038014E">
        <w:rPr>
          <w:rFonts w:ascii="Calibri" w:eastAsia="Times New Roman" w:hAnsi="Calibri" w:cs="Calibri"/>
          <w:color w:val="7030A0"/>
          <w:sz w:val="20"/>
          <w:szCs w:val="20"/>
        </w:rPr>
        <w:t>p</w:t>
      </w:r>
      <w:r w:rsidRPr="0038014E">
        <w:rPr>
          <w:rFonts w:ascii="Calibri" w:eastAsia="Times New Roman" w:hAnsi="Calibri" w:cs="Calibri"/>
          <w:color w:val="7030A0"/>
          <w:sz w:val="20"/>
          <w:szCs w:val="20"/>
        </w:rPr>
        <w:t xml:space="preserve">ractices to </w:t>
      </w:r>
      <w:r w:rsidR="000A37C3" w:rsidRPr="0038014E">
        <w:rPr>
          <w:rFonts w:ascii="Calibri" w:eastAsia="Times New Roman" w:hAnsi="Calibri" w:cs="Calibri"/>
          <w:color w:val="7030A0"/>
          <w:sz w:val="20"/>
          <w:szCs w:val="20"/>
        </w:rPr>
        <w:t>r</w:t>
      </w:r>
      <w:r w:rsidRPr="0038014E">
        <w:rPr>
          <w:rFonts w:ascii="Calibri" w:eastAsia="Times New Roman" w:hAnsi="Calibri" w:cs="Calibri"/>
          <w:color w:val="7030A0"/>
          <w:sz w:val="20"/>
          <w:szCs w:val="20"/>
        </w:rPr>
        <w:t xml:space="preserve">educe </w:t>
      </w:r>
      <w:r w:rsidR="000A37C3" w:rsidRPr="0038014E">
        <w:rPr>
          <w:rFonts w:ascii="Calibri" w:eastAsia="Times New Roman" w:hAnsi="Calibri" w:cs="Calibri"/>
          <w:color w:val="7030A0"/>
          <w:sz w:val="20"/>
          <w:szCs w:val="20"/>
        </w:rPr>
        <w:t>u</w:t>
      </w:r>
      <w:r w:rsidRPr="0038014E">
        <w:rPr>
          <w:rFonts w:ascii="Calibri" w:eastAsia="Times New Roman" w:hAnsi="Calibri" w:cs="Calibri"/>
          <w:color w:val="7030A0"/>
          <w:sz w:val="20"/>
          <w:szCs w:val="20"/>
        </w:rPr>
        <w:t xml:space="preserve">rinary </w:t>
      </w:r>
      <w:r w:rsidR="000A37C3" w:rsidRPr="0038014E">
        <w:rPr>
          <w:rFonts w:ascii="Calibri" w:eastAsia="Times New Roman" w:hAnsi="Calibri" w:cs="Calibri"/>
          <w:color w:val="7030A0"/>
          <w:sz w:val="20"/>
          <w:szCs w:val="20"/>
        </w:rPr>
        <w:t>t</w:t>
      </w:r>
      <w:r w:rsidRPr="0038014E">
        <w:rPr>
          <w:rFonts w:ascii="Calibri" w:eastAsia="Times New Roman" w:hAnsi="Calibri" w:cs="Calibri"/>
          <w:color w:val="7030A0"/>
          <w:sz w:val="20"/>
          <w:szCs w:val="20"/>
        </w:rPr>
        <w:t xml:space="preserve">ract </w:t>
      </w:r>
      <w:r w:rsidR="000A37C3" w:rsidRPr="0038014E">
        <w:rPr>
          <w:rFonts w:ascii="Calibri" w:eastAsia="Times New Roman" w:hAnsi="Calibri" w:cs="Calibri"/>
          <w:color w:val="7030A0"/>
          <w:sz w:val="20"/>
          <w:szCs w:val="20"/>
        </w:rPr>
        <w:t>i</w:t>
      </w:r>
      <w:r w:rsidRPr="0038014E">
        <w:rPr>
          <w:rFonts w:ascii="Calibri" w:eastAsia="Times New Roman" w:hAnsi="Calibri" w:cs="Calibri"/>
          <w:color w:val="7030A0"/>
          <w:sz w:val="20"/>
          <w:szCs w:val="20"/>
        </w:rPr>
        <w:t xml:space="preserve">nfections in </w:t>
      </w:r>
      <w:r w:rsidR="000A37C3" w:rsidRPr="0038014E">
        <w:rPr>
          <w:rFonts w:ascii="Calibri" w:eastAsia="Times New Roman" w:hAnsi="Calibri" w:cs="Calibri"/>
          <w:color w:val="7030A0"/>
          <w:sz w:val="20"/>
          <w:szCs w:val="20"/>
        </w:rPr>
        <w:t>n</w:t>
      </w:r>
      <w:r w:rsidRPr="0038014E">
        <w:rPr>
          <w:rFonts w:ascii="Calibri" w:eastAsia="Times New Roman" w:hAnsi="Calibri" w:cs="Calibri"/>
          <w:color w:val="7030A0"/>
          <w:sz w:val="20"/>
          <w:szCs w:val="20"/>
        </w:rPr>
        <w:t xml:space="preserve">ursing </w:t>
      </w:r>
      <w:r w:rsidR="000A37C3" w:rsidRPr="0038014E">
        <w:rPr>
          <w:rFonts w:ascii="Calibri" w:eastAsia="Times New Roman" w:hAnsi="Calibri" w:cs="Calibri"/>
          <w:color w:val="7030A0"/>
          <w:sz w:val="20"/>
          <w:szCs w:val="20"/>
        </w:rPr>
        <w:t>h</w:t>
      </w:r>
      <w:r w:rsidRPr="0038014E">
        <w:rPr>
          <w:rFonts w:ascii="Calibri" w:eastAsia="Times New Roman" w:hAnsi="Calibri" w:cs="Calibri"/>
          <w:color w:val="7030A0"/>
          <w:sz w:val="20"/>
          <w:szCs w:val="20"/>
        </w:rPr>
        <w:t>omes</w:t>
      </w:r>
      <w:r w:rsidR="000A37C3" w:rsidRPr="0038014E">
        <w:rPr>
          <w:rFonts w:ascii="Calibri" w:eastAsia="Times New Roman" w:hAnsi="Calibri" w:cs="Calibri"/>
          <w:color w:val="7030A0"/>
          <w:sz w:val="20"/>
          <w:szCs w:val="20"/>
        </w:rPr>
        <w:t xml:space="preserve"> [Abstract].</w:t>
      </w:r>
      <w:r w:rsidRPr="0038014E">
        <w:rPr>
          <w:rFonts w:ascii="Calibri" w:eastAsia="Times New Roman" w:hAnsi="Calibri" w:cs="Calibri"/>
          <w:color w:val="7030A0"/>
          <w:sz w:val="20"/>
          <w:szCs w:val="20"/>
        </w:rPr>
        <w:t xml:space="preserve"> </w:t>
      </w:r>
      <w:r w:rsidRPr="0038014E">
        <w:rPr>
          <w:rFonts w:ascii="Calibri" w:eastAsia="Times New Roman" w:hAnsi="Calibri" w:cs="Calibri"/>
          <w:i/>
          <w:iCs/>
          <w:color w:val="7030A0"/>
          <w:sz w:val="20"/>
          <w:szCs w:val="20"/>
        </w:rPr>
        <w:t>Am</w:t>
      </w:r>
      <w:r w:rsidR="002C1C32" w:rsidRPr="0038014E">
        <w:rPr>
          <w:rFonts w:ascii="Calibri" w:eastAsia="Times New Roman" w:hAnsi="Calibri" w:cs="Calibri"/>
          <w:i/>
          <w:iCs/>
          <w:color w:val="7030A0"/>
          <w:sz w:val="20"/>
          <w:szCs w:val="20"/>
        </w:rPr>
        <w:t>erican</w:t>
      </w:r>
      <w:r w:rsidRPr="0038014E">
        <w:rPr>
          <w:rFonts w:ascii="Calibri" w:eastAsia="Times New Roman" w:hAnsi="Calibri" w:cs="Calibri"/>
          <w:i/>
          <w:iCs/>
          <w:color w:val="7030A0"/>
          <w:sz w:val="20"/>
          <w:szCs w:val="20"/>
        </w:rPr>
        <w:t xml:space="preserve"> J</w:t>
      </w:r>
      <w:r w:rsidR="002C1C32" w:rsidRPr="0038014E">
        <w:rPr>
          <w:rFonts w:ascii="Calibri" w:eastAsia="Times New Roman" w:hAnsi="Calibri" w:cs="Calibri"/>
          <w:i/>
          <w:iCs/>
          <w:color w:val="7030A0"/>
          <w:sz w:val="20"/>
          <w:szCs w:val="20"/>
        </w:rPr>
        <w:t>ournal of</w:t>
      </w:r>
      <w:r w:rsidRPr="0038014E">
        <w:rPr>
          <w:rFonts w:ascii="Calibri" w:eastAsia="Times New Roman" w:hAnsi="Calibri" w:cs="Calibri"/>
          <w:i/>
          <w:iCs/>
          <w:color w:val="7030A0"/>
          <w:sz w:val="20"/>
          <w:szCs w:val="20"/>
        </w:rPr>
        <w:t xml:space="preserve"> Infect</w:t>
      </w:r>
      <w:r w:rsidR="002C1C32" w:rsidRPr="0038014E">
        <w:rPr>
          <w:rFonts w:ascii="Calibri" w:eastAsia="Times New Roman" w:hAnsi="Calibri" w:cs="Calibri"/>
          <w:i/>
          <w:iCs/>
          <w:color w:val="7030A0"/>
          <w:sz w:val="20"/>
          <w:szCs w:val="20"/>
        </w:rPr>
        <w:t>ion</w:t>
      </w:r>
      <w:r w:rsidRPr="0038014E">
        <w:rPr>
          <w:rFonts w:ascii="Calibri" w:eastAsia="Times New Roman" w:hAnsi="Calibri" w:cs="Calibri"/>
          <w:i/>
          <w:iCs/>
          <w:color w:val="7030A0"/>
          <w:sz w:val="20"/>
          <w:szCs w:val="20"/>
        </w:rPr>
        <w:t xml:space="preserve"> Control 44</w:t>
      </w:r>
      <w:r w:rsidR="000A37C3" w:rsidRPr="0038014E">
        <w:rPr>
          <w:rFonts w:ascii="Calibri" w:eastAsia="Times New Roman" w:hAnsi="Calibri" w:cs="Calibri"/>
          <w:color w:val="7030A0"/>
          <w:sz w:val="20"/>
          <w:szCs w:val="20"/>
        </w:rPr>
        <w:t>,</w:t>
      </w:r>
      <w:r w:rsidRPr="0038014E">
        <w:rPr>
          <w:rFonts w:ascii="Calibri" w:eastAsia="Times New Roman" w:hAnsi="Calibri" w:cs="Calibri"/>
          <w:color w:val="7030A0"/>
          <w:sz w:val="20"/>
          <w:szCs w:val="20"/>
        </w:rPr>
        <w:t xml:space="preserve"> S</w:t>
      </w:r>
      <w:r w:rsidR="000A37C3" w:rsidRPr="0038014E">
        <w:rPr>
          <w:rFonts w:ascii="Calibri" w:eastAsia="Times New Roman" w:hAnsi="Calibri" w:cs="Calibri"/>
          <w:color w:val="7030A0"/>
          <w:sz w:val="20"/>
          <w:szCs w:val="20"/>
        </w:rPr>
        <w:t>12</w:t>
      </w:r>
      <w:r w:rsidRPr="0038014E">
        <w:rPr>
          <w:rFonts w:ascii="Calibri" w:eastAsia="Times New Roman" w:hAnsi="Calibri" w:cs="Calibri"/>
          <w:color w:val="7030A0"/>
          <w:sz w:val="20"/>
          <w:szCs w:val="20"/>
        </w:rPr>
        <w:t>.</w:t>
      </w:r>
    </w:p>
    <w:p w14:paraId="50BAEDFC" w14:textId="52CC0A62" w:rsidR="00E1219C" w:rsidRPr="0038014E" w:rsidRDefault="00E1219C" w:rsidP="005A0E2D">
      <w:pPr>
        <w:pStyle w:val="question"/>
        <w:spacing w:before="0" w:after="240"/>
        <w:ind w:left="792" w:right="0" w:hanging="360"/>
        <w:rPr>
          <w:rFonts w:ascii="Arial" w:hAnsi="Arial" w:cs="Arial"/>
          <w:color w:val="7030A0"/>
          <w:sz w:val="20"/>
          <w:szCs w:val="20"/>
          <w:shd w:val="clear" w:color="auto" w:fill="FFFFFF"/>
        </w:rPr>
      </w:pPr>
      <w:proofErr w:type="spellStart"/>
      <w:r w:rsidRPr="0038014E">
        <w:rPr>
          <w:color w:val="7030A0"/>
          <w:sz w:val="20"/>
          <w:szCs w:val="20"/>
        </w:rPr>
        <w:t>Hyer</w:t>
      </w:r>
      <w:proofErr w:type="spellEnd"/>
      <w:r w:rsidRPr="0038014E">
        <w:rPr>
          <w:color w:val="7030A0"/>
          <w:sz w:val="20"/>
          <w:szCs w:val="20"/>
        </w:rPr>
        <w:t xml:space="preserve">, K., Thomas, K. S., Branch, L. G., Harman, J. S., Johnson, C. E., &amp; </w:t>
      </w:r>
      <w:proofErr w:type="spellStart"/>
      <w:r w:rsidRPr="0038014E">
        <w:rPr>
          <w:color w:val="7030A0"/>
          <w:sz w:val="20"/>
          <w:szCs w:val="20"/>
        </w:rPr>
        <w:t>Weech</w:t>
      </w:r>
      <w:proofErr w:type="spellEnd"/>
      <w:r w:rsidRPr="0038014E">
        <w:rPr>
          <w:color w:val="7030A0"/>
          <w:sz w:val="20"/>
          <w:szCs w:val="20"/>
        </w:rPr>
        <w:t xml:space="preserve">-Maldonado, R. (2011). The influence of nurse staffing levels on quality of care in nursing homes. </w:t>
      </w:r>
      <w:r w:rsidRPr="0038014E">
        <w:rPr>
          <w:i/>
          <w:iCs w:val="0"/>
          <w:color w:val="7030A0"/>
          <w:sz w:val="20"/>
          <w:szCs w:val="20"/>
        </w:rPr>
        <w:t>The Gerontologist, 51</w:t>
      </w:r>
      <w:r w:rsidRPr="0038014E">
        <w:rPr>
          <w:color w:val="7030A0"/>
          <w:sz w:val="20"/>
          <w:szCs w:val="20"/>
        </w:rPr>
        <w:t>(5), 610-616.</w:t>
      </w:r>
      <w:r w:rsidR="00A76BE5" w:rsidRPr="0038014E">
        <w:rPr>
          <w:rFonts w:ascii="Arial" w:hAnsi="Arial" w:cs="Arial"/>
          <w:color w:val="7030A0"/>
          <w:sz w:val="20"/>
          <w:szCs w:val="20"/>
          <w:shd w:val="clear" w:color="auto" w:fill="FFFFFF"/>
        </w:rPr>
        <w:t xml:space="preserve"> </w:t>
      </w:r>
    </w:p>
    <w:p w14:paraId="06577BF0" w14:textId="77777777" w:rsidR="006C429D" w:rsidRPr="00920221" w:rsidRDefault="006C429D" w:rsidP="005A0E2D">
      <w:pPr>
        <w:spacing w:after="240"/>
        <w:ind w:left="792"/>
        <w:rPr>
          <w:rFonts w:ascii="Calibri" w:eastAsia="Times New Roman" w:hAnsi="Calibri" w:cs="Calibri"/>
          <w:color w:val="C00000"/>
          <w:sz w:val="20"/>
          <w:szCs w:val="20"/>
        </w:rPr>
      </w:pPr>
      <w:proofErr w:type="spellStart"/>
      <w:r w:rsidRPr="00920221">
        <w:rPr>
          <w:rFonts w:ascii="Calibri" w:eastAsia="Times New Roman" w:hAnsi="Calibri" w:cs="Calibri"/>
          <w:bCs/>
          <w:color w:val="C00000"/>
          <w:sz w:val="20"/>
          <w:szCs w:val="20"/>
        </w:rPr>
        <w:t>Meddings</w:t>
      </w:r>
      <w:proofErr w:type="spellEnd"/>
      <w:r w:rsidRPr="00920221">
        <w:rPr>
          <w:rFonts w:ascii="Calibri" w:eastAsia="Times New Roman" w:hAnsi="Calibri" w:cs="Calibri"/>
          <w:bCs/>
          <w:color w:val="C00000"/>
          <w:sz w:val="20"/>
          <w:szCs w:val="20"/>
        </w:rPr>
        <w:t xml:space="preserve">, J., Saint, S., </w:t>
      </w:r>
      <w:proofErr w:type="spellStart"/>
      <w:r w:rsidRPr="00920221">
        <w:rPr>
          <w:rFonts w:ascii="Calibri" w:eastAsia="Times New Roman" w:hAnsi="Calibri" w:cs="Calibri"/>
          <w:bCs/>
          <w:color w:val="C00000"/>
          <w:sz w:val="20"/>
          <w:szCs w:val="20"/>
        </w:rPr>
        <w:t>Krein</w:t>
      </w:r>
      <w:proofErr w:type="spellEnd"/>
      <w:r w:rsidRPr="00920221">
        <w:rPr>
          <w:rFonts w:ascii="Calibri" w:eastAsia="Times New Roman" w:hAnsi="Calibri" w:cs="Calibri"/>
          <w:bCs/>
          <w:color w:val="C00000"/>
          <w:sz w:val="20"/>
          <w:szCs w:val="20"/>
        </w:rPr>
        <w:t xml:space="preserve">, S. L., </w:t>
      </w:r>
      <w:proofErr w:type="spellStart"/>
      <w:r w:rsidRPr="00920221">
        <w:rPr>
          <w:rFonts w:ascii="Calibri" w:eastAsia="Times New Roman" w:hAnsi="Calibri" w:cs="Calibri"/>
          <w:bCs/>
          <w:color w:val="C00000"/>
          <w:sz w:val="20"/>
          <w:szCs w:val="20"/>
        </w:rPr>
        <w:t>Gaies</w:t>
      </w:r>
      <w:proofErr w:type="spellEnd"/>
      <w:r w:rsidRPr="00920221">
        <w:rPr>
          <w:rFonts w:ascii="Calibri" w:eastAsia="Times New Roman" w:hAnsi="Calibri" w:cs="Calibri"/>
          <w:bCs/>
          <w:color w:val="C00000"/>
          <w:sz w:val="20"/>
          <w:szCs w:val="20"/>
        </w:rPr>
        <w:t xml:space="preserve">, E., Reichert, H., </w:t>
      </w:r>
      <w:proofErr w:type="spellStart"/>
      <w:r w:rsidRPr="00920221">
        <w:rPr>
          <w:rFonts w:ascii="Calibri" w:eastAsia="Times New Roman" w:hAnsi="Calibri" w:cs="Calibri"/>
          <w:bCs/>
          <w:color w:val="C00000"/>
          <w:sz w:val="20"/>
          <w:szCs w:val="20"/>
        </w:rPr>
        <w:t>Hickner</w:t>
      </w:r>
      <w:proofErr w:type="spellEnd"/>
      <w:r w:rsidRPr="00920221">
        <w:rPr>
          <w:rFonts w:ascii="Calibri" w:eastAsia="Times New Roman" w:hAnsi="Calibri" w:cs="Calibri"/>
          <w:bCs/>
          <w:color w:val="C00000"/>
          <w:sz w:val="20"/>
          <w:szCs w:val="20"/>
        </w:rPr>
        <w:t>, A.</w:t>
      </w:r>
      <w:proofErr w:type="gramStart"/>
      <w:r w:rsidRPr="00920221">
        <w:rPr>
          <w:rFonts w:ascii="Calibri" w:eastAsia="Times New Roman" w:hAnsi="Calibri" w:cs="Calibri"/>
          <w:bCs/>
          <w:color w:val="C00000"/>
          <w:sz w:val="20"/>
          <w:szCs w:val="20"/>
        </w:rPr>
        <w:t>,…</w:t>
      </w:r>
      <w:proofErr w:type="spellStart"/>
      <w:proofErr w:type="gramEnd"/>
      <w:r w:rsidRPr="00920221">
        <w:rPr>
          <w:rFonts w:ascii="Calibri" w:eastAsia="Times New Roman" w:hAnsi="Calibri" w:cs="Calibri"/>
          <w:bCs/>
          <w:color w:val="C00000"/>
          <w:sz w:val="20"/>
          <w:szCs w:val="20"/>
        </w:rPr>
        <w:t>Mody</w:t>
      </w:r>
      <w:proofErr w:type="spellEnd"/>
      <w:r w:rsidRPr="00920221">
        <w:rPr>
          <w:rFonts w:ascii="Calibri" w:eastAsia="Times New Roman" w:hAnsi="Calibri" w:cs="Calibri"/>
          <w:bCs/>
          <w:color w:val="C00000"/>
          <w:sz w:val="20"/>
          <w:szCs w:val="20"/>
        </w:rPr>
        <w:t>, L. (2017). Systematic review of interventions to reduce urinary tract infection in nursing home residents. </w:t>
      </w:r>
      <w:r w:rsidRPr="00920221">
        <w:rPr>
          <w:rFonts w:ascii="Calibri" w:eastAsia="Times New Roman" w:hAnsi="Calibri" w:cs="Calibri"/>
          <w:bCs/>
          <w:i/>
          <w:iCs/>
          <w:color w:val="C00000"/>
          <w:sz w:val="20"/>
          <w:szCs w:val="20"/>
        </w:rPr>
        <w:t>Journal of Hospital Medicine</w:t>
      </w:r>
      <w:r w:rsidRPr="00920221">
        <w:rPr>
          <w:rFonts w:ascii="Calibri" w:eastAsia="Times New Roman" w:hAnsi="Calibri" w:cs="Calibri"/>
          <w:bCs/>
          <w:color w:val="C00000"/>
          <w:sz w:val="20"/>
          <w:szCs w:val="20"/>
        </w:rPr>
        <w:t>, </w:t>
      </w:r>
      <w:r w:rsidRPr="00920221">
        <w:rPr>
          <w:rFonts w:ascii="Calibri" w:eastAsia="Times New Roman" w:hAnsi="Calibri" w:cs="Calibri"/>
          <w:bCs/>
          <w:i/>
          <w:iCs/>
          <w:color w:val="C00000"/>
          <w:sz w:val="20"/>
          <w:szCs w:val="20"/>
        </w:rPr>
        <w:t>12</w:t>
      </w:r>
      <w:r w:rsidRPr="00920221">
        <w:rPr>
          <w:rFonts w:ascii="Calibri" w:eastAsia="Times New Roman" w:hAnsi="Calibri" w:cs="Calibri"/>
          <w:bCs/>
          <w:color w:val="C00000"/>
          <w:sz w:val="20"/>
          <w:szCs w:val="20"/>
        </w:rPr>
        <w:t>(5), 356.</w:t>
      </w:r>
    </w:p>
    <w:p w14:paraId="6577B380" w14:textId="31CB7C20" w:rsidR="00DC325B" w:rsidRPr="00920221" w:rsidRDefault="00DC325B" w:rsidP="005A0E2D">
      <w:pPr>
        <w:spacing w:after="240"/>
        <w:ind w:left="792"/>
        <w:rPr>
          <w:rFonts w:ascii="Calibri" w:eastAsia="Times New Roman" w:hAnsi="Calibri" w:cs="Calibri"/>
          <w:color w:val="C00000"/>
          <w:sz w:val="20"/>
          <w:szCs w:val="20"/>
        </w:rPr>
      </w:pPr>
      <w:r w:rsidRPr="00920221">
        <w:rPr>
          <w:rFonts w:ascii="Calibri" w:eastAsia="Times New Roman" w:hAnsi="Calibri" w:cs="Calibri"/>
          <w:color w:val="C00000"/>
          <w:sz w:val="20"/>
          <w:szCs w:val="20"/>
        </w:rPr>
        <w:t xml:space="preserve">Montoya, A., </w:t>
      </w:r>
      <w:proofErr w:type="spellStart"/>
      <w:r w:rsidRPr="00920221">
        <w:rPr>
          <w:rFonts w:ascii="Calibri" w:eastAsia="Times New Roman" w:hAnsi="Calibri" w:cs="Calibri"/>
          <w:color w:val="C00000"/>
          <w:sz w:val="20"/>
          <w:szCs w:val="20"/>
        </w:rPr>
        <w:t>Cassone</w:t>
      </w:r>
      <w:proofErr w:type="spellEnd"/>
      <w:r w:rsidRPr="00920221">
        <w:rPr>
          <w:rFonts w:ascii="Calibri" w:eastAsia="Times New Roman" w:hAnsi="Calibri" w:cs="Calibri"/>
          <w:color w:val="C00000"/>
          <w:sz w:val="20"/>
          <w:szCs w:val="20"/>
        </w:rPr>
        <w:t xml:space="preserve">, M., &amp; </w:t>
      </w:r>
      <w:proofErr w:type="spellStart"/>
      <w:r w:rsidRPr="00920221">
        <w:rPr>
          <w:rFonts w:ascii="Calibri" w:eastAsia="Times New Roman" w:hAnsi="Calibri" w:cs="Calibri"/>
          <w:color w:val="C00000"/>
          <w:sz w:val="20"/>
          <w:szCs w:val="20"/>
        </w:rPr>
        <w:t>Mody</w:t>
      </w:r>
      <w:proofErr w:type="spellEnd"/>
      <w:r w:rsidRPr="00920221">
        <w:rPr>
          <w:rFonts w:ascii="Calibri" w:eastAsia="Times New Roman" w:hAnsi="Calibri" w:cs="Calibri"/>
          <w:color w:val="C00000"/>
          <w:sz w:val="20"/>
          <w:szCs w:val="20"/>
        </w:rPr>
        <w:t xml:space="preserve">, L. (2016). Infections in nursing homes: </w:t>
      </w:r>
      <w:r w:rsidR="003B6356" w:rsidRPr="00920221">
        <w:rPr>
          <w:rFonts w:ascii="Calibri" w:eastAsia="Times New Roman" w:hAnsi="Calibri" w:cs="Calibri"/>
          <w:color w:val="C00000"/>
          <w:sz w:val="20"/>
          <w:szCs w:val="20"/>
        </w:rPr>
        <w:t>E</w:t>
      </w:r>
      <w:r w:rsidRPr="00920221">
        <w:rPr>
          <w:rFonts w:ascii="Calibri" w:eastAsia="Times New Roman" w:hAnsi="Calibri" w:cs="Calibri"/>
          <w:color w:val="C00000"/>
          <w:sz w:val="20"/>
          <w:szCs w:val="20"/>
        </w:rPr>
        <w:t xml:space="preserve">pidemiology and prevention programs. </w:t>
      </w:r>
      <w:r w:rsidRPr="00920221">
        <w:rPr>
          <w:rFonts w:ascii="Calibri" w:eastAsia="Times New Roman" w:hAnsi="Calibri" w:cs="Calibri"/>
          <w:i/>
          <w:iCs/>
          <w:color w:val="C00000"/>
          <w:sz w:val="20"/>
          <w:szCs w:val="20"/>
        </w:rPr>
        <w:t xml:space="preserve">Clinics in </w:t>
      </w:r>
      <w:r w:rsidR="002C1C32" w:rsidRPr="00920221">
        <w:rPr>
          <w:rFonts w:ascii="Calibri" w:eastAsia="Times New Roman" w:hAnsi="Calibri" w:cs="Calibri"/>
          <w:i/>
          <w:iCs/>
          <w:color w:val="C00000"/>
          <w:sz w:val="20"/>
          <w:szCs w:val="20"/>
        </w:rPr>
        <w:t>G</w:t>
      </w:r>
      <w:r w:rsidRPr="00920221">
        <w:rPr>
          <w:rFonts w:ascii="Calibri" w:eastAsia="Times New Roman" w:hAnsi="Calibri" w:cs="Calibri"/>
          <w:i/>
          <w:iCs/>
          <w:color w:val="C00000"/>
          <w:sz w:val="20"/>
          <w:szCs w:val="20"/>
        </w:rPr>
        <w:t xml:space="preserve">eriatric </w:t>
      </w:r>
      <w:r w:rsidR="008F4E67" w:rsidRPr="00920221">
        <w:rPr>
          <w:rFonts w:ascii="Calibri" w:eastAsia="Times New Roman" w:hAnsi="Calibri" w:cs="Calibri"/>
          <w:i/>
          <w:iCs/>
          <w:color w:val="C00000"/>
          <w:sz w:val="20"/>
          <w:szCs w:val="20"/>
        </w:rPr>
        <w:t>M</w:t>
      </w:r>
      <w:r w:rsidRPr="00920221">
        <w:rPr>
          <w:rFonts w:ascii="Calibri" w:eastAsia="Times New Roman" w:hAnsi="Calibri" w:cs="Calibri"/>
          <w:i/>
          <w:iCs/>
          <w:color w:val="C00000"/>
          <w:sz w:val="20"/>
          <w:szCs w:val="20"/>
        </w:rPr>
        <w:t>edicine, 32</w:t>
      </w:r>
      <w:r w:rsidRPr="00920221">
        <w:rPr>
          <w:rFonts w:ascii="Calibri" w:eastAsia="Times New Roman" w:hAnsi="Calibri" w:cs="Calibri"/>
          <w:color w:val="C00000"/>
          <w:sz w:val="20"/>
          <w:szCs w:val="20"/>
        </w:rPr>
        <w:t>(3), 585-607.</w:t>
      </w:r>
    </w:p>
    <w:p w14:paraId="28ADD0FB" w14:textId="77777777" w:rsidR="008F4E67" w:rsidRPr="0038014E" w:rsidRDefault="00E1219C" w:rsidP="005A0E2D">
      <w:pPr>
        <w:pStyle w:val="question"/>
        <w:spacing w:before="0" w:after="240"/>
        <w:ind w:left="792" w:right="0" w:hanging="360"/>
        <w:rPr>
          <w:rFonts w:ascii="Calibri" w:eastAsia="Calibri" w:hAnsi="Calibri" w:cs="Times New Roman"/>
          <w:color w:val="7030A0"/>
          <w:sz w:val="20"/>
          <w:szCs w:val="20"/>
        </w:rPr>
      </w:pPr>
      <w:proofErr w:type="spellStart"/>
      <w:r w:rsidRPr="0038014E">
        <w:rPr>
          <w:rFonts w:ascii="Calibri" w:eastAsia="Calibri" w:hAnsi="Calibri" w:cs="Times New Roman"/>
          <w:color w:val="7030A0"/>
          <w:sz w:val="20"/>
          <w:szCs w:val="20"/>
        </w:rPr>
        <w:t>Mukamel</w:t>
      </w:r>
      <w:proofErr w:type="spellEnd"/>
      <w:r w:rsidRPr="0038014E">
        <w:rPr>
          <w:rFonts w:ascii="Calibri" w:eastAsia="Calibri" w:hAnsi="Calibri" w:cs="Times New Roman"/>
          <w:color w:val="7030A0"/>
          <w:sz w:val="20"/>
          <w:szCs w:val="20"/>
        </w:rPr>
        <w:t xml:space="preserve">, D. B., Weimer, D. L, Spector, W. D., Ladd, H., &amp; Zinn, J. S. (2008). Publication of quality report cards and trends in reported quality measures in nursing homes. </w:t>
      </w:r>
      <w:r w:rsidRPr="0038014E">
        <w:rPr>
          <w:rFonts w:ascii="Calibri" w:eastAsia="Calibri" w:hAnsi="Calibri" w:cs="Times New Roman"/>
          <w:i/>
          <w:color w:val="7030A0"/>
          <w:sz w:val="20"/>
          <w:szCs w:val="20"/>
        </w:rPr>
        <w:t>Health Services Research, 43</w:t>
      </w:r>
      <w:r w:rsidRPr="0038014E">
        <w:rPr>
          <w:rFonts w:ascii="Calibri" w:eastAsia="Calibri" w:hAnsi="Calibri" w:cs="Times New Roman"/>
          <w:color w:val="7030A0"/>
          <w:sz w:val="20"/>
          <w:szCs w:val="20"/>
        </w:rPr>
        <w:t>(4), 1244-1262.</w:t>
      </w:r>
    </w:p>
    <w:p w14:paraId="5A091EDD" w14:textId="59302FFD" w:rsidR="003C7F86" w:rsidRPr="00920221" w:rsidRDefault="00F66EE7" w:rsidP="005A0E2D">
      <w:pPr>
        <w:pStyle w:val="question"/>
        <w:spacing w:before="0" w:after="240"/>
        <w:ind w:left="792" w:right="0" w:hanging="360"/>
        <w:rPr>
          <w:rFonts w:ascii="Calibri" w:eastAsia="Calibri" w:hAnsi="Calibri" w:cs="Times New Roman"/>
          <w:color w:val="C00000"/>
          <w:sz w:val="20"/>
          <w:szCs w:val="20"/>
        </w:rPr>
      </w:pPr>
      <w:r w:rsidRPr="00920221">
        <w:rPr>
          <w:rFonts w:ascii="Calibri" w:eastAsia="Calibri" w:hAnsi="Calibri" w:cs="Times New Roman"/>
          <w:color w:val="C00000"/>
          <w:sz w:val="20"/>
          <w:szCs w:val="20"/>
        </w:rPr>
        <w:t xml:space="preserve">Nelson, S. T., &amp; Flynn, L. (2015). Relationship between missed care and urinary tract infections in nursing homes. </w:t>
      </w:r>
      <w:r w:rsidRPr="00920221">
        <w:rPr>
          <w:rFonts w:ascii="Calibri" w:eastAsia="Calibri" w:hAnsi="Calibri" w:cs="Times New Roman"/>
          <w:i/>
          <w:iCs w:val="0"/>
          <w:color w:val="C00000"/>
          <w:sz w:val="20"/>
          <w:szCs w:val="20"/>
        </w:rPr>
        <w:t>Geriatric Nursing, 36</w:t>
      </w:r>
      <w:r w:rsidRPr="00920221">
        <w:rPr>
          <w:rFonts w:ascii="Calibri" w:eastAsia="Calibri" w:hAnsi="Calibri" w:cs="Times New Roman"/>
          <w:color w:val="C00000"/>
          <w:sz w:val="20"/>
          <w:szCs w:val="20"/>
        </w:rPr>
        <w:t>(2), 126-130.</w:t>
      </w:r>
    </w:p>
    <w:p w14:paraId="1D89D04A" w14:textId="2D8FE6BE" w:rsidR="003C7F86" w:rsidRPr="0038014E" w:rsidRDefault="003C7F86" w:rsidP="005A0E2D">
      <w:pPr>
        <w:spacing w:after="240"/>
        <w:ind w:left="792"/>
        <w:rPr>
          <w:rFonts w:ascii="Calibri" w:eastAsia="Times New Roman" w:hAnsi="Calibri" w:cs="Calibri"/>
          <w:color w:val="7030A0"/>
          <w:sz w:val="20"/>
          <w:szCs w:val="20"/>
        </w:rPr>
      </w:pPr>
      <w:r w:rsidRPr="0038014E">
        <w:rPr>
          <w:rFonts w:ascii="Calibri" w:eastAsia="Calibri" w:hAnsi="Calibri" w:cs="Times New Roman"/>
          <w:color w:val="7030A0"/>
          <w:sz w:val="20"/>
          <w:szCs w:val="20"/>
        </w:rPr>
        <w:t>Nicolle L</w:t>
      </w:r>
      <w:r w:rsidR="00543D95" w:rsidRPr="0038014E">
        <w:rPr>
          <w:rFonts w:ascii="Calibri" w:eastAsia="Calibri" w:hAnsi="Calibri" w:cs="Times New Roman"/>
          <w:color w:val="7030A0"/>
          <w:sz w:val="20"/>
          <w:szCs w:val="20"/>
        </w:rPr>
        <w:t>.</w:t>
      </w:r>
      <w:r w:rsidRPr="0038014E">
        <w:rPr>
          <w:rFonts w:ascii="Calibri" w:eastAsia="Calibri" w:hAnsi="Calibri" w:cs="Times New Roman"/>
          <w:color w:val="7030A0"/>
          <w:sz w:val="20"/>
          <w:szCs w:val="20"/>
        </w:rPr>
        <w:t>, Anderson P</w:t>
      </w:r>
      <w:r w:rsidR="00543D95" w:rsidRPr="0038014E">
        <w:rPr>
          <w:rFonts w:ascii="Calibri" w:eastAsia="Calibri" w:hAnsi="Calibri" w:cs="Times New Roman"/>
          <w:color w:val="7030A0"/>
          <w:sz w:val="20"/>
          <w:szCs w:val="20"/>
        </w:rPr>
        <w:t>.</w:t>
      </w:r>
      <w:r w:rsidRPr="0038014E">
        <w:rPr>
          <w:rFonts w:ascii="Calibri" w:eastAsia="Calibri" w:hAnsi="Calibri" w:cs="Times New Roman"/>
          <w:color w:val="7030A0"/>
          <w:sz w:val="20"/>
          <w:szCs w:val="20"/>
        </w:rPr>
        <w:t>A</w:t>
      </w:r>
      <w:r w:rsidR="00543D95" w:rsidRPr="0038014E">
        <w:rPr>
          <w:rFonts w:ascii="Calibri" w:eastAsia="Calibri" w:hAnsi="Calibri" w:cs="Times New Roman"/>
          <w:color w:val="7030A0"/>
          <w:sz w:val="20"/>
          <w:szCs w:val="20"/>
        </w:rPr>
        <w:t>.</w:t>
      </w:r>
      <w:r w:rsidRPr="0038014E">
        <w:rPr>
          <w:rFonts w:ascii="Calibri" w:eastAsia="Calibri" w:hAnsi="Calibri" w:cs="Times New Roman"/>
          <w:color w:val="7030A0"/>
          <w:sz w:val="20"/>
          <w:szCs w:val="20"/>
        </w:rPr>
        <w:t>M</w:t>
      </w:r>
      <w:r w:rsidR="00543D95" w:rsidRPr="0038014E">
        <w:rPr>
          <w:rFonts w:ascii="Calibri" w:eastAsia="Calibri" w:hAnsi="Calibri" w:cs="Times New Roman"/>
          <w:color w:val="7030A0"/>
          <w:sz w:val="20"/>
          <w:szCs w:val="20"/>
        </w:rPr>
        <w:t>.</w:t>
      </w:r>
      <w:r w:rsidRPr="0038014E">
        <w:rPr>
          <w:rFonts w:ascii="Calibri" w:eastAsia="Calibri" w:hAnsi="Calibri" w:cs="Times New Roman"/>
          <w:color w:val="7030A0"/>
          <w:sz w:val="20"/>
          <w:szCs w:val="20"/>
        </w:rPr>
        <w:t>, Conly J</w:t>
      </w:r>
      <w:r w:rsidR="00543D95" w:rsidRPr="0038014E">
        <w:rPr>
          <w:rFonts w:ascii="Calibri" w:eastAsia="Calibri" w:hAnsi="Calibri" w:cs="Times New Roman"/>
          <w:color w:val="7030A0"/>
          <w:sz w:val="20"/>
          <w:szCs w:val="20"/>
        </w:rPr>
        <w:t>.</w:t>
      </w:r>
      <w:r w:rsidRPr="0038014E">
        <w:rPr>
          <w:rFonts w:ascii="Calibri" w:eastAsia="Calibri" w:hAnsi="Calibri" w:cs="Times New Roman"/>
          <w:color w:val="7030A0"/>
          <w:sz w:val="20"/>
          <w:szCs w:val="20"/>
        </w:rPr>
        <w:t xml:space="preserve">, </w:t>
      </w:r>
      <w:proofErr w:type="spellStart"/>
      <w:r w:rsidRPr="0038014E">
        <w:rPr>
          <w:rFonts w:ascii="Calibri" w:eastAsia="Calibri" w:hAnsi="Calibri" w:cs="Times New Roman"/>
          <w:color w:val="7030A0"/>
          <w:sz w:val="20"/>
          <w:szCs w:val="20"/>
        </w:rPr>
        <w:t>Mainprize</w:t>
      </w:r>
      <w:proofErr w:type="spellEnd"/>
      <w:r w:rsidRPr="0038014E">
        <w:rPr>
          <w:rFonts w:ascii="Calibri" w:eastAsia="Calibri" w:hAnsi="Calibri" w:cs="Times New Roman"/>
          <w:color w:val="7030A0"/>
          <w:sz w:val="20"/>
          <w:szCs w:val="20"/>
        </w:rPr>
        <w:t xml:space="preserve"> T</w:t>
      </w:r>
      <w:r w:rsidR="00543D95" w:rsidRPr="0038014E">
        <w:rPr>
          <w:rFonts w:ascii="Calibri" w:eastAsia="Calibri" w:hAnsi="Calibri" w:cs="Times New Roman"/>
          <w:color w:val="7030A0"/>
          <w:sz w:val="20"/>
          <w:szCs w:val="20"/>
        </w:rPr>
        <w:t>.</w:t>
      </w:r>
      <w:r w:rsidRPr="0038014E">
        <w:rPr>
          <w:rFonts w:ascii="Calibri" w:eastAsia="Calibri" w:hAnsi="Calibri" w:cs="Times New Roman"/>
          <w:color w:val="7030A0"/>
          <w:sz w:val="20"/>
          <w:szCs w:val="20"/>
        </w:rPr>
        <w:t>C</w:t>
      </w:r>
      <w:r w:rsidR="00543D95" w:rsidRPr="0038014E">
        <w:rPr>
          <w:rFonts w:ascii="Calibri" w:eastAsia="Calibri" w:hAnsi="Calibri" w:cs="Times New Roman"/>
          <w:color w:val="7030A0"/>
          <w:sz w:val="20"/>
          <w:szCs w:val="20"/>
        </w:rPr>
        <w:t>.</w:t>
      </w:r>
      <w:r w:rsidRPr="0038014E">
        <w:rPr>
          <w:rFonts w:ascii="Calibri" w:eastAsia="Calibri" w:hAnsi="Calibri" w:cs="Times New Roman"/>
          <w:color w:val="7030A0"/>
          <w:sz w:val="20"/>
          <w:szCs w:val="20"/>
        </w:rPr>
        <w:t xml:space="preserve">, </w:t>
      </w:r>
      <w:proofErr w:type="spellStart"/>
      <w:r w:rsidRPr="0038014E">
        <w:rPr>
          <w:rFonts w:ascii="Calibri" w:eastAsia="Calibri" w:hAnsi="Calibri" w:cs="Times New Roman"/>
          <w:color w:val="7030A0"/>
          <w:sz w:val="20"/>
          <w:szCs w:val="20"/>
        </w:rPr>
        <w:t>Meuser</w:t>
      </w:r>
      <w:proofErr w:type="spellEnd"/>
      <w:r w:rsidRPr="0038014E">
        <w:rPr>
          <w:rFonts w:ascii="Calibri" w:eastAsia="Calibri" w:hAnsi="Calibri" w:cs="Times New Roman"/>
          <w:color w:val="7030A0"/>
          <w:sz w:val="20"/>
          <w:szCs w:val="20"/>
        </w:rPr>
        <w:t xml:space="preserve"> J, Nickel J</w:t>
      </w:r>
      <w:r w:rsidR="00543D95" w:rsidRPr="0038014E">
        <w:rPr>
          <w:rFonts w:ascii="Calibri" w:eastAsia="Calibri" w:hAnsi="Calibri" w:cs="Times New Roman"/>
          <w:color w:val="7030A0"/>
          <w:sz w:val="20"/>
          <w:szCs w:val="20"/>
        </w:rPr>
        <w:t>.</w:t>
      </w:r>
      <w:r w:rsidRPr="0038014E">
        <w:rPr>
          <w:rFonts w:ascii="Calibri" w:eastAsia="Calibri" w:hAnsi="Calibri" w:cs="Times New Roman"/>
          <w:color w:val="7030A0"/>
          <w:sz w:val="20"/>
          <w:szCs w:val="20"/>
        </w:rPr>
        <w:t>C</w:t>
      </w:r>
      <w:r w:rsidR="00543D95" w:rsidRPr="0038014E">
        <w:rPr>
          <w:rFonts w:ascii="Calibri" w:eastAsia="Calibri" w:hAnsi="Calibri" w:cs="Times New Roman"/>
          <w:color w:val="7030A0"/>
          <w:sz w:val="20"/>
          <w:szCs w:val="20"/>
        </w:rPr>
        <w:t>.</w:t>
      </w:r>
      <w:r w:rsidRPr="0038014E">
        <w:rPr>
          <w:rFonts w:ascii="Calibri" w:eastAsia="Calibri" w:hAnsi="Calibri" w:cs="Times New Roman"/>
          <w:color w:val="7030A0"/>
          <w:sz w:val="20"/>
          <w:szCs w:val="20"/>
        </w:rPr>
        <w:t>,</w:t>
      </w:r>
      <w:r w:rsidR="009E1035" w:rsidRPr="0038014E">
        <w:rPr>
          <w:rFonts w:ascii="Calibri" w:eastAsia="Calibri" w:hAnsi="Calibri" w:cs="Times New Roman"/>
          <w:color w:val="7030A0"/>
          <w:sz w:val="20"/>
          <w:szCs w:val="20"/>
        </w:rPr>
        <w:t>…</w:t>
      </w:r>
      <w:proofErr w:type="spellStart"/>
      <w:r w:rsidRPr="0038014E">
        <w:rPr>
          <w:rFonts w:ascii="Calibri" w:eastAsia="Calibri" w:hAnsi="Calibri" w:cs="Times New Roman"/>
          <w:color w:val="7030A0"/>
          <w:sz w:val="20"/>
          <w:szCs w:val="20"/>
        </w:rPr>
        <w:t>Zhanel</w:t>
      </w:r>
      <w:proofErr w:type="spellEnd"/>
      <w:r w:rsidRPr="0038014E">
        <w:rPr>
          <w:rFonts w:ascii="Calibri" w:eastAsia="Calibri" w:hAnsi="Calibri" w:cs="Times New Roman"/>
          <w:color w:val="7030A0"/>
          <w:sz w:val="20"/>
          <w:szCs w:val="20"/>
        </w:rPr>
        <w:t xml:space="preserve"> G</w:t>
      </w:r>
      <w:r w:rsidR="00543D95" w:rsidRPr="0038014E">
        <w:rPr>
          <w:rFonts w:ascii="Calibri" w:eastAsia="Calibri" w:hAnsi="Calibri" w:cs="Times New Roman"/>
          <w:color w:val="7030A0"/>
          <w:sz w:val="20"/>
          <w:szCs w:val="20"/>
        </w:rPr>
        <w:t>.</w:t>
      </w:r>
      <w:r w:rsidRPr="0038014E">
        <w:rPr>
          <w:rFonts w:ascii="Calibri" w:eastAsia="Calibri" w:hAnsi="Calibri" w:cs="Times New Roman"/>
          <w:color w:val="7030A0"/>
          <w:sz w:val="20"/>
          <w:szCs w:val="20"/>
        </w:rPr>
        <w:t>G.</w:t>
      </w:r>
      <w:r w:rsidR="003D2F11" w:rsidRPr="0038014E">
        <w:rPr>
          <w:rFonts w:ascii="Calibri" w:eastAsia="Calibri" w:hAnsi="Calibri" w:cs="Times New Roman"/>
          <w:color w:val="7030A0"/>
          <w:sz w:val="20"/>
          <w:szCs w:val="20"/>
        </w:rPr>
        <w:t xml:space="preserve"> (2006)</w:t>
      </w:r>
      <w:r w:rsidRPr="0038014E">
        <w:rPr>
          <w:rFonts w:ascii="Calibri" w:eastAsia="Calibri" w:hAnsi="Calibri" w:cs="Times New Roman"/>
          <w:color w:val="7030A0"/>
          <w:sz w:val="20"/>
          <w:szCs w:val="20"/>
        </w:rPr>
        <w:t xml:space="preserve"> Uncomplicated urinary tract infections in women: current practice and the effect of antibiotic resistance on empiric treatment. </w:t>
      </w:r>
      <w:r w:rsidRPr="0038014E">
        <w:rPr>
          <w:rFonts w:ascii="Calibri" w:eastAsia="Calibri" w:hAnsi="Calibri" w:cs="Times New Roman"/>
          <w:i/>
          <w:iCs/>
          <w:color w:val="7030A0"/>
          <w:sz w:val="20"/>
          <w:szCs w:val="20"/>
        </w:rPr>
        <w:t>Can</w:t>
      </w:r>
      <w:r w:rsidR="008F4E67" w:rsidRPr="0038014E">
        <w:rPr>
          <w:rFonts w:ascii="Calibri" w:eastAsia="Calibri" w:hAnsi="Calibri" w:cs="Times New Roman"/>
          <w:i/>
          <w:iCs/>
          <w:color w:val="7030A0"/>
          <w:sz w:val="20"/>
          <w:szCs w:val="20"/>
        </w:rPr>
        <w:t>adian</w:t>
      </w:r>
      <w:r w:rsidRPr="0038014E">
        <w:rPr>
          <w:rFonts w:ascii="Calibri" w:eastAsia="Calibri" w:hAnsi="Calibri" w:cs="Times New Roman"/>
          <w:i/>
          <w:iCs/>
          <w:color w:val="7030A0"/>
          <w:sz w:val="20"/>
          <w:szCs w:val="20"/>
        </w:rPr>
        <w:t xml:space="preserve"> Fam</w:t>
      </w:r>
      <w:r w:rsidR="008F4E67" w:rsidRPr="0038014E">
        <w:rPr>
          <w:rFonts w:ascii="Calibri" w:eastAsia="Calibri" w:hAnsi="Calibri" w:cs="Times New Roman"/>
          <w:i/>
          <w:iCs/>
          <w:color w:val="7030A0"/>
          <w:sz w:val="20"/>
          <w:szCs w:val="20"/>
        </w:rPr>
        <w:t>ily</w:t>
      </w:r>
      <w:r w:rsidRPr="0038014E">
        <w:rPr>
          <w:rFonts w:ascii="Calibri" w:eastAsia="Calibri" w:hAnsi="Calibri" w:cs="Times New Roman"/>
          <w:i/>
          <w:iCs/>
          <w:color w:val="7030A0"/>
          <w:sz w:val="20"/>
          <w:szCs w:val="20"/>
        </w:rPr>
        <w:t xml:space="preserve"> Physician</w:t>
      </w:r>
      <w:r w:rsidR="003D2F11" w:rsidRPr="0038014E">
        <w:rPr>
          <w:rFonts w:ascii="Calibri" w:eastAsia="Calibri" w:hAnsi="Calibri" w:cs="Times New Roman"/>
          <w:i/>
          <w:iCs/>
          <w:color w:val="7030A0"/>
          <w:sz w:val="20"/>
          <w:szCs w:val="20"/>
        </w:rPr>
        <w:t xml:space="preserve">, </w:t>
      </w:r>
      <w:r w:rsidRPr="0038014E">
        <w:rPr>
          <w:rFonts w:ascii="Calibri" w:eastAsia="Calibri" w:hAnsi="Calibri" w:cs="Times New Roman"/>
          <w:i/>
          <w:iCs/>
          <w:color w:val="7030A0"/>
          <w:sz w:val="20"/>
          <w:szCs w:val="20"/>
        </w:rPr>
        <w:t>52</w:t>
      </w:r>
      <w:r w:rsidR="003D2F11" w:rsidRPr="0038014E">
        <w:rPr>
          <w:rFonts w:ascii="Calibri" w:eastAsia="Calibri" w:hAnsi="Calibri" w:cs="Times New Roman"/>
          <w:i/>
          <w:iCs/>
          <w:color w:val="7030A0"/>
          <w:sz w:val="20"/>
          <w:szCs w:val="20"/>
        </w:rPr>
        <w:t>,</w:t>
      </w:r>
      <w:r w:rsidR="003D2F11" w:rsidRPr="0038014E">
        <w:rPr>
          <w:rFonts w:ascii="Calibri" w:eastAsia="Calibri" w:hAnsi="Calibri" w:cs="Times New Roman"/>
          <w:color w:val="7030A0"/>
          <w:sz w:val="20"/>
          <w:szCs w:val="20"/>
        </w:rPr>
        <w:t xml:space="preserve"> </w:t>
      </w:r>
      <w:r w:rsidRPr="0038014E">
        <w:rPr>
          <w:rFonts w:ascii="Calibri" w:eastAsia="Calibri" w:hAnsi="Calibri" w:cs="Times New Roman"/>
          <w:color w:val="7030A0"/>
          <w:sz w:val="20"/>
          <w:szCs w:val="20"/>
        </w:rPr>
        <w:t>612-</w:t>
      </w:r>
      <w:r w:rsidR="003D2F11" w:rsidRPr="0038014E">
        <w:rPr>
          <w:rFonts w:ascii="Calibri" w:eastAsia="Calibri" w:hAnsi="Calibri" w:cs="Times New Roman"/>
          <w:color w:val="7030A0"/>
          <w:sz w:val="20"/>
          <w:szCs w:val="20"/>
        </w:rPr>
        <w:t>61</w:t>
      </w:r>
      <w:r w:rsidRPr="0038014E">
        <w:rPr>
          <w:rFonts w:ascii="Calibri" w:eastAsia="Calibri" w:hAnsi="Calibri" w:cs="Times New Roman"/>
          <w:color w:val="7030A0"/>
          <w:sz w:val="20"/>
          <w:szCs w:val="20"/>
        </w:rPr>
        <w:t xml:space="preserve">8. </w:t>
      </w:r>
    </w:p>
    <w:p w14:paraId="55D4DA3F" w14:textId="61047172" w:rsidR="00582163" w:rsidRPr="0038014E" w:rsidRDefault="00582163" w:rsidP="005A0E2D">
      <w:pPr>
        <w:spacing w:after="240"/>
        <w:ind w:left="792"/>
        <w:rPr>
          <w:rFonts w:ascii="Calibri" w:eastAsia="Times New Roman" w:hAnsi="Calibri" w:cs="Calibri"/>
          <w:color w:val="7030A0"/>
          <w:sz w:val="20"/>
          <w:szCs w:val="20"/>
        </w:rPr>
      </w:pPr>
      <w:r w:rsidRPr="0038014E">
        <w:rPr>
          <w:rFonts w:ascii="Calibri" w:eastAsia="Times New Roman" w:hAnsi="Calibri" w:cs="Calibri"/>
          <w:color w:val="7030A0"/>
          <w:sz w:val="20"/>
          <w:szCs w:val="20"/>
        </w:rPr>
        <w:t xml:space="preserve">Nicolle L. E. (2009). Urinary tract infections in the elderly. </w:t>
      </w:r>
      <w:r w:rsidRPr="0038014E">
        <w:rPr>
          <w:rFonts w:ascii="Calibri" w:eastAsia="Times New Roman" w:hAnsi="Calibri" w:cs="Calibri"/>
          <w:i/>
          <w:iCs/>
          <w:color w:val="7030A0"/>
          <w:sz w:val="20"/>
          <w:szCs w:val="20"/>
        </w:rPr>
        <w:t>Clin</w:t>
      </w:r>
      <w:r w:rsidR="000A37C3" w:rsidRPr="0038014E">
        <w:rPr>
          <w:rFonts w:ascii="Calibri" w:eastAsia="Times New Roman" w:hAnsi="Calibri" w:cs="Calibri"/>
          <w:i/>
          <w:iCs/>
          <w:color w:val="7030A0"/>
          <w:sz w:val="20"/>
          <w:szCs w:val="20"/>
        </w:rPr>
        <w:t>ics in</w:t>
      </w:r>
      <w:r w:rsidRPr="0038014E">
        <w:rPr>
          <w:rFonts w:ascii="Calibri" w:eastAsia="Times New Roman" w:hAnsi="Calibri" w:cs="Calibri"/>
          <w:i/>
          <w:iCs/>
          <w:color w:val="7030A0"/>
          <w:sz w:val="20"/>
          <w:szCs w:val="20"/>
        </w:rPr>
        <w:t xml:space="preserve"> Geriatr</w:t>
      </w:r>
      <w:r w:rsidR="000A37C3" w:rsidRPr="0038014E">
        <w:rPr>
          <w:rFonts w:ascii="Calibri" w:eastAsia="Times New Roman" w:hAnsi="Calibri" w:cs="Calibri"/>
          <w:i/>
          <w:iCs/>
          <w:color w:val="7030A0"/>
          <w:sz w:val="20"/>
          <w:szCs w:val="20"/>
        </w:rPr>
        <w:t>ic</w:t>
      </w:r>
      <w:r w:rsidRPr="0038014E">
        <w:rPr>
          <w:rFonts w:ascii="Calibri" w:eastAsia="Times New Roman" w:hAnsi="Calibri" w:cs="Calibri"/>
          <w:i/>
          <w:iCs/>
          <w:color w:val="7030A0"/>
          <w:sz w:val="20"/>
          <w:szCs w:val="20"/>
        </w:rPr>
        <w:t xml:space="preserve"> Med</w:t>
      </w:r>
      <w:r w:rsidR="000A37C3" w:rsidRPr="0038014E">
        <w:rPr>
          <w:rFonts w:ascii="Calibri" w:eastAsia="Times New Roman" w:hAnsi="Calibri" w:cs="Calibri"/>
          <w:i/>
          <w:iCs/>
          <w:color w:val="7030A0"/>
          <w:sz w:val="20"/>
          <w:szCs w:val="20"/>
        </w:rPr>
        <w:t>icine</w:t>
      </w:r>
      <w:r w:rsidR="006C429D" w:rsidRPr="0038014E">
        <w:rPr>
          <w:rFonts w:ascii="Calibri" w:eastAsia="Times New Roman" w:hAnsi="Calibri" w:cs="Calibri"/>
          <w:i/>
          <w:iCs/>
          <w:color w:val="7030A0"/>
          <w:sz w:val="20"/>
          <w:szCs w:val="20"/>
        </w:rPr>
        <w:t>,</w:t>
      </w:r>
      <w:r w:rsidRPr="0038014E">
        <w:rPr>
          <w:rFonts w:ascii="Calibri" w:eastAsia="Times New Roman" w:hAnsi="Calibri" w:cs="Calibri"/>
          <w:i/>
          <w:iCs/>
          <w:color w:val="7030A0"/>
          <w:sz w:val="20"/>
          <w:szCs w:val="20"/>
        </w:rPr>
        <w:t xml:space="preserve"> 25</w:t>
      </w:r>
      <w:r w:rsidRPr="0038014E">
        <w:rPr>
          <w:rFonts w:ascii="Calibri" w:eastAsia="Times New Roman" w:hAnsi="Calibri" w:cs="Calibri"/>
          <w:color w:val="7030A0"/>
          <w:sz w:val="20"/>
          <w:szCs w:val="20"/>
        </w:rPr>
        <w:t>(3), 423-36.</w:t>
      </w:r>
    </w:p>
    <w:p w14:paraId="61B52DBF" w14:textId="794C9B08" w:rsidR="00AB27BA" w:rsidRPr="00920221" w:rsidRDefault="00AB27BA" w:rsidP="005A0E2D">
      <w:pPr>
        <w:spacing w:after="240"/>
        <w:ind w:left="792"/>
        <w:rPr>
          <w:rFonts w:ascii="Calibri" w:eastAsia="Times New Roman" w:hAnsi="Calibri" w:cs="Calibri"/>
          <w:color w:val="C00000"/>
          <w:sz w:val="20"/>
          <w:szCs w:val="20"/>
        </w:rPr>
      </w:pPr>
      <w:r w:rsidRPr="00920221">
        <w:rPr>
          <w:rFonts w:ascii="Calibri" w:eastAsia="Times New Roman" w:hAnsi="Calibri" w:cs="Calibri"/>
          <w:color w:val="C00000"/>
          <w:sz w:val="20"/>
          <w:szCs w:val="20"/>
        </w:rPr>
        <w:t xml:space="preserve">Nicolle, L. E. (2016). Urinary tract infections in the older </w:t>
      </w:r>
      <w:r w:rsidR="00A75C8F" w:rsidRPr="00920221">
        <w:rPr>
          <w:rFonts w:ascii="Calibri" w:eastAsia="Times New Roman" w:hAnsi="Calibri" w:cs="Calibri"/>
          <w:color w:val="C00000"/>
          <w:sz w:val="20"/>
          <w:szCs w:val="20"/>
        </w:rPr>
        <w:t>adult.</w:t>
      </w:r>
      <w:r w:rsidR="00A75C8F" w:rsidRPr="00920221">
        <w:rPr>
          <w:rFonts w:ascii="Calibri" w:eastAsia="Times New Roman" w:hAnsi="Calibri" w:cs="Calibri"/>
          <w:i/>
          <w:iCs/>
          <w:color w:val="C00000"/>
          <w:sz w:val="20"/>
          <w:szCs w:val="20"/>
        </w:rPr>
        <w:t xml:space="preserve"> Clinics</w:t>
      </w:r>
      <w:r w:rsidR="008F4E67" w:rsidRPr="00920221">
        <w:rPr>
          <w:rFonts w:ascii="Calibri" w:eastAsia="Times New Roman" w:hAnsi="Calibri" w:cs="Calibri"/>
          <w:i/>
          <w:iCs/>
          <w:color w:val="C00000"/>
          <w:sz w:val="20"/>
          <w:szCs w:val="20"/>
        </w:rPr>
        <w:t xml:space="preserve"> in </w:t>
      </w:r>
      <w:r w:rsidR="009309DB" w:rsidRPr="00920221">
        <w:rPr>
          <w:rFonts w:ascii="Calibri" w:eastAsia="Times New Roman" w:hAnsi="Calibri" w:cs="Calibri"/>
          <w:i/>
          <w:iCs/>
          <w:color w:val="C00000"/>
          <w:sz w:val="20"/>
          <w:szCs w:val="20"/>
        </w:rPr>
        <w:t>Geriatr</w:t>
      </w:r>
      <w:r w:rsidR="008F4E67" w:rsidRPr="00920221">
        <w:rPr>
          <w:rFonts w:ascii="Calibri" w:eastAsia="Times New Roman" w:hAnsi="Calibri" w:cs="Calibri"/>
          <w:i/>
          <w:iCs/>
          <w:color w:val="C00000"/>
          <w:sz w:val="20"/>
          <w:szCs w:val="20"/>
        </w:rPr>
        <w:t>ic</w:t>
      </w:r>
      <w:r w:rsidR="009309DB" w:rsidRPr="00920221">
        <w:rPr>
          <w:rFonts w:ascii="Calibri" w:eastAsia="Times New Roman" w:hAnsi="Calibri" w:cs="Calibri"/>
          <w:i/>
          <w:iCs/>
          <w:color w:val="C00000"/>
          <w:sz w:val="20"/>
          <w:szCs w:val="20"/>
        </w:rPr>
        <w:t xml:space="preserve"> Med</w:t>
      </w:r>
      <w:r w:rsidR="008F4E67" w:rsidRPr="00920221">
        <w:rPr>
          <w:rFonts w:ascii="Calibri" w:eastAsia="Times New Roman" w:hAnsi="Calibri" w:cs="Calibri"/>
          <w:i/>
          <w:iCs/>
          <w:color w:val="C00000"/>
          <w:sz w:val="20"/>
          <w:szCs w:val="20"/>
        </w:rPr>
        <w:t>icine</w:t>
      </w:r>
      <w:r w:rsidRPr="00920221">
        <w:rPr>
          <w:rFonts w:ascii="Calibri" w:eastAsia="Times New Roman" w:hAnsi="Calibri" w:cs="Calibri"/>
          <w:i/>
          <w:iCs/>
          <w:color w:val="C00000"/>
          <w:sz w:val="20"/>
          <w:szCs w:val="20"/>
        </w:rPr>
        <w:t>, 32</w:t>
      </w:r>
      <w:r w:rsidRPr="00920221">
        <w:rPr>
          <w:rFonts w:ascii="Calibri" w:eastAsia="Times New Roman" w:hAnsi="Calibri" w:cs="Calibri"/>
          <w:color w:val="C00000"/>
          <w:sz w:val="20"/>
          <w:szCs w:val="20"/>
        </w:rPr>
        <w:t>(3), 523-538.</w:t>
      </w:r>
    </w:p>
    <w:p w14:paraId="46CDC974" w14:textId="0280FD02" w:rsidR="008F4E67" w:rsidRPr="0038014E" w:rsidRDefault="008F4E67" w:rsidP="005A0E2D">
      <w:pPr>
        <w:spacing w:after="240"/>
        <w:ind w:left="792"/>
        <w:rPr>
          <w:rFonts w:ascii="Calibri" w:eastAsia="Times New Roman" w:hAnsi="Calibri" w:cs="Calibri"/>
          <w:color w:val="7030A0"/>
          <w:sz w:val="20"/>
          <w:szCs w:val="20"/>
        </w:rPr>
      </w:pPr>
      <w:r w:rsidRPr="0038014E">
        <w:rPr>
          <w:rFonts w:ascii="Calibri" w:eastAsia="Times New Roman" w:hAnsi="Calibri" w:cs="Calibri"/>
          <w:color w:val="7030A0"/>
          <w:sz w:val="20"/>
          <w:szCs w:val="20"/>
        </w:rPr>
        <w:t>Saint S</w:t>
      </w:r>
      <w:r w:rsidR="00543D95" w:rsidRPr="0038014E">
        <w:rPr>
          <w:rFonts w:ascii="Calibri" w:eastAsia="Times New Roman" w:hAnsi="Calibri" w:cs="Calibri"/>
          <w:color w:val="7030A0"/>
          <w:sz w:val="20"/>
          <w:szCs w:val="20"/>
        </w:rPr>
        <w:t>.</w:t>
      </w:r>
      <w:r w:rsidRPr="0038014E">
        <w:rPr>
          <w:rFonts w:ascii="Calibri" w:eastAsia="Times New Roman" w:hAnsi="Calibri" w:cs="Calibri"/>
          <w:color w:val="7030A0"/>
          <w:sz w:val="20"/>
          <w:szCs w:val="20"/>
        </w:rPr>
        <w:t>, Kau</w:t>
      </w:r>
      <w:r w:rsidR="009E1035" w:rsidRPr="0038014E">
        <w:rPr>
          <w:rFonts w:ascii="Calibri" w:eastAsia="Times New Roman" w:hAnsi="Calibri" w:cs="Calibri"/>
          <w:color w:val="7030A0"/>
          <w:sz w:val="20"/>
          <w:szCs w:val="20"/>
        </w:rPr>
        <w:t>f</w:t>
      </w:r>
      <w:r w:rsidRPr="0038014E">
        <w:rPr>
          <w:rFonts w:ascii="Calibri" w:eastAsia="Times New Roman" w:hAnsi="Calibri" w:cs="Calibri"/>
          <w:color w:val="7030A0"/>
          <w:sz w:val="20"/>
          <w:szCs w:val="20"/>
        </w:rPr>
        <w:t>man</w:t>
      </w:r>
      <w:r w:rsidR="009E1035" w:rsidRPr="0038014E">
        <w:rPr>
          <w:rFonts w:ascii="Calibri" w:eastAsia="Times New Roman" w:hAnsi="Calibri" w:cs="Calibri"/>
          <w:color w:val="7030A0"/>
          <w:sz w:val="20"/>
          <w:szCs w:val="20"/>
        </w:rPr>
        <w:t>n</w:t>
      </w:r>
      <w:r w:rsidRPr="0038014E">
        <w:rPr>
          <w:rFonts w:ascii="Calibri" w:eastAsia="Times New Roman" w:hAnsi="Calibri" w:cs="Calibri"/>
          <w:color w:val="7030A0"/>
          <w:sz w:val="20"/>
          <w:szCs w:val="20"/>
        </w:rPr>
        <w:t xml:space="preserve"> S.R., Ro</w:t>
      </w:r>
      <w:r w:rsidR="009E1035" w:rsidRPr="0038014E">
        <w:rPr>
          <w:rFonts w:ascii="Calibri" w:eastAsia="Times New Roman" w:hAnsi="Calibri" w:cs="Calibri"/>
          <w:color w:val="7030A0"/>
          <w:sz w:val="20"/>
          <w:szCs w:val="20"/>
        </w:rPr>
        <w:t>g</w:t>
      </w:r>
      <w:r w:rsidRPr="0038014E">
        <w:rPr>
          <w:rFonts w:ascii="Calibri" w:eastAsia="Times New Roman" w:hAnsi="Calibri" w:cs="Calibri"/>
          <w:color w:val="7030A0"/>
          <w:sz w:val="20"/>
          <w:szCs w:val="20"/>
        </w:rPr>
        <w:t xml:space="preserve">ers M.A.M., </w:t>
      </w:r>
      <w:r w:rsidR="009E1035" w:rsidRPr="0038014E">
        <w:rPr>
          <w:rFonts w:ascii="Calibri" w:eastAsia="Times New Roman" w:hAnsi="Calibri" w:cs="Calibri"/>
          <w:color w:val="7030A0"/>
          <w:sz w:val="20"/>
          <w:szCs w:val="20"/>
        </w:rPr>
        <w:t xml:space="preserve">Baker, P.D., </w:t>
      </w:r>
      <w:proofErr w:type="spellStart"/>
      <w:r w:rsidR="009E1035" w:rsidRPr="0038014E">
        <w:rPr>
          <w:rFonts w:ascii="Calibri" w:eastAsia="Times New Roman" w:hAnsi="Calibri" w:cs="Calibri"/>
          <w:color w:val="7030A0"/>
          <w:sz w:val="20"/>
          <w:szCs w:val="20"/>
        </w:rPr>
        <w:t>Boyko</w:t>
      </w:r>
      <w:proofErr w:type="spellEnd"/>
      <w:r w:rsidR="009E1035" w:rsidRPr="0038014E">
        <w:rPr>
          <w:rFonts w:ascii="Calibri" w:eastAsia="Times New Roman" w:hAnsi="Calibri" w:cs="Calibri"/>
          <w:color w:val="7030A0"/>
          <w:sz w:val="20"/>
          <w:szCs w:val="20"/>
        </w:rPr>
        <w:t xml:space="preserve">, </w:t>
      </w:r>
      <w:proofErr w:type="gramStart"/>
      <w:r w:rsidR="009E1035" w:rsidRPr="0038014E">
        <w:rPr>
          <w:rFonts w:ascii="Calibri" w:eastAsia="Times New Roman" w:hAnsi="Calibri" w:cs="Calibri"/>
          <w:color w:val="7030A0"/>
          <w:sz w:val="20"/>
          <w:szCs w:val="20"/>
        </w:rPr>
        <w:t xml:space="preserve">E.J </w:t>
      </w:r>
      <w:r w:rsidR="00BA3193" w:rsidRPr="0038014E">
        <w:rPr>
          <w:rFonts w:ascii="Calibri" w:eastAsia="Times New Roman" w:hAnsi="Calibri" w:cs="Calibri"/>
          <w:color w:val="7030A0"/>
          <w:sz w:val="20"/>
          <w:szCs w:val="20"/>
        </w:rPr>
        <w:t>,</w:t>
      </w:r>
      <w:r w:rsidR="009E1035" w:rsidRPr="0038014E">
        <w:rPr>
          <w:rFonts w:ascii="Calibri" w:eastAsia="Times New Roman" w:hAnsi="Calibri" w:cs="Calibri"/>
          <w:color w:val="7030A0"/>
          <w:sz w:val="20"/>
          <w:szCs w:val="20"/>
        </w:rPr>
        <w:t>&amp;</w:t>
      </w:r>
      <w:proofErr w:type="gramEnd"/>
      <w:r w:rsidR="009E1035" w:rsidRPr="0038014E">
        <w:rPr>
          <w:rFonts w:ascii="Calibri" w:eastAsia="Times New Roman" w:hAnsi="Calibri" w:cs="Calibri"/>
          <w:color w:val="7030A0"/>
          <w:sz w:val="20"/>
          <w:szCs w:val="20"/>
        </w:rPr>
        <w:t xml:space="preserve"> </w:t>
      </w:r>
      <w:proofErr w:type="spellStart"/>
      <w:r w:rsidR="009E1035" w:rsidRPr="0038014E">
        <w:rPr>
          <w:rFonts w:ascii="Calibri" w:eastAsia="Times New Roman" w:hAnsi="Calibri" w:cs="Calibri"/>
          <w:color w:val="7030A0"/>
          <w:sz w:val="20"/>
          <w:szCs w:val="20"/>
        </w:rPr>
        <w:t>Lipsky</w:t>
      </w:r>
      <w:proofErr w:type="spellEnd"/>
      <w:r w:rsidR="009E1035" w:rsidRPr="0038014E">
        <w:rPr>
          <w:rFonts w:ascii="Calibri" w:eastAsia="Times New Roman" w:hAnsi="Calibri" w:cs="Calibri"/>
          <w:color w:val="7030A0"/>
          <w:sz w:val="20"/>
          <w:szCs w:val="20"/>
        </w:rPr>
        <w:t>, B.A.</w:t>
      </w:r>
      <w:r w:rsidRPr="0038014E">
        <w:rPr>
          <w:rFonts w:ascii="Calibri" w:eastAsia="Times New Roman" w:hAnsi="Calibri" w:cs="Calibri"/>
          <w:color w:val="7030A0"/>
          <w:sz w:val="20"/>
          <w:szCs w:val="20"/>
        </w:rPr>
        <w:t xml:space="preserve"> (2006) Risk factors for nosocomial urinary tract-related bacteremia: A case control study. </w:t>
      </w:r>
      <w:r w:rsidRPr="0038014E">
        <w:rPr>
          <w:rFonts w:ascii="Calibri" w:eastAsia="Times New Roman" w:hAnsi="Calibri" w:cs="Calibri"/>
          <w:i/>
          <w:iCs/>
          <w:color w:val="7030A0"/>
          <w:sz w:val="20"/>
          <w:szCs w:val="20"/>
        </w:rPr>
        <w:t>American Journal of Infection Control</w:t>
      </w:r>
      <w:r w:rsidRPr="0038014E">
        <w:rPr>
          <w:rFonts w:ascii="Calibri" w:eastAsia="Times New Roman" w:hAnsi="Calibri" w:cs="Calibri"/>
          <w:color w:val="7030A0"/>
          <w:sz w:val="20"/>
          <w:szCs w:val="20"/>
        </w:rPr>
        <w:t xml:space="preserve">, </w:t>
      </w:r>
      <w:r w:rsidRPr="0038014E">
        <w:rPr>
          <w:rFonts w:ascii="Calibri" w:eastAsia="Times New Roman" w:hAnsi="Calibri" w:cs="Calibri"/>
          <w:i/>
          <w:iCs/>
          <w:color w:val="7030A0"/>
          <w:sz w:val="20"/>
          <w:szCs w:val="20"/>
        </w:rPr>
        <w:t>34</w:t>
      </w:r>
      <w:r w:rsidRPr="0038014E">
        <w:rPr>
          <w:rFonts w:ascii="Calibri" w:eastAsia="Times New Roman" w:hAnsi="Calibri" w:cs="Calibri"/>
          <w:color w:val="7030A0"/>
          <w:sz w:val="20"/>
          <w:szCs w:val="20"/>
        </w:rPr>
        <w:t>(7)</w:t>
      </w:r>
      <w:proofErr w:type="gramStart"/>
      <w:r w:rsidR="006C429D" w:rsidRPr="0038014E">
        <w:rPr>
          <w:rFonts w:ascii="Calibri" w:eastAsia="Times New Roman" w:hAnsi="Calibri" w:cs="Calibri"/>
          <w:color w:val="7030A0"/>
          <w:sz w:val="20"/>
          <w:szCs w:val="20"/>
        </w:rPr>
        <w:t>,</w:t>
      </w:r>
      <w:r w:rsidRPr="0038014E">
        <w:rPr>
          <w:rFonts w:ascii="Calibri" w:eastAsia="Times New Roman" w:hAnsi="Calibri" w:cs="Calibri"/>
          <w:color w:val="7030A0"/>
          <w:sz w:val="20"/>
          <w:szCs w:val="20"/>
        </w:rPr>
        <w:t>401</w:t>
      </w:r>
      <w:proofErr w:type="gramEnd"/>
      <w:r w:rsidRPr="0038014E">
        <w:rPr>
          <w:rFonts w:ascii="Calibri" w:eastAsia="Times New Roman" w:hAnsi="Calibri" w:cs="Calibri"/>
          <w:color w:val="7030A0"/>
          <w:sz w:val="20"/>
          <w:szCs w:val="20"/>
        </w:rPr>
        <w:t>-7.</w:t>
      </w:r>
    </w:p>
    <w:p w14:paraId="36A0968F" w14:textId="039A7DC8" w:rsidR="009309DB" w:rsidRPr="00920221" w:rsidRDefault="009309DB" w:rsidP="005A0E2D">
      <w:pPr>
        <w:spacing w:after="240"/>
        <w:ind w:left="792"/>
        <w:rPr>
          <w:rFonts w:ascii="Calibri" w:eastAsia="Times New Roman" w:hAnsi="Calibri" w:cs="Calibri"/>
          <w:color w:val="C00000"/>
          <w:sz w:val="20"/>
          <w:szCs w:val="20"/>
        </w:rPr>
      </w:pPr>
      <w:r w:rsidRPr="00920221">
        <w:rPr>
          <w:rFonts w:ascii="Calibri" w:eastAsia="Times New Roman" w:hAnsi="Calibri" w:cs="Calibri"/>
          <w:color w:val="C00000"/>
          <w:sz w:val="20"/>
          <w:szCs w:val="20"/>
        </w:rPr>
        <w:t xml:space="preserve">Smith, S. N., Greene, M. T., </w:t>
      </w:r>
      <w:proofErr w:type="spellStart"/>
      <w:r w:rsidRPr="00920221">
        <w:rPr>
          <w:rFonts w:ascii="Calibri" w:eastAsia="Times New Roman" w:hAnsi="Calibri" w:cs="Calibri"/>
          <w:color w:val="C00000"/>
          <w:sz w:val="20"/>
          <w:szCs w:val="20"/>
        </w:rPr>
        <w:t>Mody</w:t>
      </w:r>
      <w:proofErr w:type="spellEnd"/>
      <w:r w:rsidRPr="00920221">
        <w:rPr>
          <w:rFonts w:ascii="Calibri" w:eastAsia="Times New Roman" w:hAnsi="Calibri" w:cs="Calibri"/>
          <w:color w:val="C00000"/>
          <w:sz w:val="20"/>
          <w:szCs w:val="20"/>
        </w:rPr>
        <w:t xml:space="preserve">, L., </w:t>
      </w:r>
      <w:proofErr w:type="spellStart"/>
      <w:r w:rsidRPr="00920221">
        <w:rPr>
          <w:rFonts w:ascii="Calibri" w:eastAsia="Times New Roman" w:hAnsi="Calibri" w:cs="Calibri"/>
          <w:color w:val="C00000"/>
          <w:sz w:val="20"/>
          <w:szCs w:val="20"/>
        </w:rPr>
        <w:t>Banaszak-Holl</w:t>
      </w:r>
      <w:proofErr w:type="spellEnd"/>
      <w:r w:rsidRPr="00920221">
        <w:rPr>
          <w:rFonts w:ascii="Calibri" w:eastAsia="Times New Roman" w:hAnsi="Calibri" w:cs="Calibri"/>
          <w:color w:val="C00000"/>
          <w:sz w:val="20"/>
          <w:szCs w:val="20"/>
        </w:rPr>
        <w:t xml:space="preserve">, J., Petersen, L. D., &amp; </w:t>
      </w:r>
      <w:proofErr w:type="spellStart"/>
      <w:r w:rsidRPr="00920221">
        <w:rPr>
          <w:rFonts w:ascii="Calibri" w:eastAsia="Times New Roman" w:hAnsi="Calibri" w:cs="Calibri"/>
          <w:color w:val="C00000"/>
          <w:sz w:val="20"/>
          <w:szCs w:val="20"/>
        </w:rPr>
        <w:t>Meddings</w:t>
      </w:r>
      <w:proofErr w:type="spellEnd"/>
      <w:r w:rsidRPr="00920221">
        <w:rPr>
          <w:rFonts w:ascii="Calibri" w:eastAsia="Times New Roman" w:hAnsi="Calibri" w:cs="Calibri"/>
          <w:color w:val="C00000"/>
          <w:sz w:val="20"/>
          <w:szCs w:val="20"/>
        </w:rPr>
        <w:t xml:space="preserve">, J. (2018). Evaluation of the association between Nursing Home Survey on Patient Safety culture (NHSOPS) measures and catheter-associated urinary tract infections: </w:t>
      </w:r>
      <w:r w:rsidR="003B6356" w:rsidRPr="00920221">
        <w:rPr>
          <w:rFonts w:ascii="Calibri" w:eastAsia="Times New Roman" w:hAnsi="Calibri" w:cs="Calibri"/>
          <w:color w:val="C00000"/>
          <w:sz w:val="20"/>
          <w:szCs w:val="20"/>
        </w:rPr>
        <w:t>R</w:t>
      </w:r>
      <w:r w:rsidRPr="00920221">
        <w:rPr>
          <w:rFonts w:ascii="Calibri" w:eastAsia="Times New Roman" w:hAnsi="Calibri" w:cs="Calibri"/>
          <w:color w:val="C00000"/>
          <w:sz w:val="20"/>
          <w:szCs w:val="20"/>
        </w:rPr>
        <w:t xml:space="preserve">esults of a national collaborative. </w:t>
      </w:r>
      <w:r w:rsidRPr="00920221">
        <w:rPr>
          <w:rFonts w:ascii="Calibri" w:eastAsia="Times New Roman" w:hAnsi="Calibri" w:cs="Calibri"/>
          <w:i/>
          <w:iCs/>
          <w:color w:val="C00000"/>
          <w:sz w:val="20"/>
          <w:szCs w:val="20"/>
        </w:rPr>
        <w:t>BMJ Qual</w:t>
      </w:r>
      <w:r w:rsidR="008F4E67" w:rsidRPr="00920221">
        <w:rPr>
          <w:rFonts w:ascii="Calibri" w:eastAsia="Times New Roman" w:hAnsi="Calibri" w:cs="Calibri"/>
          <w:i/>
          <w:iCs/>
          <w:color w:val="C00000"/>
          <w:sz w:val="20"/>
          <w:szCs w:val="20"/>
        </w:rPr>
        <w:t>ity &amp;</w:t>
      </w:r>
      <w:r w:rsidRPr="00920221">
        <w:rPr>
          <w:rFonts w:ascii="Calibri" w:eastAsia="Times New Roman" w:hAnsi="Calibri" w:cs="Calibri"/>
          <w:i/>
          <w:iCs/>
          <w:color w:val="C00000"/>
          <w:sz w:val="20"/>
          <w:szCs w:val="20"/>
        </w:rPr>
        <w:t xml:space="preserve"> Saf</w:t>
      </w:r>
      <w:r w:rsidR="008F4E67" w:rsidRPr="00920221">
        <w:rPr>
          <w:rFonts w:ascii="Calibri" w:eastAsia="Times New Roman" w:hAnsi="Calibri" w:cs="Calibri"/>
          <w:i/>
          <w:iCs/>
          <w:color w:val="C00000"/>
          <w:sz w:val="20"/>
          <w:szCs w:val="20"/>
        </w:rPr>
        <w:t>ety</w:t>
      </w:r>
      <w:r w:rsidRPr="00920221">
        <w:rPr>
          <w:rFonts w:ascii="Calibri" w:eastAsia="Times New Roman" w:hAnsi="Calibri" w:cs="Calibri"/>
          <w:i/>
          <w:iCs/>
          <w:color w:val="C00000"/>
          <w:sz w:val="20"/>
          <w:szCs w:val="20"/>
        </w:rPr>
        <w:t>, 27</w:t>
      </w:r>
      <w:r w:rsidRPr="00920221">
        <w:rPr>
          <w:rFonts w:ascii="Calibri" w:eastAsia="Times New Roman" w:hAnsi="Calibri" w:cs="Calibri"/>
          <w:color w:val="C00000"/>
          <w:sz w:val="20"/>
          <w:szCs w:val="20"/>
        </w:rPr>
        <w:t>(6), 464-473.</w:t>
      </w:r>
    </w:p>
    <w:p w14:paraId="3DC3AE3D" w14:textId="350A4900" w:rsidR="001D245F" w:rsidRPr="00920221" w:rsidRDefault="00607A25" w:rsidP="005A0E2D">
      <w:pPr>
        <w:spacing w:after="240"/>
        <w:ind w:left="792"/>
        <w:rPr>
          <w:rFonts w:ascii="Calibri" w:eastAsia="Times New Roman" w:hAnsi="Calibri" w:cs="Calibri"/>
          <w:color w:val="C00000"/>
          <w:sz w:val="20"/>
          <w:szCs w:val="20"/>
        </w:rPr>
      </w:pPr>
      <w:proofErr w:type="spellStart"/>
      <w:r w:rsidRPr="00920221">
        <w:rPr>
          <w:rFonts w:ascii="Calibri" w:eastAsia="Times New Roman" w:hAnsi="Calibri" w:cs="Calibri"/>
          <w:color w:val="C00000"/>
          <w:sz w:val="20"/>
          <w:szCs w:val="20"/>
        </w:rPr>
        <w:t>Trautner</w:t>
      </w:r>
      <w:proofErr w:type="spellEnd"/>
      <w:r w:rsidRPr="00920221">
        <w:rPr>
          <w:rFonts w:ascii="Calibri" w:eastAsia="Times New Roman" w:hAnsi="Calibri" w:cs="Calibri"/>
          <w:color w:val="C00000"/>
          <w:sz w:val="20"/>
          <w:szCs w:val="20"/>
        </w:rPr>
        <w:t xml:space="preserve">, B. W., Greene, M. T., </w:t>
      </w:r>
      <w:proofErr w:type="spellStart"/>
      <w:r w:rsidRPr="00920221">
        <w:rPr>
          <w:rFonts w:ascii="Calibri" w:eastAsia="Times New Roman" w:hAnsi="Calibri" w:cs="Calibri"/>
          <w:color w:val="C00000"/>
          <w:sz w:val="20"/>
          <w:szCs w:val="20"/>
        </w:rPr>
        <w:t>Krein</w:t>
      </w:r>
      <w:proofErr w:type="spellEnd"/>
      <w:r w:rsidRPr="00920221">
        <w:rPr>
          <w:rFonts w:ascii="Calibri" w:eastAsia="Times New Roman" w:hAnsi="Calibri" w:cs="Calibri"/>
          <w:color w:val="C00000"/>
          <w:sz w:val="20"/>
          <w:szCs w:val="20"/>
        </w:rPr>
        <w:t>, S. L., Wald, H. L., Saint, S., Rolle, A. J.,...</w:t>
      </w:r>
      <w:proofErr w:type="spellStart"/>
      <w:r w:rsidRPr="00920221">
        <w:rPr>
          <w:rFonts w:ascii="Calibri" w:eastAsia="Times New Roman" w:hAnsi="Calibri" w:cs="Calibri"/>
          <w:color w:val="C00000"/>
          <w:sz w:val="20"/>
          <w:szCs w:val="20"/>
        </w:rPr>
        <w:t>Mody</w:t>
      </w:r>
      <w:proofErr w:type="spellEnd"/>
      <w:r w:rsidRPr="00920221">
        <w:rPr>
          <w:rFonts w:ascii="Calibri" w:eastAsia="Times New Roman" w:hAnsi="Calibri" w:cs="Calibri"/>
          <w:color w:val="C00000"/>
          <w:sz w:val="20"/>
          <w:szCs w:val="20"/>
        </w:rPr>
        <w:t xml:space="preserve">, L. (2017). Infection prevention and antimicrobial stewardship knowledge for selected infections among nursing home personnel. </w:t>
      </w:r>
      <w:r w:rsidR="008F4E67" w:rsidRPr="00920221">
        <w:rPr>
          <w:rFonts w:ascii="Calibri" w:eastAsia="Times New Roman" w:hAnsi="Calibri" w:cs="Calibri"/>
          <w:i/>
          <w:iCs/>
          <w:color w:val="C00000"/>
          <w:sz w:val="20"/>
          <w:szCs w:val="20"/>
        </w:rPr>
        <w:t>I</w:t>
      </w:r>
      <w:r w:rsidRPr="00920221">
        <w:rPr>
          <w:rFonts w:ascii="Calibri" w:eastAsia="Times New Roman" w:hAnsi="Calibri" w:cs="Calibri"/>
          <w:i/>
          <w:iCs/>
          <w:color w:val="C00000"/>
          <w:sz w:val="20"/>
          <w:szCs w:val="20"/>
        </w:rPr>
        <w:t xml:space="preserve">nfection </w:t>
      </w:r>
      <w:r w:rsidR="008F4E67" w:rsidRPr="00920221">
        <w:rPr>
          <w:rFonts w:ascii="Calibri" w:eastAsia="Times New Roman" w:hAnsi="Calibri" w:cs="Calibri"/>
          <w:i/>
          <w:iCs/>
          <w:color w:val="C00000"/>
          <w:sz w:val="20"/>
          <w:szCs w:val="20"/>
        </w:rPr>
        <w:t>C</w:t>
      </w:r>
      <w:r w:rsidRPr="00920221">
        <w:rPr>
          <w:rFonts w:ascii="Calibri" w:eastAsia="Times New Roman" w:hAnsi="Calibri" w:cs="Calibri"/>
          <w:i/>
          <w:iCs/>
          <w:color w:val="C00000"/>
          <w:sz w:val="20"/>
          <w:szCs w:val="20"/>
        </w:rPr>
        <w:t xml:space="preserve">ontrol &amp; </w:t>
      </w:r>
      <w:r w:rsidR="008F4E67" w:rsidRPr="00920221">
        <w:rPr>
          <w:rFonts w:ascii="Calibri" w:eastAsia="Times New Roman" w:hAnsi="Calibri" w:cs="Calibri"/>
          <w:i/>
          <w:iCs/>
          <w:color w:val="C00000"/>
          <w:sz w:val="20"/>
          <w:szCs w:val="20"/>
        </w:rPr>
        <w:t>H</w:t>
      </w:r>
      <w:r w:rsidRPr="00920221">
        <w:rPr>
          <w:rFonts w:ascii="Calibri" w:eastAsia="Times New Roman" w:hAnsi="Calibri" w:cs="Calibri"/>
          <w:i/>
          <w:iCs/>
          <w:color w:val="C00000"/>
          <w:sz w:val="20"/>
          <w:szCs w:val="20"/>
        </w:rPr>
        <w:t xml:space="preserve">ospital </w:t>
      </w:r>
      <w:r w:rsidR="008F4E67" w:rsidRPr="00920221">
        <w:rPr>
          <w:rFonts w:ascii="Calibri" w:eastAsia="Times New Roman" w:hAnsi="Calibri" w:cs="Calibri"/>
          <w:i/>
          <w:iCs/>
          <w:color w:val="C00000"/>
          <w:sz w:val="20"/>
          <w:szCs w:val="20"/>
        </w:rPr>
        <w:t>E</w:t>
      </w:r>
      <w:r w:rsidRPr="00920221">
        <w:rPr>
          <w:rFonts w:ascii="Calibri" w:eastAsia="Times New Roman" w:hAnsi="Calibri" w:cs="Calibri"/>
          <w:i/>
          <w:iCs/>
          <w:color w:val="C00000"/>
          <w:sz w:val="20"/>
          <w:szCs w:val="20"/>
        </w:rPr>
        <w:t>pidemiology, 38</w:t>
      </w:r>
      <w:r w:rsidRPr="00920221">
        <w:rPr>
          <w:rFonts w:ascii="Calibri" w:eastAsia="Times New Roman" w:hAnsi="Calibri" w:cs="Calibri"/>
          <w:color w:val="C00000"/>
          <w:sz w:val="20"/>
          <w:szCs w:val="20"/>
        </w:rPr>
        <w:t>(1), 83-88.</w:t>
      </w:r>
    </w:p>
    <w:p w14:paraId="2578FA0A" w14:textId="15D0B2C7" w:rsidR="00E65D9E" w:rsidRPr="00920221" w:rsidRDefault="002B4F7D" w:rsidP="005A0E2D">
      <w:pPr>
        <w:spacing w:after="240"/>
        <w:ind w:left="792"/>
        <w:rPr>
          <w:iCs/>
          <w:color w:val="C00000"/>
          <w:sz w:val="20"/>
          <w:szCs w:val="20"/>
        </w:rPr>
      </w:pPr>
      <w:r w:rsidRPr="00920221">
        <w:rPr>
          <w:color w:val="C00000"/>
          <w:sz w:val="20"/>
          <w:szCs w:val="20"/>
        </w:rPr>
        <w:t xml:space="preserve">Wolff, M. L., et al. (2016). </w:t>
      </w:r>
      <w:r w:rsidR="006C429D" w:rsidRPr="00920221">
        <w:rPr>
          <w:color w:val="C00000"/>
          <w:sz w:val="20"/>
          <w:szCs w:val="20"/>
        </w:rPr>
        <w:t>A</w:t>
      </w:r>
      <w:r w:rsidRPr="00920221">
        <w:rPr>
          <w:color w:val="C00000"/>
          <w:sz w:val="20"/>
          <w:szCs w:val="20"/>
        </w:rPr>
        <w:t xml:space="preserve">n </w:t>
      </w:r>
      <w:r w:rsidR="006C429D" w:rsidRPr="00920221">
        <w:rPr>
          <w:color w:val="C00000"/>
          <w:sz w:val="20"/>
          <w:szCs w:val="20"/>
        </w:rPr>
        <w:t>i</w:t>
      </w:r>
      <w:r w:rsidRPr="00920221">
        <w:rPr>
          <w:color w:val="C00000"/>
          <w:sz w:val="20"/>
          <w:szCs w:val="20"/>
        </w:rPr>
        <w:t xml:space="preserve">nnovative </w:t>
      </w:r>
      <w:r w:rsidR="006C429D" w:rsidRPr="00920221">
        <w:rPr>
          <w:color w:val="C00000"/>
          <w:sz w:val="20"/>
          <w:szCs w:val="20"/>
        </w:rPr>
        <w:t>q</w:t>
      </w:r>
      <w:r w:rsidRPr="00920221">
        <w:rPr>
          <w:color w:val="C00000"/>
          <w:sz w:val="20"/>
          <w:szCs w:val="20"/>
        </w:rPr>
        <w:t xml:space="preserve">uality </w:t>
      </w:r>
      <w:r w:rsidR="006C429D" w:rsidRPr="00920221">
        <w:rPr>
          <w:color w:val="C00000"/>
          <w:sz w:val="20"/>
          <w:szCs w:val="20"/>
        </w:rPr>
        <w:t>a</w:t>
      </w:r>
      <w:r w:rsidRPr="00920221">
        <w:rPr>
          <w:color w:val="C00000"/>
          <w:sz w:val="20"/>
          <w:szCs w:val="20"/>
        </w:rPr>
        <w:t xml:space="preserve">ssurance </w:t>
      </w:r>
      <w:r w:rsidR="006C429D" w:rsidRPr="00920221">
        <w:rPr>
          <w:color w:val="C00000"/>
          <w:sz w:val="20"/>
          <w:szCs w:val="20"/>
        </w:rPr>
        <w:t>a</w:t>
      </w:r>
      <w:r w:rsidRPr="00920221">
        <w:rPr>
          <w:color w:val="C00000"/>
          <w:sz w:val="20"/>
          <w:szCs w:val="20"/>
        </w:rPr>
        <w:t xml:space="preserve">ctivity to </w:t>
      </w:r>
      <w:r w:rsidR="006C429D" w:rsidRPr="00920221">
        <w:rPr>
          <w:color w:val="C00000"/>
          <w:sz w:val="20"/>
          <w:szCs w:val="20"/>
        </w:rPr>
        <w:t>r</w:t>
      </w:r>
      <w:r w:rsidRPr="00920221">
        <w:rPr>
          <w:color w:val="C00000"/>
          <w:sz w:val="20"/>
          <w:szCs w:val="20"/>
        </w:rPr>
        <w:t xml:space="preserve">educe </w:t>
      </w:r>
      <w:r w:rsidR="006C429D" w:rsidRPr="00920221">
        <w:rPr>
          <w:color w:val="C00000"/>
          <w:sz w:val="20"/>
          <w:szCs w:val="20"/>
        </w:rPr>
        <w:t>u</w:t>
      </w:r>
      <w:r w:rsidRPr="00920221">
        <w:rPr>
          <w:color w:val="C00000"/>
          <w:sz w:val="20"/>
          <w:szCs w:val="20"/>
        </w:rPr>
        <w:t xml:space="preserve">rinary </w:t>
      </w:r>
      <w:r w:rsidR="006C429D" w:rsidRPr="00920221">
        <w:rPr>
          <w:color w:val="C00000"/>
          <w:sz w:val="20"/>
          <w:szCs w:val="20"/>
        </w:rPr>
        <w:t>t</w:t>
      </w:r>
      <w:r w:rsidRPr="00920221">
        <w:rPr>
          <w:color w:val="C00000"/>
          <w:sz w:val="20"/>
          <w:szCs w:val="20"/>
        </w:rPr>
        <w:t xml:space="preserve">ract </w:t>
      </w:r>
      <w:r w:rsidR="006C429D" w:rsidRPr="00920221">
        <w:rPr>
          <w:color w:val="C00000"/>
          <w:sz w:val="20"/>
          <w:szCs w:val="20"/>
        </w:rPr>
        <w:t>i</w:t>
      </w:r>
      <w:r w:rsidRPr="00920221">
        <w:rPr>
          <w:color w:val="C00000"/>
          <w:sz w:val="20"/>
          <w:szCs w:val="20"/>
        </w:rPr>
        <w:t xml:space="preserve">nfection </w:t>
      </w:r>
      <w:r w:rsidR="006C429D" w:rsidRPr="00920221">
        <w:rPr>
          <w:color w:val="C00000"/>
          <w:sz w:val="20"/>
          <w:szCs w:val="20"/>
        </w:rPr>
        <w:t>r</w:t>
      </w:r>
      <w:r w:rsidRPr="00920221">
        <w:rPr>
          <w:color w:val="C00000"/>
          <w:sz w:val="20"/>
          <w:szCs w:val="20"/>
        </w:rPr>
        <w:t xml:space="preserve">ates in a </w:t>
      </w:r>
      <w:r w:rsidR="006C429D" w:rsidRPr="00920221">
        <w:rPr>
          <w:color w:val="C00000"/>
          <w:sz w:val="20"/>
          <w:szCs w:val="20"/>
        </w:rPr>
        <w:t>g</w:t>
      </w:r>
      <w:r w:rsidRPr="00920221">
        <w:rPr>
          <w:color w:val="C00000"/>
          <w:sz w:val="20"/>
          <w:szCs w:val="20"/>
        </w:rPr>
        <w:t xml:space="preserve">reen </w:t>
      </w:r>
      <w:proofErr w:type="spellStart"/>
      <w:r w:rsidR="006C429D" w:rsidRPr="00920221">
        <w:rPr>
          <w:color w:val="C00000"/>
          <w:sz w:val="20"/>
          <w:szCs w:val="20"/>
        </w:rPr>
        <w:t>g</w:t>
      </w:r>
      <w:r w:rsidRPr="00920221">
        <w:rPr>
          <w:color w:val="C00000"/>
          <w:sz w:val="20"/>
          <w:szCs w:val="20"/>
        </w:rPr>
        <w:t>ouse</w:t>
      </w:r>
      <w:proofErr w:type="spellEnd"/>
      <w:r w:rsidRPr="00920221">
        <w:rPr>
          <w:color w:val="C00000"/>
          <w:sz w:val="20"/>
          <w:szCs w:val="20"/>
        </w:rPr>
        <w:t xml:space="preserve"> </w:t>
      </w:r>
      <w:r w:rsidR="006C429D" w:rsidRPr="00920221">
        <w:rPr>
          <w:color w:val="C00000"/>
          <w:sz w:val="20"/>
          <w:szCs w:val="20"/>
        </w:rPr>
        <w:t>s</w:t>
      </w:r>
      <w:r w:rsidRPr="00920221">
        <w:rPr>
          <w:color w:val="C00000"/>
          <w:sz w:val="20"/>
          <w:szCs w:val="20"/>
        </w:rPr>
        <w:t xml:space="preserve">killed </w:t>
      </w:r>
      <w:r w:rsidR="006C429D" w:rsidRPr="00920221">
        <w:rPr>
          <w:color w:val="C00000"/>
          <w:sz w:val="20"/>
          <w:szCs w:val="20"/>
        </w:rPr>
        <w:t>n</w:t>
      </w:r>
      <w:r w:rsidRPr="00920221">
        <w:rPr>
          <w:color w:val="C00000"/>
          <w:sz w:val="20"/>
          <w:szCs w:val="20"/>
        </w:rPr>
        <w:t xml:space="preserve">ursing </w:t>
      </w:r>
      <w:r w:rsidR="006C429D" w:rsidRPr="00920221">
        <w:rPr>
          <w:color w:val="C00000"/>
          <w:sz w:val="20"/>
          <w:szCs w:val="20"/>
        </w:rPr>
        <w:t>s</w:t>
      </w:r>
      <w:r w:rsidRPr="00920221">
        <w:rPr>
          <w:color w:val="C00000"/>
          <w:sz w:val="20"/>
          <w:szCs w:val="20"/>
        </w:rPr>
        <w:t xml:space="preserve">etting." </w:t>
      </w:r>
      <w:r w:rsidRPr="00920221">
        <w:rPr>
          <w:i/>
          <w:iCs/>
          <w:color w:val="C00000"/>
          <w:sz w:val="20"/>
          <w:szCs w:val="20"/>
        </w:rPr>
        <w:t>Annals of Long Term Car</w:t>
      </w:r>
      <w:r w:rsidRPr="00920221">
        <w:rPr>
          <w:color w:val="C00000"/>
          <w:sz w:val="20"/>
          <w:szCs w:val="20"/>
        </w:rPr>
        <w:t>e</w:t>
      </w:r>
      <w:r w:rsidR="006C429D" w:rsidRPr="00920221">
        <w:rPr>
          <w:color w:val="C00000"/>
          <w:sz w:val="20"/>
          <w:szCs w:val="20"/>
        </w:rPr>
        <w:t>,</w:t>
      </w:r>
      <w:r w:rsidRPr="00920221">
        <w:rPr>
          <w:color w:val="C00000"/>
          <w:sz w:val="20"/>
          <w:szCs w:val="20"/>
        </w:rPr>
        <w:t xml:space="preserve"> </w:t>
      </w:r>
      <w:r w:rsidRPr="00920221">
        <w:rPr>
          <w:i/>
          <w:iCs/>
          <w:color w:val="C00000"/>
          <w:sz w:val="20"/>
          <w:szCs w:val="20"/>
        </w:rPr>
        <w:t>24</w:t>
      </w:r>
      <w:r w:rsidRPr="00920221">
        <w:rPr>
          <w:color w:val="C00000"/>
          <w:sz w:val="20"/>
          <w:szCs w:val="20"/>
        </w:rPr>
        <w:t>(10)</w:t>
      </w:r>
      <w:r w:rsidR="006C429D" w:rsidRPr="00920221">
        <w:rPr>
          <w:color w:val="C00000"/>
          <w:sz w:val="20"/>
          <w:szCs w:val="20"/>
        </w:rPr>
        <w:t>,</w:t>
      </w:r>
      <w:r w:rsidRPr="00920221">
        <w:rPr>
          <w:color w:val="C00000"/>
          <w:sz w:val="20"/>
          <w:szCs w:val="20"/>
        </w:rPr>
        <w:t xml:space="preserve"> 17-20.</w:t>
      </w:r>
    </w:p>
    <w:p w14:paraId="33C7741B" w14:textId="200FD0FA" w:rsidR="004922E4" w:rsidRPr="004922E4" w:rsidRDefault="004922E4" w:rsidP="005A0E2D">
      <w:pPr>
        <w:ind w:left="547" w:hanging="547"/>
        <w:rPr>
          <w:b/>
          <w:iCs/>
        </w:rPr>
      </w:pPr>
      <w:r w:rsidRPr="0038014E">
        <w:rPr>
          <w:b/>
          <w:bCs/>
          <w:color w:val="7030A0"/>
        </w:rPr>
        <w:t>1a.3</w:t>
      </w:r>
      <w:r w:rsidR="005A0E2D" w:rsidRPr="0038014E">
        <w:rPr>
          <w:b/>
          <w:bCs/>
          <w:color w:val="7030A0"/>
        </w:rPr>
        <w:tab/>
      </w:r>
      <w:r w:rsidRPr="003E2EA0">
        <w:rPr>
          <w:b/>
          <w:bCs/>
        </w:rPr>
        <w:t>Value and Meaningfulness</w:t>
      </w:r>
      <w:r>
        <w:rPr>
          <w:b/>
          <w:bCs/>
        </w:rPr>
        <w:t>:</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77777777" w:rsidR="004922E4" w:rsidRPr="0038014E" w:rsidRDefault="004922E4" w:rsidP="002E2177">
      <w:pPr>
        <w:ind w:left="432" w:hanging="432"/>
        <w:rPr>
          <w:b/>
          <w:color w:val="7030A0"/>
        </w:rPr>
      </w:pPr>
    </w:p>
    <w:p w14:paraId="55B8DA5D" w14:textId="66A3A629" w:rsidR="00676BD4" w:rsidRPr="0038014E" w:rsidRDefault="00623946" w:rsidP="00F311E7">
      <w:pPr>
        <w:ind w:left="979" w:hanging="432"/>
        <w:rPr>
          <w:color w:val="7030A0"/>
        </w:rPr>
      </w:pPr>
      <w:r w:rsidRPr="0038014E">
        <w:rPr>
          <w:color w:val="7030A0"/>
        </w:rPr>
        <w:t>This is n</w:t>
      </w:r>
      <w:r w:rsidR="00BF1BDC" w:rsidRPr="0038014E">
        <w:rPr>
          <w:color w:val="7030A0"/>
        </w:rPr>
        <w:t>ot applicable</w:t>
      </w:r>
      <w:r w:rsidRPr="0038014E">
        <w:rPr>
          <w:color w:val="7030A0"/>
        </w:rPr>
        <w:t>.</w:t>
      </w:r>
    </w:p>
    <w:p w14:paraId="55B8DA60" w14:textId="77777777" w:rsidR="00676BD4" w:rsidRPr="0038014E" w:rsidRDefault="00676BD4" w:rsidP="00BC5F61">
      <w:pPr>
        <w:ind w:left="0" w:firstLine="0"/>
        <w:rPr>
          <w:b/>
          <w:color w:val="7030A0"/>
        </w:rPr>
      </w:pPr>
    </w:p>
    <w:p w14:paraId="55B8DA61" w14:textId="77777777" w:rsidR="00676BD4" w:rsidRPr="0038014E" w:rsidRDefault="00C41794" w:rsidP="002E2177">
      <w:pPr>
        <w:ind w:left="432" w:hanging="432"/>
        <w:rPr>
          <w:b/>
          <w:color w:val="7030A0"/>
        </w:rPr>
      </w:pPr>
      <w:r w:rsidRPr="0038014E">
        <w:rPr>
          <w:b/>
          <w:color w:val="7030A0"/>
        </w:rPr>
        <w:t xml:space="preserve">**RESPOND TO ONLY ONE SECTION </w:t>
      </w:r>
      <w:r w:rsidR="004E7215" w:rsidRPr="0038014E">
        <w:rPr>
          <w:b/>
          <w:color w:val="7030A0"/>
        </w:rPr>
        <w:t>BELOW -</w:t>
      </w:r>
      <w:r w:rsidRPr="0038014E">
        <w:rPr>
          <w:b/>
          <w:color w:val="7030A0"/>
        </w:rPr>
        <w:t xml:space="preserve">EITHER 1a.2, 1a.3 or 1a.4) </w:t>
      </w:r>
      <w:r w:rsidR="00AB4ECE" w:rsidRPr="0038014E">
        <w:rPr>
          <w:b/>
          <w:color w:val="7030A0"/>
        </w:rPr>
        <w:t>**</w:t>
      </w:r>
    </w:p>
    <w:p w14:paraId="55B8DA62" w14:textId="77777777" w:rsidR="00676BD4" w:rsidRPr="0038014E" w:rsidRDefault="00676BD4" w:rsidP="002E2177">
      <w:pPr>
        <w:ind w:left="432" w:hanging="432"/>
        <w:rPr>
          <w:b/>
          <w:color w:val="7030A0"/>
        </w:rPr>
      </w:pPr>
    </w:p>
    <w:p w14:paraId="5F5DA4BA" w14:textId="008FD04C" w:rsidR="00233C52" w:rsidRPr="00BC5F61" w:rsidRDefault="00B058A6" w:rsidP="005A0E2D">
      <w:pPr>
        <w:ind w:left="547" w:hanging="547"/>
        <w:rPr>
          <w:b/>
        </w:rPr>
      </w:pPr>
      <w:r w:rsidRPr="0038014E">
        <w:rPr>
          <w:b/>
          <w:color w:val="7030A0"/>
        </w:rPr>
        <w:lastRenderedPageBreak/>
        <w:t>1</w:t>
      </w:r>
      <w:r w:rsidR="00773485" w:rsidRPr="0038014E">
        <w:rPr>
          <w:b/>
          <w:color w:val="7030A0"/>
        </w:rPr>
        <w:t>a</w:t>
      </w:r>
      <w:r w:rsidRPr="0038014E">
        <w:rPr>
          <w:b/>
          <w:color w:val="7030A0"/>
        </w:rPr>
        <w:t>.2</w:t>
      </w:r>
      <w:r w:rsidR="005A0E2D" w:rsidRPr="0038014E">
        <w:rPr>
          <w:b/>
          <w:color w:val="7030A0"/>
        </w:rPr>
        <w:tab/>
      </w:r>
      <w:r w:rsidR="00C41794" w:rsidRPr="001075D6">
        <w:rPr>
          <w:b/>
        </w:rPr>
        <w:t>FOR OUTCOME MEASURES including PATIENT REPORTED OUTCOMES</w:t>
      </w:r>
      <w:r w:rsidR="003D6721">
        <w:rPr>
          <w:b/>
        </w:rPr>
        <w:t xml:space="preserve"> </w:t>
      </w:r>
      <w:r w:rsidR="00C41794">
        <w:rPr>
          <w:b/>
        </w:rPr>
        <w:t>-</w:t>
      </w:r>
      <w:r w:rsidR="00C41794" w:rsidRPr="003B1CC5">
        <w:rPr>
          <w:b/>
          <w:iCs/>
        </w:rPr>
        <w:t xml:space="preserve"> </w:t>
      </w:r>
      <w:bookmarkStart w:id="7" w:name="_Hlk500165577"/>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bookmarkEnd w:id="7"/>
    </w:p>
    <w:p w14:paraId="55B8DA65" w14:textId="5DDC47BD" w:rsidR="00676BD4" w:rsidRPr="003423EE" w:rsidRDefault="00676BD4" w:rsidP="003423EE">
      <w:pPr>
        <w:ind w:right="140"/>
        <w:rPr>
          <w:b/>
          <w:bCs/>
          <w:color w:val="4F81BD" w:themeColor="accent1"/>
        </w:rPr>
      </w:pPr>
    </w:p>
    <w:p w14:paraId="55B8DA66" w14:textId="7AAF82F0" w:rsidR="00C41794" w:rsidRPr="003B1CC5" w:rsidRDefault="002B06BD" w:rsidP="005A0E2D">
      <w:pPr>
        <w:ind w:left="547" w:hanging="547"/>
        <w:rPr>
          <w:b/>
          <w:iCs/>
        </w:rPr>
      </w:pPr>
      <w:bookmarkStart w:id="8" w:name="Section1a3"/>
      <w:bookmarkEnd w:id="8"/>
      <w:r w:rsidRPr="0038014E">
        <w:rPr>
          <w:b/>
          <w:iCs/>
          <w:color w:val="7030A0"/>
        </w:rPr>
        <w:t>1a.3</w:t>
      </w:r>
      <w:r w:rsidR="005A0E2D" w:rsidRPr="0038014E">
        <w:rPr>
          <w:b/>
          <w:iCs/>
          <w:color w:val="7030A0"/>
        </w:rPr>
        <w:tab/>
      </w:r>
      <w:r w:rsidR="00C41794" w:rsidRPr="0038014E">
        <w:rPr>
          <w:b/>
          <w:iCs/>
          <w:color w:val="7030A0"/>
        </w:rPr>
        <w:t>SYSTEMATIC REVIEW</w:t>
      </w:r>
      <w:r w:rsidR="00AB4ECE" w:rsidRPr="0038014E">
        <w:rPr>
          <w:b/>
          <w:iCs/>
          <w:color w:val="7030A0"/>
        </w:rPr>
        <w:t>(SR)</w:t>
      </w:r>
      <w:r w:rsidR="00C41794" w:rsidRPr="0038014E">
        <w:rPr>
          <w:b/>
          <w:iCs/>
          <w:color w:val="7030A0"/>
        </w:rPr>
        <w:t xml:space="preserve"> OF THE EVIDENCE (</w:t>
      </w:r>
      <w:r w:rsidR="00C41794" w:rsidRPr="00F90F82">
        <w:rPr>
          <w:b/>
          <w:iCs/>
        </w:rPr>
        <w:t>for</w:t>
      </w:r>
      <w:r w:rsidR="00A76BE5">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2434483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sidR="00A76BE5">
        <w:rPr>
          <w:rFonts w:ascii="Calibri" w:eastAsia="Calibri" w:hAnsi="Calibri" w:cs="Times New Roman"/>
          <w:b/>
        </w:rPr>
        <w:t xml:space="preserve"> </w:t>
      </w:r>
      <w:r>
        <w:rPr>
          <w:rFonts w:ascii="Calibri" w:eastAsia="Calibri" w:hAnsi="Calibri" w:cs="Times New Roman"/>
          <w:b/>
        </w:rPr>
        <w:t xml:space="preserve">A systematic review is a scientific investigation that focuses on a specific question and uses explicit, </w:t>
      </w:r>
      <w:proofErr w:type="spellStart"/>
      <w:r>
        <w:rPr>
          <w:rFonts w:ascii="Calibri" w:eastAsia="Calibri" w:hAnsi="Calibri" w:cs="Times New Roman"/>
          <w:b/>
        </w:rPr>
        <w:t>prespecified</w:t>
      </w:r>
      <w:proofErr w:type="spellEnd"/>
      <w:r>
        <w:rPr>
          <w:rFonts w:ascii="Calibri" w:eastAsia="Calibri" w:hAnsi="Calibri" w:cs="Times New Roman"/>
          <w:b/>
        </w:rPr>
        <w:t xml:space="preserve"> scientific methods to identify, select, assess, and summarize the findings of similar but separate studies. It may include a quantitative synthesis (meta-analysis), depending on the available data. (IOM)</w:t>
      </w:r>
    </w:p>
    <w:p w14:paraId="55B8DA69" w14:textId="4CDC81DB" w:rsidR="00A9011D" w:rsidRPr="00A9011D" w:rsidRDefault="00044CD8" w:rsidP="00A9011D">
      <w:pPr>
        <w:ind w:left="0" w:firstLine="0"/>
        <w:rPr>
          <w:rFonts w:ascii="Calibri" w:eastAsia="Calibri" w:hAnsi="Calibri" w:cs="Times New Roman"/>
        </w:rPr>
      </w:pPr>
      <w:sdt>
        <w:sdtPr>
          <w:rPr>
            <w:bCs/>
            <w:color w:val="7030A0"/>
          </w:rPr>
          <w:id w:val="-468508862"/>
          <w14:checkbox>
            <w14:checked w14:val="1"/>
            <w14:checkedState w14:val="2612" w14:font="MS Gothic"/>
            <w14:uncheckedState w14:val="2610" w14:font="MS Gothic"/>
          </w14:checkbox>
        </w:sdtPr>
        <w:sdtEndPr/>
        <w:sdtContent>
          <w:r w:rsidR="00B3268F" w:rsidRPr="0038014E">
            <w:rPr>
              <w:rFonts w:ascii="MS Gothic" w:eastAsia="MS Gothic" w:hAnsi="MS Gothic" w:hint="eastAsia"/>
              <w:bCs/>
              <w:color w:val="7030A0"/>
            </w:rPr>
            <w:t>☒</w:t>
          </w:r>
        </w:sdtContent>
      </w:sdt>
      <w:r w:rsidR="00EC1225" w:rsidRPr="0038014E">
        <w:rPr>
          <w:rFonts w:ascii="Times New Roman" w:eastAsia="Arial Unicode MS" w:hAnsi="Times New Roman" w:cs="Mangal"/>
          <w:color w:val="7030A0"/>
          <w:kern w:val="1"/>
          <w:sz w:val="24"/>
          <w:szCs w:val="24"/>
          <w:lang w:eastAsia="hi-IN" w:bidi="hi-IN"/>
        </w:rPr>
        <w:t xml:space="preserve"> </w:t>
      </w:r>
      <w:r w:rsidR="00A9011D" w:rsidRPr="00A9011D">
        <w:rPr>
          <w:rFonts w:ascii="Calibri" w:eastAsia="Calibri" w:hAnsi="Calibri" w:cs="Times New Roman"/>
        </w:rPr>
        <w:t>Clinical Practice Guideline recommendation</w:t>
      </w:r>
      <w:r w:rsidR="00A76BE5">
        <w:rPr>
          <w:rFonts w:ascii="Calibri" w:eastAsia="Calibri" w:hAnsi="Calibri" w:cs="Times New Roman"/>
        </w:rPr>
        <w:t xml:space="preserve"> </w:t>
      </w:r>
      <w:r w:rsidR="00EC1225">
        <w:rPr>
          <w:rFonts w:ascii="Calibri" w:eastAsia="Calibri" w:hAnsi="Calibri" w:cs="Times New Roman"/>
        </w:rPr>
        <w:t>(with evidence review)</w:t>
      </w:r>
    </w:p>
    <w:p w14:paraId="55B8DA6A" w14:textId="39525979" w:rsidR="00A9011D" w:rsidRPr="00A9011D" w:rsidRDefault="00044CD8" w:rsidP="00A9011D">
      <w:pPr>
        <w:ind w:left="0" w:firstLine="0"/>
        <w:rPr>
          <w:rFonts w:ascii="Calibri" w:eastAsia="Calibri" w:hAnsi="Calibri" w:cs="Times New Roman"/>
          <w:b/>
          <w:i/>
        </w:rPr>
      </w:pPr>
      <w:sdt>
        <w:sdtPr>
          <w:rPr>
            <w:bCs/>
            <w:color w:val="7030A0"/>
          </w:rPr>
          <w:id w:val="1206067364"/>
          <w14:checkbox>
            <w14:checked w14:val="0"/>
            <w14:checkedState w14:val="2612" w14:font="MS Gothic"/>
            <w14:uncheckedState w14:val="2610" w14:font="MS Gothic"/>
          </w14:checkbox>
        </w:sdtPr>
        <w:sdtEndPr/>
        <w:sdtContent>
          <w:r w:rsidR="00B3268F" w:rsidRPr="0038014E">
            <w:rPr>
              <w:rFonts w:ascii="MS Gothic" w:eastAsia="MS Gothic" w:hAnsi="MS Gothic" w:hint="eastAsia"/>
              <w:bCs/>
              <w:color w:val="7030A0"/>
            </w:rPr>
            <w:t>☐</w:t>
          </w:r>
        </w:sdtContent>
      </w:sdt>
      <w:r w:rsidR="00A9011D" w:rsidRPr="00A9011D">
        <w:rPr>
          <w:rFonts w:ascii="Calibri" w:eastAsia="Calibri" w:hAnsi="Calibri" w:cs="Times New Roman"/>
        </w:rPr>
        <w:t xml:space="preserve"> US Preventive Services Task Force Recommendation</w:t>
      </w:r>
    </w:p>
    <w:p w14:paraId="55B8DA6B" w14:textId="3AB33E17" w:rsidR="00A9011D" w:rsidRPr="00A9011D" w:rsidRDefault="00044CD8" w:rsidP="00A9011D">
      <w:pPr>
        <w:ind w:left="0" w:firstLine="0"/>
        <w:rPr>
          <w:rFonts w:ascii="Calibri" w:eastAsia="Calibri" w:hAnsi="Calibri" w:cs="Times New Roman"/>
        </w:rPr>
      </w:pPr>
      <w:sdt>
        <w:sdtPr>
          <w:rPr>
            <w:bCs/>
            <w:color w:val="7030A0"/>
          </w:rPr>
          <w:id w:val="472181442"/>
          <w14:checkbox>
            <w14:checked w14:val="1"/>
            <w14:checkedState w14:val="2612" w14:font="MS Gothic"/>
            <w14:uncheckedState w14:val="2610" w14:font="MS Gothic"/>
          </w14:checkbox>
        </w:sdtPr>
        <w:sdtEndPr/>
        <w:sdtContent>
          <w:r w:rsidR="00C14757" w:rsidRPr="0038014E">
            <w:rPr>
              <w:rFonts w:ascii="MS Gothic" w:eastAsia="MS Gothic" w:hAnsi="MS Gothic" w:hint="eastAsia"/>
              <w:bCs/>
              <w:color w:val="7030A0"/>
            </w:rPr>
            <w:t>☒</w:t>
          </w:r>
        </w:sdtContent>
      </w:sdt>
      <w:r w:rsidR="00A9011D" w:rsidRPr="00A9011D">
        <w:rPr>
          <w:rFonts w:ascii="Calibri" w:eastAsia="Calibri" w:hAnsi="Calibri" w:cs="Times New Roman"/>
        </w:rPr>
        <w:t xml:space="preserve"> Other systematic review and grading of the body of evidence (</w:t>
      </w:r>
      <w:r w:rsidR="00A9011D" w:rsidRPr="00A9011D">
        <w:rPr>
          <w:rFonts w:ascii="Calibri" w:eastAsia="Calibri" w:hAnsi="Calibri" w:cs="Times New Roman"/>
          <w:i/>
        </w:rPr>
        <w:t>e.g., Cochrane Collaboration, AHRQ Evidence Practice Center</w:t>
      </w:r>
      <w:r w:rsidR="00A9011D" w:rsidRPr="00A9011D">
        <w:rPr>
          <w:rFonts w:ascii="Calibri" w:eastAsia="Calibri" w:hAnsi="Calibri" w:cs="Times New Roman"/>
        </w:rPr>
        <w:t xml:space="preserve">) </w:t>
      </w:r>
    </w:p>
    <w:p w14:paraId="55B8DA6C" w14:textId="0D47624E" w:rsidR="00A9011D" w:rsidRDefault="00A9011D" w:rsidP="002E2177">
      <w:pPr>
        <w:ind w:left="0" w:firstLine="0"/>
        <w:rPr>
          <w:rFonts w:ascii="Calibri" w:eastAsia="Calibri" w:hAnsi="Calibri" w:cs="Times New Roman"/>
        </w:rPr>
      </w:pPr>
      <w:r w:rsidRPr="0038014E">
        <w:rPr>
          <w:rFonts w:ascii="Segoe UI Symbol" w:eastAsia="Arial Unicode MS" w:hAnsi="Segoe UI Symbol" w:cs="Segoe UI Symbol"/>
          <w:color w:val="7030A0"/>
          <w:kern w:val="1"/>
          <w:sz w:val="24"/>
          <w:szCs w:val="24"/>
          <w:lang w:eastAsia="hi-IN" w:bidi="hi-IN"/>
        </w:rPr>
        <w:t>☐</w:t>
      </w:r>
      <w:r w:rsidRPr="00A9011D">
        <w:rPr>
          <w:rFonts w:ascii="Calibri" w:eastAsia="Calibri" w:hAnsi="Calibri" w:cs="Times New Roman"/>
        </w:rPr>
        <w:t xml:space="preserve"> Other </w:t>
      </w:r>
    </w:p>
    <w:p w14:paraId="0692F13A" w14:textId="77777777" w:rsidR="00F311E7" w:rsidRDefault="00F311E7" w:rsidP="002E2177">
      <w:pPr>
        <w:ind w:left="0" w:firstLine="0"/>
        <w:rPr>
          <w:rFonts w:ascii="Calibri" w:eastAsia="Calibri" w:hAnsi="Calibri" w:cs="Times New Roman"/>
        </w:rPr>
      </w:pPr>
    </w:p>
    <w:p w14:paraId="5FF2CDE3" w14:textId="3F2DE966" w:rsidR="00A61B02" w:rsidRPr="00920221" w:rsidRDefault="00A61B02" w:rsidP="00A61B02">
      <w:pPr>
        <w:pStyle w:val="ListParagraph"/>
        <w:numPr>
          <w:ilvl w:val="0"/>
          <w:numId w:val="30"/>
        </w:numPr>
        <w:rPr>
          <w:rFonts w:ascii="Calibri" w:eastAsia="Calibri" w:hAnsi="Calibri" w:cs="Times New Roman"/>
          <w:color w:val="C00000"/>
        </w:rPr>
      </w:pPr>
      <w:r w:rsidRPr="00920221">
        <w:rPr>
          <w:rFonts w:cstheme="minorHAnsi"/>
          <w:bCs/>
          <w:color w:val="C00000"/>
        </w:rPr>
        <w:t>Systematic Review of Interventions to Reduce Urinary Tract Infection in Nursing Home Residents</w:t>
      </w:r>
      <w:r w:rsidR="00D80F88" w:rsidRPr="00920221">
        <w:rPr>
          <w:rFonts w:cstheme="minorHAnsi"/>
          <w:bCs/>
          <w:color w:val="C00000"/>
        </w:rPr>
        <w:t xml:space="preserve"> (2017)</w:t>
      </w:r>
    </w:p>
    <w:p w14:paraId="534F7587" w14:textId="77777777" w:rsidR="007342B1" w:rsidRPr="00920221" w:rsidRDefault="007342B1" w:rsidP="007342B1">
      <w:pPr>
        <w:pStyle w:val="ListParagraph"/>
        <w:ind w:firstLine="0"/>
        <w:rPr>
          <w:rFonts w:cstheme="minorHAnsi"/>
          <w:bCs/>
          <w:color w:val="C00000"/>
        </w:rPr>
      </w:pPr>
    </w:p>
    <w:p w14:paraId="7905C80A" w14:textId="71E5306D" w:rsidR="007342B1" w:rsidRPr="00920221" w:rsidRDefault="007342B1" w:rsidP="00C14757">
      <w:pPr>
        <w:pStyle w:val="ListParagraph"/>
        <w:rPr>
          <w:color w:val="C00000"/>
          <w:sz w:val="20"/>
          <w:szCs w:val="20"/>
        </w:rPr>
      </w:pPr>
      <w:r w:rsidRPr="00920221">
        <w:rPr>
          <w:rFonts w:cstheme="minorHAnsi"/>
          <w:bCs/>
          <w:color w:val="C00000"/>
          <w:sz w:val="20"/>
          <w:szCs w:val="20"/>
        </w:rPr>
        <w:t xml:space="preserve">Ref: </w:t>
      </w:r>
      <w:bookmarkStart w:id="9" w:name="_Hlk11675284"/>
      <w:proofErr w:type="spellStart"/>
      <w:r w:rsidRPr="00920221">
        <w:rPr>
          <w:rFonts w:cstheme="minorHAnsi"/>
          <w:bCs/>
          <w:color w:val="C00000"/>
          <w:sz w:val="20"/>
          <w:szCs w:val="20"/>
        </w:rPr>
        <w:t>Meddings</w:t>
      </w:r>
      <w:proofErr w:type="spellEnd"/>
      <w:r w:rsidRPr="00920221">
        <w:rPr>
          <w:rFonts w:cstheme="minorHAnsi"/>
          <w:bCs/>
          <w:color w:val="C00000"/>
          <w:sz w:val="20"/>
          <w:szCs w:val="20"/>
        </w:rPr>
        <w:t xml:space="preserve">, J., Saint, S., </w:t>
      </w:r>
      <w:proofErr w:type="spellStart"/>
      <w:r w:rsidRPr="00920221">
        <w:rPr>
          <w:rFonts w:cstheme="minorHAnsi"/>
          <w:bCs/>
          <w:color w:val="C00000"/>
          <w:sz w:val="20"/>
          <w:szCs w:val="20"/>
        </w:rPr>
        <w:t>Krein</w:t>
      </w:r>
      <w:proofErr w:type="spellEnd"/>
      <w:r w:rsidRPr="00920221">
        <w:rPr>
          <w:rFonts w:cstheme="minorHAnsi"/>
          <w:bCs/>
          <w:color w:val="C00000"/>
          <w:sz w:val="20"/>
          <w:szCs w:val="20"/>
        </w:rPr>
        <w:t xml:space="preserve">, S. L., </w:t>
      </w:r>
      <w:proofErr w:type="spellStart"/>
      <w:r w:rsidRPr="00920221">
        <w:rPr>
          <w:rFonts w:cstheme="minorHAnsi"/>
          <w:bCs/>
          <w:color w:val="C00000"/>
          <w:sz w:val="20"/>
          <w:szCs w:val="20"/>
        </w:rPr>
        <w:t>Gaies</w:t>
      </w:r>
      <w:proofErr w:type="spellEnd"/>
      <w:r w:rsidRPr="00920221">
        <w:rPr>
          <w:rFonts w:cstheme="minorHAnsi"/>
          <w:bCs/>
          <w:color w:val="C00000"/>
          <w:sz w:val="20"/>
          <w:szCs w:val="20"/>
        </w:rPr>
        <w:t xml:space="preserve">, E., Reichert, H., </w:t>
      </w:r>
      <w:proofErr w:type="spellStart"/>
      <w:r w:rsidRPr="00920221">
        <w:rPr>
          <w:rFonts w:cstheme="minorHAnsi"/>
          <w:bCs/>
          <w:color w:val="C00000"/>
          <w:sz w:val="20"/>
          <w:szCs w:val="20"/>
        </w:rPr>
        <w:t>Hickner</w:t>
      </w:r>
      <w:proofErr w:type="spellEnd"/>
      <w:r w:rsidRPr="00920221">
        <w:rPr>
          <w:rFonts w:cstheme="minorHAnsi"/>
          <w:bCs/>
          <w:color w:val="C00000"/>
          <w:sz w:val="20"/>
          <w:szCs w:val="20"/>
        </w:rPr>
        <w:t>, A.</w:t>
      </w:r>
      <w:proofErr w:type="gramStart"/>
      <w:r w:rsidRPr="00920221">
        <w:rPr>
          <w:rFonts w:cstheme="minorHAnsi"/>
          <w:bCs/>
          <w:color w:val="C00000"/>
          <w:sz w:val="20"/>
          <w:szCs w:val="20"/>
        </w:rPr>
        <w:t>,</w:t>
      </w:r>
      <w:r w:rsidR="006C429D" w:rsidRPr="00920221">
        <w:rPr>
          <w:rFonts w:cstheme="minorHAnsi"/>
          <w:bCs/>
          <w:color w:val="C00000"/>
          <w:sz w:val="20"/>
          <w:szCs w:val="20"/>
        </w:rPr>
        <w:t>…</w:t>
      </w:r>
      <w:proofErr w:type="spellStart"/>
      <w:proofErr w:type="gramEnd"/>
      <w:r w:rsidRPr="00920221">
        <w:rPr>
          <w:rFonts w:cstheme="minorHAnsi"/>
          <w:bCs/>
          <w:color w:val="C00000"/>
          <w:sz w:val="20"/>
          <w:szCs w:val="20"/>
        </w:rPr>
        <w:t>Mody</w:t>
      </w:r>
      <w:proofErr w:type="spellEnd"/>
      <w:r w:rsidRPr="00920221">
        <w:rPr>
          <w:rFonts w:cstheme="minorHAnsi"/>
          <w:bCs/>
          <w:color w:val="C00000"/>
          <w:sz w:val="20"/>
          <w:szCs w:val="20"/>
        </w:rPr>
        <w:t>, L. (2017). Systematic review of interventions to reduce urinary tract infection in nursing home residents. </w:t>
      </w:r>
      <w:r w:rsidRPr="00920221">
        <w:rPr>
          <w:rFonts w:cstheme="minorHAnsi"/>
          <w:bCs/>
          <w:i/>
          <w:iCs/>
          <w:color w:val="C00000"/>
          <w:sz w:val="20"/>
          <w:szCs w:val="20"/>
        </w:rPr>
        <w:t>Journal of Hospital Medicine</w:t>
      </w:r>
      <w:r w:rsidRPr="00920221">
        <w:rPr>
          <w:rFonts w:cstheme="minorHAnsi"/>
          <w:bCs/>
          <w:color w:val="C00000"/>
          <w:sz w:val="20"/>
          <w:szCs w:val="20"/>
        </w:rPr>
        <w:t>, </w:t>
      </w:r>
      <w:r w:rsidRPr="00920221">
        <w:rPr>
          <w:rFonts w:cstheme="minorHAnsi"/>
          <w:bCs/>
          <w:i/>
          <w:iCs/>
          <w:color w:val="C00000"/>
          <w:sz w:val="20"/>
          <w:szCs w:val="20"/>
        </w:rPr>
        <w:t>12</w:t>
      </w:r>
      <w:r w:rsidRPr="00920221">
        <w:rPr>
          <w:rFonts w:cstheme="minorHAnsi"/>
          <w:bCs/>
          <w:color w:val="C00000"/>
          <w:sz w:val="20"/>
          <w:szCs w:val="20"/>
        </w:rPr>
        <w:t>(5), 356.</w:t>
      </w:r>
    </w:p>
    <w:bookmarkEnd w:id="9"/>
    <w:p w14:paraId="72E9DCEA" w14:textId="77777777" w:rsidR="00477E66" w:rsidRPr="00920221" w:rsidRDefault="00477E66" w:rsidP="00A75C8F">
      <w:pPr>
        <w:spacing w:line="288" w:lineRule="auto"/>
        <w:ind w:firstLine="0"/>
        <w:rPr>
          <w:rFonts w:cstheme="minorHAnsi"/>
          <w:bCs/>
          <w:color w:val="C00000"/>
        </w:rPr>
      </w:pPr>
      <w:r w:rsidRPr="00920221">
        <w:rPr>
          <w:rFonts w:ascii="Calibri" w:eastAsia="Calibri" w:hAnsi="Calibri" w:cs="Times New Roman"/>
          <w:color w:val="C00000"/>
        </w:rPr>
        <w:t xml:space="preserve">Assessment of </w:t>
      </w:r>
      <w:r w:rsidRPr="00920221">
        <w:rPr>
          <w:rFonts w:cstheme="minorHAnsi"/>
          <w:bCs/>
          <w:color w:val="C00000"/>
        </w:rPr>
        <w:t>Interventions for Patients Regardless of Urinary Catheter Status</w:t>
      </w:r>
    </w:p>
    <w:p w14:paraId="551849AB" w14:textId="77777777" w:rsidR="00A75C8F" w:rsidRPr="00920221" w:rsidRDefault="00477E66" w:rsidP="00A75C8F">
      <w:pPr>
        <w:pStyle w:val="ListParagraph"/>
        <w:numPr>
          <w:ilvl w:val="0"/>
          <w:numId w:val="9"/>
        </w:numPr>
        <w:spacing w:line="288" w:lineRule="auto"/>
        <w:rPr>
          <w:rFonts w:cstheme="minorHAnsi"/>
          <w:bCs/>
          <w:color w:val="C00000"/>
        </w:rPr>
      </w:pPr>
      <w:r w:rsidRPr="00920221">
        <w:rPr>
          <w:rFonts w:cstheme="minorHAnsi"/>
          <w:bCs/>
          <w:color w:val="C00000"/>
        </w:rPr>
        <w:t>Hand hygiene (R)</w:t>
      </w:r>
    </w:p>
    <w:p w14:paraId="229F37DA" w14:textId="29F27251" w:rsidR="00477E66" w:rsidRPr="00920221" w:rsidRDefault="00477E66" w:rsidP="00A75C8F">
      <w:pPr>
        <w:pStyle w:val="ListParagraph"/>
        <w:numPr>
          <w:ilvl w:val="0"/>
          <w:numId w:val="9"/>
        </w:numPr>
        <w:spacing w:line="288" w:lineRule="auto"/>
        <w:rPr>
          <w:rFonts w:cstheme="minorHAnsi"/>
          <w:bCs/>
          <w:color w:val="C00000"/>
        </w:rPr>
      </w:pPr>
      <w:r w:rsidRPr="00920221">
        <w:rPr>
          <w:rFonts w:cstheme="minorHAnsi"/>
          <w:bCs/>
          <w:color w:val="C00000"/>
        </w:rPr>
        <w:t>Encourage fluid intake/hydration to reduce infection (NR)</w:t>
      </w:r>
    </w:p>
    <w:p w14:paraId="512E70F9" w14:textId="77777777" w:rsidR="00477E66" w:rsidRPr="00920221" w:rsidRDefault="00477E66" w:rsidP="00477E66">
      <w:pPr>
        <w:pStyle w:val="ListParagraph"/>
        <w:numPr>
          <w:ilvl w:val="0"/>
          <w:numId w:val="9"/>
        </w:numPr>
        <w:spacing w:line="288" w:lineRule="auto"/>
        <w:rPr>
          <w:rFonts w:cstheme="minorHAnsi"/>
          <w:bCs/>
          <w:color w:val="C00000"/>
        </w:rPr>
      </w:pPr>
      <w:r w:rsidRPr="00920221">
        <w:rPr>
          <w:rFonts w:cstheme="minorHAnsi"/>
          <w:bCs/>
          <w:color w:val="C00000"/>
        </w:rPr>
        <w:t>Improve general patient hygiene to reduce infection (R)</w:t>
      </w:r>
    </w:p>
    <w:p w14:paraId="7DB0E4EF" w14:textId="77777777" w:rsidR="00477E66" w:rsidRPr="00920221" w:rsidRDefault="00477E66" w:rsidP="00477E66">
      <w:pPr>
        <w:pStyle w:val="ListParagraph"/>
        <w:numPr>
          <w:ilvl w:val="0"/>
          <w:numId w:val="9"/>
        </w:numPr>
        <w:spacing w:line="288" w:lineRule="auto"/>
        <w:rPr>
          <w:rFonts w:cstheme="minorHAnsi"/>
          <w:bCs/>
          <w:color w:val="C00000"/>
        </w:rPr>
      </w:pPr>
      <w:r w:rsidRPr="00920221">
        <w:rPr>
          <w:rFonts w:cstheme="minorHAnsi"/>
          <w:bCs/>
          <w:color w:val="C00000"/>
        </w:rPr>
        <w:t>Cranberry product as prophylaxis (NR)</w:t>
      </w:r>
    </w:p>
    <w:p w14:paraId="064B94EC" w14:textId="77777777" w:rsidR="00477E66" w:rsidRPr="00920221" w:rsidRDefault="00477E66" w:rsidP="00477E66">
      <w:pPr>
        <w:pStyle w:val="ListParagraph"/>
        <w:numPr>
          <w:ilvl w:val="0"/>
          <w:numId w:val="9"/>
        </w:numPr>
        <w:spacing w:line="288" w:lineRule="auto"/>
        <w:rPr>
          <w:rFonts w:cstheme="minorHAnsi"/>
          <w:bCs/>
          <w:color w:val="C00000"/>
        </w:rPr>
      </w:pPr>
      <w:r w:rsidRPr="00920221">
        <w:rPr>
          <w:rFonts w:cstheme="minorHAnsi"/>
          <w:bCs/>
          <w:color w:val="C00000"/>
        </w:rPr>
        <w:t>Vitamin/mineral supplement as UTI prophylaxis (NR)</w:t>
      </w:r>
    </w:p>
    <w:p w14:paraId="1C9CCB06" w14:textId="77777777" w:rsidR="00477E66" w:rsidRPr="00920221" w:rsidRDefault="00477E66" w:rsidP="00477E66">
      <w:pPr>
        <w:pStyle w:val="ListParagraph"/>
        <w:numPr>
          <w:ilvl w:val="0"/>
          <w:numId w:val="9"/>
        </w:numPr>
        <w:spacing w:line="288" w:lineRule="auto"/>
        <w:rPr>
          <w:rFonts w:cstheme="minorHAnsi"/>
          <w:bCs/>
          <w:color w:val="C00000"/>
        </w:rPr>
      </w:pPr>
      <w:r w:rsidRPr="00920221">
        <w:rPr>
          <w:rFonts w:cstheme="minorHAnsi"/>
          <w:bCs/>
          <w:color w:val="C00000"/>
        </w:rPr>
        <w:t>Treatment of atrophic vaginitis as UTI prophylaxis (R)</w:t>
      </w:r>
    </w:p>
    <w:p w14:paraId="46255BE1" w14:textId="77777777" w:rsidR="00477E66" w:rsidRPr="00920221" w:rsidRDefault="00477E66" w:rsidP="00477E66">
      <w:pPr>
        <w:pStyle w:val="ListParagraph"/>
        <w:numPr>
          <w:ilvl w:val="0"/>
          <w:numId w:val="9"/>
        </w:numPr>
        <w:spacing w:line="288" w:lineRule="auto"/>
        <w:rPr>
          <w:rFonts w:cstheme="minorHAnsi"/>
          <w:bCs/>
          <w:color w:val="C00000"/>
        </w:rPr>
      </w:pPr>
      <w:r w:rsidRPr="00920221">
        <w:rPr>
          <w:rFonts w:cstheme="minorHAnsi"/>
          <w:bCs/>
          <w:color w:val="C00000"/>
        </w:rPr>
        <w:t>Interventions to improve management of urinary incontinence (R)</w:t>
      </w:r>
    </w:p>
    <w:p w14:paraId="22429125" w14:textId="77777777" w:rsidR="00477E66" w:rsidRPr="00920221" w:rsidRDefault="00477E66" w:rsidP="00477E66">
      <w:pPr>
        <w:pStyle w:val="ListParagraph"/>
        <w:numPr>
          <w:ilvl w:val="0"/>
          <w:numId w:val="9"/>
        </w:numPr>
        <w:spacing w:line="288" w:lineRule="auto"/>
        <w:rPr>
          <w:rFonts w:cstheme="minorHAnsi"/>
          <w:bCs/>
          <w:color w:val="C00000"/>
        </w:rPr>
      </w:pPr>
      <w:r w:rsidRPr="00920221">
        <w:rPr>
          <w:rFonts w:cstheme="minorHAnsi"/>
          <w:bCs/>
          <w:color w:val="C00000"/>
        </w:rPr>
        <w:t>Implementation of effective infection control program (R)</w:t>
      </w:r>
    </w:p>
    <w:p w14:paraId="5F08A2D3" w14:textId="77777777" w:rsidR="0086757F" w:rsidRPr="00920221" w:rsidRDefault="0086757F" w:rsidP="00BC5F61">
      <w:pPr>
        <w:spacing w:line="288" w:lineRule="auto"/>
        <w:ind w:left="0" w:firstLine="0"/>
        <w:jc w:val="center"/>
        <w:rPr>
          <w:rFonts w:cstheme="minorHAnsi"/>
          <w:b/>
          <w:color w:val="C00000"/>
        </w:rPr>
      </w:pPr>
      <w:r w:rsidRPr="00920221">
        <w:rPr>
          <w:rFonts w:cstheme="minorHAnsi"/>
          <w:b/>
          <w:color w:val="C00000"/>
        </w:rPr>
        <w:t>Table 1. Recommendations for Interventions</w:t>
      </w:r>
    </w:p>
    <w:tbl>
      <w:tblPr>
        <w:tblStyle w:val="TableGrid"/>
        <w:tblW w:w="0" w:type="auto"/>
        <w:tblInd w:w="360" w:type="dxa"/>
        <w:tblBorders>
          <w:top w:val="single" w:sz="12" w:space="0" w:color="0000FF"/>
          <w:left w:val="none" w:sz="0" w:space="0" w:color="auto"/>
          <w:bottom w:val="single" w:sz="12" w:space="0" w:color="0000FF"/>
          <w:right w:val="none" w:sz="0" w:space="0" w:color="auto"/>
          <w:insideH w:val="none" w:sz="0" w:space="0" w:color="auto"/>
          <w:insideV w:val="none" w:sz="0" w:space="0" w:color="auto"/>
        </w:tblBorders>
        <w:tblLook w:val="04A0" w:firstRow="1" w:lastRow="0" w:firstColumn="1" w:lastColumn="0" w:noHBand="0" w:noVBand="1"/>
        <w:tblCaption w:val="Table 1. Recommendations for Interventions"/>
        <w:tblDescription w:val="Table 1 displays the definitions for Assessments R and NR."/>
      </w:tblPr>
      <w:tblGrid>
        <w:gridCol w:w="1272"/>
        <w:gridCol w:w="7718"/>
      </w:tblGrid>
      <w:tr w:rsidR="00806731" w:rsidRPr="00806731" w14:paraId="0C327D03" w14:textId="77777777" w:rsidTr="006C27E0">
        <w:trPr>
          <w:cantSplit/>
          <w:tblHeader/>
        </w:trPr>
        <w:tc>
          <w:tcPr>
            <w:tcW w:w="1272" w:type="dxa"/>
            <w:tcBorders>
              <w:top w:val="single" w:sz="12" w:space="0" w:color="C00000"/>
              <w:bottom w:val="single" w:sz="4" w:space="0" w:color="C00000"/>
            </w:tcBorders>
            <w:shd w:val="clear" w:color="auto" w:fill="auto"/>
          </w:tcPr>
          <w:p w14:paraId="2CFF9CD5" w14:textId="40DB2859" w:rsidR="00091464" w:rsidRPr="00806731" w:rsidRDefault="00091464" w:rsidP="00091464">
            <w:pPr>
              <w:tabs>
                <w:tab w:val="left" w:pos="540"/>
                <w:tab w:val="left" w:pos="900"/>
              </w:tabs>
              <w:spacing w:line="288" w:lineRule="auto"/>
              <w:ind w:left="0" w:firstLine="0"/>
              <w:rPr>
                <w:rFonts w:cstheme="minorHAnsi"/>
                <w:bCs/>
                <w:color w:val="FF0000"/>
              </w:rPr>
            </w:pPr>
            <w:r w:rsidRPr="00920221">
              <w:rPr>
                <w:rFonts w:cstheme="minorHAnsi"/>
                <w:bCs/>
                <w:color w:val="C00000"/>
              </w:rPr>
              <w:t>Assessment</w:t>
            </w:r>
          </w:p>
        </w:tc>
        <w:tc>
          <w:tcPr>
            <w:tcW w:w="7718" w:type="dxa"/>
            <w:tcBorders>
              <w:top w:val="single" w:sz="12" w:space="0" w:color="C00000"/>
              <w:bottom w:val="single" w:sz="4" w:space="0" w:color="C00000"/>
            </w:tcBorders>
            <w:shd w:val="clear" w:color="auto" w:fill="auto"/>
          </w:tcPr>
          <w:p w14:paraId="65306228" w14:textId="1772B6D8" w:rsidR="00091464" w:rsidRPr="00920221" w:rsidRDefault="00091464" w:rsidP="00091464">
            <w:pPr>
              <w:tabs>
                <w:tab w:val="left" w:pos="540"/>
                <w:tab w:val="left" w:pos="900"/>
              </w:tabs>
              <w:spacing w:line="288" w:lineRule="auto"/>
              <w:ind w:left="0" w:firstLine="0"/>
              <w:rPr>
                <w:rFonts w:cstheme="minorHAnsi"/>
                <w:bCs/>
                <w:color w:val="C00000"/>
              </w:rPr>
            </w:pPr>
            <w:r w:rsidRPr="00920221">
              <w:rPr>
                <w:rFonts w:cstheme="minorHAnsi"/>
                <w:bCs/>
                <w:color w:val="C00000"/>
              </w:rPr>
              <w:t>Definition</w:t>
            </w:r>
          </w:p>
        </w:tc>
      </w:tr>
      <w:tr w:rsidR="00806731" w:rsidRPr="00806731" w14:paraId="09252C41" w14:textId="77777777" w:rsidTr="006C27E0">
        <w:trPr>
          <w:cantSplit/>
          <w:tblHeader/>
        </w:trPr>
        <w:tc>
          <w:tcPr>
            <w:tcW w:w="1272" w:type="dxa"/>
            <w:tcBorders>
              <w:top w:val="single" w:sz="4" w:space="0" w:color="C00000"/>
            </w:tcBorders>
            <w:shd w:val="clear" w:color="auto" w:fill="auto"/>
          </w:tcPr>
          <w:p w14:paraId="07F2A5D3" w14:textId="2FE5F590" w:rsidR="00091464" w:rsidRPr="00806731" w:rsidRDefault="00091464" w:rsidP="00091464">
            <w:pPr>
              <w:tabs>
                <w:tab w:val="left" w:pos="540"/>
                <w:tab w:val="left" w:pos="900"/>
              </w:tabs>
              <w:spacing w:line="288" w:lineRule="auto"/>
              <w:ind w:left="0" w:firstLine="0"/>
              <w:rPr>
                <w:rFonts w:cstheme="minorHAnsi"/>
                <w:bCs/>
                <w:color w:val="FF0000"/>
              </w:rPr>
            </w:pPr>
            <w:r w:rsidRPr="00920221">
              <w:rPr>
                <w:rFonts w:cstheme="minorHAnsi"/>
                <w:bCs/>
                <w:color w:val="C00000"/>
              </w:rPr>
              <w:t>R</w:t>
            </w:r>
          </w:p>
        </w:tc>
        <w:tc>
          <w:tcPr>
            <w:tcW w:w="7718" w:type="dxa"/>
            <w:tcBorders>
              <w:top w:val="single" w:sz="4" w:space="0" w:color="C00000"/>
            </w:tcBorders>
            <w:shd w:val="clear" w:color="auto" w:fill="auto"/>
          </w:tcPr>
          <w:p w14:paraId="02D038F1" w14:textId="0D50BD2B" w:rsidR="00091464" w:rsidRPr="00920221" w:rsidRDefault="00091464" w:rsidP="00091464">
            <w:pPr>
              <w:tabs>
                <w:tab w:val="left" w:pos="540"/>
                <w:tab w:val="left" w:pos="900"/>
              </w:tabs>
              <w:spacing w:line="288" w:lineRule="auto"/>
              <w:ind w:left="0" w:firstLine="0"/>
              <w:rPr>
                <w:rFonts w:cstheme="minorHAnsi"/>
                <w:bCs/>
                <w:color w:val="C00000"/>
              </w:rPr>
            </w:pPr>
            <w:r w:rsidRPr="00920221">
              <w:rPr>
                <w:rFonts w:cstheme="minorHAnsi"/>
                <w:bCs/>
                <w:color w:val="C00000"/>
              </w:rPr>
              <w:t>Interventions that have some evidence of benefit (not always from controlled intervention studies), at least for certain populations and settings.</w:t>
            </w:r>
          </w:p>
        </w:tc>
      </w:tr>
      <w:tr w:rsidR="00806731" w:rsidRPr="00806731" w14:paraId="41FD15D1" w14:textId="77777777" w:rsidTr="006C27E0">
        <w:trPr>
          <w:cantSplit/>
          <w:tblHeader/>
        </w:trPr>
        <w:tc>
          <w:tcPr>
            <w:tcW w:w="1272" w:type="dxa"/>
            <w:tcBorders>
              <w:bottom w:val="single" w:sz="12" w:space="0" w:color="C00000"/>
            </w:tcBorders>
            <w:shd w:val="clear" w:color="auto" w:fill="auto"/>
          </w:tcPr>
          <w:p w14:paraId="721F5DA7" w14:textId="780F45E0" w:rsidR="00091464" w:rsidRPr="00806731" w:rsidRDefault="00091464" w:rsidP="00091464">
            <w:pPr>
              <w:tabs>
                <w:tab w:val="left" w:pos="540"/>
                <w:tab w:val="left" w:pos="900"/>
              </w:tabs>
              <w:spacing w:line="288" w:lineRule="auto"/>
              <w:ind w:left="0" w:firstLine="0"/>
              <w:rPr>
                <w:rFonts w:cstheme="minorHAnsi"/>
                <w:bCs/>
                <w:color w:val="FF0000"/>
              </w:rPr>
            </w:pPr>
            <w:r w:rsidRPr="00920221">
              <w:rPr>
                <w:rFonts w:cstheme="minorHAnsi"/>
                <w:bCs/>
                <w:color w:val="C00000"/>
              </w:rPr>
              <w:t>NR</w:t>
            </w:r>
          </w:p>
        </w:tc>
        <w:tc>
          <w:tcPr>
            <w:tcW w:w="7718" w:type="dxa"/>
            <w:tcBorders>
              <w:bottom w:val="single" w:sz="12" w:space="0" w:color="C00000"/>
            </w:tcBorders>
            <w:shd w:val="clear" w:color="auto" w:fill="auto"/>
          </w:tcPr>
          <w:p w14:paraId="3858CEAA" w14:textId="6E5378C4" w:rsidR="00091464" w:rsidRPr="00920221" w:rsidRDefault="00091464" w:rsidP="00091464">
            <w:pPr>
              <w:tabs>
                <w:tab w:val="left" w:pos="540"/>
                <w:tab w:val="left" w:pos="900"/>
              </w:tabs>
              <w:spacing w:line="288" w:lineRule="auto"/>
              <w:ind w:left="0" w:firstLine="0"/>
              <w:rPr>
                <w:rFonts w:cstheme="minorHAnsi"/>
                <w:bCs/>
                <w:color w:val="C00000"/>
              </w:rPr>
            </w:pPr>
            <w:r w:rsidRPr="00920221">
              <w:rPr>
                <w:rFonts w:cstheme="minorHAnsi"/>
                <w:bCs/>
                <w:color w:val="C00000"/>
              </w:rPr>
              <w:t>Interventions that are not recommended based on available evidence or rationale.</w:t>
            </w:r>
          </w:p>
        </w:tc>
      </w:tr>
    </w:tbl>
    <w:p w14:paraId="7BCF88D4" w14:textId="77777777" w:rsidR="00A61B02" w:rsidRPr="000F4A7F" w:rsidRDefault="00A61B02" w:rsidP="002E2177">
      <w:pPr>
        <w:ind w:left="0" w:firstLine="0"/>
        <w:rPr>
          <w:rFonts w:ascii="Calibri" w:eastAsia="Calibri" w:hAnsi="Calibri" w:cs="Times New Roman"/>
        </w:rPr>
      </w:pPr>
    </w:p>
    <w:p w14:paraId="55B8DA6D" w14:textId="035CC0AB" w:rsidR="00A9011D" w:rsidRDefault="00A9011D" w:rsidP="002E2177">
      <w:pPr>
        <w:ind w:left="0" w:firstLine="0"/>
        <w:rPr>
          <w:i/>
          <w:iCs/>
        </w:rPr>
      </w:pPr>
    </w:p>
    <w:p w14:paraId="1858219C" w14:textId="5510022D" w:rsidR="00D26F34" w:rsidRPr="0038014E" w:rsidRDefault="00A61B02" w:rsidP="00B94E96">
      <w:pPr>
        <w:pStyle w:val="ListParagraph"/>
        <w:numPr>
          <w:ilvl w:val="0"/>
          <w:numId w:val="30"/>
        </w:numPr>
        <w:rPr>
          <w:iCs/>
          <w:color w:val="7030A0"/>
        </w:rPr>
      </w:pPr>
      <w:r w:rsidRPr="0038014E">
        <w:rPr>
          <w:rFonts w:cstheme="minorHAnsi"/>
          <w:bCs/>
          <w:color w:val="7030A0"/>
        </w:rPr>
        <w:lastRenderedPageBreak/>
        <w:t>Clinical Practice Guideline for the Evaluation of Fever and Infection in Older Adult Residents of Long-Term Care Facilities (2009)</w:t>
      </w:r>
    </w:p>
    <w:p w14:paraId="7B685B68" w14:textId="52B59F28" w:rsidR="007342B1" w:rsidRPr="0038014E" w:rsidRDefault="007342B1" w:rsidP="001D245F">
      <w:pPr>
        <w:ind w:left="1080"/>
        <w:rPr>
          <w:iCs/>
          <w:color w:val="7030A0"/>
          <w:sz w:val="20"/>
          <w:szCs w:val="20"/>
        </w:rPr>
      </w:pPr>
      <w:r w:rsidRPr="0038014E">
        <w:rPr>
          <w:rFonts w:cstheme="minorHAnsi"/>
          <w:bCs/>
          <w:color w:val="7030A0"/>
          <w:sz w:val="20"/>
          <w:szCs w:val="20"/>
        </w:rPr>
        <w:t>Ref: High K</w:t>
      </w:r>
      <w:r w:rsidR="006C429D" w:rsidRPr="0038014E">
        <w:rPr>
          <w:rFonts w:cstheme="minorHAnsi"/>
          <w:bCs/>
          <w:color w:val="7030A0"/>
          <w:sz w:val="20"/>
          <w:szCs w:val="20"/>
        </w:rPr>
        <w:t>.</w:t>
      </w:r>
      <w:r w:rsidRPr="0038014E">
        <w:rPr>
          <w:rFonts w:cstheme="minorHAnsi"/>
          <w:bCs/>
          <w:color w:val="7030A0"/>
          <w:sz w:val="20"/>
          <w:szCs w:val="20"/>
        </w:rPr>
        <w:t>P</w:t>
      </w:r>
      <w:r w:rsidR="006C429D" w:rsidRPr="0038014E">
        <w:rPr>
          <w:rFonts w:cstheme="minorHAnsi"/>
          <w:bCs/>
          <w:color w:val="7030A0"/>
          <w:sz w:val="20"/>
          <w:szCs w:val="20"/>
        </w:rPr>
        <w:t>.</w:t>
      </w:r>
      <w:r w:rsidRPr="0038014E">
        <w:rPr>
          <w:rFonts w:cstheme="minorHAnsi"/>
          <w:bCs/>
          <w:color w:val="7030A0"/>
          <w:sz w:val="20"/>
          <w:szCs w:val="20"/>
        </w:rPr>
        <w:t>, Bradley S</w:t>
      </w:r>
      <w:r w:rsidR="006C429D" w:rsidRPr="0038014E">
        <w:rPr>
          <w:rFonts w:cstheme="minorHAnsi"/>
          <w:bCs/>
          <w:color w:val="7030A0"/>
          <w:sz w:val="20"/>
          <w:szCs w:val="20"/>
        </w:rPr>
        <w:t>.</w:t>
      </w:r>
      <w:r w:rsidRPr="0038014E">
        <w:rPr>
          <w:rFonts w:cstheme="minorHAnsi"/>
          <w:bCs/>
          <w:color w:val="7030A0"/>
          <w:sz w:val="20"/>
          <w:szCs w:val="20"/>
        </w:rPr>
        <w:t>F</w:t>
      </w:r>
      <w:r w:rsidR="006C429D" w:rsidRPr="0038014E">
        <w:rPr>
          <w:rFonts w:cstheme="minorHAnsi"/>
          <w:bCs/>
          <w:color w:val="7030A0"/>
          <w:sz w:val="20"/>
          <w:szCs w:val="20"/>
        </w:rPr>
        <w:t>.</w:t>
      </w:r>
      <w:r w:rsidRPr="0038014E">
        <w:rPr>
          <w:rFonts w:cstheme="minorHAnsi"/>
          <w:bCs/>
          <w:color w:val="7030A0"/>
          <w:sz w:val="20"/>
          <w:szCs w:val="20"/>
        </w:rPr>
        <w:t xml:space="preserve">, </w:t>
      </w:r>
      <w:proofErr w:type="spellStart"/>
      <w:r w:rsidRPr="0038014E">
        <w:rPr>
          <w:rFonts w:cstheme="minorHAnsi"/>
          <w:bCs/>
          <w:color w:val="7030A0"/>
          <w:sz w:val="20"/>
          <w:szCs w:val="20"/>
        </w:rPr>
        <w:t>Gravenstein</w:t>
      </w:r>
      <w:proofErr w:type="spellEnd"/>
      <w:r w:rsidRPr="0038014E">
        <w:rPr>
          <w:rFonts w:cstheme="minorHAnsi"/>
          <w:bCs/>
          <w:color w:val="7030A0"/>
          <w:sz w:val="20"/>
          <w:szCs w:val="20"/>
        </w:rPr>
        <w:t xml:space="preserve"> D</w:t>
      </w:r>
      <w:r w:rsidR="006C429D" w:rsidRPr="0038014E">
        <w:rPr>
          <w:rFonts w:cstheme="minorHAnsi"/>
          <w:bCs/>
          <w:color w:val="7030A0"/>
          <w:sz w:val="20"/>
          <w:szCs w:val="20"/>
        </w:rPr>
        <w:t>.</w:t>
      </w:r>
      <w:r w:rsidRPr="0038014E">
        <w:rPr>
          <w:rFonts w:cstheme="minorHAnsi"/>
          <w:bCs/>
          <w:color w:val="7030A0"/>
          <w:sz w:val="20"/>
          <w:szCs w:val="20"/>
        </w:rPr>
        <w:t xml:space="preserve">, </w:t>
      </w:r>
      <w:proofErr w:type="spellStart"/>
      <w:r w:rsidRPr="0038014E">
        <w:rPr>
          <w:rFonts w:cstheme="minorHAnsi"/>
          <w:bCs/>
          <w:color w:val="7030A0"/>
          <w:sz w:val="20"/>
          <w:szCs w:val="20"/>
        </w:rPr>
        <w:t>Mehr</w:t>
      </w:r>
      <w:proofErr w:type="spellEnd"/>
      <w:r w:rsidRPr="0038014E">
        <w:rPr>
          <w:rFonts w:cstheme="minorHAnsi"/>
          <w:bCs/>
          <w:color w:val="7030A0"/>
          <w:sz w:val="20"/>
          <w:szCs w:val="20"/>
        </w:rPr>
        <w:t xml:space="preserve"> D</w:t>
      </w:r>
      <w:r w:rsidR="006C429D" w:rsidRPr="0038014E">
        <w:rPr>
          <w:rFonts w:cstheme="minorHAnsi"/>
          <w:bCs/>
          <w:color w:val="7030A0"/>
          <w:sz w:val="20"/>
          <w:szCs w:val="20"/>
        </w:rPr>
        <w:t>.</w:t>
      </w:r>
      <w:r w:rsidRPr="0038014E">
        <w:rPr>
          <w:rFonts w:cstheme="minorHAnsi"/>
          <w:bCs/>
          <w:color w:val="7030A0"/>
          <w:sz w:val="20"/>
          <w:szCs w:val="20"/>
        </w:rPr>
        <w:t>R</w:t>
      </w:r>
      <w:r w:rsidR="006C429D" w:rsidRPr="0038014E">
        <w:rPr>
          <w:rFonts w:cstheme="minorHAnsi"/>
          <w:bCs/>
          <w:color w:val="7030A0"/>
          <w:sz w:val="20"/>
          <w:szCs w:val="20"/>
        </w:rPr>
        <w:t>.</w:t>
      </w:r>
      <w:r w:rsidRPr="0038014E">
        <w:rPr>
          <w:rFonts w:cstheme="minorHAnsi"/>
          <w:bCs/>
          <w:color w:val="7030A0"/>
          <w:sz w:val="20"/>
          <w:szCs w:val="20"/>
        </w:rPr>
        <w:t xml:space="preserve">, </w:t>
      </w:r>
      <w:proofErr w:type="spellStart"/>
      <w:r w:rsidRPr="0038014E">
        <w:rPr>
          <w:rFonts w:cstheme="minorHAnsi"/>
          <w:bCs/>
          <w:color w:val="7030A0"/>
          <w:sz w:val="20"/>
          <w:szCs w:val="20"/>
        </w:rPr>
        <w:t>Quagliarello</w:t>
      </w:r>
      <w:proofErr w:type="spellEnd"/>
      <w:r w:rsidRPr="0038014E">
        <w:rPr>
          <w:rFonts w:cstheme="minorHAnsi"/>
          <w:bCs/>
          <w:color w:val="7030A0"/>
          <w:sz w:val="20"/>
          <w:szCs w:val="20"/>
        </w:rPr>
        <w:t xml:space="preserve"> V</w:t>
      </w:r>
      <w:r w:rsidR="006C429D" w:rsidRPr="0038014E">
        <w:rPr>
          <w:rFonts w:cstheme="minorHAnsi"/>
          <w:bCs/>
          <w:color w:val="7030A0"/>
          <w:sz w:val="20"/>
          <w:szCs w:val="20"/>
        </w:rPr>
        <w:t>.</w:t>
      </w:r>
      <w:r w:rsidRPr="0038014E">
        <w:rPr>
          <w:rFonts w:cstheme="minorHAnsi"/>
          <w:bCs/>
          <w:color w:val="7030A0"/>
          <w:sz w:val="20"/>
          <w:szCs w:val="20"/>
        </w:rPr>
        <w:t>J</w:t>
      </w:r>
      <w:r w:rsidR="006C429D" w:rsidRPr="0038014E">
        <w:rPr>
          <w:rFonts w:cstheme="minorHAnsi"/>
          <w:bCs/>
          <w:color w:val="7030A0"/>
          <w:sz w:val="20"/>
          <w:szCs w:val="20"/>
        </w:rPr>
        <w:t>.</w:t>
      </w:r>
      <w:r w:rsidRPr="0038014E">
        <w:rPr>
          <w:rFonts w:cstheme="minorHAnsi"/>
          <w:bCs/>
          <w:color w:val="7030A0"/>
          <w:sz w:val="20"/>
          <w:szCs w:val="20"/>
        </w:rPr>
        <w:t>, Richards C</w:t>
      </w:r>
      <w:r w:rsidR="006C429D" w:rsidRPr="0038014E">
        <w:rPr>
          <w:rFonts w:cstheme="minorHAnsi"/>
          <w:bCs/>
          <w:color w:val="7030A0"/>
          <w:sz w:val="20"/>
          <w:szCs w:val="20"/>
        </w:rPr>
        <w:t>., &amp;</w:t>
      </w:r>
      <w:r w:rsidRPr="0038014E">
        <w:rPr>
          <w:rFonts w:cstheme="minorHAnsi"/>
          <w:bCs/>
          <w:color w:val="7030A0"/>
          <w:sz w:val="20"/>
          <w:szCs w:val="20"/>
        </w:rPr>
        <w:t xml:space="preserve"> Yoshikawa T</w:t>
      </w:r>
      <w:r w:rsidR="006C429D" w:rsidRPr="0038014E">
        <w:rPr>
          <w:rFonts w:cstheme="minorHAnsi"/>
          <w:bCs/>
          <w:color w:val="7030A0"/>
          <w:sz w:val="20"/>
          <w:szCs w:val="20"/>
        </w:rPr>
        <w:t>.</w:t>
      </w:r>
      <w:r w:rsidRPr="0038014E">
        <w:rPr>
          <w:rFonts w:cstheme="minorHAnsi"/>
          <w:bCs/>
          <w:color w:val="7030A0"/>
          <w:sz w:val="20"/>
          <w:szCs w:val="20"/>
        </w:rPr>
        <w:t>T.</w:t>
      </w:r>
      <w:r w:rsidR="001639B3" w:rsidRPr="0038014E">
        <w:rPr>
          <w:rFonts w:cstheme="minorHAnsi"/>
          <w:bCs/>
          <w:color w:val="7030A0"/>
          <w:sz w:val="20"/>
          <w:szCs w:val="20"/>
        </w:rPr>
        <w:t xml:space="preserve"> (2009).</w:t>
      </w:r>
      <w:r w:rsidRPr="0038014E">
        <w:rPr>
          <w:rFonts w:cstheme="minorHAnsi"/>
          <w:bCs/>
          <w:color w:val="7030A0"/>
          <w:sz w:val="20"/>
          <w:szCs w:val="20"/>
        </w:rPr>
        <w:t xml:space="preserve"> Clinical </w:t>
      </w:r>
      <w:r w:rsidR="001639B3" w:rsidRPr="0038014E">
        <w:rPr>
          <w:rFonts w:cstheme="minorHAnsi"/>
          <w:bCs/>
          <w:color w:val="7030A0"/>
          <w:sz w:val="20"/>
          <w:szCs w:val="20"/>
        </w:rPr>
        <w:t>p</w:t>
      </w:r>
      <w:r w:rsidRPr="0038014E">
        <w:rPr>
          <w:rFonts w:cstheme="minorHAnsi"/>
          <w:bCs/>
          <w:color w:val="7030A0"/>
          <w:sz w:val="20"/>
          <w:szCs w:val="20"/>
        </w:rPr>
        <w:t xml:space="preserve">ractice </w:t>
      </w:r>
      <w:r w:rsidR="001639B3" w:rsidRPr="0038014E">
        <w:rPr>
          <w:rFonts w:cstheme="minorHAnsi"/>
          <w:bCs/>
          <w:color w:val="7030A0"/>
          <w:sz w:val="20"/>
          <w:szCs w:val="20"/>
        </w:rPr>
        <w:t>g</w:t>
      </w:r>
      <w:r w:rsidRPr="0038014E">
        <w:rPr>
          <w:rFonts w:cstheme="minorHAnsi"/>
          <w:bCs/>
          <w:color w:val="7030A0"/>
          <w:sz w:val="20"/>
          <w:szCs w:val="20"/>
        </w:rPr>
        <w:t xml:space="preserve">uideline for the </w:t>
      </w:r>
      <w:r w:rsidR="001639B3" w:rsidRPr="0038014E">
        <w:rPr>
          <w:rFonts w:cstheme="minorHAnsi"/>
          <w:bCs/>
          <w:color w:val="7030A0"/>
          <w:sz w:val="20"/>
          <w:szCs w:val="20"/>
        </w:rPr>
        <w:t>e</w:t>
      </w:r>
      <w:r w:rsidRPr="0038014E">
        <w:rPr>
          <w:rFonts w:cstheme="minorHAnsi"/>
          <w:bCs/>
          <w:color w:val="7030A0"/>
          <w:sz w:val="20"/>
          <w:szCs w:val="20"/>
        </w:rPr>
        <w:t xml:space="preserve">valuation of </w:t>
      </w:r>
      <w:r w:rsidR="001639B3" w:rsidRPr="0038014E">
        <w:rPr>
          <w:rFonts w:cstheme="minorHAnsi"/>
          <w:bCs/>
          <w:color w:val="7030A0"/>
          <w:sz w:val="20"/>
          <w:szCs w:val="20"/>
        </w:rPr>
        <w:t>f</w:t>
      </w:r>
      <w:r w:rsidRPr="0038014E">
        <w:rPr>
          <w:rFonts w:cstheme="minorHAnsi"/>
          <w:bCs/>
          <w:color w:val="7030A0"/>
          <w:sz w:val="20"/>
          <w:szCs w:val="20"/>
        </w:rPr>
        <w:t xml:space="preserve">ever and </w:t>
      </w:r>
      <w:r w:rsidR="001639B3" w:rsidRPr="0038014E">
        <w:rPr>
          <w:rFonts w:cstheme="minorHAnsi"/>
          <w:bCs/>
          <w:color w:val="7030A0"/>
          <w:sz w:val="20"/>
          <w:szCs w:val="20"/>
        </w:rPr>
        <w:t>i</w:t>
      </w:r>
      <w:r w:rsidRPr="0038014E">
        <w:rPr>
          <w:rFonts w:cstheme="minorHAnsi"/>
          <w:bCs/>
          <w:color w:val="7030A0"/>
          <w:sz w:val="20"/>
          <w:szCs w:val="20"/>
        </w:rPr>
        <w:t xml:space="preserve">nfection in </w:t>
      </w:r>
      <w:r w:rsidR="001639B3" w:rsidRPr="0038014E">
        <w:rPr>
          <w:rFonts w:cstheme="minorHAnsi"/>
          <w:bCs/>
          <w:color w:val="7030A0"/>
          <w:sz w:val="20"/>
          <w:szCs w:val="20"/>
        </w:rPr>
        <w:t>o</w:t>
      </w:r>
      <w:r w:rsidRPr="0038014E">
        <w:rPr>
          <w:rFonts w:cstheme="minorHAnsi"/>
          <w:bCs/>
          <w:color w:val="7030A0"/>
          <w:sz w:val="20"/>
          <w:szCs w:val="20"/>
        </w:rPr>
        <w:t xml:space="preserve">lder </w:t>
      </w:r>
      <w:r w:rsidR="001639B3" w:rsidRPr="0038014E">
        <w:rPr>
          <w:rFonts w:cstheme="minorHAnsi"/>
          <w:bCs/>
          <w:color w:val="7030A0"/>
          <w:sz w:val="20"/>
          <w:szCs w:val="20"/>
        </w:rPr>
        <w:t>a</w:t>
      </w:r>
      <w:r w:rsidRPr="0038014E">
        <w:rPr>
          <w:rFonts w:cstheme="minorHAnsi"/>
          <w:bCs/>
          <w:color w:val="7030A0"/>
          <w:sz w:val="20"/>
          <w:szCs w:val="20"/>
        </w:rPr>
        <w:t xml:space="preserve">dult </w:t>
      </w:r>
      <w:r w:rsidR="001639B3" w:rsidRPr="0038014E">
        <w:rPr>
          <w:rFonts w:cstheme="minorHAnsi"/>
          <w:bCs/>
          <w:color w:val="7030A0"/>
          <w:sz w:val="20"/>
          <w:szCs w:val="20"/>
        </w:rPr>
        <w:t>r</w:t>
      </w:r>
      <w:r w:rsidRPr="0038014E">
        <w:rPr>
          <w:rFonts w:cstheme="minorHAnsi"/>
          <w:bCs/>
          <w:color w:val="7030A0"/>
          <w:sz w:val="20"/>
          <w:szCs w:val="20"/>
        </w:rPr>
        <w:t xml:space="preserve">esidents of </w:t>
      </w:r>
      <w:r w:rsidR="001639B3" w:rsidRPr="0038014E">
        <w:rPr>
          <w:rFonts w:cstheme="minorHAnsi"/>
          <w:bCs/>
          <w:color w:val="7030A0"/>
          <w:sz w:val="20"/>
          <w:szCs w:val="20"/>
        </w:rPr>
        <w:t>l</w:t>
      </w:r>
      <w:r w:rsidRPr="0038014E">
        <w:rPr>
          <w:rFonts w:cstheme="minorHAnsi"/>
          <w:bCs/>
          <w:color w:val="7030A0"/>
          <w:sz w:val="20"/>
          <w:szCs w:val="20"/>
        </w:rPr>
        <w:t>ong-</w:t>
      </w:r>
      <w:r w:rsidR="001639B3" w:rsidRPr="0038014E">
        <w:rPr>
          <w:rFonts w:cstheme="minorHAnsi"/>
          <w:bCs/>
          <w:color w:val="7030A0"/>
          <w:sz w:val="20"/>
          <w:szCs w:val="20"/>
        </w:rPr>
        <w:t>t</w:t>
      </w:r>
      <w:r w:rsidRPr="0038014E">
        <w:rPr>
          <w:rFonts w:cstheme="minorHAnsi"/>
          <w:bCs/>
          <w:color w:val="7030A0"/>
          <w:sz w:val="20"/>
          <w:szCs w:val="20"/>
        </w:rPr>
        <w:t xml:space="preserve">erm </w:t>
      </w:r>
      <w:r w:rsidR="001639B3" w:rsidRPr="0038014E">
        <w:rPr>
          <w:rFonts w:cstheme="minorHAnsi"/>
          <w:bCs/>
          <w:color w:val="7030A0"/>
          <w:sz w:val="20"/>
          <w:szCs w:val="20"/>
        </w:rPr>
        <w:t>c</w:t>
      </w:r>
      <w:r w:rsidRPr="0038014E">
        <w:rPr>
          <w:rFonts w:cstheme="minorHAnsi"/>
          <w:bCs/>
          <w:color w:val="7030A0"/>
          <w:sz w:val="20"/>
          <w:szCs w:val="20"/>
        </w:rPr>
        <w:t xml:space="preserve">are </w:t>
      </w:r>
      <w:r w:rsidR="001639B3" w:rsidRPr="0038014E">
        <w:rPr>
          <w:rFonts w:cstheme="minorHAnsi"/>
          <w:bCs/>
          <w:color w:val="7030A0"/>
          <w:sz w:val="20"/>
          <w:szCs w:val="20"/>
        </w:rPr>
        <w:t>f</w:t>
      </w:r>
      <w:r w:rsidRPr="0038014E">
        <w:rPr>
          <w:rFonts w:cstheme="minorHAnsi"/>
          <w:bCs/>
          <w:color w:val="7030A0"/>
          <w:sz w:val="20"/>
          <w:szCs w:val="20"/>
        </w:rPr>
        <w:t xml:space="preserve">acilities. </w:t>
      </w:r>
      <w:r w:rsidRPr="0038014E">
        <w:rPr>
          <w:rFonts w:cstheme="minorHAnsi"/>
          <w:bCs/>
          <w:i/>
          <w:iCs/>
          <w:color w:val="7030A0"/>
          <w:sz w:val="20"/>
          <w:szCs w:val="20"/>
        </w:rPr>
        <w:t>Clinical Infectious Diseases</w:t>
      </w:r>
      <w:proofErr w:type="gramStart"/>
      <w:r w:rsidR="001639B3" w:rsidRPr="0038014E">
        <w:rPr>
          <w:rFonts w:cstheme="minorHAnsi"/>
          <w:bCs/>
          <w:color w:val="7030A0"/>
          <w:sz w:val="20"/>
          <w:szCs w:val="20"/>
        </w:rPr>
        <w:t>,</w:t>
      </w:r>
      <w:r w:rsidRPr="0038014E">
        <w:rPr>
          <w:rFonts w:cstheme="minorHAnsi"/>
          <w:bCs/>
          <w:i/>
          <w:iCs/>
          <w:color w:val="7030A0"/>
          <w:sz w:val="20"/>
          <w:szCs w:val="20"/>
        </w:rPr>
        <w:t>48</w:t>
      </w:r>
      <w:r w:rsidR="001639B3" w:rsidRPr="0038014E">
        <w:rPr>
          <w:rFonts w:cstheme="minorHAnsi"/>
          <w:bCs/>
          <w:color w:val="7030A0"/>
          <w:sz w:val="20"/>
          <w:szCs w:val="20"/>
        </w:rPr>
        <w:t>,</w:t>
      </w:r>
      <w:r w:rsidRPr="0038014E">
        <w:rPr>
          <w:rFonts w:cstheme="minorHAnsi"/>
          <w:bCs/>
          <w:color w:val="7030A0"/>
          <w:sz w:val="20"/>
          <w:szCs w:val="20"/>
        </w:rPr>
        <w:t>149</w:t>
      </w:r>
      <w:proofErr w:type="gramEnd"/>
      <w:r w:rsidRPr="0038014E">
        <w:rPr>
          <w:rFonts w:cstheme="minorHAnsi"/>
          <w:bCs/>
          <w:color w:val="7030A0"/>
          <w:sz w:val="20"/>
          <w:szCs w:val="20"/>
        </w:rPr>
        <w:t>-171.</w:t>
      </w:r>
      <w:r w:rsidR="00FB4D30">
        <w:rPr>
          <w:rFonts w:cstheme="minorHAnsi"/>
          <w:bCs/>
          <w:color w:val="7030A0"/>
          <w:sz w:val="20"/>
          <w:szCs w:val="20"/>
        </w:rPr>
        <w:t xml:space="preserve"> </w:t>
      </w:r>
      <w:hyperlink r:id="rId16" w:history="1">
        <w:r w:rsidR="00FB4D30" w:rsidRPr="00FB4D30">
          <w:rPr>
            <w:rStyle w:val="Hyperlink"/>
            <w:sz w:val="20"/>
            <w:szCs w:val="20"/>
          </w:rPr>
          <w:t>https://academic.oup.com/cid/article/48/2/149/304388</w:t>
        </w:r>
      </w:hyperlink>
    </w:p>
    <w:p w14:paraId="71C9E2CC" w14:textId="6DEEC0D3" w:rsidR="007342B1" w:rsidRPr="008D13D5" w:rsidRDefault="007342B1" w:rsidP="008D13D5">
      <w:pPr>
        <w:rPr>
          <w:iCs/>
        </w:rPr>
      </w:pPr>
    </w:p>
    <w:p w14:paraId="768EA27E" w14:textId="486B17D5" w:rsidR="00B94E96" w:rsidRPr="0038014E" w:rsidRDefault="00B94E96" w:rsidP="00A75C8F">
      <w:pPr>
        <w:ind w:firstLine="0"/>
        <w:rPr>
          <w:iCs/>
          <w:color w:val="7030A0"/>
        </w:rPr>
      </w:pPr>
      <w:r w:rsidRPr="0038014E">
        <w:rPr>
          <w:iCs/>
          <w:color w:val="7030A0"/>
        </w:rPr>
        <w:t>Guidelines</w:t>
      </w:r>
      <w:r w:rsidR="007376A5" w:rsidRPr="0038014E">
        <w:rPr>
          <w:iCs/>
          <w:color w:val="7030A0"/>
        </w:rPr>
        <w:t xml:space="preserve"> (See Table 2 for grading of </w:t>
      </w:r>
      <w:r w:rsidR="006B00B3" w:rsidRPr="0038014E">
        <w:rPr>
          <w:iCs/>
          <w:color w:val="7030A0"/>
        </w:rPr>
        <w:t>e</w:t>
      </w:r>
      <w:r w:rsidR="007376A5" w:rsidRPr="0038014E">
        <w:rPr>
          <w:iCs/>
          <w:color w:val="7030A0"/>
        </w:rPr>
        <w:t>vidence)</w:t>
      </w:r>
    </w:p>
    <w:p w14:paraId="789FC5E0" w14:textId="6C9CCA32" w:rsidR="00B94E96" w:rsidRPr="0038014E" w:rsidRDefault="00B94E96" w:rsidP="00B94E96">
      <w:pPr>
        <w:rPr>
          <w:iCs/>
          <w:color w:val="7030A0"/>
        </w:rPr>
      </w:pPr>
    </w:p>
    <w:p w14:paraId="5FF2B57E" w14:textId="40880A0F" w:rsidR="00B94E96" w:rsidRPr="0038014E" w:rsidRDefault="00B94E96" w:rsidP="00A75C8F">
      <w:pPr>
        <w:spacing w:line="288" w:lineRule="auto"/>
        <w:ind w:left="0" w:firstLine="360"/>
        <w:rPr>
          <w:rFonts w:cstheme="minorHAnsi"/>
          <w:bCs/>
          <w:color w:val="7030A0"/>
        </w:rPr>
      </w:pPr>
      <w:r w:rsidRPr="0038014E">
        <w:rPr>
          <w:rFonts w:cstheme="minorHAnsi"/>
          <w:bCs/>
          <w:color w:val="7030A0"/>
        </w:rPr>
        <w:t>Urinalysis and Urine Culture</w:t>
      </w:r>
    </w:p>
    <w:p w14:paraId="3DF6A94E" w14:textId="77777777" w:rsidR="00543DA5" w:rsidRPr="0038014E" w:rsidRDefault="00543DA5" w:rsidP="00A75C8F">
      <w:pPr>
        <w:spacing w:line="288" w:lineRule="auto"/>
        <w:ind w:left="0" w:firstLine="360"/>
        <w:rPr>
          <w:rFonts w:cstheme="minorHAnsi"/>
          <w:bCs/>
          <w:color w:val="7030A0"/>
        </w:rPr>
      </w:pPr>
    </w:p>
    <w:p w14:paraId="7D2990D7" w14:textId="77777777" w:rsidR="00B94E96" w:rsidRPr="0038014E" w:rsidRDefault="00B94E96" w:rsidP="00B94E96">
      <w:pPr>
        <w:spacing w:line="288" w:lineRule="auto"/>
        <w:rPr>
          <w:rFonts w:cstheme="minorHAnsi"/>
          <w:bCs/>
          <w:color w:val="7030A0"/>
        </w:rPr>
      </w:pPr>
      <w:r w:rsidRPr="0038014E">
        <w:rPr>
          <w:rFonts w:cstheme="minorHAnsi"/>
          <w:bCs/>
          <w:color w:val="7030A0"/>
        </w:rPr>
        <w:t xml:space="preserve">12. </w:t>
      </w:r>
      <w:r w:rsidRPr="0038014E">
        <w:rPr>
          <w:rFonts w:cstheme="minorHAnsi"/>
          <w:bCs/>
          <w:color w:val="7030A0"/>
        </w:rPr>
        <w:tab/>
        <w:t>Urinalysis and urine cultures should not be performed for asymptomatic residents (A-I).</w:t>
      </w:r>
    </w:p>
    <w:p w14:paraId="3EA681CA" w14:textId="77777777" w:rsidR="00B94E96" w:rsidRPr="0038014E" w:rsidRDefault="00B94E96" w:rsidP="00B94E96">
      <w:pPr>
        <w:spacing w:line="288" w:lineRule="auto"/>
        <w:rPr>
          <w:rFonts w:cstheme="minorHAnsi"/>
          <w:bCs/>
          <w:color w:val="7030A0"/>
        </w:rPr>
      </w:pPr>
      <w:r w:rsidRPr="0038014E">
        <w:rPr>
          <w:rFonts w:cstheme="minorHAnsi"/>
          <w:bCs/>
          <w:color w:val="7030A0"/>
        </w:rPr>
        <w:t xml:space="preserve">13. </w:t>
      </w:r>
      <w:r w:rsidRPr="0038014E">
        <w:rPr>
          <w:rFonts w:cstheme="minorHAnsi"/>
          <w:bCs/>
          <w:color w:val="7030A0"/>
        </w:rPr>
        <w:tab/>
        <w:t xml:space="preserve">In </w:t>
      </w:r>
      <w:proofErr w:type="spellStart"/>
      <w:r w:rsidRPr="0038014E">
        <w:rPr>
          <w:rFonts w:cstheme="minorHAnsi"/>
          <w:bCs/>
          <w:color w:val="7030A0"/>
        </w:rPr>
        <w:t>noncatheterized</w:t>
      </w:r>
      <w:proofErr w:type="spellEnd"/>
      <w:r w:rsidRPr="0038014E">
        <w:rPr>
          <w:rFonts w:cstheme="minorHAnsi"/>
          <w:bCs/>
          <w:color w:val="7030A0"/>
        </w:rPr>
        <w:t xml:space="preserve"> residents, the diagnostic laboratory evaluation of suspected UTI should be reserved for those with acute onset of UTI-associated symptoms and signs (e.g., fever, dysuria, gross hematuria, new or worsening urinary incontinence, and/or suspected bacteremia) (A-II).</w:t>
      </w:r>
    </w:p>
    <w:p w14:paraId="14CDFBA0" w14:textId="77777777" w:rsidR="00B94E96" w:rsidRPr="0038014E" w:rsidRDefault="00B94E96" w:rsidP="00B94E96">
      <w:pPr>
        <w:spacing w:line="288" w:lineRule="auto"/>
        <w:rPr>
          <w:rFonts w:cstheme="minorHAnsi"/>
          <w:bCs/>
          <w:color w:val="7030A0"/>
        </w:rPr>
      </w:pPr>
      <w:r w:rsidRPr="0038014E">
        <w:rPr>
          <w:rFonts w:cstheme="minorHAnsi"/>
          <w:bCs/>
          <w:color w:val="7030A0"/>
        </w:rPr>
        <w:t xml:space="preserve">14. </w:t>
      </w:r>
      <w:r w:rsidRPr="0038014E">
        <w:rPr>
          <w:rFonts w:cstheme="minorHAnsi"/>
          <w:bCs/>
          <w:color w:val="7030A0"/>
        </w:rPr>
        <w:tab/>
        <w:t xml:space="preserve">In residents with long-term indwelling urethral catheters, evaluation is indicated if there is suspected </w:t>
      </w:r>
      <w:proofErr w:type="spellStart"/>
      <w:r w:rsidRPr="0038014E">
        <w:rPr>
          <w:rFonts w:cstheme="minorHAnsi"/>
          <w:bCs/>
          <w:color w:val="7030A0"/>
        </w:rPr>
        <w:t>urosepsis</w:t>
      </w:r>
      <w:proofErr w:type="spellEnd"/>
      <w:r w:rsidRPr="0038014E">
        <w:rPr>
          <w:rFonts w:cstheme="minorHAnsi"/>
          <w:bCs/>
          <w:color w:val="7030A0"/>
        </w:rPr>
        <w:t xml:space="preserve"> (i.e., fever, shaking chills, hypotension, or delirium), especially in the context of recent catheter obstruction or change (A-II).</w:t>
      </w:r>
    </w:p>
    <w:p w14:paraId="3D3AE96A" w14:textId="44EDB1BD" w:rsidR="00B94E96" w:rsidRPr="0038014E" w:rsidRDefault="00B94E96" w:rsidP="00B94E96">
      <w:pPr>
        <w:spacing w:line="288" w:lineRule="auto"/>
        <w:rPr>
          <w:rFonts w:cstheme="minorHAnsi"/>
          <w:bCs/>
          <w:color w:val="7030A0"/>
        </w:rPr>
      </w:pPr>
      <w:r w:rsidRPr="0038014E">
        <w:rPr>
          <w:rFonts w:cstheme="minorHAnsi"/>
          <w:bCs/>
          <w:color w:val="7030A0"/>
        </w:rPr>
        <w:t xml:space="preserve">15. </w:t>
      </w:r>
      <w:r w:rsidRPr="0038014E">
        <w:rPr>
          <w:rFonts w:cstheme="minorHAnsi"/>
          <w:bCs/>
          <w:color w:val="7030A0"/>
        </w:rPr>
        <w:tab/>
        <w:t>Appropriately collected urine specimens include a midstream or clean-catch specimen obtained from elderly men who are cooperative and functionally capable; however, it is often necessary to use a freshly applied, clean condom external collection system, with frequent monitoring of the urine bag (B</w:t>
      </w:r>
      <w:r w:rsidR="001639B3" w:rsidRPr="0038014E">
        <w:rPr>
          <w:rFonts w:cstheme="minorHAnsi"/>
          <w:bCs/>
          <w:color w:val="7030A0"/>
        </w:rPr>
        <w:t>-</w:t>
      </w:r>
      <w:r w:rsidRPr="0038014E">
        <w:rPr>
          <w:rFonts w:cstheme="minorHAnsi"/>
          <w:bCs/>
          <w:color w:val="7030A0"/>
        </w:rPr>
        <w:t>II). Specimen collection from women will often require an in and-out catheterization (B-III).</w:t>
      </w:r>
    </w:p>
    <w:p w14:paraId="18195B81" w14:textId="77777777" w:rsidR="00B94E96" w:rsidRPr="0038014E" w:rsidRDefault="00B94E96" w:rsidP="00B94E96">
      <w:pPr>
        <w:spacing w:line="288" w:lineRule="auto"/>
        <w:rPr>
          <w:rFonts w:cstheme="minorHAnsi"/>
          <w:bCs/>
          <w:color w:val="7030A0"/>
        </w:rPr>
      </w:pPr>
      <w:r w:rsidRPr="0038014E">
        <w:rPr>
          <w:rFonts w:cstheme="minorHAnsi"/>
          <w:bCs/>
          <w:color w:val="7030A0"/>
        </w:rPr>
        <w:t xml:space="preserve">16. </w:t>
      </w:r>
      <w:r w:rsidRPr="0038014E">
        <w:rPr>
          <w:rFonts w:cstheme="minorHAnsi"/>
          <w:bCs/>
          <w:color w:val="7030A0"/>
        </w:rPr>
        <w:tab/>
        <w:t xml:space="preserve">Residents with long-term indwelling urethral catheters and suspected </w:t>
      </w:r>
      <w:proofErr w:type="spellStart"/>
      <w:r w:rsidRPr="0038014E">
        <w:rPr>
          <w:rFonts w:cstheme="minorHAnsi"/>
          <w:bCs/>
          <w:color w:val="7030A0"/>
        </w:rPr>
        <w:t>urosepsis</w:t>
      </w:r>
      <w:proofErr w:type="spellEnd"/>
      <w:r w:rsidRPr="0038014E">
        <w:rPr>
          <w:rFonts w:cstheme="minorHAnsi"/>
          <w:bCs/>
          <w:color w:val="7030A0"/>
        </w:rPr>
        <w:t xml:space="preserve"> should have catheters changed prior to specimen collection and institution of antibiotic therapy (A-II).</w:t>
      </w:r>
    </w:p>
    <w:p w14:paraId="1FD82F18" w14:textId="77777777" w:rsidR="00B94E96" w:rsidRPr="0038014E" w:rsidRDefault="00B94E96" w:rsidP="00B94E96">
      <w:pPr>
        <w:spacing w:line="288" w:lineRule="auto"/>
        <w:rPr>
          <w:rFonts w:cstheme="minorHAnsi"/>
          <w:bCs/>
          <w:color w:val="7030A0"/>
        </w:rPr>
      </w:pPr>
      <w:r w:rsidRPr="0038014E">
        <w:rPr>
          <w:rFonts w:cstheme="minorHAnsi"/>
          <w:bCs/>
          <w:color w:val="7030A0"/>
        </w:rPr>
        <w:t xml:space="preserve">17. </w:t>
      </w:r>
      <w:r w:rsidRPr="0038014E">
        <w:rPr>
          <w:rFonts w:cstheme="minorHAnsi"/>
          <w:bCs/>
          <w:color w:val="7030A0"/>
        </w:rPr>
        <w:tab/>
        <w:t>The minimum laboratory evaluation for suspected UTI should include urinalysis for determination of leukocyte esterase and nitrite level by use of a dipstick and a microscopic examination for WBCs (B-II). If pyuria (110 WBCs/high-power field or a positive leukocyte esterase or nitrite test is present on dipstick, only then should a urine culture (with antimicrobial susceptibility testing) be ordered (B-III).</w:t>
      </w:r>
    </w:p>
    <w:p w14:paraId="43936D48" w14:textId="77777777" w:rsidR="00B94E96" w:rsidRPr="0038014E" w:rsidRDefault="00B94E96" w:rsidP="00B94E96">
      <w:pPr>
        <w:spacing w:line="288" w:lineRule="auto"/>
        <w:rPr>
          <w:rFonts w:cstheme="minorHAnsi"/>
          <w:bCs/>
          <w:color w:val="7030A0"/>
        </w:rPr>
      </w:pPr>
      <w:r w:rsidRPr="0038014E">
        <w:rPr>
          <w:rFonts w:cstheme="minorHAnsi"/>
          <w:bCs/>
          <w:color w:val="7030A0"/>
        </w:rPr>
        <w:t xml:space="preserve">18. </w:t>
      </w:r>
      <w:r w:rsidRPr="0038014E">
        <w:rPr>
          <w:rFonts w:cstheme="minorHAnsi"/>
          <w:bCs/>
          <w:color w:val="7030A0"/>
        </w:rPr>
        <w:tab/>
        <w:t xml:space="preserve">If </w:t>
      </w:r>
      <w:proofErr w:type="spellStart"/>
      <w:r w:rsidRPr="0038014E">
        <w:rPr>
          <w:rFonts w:cstheme="minorHAnsi"/>
          <w:bCs/>
          <w:color w:val="7030A0"/>
        </w:rPr>
        <w:t>urosepsis</w:t>
      </w:r>
      <w:proofErr w:type="spellEnd"/>
      <w:r w:rsidRPr="0038014E">
        <w:rPr>
          <w:rFonts w:cstheme="minorHAnsi"/>
          <w:bCs/>
          <w:color w:val="7030A0"/>
        </w:rPr>
        <w:t xml:space="preserve"> is suspected, urine and paired blood specimens should be obtained, if feasible, for culture and antimicrobial susceptibility testing, and a Gram stain of </w:t>
      </w:r>
      <w:proofErr w:type="spellStart"/>
      <w:r w:rsidRPr="0038014E">
        <w:rPr>
          <w:rFonts w:cstheme="minorHAnsi"/>
          <w:bCs/>
          <w:color w:val="7030A0"/>
        </w:rPr>
        <w:t>uncentrifuged</w:t>
      </w:r>
      <w:proofErr w:type="spellEnd"/>
      <w:r w:rsidRPr="0038014E">
        <w:rPr>
          <w:rFonts w:cstheme="minorHAnsi"/>
          <w:bCs/>
          <w:color w:val="7030A0"/>
        </w:rPr>
        <w:t xml:space="preserve"> urine should be requested (B-III).</w:t>
      </w:r>
    </w:p>
    <w:p w14:paraId="5605C025" w14:textId="30947FCE" w:rsidR="00B94E96" w:rsidRDefault="00B94E96" w:rsidP="00B94E96">
      <w:pPr>
        <w:rPr>
          <w:iCs/>
          <w:color w:val="7030A0"/>
        </w:rPr>
      </w:pPr>
    </w:p>
    <w:p w14:paraId="4BF7DE5F" w14:textId="106332B1" w:rsidR="0021491C" w:rsidRDefault="0021491C" w:rsidP="00B94E96">
      <w:pPr>
        <w:rPr>
          <w:iCs/>
          <w:color w:val="7030A0"/>
        </w:rPr>
      </w:pPr>
    </w:p>
    <w:p w14:paraId="489C61E7" w14:textId="35AFEF93" w:rsidR="0021491C" w:rsidRDefault="0021491C" w:rsidP="00B94E96">
      <w:pPr>
        <w:rPr>
          <w:iCs/>
          <w:color w:val="7030A0"/>
        </w:rPr>
      </w:pPr>
    </w:p>
    <w:p w14:paraId="3986B2D2" w14:textId="488B16E8" w:rsidR="0021491C" w:rsidRDefault="0021491C" w:rsidP="00B94E96">
      <w:pPr>
        <w:rPr>
          <w:iCs/>
          <w:color w:val="7030A0"/>
        </w:rPr>
      </w:pPr>
    </w:p>
    <w:p w14:paraId="1AFAA989" w14:textId="7D9809F4" w:rsidR="0021491C" w:rsidRDefault="0021491C" w:rsidP="00B94E96">
      <w:pPr>
        <w:rPr>
          <w:iCs/>
          <w:color w:val="7030A0"/>
        </w:rPr>
      </w:pPr>
    </w:p>
    <w:p w14:paraId="4CC2D2EC" w14:textId="2C025CA0" w:rsidR="0021491C" w:rsidRDefault="0021491C" w:rsidP="00B94E96">
      <w:pPr>
        <w:rPr>
          <w:iCs/>
          <w:color w:val="7030A0"/>
        </w:rPr>
      </w:pPr>
    </w:p>
    <w:p w14:paraId="71A82450" w14:textId="7DE07065" w:rsidR="0021491C" w:rsidRDefault="0021491C" w:rsidP="00B94E96">
      <w:pPr>
        <w:rPr>
          <w:iCs/>
          <w:color w:val="7030A0"/>
        </w:rPr>
      </w:pPr>
    </w:p>
    <w:p w14:paraId="2644D5BE" w14:textId="186824D3" w:rsidR="0021491C" w:rsidRDefault="0021491C" w:rsidP="00B94E96">
      <w:pPr>
        <w:rPr>
          <w:iCs/>
          <w:color w:val="7030A0"/>
        </w:rPr>
      </w:pPr>
    </w:p>
    <w:p w14:paraId="6E597962" w14:textId="3F607E0C" w:rsidR="0021491C" w:rsidRDefault="0021491C" w:rsidP="00B94E96">
      <w:pPr>
        <w:rPr>
          <w:iCs/>
          <w:color w:val="7030A0"/>
        </w:rPr>
      </w:pPr>
    </w:p>
    <w:p w14:paraId="73D07A48" w14:textId="77777777" w:rsidR="0021491C" w:rsidRPr="0038014E" w:rsidRDefault="0021491C" w:rsidP="00B94E96">
      <w:pPr>
        <w:rPr>
          <w:iCs/>
          <w:color w:val="7030A0"/>
        </w:rPr>
      </w:pPr>
    </w:p>
    <w:p w14:paraId="5F2C6060" w14:textId="2C2D978D" w:rsidR="00AC669C" w:rsidRPr="0021491C" w:rsidRDefault="00D87B05" w:rsidP="0021491C">
      <w:pPr>
        <w:pStyle w:val="Response"/>
        <w:spacing w:before="0" w:after="0"/>
        <w:ind w:left="720"/>
        <w:jc w:val="center"/>
        <w:rPr>
          <w:b/>
          <w:bCs/>
        </w:rPr>
      </w:pPr>
      <w:r w:rsidRPr="00BC5F61">
        <w:rPr>
          <w:b/>
          <w:bCs/>
        </w:rPr>
        <w:lastRenderedPageBreak/>
        <w:t>Table 2.</w:t>
      </w:r>
      <w:r w:rsidR="00BC5F61" w:rsidRPr="00BC5F61">
        <w:rPr>
          <w:b/>
          <w:bCs/>
        </w:rPr>
        <w:t xml:space="preserve"> </w:t>
      </w:r>
      <w:r w:rsidRPr="00BC5F61">
        <w:rPr>
          <w:b/>
          <w:bCs/>
        </w:rPr>
        <w:t>Strength of Recommendation and Quality of Evidence</w:t>
      </w:r>
    </w:p>
    <w:tbl>
      <w:tblPr>
        <w:tblW w:w="8956" w:type="dxa"/>
        <w:tblInd w:w="180" w:type="dxa"/>
        <w:tblBorders>
          <w:top w:val="single" w:sz="12" w:space="0" w:color="0000FF"/>
          <w:bottom w:val="single" w:sz="12" w:space="0" w:color="0000FF"/>
        </w:tblBorders>
        <w:tblLayout w:type="fixed"/>
        <w:tblLook w:val="0000" w:firstRow="0" w:lastRow="0" w:firstColumn="0" w:lastColumn="0" w:noHBand="0" w:noVBand="0"/>
        <w:tblCaption w:val="Table 2. Strength of Recommendation and Quality of Evidence"/>
        <w:tblDescription w:val="Table 2 provides definitions for Category/grades A, B, C, and Quality of evidence I, II, III."/>
      </w:tblPr>
      <w:tblGrid>
        <w:gridCol w:w="4130"/>
        <w:gridCol w:w="4826"/>
      </w:tblGrid>
      <w:tr w:rsidR="00D87B05" w:rsidRPr="00C4131E" w14:paraId="6347EF1E" w14:textId="77777777" w:rsidTr="0091656A">
        <w:trPr>
          <w:cantSplit/>
          <w:trHeight w:val="272"/>
          <w:tblHeader/>
        </w:trPr>
        <w:tc>
          <w:tcPr>
            <w:tcW w:w="4130" w:type="dxa"/>
            <w:tcBorders>
              <w:top w:val="single" w:sz="12" w:space="0" w:color="7030A0"/>
              <w:bottom w:val="single" w:sz="4" w:space="0" w:color="7030A0"/>
            </w:tcBorders>
          </w:tcPr>
          <w:p w14:paraId="6DBBAEB2" w14:textId="77777777" w:rsidR="00D87B05" w:rsidRPr="00C4131E" w:rsidRDefault="00D87B05" w:rsidP="004E2D5B">
            <w:pPr>
              <w:pStyle w:val="Response"/>
              <w:spacing w:before="0" w:after="0"/>
              <w:ind w:left="0"/>
            </w:pPr>
            <w:r>
              <w:t>Category/grade</w:t>
            </w:r>
          </w:p>
        </w:tc>
        <w:tc>
          <w:tcPr>
            <w:tcW w:w="4826" w:type="dxa"/>
            <w:tcBorders>
              <w:top w:val="single" w:sz="12" w:space="0" w:color="7030A0"/>
              <w:bottom w:val="single" w:sz="4" w:space="0" w:color="7030A0"/>
            </w:tcBorders>
          </w:tcPr>
          <w:p w14:paraId="5429D11C" w14:textId="77777777" w:rsidR="00D87B05" w:rsidRPr="00C4131E" w:rsidRDefault="00D87B05" w:rsidP="004E2D5B">
            <w:pPr>
              <w:pStyle w:val="Response"/>
              <w:spacing w:before="0" w:after="0"/>
              <w:ind w:left="0"/>
            </w:pPr>
            <w:r>
              <w:t>Definition</w:t>
            </w:r>
          </w:p>
        </w:tc>
      </w:tr>
      <w:tr w:rsidR="00D87B05" w:rsidRPr="00C4131E" w14:paraId="2F3F15E5" w14:textId="77777777" w:rsidTr="0091656A">
        <w:trPr>
          <w:cantSplit/>
          <w:trHeight w:val="272"/>
          <w:tblHeader/>
        </w:trPr>
        <w:tc>
          <w:tcPr>
            <w:tcW w:w="4130" w:type="dxa"/>
            <w:tcBorders>
              <w:top w:val="single" w:sz="4" w:space="0" w:color="7030A0"/>
            </w:tcBorders>
          </w:tcPr>
          <w:p w14:paraId="59AD4AD5" w14:textId="77777777" w:rsidR="00D87B05" w:rsidRPr="00C4131E" w:rsidRDefault="00D87B05" w:rsidP="004E2D5B">
            <w:pPr>
              <w:pStyle w:val="Response"/>
              <w:spacing w:before="0" w:after="0"/>
              <w:ind w:left="0"/>
            </w:pPr>
            <w:r>
              <w:t>A</w:t>
            </w:r>
            <w:r w:rsidRPr="00C4131E">
              <w:t xml:space="preserve"> </w:t>
            </w:r>
          </w:p>
        </w:tc>
        <w:tc>
          <w:tcPr>
            <w:tcW w:w="4826" w:type="dxa"/>
            <w:tcBorders>
              <w:top w:val="single" w:sz="4" w:space="0" w:color="7030A0"/>
            </w:tcBorders>
          </w:tcPr>
          <w:p w14:paraId="681CADA9" w14:textId="77777777" w:rsidR="00D87B05" w:rsidRPr="00C4131E" w:rsidRDefault="00D87B05" w:rsidP="004E2D5B">
            <w:pPr>
              <w:pStyle w:val="Response"/>
              <w:spacing w:before="0" w:after="0"/>
              <w:ind w:left="0"/>
            </w:pPr>
            <w:r>
              <w:t>Good evidence to support a recommendation for or against use.</w:t>
            </w:r>
          </w:p>
        </w:tc>
      </w:tr>
      <w:tr w:rsidR="00D87B05" w:rsidRPr="00C4131E" w14:paraId="2408B527" w14:textId="77777777" w:rsidTr="0021491C">
        <w:trPr>
          <w:cantSplit/>
          <w:trHeight w:val="399"/>
          <w:tblHeader/>
        </w:trPr>
        <w:tc>
          <w:tcPr>
            <w:tcW w:w="4130" w:type="dxa"/>
            <w:tcBorders>
              <w:bottom w:val="nil"/>
            </w:tcBorders>
          </w:tcPr>
          <w:p w14:paraId="2237C271" w14:textId="77777777" w:rsidR="00D87B05" w:rsidRPr="00C4131E" w:rsidRDefault="00D87B05" w:rsidP="004E2D5B">
            <w:pPr>
              <w:pStyle w:val="Response"/>
              <w:spacing w:before="0" w:after="0"/>
              <w:ind w:left="0"/>
            </w:pPr>
            <w:r>
              <w:t>B</w:t>
            </w:r>
            <w:r w:rsidRPr="00C4131E">
              <w:t xml:space="preserve"> </w:t>
            </w:r>
          </w:p>
        </w:tc>
        <w:tc>
          <w:tcPr>
            <w:tcW w:w="4826" w:type="dxa"/>
            <w:tcBorders>
              <w:bottom w:val="nil"/>
            </w:tcBorders>
          </w:tcPr>
          <w:p w14:paraId="502B3122" w14:textId="77777777" w:rsidR="00D87B05" w:rsidRPr="00C4131E" w:rsidRDefault="00D87B05" w:rsidP="004E2D5B">
            <w:pPr>
              <w:pStyle w:val="Response"/>
              <w:spacing w:before="0" w:after="0"/>
              <w:ind w:left="0"/>
            </w:pPr>
            <w:r>
              <w:t>Moderate evidence to support a recommendation for or against use.</w:t>
            </w:r>
          </w:p>
        </w:tc>
      </w:tr>
      <w:tr w:rsidR="00D87B05" w:rsidRPr="00C4131E" w14:paraId="07284477" w14:textId="77777777" w:rsidTr="00B04B57">
        <w:trPr>
          <w:cantSplit/>
          <w:trHeight w:val="146"/>
          <w:tblHeader/>
        </w:trPr>
        <w:tc>
          <w:tcPr>
            <w:tcW w:w="4130" w:type="dxa"/>
            <w:tcBorders>
              <w:top w:val="nil"/>
              <w:bottom w:val="single" w:sz="8" w:space="0" w:color="7030A0"/>
            </w:tcBorders>
          </w:tcPr>
          <w:p w14:paraId="7D1A5DCD" w14:textId="77777777" w:rsidR="00D87B05" w:rsidRPr="00C4131E" w:rsidRDefault="00D87B05" w:rsidP="004E2D5B">
            <w:pPr>
              <w:pStyle w:val="Response"/>
              <w:spacing w:before="0" w:after="0"/>
              <w:ind w:left="0"/>
            </w:pPr>
            <w:r>
              <w:t>C</w:t>
            </w:r>
            <w:r w:rsidRPr="00C4131E">
              <w:t xml:space="preserve"> </w:t>
            </w:r>
          </w:p>
        </w:tc>
        <w:tc>
          <w:tcPr>
            <w:tcW w:w="4826" w:type="dxa"/>
            <w:tcBorders>
              <w:top w:val="nil"/>
              <w:bottom w:val="single" w:sz="8" w:space="0" w:color="7030A0"/>
            </w:tcBorders>
          </w:tcPr>
          <w:p w14:paraId="778D69FF" w14:textId="77777777" w:rsidR="00D87B05" w:rsidRPr="00C4131E" w:rsidRDefault="00D87B05" w:rsidP="004E2D5B">
            <w:pPr>
              <w:pStyle w:val="Response"/>
              <w:spacing w:before="0" w:after="0"/>
              <w:ind w:left="0"/>
            </w:pPr>
            <w:r>
              <w:t>Poor evidence to support a recommendation for or against use.</w:t>
            </w:r>
          </w:p>
        </w:tc>
      </w:tr>
      <w:tr w:rsidR="00D87B05" w:rsidRPr="00C4131E" w14:paraId="3130A96E" w14:textId="77777777" w:rsidTr="00B04B57">
        <w:trPr>
          <w:cantSplit/>
          <w:trHeight w:val="146"/>
          <w:tblHeader/>
        </w:trPr>
        <w:tc>
          <w:tcPr>
            <w:tcW w:w="4130" w:type="dxa"/>
            <w:tcBorders>
              <w:top w:val="single" w:sz="8" w:space="0" w:color="7030A0"/>
              <w:bottom w:val="single" w:sz="8" w:space="0" w:color="7030A0"/>
            </w:tcBorders>
          </w:tcPr>
          <w:p w14:paraId="2ED74134" w14:textId="77777777" w:rsidR="00D87B05" w:rsidRDefault="00D87B05" w:rsidP="004E2D5B">
            <w:pPr>
              <w:pStyle w:val="Response"/>
              <w:spacing w:before="0" w:after="0"/>
              <w:ind w:left="0"/>
            </w:pPr>
            <w:r>
              <w:t>Quality of evidence</w:t>
            </w:r>
          </w:p>
        </w:tc>
        <w:tc>
          <w:tcPr>
            <w:tcW w:w="4826" w:type="dxa"/>
            <w:tcBorders>
              <w:top w:val="single" w:sz="8" w:space="0" w:color="7030A0"/>
              <w:bottom w:val="single" w:sz="8" w:space="0" w:color="7030A0"/>
            </w:tcBorders>
          </w:tcPr>
          <w:p w14:paraId="12ED35AB" w14:textId="77777777" w:rsidR="00D87B05" w:rsidRPr="00C4131E" w:rsidRDefault="00D87B05" w:rsidP="004E2D5B">
            <w:pPr>
              <w:pStyle w:val="Response"/>
              <w:spacing w:before="0" w:after="0"/>
              <w:ind w:left="0"/>
            </w:pPr>
            <w:r>
              <w:t>Definition</w:t>
            </w:r>
          </w:p>
        </w:tc>
      </w:tr>
      <w:tr w:rsidR="00D87B05" w:rsidRPr="00C4131E" w14:paraId="7B31C2F4" w14:textId="77777777" w:rsidTr="00B04B57">
        <w:trPr>
          <w:cantSplit/>
          <w:trHeight w:val="272"/>
          <w:tblHeader/>
        </w:trPr>
        <w:tc>
          <w:tcPr>
            <w:tcW w:w="4130" w:type="dxa"/>
            <w:tcBorders>
              <w:top w:val="single" w:sz="8" w:space="0" w:color="7030A0"/>
              <w:bottom w:val="nil"/>
            </w:tcBorders>
          </w:tcPr>
          <w:p w14:paraId="32E09F4D" w14:textId="77777777" w:rsidR="00D87B05" w:rsidRPr="00C4131E" w:rsidRDefault="00D87B05" w:rsidP="004E2D5B">
            <w:pPr>
              <w:pStyle w:val="Response"/>
              <w:spacing w:before="0" w:after="0"/>
              <w:ind w:left="0"/>
            </w:pPr>
            <w:r>
              <w:t>I</w:t>
            </w:r>
            <w:r w:rsidRPr="00C4131E">
              <w:t xml:space="preserve"> </w:t>
            </w:r>
          </w:p>
        </w:tc>
        <w:tc>
          <w:tcPr>
            <w:tcW w:w="4826" w:type="dxa"/>
            <w:tcBorders>
              <w:top w:val="single" w:sz="8" w:space="0" w:color="7030A0"/>
              <w:bottom w:val="nil"/>
            </w:tcBorders>
          </w:tcPr>
          <w:p w14:paraId="6E4C2B9B" w14:textId="77777777" w:rsidR="00D87B05" w:rsidRPr="00C4131E" w:rsidRDefault="00D87B05" w:rsidP="004E2D5B">
            <w:pPr>
              <w:pStyle w:val="Response"/>
              <w:spacing w:before="0" w:after="0"/>
              <w:ind w:left="0"/>
            </w:pPr>
            <w:r>
              <w:t>Evidence from &gt;1 properly randomized, controlled trial.</w:t>
            </w:r>
          </w:p>
        </w:tc>
      </w:tr>
      <w:tr w:rsidR="00D87B05" w:rsidRPr="00C4131E" w14:paraId="16E339C8" w14:textId="77777777" w:rsidTr="0091656A">
        <w:trPr>
          <w:cantSplit/>
          <w:trHeight w:val="272"/>
          <w:tblHeader/>
        </w:trPr>
        <w:tc>
          <w:tcPr>
            <w:tcW w:w="4130" w:type="dxa"/>
            <w:tcBorders>
              <w:top w:val="nil"/>
              <w:bottom w:val="nil"/>
            </w:tcBorders>
          </w:tcPr>
          <w:p w14:paraId="3F110F57" w14:textId="77777777" w:rsidR="00D87B05" w:rsidRPr="00C4131E" w:rsidRDefault="00D87B05" w:rsidP="004E2D5B">
            <w:pPr>
              <w:pStyle w:val="Response"/>
              <w:spacing w:before="0" w:after="0"/>
              <w:ind w:left="0"/>
            </w:pPr>
            <w:r>
              <w:t>II</w:t>
            </w:r>
            <w:r w:rsidRPr="00C4131E">
              <w:t xml:space="preserve"> </w:t>
            </w:r>
          </w:p>
        </w:tc>
        <w:tc>
          <w:tcPr>
            <w:tcW w:w="4826" w:type="dxa"/>
            <w:tcBorders>
              <w:top w:val="nil"/>
              <w:bottom w:val="nil"/>
            </w:tcBorders>
          </w:tcPr>
          <w:p w14:paraId="0C864A76" w14:textId="77777777" w:rsidR="00D87B05" w:rsidRPr="00C4131E" w:rsidRDefault="00D87B05" w:rsidP="004E2D5B">
            <w:pPr>
              <w:pStyle w:val="Response"/>
              <w:spacing w:before="0" w:after="0"/>
              <w:ind w:left="0"/>
            </w:pPr>
            <w:r>
              <w:t>Evidence from &gt;1 well-designed clinical trial, without randomization; from cohort or case-controlled analytic studies (preferably from &gt;1 center); from multiple time-series; or from dramatic results from uncontrolled experiments.</w:t>
            </w:r>
          </w:p>
        </w:tc>
      </w:tr>
      <w:tr w:rsidR="00D87B05" w:rsidRPr="00C4131E" w14:paraId="798224BA" w14:textId="77777777" w:rsidTr="0091656A">
        <w:trPr>
          <w:cantSplit/>
          <w:trHeight w:val="272"/>
          <w:tblHeader/>
        </w:trPr>
        <w:tc>
          <w:tcPr>
            <w:tcW w:w="4130" w:type="dxa"/>
            <w:tcBorders>
              <w:top w:val="nil"/>
              <w:bottom w:val="single" w:sz="12" w:space="0" w:color="7030A0"/>
            </w:tcBorders>
          </w:tcPr>
          <w:p w14:paraId="262C67E1" w14:textId="77777777" w:rsidR="00D87B05" w:rsidRPr="00C4131E" w:rsidRDefault="00D87B05" w:rsidP="004E2D5B">
            <w:pPr>
              <w:pStyle w:val="Response"/>
              <w:spacing w:before="0" w:after="0"/>
              <w:ind w:left="0"/>
            </w:pPr>
            <w:r>
              <w:t>III</w:t>
            </w:r>
          </w:p>
        </w:tc>
        <w:tc>
          <w:tcPr>
            <w:tcW w:w="4826" w:type="dxa"/>
            <w:tcBorders>
              <w:top w:val="nil"/>
              <w:bottom w:val="single" w:sz="12" w:space="0" w:color="7030A0"/>
            </w:tcBorders>
          </w:tcPr>
          <w:p w14:paraId="1099DB63" w14:textId="77777777" w:rsidR="00D87B05" w:rsidRPr="00C4131E" w:rsidRDefault="00D87B05" w:rsidP="004E2D5B">
            <w:pPr>
              <w:pStyle w:val="Response"/>
              <w:spacing w:before="0" w:after="0"/>
              <w:ind w:left="0"/>
            </w:pPr>
            <w:r>
              <w:t>Evidence from opinions of respected authorities, based on clinical experience, descriptive studies, or reports of expert committees.</w:t>
            </w:r>
          </w:p>
        </w:tc>
      </w:tr>
    </w:tbl>
    <w:p w14:paraId="10C7E384" w14:textId="77777777" w:rsidR="00D87B05" w:rsidRPr="0038014E" w:rsidRDefault="00D87B05" w:rsidP="00D87B05">
      <w:pPr>
        <w:rPr>
          <w:color w:val="7030A0"/>
        </w:rPr>
      </w:pPr>
    </w:p>
    <w:p w14:paraId="55B8DA94" w14:textId="0A99B048" w:rsidR="007C1887" w:rsidRDefault="007C1887" w:rsidP="002E2177">
      <w:pPr>
        <w:ind w:left="0" w:firstLine="0"/>
      </w:pPr>
    </w:p>
    <w:p w14:paraId="450C8010" w14:textId="08B44CFB" w:rsidR="00376280" w:rsidRPr="0038014E" w:rsidRDefault="00376280" w:rsidP="00376280">
      <w:pPr>
        <w:pStyle w:val="ListParagraph"/>
        <w:numPr>
          <w:ilvl w:val="0"/>
          <w:numId w:val="30"/>
        </w:numPr>
        <w:rPr>
          <w:color w:val="7030A0"/>
        </w:rPr>
      </w:pPr>
      <w:r w:rsidRPr="0038014E">
        <w:rPr>
          <w:rFonts w:cstheme="minorHAnsi"/>
          <w:bCs/>
          <w:color w:val="7030A0"/>
        </w:rPr>
        <w:t>Urinary Tract Infections in Long-Term Care Facilities</w:t>
      </w:r>
      <w:r w:rsidR="008206C3" w:rsidRPr="0038014E">
        <w:rPr>
          <w:rFonts w:cstheme="minorHAnsi"/>
          <w:bCs/>
          <w:color w:val="7030A0"/>
        </w:rPr>
        <w:t xml:space="preserve"> (2001)</w:t>
      </w:r>
    </w:p>
    <w:p w14:paraId="7C9AC92C" w14:textId="250367C6" w:rsidR="001639B3" w:rsidRPr="00543DA5" w:rsidRDefault="007342B1" w:rsidP="00485C8D">
      <w:pPr>
        <w:ind w:left="1080"/>
        <w:rPr>
          <w:sz w:val="20"/>
          <w:szCs w:val="20"/>
        </w:rPr>
      </w:pPr>
      <w:r w:rsidRPr="0038014E">
        <w:rPr>
          <w:iCs/>
          <w:color w:val="7030A0"/>
          <w:sz w:val="20"/>
          <w:szCs w:val="20"/>
        </w:rPr>
        <w:t xml:space="preserve">Ref: </w:t>
      </w:r>
      <w:r w:rsidRPr="0038014E">
        <w:rPr>
          <w:rFonts w:cstheme="minorHAnsi"/>
          <w:bCs/>
          <w:color w:val="7030A0"/>
          <w:sz w:val="20"/>
          <w:szCs w:val="20"/>
        </w:rPr>
        <w:t>Nicolle, L</w:t>
      </w:r>
      <w:r w:rsidR="001639B3" w:rsidRPr="0038014E">
        <w:rPr>
          <w:rFonts w:cstheme="minorHAnsi"/>
          <w:bCs/>
          <w:color w:val="7030A0"/>
          <w:sz w:val="20"/>
          <w:szCs w:val="20"/>
        </w:rPr>
        <w:t>.</w:t>
      </w:r>
      <w:r w:rsidRPr="0038014E">
        <w:rPr>
          <w:rFonts w:cstheme="minorHAnsi"/>
          <w:bCs/>
          <w:color w:val="7030A0"/>
          <w:sz w:val="20"/>
          <w:szCs w:val="20"/>
        </w:rPr>
        <w:t>E</w:t>
      </w:r>
      <w:r w:rsidR="001639B3" w:rsidRPr="0038014E">
        <w:rPr>
          <w:rFonts w:cstheme="minorHAnsi"/>
          <w:bCs/>
          <w:color w:val="7030A0"/>
          <w:sz w:val="20"/>
          <w:szCs w:val="20"/>
        </w:rPr>
        <w:t>.</w:t>
      </w:r>
      <w:r w:rsidRPr="0038014E">
        <w:rPr>
          <w:rFonts w:cstheme="minorHAnsi"/>
          <w:bCs/>
          <w:color w:val="7030A0"/>
          <w:sz w:val="20"/>
          <w:szCs w:val="20"/>
        </w:rPr>
        <w:t xml:space="preserve">, SHEA Long-Term Care Committee. Urinary </w:t>
      </w:r>
      <w:r w:rsidR="001639B3" w:rsidRPr="0038014E">
        <w:rPr>
          <w:rFonts w:cstheme="minorHAnsi"/>
          <w:bCs/>
          <w:color w:val="7030A0"/>
          <w:sz w:val="20"/>
          <w:szCs w:val="20"/>
        </w:rPr>
        <w:t>t</w:t>
      </w:r>
      <w:r w:rsidRPr="0038014E">
        <w:rPr>
          <w:rFonts w:cstheme="minorHAnsi"/>
          <w:bCs/>
          <w:color w:val="7030A0"/>
          <w:sz w:val="20"/>
          <w:szCs w:val="20"/>
        </w:rPr>
        <w:t xml:space="preserve">ract </w:t>
      </w:r>
      <w:r w:rsidR="001639B3" w:rsidRPr="0038014E">
        <w:rPr>
          <w:rFonts w:cstheme="minorHAnsi"/>
          <w:bCs/>
          <w:color w:val="7030A0"/>
          <w:sz w:val="20"/>
          <w:szCs w:val="20"/>
        </w:rPr>
        <w:t>i</w:t>
      </w:r>
      <w:r w:rsidRPr="0038014E">
        <w:rPr>
          <w:rFonts w:cstheme="minorHAnsi"/>
          <w:bCs/>
          <w:color w:val="7030A0"/>
          <w:sz w:val="20"/>
          <w:szCs w:val="20"/>
        </w:rPr>
        <w:t xml:space="preserve">nfections in </w:t>
      </w:r>
      <w:r w:rsidR="001639B3" w:rsidRPr="0038014E">
        <w:rPr>
          <w:rFonts w:cstheme="minorHAnsi"/>
          <w:bCs/>
          <w:color w:val="7030A0"/>
          <w:sz w:val="20"/>
          <w:szCs w:val="20"/>
        </w:rPr>
        <w:t>l</w:t>
      </w:r>
      <w:r w:rsidRPr="0038014E">
        <w:rPr>
          <w:rFonts w:cstheme="minorHAnsi"/>
          <w:bCs/>
          <w:color w:val="7030A0"/>
          <w:sz w:val="20"/>
          <w:szCs w:val="20"/>
        </w:rPr>
        <w:t>ong-</w:t>
      </w:r>
      <w:r w:rsidR="001639B3" w:rsidRPr="0038014E">
        <w:rPr>
          <w:rFonts w:cstheme="minorHAnsi"/>
          <w:bCs/>
          <w:color w:val="7030A0"/>
          <w:sz w:val="20"/>
          <w:szCs w:val="20"/>
        </w:rPr>
        <w:t>t</w:t>
      </w:r>
      <w:r w:rsidRPr="0038014E">
        <w:rPr>
          <w:rFonts w:cstheme="minorHAnsi"/>
          <w:bCs/>
          <w:color w:val="7030A0"/>
          <w:sz w:val="20"/>
          <w:szCs w:val="20"/>
        </w:rPr>
        <w:t xml:space="preserve">erm </w:t>
      </w:r>
      <w:r w:rsidR="001639B3" w:rsidRPr="0038014E">
        <w:rPr>
          <w:rFonts w:cstheme="minorHAnsi"/>
          <w:bCs/>
          <w:color w:val="7030A0"/>
          <w:sz w:val="20"/>
          <w:szCs w:val="20"/>
        </w:rPr>
        <w:t>c</w:t>
      </w:r>
      <w:r w:rsidRPr="0038014E">
        <w:rPr>
          <w:rFonts w:cstheme="minorHAnsi"/>
          <w:bCs/>
          <w:color w:val="7030A0"/>
          <w:sz w:val="20"/>
          <w:szCs w:val="20"/>
        </w:rPr>
        <w:t xml:space="preserve">are </w:t>
      </w:r>
      <w:r w:rsidR="001639B3" w:rsidRPr="0038014E">
        <w:rPr>
          <w:rFonts w:cstheme="minorHAnsi"/>
          <w:bCs/>
          <w:color w:val="7030A0"/>
          <w:sz w:val="20"/>
          <w:szCs w:val="20"/>
        </w:rPr>
        <w:t>f</w:t>
      </w:r>
      <w:r w:rsidRPr="0038014E">
        <w:rPr>
          <w:rFonts w:cstheme="minorHAnsi"/>
          <w:bCs/>
          <w:color w:val="7030A0"/>
          <w:sz w:val="20"/>
          <w:szCs w:val="20"/>
        </w:rPr>
        <w:t>acilities</w:t>
      </w:r>
      <w:r w:rsidR="001639B3" w:rsidRPr="0038014E">
        <w:rPr>
          <w:rFonts w:cstheme="minorHAnsi"/>
          <w:bCs/>
          <w:color w:val="7030A0"/>
          <w:sz w:val="20"/>
          <w:szCs w:val="20"/>
        </w:rPr>
        <w:t xml:space="preserve"> [PDF]</w:t>
      </w:r>
      <w:r w:rsidRPr="0038014E">
        <w:rPr>
          <w:rFonts w:cstheme="minorHAnsi"/>
          <w:bCs/>
          <w:color w:val="7030A0"/>
          <w:sz w:val="20"/>
          <w:szCs w:val="20"/>
        </w:rPr>
        <w:t xml:space="preserve">. </w:t>
      </w:r>
      <w:r w:rsidR="001639B3" w:rsidRPr="0038014E">
        <w:rPr>
          <w:rFonts w:cstheme="minorHAnsi"/>
          <w:bCs/>
          <w:color w:val="7030A0"/>
          <w:sz w:val="20"/>
          <w:szCs w:val="20"/>
        </w:rPr>
        <w:t xml:space="preserve">(2001). </w:t>
      </w:r>
      <w:r w:rsidRPr="0038014E">
        <w:rPr>
          <w:rFonts w:cstheme="minorHAnsi"/>
          <w:bCs/>
          <w:i/>
          <w:iCs/>
          <w:color w:val="7030A0"/>
          <w:sz w:val="20"/>
          <w:szCs w:val="20"/>
        </w:rPr>
        <w:t>Infect</w:t>
      </w:r>
      <w:r w:rsidR="001639B3" w:rsidRPr="0038014E">
        <w:rPr>
          <w:rFonts w:cstheme="minorHAnsi"/>
          <w:bCs/>
          <w:i/>
          <w:iCs/>
          <w:color w:val="7030A0"/>
          <w:sz w:val="20"/>
          <w:szCs w:val="20"/>
        </w:rPr>
        <w:t xml:space="preserve">ion </w:t>
      </w:r>
      <w:r w:rsidRPr="0038014E">
        <w:rPr>
          <w:rFonts w:cstheme="minorHAnsi"/>
          <w:bCs/>
          <w:i/>
          <w:iCs/>
          <w:color w:val="7030A0"/>
          <w:sz w:val="20"/>
          <w:szCs w:val="20"/>
        </w:rPr>
        <w:t xml:space="preserve">Control </w:t>
      </w:r>
      <w:r w:rsidR="001639B3" w:rsidRPr="0038014E">
        <w:rPr>
          <w:rFonts w:cstheme="minorHAnsi"/>
          <w:bCs/>
          <w:i/>
          <w:iCs/>
          <w:color w:val="7030A0"/>
          <w:sz w:val="20"/>
          <w:szCs w:val="20"/>
        </w:rPr>
        <w:t xml:space="preserve">and </w:t>
      </w:r>
      <w:r w:rsidRPr="0038014E">
        <w:rPr>
          <w:rFonts w:cstheme="minorHAnsi"/>
          <w:bCs/>
          <w:i/>
          <w:iCs/>
          <w:color w:val="7030A0"/>
          <w:sz w:val="20"/>
          <w:szCs w:val="20"/>
        </w:rPr>
        <w:t>Hosp</w:t>
      </w:r>
      <w:r w:rsidR="001639B3" w:rsidRPr="0038014E">
        <w:rPr>
          <w:rFonts w:cstheme="minorHAnsi"/>
          <w:bCs/>
          <w:i/>
          <w:iCs/>
          <w:color w:val="7030A0"/>
          <w:sz w:val="20"/>
          <w:szCs w:val="20"/>
        </w:rPr>
        <w:t>ital</w:t>
      </w:r>
      <w:r w:rsidRPr="0038014E">
        <w:rPr>
          <w:rFonts w:cstheme="minorHAnsi"/>
          <w:bCs/>
          <w:i/>
          <w:iCs/>
          <w:color w:val="7030A0"/>
          <w:sz w:val="20"/>
          <w:szCs w:val="20"/>
        </w:rPr>
        <w:t xml:space="preserve"> Epidemiol</w:t>
      </w:r>
      <w:r w:rsidR="001639B3" w:rsidRPr="0038014E">
        <w:rPr>
          <w:rFonts w:cstheme="minorHAnsi"/>
          <w:bCs/>
          <w:i/>
          <w:iCs/>
          <w:color w:val="7030A0"/>
          <w:sz w:val="20"/>
          <w:szCs w:val="20"/>
        </w:rPr>
        <w:t>ogy, 22</w:t>
      </w:r>
      <w:r w:rsidR="001639B3" w:rsidRPr="0038014E">
        <w:rPr>
          <w:rFonts w:cstheme="minorHAnsi"/>
          <w:bCs/>
          <w:color w:val="7030A0"/>
          <w:sz w:val="20"/>
          <w:szCs w:val="20"/>
        </w:rPr>
        <w:t xml:space="preserve">(3), </w:t>
      </w:r>
      <w:r w:rsidRPr="0038014E">
        <w:rPr>
          <w:rFonts w:cstheme="minorHAnsi"/>
          <w:bCs/>
          <w:color w:val="7030A0"/>
          <w:sz w:val="20"/>
          <w:szCs w:val="20"/>
        </w:rPr>
        <w:t xml:space="preserve">167-175. </w:t>
      </w:r>
      <w:r w:rsidR="001639B3" w:rsidRPr="0038014E">
        <w:rPr>
          <w:rFonts w:cstheme="minorHAnsi"/>
          <w:bCs/>
          <w:color w:val="7030A0"/>
          <w:sz w:val="20"/>
          <w:szCs w:val="20"/>
        </w:rPr>
        <w:t>Retrieved from</w:t>
      </w:r>
      <w:r w:rsidR="00A76BE5" w:rsidRPr="0038014E">
        <w:rPr>
          <w:rFonts w:cstheme="minorHAnsi"/>
          <w:bCs/>
          <w:color w:val="7030A0"/>
          <w:sz w:val="20"/>
          <w:szCs w:val="20"/>
        </w:rPr>
        <w:t xml:space="preserve"> </w:t>
      </w:r>
      <w:hyperlink r:id="rId17" w:history="1">
        <w:r w:rsidR="001639B3" w:rsidRPr="00543DA5">
          <w:rPr>
            <w:rStyle w:val="Hyperlink"/>
            <w:rFonts w:cstheme="minorHAnsi"/>
            <w:bCs/>
            <w:sz w:val="20"/>
            <w:szCs w:val="20"/>
          </w:rPr>
          <w:t>http://www.shea-online.org/images/guidelines/UTIs_in_LTCF_2001.pdf</w:t>
        </w:r>
      </w:hyperlink>
      <w:r w:rsidR="001639B3" w:rsidRPr="0038014E" w:rsidDel="001639B3">
        <w:rPr>
          <w:rFonts w:cstheme="minorHAnsi"/>
          <w:bCs/>
          <w:color w:val="7030A0"/>
          <w:sz w:val="20"/>
          <w:szCs w:val="20"/>
          <w:u w:val="single"/>
        </w:rPr>
        <w:t xml:space="preserve"> </w:t>
      </w:r>
    </w:p>
    <w:p w14:paraId="1751E054" w14:textId="1AB44A4D" w:rsidR="007342B1" w:rsidRPr="0038014E" w:rsidRDefault="007342B1" w:rsidP="001639B3">
      <w:pPr>
        <w:ind w:left="720" w:firstLine="0"/>
        <w:rPr>
          <w:iCs/>
          <w:color w:val="7030A0"/>
        </w:rPr>
      </w:pPr>
    </w:p>
    <w:p w14:paraId="5F28D9F4" w14:textId="4C9AB809" w:rsidR="006B00B3" w:rsidRPr="0038014E" w:rsidRDefault="006B00B3" w:rsidP="006B00B3">
      <w:pPr>
        <w:rPr>
          <w:iCs/>
          <w:color w:val="7030A0"/>
        </w:rPr>
      </w:pPr>
      <w:r w:rsidRPr="0038014E">
        <w:rPr>
          <w:iCs/>
          <w:color w:val="7030A0"/>
        </w:rPr>
        <w:t xml:space="preserve">Guidelines (See Table </w:t>
      </w:r>
      <w:r w:rsidR="007342B1" w:rsidRPr="0038014E">
        <w:rPr>
          <w:iCs/>
          <w:color w:val="7030A0"/>
        </w:rPr>
        <w:t>3</w:t>
      </w:r>
      <w:r w:rsidRPr="0038014E">
        <w:rPr>
          <w:iCs/>
          <w:color w:val="7030A0"/>
        </w:rPr>
        <w:t xml:space="preserve"> for grading of evidence)</w:t>
      </w:r>
    </w:p>
    <w:p w14:paraId="7CA4F3C5" w14:textId="77777777" w:rsidR="006B00B3" w:rsidRDefault="006B00B3" w:rsidP="002E2177">
      <w:pPr>
        <w:ind w:left="0" w:firstLine="0"/>
      </w:pPr>
    </w:p>
    <w:p w14:paraId="3DE13C5F" w14:textId="77777777" w:rsidR="006B00B3" w:rsidRPr="0038014E" w:rsidRDefault="006B00B3" w:rsidP="006B00B3">
      <w:pPr>
        <w:spacing w:line="288" w:lineRule="auto"/>
        <w:ind w:left="0" w:firstLine="0"/>
        <w:rPr>
          <w:rFonts w:cstheme="minorHAnsi"/>
          <w:bCs/>
          <w:i/>
          <w:iCs/>
          <w:color w:val="7030A0"/>
        </w:rPr>
      </w:pPr>
      <w:r w:rsidRPr="0038014E">
        <w:rPr>
          <w:rFonts w:cstheme="minorHAnsi"/>
          <w:bCs/>
          <w:i/>
          <w:iCs/>
          <w:color w:val="7030A0"/>
        </w:rPr>
        <w:t>Surveillance</w:t>
      </w:r>
    </w:p>
    <w:p w14:paraId="04D5D3BE" w14:textId="77777777" w:rsidR="006B00B3" w:rsidRPr="0038014E" w:rsidRDefault="006B00B3" w:rsidP="006B00B3">
      <w:pPr>
        <w:spacing w:line="288" w:lineRule="auto"/>
        <w:rPr>
          <w:rFonts w:cstheme="minorHAnsi"/>
          <w:bCs/>
          <w:color w:val="7030A0"/>
        </w:rPr>
      </w:pPr>
      <w:r w:rsidRPr="0038014E">
        <w:rPr>
          <w:rFonts w:cstheme="minorHAnsi"/>
          <w:bCs/>
          <w:color w:val="7030A0"/>
        </w:rPr>
        <w:t xml:space="preserve">1. </w:t>
      </w:r>
      <w:r w:rsidRPr="0038014E">
        <w:rPr>
          <w:rFonts w:cstheme="minorHAnsi"/>
          <w:bCs/>
          <w:color w:val="7030A0"/>
        </w:rPr>
        <w:tab/>
        <w:t>Surveillance for endemic asymptomatic bacteriuria in LTCFs should not be undertaken. Category BII.</w:t>
      </w:r>
    </w:p>
    <w:p w14:paraId="1A28E197" w14:textId="77777777" w:rsidR="006B00B3" w:rsidRPr="0038014E" w:rsidRDefault="006B00B3" w:rsidP="006B00B3">
      <w:pPr>
        <w:spacing w:line="288" w:lineRule="auto"/>
        <w:ind w:left="1080"/>
        <w:rPr>
          <w:rFonts w:cstheme="minorHAnsi"/>
          <w:bCs/>
          <w:color w:val="7030A0"/>
        </w:rPr>
      </w:pPr>
      <w:r w:rsidRPr="0038014E">
        <w:rPr>
          <w:rFonts w:cstheme="minorHAnsi"/>
          <w:bCs/>
          <w:color w:val="7030A0"/>
        </w:rPr>
        <w:t xml:space="preserve">a. </w:t>
      </w:r>
      <w:r w:rsidRPr="0038014E">
        <w:rPr>
          <w:rFonts w:cstheme="minorHAnsi"/>
          <w:bCs/>
          <w:color w:val="7030A0"/>
        </w:rPr>
        <w:tab/>
        <w:t xml:space="preserve">Surveillance may be appropriate when an outbreak with a potential </w:t>
      </w:r>
      <w:proofErr w:type="spellStart"/>
      <w:r w:rsidRPr="0038014E">
        <w:rPr>
          <w:rFonts w:cstheme="minorHAnsi"/>
          <w:bCs/>
          <w:color w:val="7030A0"/>
        </w:rPr>
        <w:t>uropathogen</w:t>
      </w:r>
      <w:proofErr w:type="spellEnd"/>
      <w:r w:rsidRPr="0038014E">
        <w:rPr>
          <w:rFonts w:cstheme="minorHAnsi"/>
          <w:bCs/>
          <w:color w:val="7030A0"/>
        </w:rPr>
        <w:t xml:space="preserve"> is suspected. </w:t>
      </w:r>
      <w:r w:rsidRPr="0038014E">
        <w:rPr>
          <w:rFonts w:cstheme="minorHAnsi"/>
          <w:bCs/>
          <w:i/>
          <w:iCs/>
          <w:color w:val="7030A0"/>
        </w:rPr>
        <w:t>Category BIII.</w:t>
      </w:r>
    </w:p>
    <w:p w14:paraId="2D630EDC" w14:textId="77777777" w:rsidR="006B00B3" w:rsidRPr="0038014E" w:rsidRDefault="006B00B3" w:rsidP="006B00B3">
      <w:pPr>
        <w:spacing w:line="288" w:lineRule="auto"/>
        <w:rPr>
          <w:rFonts w:cstheme="minorHAnsi"/>
          <w:bCs/>
          <w:color w:val="7030A0"/>
        </w:rPr>
      </w:pPr>
      <w:r w:rsidRPr="0038014E">
        <w:rPr>
          <w:rFonts w:cstheme="minorHAnsi"/>
          <w:bCs/>
          <w:color w:val="7030A0"/>
        </w:rPr>
        <w:t xml:space="preserve">2. </w:t>
      </w:r>
      <w:r w:rsidRPr="0038014E">
        <w:rPr>
          <w:rFonts w:cstheme="minorHAnsi"/>
          <w:bCs/>
          <w:color w:val="7030A0"/>
        </w:rPr>
        <w:tab/>
        <w:t xml:space="preserve">Surveillance for symptomatic infection may be undertaken, depending on institutional priorities and infection control resources. </w:t>
      </w:r>
      <w:r w:rsidRPr="0038014E">
        <w:rPr>
          <w:rFonts w:cstheme="minorHAnsi"/>
          <w:bCs/>
          <w:i/>
          <w:iCs/>
          <w:color w:val="7030A0"/>
        </w:rPr>
        <w:t>Category BII.</w:t>
      </w:r>
    </w:p>
    <w:p w14:paraId="4C3DDFD1" w14:textId="77777777" w:rsidR="006B00B3" w:rsidRPr="0038014E" w:rsidRDefault="006B00B3" w:rsidP="006B00B3">
      <w:pPr>
        <w:spacing w:line="288" w:lineRule="auto"/>
        <w:ind w:left="1080"/>
        <w:rPr>
          <w:rFonts w:cstheme="minorHAnsi"/>
          <w:bCs/>
          <w:color w:val="7030A0"/>
        </w:rPr>
      </w:pPr>
      <w:r w:rsidRPr="0038014E">
        <w:rPr>
          <w:rFonts w:cstheme="minorHAnsi"/>
          <w:bCs/>
          <w:color w:val="7030A0"/>
        </w:rPr>
        <w:t xml:space="preserve">a. </w:t>
      </w:r>
      <w:r w:rsidRPr="0038014E">
        <w:rPr>
          <w:rFonts w:cstheme="minorHAnsi"/>
          <w:bCs/>
          <w:color w:val="7030A0"/>
        </w:rPr>
        <w:tab/>
        <w:t xml:space="preserve">Rates should be reported as per 1,000 patient-days or per 1,000 catheterized-patient–days. </w:t>
      </w:r>
      <w:r w:rsidRPr="0038014E">
        <w:rPr>
          <w:rFonts w:cstheme="minorHAnsi"/>
          <w:bCs/>
          <w:i/>
          <w:iCs/>
          <w:color w:val="7030A0"/>
        </w:rPr>
        <w:t>Category BIII.</w:t>
      </w:r>
    </w:p>
    <w:p w14:paraId="7CC04338" w14:textId="77777777" w:rsidR="006B00B3" w:rsidRPr="0038014E" w:rsidRDefault="006B00B3" w:rsidP="006B00B3">
      <w:pPr>
        <w:spacing w:line="288" w:lineRule="auto"/>
        <w:rPr>
          <w:rFonts w:cstheme="minorHAnsi"/>
          <w:bCs/>
          <w:color w:val="7030A0"/>
        </w:rPr>
      </w:pPr>
      <w:r w:rsidRPr="0038014E">
        <w:rPr>
          <w:rFonts w:cstheme="minorHAnsi"/>
          <w:bCs/>
          <w:color w:val="7030A0"/>
        </w:rPr>
        <w:t xml:space="preserve">3. </w:t>
      </w:r>
      <w:r w:rsidRPr="0038014E">
        <w:rPr>
          <w:rFonts w:cstheme="minorHAnsi"/>
          <w:bCs/>
          <w:color w:val="7030A0"/>
        </w:rPr>
        <w:tab/>
        <w:t xml:space="preserve">Standard diagnostic criteria should be used for the identification of symptomatic UTI. Limitations in the ability to make a specific diagnosis of symptomatic UTI should be acknowledged in these criteria. </w:t>
      </w:r>
      <w:r w:rsidRPr="0038014E">
        <w:rPr>
          <w:rFonts w:cstheme="minorHAnsi"/>
          <w:bCs/>
          <w:i/>
          <w:iCs/>
          <w:color w:val="7030A0"/>
        </w:rPr>
        <w:t>Category BII.</w:t>
      </w:r>
    </w:p>
    <w:p w14:paraId="76DFA391" w14:textId="77777777" w:rsidR="006B00B3" w:rsidRPr="0038014E" w:rsidRDefault="006B00B3" w:rsidP="006B00B3">
      <w:pPr>
        <w:spacing w:before="120" w:line="288" w:lineRule="auto"/>
        <w:ind w:left="0" w:firstLine="0"/>
        <w:rPr>
          <w:rFonts w:cstheme="minorHAnsi"/>
          <w:bCs/>
          <w:i/>
          <w:iCs/>
          <w:color w:val="7030A0"/>
        </w:rPr>
      </w:pPr>
      <w:r w:rsidRPr="0038014E">
        <w:rPr>
          <w:rFonts w:cstheme="minorHAnsi"/>
          <w:bCs/>
          <w:i/>
          <w:iCs/>
          <w:color w:val="7030A0"/>
        </w:rPr>
        <w:t>Prevention</w:t>
      </w:r>
    </w:p>
    <w:p w14:paraId="7C92E4FD" w14:textId="77777777" w:rsidR="006B00B3" w:rsidRPr="0038014E" w:rsidRDefault="006B00B3" w:rsidP="006B00B3">
      <w:pPr>
        <w:spacing w:line="288" w:lineRule="auto"/>
        <w:rPr>
          <w:rFonts w:cstheme="minorHAnsi"/>
          <w:bCs/>
          <w:i/>
          <w:iCs/>
          <w:color w:val="7030A0"/>
        </w:rPr>
      </w:pPr>
      <w:r w:rsidRPr="0038014E">
        <w:rPr>
          <w:rFonts w:cstheme="minorHAnsi"/>
          <w:bCs/>
          <w:color w:val="7030A0"/>
        </w:rPr>
        <w:t xml:space="preserve">1. </w:t>
      </w:r>
      <w:r w:rsidRPr="0038014E">
        <w:rPr>
          <w:rFonts w:cstheme="minorHAnsi"/>
          <w:bCs/>
          <w:color w:val="7030A0"/>
        </w:rPr>
        <w:tab/>
        <w:t xml:space="preserve">Nutritional status and care of comorbid illnesses should be optimized for patients in LTCFs. </w:t>
      </w:r>
      <w:r w:rsidRPr="0038014E">
        <w:rPr>
          <w:rFonts w:cstheme="minorHAnsi"/>
          <w:bCs/>
          <w:i/>
          <w:iCs/>
          <w:color w:val="7030A0"/>
        </w:rPr>
        <w:t>Category CIII.</w:t>
      </w:r>
    </w:p>
    <w:p w14:paraId="2A67ACBB" w14:textId="77777777" w:rsidR="006B00B3" w:rsidRPr="0038014E" w:rsidRDefault="006B00B3" w:rsidP="006B00B3">
      <w:pPr>
        <w:spacing w:line="288" w:lineRule="auto"/>
        <w:ind w:left="1080"/>
        <w:rPr>
          <w:rFonts w:cstheme="minorHAnsi"/>
          <w:bCs/>
          <w:color w:val="7030A0"/>
        </w:rPr>
      </w:pPr>
      <w:r w:rsidRPr="0038014E">
        <w:rPr>
          <w:rFonts w:cstheme="minorHAnsi"/>
          <w:bCs/>
          <w:color w:val="7030A0"/>
        </w:rPr>
        <w:lastRenderedPageBreak/>
        <w:t xml:space="preserve">a. </w:t>
      </w:r>
      <w:r w:rsidRPr="0038014E">
        <w:rPr>
          <w:rFonts w:cstheme="minorHAnsi"/>
          <w:bCs/>
          <w:color w:val="7030A0"/>
        </w:rPr>
        <w:tab/>
        <w:t xml:space="preserve">There is insufficient evidence for a recommendation for routine use of estrogen therapy to prevent UTI in women. No recommendation. </w:t>
      </w:r>
    </w:p>
    <w:p w14:paraId="665A4E49" w14:textId="77777777" w:rsidR="006B00B3" w:rsidRPr="0038014E" w:rsidRDefault="006B00B3" w:rsidP="006B00B3">
      <w:pPr>
        <w:spacing w:line="288" w:lineRule="auto"/>
        <w:rPr>
          <w:rFonts w:cstheme="minorHAnsi"/>
          <w:bCs/>
          <w:color w:val="7030A0"/>
        </w:rPr>
      </w:pPr>
      <w:r w:rsidRPr="0038014E">
        <w:rPr>
          <w:rFonts w:cstheme="minorHAnsi"/>
          <w:bCs/>
          <w:color w:val="7030A0"/>
        </w:rPr>
        <w:t xml:space="preserve">2. </w:t>
      </w:r>
      <w:r w:rsidRPr="0038014E">
        <w:rPr>
          <w:rFonts w:cstheme="minorHAnsi"/>
          <w:bCs/>
          <w:color w:val="7030A0"/>
        </w:rPr>
        <w:tab/>
        <w:t xml:space="preserve">Routine screening for UTI by urinalysis or urine culture is not recommended for LTCF residents. </w:t>
      </w:r>
      <w:r w:rsidRPr="0038014E">
        <w:rPr>
          <w:rFonts w:cstheme="minorHAnsi"/>
          <w:bCs/>
          <w:i/>
          <w:iCs/>
          <w:color w:val="7030A0"/>
        </w:rPr>
        <w:t>Category AI.</w:t>
      </w:r>
    </w:p>
    <w:p w14:paraId="317A23E2" w14:textId="77777777" w:rsidR="006B00B3" w:rsidRPr="0038014E" w:rsidRDefault="006B00B3" w:rsidP="006B00B3">
      <w:pPr>
        <w:spacing w:line="288" w:lineRule="auto"/>
        <w:rPr>
          <w:rFonts w:cstheme="minorHAnsi"/>
          <w:bCs/>
          <w:color w:val="7030A0"/>
        </w:rPr>
      </w:pPr>
      <w:r w:rsidRPr="0038014E">
        <w:rPr>
          <w:rFonts w:cstheme="minorHAnsi"/>
          <w:bCs/>
          <w:color w:val="7030A0"/>
        </w:rPr>
        <w:t xml:space="preserve">3. </w:t>
      </w:r>
      <w:r w:rsidRPr="0038014E">
        <w:rPr>
          <w:rFonts w:cstheme="minorHAnsi"/>
          <w:bCs/>
          <w:color w:val="7030A0"/>
        </w:rPr>
        <w:tab/>
        <w:t xml:space="preserve">Condom catheters should be used to manage incontinence in men only where the benefits to the patient outweigh potential risks. </w:t>
      </w:r>
      <w:r w:rsidRPr="0038014E">
        <w:rPr>
          <w:rFonts w:cstheme="minorHAnsi"/>
          <w:bCs/>
          <w:i/>
          <w:iCs/>
          <w:color w:val="7030A0"/>
        </w:rPr>
        <w:t>Category AII.</w:t>
      </w:r>
    </w:p>
    <w:p w14:paraId="35BF5504" w14:textId="77777777" w:rsidR="006B00B3" w:rsidRPr="0038014E" w:rsidRDefault="006B00B3" w:rsidP="006B00B3">
      <w:pPr>
        <w:spacing w:line="288" w:lineRule="auto"/>
        <w:ind w:left="1080"/>
        <w:rPr>
          <w:rFonts w:cstheme="minorHAnsi"/>
          <w:bCs/>
          <w:color w:val="7030A0"/>
        </w:rPr>
      </w:pPr>
      <w:r w:rsidRPr="0038014E">
        <w:rPr>
          <w:rFonts w:cstheme="minorHAnsi"/>
          <w:bCs/>
          <w:color w:val="7030A0"/>
        </w:rPr>
        <w:t xml:space="preserve">a. </w:t>
      </w:r>
      <w:r w:rsidRPr="0038014E">
        <w:rPr>
          <w:rFonts w:cstheme="minorHAnsi"/>
          <w:bCs/>
          <w:color w:val="7030A0"/>
        </w:rPr>
        <w:tab/>
        <w:t xml:space="preserve">Condom catheters for external urinary drainage should be applied and managed appropriately to minimize skin breakdown and ensure unobstructed drainage. </w:t>
      </w:r>
      <w:r w:rsidRPr="0038014E">
        <w:rPr>
          <w:rFonts w:cstheme="minorHAnsi"/>
          <w:bCs/>
          <w:i/>
          <w:iCs/>
          <w:color w:val="7030A0"/>
        </w:rPr>
        <w:t>Category AIII.</w:t>
      </w:r>
    </w:p>
    <w:p w14:paraId="082D51F9" w14:textId="77777777" w:rsidR="006B00B3" w:rsidRPr="0038014E" w:rsidRDefault="006B00B3" w:rsidP="006B00B3">
      <w:pPr>
        <w:spacing w:line="288" w:lineRule="auto"/>
        <w:ind w:left="1080"/>
        <w:rPr>
          <w:rFonts w:cstheme="minorHAnsi"/>
          <w:bCs/>
          <w:color w:val="7030A0"/>
        </w:rPr>
      </w:pPr>
      <w:r w:rsidRPr="0038014E">
        <w:rPr>
          <w:rFonts w:cstheme="minorHAnsi"/>
          <w:bCs/>
          <w:color w:val="7030A0"/>
        </w:rPr>
        <w:t xml:space="preserve">b. </w:t>
      </w:r>
      <w:r w:rsidRPr="0038014E">
        <w:rPr>
          <w:rFonts w:cstheme="minorHAnsi"/>
          <w:bCs/>
          <w:color w:val="7030A0"/>
        </w:rPr>
        <w:tab/>
        <w:t xml:space="preserve">Condom-catheter leg bags should be disinfected and dried prior to reuse. </w:t>
      </w:r>
      <w:r w:rsidRPr="0038014E">
        <w:rPr>
          <w:rFonts w:cstheme="minorHAnsi"/>
          <w:bCs/>
          <w:i/>
          <w:iCs/>
          <w:color w:val="7030A0"/>
        </w:rPr>
        <w:t>Category CII.</w:t>
      </w:r>
    </w:p>
    <w:p w14:paraId="4DAE76ED" w14:textId="77777777" w:rsidR="006B00B3" w:rsidRPr="0038014E" w:rsidRDefault="006B00B3" w:rsidP="006B00B3">
      <w:pPr>
        <w:spacing w:line="288" w:lineRule="auto"/>
        <w:rPr>
          <w:rFonts w:cstheme="minorHAnsi"/>
          <w:bCs/>
          <w:color w:val="7030A0"/>
        </w:rPr>
      </w:pPr>
      <w:r w:rsidRPr="0038014E">
        <w:rPr>
          <w:rFonts w:cstheme="minorHAnsi"/>
          <w:bCs/>
          <w:color w:val="7030A0"/>
        </w:rPr>
        <w:t xml:space="preserve">4. </w:t>
      </w:r>
      <w:r w:rsidRPr="0038014E">
        <w:rPr>
          <w:rFonts w:cstheme="minorHAnsi"/>
          <w:bCs/>
          <w:color w:val="7030A0"/>
        </w:rPr>
        <w:tab/>
        <w:t xml:space="preserve">Where clinically appropriate, intermittent catheterization should be used for urinary drainage rather than a chronic indwelling catheter. </w:t>
      </w:r>
      <w:r w:rsidRPr="0038014E">
        <w:rPr>
          <w:rFonts w:cstheme="minorHAnsi"/>
          <w:bCs/>
          <w:i/>
          <w:iCs/>
          <w:color w:val="7030A0"/>
        </w:rPr>
        <w:t>Category BII.</w:t>
      </w:r>
    </w:p>
    <w:p w14:paraId="39154827" w14:textId="77777777" w:rsidR="006B00B3" w:rsidRPr="0038014E" w:rsidRDefault="006B00B3" w:rsidP="006B00B3">
      <w:pPr>
        <w:spacing w:line="288" w:lineRule="auto"/>
        <w:ind w:left="1080"/>
        <w:rPr>
          <w:rFonts w:cstheme="minorHAnsi"/>
          <w:bCs/>
          <w:color w:val="7030A0"/>
        </w:rPr>
      </w:pPr>
      <w:r w:rsidRPr="0038014E">
        <w:rPr>
          <w:rFonts w:cstheme="minorHAnsi"/>
          <w:bCs/>
          <w:color w:val="7030A0"/>
        </w:rPr>
        <w:t xml:space="preserve">a. </w:t>
      </w:r>
      <w:r w:rsidRPr="0038014E">
        <w:rPr>
          <w:rFonts w:cstheme="minorHAnsi"/>
          <w:bCs/>
          <w:color w:val="7030A0"/>
        </w:rPr>
        <w:tab/>
        <w:t xml:space="preserve">For intermittent catheterization, use a clean technique. </w:t>
      </w:r>
      <w:r w:rsidRPr="0038014E">
        <w:rPr>
          <w:rFonts w:cstheme="minorHAnsi"/>
          <w:bCs/>
          <w:i/>
          <w:iCs/>
          <w:color w:val="7030A0"/>
        </w:rPr>
        <w:t>Category AI.</w:t>
      </w:r>
    </w:p>
    <w:p w14:paraId="007DC2C9" w14:textId="77777777" w:rsidR="006B00B3" w:rsidRPr="0038014E" w:rsidRDefault="006B00B3" w:rsidP="006B00B3">
      <w:pPr>
        <w:spacing w:line="288" w:lineRule="auto"/>
        <w:rPr>
          <w:rFonts w:cstheme="minorHAnsi"/>
          <w:bCs/>
          <w:color w:val="7030A0"/>
        </w:rPr>
      </w:pPr>
      <w:r w:rsidRPr="0038014E">
        <w:rPr>
          <w:rFonts w:cstheme="minorHAnsi"/>
          <w:bCs/>
          <w:color w:val="7030A0"/>
        </w:rPr>
        <w:t xml:space="preserve">5. </w:t>
      </w:r>
      <w:r w:rsidRPr="0038014E">
        <w:rPr>
          <w:rFonts w:cstheme="minorHAnsi"/>
          <w:bCs/>
          <w:color w:val="7030A0"/>
        </w:rPr>
        <w:tab/>
        <w:t xml:space="preserve">Chronic indwelling urethral catheters should be used only where the benefits outweigh the risks of UTI and its complications. </w:t>
      </w:r>
      <w:r w:rsidRPr="0038014E">
        <w:rPr>
          <w:rFonts w:cstheme="minorHAnsi"/>
          <w:bCs/>
          <w:i/>
          <w:iCs/>
          <w:color w:val="7030A0"/>
        </w:rPr>
        <w:t>Category AII.</w:t>
      </w:r>
    </w:p>
    <w:p w14:paraId="73A6387D" w14:textId="77777777" w:rsidR="006B00B3" w:rsidRPr="0038014E" w:rsidRDefault="006B00B3" w:rsidP="006B00B3">
      <w:pPr>
        <w:spacing w:line="288" w:lineRule="auto"/>
        <w:ind w:left="1080"/>
        <w:rPr>
          <w:rFonts w:cstheme="minorHAnsi"/>
          <w:bCs/>
          <w:color w:val="7030A0"/>
        </w:rPr>
      </w:pPr>
      <w:r w:rsidRPr="0038014E">
        <w:rPr>
          <w:rFonts w:cstheme="minorHAnsi"/>
          <w:bCs/>
          <w:color w:val="7030A0"/>
        </w:rPr>
        <w:t xml:space="preserve">a. </w:t>
      </w:r>
      <w:r w:rsidRPr="0038014E">
        <w:rPr>
          <w:rFonts w:cstheme="minorHAnsi"/>
          <w:bCs/>
          <w:color w:val="7030A0"/>
        </w:rPr>
        <w:tab/>
        <w:t xml:space="preserve">Indwelling catheters should be discontinued at the earliest opportunity. </w:t>
      </w:r>
      <w:r w:rsidRPr="0038014E">
        <w:rPr>
          <w:rFonts w:cstheme="minorHAnsi"/>
          <w:bCs/>
          <w:i/>
          <w:iCs/>
          <w:color w:val="7030A0"/>
        </w:rPr>
        <w:t>Category AII.</w:t>
      </w:r>
    </w:p>
    <w:p w14:paraId="4AD1F857" w14:textId="77777777" w:rsidR="006B00B3" w:rsidRPr="0038014E" w:rsidRDefault="006B00B3" w:rsidP="006B00B3">
      <w:pPr>
        <w:spacing w:line="288" w:lineRule="auto"/>
        <w:ind w:left="1080"/>
        <w:rPr>
          <w:rFonts w:cstheme="minorHAnsi"/>
          <w:bCs/>
          <w:color w:val="7030A0"/>
        </w:rPr>
      </w:pPr>
      <w:r w:rsidRPr="0038014E">
        <w:rPr>
          <w:rFonts w:cstheme="minorHAnsi"/>
          <w:bCs/>
          <w:color w:val="7030A0"/>
        </w:rPr>
        <w:t xml:space="preserve">b. </w:t>
      </w:r>
      <w:r w:rsidRPr="0038014E">
        <w:rPr>
          <w:rFonts w:cstheme="minorHAnsi"/>
          <w:bCs/>
          <w:color w:val="7030A0"/>
        </w:rPr>
        <w:tab/>
        <w:t>There is insufficient evidence to make a recommendation for or against routine chronic indwelling urethral catheter changes. No recommendation.</w:t>
      </w:r>
    </w:p>
    <w:p w14:paraId="7430FA65" w14:textId="77777777" w:rsidR="006B00B3" w:rsidRPr="0038014E" w:rsidRDefault="006B00B3" w:rsidP="006B00B3">
      <w:pPr>
        <w:spacing w:line="288" w:lineRule="auto"/>
        <w:rPr>
          <w:rFonts w:cstheme="minorHAnsi"/>
          <w:bCs/>
          <w:color w:val="7030A0"/>
        </w:rPr>
      </w:pPr>
      <w:r w:rsidRPr="0038014E">
        <w:rPr>
          <w:rFonts w:cstheme="minorHAnsi"/>
          <w:bCs/>
          <w:color w:val="7030A0"/>
        </w:rPr>
        <w:t xml:space="preserve">6. </w:t>
      </w:r>
      <w:r w:rsidRPr="0038014E">
        <w:rPr>
          <w:rFonts w:cstheme="minorHAnsi"/>
          <w:bCs/>
          <w:color w:val="7030A0"/>
        </w:rPr>
        <w:tab/>
      </w:r>
      <w:proofErr w:type="spellStart"/>
      <w:r w:rsidRPr="0038014E">
        <w:rPr>
          <w:rFonts w:cstheme="minorHAnsi"/>
          <w:bCs/>
          <w:color w:val="7030A0"/>
        </w:rPr>
        <w:t>Bacteriuric</w:t>
      </w:r>
      <w:proofErr w:type="spellEnd"/>
      <w:r w:rsidRPr="0038014E">
        <w:rPr>
          <w:rFonts w:cstheme="minorHAnsi"/>
          <w:bCs/>
          <w:color w:val="7030A0"/>
        </w:rPr>
        <w:t xml:space="preserve"> LTCF residents who are to undergo an invasive genitourinary procedure should receive </w:t>
      </w:r>
      <w:proofErr w:type="spellStart"/>
      <w:r w:rsidRPr="0038014E">
        <w:rPr>
          <w:rFonts w:cstheme="minorHAnsi"/>
          <w:bCs/>
          <w:color w:val="7030A0"/>
        </w:rPr>
        <w:t>preprocedure</w:t>
      </w:r>
      <w:proofErr w:type="spellEnd"/>
      <w:r w:rsidRPr="0038014E">
        <w:rPr>
          <w:rFonts w:cstheme="minorHAnsi"/>
          <w:bCs/>
          <w:color w:val="7030A0"/>
        </w:rPr>
        <w:t xml:space="preserve"> antimicrobial prophylaxis. </w:t>
      </w:r>
      <w:r w:rsidRPr="0038014E">
        <w:rPr>
          <w:rFonts w:cstheme="minorHAnsi"/>
          <w:bCs/>
          <w:i/>
          <w:iCs/>
          <w:color w:val="7030A0"/>
        </w:rPr>
        <w:t>Category AI.</w:t>
      </w:r>
    </w:p>
    <w:p w14:paraId="1602D7E6" w14:textId="77777777" w:rsidR="006B00B3" w:rsidRPr="0038014E" w:rsidRDefault="006B00B3" w:rsidP="006B00B3">
      <w:pPr>
        <w:spacing w:before="120" w:line="288" w:lineRule="auto"/>
        <w:ind w:left="0" w:firstLine="0"/>
        <w:rPr>
          <w:rFonts w:cstheme="minorHAnsi"/>
          <w:bCs/>
          <w:i/>
          <w:iCs/>
          <w:color w:val="7030A0"/>
        </w:rPr>
      </w:pPr>
      <w:r w:rsidRPr="0038014E">
        <w:rPr>
          <w:rFonts w:cstheme="minorHAnsi"/>
          <w:bCs/>
          <w:i/>
          <w:iCs/>
          <w:color w:val="7030A0"/>
        </w:rPr>
        <w:t>Diagnosis</w:t>
      </w:r>
    </w:p>
    <w:p w14:paraId="062158EB" w14:textId="77777777" w:rsidR="006B00B3" w:rsidRPr="0038014E" w:rsidRDefault="006B00B3" w:rsidP="006B00B3">
      <w:pPr>
        <w:spacing w:line="288" w:lineRule="auto"/>
        <w:rPr>
          <w:rFonts w:cstheme="minorHAnsi"/>
          <w:bCs/>
          <w:color w:val="7030A0"/>
        </w:rPr>
      </w:pPr>
      <w:r w:rsidRPr="0038014E">
        <w:rPr>
          <w:rFonts w:cstheme="minorHAnsi"/>
          <w:bCs/>
          <w:color w:val="7030A0"/>
        </w:rPr>
        <w:t xml:space="preserve">1. </w:t>
      </w:r>
      <w:r w:rsidRPr="0038014E">
        <w:rPr>
          <w:rFonts w:cstheme="minorHAnsi"/>
          <w:bCs/>
          <w:color w:val="7030A0"/>
        </w:rPr>
        <w:tab/>
        <w:t xml:space="preserve">A clinical diagnosis of symptomatic UTI should be made only with acute symptoms referable to the genitourinary tract or bacteremia. </w:t>
      </w:r>
      <w:r w:rsidRPr="0038014E">
        <w:rPr>
          <w:rFonts w:cstheme="minorHAnsi"/>
          <w:bCs/>
          <w:i/>
          <w:iCs/>
          <w:color w:val="7030A0"/>
        </w:rPr>
        <w:t>Category BII.</w:t>
      </w:r>
    </w:p>
    <w:p w14:paraId="485CD1FD" w14:textId="77777777" w:rsidR="006B00B3" w:rsidRPr="0038014E" w:rsidRDefault="006B00B3" w:rsidP="006B00B3">
      <w:pPr>
        <w:spacing w:line="288" w:lineRule="auto"/>
        <w:ind w:left="1080"/>
        <w:rPr>
          <w:rFonts w:cstheme="minorHAnsi"/>
          <w:bCs/>
          <w:color w:val="7030A0"/>
        </w:rPr>
      </w:pPr>
      <w:r w:rsidRPr="0038014E">
        <w:rPr>
          <w:rFonts w:cstheme="minorHAnsi"/>
          <w:bCs/>
          <w:color w:val="7030A0"/>
        </w:rPr>
        <w:t xml:space="preserve">a. </w:t>
      </w:r>
      <w:r w:rsidRPr="0038014E">
        <w:rPr>
          <w:rFonts w:cstheme="minorHAnsi"/>
          <w:bCs/>
          <w:color w:val="7030A0"/>
        </w:rPr>
        <w:tab/>
        <w:t xml:space="preserve">A clinical diagnosis of symptomatic UTI should not be made in the presence of stable, chronic genitourinary symptoms. </w:t>
      </w:r>
      <w:r w:rsidRPr="0038014E">
        <w:rPr>
          <w:rFonts w:cstheme="minorHAnsi"/>
          <w:bCs/>
          <w:i/>
          <w:iCs/>
          <w:color w:val="7030A0"/>
        </w:rPr>
        <w:t>Category BIII.</w:t>
      </w:r>
    </w:p>
    <w:p w14:paraId="2BF0AD9B" w14:textId="77777777" w:rsidR="006B00B3" w:rsidRPr="0038014E" w:rsidRDefault="006B00B3" w:rsidP="006B00B3">
      <w:pPr>
        <w:spacing w:line="288" w:lineRule="auto"/>
        <w:ind w:left="1080"/>
        <w:rPr>
          <w:rFonts w:cstheme="minorHAnsi"/>
          <w:bCs/>
          <w:color w:val="7030A0"/>
        </w:rPr>
      </w:pPr>
      <w:r w:rsidRPr="0038014E">
        <w:rPr>
          <w:rFonts w:cstheme="minorHAnsi"/>
          <w:bCs/>
          <w:color w:val="7030A0"/>
        </w:rPr>
        <w:t xml:space="preserve">b. </w:t>
      </w:r>
      <w:r w:rsidRPr="0038014E">
        <w:rPr>
          <w:rFonts w:cstheme="minorHAnsi"/>
          <w:bCs/>
          <w:color w:val="7030A0"/>
        </w:rPr>
        <w:tab/>
        <w:t xml:space="preserve">In residents with clinical deterioration, including fever, no localizing genitourinary findings, and a positive urine culture, a diagnosis of UTI is possible but not definite. </w:t>
      </w:r>
      <w:r w:rsidRPr="0038014E">
        <w:rPr>
          <w:rFonts w:cstheme="minorHAnsi"/>
          <w:bCs/>
          <w:i/>
          <w:iCs/>
          <w:color w:val="7030A0"/>
        </w:rPr>
        <w:t>Category AII.</w:t>
      </w:r>
    </w:p>
    <w:p w14:paraId="4B40CCDA" w14:textId="77777777" w:rsidR="006B00B3" w:rsidRPr="0038014E" w:rsidRDefault="006B00B3" w:rsidP="006B00B3">
      <w:pPr>
        <w:spacing w:line="288" w:lineRule="auto"/>
        <w:rPr>
          <w:rFonts w:cstheme="minorHAnsi"/>
          <w:bCs/>
          <w:color w:val="7030A0"/>
        </w:rPr>
      </w:pPr>
      <w:r w:rsidRPr="0038014E">
        <w:rPr>
          <w:rFonts w:cstheme="minorHAnsi"/>
          <w:bCs/>
          <w:color w:val="7030A0"/>
        </w:rPr>
        <w:t xml:space="preserve">2. </w:t>
      </w:r>
      <w:r w:rsidRPr="0038014E">
        <w:rPr>
          <w:rFonts w:cstheme="minorHAnsi"/>
          <w:bCs/>
          <w:color w:val="7030A0"/>
        </w:rPr>
        <w:tab/>
        <w:t xml:space="preserve">A urine specimen for culture should be obtained prior to therapy from any resident treated for symptomatic UTI. </w:t>
      </w:r>
      <w:r w:rsidRPr="0038014E">
        <w:rPr>
          <w:rFonts w:cstheme="minorHAnsi"/>
          <w:bCs/>
          <w:i/>
          <w:iCs/>
          <w:color w:val="7030A0"/>
        </w:rPr>
        <w:t>Category AII.</w:t>
      </w:r>
    </w:p>
    <w:p w14:paraId="0FFFB438" w14:textId="77777777" w:rsidR="006B00B3" w:rsidRPr="0038014E" w:rsidRDefault="006B00B3" w:rsidP="006B00B3">
      <w:pPr>
        <w:spacing w:line="288" w:lineRule="auto"/>
        <w:ind w:left="1080"/>
        <w:rPr>
          <w:rFonts w:cstheme="minorHAnsi"/>
          <w:bCs/>
          <w:color w:val="7030A0"/>
        </w:rPr>
      </w:pPr>
      <w:r w:rsidRPr="0038014E">
        <w:rPr>
          <w:rFonts w:cstheme="minorHAnsi"/>
          <w:bCs/>
          <w:color w:val="7030A0"/>
        </w:rPr>
        <w:t xml:space="preserve">a. </w:t>
      </w:r>
      <w:r w:rsidRPr="0038014E">
        <w:rPr>
          <w:rFonts w:cstheme="minorHAnsi"/>
          <w:bCs/>
          <w:color w:val="7030A0"/>
        </w:rPr>
        <w:tab/>
        <w:t xml:space="preserve">A urine specimen with 105 CFU/mL of organisms is consistent with UTI. </w:t>
      </w:r>
      <w:r w:rsidRPr="0038014E">
        <w:rPr>
          <w:rFonts w:cstheme="minorHAnsi"/>
          <w:bCs/>
          <w:i/>
          <w:iCs/>
          <w:color w:val="7030A0"/>
        </w:rPr>
        <w:t>Category AI.</w:t>
      </w:r>
    </w:p>
    <w:p w14:paraId="5FB186D5" w14:textId="77777777" w:rsidR="006B00B3" w:rsidRPr="0038014E" w:rsidRDefault="006B00B3" w:rsidP="006B00B3">
      <w:pPr>
        <w:spacing w:line="288" w:lineRule="auto"/>
        <w:ind w:left="1080"/>
        <w:rPr>
          <w:rFonts w:cstheme="minorHAnsi"/>
          <w:bCs/>
          <w:color w:val="7030A0"/>
        </w:rPr>
      </w:pPr>
      <w:r w:rsidRPr="0038014E">
        <w:rPr>
          <w:rFonts w:cstheme="minorHAnsi"/>
          <w:bCs/>
          <w:color w:val="7030A0"/>
        </w:rPr>
        <w:t xml:space="preserve">b. </w:t>
      </w:r>
      <w:r w:rsidRPr="0038014E">
        <w:rPr>
          <w:rFonts w:cstheme="minorHAnsi"/>
          <w:bCs/>
          <w:color w:val="7030A0"/>
        </w:rPr>
        <w:tab/>
        <w:t xml:space="preserve">In the presence of acute urinary symptoms, lower quantitative counts may be consistent with the diagnosis of acute UTI. </w:t>
      </w:r>
      <w:r w:rsidRPr="0038014E">
        <w:rPr>
          <w:rFonts w:cstheme="minorHAnsi"/>
          <w:bCs/>
          <w:i/>
          <w:iCs/>
          <w:color w:val="7030A0"/>
        </w:rPr>
        <w:t>Category BIII.</w:t>
      </w:r>
    </w:p>
    <w:p w14:paraId="388E85F3" w14:textId="77777777" w:rsidR="006B00B3" w:rsidRPr="0038014E" w:rsidRDefault="006B00B3" w:rsidP="006B00B3">
      <w:pPr>
        <w:spacing w:line="288" w:lineRule="auto"/>
        <w:ind w:left="1080"/>
        <w:rPr>
          <w:rFonts w:cstheme="minorHAnsi"/>
          <w:bCs/>
          <w:color w:val="7030A0"/>
        </w:rPr>
      </w:pPr>
      <w:r w:rsidRPr="0038014E">
        <w:rPr>
          <w:rFonts w:cstheme="minorHAnsi"/>
          <w:bCs/>
          <w:color w:val="7030A0"/>
        </w:rPr>
        <w:t xml:space="preserve">c. </w:t>
      </w:r>
      <w:r w:rsidRPr="0038014E">
        <w:rPr>
          <w:rFonts w:cstheme="minorHAnsi"/>
          <w:bCs/>
          <w:color w:val="7030A0"/>
        </w:rPr>
        <w:tab/>
        <w:t>The diagnosis of asymptomatic bacteriuria requires two consecutive urine specimens with &gt;=10</w:t>
      </w:r>
      <w:r w:rsidRPr="0038014E">
        <w:rPr>
          <w:rFonts w:cstheme="minorHAnsi"/>
          <w:bCs/>
          <w:color w:val="7030A0"/>
          <w:vertAlign w:val="superscript"/>
        </w:rPr>
        <w:t>5</w:t>
      </w:r>
      <w:r w:rsidRPr="0038014E">
        <w:rPr>
          <w:rFonts w:cstheme="minorHAnsi"/>
          <w:bCs/>
          <w:color w:val="7030A0"/>
        </w:rPr>
        <w:t xml:space="preserve"> CFU/mL of the same organism and the absence of symptoms referable to the urinary tract. </w:t>
      </w:r>
      <w:r w:rsidRPr="0038014E">
        <w:rPr>
          <w:rFonts w:cstheme="minorHAnsi"/>
          <w:bCs/>
          <w:i/>
          <w:iCs/>
          <w:color w:val="7030A0"/>
        </w:rPr>
        <w:t>Category AII.</w:t>
      </w:r>
    </w:p>
    <w:p w14:paraId="4EB59CAF" w14:textId="77777777" w:rsidR="006B00B3" w:rsidRPr="0038014E" w:rsidRDefault="006B00B3" w:rsidP="006B00B3">
      <w:pPr>
        <w:spacing w:line="288" w:lineRule="auto"/>
        <w:ind w:left="1080"/>
        <w:rPr>
          <w:rFonts w:cstheme="minorHAnsi"/>
          <w:bCs/>
          <w:color w:val="7030A0"/>
        </w:rPr>
      </w:pPr>
      <w:r w:rsidRPr="0038014E">
        <w:rPr>
          <w:rFonts w:cstheme="minorHAnsi"/>
          <w:bCs/>
          <w:color w:val="7030A0"/>
        </w:rPr>
        <w:t xml:space="preserve">d. </w:t>
      </w:r>
      <w:r w:rsidRPr="0038014E">
        <w:rPr>
          <w:rFonts w:cstheme="minorHAnsi"/>
          <w:bCs/>
          <w:color w:val="7030A0"/>
        </w:rPr>
        <w:tab/>
        <w:t xml:space="preserve">For men and women, a clean-catch voided urine specimen is the preferred method for collection of urine for culture. </w:t>
      </w:r>
      <w:r w:rsidRPr="0038014E">
        <w:rPr>
          <w:rFonts w:cstheme="minorHAnsi"/>
          <w:bCs/>
          <w:i/>
          <w:iCs/>
          <w:color w:val="7030A0"/>
        </w:rPr>
        <w:t>Category AII.</w:t>
      </w:r>
    </w:p>
    <w:p w14:paraId="2848C483" w14:textId="77777777" w:rsidR="006B00B3" w:rsidRPr="0038014E" w:rsidRDefault="006B00B3" w:rsidP="006B00B3">
      <w:pPr>
        <w:spacing w:line="288" w:lineRule="auto"/>
        <w:ind w:left="1080"/>
        <w:rPr>
          <w:rFonts w:cstheme="minorHAnsi"/>
          <w:bCs/>
          <w:color w:val="7030A0"/>
        </w:rPr>
      </w:pPr>
      <w:r w:rsidRPr="0038014E">
        <w:rPr>
          <w:rFonts w:cstheme="minorHAnsi"/>
          <w:bCs/>
          <w:color w:val="7030A0"/>
        </w:rPr>
        <w:t xml:space="preserve">e. </w:t>
      </w:r>
      <w:r w:rsidRPr="0038014E">
        <w:rPr>
          <w:rFonts w:cstheme="minorHAnsi"/>
          <w:bCs/>
          <w:color w:val="7030A0"/>
        </w:rPr>
        <w:tab/>
        <w:t>In men using external condom collecting systems, a urine specimen collected from a freshly applied leg bag with &gt;=10</w:t>
      </w:r>
      <w:r w:rsidRPr="0038014E">
        <w:rPr>
          <w:rFonts w:cstheme="minorHAnsi"/>
          <w:bCs/>
          <w:color w:val="7030A0"/>
          <w:vertAlign w:val="superscript"/>
        </w:rPr>
        <w:t>5</w:t>
      </w:r>
      <w:r w:rsidRPr="0038014E">
        <w:rPr>
          <w:rFonts w:cstheme="minorHAnsi"/>
          <w:bCs/>
          <w:color w:val="7030A0"/>
        </w:rPr>
        <w:t xml:space="preserve"> CFU/mL is consistent with UTI. </w:t>
      </w:r>
      <w:r w:rsidRPr="0038014E">
        <w:rPr>
          <w:rFonts w:cstheme="minorHAnsi"/>
          <w:bCs/>
          <w:i/>
          <w:iCs/>
          <w:color w:val="7030A0"/>
        </w:rPr>
        <w:t>Category AII.</w:t>
      </w:r>
    </w:p>
    <w:p w14:paraId="0AA78E64" w14:textId="77777777" w:rsidR="006B00B3" w:rsidRPr="0038014E" w:rsidRDefault="006B00B3" w:rsidP="006B00B3">
      <w:pPr>
        <w:spacing w:line="288" w:lineRule="auto"/>
        <w:ind w:left="1080"/>
        <w:rPr>
          <w:rFonts w:cstheme="minorHAnsi"/>
          <w:bCs/>
          <w:color w:val="7030A0"/>
        </w:rPr>
      </w:pPr>
      <w:r w:rsidRPr="0038014E">
        <w:rPr>
          <w:rFonts w:cstheme="minorHAnsi"/>
          <w:bCs/>
          <w:color w:val="7030A0"/>
        </w:rPr>
        <w:t xml:space="preserve">f. </w:t>
      </w:r>
      <w:r w:rsidRPr="0038014E">
        <w:rPr>
          <w:rFonts w:cstheme="minorHAnsi"/>
          <w:bCs/>
          <w:color w:val="7030A0"/>
        </w:rPr>
        <w:tab/>
        <w:t>For men or women, where a voided specimen cannot be collected, a urine specimen should be obtained by in-and-out catheterization. A quantitative count &gt;=10</w:t>
      </w:r>
      <w:r w:rsidRPr="0038014E">
        <w:rPr>
          <w:rFonts w:cstheme="minorHAnsi"/>
          <w:bCs/>
          <w:color w:val="7030A0"/>
          <w:vertAlign w:val="superscript"/>
        </w:rPr>
        <w:t>3</w:t>
      </w:r>
      <w:r w:rsidRPr="0038014E">
        <w:rPr>
          <w:rFonts w:cstheme="minorHAnsi"/>
          <w:bCs/>
          <w:color w:val="7030A0"/>
        </w:rPr>
        <w:t xml:space="preserve"> CFU/mL of a single </w:t>
      </w:r>
      <w:r w:rsidRPr="0038014E">
        <w:rPr>
          <w:rFonts w:cstheme="minorHAnsi"/>
          <w:bCs/>
          <w:color w:val="7030A0"/>
        </w:rPr>
        <w:lastRenderedPageBreak/>
        <w:t xml:space="preserve">predominant pathogen from a specimen obtained with appropriate aseptic technique is consistent with infection. </w:t>
      </w:r>
      <w:r w:rsidRPr="0038014E">
        <w:rPr>
          <w:rFonts w:cstheme="minorHAnsi"/>
          <w:bCs/>
          <w:i/>
          <w:iCs/>
          <w:color w:val="7030A0"/>
        </w:rPr>
        <w:t>Category BIII.</w:t>
      </w:r>
    </w:p>
    <w:p w14:paraId="590E39AA" w14:textId="77777777" w:rsidR="006B00B3" w:rsidRPr="0038014E" w:rsidRDefault="006B00B3" w:rsidP="006B00B3">
      <w:pPr>
        <w:spacing w:line="288" w:lineRule="auto"/>
        <w:rPr>
          <w:rFonts w:cstheme="minorHAnsi"/>
          <w:bCs/>
          <w:color w:val="7030A0"/>
        </w:rPr>
      </w:pPr>
      <w:r w:rsidRPr="0038014E">
        <w:rPr>
          <w:rFonts w:cstheme="minorHAnsi"/>
          <w:bCs/>
          <w:color w:val="7030A0"/>
        </w:rPr>
        <w:t xml:space="preserve">3. </w:t>
      </w:r>
      <w:r w:rsidRPr="0038014E">
        <w:rPr>
          <w:rFonts w:cstheme="minorHAnsi"/>
          <w:bCs/>
          <w:color w:val="7030A0"/>
        </w:rPr>
        <w:tab/>
        <w:t xml:space="preserve">In asymptomatic patients with chronic indwelling catheters, urine specimens for culture should be obtained aseptically through the catheter port. </w:t>
      </w:r>
      <w:r w:rsidRPr="0038014E">
        <w:rPr>
          <w:rFonts w:cstheme="minorHAnsi"/>
          <w:bCs/>
          <w:i/>
          <w:iCs/>
          <w:color w:val="7030A0"/>
        </w:rPr>
        <w:t>Category AII.</w:t>
      </w:r>
    </w:p>
    <w:p w14:paraId="11C71676" w14:textId="77777777" w:rsidR="006B00B3" w:rsidRPr="0038014E" w:rsidRDefault="006B00B3" w:rsidP="006B00B3">
      <w:pPr>
        <w:spacing w:line="288" w:lineRule="auto"/>
        <w:ind w:left="1080"/>
        <w:rPr>
          <w:rFonts w:cstheme="minorHAnsi"/>
          <w:bCs/>
          <w:color w:val="7030A0"/>
        </w:rPr>
      </w:pPr>
      <w:r w:rsidRPr="0038014E">
        <w:rPr>
          <w:rFonts w:cstheme="minorHAnsi"/>
          <w:bCs/>
          <w:color w:val="7030A0"/>
        </w:rPr>
        <w:t xml:space="preserve">a. </w:t>
      </w:r>
      <w:r w:rsidRPr="0038014E">
        <w:rPr>
          <w:rFonts w:cstheme="minorHAnsi"/>
          <w:bCs/>
          <w:color w:val="7030A0"/>
        </w:rPr>
        <w:tab/>
        <w:t xml:space="preserve">In patients with chronic indwelling catheters and suspected symptomatic UTI, a urine specimen for culture to determine infecting organisms and susceptibilities should be obtained from a freshly inserted chronic indwelling catheter prior to initiating antimicrobial therapy. </w:t>
      </w:r>
      <w:r w:rsidRPr="0038014E">
        <w:rPr>
          <w:rFonts w:cstheme="minorHAnsi"/>
          <w:bCs/>
          <w:i/>
          <w:iCs/>
          <w:color w:val="7030A0"/>
        </w:rPr>
        <w:t>Category AI.</w:t>
      </w:r>
    </w:p>
    <w:p w14:paraId="1DB56F55" w14:textId="77777777" w:rsidR="006B00B3" w:rsidRPr="0038014E" w:rsidRDefault="006B00B3" w:rsidP="006B00B3">
      <w:pPr>
        <w:spacing w:line="288" w:lineRule="auto"/>
        <w:rPr>
          <w:rFonts w:cstheme="minorHAnsi"/>
          <w:bCs/>
          <w:color w:val="7030A0"/>
        </w:rPr>
      </w:pPr>
      <w:r w:rsidRPr="0038014E">
        <w:rPr>
          <w:rFonts w:cstheme="minorHAnsi"/>
          <w:bCs/>
          <w:color w:val="7030A0"/>
        </w:rPr>
        <w:t xml:space="preserve">4. </w:t>
      </w:r>
      <w:r w:rsidRPr="0038014E">
        <w:rPr>
          <w:rFonts w:cstheme="minorHAnsi"/>
          <w:bCs/>
          <w:color w:val="7030A0"/>
        </w:rPr>
        <w:tab/>
        <w:t xml:space="preserve">The presence or absence of pyuria in a urinalysis specimen should not be used as a criterion to diagnose UTI or to differentiate symptomatic from asymptomatic infection. </w:t>
      </w:r>
      <w:r w:rsidRPr="0038014E">
        <w:rPr>
          <w:rFonts w:cstheme="minorHAnsi"/>
          <w:bCs/>
          <w:i/>
          <w:iCs/>
          <w:color w:val="7030A0"/>
        </w:rPr>
        <w:t>Category AII.</w:t>
      </w:r>
    </w:p>
    <w:p w14:paraId="547CC7C6" w14:textId="77777777" w:rsidR="006B00B3" w:rsidRPr="0038014E" w:rsidRDefault="006B00B3" w:rsidP="006B00B3">
      <w:pPr>
        <w:spacing w:line="288" w:lineRule="auto"/>
        <w:ind w:left="1080"/>
        <w:rPr>
          <w:rFonts w:cstheme="minorHAnsi"/>
          <w:bCs/>
          <w:color w:val="7030A0"/>
        </w:rPr>
      </w:pPr>
      <w:r w:rsidRPr="0038014E">
        <w:rPr>
          <w:rFonts w:cstheme="minorHAnsi"/>
          <w:bCs/>
          <w:color w:val="7030A0"/>
        </w:rPr>
        <w:t xml:space="preserve">a. </w:t>
      </w:r>
      <w:r w:rsidRPr="0038014E">
        <w:rPr>
          <w:rFonts w:cstheme="minorHAnsi"/>
          <w:bCs/>
          <w:color w:val="7030A0"/>
        </w:rPr>
        <w:tab/>
        <w:t xml:space="preserve">The absence of pyuria makes UTI unlikely. </w:t>
      </w:r>
      <w:r w:rsidRPr="0038014E">
        <w:rPr>
          <w:rFonts w:cstheme="minorHAnsi"/>
          <w:bCs/>
          <w:i/>
          <w:iCs/>
          <w:color w:val="7030A0"/>
        </w:rPr>
        <w:t>Category AII.</w:t>
      </w:r>
    </w:p>
    <w:p w14:paraId="5208E419" w14:textId="77777777" w:rsidR="006B00B3" w:rsidRPr="0038014E" w:rsidRDefault="006B00B3" w:rsidP="006B00B3">
      <w:pPr>
        <w:spacing w:before="120" w:line="288" w:lineRule="auto"/>
        <w:ind w:left="0" w:firstLine="0"/>
        <w:rPr>
          <w:rFonts w:cstheme="minorHAnsi"/>
          <w:bCs/>
          <w:i/>
          <w:iCs/>
          <w:color w:val="7030A0"/>
        </w:rPr>
      </w:pPr>
      <w:r w:rsidRPr="0038014E">
        <w:rPr>
          <w:rFonts w:cstheme="minorHAnsi"/>
          <w:bCs/>
          <w:i/>
          <w:iCs/>
          <w:color w:val="7030A0"/>
        </w:rPr>
        <w:t>Treatment</w:t>
      </w:r>
    </w:p>
    <w:p w14:paraId="3A2385DF" w14:textId="77777777" w:rsidR="006B00B3" w:rsidRPr="0038014E" w:rsidRDefault="006B00B3" w:rsidP="006B00B3">
      <w:pPr>
        <w:spacing w:line="288" w:lineRule="auto"/>
        <w:rPr>
          <w:rFonts w:cstheme="minorHAnsi"/>
          <w:bCs/>
          <w:color w:val="7030A0"/>
        </w:rPr>
      </w:pPr>
      <w:r w:rsidRPr="0038014E">
        <w:rPr>
          <w:rFonts w:cstheme="minorHAnsi"/>
          <w:bCs/>
          <w:color w:val="7030A0"/>
        </w:rPr>
        <w:t xml:space="preserve">1. </w:t>
      </w:r>
      <w:r w:rsidRPr="0038014E">
        <w:rPr>
          <w:rFonts w:cstheme="minorHAnsi"/>
          <w:bCs/>
          <w:color w:val="7030A0"/>
        </w:rPr>
        <w:tab/>
        <w:t xml:space="preserve">Asymptomatic bacteriuria should not be treated with antimicrobial therapy in LTCF residents. </w:t>
      </w:r>
      <w:r w:rsidRPr="0038014E">
        <w:rPr>
          <w:rFonts w:cstheme="minorHAnsi"/>
          <w:bCs/>
          <w:i/>
          <w:iCs/>
          <w:color w:val="7030A0"/>
        </w:rPr>
        <w:t>Category A1.</w:t>
      </w:r>
    </w:p>
    <w:p w14:paraId="7FD3A056" w14:textId="77777777" w:rsidR="006B00B3" w:rsidRPr="0038014E" w:rsidRDefault="006B00B3" w:rsidP="006B00B3">
      <w:pPr>
        <w:spacing w:line="288" w:lineRule="auto"/>
        <w:rPr>
          <w:rFonts w:cstheme="minorHAnsi"/>
          <w:bCs/>
          <w:color w:val="7030A0"/>
        </w:rPr>
      </w:pPr>
      <w:r w:rsidRPr="0038014E">
        <w:rPr>
          <w:rFonts w:cstheme="minorHAnsi"/>
          <w:bCs/>
          <w:color w:val="7030A0"/>
        </w:rPr>
        <w:t xml:space="preserve">2. </w:t>
      </w:r>
      <w:r w:rsidRPr="0038014E">
        <w:rPr>
          <w:rFonts w:cstheme="minorHAnsi"/>
          <w:bCs/>
          <w:color w:val="7030A0"/>
        </w:rPr>
        <w:tab/>
        <w:t xml:space="preserve">There is insufficient evidence to recommend </w:t>
      </w:r>
      <w:proofErr w:type="spellStart"/>
      <w:r w:rsidRPr="0038014E">
        <w:rPr>
          <w:rFonts w:cstheme="minorHAnsi"/>
          <w:bCs/>
          <w:color w:val="7030A0"/>
        </w:rPr>
        <w:t>nonantimicrobial</w:t>
      </w:r>
      <w:proofErr w:type="spellEnd"/>
      <w:r w:rsidRPr="0038014E">
        <w:rPr>
          <w:rFonts w:cstheme="minorHAnsi"/>
          <w:bCs/>
          <w:color w:val="7030A0"/>
        </w:rPr>
        <w:t xml:space="preserve"> methods to manage UTI in LTCF residents. No recommendation.</w:t>
      </w:r>
    </w:p>
    <w:p w14:paraId="74BB0BC2" w14:textId="77777777" w:rsidR="006B00B3" w:rsidRPr="0038014E" w:rsidRDefault="006B00B3" w:rsidP="006B00B3">
      <w:pPr>
        <w:spacing w:line="288" w:lineRule="auto"/>
        <w:rPr>
          <w:rFonts w:cstheme="minorHAnsi"/>
          <w:bCs/>
          <w:color w:val="7030A0"/>
        </w:rPr>
      </w:pPr>
      <w:r w:rsidRPr="0038014E">
        <w:rPr>
          <w:rFonts w:cstheme="minorHAnsi"/>
          <w:bCs/>
          <w:color w:val="7030A0"/>
        </w:rPr>
        <w:t xml:space="preserve">3. </w:t>
      </w:r>
      <w:r w:rsidRPr="0038014E">
        <w:rPr>
          <w:rFonts w:cstheme="minorHAnsi"/>
          <w:bCs/>
          <w:color w:val="7030A0"/>
        </w:rPr>
        <w:tab/>
        <w:t xml:space="preserve">The selection of an antimicrobial for treatment of symptomatic UTI should be based on known or suspected infecting organisms, patient tolerance, local formulary, and documented efficacy. </w:t>
      </w:r>
      <w:r w:rsidRPr="0038014E">
        <w:rPr>
          <w:rFonts w:cstheme="minorHAnsi"/>
          <w:bCs/>
          <w:i/>
          <w:iCs/>
          <w:color w:val="7030A0"/>
        </w:rPr>
        <w:t>Category AIII.</w:t>
      </w:r>
    </w:p>
    <w:p w14:paraId="46BF0FE1" w14:textId="77777777" w:rsidR="006B00B3" w:rsidRPr="0038014E" w:rsidRDefault="006B00B3" w:rsidP="006B00B3">
      <w:pPr>
        <w:spacing w:line="288" w:lineRule="auto"/>
        <w:ind w:left="1080"/>
        <w:rPr>
          <w:rFonts w:cstheme="minorHAnsi"/>
          <w:bCs/>
          <w:color w:val="7030A0"/>
        </w:rPr>
      </w:pPr>
      <w:r w:rsidRPr="0038014E">
        <w:rPr>
          <w:rFonts w:cstheme="minorHAnsi"/>
          <w:bCs/>
          <w:color w:val="7030A0"/>
        </w:rPr>
        <w:t xml:space="preserve">a. </w:t>
      </w:r>
      <w:r w:rsidRPr="0038014E">
        <w:rPr>
          <w:rFonts w:cstheme="minorHAnsi"/>
          <w:bCs/>
          <w:color w:val="7030A0"/>
        </w:rPr>
        <w:tab/>
        <w:t xml:space="preserve">The duration of therapy should not exceed 10 to 14 days; shorter courses may be considered for women with minor lower tract symptoms. </w:t>
      </w:r>
      <w:r w:rsidRPr="0038014E">
        <w:rPr>
          <w:rFonts w:cstheme="minorHAnsi"/>
          <w:bCs/>
          <w:i/>
          <w:iCs/>
          <w:color w:val="7030A0"/>
        </w:rPr>
        <w:t>Category AII.</w:t>
      </w:r>
    </w:p>
    <w:p w14:paraId="2AD11510" w14:textId="77777777" w:rsidR="006B00B3" w:rsidRPr="0038014E" w:rsidRDefault="006B00B3" w:rsidP="006B00B3">
      <w:pPr>
        <w:spacing w:line="288" w:lineRule="auto"/>
        <w:ind w:left="1080"/>
        <w:rPr>
          <w:rFonts w:cstheme="minorHAnsi"/>
          <w:bCs/>
          <w:color w:val="7030A0"/>
        </w:rPr>
      </w:pPr>
      <w:r w:rsidRPr="0038014E">
        <w:rPr>
          <w:rFonts w:cstheme="minorHAnsi"/>
          <w:bCs/>
          <w:color w:val="7030A0"/>
        </w:rPr>
        <w:t xml:space="preserve">b. </w:t>
      </w:r>
      <w:r w:rsidRPr="0038014E">
        <w:rPr>
          <w:rFonts w:cstheme="minorHAnsi"/>
          <w:bCs/>
          <w:color w:val="7030A0"/>
        </w:rPr>
        <w:tab/>
        <w:t xml:space="preserve">For individuals with chronic indwelling catheters, the duration of therapy should be less than 10 days. </w:t>
      </w:r>
      <w:r w:rsidRPr="0038014E">
        <w:rPr>
          <w:rFonts w:cstheme="minorHAnsi"/>
          <w:bCs/>
          <w:i/>
          <w:iCs/>
          <w:color w:val="7030A0"/>
        </w:rPr>
        <w:t>Category BIII.</w:t>
      </w:r>
    </w:p>
    <w:p w14:paraId="3221D6FD" w14:textId="77777777" w:rsidR="006B00B3" w:rsidRPr="0038014E" w:rsidRDefault="006B00B3" w:rsidP="006B00B3">
      <w:pPr>
        <w:spacing w:line="288" w:lineRule="auto"/>
        <w:ind w:left="1080"/>
        <w:rPr>
          <w:rFonts w:cstheme="minorHAnsi"/>
          <w:bCs/>
          <w:color w:val="7030A0"/>
        </w:rPr>
      </w:pPr>
      <w:r w:rsidRPr="0038014E">
        <w:rPr>
          <w:rFonts w:cstheme="minorHAnsi"/>
          <w:bCs/>
          <w:color w:val="7030A0"/>
        </w:rPr>
        <w:t xml:space="preserve">c. </w:t>
      </w:r>
      <w:r w:rsidRPr="0038014E">
        <w:rPr>
          <w:rFonts w:cstheme="minorHAnsi"/>
          <w:bCs/>
          <w:color w:val="7030A0"/>
        </w:rPr>
        <w:tab/>
        <w:t xml:space="preserve">For men with relapsing symptomatic infection, 6 weeks of therapy for retreatment may be considered. </w:t>
      </w:r>
      <w:r w:rsidRPr="0038014E">
        <w:rPr>
          <w:rFonts w:cstheme="minorHAnsi"/>
          <w:bCs/>
          <w:i/>
          <w:iCs/>
          <w:color w:val="7030A0"/>
        </w:rPr>
        <w:t>Category BI.</w:t>
      </w:r>
    </w:p>
    <w:p w14:paraId="57416906" w14:textId="77777777" w:rsidR="006B00B3" w:rsidRPr="0038014E" w:rsidRDefault="006B00B3" w:rsidP="006B00B3">
      <w:pPr>
        <w:spacing w:line="288" w:lineRule="auto"/>
        <w:rPr>
          <w:rFonts w:cstheme="minorHAnsi"/>
          <w:bCs/>
          <w:color w:val="7030A0"/>
        </w:rPr>
      </w:pPr>
      <w:r w:rsidRPr="0038014E">
        <w:rPr>
          <w:rFonts w:cstheme="minorHAnsi"/>
          <w:bCs/>
          <w:color w:val="7030A0"/>
        </w:rPr>
        <w:t xml:space="preserve">4. </w:t>
      </w:r>
      <w:r w:rsidRPr="0038014E">
        <w:rPr>
          <w:rFonts w:cstheme="minorHAnsi"/>
          <w:bCs/>
          <w:color w:val="7030A0"/>
        </w:rPr>
        <w:tab/>
        <w:t xml:space="preserve">When the diagnosis of symptomatic UTI is uncertain, a decision of whether or not to treat with antimicrobials must be made on the basis of clinical assessment. Where antimicrobials are given, ongoing clinical reassessment of presenting signs and symptoms to assess the impact of antimicrobial therapy should be undertaken. </w:t>
      </w:r>
      <w:r w:rsidRPr="0038014E">
        <w:rPr>
          <w:rFonts w:cstheme="minorHAnsi"/>
          <w:bCs/>
          <w:i/>
          <w:iCs/>
          <w:color w:val="7030A0"/>
        </w:rPr>
        <w:t>Category BIII.</w:t>
      </w:r>
    </w:p>
    <w:p w14:paraId="0366DF1A" w14:textId="77777777" w:rsidR="006B00B3" w:rsidRPr="0038014E" w:rsidRDefault="006B00B3" w:rsidP="006B00B3">
      <w:pPr>
        <w:spacing w:line="288" w:lineRule="auto"/>
        <w:ind w:left="1080"/>
        <w:rPr>
          <w:rFonts w:cstheme="minorHAnsi"/>
          <w:bCs/>
          <w:color w:val="7030A0"/>
        </w:rPr>
      </w:pPr>
      <w:r w:rsidRPr="0038014E">
        <w:rPr>
          <w:rFonts w:cstheme="minorHAnsi"/>
          <w:bCs/>
          <w:color w:val="7030A0"/>
        </w:rPr>
        <w:t xml:space="preserve">a. </w:t>
      </w:r>
      <w:r w:rsidRPr="0038014E">
        <w:rPr>
          <w:rFonts w:cstheme="minorHAnsi"/>
          <w:bCs/>
          <w:color w:val="7030A0"/>
        </w:rPr>
        <w:tab/>
        <w:t xml:space="preserve">Clinical assessment should be undertaken by a physician or appropriately trained designate. </w:t>
      </w:r>
      <w:r w:rsidRPr="0038014E">
        <w:rPr>
          <w:rFonts w:cstheme="minorHAnsi"/>
          <w:bCs/>
          <w:i/>
          <w:iCs/>
          <w:color w:val="7030A0"/>
        </w:rPr>
        <w:t>Category AII.</w:t>
      </w:r>
    </w:p>
    <w:p w14:paraId="1C89ACB5" w14:textId="77777777" w:rsidR="006B00B3" w:rsidRPr="0038014E" w:rsidRDefault="006B00B3" w:rsidP="006B00B3">
      <w:pPr>
        <w:spacing w:line="288" w:lineRule="auto"/>
        <w:rPr>
          <w:rFonts w:cstheme="minorHAnsi"/>
          <w:bCs/>
          <w:color w:val="7030A0"/>
        </w:rPr>
      </w:pPr>
      <w:r w:rsidRPr="0038014E">
        <w:rPr>
          <w:rFonts w:cstheme="minorHAnsi"/>
          <w:bCs/>
          <w:color w:val="7030A0"/>
        </w:rPr>
        <w:t xml:space="preserve">5. </w:t>
      </w:r>
      <w:r w:rsidRPr="0038014E">
        <w:rPr>
          <w:rFonts w:cstheme="minorHAnsi"/>
          <w:bCs/>
          <w:color w:val="7030A0"/>
        </w:rPr>
        <w:tab/>
        <w:t xml:space="preserve">Post-treatment urine cultures to document cure should not be obtained. </w:t>
      </w:r>
      <w:r w:rsidRPr="0038014E">
        <w:rPr>
          <w:rFonts w:cstheme="minorHAnsi"/>
          <w:bCs/>
          <w:i/>
          <w:iCs/>
          <w:color w:val="7030A0"/>
        </w:rPr>
        <w:t>Category AII.</w:t>
      </w:r>
    </w:p>
    <w:p w14:paraId="6429553D" w14:textId="4F64F9BD" w:rsidR="006B00B3" w:rsidRDefault="006B00B3" w:rsidP="002E2177">
      <w:pPr>
        <w:ind w:left="0" w:firstLine="0"/>
      </w:pPr>
    </w:p>
    <w:p w14:paraId="6FCDA0AC" w14:textId="0D3BE8BD" w:rsidR="0021491C" w:rsidRDefault="0021491C" w:rsidP="002E2177">
      <w:pPr>
        <w:ind w:left="0" w:firstLine="0"/>
      </w:pPr>
    </w:p>
    <w:p w14:paraId="4E5C636A" w14:textId="026E38D7" w:rsidR="0021491C" w:rsidRDefault="0021491C" w:rsidP="002E2177">
      <w:pPr>
        <w:ind w:left="0" w:firstLine="0"/>
      </w:pPr>
    </w:p>
    <w:p w14:paraId="59874587" w14:textId="2863EBC4" w:rsidR="0021491C" w:rsidRDefault="0021491C" w:rsidP="002E2177">
      <w:pPr>
        <w:ind w:left="0" w:firstLine="0"/>
      </w:pPr>
    </w:p>
    <w:p w14:paraId="1C587C19" w14:textId="50862EF5" w:rsidR="0021491C" w:rsidRDefault="0021491C" w:rsidP="002E2177">
      <w:pPr>
        <w:ind w:left="0" w:firstLine="0"/>
      </w:pPr>
    </w:p>
    <w:p w14:paraId="46C44199" w14:textId="2638496A" w:rsidR="0021491C" w:rsidRDefault="0021491C" w:rsidP="002E2177">
      <w:pPr>
        <w:ind w:left="0" w:firstLine="0"/>
      </w:pPr>
    </w:p>
    <w:p w14:paraId="586538BB" w14:textId="5EF6E30B" w:rsidR="0021491C" w:rsidRDefault="0021491C" w:rsidP="002E2177">
      <w:pPr>
        <w:ind w:left="0" w:firstLine="0"/>
      </w:pPr>
    </w:p>
    <w:p w14:paraId="4070F75C" w14:textId="72EA20F6" w:rsidR="0021491C" w:rsidRDefault="0021491C" w:rsidP="002E2177">
      <w:pPr>
        <w:ind w:left="0" w:firstLine="0"/>
      </w:pPr>
    </w:p>
    <w:p w14:paraId="1AFF74CE" w14:textId="77777777" w:rsidR="0021491C" w:rsidRDefault="0021491C" w:rsidP="002E2177">
      <w:pPr>
        <w:ind w:left="0" w:firstLine="0"/>
      </w:pPr>
    </w:p>
    <w:p w14:paraId="1A6F1A5D" w14:textId="30575DB0" w:rsidR="008206C3" w:rsidRPr="0038014E" w:rsidRDefault="008206C3" w:rsidP="00BC5F61">
      <w:pPr>
        <w:ind w:left="0" w:firstLine="0"/>
        <w:jc w:val="center"/>
        <w:rPr>
          <w:b/>
          <w:bCs/>
          <w:color w:val="7030A0"/>
        </w:rPr>
      </w:pPr>
      <w:r w:rsidRPr="0038014E">
        <w:rPr>
          <w:b/>
          <w:bCs/>
          <w:color w:val="7030A0"/>
        </w:rPr>
        <w:lastRenderedPageBreak/>
        <w:t>Table 3</w:t>
      </w:r>
      <w:r w:rsidR="00BC5F61" w:rsidRPr="0038014E">
        <w:rPr>
          <w:b/>
          <w:bCs/>
          <w:color w:val="7030A0"/>
        </w:rPr>
        <w:t>.</w:t>
      </w:r>
      <w:r w:rsidR="00A76BE5" w:rsidRPr="0038014E">
        <w:rPr>
          <w:b/>
          <w:bCs/>
          <w:color w:val="7030A0"/>
        </w:rPr>
        <w:t xml:space="preserve"> </w:t>
      </w:r>
      <w:r w:rsidRPr="0038014E">
        <w:rPr>
          <w:b/>
          <w:bCs/>
          <w:color w:val="7030A0"/>
        </w:rPr>
        <w:t>Strength of Recommendation and Quality of Evidence</w:t>
      </w:r>
    </w:p>
    <w:tbl>
      <w:tblPr>
        <w:tblW w:w="8956" w:type="dxa"/>
        <w:tblInd w:w="180" w:type="dxa"/>
        <w:tblBorders>
          <w:top w:val="single" w:sz="12" w:space="0" w:color="0000FF"/>
          <w:bottom w:val="single" w:sz="12" w:space="0" w:color="0000FF"/>
        </w:tblBorders>
        <w:tblLayout w:type="fixed"/>
        <w:tblLook w:val="0000" w:firstRow="0" w:lastRow="0" w:firstColumn="0" w:lastColumn="0" w:noHBand="0" w:noVBand="0"/>
        <w:tblCaption w:val="Table 3. Strength of Recommenation and Quality of Evidence"/>
        <w:tblDescription w:val="Table 3 provides definitions for Category/grades A, B, C, and Quality of evidence I, II, III."/>
      </w:tblPr>
      <w:tblGrid>
        <w:gridCol w:w="4130"/>
        <w:gridCol w:w="4826"/>
      </w:tblGrid>
      <w:tr w:rsidR="008206C3" w:rsidRPr="00C4131E" w14:paraId="55FF9292" w14:textId="77777777" w:rsidTr="00B04B57">
        <w:trPr>
          <w:cantSplit/>
          <w:trHeight w:val="272"/>
          <w:tblHeader/>
        </w:trPr>
        <w:tc>
          <w:tcPr>
            <w:tcW w:w="4130" w:type="dxa"/>
            <w:tcBorders>
              <w:top w:val="single" w:sz="12" w:space="0" w:color="7030A0"/>
              <w:bottom w:val="single" w:sz="8" w:space="0" w:color="7030A0"/>
            </w:tcBorders>
          </w:tcPr>
          <w:p w14:paraId="33531483" w14:textId="77777777" w:rsidR="008206C3" w:rsidRPr="00C4131E" w:rsidRDefault="008206C3" w:rsidP="004E2D5B">
            <w:pPr>
              <w:pStyle w:val="Response"/>
              <w:spacing w:before="0" w:after="0"/>
              <w:ind w:left="0"/>
            </w:pPr>
            <w:r>
              <w:t>Category/grade</w:t>
            </w:r>
          </w:p>
        </w:tc>
        <w:tc>
          <w:tcPr>
            <w:tcW w:w="4826" w:type="dxa"/>
            <w:tcBorders>
              <w:top w:val="single" w:sz="12" w:space="0" w:color="7030A0"/>
              <w:bottom w:val="single" w:sz="8" w:space="0" w:color="7030A0"/>
            </w:tcBorders>
          </w:tcPr>
          <w:p w14:paraId="1546BE4F" w14:textId="77777777" w:rsidR="008206C3" w:rsidRPr="00C4131E" w:rsidRDefault="008206C3" w:rsidP="004E2D5B">
            <w:pPr>
              <w:pStyle w:val="Response"/>
              <w:spacing w:before="0" w:after="0"/>
              <w:ind w:left="0"/>
            </w:pPr>
            <w:r>
              <w:t>Definition</w:t>
            </w:r>
          </w:p>
        </w:tc>
      </w:tr>
      <w:tr w:rsidR="008206C3" w:rsidRPr="00C4131E" w14:paraId="076F3AF9" w14:textId="77777777" w:rsidTr="00B04B57">
        <w:trPr>
          <w:cantSplit/>
          <w:trHeight w:val="272"/>
          <w:tblHeader/>
        </w:trPr>
        <w:tc>
          <w:tcPr>
            <w:tcW w:w="4130" w:type="dxa"/>
            <w:tcBorders>
              <w:top w:val="single" w:sz="8" w:space="0" w:color="7030A0"/>
            </w:tcBorders>
          </w:tcPr>
          <w:p w14:paraId="48A6DBE2" w14:textId="77777777" w:rsidR="008206C3" w:rsidRPr="00C4131E" w:rsidRDefault="008206C3" w:rsidP="004E2D5B">
            <w:pPr>
              <w:pStyle w:val="Response"/>
              <w:spacing w:before="0" w:after="0"/>
              <w:ind w:left="0"/>
            </w:pPr>
            <w:r>
              <w:t>A</w:t>
            </w:r>
            <w:r w:rsidRPr="00C4131E">
              <w:t xml:space="preserve"> </w:t>
            </w:r>
          </w:p>
        </w:tc>
        <w:tc>
          <w:tcPr>
            <w:tcW w:w="4826" w:type="dxa"/>
            <w:tcBorders>
              <w:top w:val="single" w:sz="8" w:space="0" w:color="7030A0"/>
            </w:tcBorders>
          </w:tcPr>
          <w:p w14:paraId="444E35B5" w14:textId="15D6CEED" w:rsidR="008206C3" w:rsidRPr="00C4131E" w:rsidRDefault="008206C3" w:rsidP="004E2D5B">
            <w:pPr>
              <w:pStyle w:val="Response"/>
              <w:spacing w:before="0" w:after="0"/>
              <w:ind w:left="0"/>
            </w:pPr>
            <w:r w:rsidRPr="00727727">
              <w:rPr>
                <w:rFonts w:cstheme="minorHAnsi"/>
                <w:bCs/>
              </w:rPr>
              <w:t>Good evidence to support the recommendation.</w:t>
            </w:r>
          </w:p>
        </w:tc>
      </w:tr>
      <w:tr w:rsidR="008206C3" w:rsidRPr="00C4131E" w14:paraId="5CE5B195" w14:textId="77777777" w:rsidTr="00B04B57">
        <w:trPr>
          <w:cantSplit/>
          <w:trHeight w:val="399"/>
          <w:tblHeader/>
        </w:trPr>
        <w:tc>
          <w:tcPr>
            <w:tcW w:w="4130" w:type="dxa"/>
            <w:tcBorders>
              <w:bottom w:val="nil"/>
            </w:tcBorders>
          </w:tcPr>
          <w:p w14:paraId="51360A3E" w14:textId="77777777" w:rsidR="008206C3" w:rsidRPr="00C4131E" w:rsidRDefault="008206C3" w:rsidP="004E2D5B">
            <w:pPr>
              <w:pStyle w:val="Response"/>
              <w:spacing w:before="0" w:after="0"/>
              <w:ind w:left="0"/>
            </w:pPr>
            <w:r>
              <w:t>B</w:t>
            </w:r>
            <w:r w:rsidRPr="00C4131E">
              <w:t xml:space="preserve"> </w:t>
            </w:r>
          </w:p>
        </w:tc>
        <w:tc>
          <w:tcPr>
            <w:tcW w:w="4826" w:type="dxa"/>
            <w:tcBorders>
              <w:bottom w:val="nil"/>
            </w:tcBorders>
          </w:tcPr>
          <w:p w14:paraId="2133D7AC" w14:textId="1D3D6501" w:rsidR="008206C3" w:rsidRPr="00C4131E" w:rsidRDefault="008206C3" w:rsidP="004E2D5B">
            <w:pPr>
              <w:pStyle w:val="Response"/>
              <w:spacing w:before="0" w:after="0"/>
              <w:ind w:left="0"/>
            </w:pPr>
            <w:r w:rsidRPr="00727727">
              <w:rPr>
                <w:rFonts w:cstheme="minorHAnsi"/>
                <w:bCs/>
              </w:rPr>
              <w:t>Moderate evidence to support the recommendation.</w:t>
            </w:r>
          </w:p>
        </w:tc>
      </w:tr>
      <w:tr w:rsidR="008206C3" w:rsidRPr="00C4131E" w14:paraId="3DAB01F0" w14:textId="77777777" w:rsidTr="00B04B57">
        <w:trPr>
          <w:cantSplit/>
          <w:trHeight w:val="146"/>
          <w:tblHeader/>
        </w:trPr>
        <w:tc>
          <w:tcPr>
            <w:tcW w:w="4130" w:type="dxa"/>
            <w:tcBorders>
              <w:top w:val="nil"/>
              <w:bottom w:val="single" w:sz="8" w:space="0" w:color="7030A0"/>
            </w:tcBorders>
          </w:tcPr>
          <w:p w14:paraId="72DA81A2" w14:textId="77777777" w:rsidR="008206C3" w:rsidRPr="00C4131E" w:rsidRDefault="008206C3" w:rsidP="004E2D5B">
            <w:pPr>
              <w:pStyle w:val="Response"/>
              <w:spacing w:before="0" w:after="0"/>
              <w:ind w:left="0"/>
            </w:pPr>
            <w:r>
              <w:t>C</w:t>
            </w:r>
            <w:r w:rsidRPr="00C4131E">
              <w:t xml:space="preserve"> </w:t>
            </w:r>
          </w:p>
        </w:tc>
        <w:tc>
          <w:tcPr>
            <w:tcW w:w="4826" w:type="dxa"/>
            <w:tcBorders>
              <w:top w:val="nil"/>
              <w:bottom w:val="single" w:sz="8" w:space="0" w:color="7030A0"/>
            </w:tcBorders>
          </w:tcPr>
          <w:p w14:paraId="43AC2241" w14:textId="6A01BC87" w:rsidR="008206C3" w:rsidRPr="00C4131E" w:rsidRDefault="008206C3" w:rsidP="004E2D5B">
            <w:pPr>
              <w:pStyle w:val="Response"/>
              <w:spacing w:before="0" w:after="0"/>
              <w:ind w:left="0"/>
            </w:pPr>
            <w:r w:rsidRPr="00727727">
              <w:rPr>
                <w:rFonts w:cstheme="minorHAnsi"/>
                <w:bCs/>
              </w:rPr>
              <w:t>Poor evidence to support the recommendation</w:t>
            </w:r>
          </w:p>
        </w:tc>
      </w:tr>
      <w:tr w:rsidR="008206C3" w:rsidRPr="00C4131E" w14:paraId="5F577F79" w14:textId="77777777" w:rsidTr="00B04B57">
        <w:trPr>
          <w:cantSplit/>
          <w:trHeight w:val="146"/>
          <w:tblHeader/>
        </w:trPr>
        <w:tc>
          <w:tcPr>
            <w:tcW w:w="4130" w:type="dxa"/>
            <w:tcBorders>
              <w:top w:val="single" w:sz="8" w:space="0" w:color="7030A0"/>
              <w:bottom w:val="single" w:sz="8" w:space="0" w:color="7030A0"/>
            </w:tcBorders>
          </w:tcPr>
          <w:p w14:paraId="6476245C" w14:textId="77777777" w:rsidR="008206C3" w:rsidRDefault="008206C3" w:rsidP="004E2D5B">
            <w:pPr>
              <w:pStyle w:val="Response"/>
              <w:spacing w:before="0" w:after="0"/>
              <w:ind w:left="0"/>
            </w:pPr>
            <w:r>
              <w:t>Quality of evidence</w:t>
            </w:r>
          </w:p>
        </w:tc>
        <w:tc>
          <w:tcPr>
            <w:tcW w:w="4826" w:type="dxa"/>
            <w:tcBorders>
              <w:top w:val="single" w:sz="8" w:space="0" w:color="7030A0"/>
              <w:bottom w:val="single" w:sz="8" w:space="0" w:color="7030A0"/>
            </w:tcBorders>
          </w:tcPr>
          <w:p w14:paraId="235DC4E6" w14:textId="77777777" w:rsidR="008206C3" w:rsidRPr="00C4131E" w:rsidRDefault="008206C3" w:rsidP="004E2D5B">
            <w:pPr>
              <w:pStyle w:val="Response"/>
              <w:spacing w:before="0" w:after="0"/>
              <w:ind w:left="0"/>
            </w:pPr>
            <w:r>
              <w:t>Definition</w:t>
            </w:r>
          </w:p>
        </w:tc>
      </w:tr>
      <w:tr w:rsidR="008206C3" w:rsidRPr="00C4131E" w14:paraId="3CCBFE8E" w14:textId="77777777" w:rsidTr="00B04B57">
        <w:trPr>
          <w:cantSplit/>
          <w:trHeight w:val="272"/>
          <w:tblHeader/>
        </w:trPr>
        <w:tc>
          <w:tcPr>
            <w:tcW w:w="4130" w:type="dxa"/>
            <w:tcBorders>
              <w:top w:val="single" w:sz="8" w:space="0" w:color="7030A0"/>
            </w:tcBorders>
          </w:tcPr>
          <w:p w14:paraId="3AC22F95" w14:textId="77777777" w:rsidR="008206C3" w:rsidRPr="00C4131E" w:rsidRDefault="008206C3" w:rsidP="004E2D5B">
            <w:pPr>
              <w:pStyle w:val="Response"/>
              <w:spacing w:before="0" w:after="0"/>
              <w:ind w:left="0"/>
            </w:pPr>
            <w:r>
              <w:t>I</w:t>
            </w:r>
            <w:r w:rsidRPr="00C4131E">
              <w:t xml:space="preserve"> </w:t>
            </w:r>
          </w:p>
        </w:tc>
        <w:tc>
          <w:tcPr>
            <w:tcW w:w="4826" w:type="dxa"/>
            <w:tcBorders>
              <w:top w:val="single" w:sz="8" w:space="0" w:color="7030A0"/>
            </w:tcBorders>
          </w:tcPr>
          <w:p w14:paraId="46A82CD0" w14:textId="31CEE657" w:rsidR="008206C3" w:rsidRPr="00C4131E" w:rsidRDefault="008206C3" w:rsidP="004E2D5B">
            <w:pPr>
              <w:pStyle w:val="Response"/>
              <w:spacing w:before="0" w:after="0"/>
              <w:ind w:left="0"/>
            </w:pPr>
            <w:r w:rsidRPr="00727727">
              <w:rPr>
                <w:rFonts w:cstheme="minorHAnsi"/>
                <w:bCs/>
              </w:rPr>
              <w:t>Evidence from at least one properly randomized, controlled trial.</w:t>
            </w:r>
          </w:p>
        </w:tc>
      </w:tr>
      <w:tr w:rsidR="008206C3" w:rsidRPr="00C4131E" w14:paraId="65D2D2FB" w14:textId="77777777" w:rsidTr="00B04B57">
        <w:trPr>
          <w:cantSplit/>
          <w:trHeight w:val="272"/>
          <w:tblHeader/>
        </w:trPr>
        <w:tc>
          <w:tcPr>
            <w:tcW w:w="4130" w:type="dxa"/>
            <w:tcBorders>
              <w:bottom w:val="nil"/>
            </w:tcBorders>
          </w:tcPr>
          <w:p w14:paraId="78F16300" w14:textId="77777777" w:rsidR="008206C3" w:rsidRPr="00C4131E" w:rsidRDefault="008206C3" w:rsidP="004E2D5B">
            <w:pPr>
              <w:pStyle w:val="Response"/>
              <w:spacing w:before="0" w:after="0"/>
              <w:ind w:left="0"/>
            </w:pPr>
            <w:r>
              <w:t>II</w:t>
            </w:r>
            <w:r w:rsidRPr="00C4131E">
              <w:t xml:space="preserve"> </w:t>
            </w:r>
          </w:p>
        </w:tc>
        <w:tc>
          <w:tcPr>
            <w:tcW w:w="4826" w:type="dxa"/>
            <w:tcBorders>
              <w:bottom w:val="nil"/>
            </w:tcBorders>
          </w:tcPr>
          <w:p w14:paraId="5F6FF9E6" w14:textId="54628869" w:rsidR="008206C3" w:rsidRPr="00C4131E" w:rsidRDefault="008206C3" w:rsidP="004E2D5B">
            <w:pPr>
              <w:pStyle w:val="Response"/>
              <w:spacing w:before="0" w:after="0"/>
              <w:ind w:left="0"/>
            </w:pPr>
            <w:r w:rsidRPr="00727727">
              <w:rPr>
                <w:rFonts w:cstheme="minorHAnsi"/>
                <w:bCs/>
              </w:rPr>
              <w:t>Evidence from at least one well-designed clinical trial without</w:t>
            </w:r>
            <w:r>
              <w:rPr>
                <w:rFonts w:cstheme="minorHAnsi"/>
                <w:bCs/>
              </w:rPr>
              <w:t xml:space="preserve"> </w:t>
            </w:r>
            <w:r w:rsidRPr="00727727">
              <w:rPr>
                <w:rFonts w:cstheme="minorHAnsi"/>
                <w:bCs/>
              </w:rPr>
              <w:t>randomization, from cohort or case-controlled analytic studies</w:t>
            </w:r>
            <w:r>
              <w:rPr>
                <w:rFonts w:cstheme="minorHAnsi"/>
                <w:bCs/>
              </w:rPr>
              <w:t xml:space="preserve"> </w:t>
            </w:r>
            <w:r w:rsidRPr="00727727">
              <w:rPr>
                <w:rFonts w:cstheme="minorHAnsi"/>
                <w:bCs/>
              </w:rPr>
              <w:t>(preferably from more than one center), from multiple time-series</w:t>
            </w:r>
            <w:r>
              <w:rPr>
                <w:rFonts w:cstheme="minorHAnsi"/>
                <w:bCs/>
              </w:rPr>
              <w:t xml:space="preserve"> </w:t>
            </w:r>
            <w:r w:rsidRPr="00727727">
              <w:rPr>
                <w:rFonts w:cstheme="minorHAnsi"/>
                <w:bCs/>
              </w:rPr>
              <w:t>studies, or from dramatic results in uncontrolled experiments.</w:t>
            </w:r>
          </w:p>
        </w:tc>
      </w:tr>
      <w:tr w:rsidR="008206C3" w:rsidRPr="00C4131E" w14:paraId="699DA5A3" w14:textId="77777777" w:rsidTr="00B04B57">
        <w:trPr>
          <w:cantSplit/>
          <w:trHeight w:val="272"/>
          <w:tblHeader/>
        </w:trPr>
        <w:tc>
          <w:tcPr>
            <w:tcW w:w="4130" w:type="dxa"/>
            <w:tcBorders>
              <w:top w:val="nil"/>
              <w:bottom w:val="single" w:sz="12" w:space="0" w:color="7030A0"/>
            </w:tcBorders>
          </w:tcPr>
          <w:p w14:paraId="63F4CCA2" w14:textId="77777777" w:rsidR="008206C3" w:rsidRPr="00C4131E" w:rsidRDefault="008206C3" w:rsidP="004E2D5B">
            <w:pPr>
              <w:pStyle w:val="Response"/>
              <w:spacing w:before="0" w:after="0"/>
              <w:ind w:left="0"/>
            </w:pPr>
            <w:r>
              <w:t>III</w:t>
            </w:r>
          </w:p>
        </w:tc>
        <w:tc>
          <w:tcPr>
            <w:tcW w:w="4826" w:type="dxa"/>
            <w:tcBorders>
              <w:top w:val="nil"/>
              <w:bottom w:val="single" w:sz="12" w:space="0" w:color="7030A0"/>
            </w:tcBorders>
          </w:tcPr>
          <w:p w14:paraId="415B60CE" w14:textId="4AF5C2FA" w:rsidR="008206C3" w:rsidRPr="00C4131E" w:rsidRDefault="008206C3" w:rsidP="004E2D5B">
            <w:pPr>
              <w:pStyle w:val="Response"/>
              <w:spacing w:before="0" w:after="0"/>
              <w:ind w:left="0"/>
            </w:pPr>
            <w:r w:rsidRPr="00727727">
              <w:rPr>
                <w:rFonts w:cstheme="minorHAnsi"/>
                <w:bCs/>
              </w:rPr>
              <w:t>Evidence from opinions of respected authorities, based on clinical</w:t>
            </w:r>
            <w:r>
              <w:rPr>
                <w:rFonts w:cstheme="minorHAnsi"/>
                <w:bCs/>
              </w:rPr>
              <w:t xml:space="preserve"> </w:t>
            </w:r>
            <w:r w:rsidRPr="00727727">
              <w:rPr>
                <w:rFonts w:cstheme="minorHAnsi"/>
                <w:bCs/>
              </w:rPr>
              <w:t>experience, descriptive studies, or reports of expert committees.</w:t>
            </w:r>
          </w:p>
        </w:tc>
      </w:tr>
    </w:tbl>
    <w:p w14:paraId="5B81EEEF" w14:textId="77777777" w:rsidR="00543DA5" w:rsidRDefault="00543DA5" w:rsidP="002E2177">
      <w:pPr>
        <w:ind w:left="0" w:firstLine="0"/>
        <w:rPr>
          <w:b/>
          <w:iCs/>
          <w:caps/>
        </w:rPr>
      </w:pPr>
    </w:p>
    <w:p w14:paraId="55B8DA95" w14:textId="7A9905D6" w:rsidR="0094689F" w:rsidRPr="003B1CC5" w:rsidRDefault="00925F11" w:rsidP="002E2177">
      <w:pPr>
        <w:ind w:left="0" w:firstLine="0"/>
        <w:rPr>
          <w:b/>
          <w:color w:val="0070C0"/>
        </w:rPr>
      </w:pPr>
      <w:r w:rsidRPr="003B1CC5">
        <w:rPr>
          <w:b/>
          <w:iCs/>
          <w:caps/>
        </w:rPr>
        <w:t>________________________</w:t>
      </w:r>
    </w:p>
    <w:p w14:paraId="55B8DA96" w14:textId="54FB85CA" w:rsidR="00837121" w:rsidRPr="0021491C" w:rsidRDefault="000E5C93" w:rsidP="00797A43">
      <w:pPr>
        <w:ind w:left="547" w:hanging="547"/>
        <w:rPr>
          <w:b/>
        </w:rPr>
      </w:pPr>
      <w:bookmarkStart w:id="10" w:name="Section1a8"/>
      <w:bookmarkEnd w:id="10"/>
      <w:r w:rsidRPr="0021491C">
        <w:rPr>
          <w:b/>
        </w:rPr>
        <w:t>1a.4</w:t>
      </w:r>
      <w:r w:rsidR="00797A43" w:rsidRPr="0021491C">
        <w:rPr>
          <w:b/>
        </w:rPr>
        <w:tab/>
      </w:r>
      <w:r w:rsidR="00837121" w:rsidRPr="0021491C">
        <w:rPr>
          <w:b/>
        </w:rPr>
        <w:t>OTHER SOURCE OF EVIDENCE</w:t>
      </w:r>
    </w:p>
    <w:p w14:paraId="55B8DA97" w14:textId="77777777" w:rsidR="00837121" w:rsidRPr="0021491C" w:rsidRDefault="00837121" w:rsidP="002E2177">
      <w:pPr>
        <w:ind w:left="0" w:firstLine="0"/>
        <w:rPr>
          <w:i/>
        </w:rPr>
      </w:pPr>
      <w:r w:rsidRPr="0021491C">
        <w:rPr>
          <w:i/>
        </w:rPr>
        <w:t xml:space="preserve">If source of evidence is </w:t>
      </w:r>
      <w:r w:rsidR="002B06BD" w:rsidRPr="0021491C">
        <w:rPr>
          <w:i/>
        </w:rPr>
        <w:t xml:space="preserve">NOT </w:t>
      </w:r>
      <w:r w:rsidRPr="0021491C">
        <w:rPr>
          <w:i/>
        </w:rPr>
        <w:t xml:space="preserve">from a clinical practice guideline, USPSTF, or systematic review, please describe the evidence on which you are basing </w:t>
      </w:r>
      <w:r w:rsidR="00EE1F87" w:rsidRPr="0021491C">
        <w:rPr>
          <w:i/>
        </w:rPr>
        <w:t xml:space="preserve">the </w:t>
      </w:r>
      <w:r w:rsidRPr="0021491C">
        <w:rPr>
          <w:i/>
        </w:rPr>
        <w:t>performance measure.</w:t>
      </w:r>
    </w:p>
    <w:p w14:paraId="55B8DA98" w14:textId="77777777" w:rsidR="00837121" w:rsidRPr="0021491C" w:rsidRDefault="00837121" w:rsidP="002E2177">
      <w:pPr>
        <w:ind w:left="0" w:firstLine="0"/>
      </w:pPr>
    </w:p>
    <w:p w14:paraId="55B8DA99" w14:textId="04C79BE4" w:rsidR="000E5C93" w:rsidRDefault="000E5C93" w:rsidP="00797A43">
      <w:pPr>
        <w:ind w:left="630" w:hanging="630"/>
      </w:pPr>
      <w:r w:rsidRPr="0021491C">
        <w:rPr>
          <w:b/>
        </w:rPr>
        <w:t>1a.4</w:t>
      </w:r>
      <w:r w:rsidR="00837121" w:rsidRPr="0021491C">
        <w:rPr>
          <w:b/>
        </w:rPr>
        <w:t>.1</w:t>
      </w:r>
      <w:r w:rsidR="00797A43" w:rsidRPr="0021491C">
        <w:rPr>
          <w:b/>
        </w:rPr>
        <w:tab/>
      </w:r>
      <w:proofErr w:type="gramStart"/>
      <w:r w:rsidRPr="0021491C">
        <w:rPr>
          <w:b/>
        </w:rPr>
        <w:t>Briefly</w:t>
      </w:r>
      <w:proofErr w:type="gramEnd"/>
      <w:r w:rsidRPr="0021491C">
        <w:rPr>
          <w:b/>
        </w:rPr>
        <w:t xml:space="preserve"> </w:t>
      </w:r>
      <w:r w:rsidR="00E42FAA" w:rsidRPr="0021491C">
        <w:rPr>
          <w:b/>
        </w:rPr>
        <w:t xml:space="preserve">SYNTHESIZE </w:t>
      </w:r>
      <w:r w:rsidRPr="0021491C">
        <w:rPr>
          <w:b/>
        </w:rPr>
        <w:t xml:space="preserve">the evidence that supports the measure. </w:t>
      </w:r>
      <w:r w:rsidRPr="0021491C">
        <w:t>A list of references without a summary is not acceptable.</w:t>
      </w:r>
    </w:p>
    <w:p w14:paraId="78B432B2" w14:textId="08BD182D" w:rsidR="00F07701" w:rsidRPr="0021491C" w:rsidRDefault="00F07701" w:rsidP="00797A43">
      <w:pPr>
        <w:ind w:left="630" w:hanging="630"/>
      </w:pPr>
      <w:r w:rsidRPr="004E1764">
        <w:rPr>
          <w:color w:val="7030A0"/>
        </w:rPr>
        <w:t>This is not applicable.</w:t>
      </w:r>
    </w:p>
    <w:p w14:paraId="55B8DA9A" w14:textId="77777777" w:rsidR="000E5C93" w:rsidRPr="0021491C" w:rsidRDefault="000E5C93" w:rsidP="00797A43">
      <w:pPr>
        <w:ind w:left="630" w:hanging="630"/>
        <w:rPr>
          <w:b/>
        </w:rPr>
      </w:pPr>
    </w:p>
    <w:p w14:paraId="55B8DA9B" w14:textId="35938EE4" w:rsidR="00837121" w:rsidRDefault="000E5C93" w:rsidP="00797A43">
      <w:pPr>
        <w:ind w:left="630" w:hanging="630"/>
        <w:rPr>
          <w:b/>
        </w:rPr>
      </w:pPr>
      <w:r w:rsidRPr="0021491C">
        <w:rPr>
          <w:b/>
        </w:rPr>
        <w:t>1a.4.2</w:t>
      </w:r>
      <w:r w:rsidR="00797A43" w:rsidRPr="0021491C">
        <w:rPr>
          <w:b/>
        </w:rPr>
        <w:tab/>
      </w:r>
      <w:proofErr w:type="gramStart"/>
      <w:r w:rsidR="00837121" w:rsidRPr="0021491C">
        <w:rPr>
          <w:b/>
        </w:rPr>
        <w:t>What</w:t>
      </w:r>
      <w:proofErr w:type="gramEnd"/>
      <w:r w:rsidR="00837121" w:rsidRPr="0021491C">
        <w:rPr>
          <w:b/>
        </w:rPr>
        <w:t xml:space="preserve"> process was used to identify the evidence?</w:t>
      </w:r>
    </w:p>
    <w:p w14:paraId="78DD8456" w14:textId="3BEF9F5D" w:rsidR="00F07701" w:rsidRPr="0021491C" w:rsidRDefault="00F07701" w:rsidP="00F07701">
      <w:pPr>
        <w:ind w:left="630" w:hanging="630"/>
      </w:pPr>
      <w:r w:rsidRPr="004E1764">
        <w:rPr>
          <w:color w:val="7030A0"/>
        </w:rPr>
        <w:t>This is not applicable.</w:t>
      </w:r>
    </w:p>
    <w:p w14:paraId="55B8DA9C" w14:textId="77777777" w:rsidR="00837121" w:rsidRPr="0021491C" w:rsidRDefault="00837121" w:rsidP="00797A43">
      <w:pPr>
        <w:ind w:left="630" w:hanging="630"/>
      </w:pPr>
    </w:p>
    <w:p w14:paraId="55B8DA9D" w14:textId="52E1069D" w:rsidR="00837121" w:rsidRDefault="000E5C93" w:rsidP="00797A43">
      <w:pPr>
        <w:ind w:left="630" w:hanging="630"/>
        <w:rPr>
          <w:b/>
        </w:rPr>
      </w:pPr>
      <w:r w:rsidRPr="0021491C">
        <w:rPr>
          <w:b/>
        </w:rPr>
        <w:t>1a.4.3</w:t>
      </w:r>
      <w:r w:rsidR="00837121" w:rsidRPr="0021491C">
        <w:rPr>
          <w:b/>
        </w:rPr>
        <w:t>.</w:t>
      </w:r>
      <w:r w:rsidR="00797A43" w:rsidRPr="0021491C">
        <w:rPr>
          <w:b/>
        </w:rPr>
        <w:tab/>
      </w:r>
      <w:r w:rsidR="006C7F30" w:rsidRPr="0021491C">
        <w:rPr>
          <w:b/>
        </w:rPr>
        <w:t xml:space="preserve">Provide </w:t>
      </w:r>
      <w:r w:rsidR="006C7F30" w:rsidRPr="003B1CC5">
        <w:rPr>
          <w:b/>
        </w:rPr>
        <w:t>the citation</w:t>
      </w:r>
      <w:r>
        <w:rPr>
          <w:b/>
        </w:rPr>
        <w:t>(s)</w:t>
      </w:r>
      <w:r w:rsidR="009E6B86" w:rsidRPr="003B1CC5">
        <w:rPr>
          <w:b/>
        </w:rPr>
        <w:t xml:space="preserve"> </w:t>
      </w:r>
      <w:r>
        <w:rPr>
          <w:b/>
        </w:rPr>
        <w:t>for the</w:t>
      </w:r>
      <w:r w:rsidR="006C7F30" w:rsidRPr="003B1CC5">
        <w:rPr>
          <w:b/>
        </w:rPr>
        <w:t xml:space="preserve"> evidence.</w:t>
      </w:r>
    </w:p>
    <w:p w14:paraId="43567217" w14:textId="77777777" w:rsidR="00F07701" w:rsidRPr="0021491C" w:rsidRDefault="00F07701" w:rsidP="00F07701">
      <w:pPr>
        <w:ind w:left="630" w:hanging="630"/>
      </w:pPr>
      <w:r w:rsidRPr="004E1764">
        <w:rPr>
          <w:color w:val="7030A0"/>
        </w:rPr>
        <w:t>This is not applicable.</w:t>
      </w:r>
    </w:p>
    <w:p w14:paraId="1DC79279" w14:textId="77777777" w:rsidR="00F07701" w:rsidRPr="001B772D" w:rsidRDefault="00F07701" w:rsidP="00797A43">
      <w:pPr>
        <w:ind w:left="630" w:hanging="630"/>
      </w:pPr>
    </w:p>
    <w:sectPr w:rsidR="00F07701" w:rsidRPr="001B772D" w:rsidSect="0045708D">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FC558F" w14:textId="77777777" w:rsidR="00837A6B" w:rsidRDefault="00837A6B" w:rsidP="007E37A5">
      <w:r>
        <w:separator/>
      </w:r>
    </w:p>
  </w:endnote>
  <w:endnote w:type="continuationSeparator" w:id="0">
    <w:p w14:paraId="4991EACF" w14:textId="77777777" w:rsidR="00837A6B" w:rsidRDefault="00837A6B" w:rsidP="007E37A5">
      <w:r>
        <w:continuationSeparator/>
      </w:r>
    </w:p>
  </w:endnote>
  <w:endnote w:type="continuationNotice" w:id="1">
    <w:p w14:paraId="0E0F6977" w14:textId="77777777" w:rsidR="00837A6B" w:rsidRDefault="00837A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Futura Std">
    <w:altName w:val="Century Gothic"/>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Mangal">
    <w:altName w:val="Courier New"/>
    <w:panose1 w:val="00000400000000000000"/>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DAA3" w14:textId="76F134EC" w:rsidR="001639B3" w:rsidRDefault="001639B3" w:rsidP="00FB4D30">
    <w:pPr>
      <w:pStyle w:val="Footer"/>
      <w:ind w:left="0" w:firstLine="0"/>
    </w:pP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044CD8">
      <w:rPr>
        <w:noProof/>
      </w:rPr>
      <w:t>4</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E4E9D8" w14:textId="77777777" w:rsidR="00837A6B" w:rsidRDefault="00837A6B" w:rsidP="007E37A5">
      <w:r>
        <w:separator/>
      </w:r>
    </w:p>
  </w:footnote>
  <w:footnote w:type="continuationSeparator" w:id="0">
    <w:p w14:paraId="5A933D02" w14:textId="77777777" w:rsidR="00837A6B" w:rsidRDefault="00837A6B" w:rsidP="007E37A5">
      <w:r>
        <w:continuationSeparator/>
      </w:r>
    </w:p>
  </w:footnote>
  <w:footnote w:type="continuationNotice" w:id="1">
    <w:p w14:paraId="3AF713E5" w14:textId="77777777" w:rsidR="00837A6B" w:rsidRDefault="00837A6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DAA2" w14:textId="77777777" w:rsidR="001639B3" w:rsidRDefault="001639B3"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02926"/>
    <w:multiLevelType w:val="hybridMultilevel"/>
    <w:tmpl w:val="6F36C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CD5716"/>
    <w:multiLevelType w:val="hybridMultilevel"/>
    <w:tmpl w:val="68260DD4"/>
    <w:lvl w:ilvl="0" w:tplc="5D6449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B3E0E"/>
    <w:multiLevelType w:val="hybridMultilevel"/>
    <w:tmpl w:val="C5BC5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A93301"/>
    <w:multiLevelType w:val="hybridMultilevel"/>
    <w:tmpl w:val="62D4F21C"/>
    <w:lvl w:ilvl="0" w:tplc="A4468A58">
      <w:start w:val="1"/>
      <w:numFmt w:val="decimal"/>
      <w:lvlText w:val="%1."/>
      <w:lvlJc w:val="left"/>
      <w:pPr>
        <w:ind w:left="1152" w:hanging="360"/>
      </w:pPr>
      <w:rPr>
        <w:sz w:val="22"/>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 w15:restartNumberingAfterBreak="0">
    <w:nsid w:val="07737E17"/>
    <w:multiLevelType w:val="hybridMultilevel"/>
    <w:tmpl w:val="1A20BC0A"/>
    <w:lvl w:ilvl="0" w:tplc="6EBA731C">
      <w:start w:val="1"/>
      <w:numFmt w:val="bullet"/>
      <w:lvlText w:val="•"/>
      <w:lvlJc w:val="left"/>
      <w:pPr>
        <w:tabs>
          <w:tab w:val="num" w:pos="720"/>
        </w:tabs>
        <w:ind w:left="720" w:hanging="360"/>
      </w:pPr>
      <w:rPr>
        <w:rFonts w:ascii="Times New Roman" w:hAnsi="Times New Roman" w:hint="default"/>
      </w:rPr>
    </w:lvl>
    <w:lvl w:ilvl="1" w:tplc="597C7EE8">
      <w:start w:val="82"/>
      <w:numFmt w:val="bullet"/>
      <w:lvlText w:val="•"/>
      <w:lvlJc w:val="left"/>
      <w:pPr>
        <w:tabs>
          <w:tab w:val="num" w:pos="1440"/>
        </w:tabs>
        <w:ind w:left="1440" w:hanging="360"/>
      </w:pPr>
      <w:rPr>
        <w:rFonts w:ascii="Times New Roman" w:hAnsi="Times New Roman" w:hint="default"/>
      </w:rPr>
    </w:lvl>
    <w:lvl w:ilvl="2" w:tplc="24620E1E" w:tentative="1">
      <w:start w:val="1"/>
      <w:numFmt w:val="bullet"/>
      <w:lvlText w:val="•"/>
      <w:lvlJc w:val="left"/>
      <w:pPr>
        <w:tabs>
          <w:tab w:val="num" w:pos="2160"/>
        </w:tabs>
        <w:ind w:left="2160" w:hanging="360"/>
      </w:pPr>
      <w:rPr>
        <w:rFonts w:ascii="Times New Roman" w:hAnsi="Times New Roman" w:hint="default"/>
      </w:rPr>
    </w:lvl>
    <w:lvl w:ilvl="3" w:tplc="F44E1CCC" w:tentative="1">
      <w:start w:val="1"/>
      <w:numFmt w:val="bullet"/>
      <w:lvlText w:val="•"/>
      <w:lvlJc w:val="left"/>
      <w:pPr>
        <w:tabs>
          <w:tab w:val="num" w:pos="2880"/>
        </w:tabs>
        <w:ind w:left="2880" w:hanging="360"/>
      </w:pPr>
      <w:rPr>
        <w:rFonts w:ascii="Times New Roman" w:hAnsi="Times New Roman" w:hint="default"/>
      </w:rPr>
    </w:lvl>
    <w:lvl w:ilvl="4" w:tplc="360CBA38" w:tentative="1">
      <w:start w:val="1"/>
      <w:numFmt w:val="bullet"/>
      <w:lvlText w:val="•"/>
      <w:lvlJc w:val="left"/>
      <w:pPr>
        <w:tabs>
          <w:tab w:val="num" w:pos="3600"/>
        </w:tabs>
        <w:ind w:left="3600" w:hanging="360"/>
      </w:pPr>
      <w:rPr>
        <w:rFonts w:ascii="Times New Roman" w:hAnsi="Times New Roman" w:hint="default"/>
      </w:rPr>
    </w:lvl>
    <w:lvl w:ilvl="5" w:tplc="A4F27AFE" w:tentative="1">
      <w:start w:val="1"/>
      <w:numFmt w:val="bullet"/>
      <w:lvlText w:val="•"/>
      <w:lvlJc w:val="left"/>
      <w:pPr>
        <w:tabs>
          <w:tab w:val="num" w:pos="4320"/>
        </w:tabs>
        <w:ind w:left="4320" w:hanging="360"/>
      </w:pPr>
      <w:rPr>
        <w:rFonts w:ascii="Times New Roman" w:hAnsi="Times New Roman" w:hint="default"/>
      </w:rPr>
    </w:lvl>
    <w:lvl w:ilvl="6" w:tplc="CAF830BE" w:tentative="1">
      <w:start w:val="1"/>
      <w:numFmt w:val="bullet"/>
      <w:lvlText w:val="•"/>
      <w:lvlJc w:val="left"/>
      <w:pPr>
        <w:tabs>
          <w:tab w:val="num" w:pos="5040"/>
        </w:tabs>
        <w:ind w:left="5040" w:hanging="360"/>
      </w:pPr>
      <w:rPr>
        <w:rFonts w:ascii="Times New Roman" w:hAnsi="Times New Roman" w:hint="default"/>
      </w:rPr>
    </w:lvl>
    <w:lvl w:ilvl="7" w:tplc="4BA67448" w:tentative="1">
      <w:start w:val="1"/>
      <w:numFmt w:val="bullet"/>
      <w:lvlText w:val="•"/>
      <w:lvlJc w:val="left"/>
      <w:pPr>
        <w:tabs>
          <w:tab w:val="num" w:pos="5760"/>
        </w:tabs>
        <w:ind w:left="5760" w:hanging="360"/>
      </w:pPr>
      <w:rPr>
        <w:rFonts w:ascii="Times New Roman" w:hAnsi="Times New Roman" w:hint="default"/>
      </w:rPr>
    </w:lvl>
    <w:lvl w:ilvl="8" w:tplc="81ECAA2A"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088B7C8B"/>
    <w:multiLevelType w:val="hybridMultilevel"/>
    <w:tmpl w:val="484A9C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E22B88"/>
    <w:multiLevelType w:val="hybridMultilevel"/>
    <w:tmpl w:val="99FCF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DD61BE"/>
    <w:multiLevelType w:val="hybridMultilevel"/>
    <w:tmpl w:val="2798733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2FB1EFE"/>
    <w:multiLevelType w:val="hybridMultilevel"/>
    <w:tmpl w:val="53462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4CE5320"/>
    <w:multiLevelType w:val="hybridMultilevel"/>
    <w:tmpl w:val="030AEBCC"/>
    <w:lvl w:ilvl="0" w:tplc="9F006B14">
      <w:start w:val="1"/>
      <w:numFmt w:val="decimal"/>
      <w:lvlText w:val="%1."/>
      <w:lvlJc w:val="left"/>
      <w:pPr>
        <w:ind w:left="1224" w:hanging="360"/>
      </w:pPr>
      <w:rPr>
        <w:rFonts w:hint="default"/>
        <w:b w:val="0"/>
        <w:bCs/>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6" w15:restartNumberingAfterBreak="0">
    <w:nsid w:val="450170D4"/>
    <w:multiLevelType w:val="hybridMultilevel"/>
    <w:tmpl w:val="36E8DE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68C1FE1"/>
    <w:multiLevelType w:val="hybridMultilevel"/>
    <w:tmpl w:val="88EE82F8"/>
    <w:lvl w:ilvl="0" w:tplc="DDC45EF0">
      <w:start w:val="1"/>
      <w:numFmt w:val="bullet"/>
      <w:lvlText w:val="•"/>
      <w:lvlJc w:val="left"/>
      <w:pPr>
        <w:tabs>
          <w:tab w:val="num" w:pos="720"/>
        </w:tabs>
        <w:ind w:left="720" w:hanging="360"/>
      </w:pPr>
      <w:rPr>
        <w:rFonts w:ascii="Times New Roman" w:hAnsi="Times New Roman" w:hint="default"/>
      </w:rPr>
    </w:lvl>
    <w:lvl w:ilvl="1" w:tplc="93640F08" w:tentative="1">
      <w:start w:val="1"/>
      <w:numFmt w:val="bullet"/>
      <w:lvlText w:val="•"/>
      <w:lvlJc w:val="left"/>
      <w:pPr>
        <w:tabs>
          <w:tab w:val="num" w:pos="1440"/>
        </w:tabs>
        <w:ind w:left="1440" w:hanging="360"/>
      </w:pPr>
      <w:rPr>
        <w:rFonts w:ascii="Times New Roman" w:hAnsi="Times New Roman" w:hint="default"/>
      </w:rPr>
    </w:lvl>
    <w:lvl w:ilvl="2" w:tplc="E97CE54C" w:tentative="1">
      <w:start w:val="1"/>
      <w:numFmt w:val="bullet"/>
      <w:lvlText w:val="•"/>
      <w:lvlJc w:val="left"/>
      <w:pPr>
        <w:tabs>
          <w:tab w:val="num" w:pos="2160"/>
        </w:tabs>
        <w:ind w:left="2160" w:hanging="360"/>
      </w:pPr>
      <w:rPr>
        <w:rFonts w:ascii="Times New Roman" w:hAnsi="Times New Roman" w:hint="default"/>
      </w:rPr>
    </w:lvl>
    <w:lvl w:ilvl="3" w:tplc="3502DA98" w:tentative="1">
      <w:start w:val="1"/>
      <w:numFmt w:val="bullet"/>
      <w:lvlText w:val="•"/>
      <w:lvlJc w:val="left"/>
      <w:pPr>
        <w:tabs>
          <w:tab w:val="num" w:pos="2880"/>
        </w:tabs>
        <w:ind w:left="2880" w:hanging="360"/>
      </w:pPr>
      <w:rPr>
        <w:rFonts w:ascii="Times New Roman" w:hAnsi="Times New Roman" w:hint="default"/>
      </w:rPr>
    </w:lvl>
    <w:lvl w:ilvl="4" w:tplc="B2667E9A" w:tentative="1">
      <w:start w:val="1"/>
      <w:numFmt w:val="bullet"/>
      <w:lvlText w:val="•"/>
      <w:lvlJc w:val="left"/>
      <w:pPr>
        <w:tabs>
          <w:tab w:val="num" w:pos="3600"/>
        </w:tabs>
        <w:ind w:left="3600" w:hanging="360"/>
      </w:pPr>
      <w:rPr>
        <w:rFonts w:ascii="Times New Roman" w:hAnsi="Times New Roman" w:hint="default"/>
      </w:rPr>
    </w:lvl>
    <w:lvl w:ilvl="5" w:tplc="3B884D60" w:tentative="1">
      <w:start w:val="1"/>
      <w:numFmt w:val="bullet"/>
      <w:lvlText w:val="•"/>
      <w:lvlJc w:val="left"/>
      <w:pPr>
        <w:tabs>
          <w:tab w:val="num" w:pos="4320"/>
        </w:tabs>
        <w:ind w:left="4320" w:hanging="360"/>
      </w:pPr>
      <w:rPr>
        <w:rFonts w:ascii="Times New Roman" w:hAnsi="Times New Roman" w:hint="default"/>
      </w:rPr>
    </w:lvl>
    <w:lvl w:ilvl="6" w:tplc="F2262DA6" w:tentative="1">
      <w:start w:val="1"/>
      <w:numFmt w:val="bullet"/>
      <w:lvlText w:val="•"/>
      <w:lvlJc w:val="left"/>
      <w:pPr>
        <w:tabs>
          <w:tab w:val="num" w:pos="5040"/>
        </w:tabs>
        <w:ind w:left="5040" w:hanging="360"/>
      </w:pPr>
      <w:rPr>
        <w:rFonts w:ascii="Times New Roman" w:hAnsi="Times New Roman" w:hint="default"/>
      </w:rPr>
    </w:lvl>
    <w:lvl w:ilvl="7" w:tplc="8FC063A6" w:tentative="1">
      <w:start w:val="1"/>
      <w:numFmt w:val="bullet"/>
      <w:lvlText w:val="•"/>
      <w:lvlJc w:val="left"/>
      <w:pPr>
        <w:tabs>
          <w:tab w:val="num" w:pos="5760"/>
        </w:tabs>
        <w:ind w:left="5760" w:hanging="360"/>
      </w:pPr>
      <w:rPr>
        <w:rFonts w:ascii="Times New Roman" w:hAnsi="Times New Roman" w:hint="default"/>
      </w:rPr>
    </w:lvl>
    <w:lvl w:ilvl="8" w:tplc="4FC0DE0E"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122460C"/>
    <w:multiLevelType w:val="hybridMultilevel"/>
    <w:tmpl w:val="FFB218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386763F"/>
    <w:multiLevelType w:val="hybridMultilevel"/>
    <w:tmpl w:val="23FA88CC"/>
    <w:lvl w:ilvl="0" w:tplc="6BF6449E">
      <w:start w:val="1"/>
      <w:numFmt w:val="bullet"/>
      <w:lvlText w:val="•"/>
      <w:lvlJc w:val="left"/>
      <w:pPr>
        <w:tabs>
          <w:tab w:val="num" w:pos="720"/>
        </w:tabs>
        <w:ind w:left="720" w:hanging="360"/>
      </w:pPr>
      <w:rPr>
        <w:rFonts w:ascii="Times New Roman" w:hAnsi="Times New Roman" w:hint="default"/>
      </w:rPr>
    </w:lvl>
    <w:lvl w:ilvl="1" w:tplc="BC244312" w:tentative="1">
      <w:start w:val="1"/>
      <w:numFmt w:val="bullet"/>
      <w:lvlText w:val="•"/>
      <w:lvlJc w:val="left"/>
      <w:pPr>
        <w:tabs>
          <w:tab w:val="num" w:pos="1440"/>
        </w:tabs>
        <w:ind w:left="1440" w:hanging="360"/>
      </w:pPr>
      <w:rPr>
        <w:rFonts w:ascii="Times New Roman" w:hAnsi="Times New Roman" w:hint="default"/>
      </w:rPr>
    </w:lvl>
    <w:lvl w:ilvl="2" w:tplc="66343C22" w:tentative="1">
      <w:start w:val="1"/>
      <w:numFmt w:val="bullet"/>
      <w:lvlText w:val="•"/>
      <w:lvlJc w:val="left"/>
      <w:pPr>
        <w:tabs>
          <w:tab w:val="num" w:pos="2160"/>
        </w:tabs>
        <w:ind w:left="2160" w:hanging="360"/>
      </w:pPr>
      <w:rPr>
        <w:rFonts w:ascii="Times New Roman" w:hAnsi="Times New Roman" w:hint="default"/>
      </w:rPr>
    </w:lvl>
    <w:lvl w:ilvl="3" w:tplc="50E23E18" w:tentative="1">
      <w:start w:val="1"/>
      <w:numFmt w:val="bullet"/>
      <w:lvlText w:val="•"/>
      <w:lvlJc w:val="left"/>
      <w:pPr>
        <w:tabs>
          <w:tab w:val="num" w:pos="2880"/>
        </w:tabs>
        <w:ind w:left="2880" w:hanging="360"/>
      </w:pPr>
      <w:rPr>
        <w:rFonts w:ascii="Times New Roman" w:hAnsi="Times New Roman" w:hint="default"/>
      </w:rPr>
    </w:lvl>
    <w:lvl w:ilvl="4" w:tplc="7334ECE0" w:tentative="1">
      <w:start w:val="1"/>
      <w:numFmt w:val="bullet"/>
      <w:lvlText w:val="•"/>
      <w:lvlJc w:val="left"/>
      <w:pPr>
        <w:tabs>
          <w:tab w:val="num" w:pos="3600"/>
        </w:tabs>
        <w:ind w:left="3600" w:hanging="360"/>
      </w:pPr>
      <w:rPr>
        <w:rFonts w:ascii="Times New Roman" w:hAnsi="Times New Roman" w:hint="default"/>
      </w:rPr>
    </w:lvl>
    <w:lvl w:ilvl="5" w:tplc="F77C127A" w:tentative="1">
      <w:start w:val="1"/>
      <w:numFmt w:val="bullet"/>
      <w:lvlText w:val="•"/>
      <w:lvlJc w:val="left"/>
      <w:pPr>
        <w:tabs>
          <w:tab w:val="num" w:pos="4320"/>
        </w:tabs>
        <w:ind w:left="4320" w:hanging="360"/>
      </w:pPr>
      <w:rPr>
        <w:rFonts w:ascii="Times New Roman" w:hAnsi="Times New Roman" w:hint="default"/>
      </w:rPr>
    </w:lvl>
    <w:lvl w:ilvl="6" w:tplc="572EDD34" w:tentative="1">
      <w:start w:val="1"/>
      <w:numFmt w:val="bullet"/>
      <w:lvlText w:val="•"/>
      <w:lvlJc w:val="left"/>
      <w:pPr>
        <w:tabs>
          <w:tab w:val="num" w:pos="5040"/>
        </w:tabs>
        <w:ind w:left="5040" w:hanging="360"/>
      </w:pPr>
      <w:rPr>
        <w:rFonts w:ascii="Times New Roman" w:hAnsi="Times New Roman" w:hint="default"/>
      </w:rPr>
    </w:lvl>
    <w:lvl w:ilvl="7" w:tplc="BA9A1488" w:tentative="1">
      <w:start w:val="1"/>
      <w:numFmt w:val="bullet"/>
      <w:lvlText w:val="•"/>
      <w:lvlJc w:val="left"/>
      <w:pPr>
        <w:tabs>
          <w:tab w:val="num" w:pos="5760"/>
        </w:tabs>
        <w:ind w:left="5760" w:hanging="360"/>
      </w:pPr>
      <w:rPr>
        <w:rFonts w:ascii="Times New Roman" w:hAnsi="Times New Roman" w:hint="default"/>
      </w:rPr>
    </w:lvl>
    <w:lvl w:ilvl="8" w:tplc="E2DEF4B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5A926AFF"/>
    <w:multiLevelType w:val="hybridMultilevel"/>
    <w:tmpl w:val="BA34CF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2BE564E"/>
    <w:multiLevelType w:val="hybridMultilevel"/>
    <w:tmpl w:val="4954A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8F2E30"/>
    <w:multiLevelType w:val="hybridMultilevel"/>
    <w:tmpl w:val="6276C9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58B589F"/>
    <w:multiLevelType w:val="hybridMultilevel"/>
    <w:tmpl w:val="AF90C7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7270B00"/>
    <w:multiLevelType w:val="hybridMultilevel"/>
    <w:tmpl w:val="7B446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F445054"/>
    <w:multiLevelType w:val="hybridMultilevel"/>
    <w:tmpl w:val="2B64E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0F11DF"/>
    <w:multiLevelType w:val="hybridMultilevel"/>
    <w:tmpl w:val="A7063FE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4"/>
  </w:num>
  <w:num w:numId="2">
    <w:abstractNumId w:val="20"/>
  </w:num>
  <w:num w:numId="3">
    <w:abstractNumId w:val="10"/>
  </w:num>
  <w:num w:numId="4">
    <w:abstractNumId w:val="11"/>
  </w:num>
  <w:num w:numId="5">
    <w:abstractNumId w:val="13"/>
  </w:num>
  <w:num w:numId="6">
    <w:abstractNumId w:val="12"/>
  </w:num>
  <w:num w:numId="7">
    <w:abstractNumId w:val="28"/>
  </w:num>
  <w:num w:numId="8">
    <w:abstractNumId w:val="27"/>
  </w:num>
  <w:num w:numId="9">
    <w:abstractNumId w:val="30"/>
  </w:num>
  <w:num w:numId="10">
    <w:abstractNumId w:val="6"/>
  </w:num>
  <w:num w:numId="11">
    <w:abstractNumId w:val="18"/>
  </w:num>
  <w:num w:numId="12">
    <w:abstractNumId w:val="0"/>
  </w:num>
  <w:num w:numId="13">
    <w:abstractNumId w:val="5"/>
  </w:num>
  <w:num w:numId="14">
    <w:abstractNumId w:val="24"/>
  </w:num>
  <w:num w:numId="15">
    <w:abstractNumId w:val="16"/>
  </w:num>
  <w:num w:numId="16">
    <w:abstractNumId w:val="23"/>
  </w:num>
  <w:num w:numId="17">
    <w:abstractNumId w:val="21"/>
  </w:num>
  <w:num w:numId="18">
    <w:abstractNumId w:val="4"/>
  </w:num>
  <w:num w:numId="19">
    <w:abstractNumId w:val="3"/>
  </w:num>
  <w:num w:numId="20">
    <w:abstractNumId w:val="26"/>
  </w:num>
  <w:num w:numId="21">
    <w:abstractNumId w:val="29"/>
  </w:num>
  <w:num w:numId="22">
    <w:abstractNumId w:val="15"/>
  </w:num>
  <w:num w:numId="23">
    <w:abstractNumId w:val="2"/>
  </w:num>
  <w:num w:numId="24">
    <w:abstractNumId w:val="8"/>
  </w:num>
  <w:num w:numId="25">
    <w:abstractNumId w:val="7"/>
  </w:num>
  <w:num w:numId="26">
    <w:abstractNumId w:val="25"/>
  </w:num>
  <w:num w:numId="27">
    <w:abstractNumId w:val="19"/>
  </w:num>
  <w:num w:numId="28">
    <w:abstractNumId w:val="17"/>
  </w:num>
  <w:num w:numId="29">
    <w:abstractNumId w:val="9"/>
  </w:num>
  <w:num w:numId="30">
    <w:abstractNumId w:val="22"/>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02569"/>
    <w:rsid w:val="00003C79"/>
    <w:rsid w:val="000043B9"/>
    <w:rsid w:val="0000773A"/>
    <w:rsid w:val="00010066"/>
    <w:rsid w:val="00010F2D"/>
    <w:rsid w:val="00013C6B"/>
    <w:rsid w:val="00015268"/>
    <w:rsid w:val="00015986"/>
    <w:rsid w:val="000160E6"/>
    <w:rsid w:val="000204B3"/>
    <w:rsid w:val="00021448"/>
    <w:rsid w:val="00024526"/>
    <w:rsid w:val="00024B85"/>
    <w:rsid w:val="00024C4A"/>
    <w:rsid w:val="0002538A"/>
    <w:rsid w:val="00027E36"/>
    <w:rsid w:val="00030F43"/>
    <w:rsid w:val="000330CD"/>
    <w:rsid w:val="000348AF"/>
    <w:rsid w:val="00036244"/>
    <w:rsid w:val="00036377"/>
    <w:rsid w:val="00036F21"/>
    <w:rsid w:val="000375D9"/>
    <w:rsid w:val="00040DCF"/>
    <w:rsid w:val="00044CD8"/>
    <w:rsid w:val="0004667A"/>
    <w:rsid w:val="00046869"/>
    <w:rsid w:val="00050382"/>
    <w:rsid w:val="00050520"/>
    <w:rsid w:val="00050E0B"/>
    <w:rsid w:val="000517AB"/>
    <w:rsid w:val="000523B5"/>
    <w:rsid w:val="00052C0B"/>
    <w:rsid w:val="0005368A"/>
    <w:rsid w:val="00055A34"/>
    <w:rsid w:val="00055B9A"/>
    <w:rsid w:val="00060D86"/>
    <w:rsid w:val="00060EE1"/>
    <w:rsid w:val="00061CF3"/>
    <w:rsid w:val="00062C80"/>
    <w:rsid w:val="00063583"/>
    <w:rsid w:val="00063601"/>
    <w:rsid w:val="0006411F"/>
    <w:rsid w:val="00065E05"/>
    <w:rsid w:val="00066BCC"/>
    <w:rsid w:val="00067918"/>
    <w:rsid w:val="0007036D"/>
    <w:rsid w:val="00073079"/>
    <w:rsid w:val="00073880"/>
    <w:rsid w:val="0007593F"/>
    <w:rsid w:val="00076E58"/>
    <w:rsid w:val="000801D2"/>
    <w:rsid w:val="000865D8"/>
    <w:rsid w:val="00091464"/>
    <w:rsid w:val="00094702"/>
    <w:rsid w:val="00095EC9"/>
    <w:rsid w:val="00096A37"/>
    <w:rsid w:val="000A0810"/>
    <w:rsid w:val="000A34E7"/>
    <w:rsid w:val="000A37C3"/>
    <w:rsid w:val="000A3F50"/>
    <w:rsid w:val="000A44B9"/>
    <w:rsid w:val="000B1E35"/>
    <w:rsid w:val="000B2F6F"/>
    <w:rsid w:val="000B627F"/>
    <w:rsid w:val="000C0E98"/>
    <w:rsid w:val="000C1F49"/>
    <w:rsid w:val="000C32FE"/>
    <w:rsid w:val="000C5C84"/>
    <w:rsid w:val="000C6657"/>
    <w:rsid w:val="000D2153"/>
    <w:rsid w:val="000D21F8"/>
    <w:rsid w:val="000D649E"/>
    <w:rsid w:val="000D6D06"/>
    <w:rsid w:val="000E06E1"/>
    <w:rsid w:val="000E1D18"/>
    <w:rsid w:val="000E2B49"/>
    <w:rsid w:val="000E5C93"/>
    <w:rsid w:val="000F08DC"/>
    <w:rsid w:val="000F1CAA"/>
    <w:rsid w:val="000F4A7F"/>
    <w:rsid w:val="0010042F"/>
    <w:rsid w:val="0010112E"/>
    <w:rsid w:val="001013F5"/>
    <w:rsid w:val="00102648"/>
    <w:rsid w:val="00102773"/>
    <w:rsid w:val="001033B6"/>
    <w:rsid w:val="0010659B"/>
    <w:rsid w:val="001075D6"/>
    <w:rsid w:val="00107A5A"/>
    <w:rsid w:val="00111E3B"/>
    <w:rsid w:val="00113374"/>
    <w:rsid w:val="00114848"/>
    <w:rsid w:val="001155BC"/>
    <w:rsid w:val="0011624C"/>
    <w:rsid w:val="00120934"/>
    <w:rsid w:val="00123488"/>
    <w:rsid w:val="00127DF3"/>
    <w:rsid w:val="00130286"/>
    <w:rsid w:val="001315F5"/>
    <w:rsid w:val="00132070"/>
    <w:rsid w:val="001320AA"/>
    <w:rsid w:val="00132910"/>
    <w:rsid w:val="0013439F"/>
    <w:rsid w:val="00135251"/>
    <w:rsid w:val="00135E47"/>
    <w:rsid w:val="00141875"/>
    <w:rsid w:val="0014327F"/>
    <w:rsid w:val="00143434"/>
    <w:rsid w:val="0014347E"/>
    <w:rsid w:val="00145A0F"/>
    <w:rsid w:val="00154438"/>
    <w:rsid w:val="00155138"/>
    <w:rsid w:val="001551F6"/>
    <w:rsid w:val="0015535B"/>
    <w:rsid w:val="00161BF0"/>
    <w:rsid w:val="00162036"/>
    <w:rsid w:val="001632DD"/>
    <w:rsid w:val="001639B3"/>
    <w:rsid w:val="001642C5"/>
    <w:rsid w:val="0016531C"/>
    <w:rsid w:val="00170C93"/>
    <w:rsid w:val="001710F3"/>
    <w:rsid w:val="001726F0"/>
    <w:rsid w:val="00172CCF"/>
    <w:rsid w:val="001766E3"/>
    <w:rsid w:val="00176E60"/>
    <w:rsid w:val="0018332A"/>
    <w:rsid w:val="0018429E"/>
    <w:rsid w:val="00184342"/>
    <w:rsid w:val="00186ABC"/>
    <w:rsid w:val="001870AB"/>
    <w:rsid w:val="0019107E"/>
    <w:rsid w:val="00192E83"/>
    <w:rsid w:val="00194913"/>
    <w:rsid w:val="00194D9A"/>
    <w:rsid w:val="00197A16"/>
    <w:rsid w:val="00197A61"/>
    <w:rsid w:val="001A196B"/>
    <w:rsid w:val="001A6769"/>
    <w:rsid w:val="001A6D05"/>
    <w:rsid w:val="001A6D91"/>
    <w:rsid w:val="001B38BF"/>
    <w:rsid w:val="001B772D"/>
    <w:rsid w:val="001B7CC4"/>
    <w:rsid w:val="001C3B29"/>
    <w:rsid w:val="001C48A2"/>
    <w:rsid w:val="001D245F"/>
    <w:rsid w:val="001D2FC8"/>
    <w:rsid w:val="001D5B5D"/>
    <w:rsid w:val="001E2E8B"/>
    <w:rsid w:val="001E3980"/>
    <w:rsid w:val="001E6153"/>
    <w:rsid w:val="001E6C89"/>
    <w:rsid w:val="001F2165"/>
    <w:rsid w:val="001F30D7"/>
    <w:rsid w:val="001F3B22"/>
    <w:rsid w:val="001F55CB"/>
    <w:rsid w:val="001F59A5"/>
    <w:rsid w:val="001F68F7"/>
    <w:rsid w:val="001F70A3"/>
    <w:rsid w:val="001F7433"/>
    <w:rsid w:val="00201FF9"/>
    <w:rsid w:val="00205857"/>
    <w:rsid w:val="002061A1"/>
    <w:rsid w:val="00206623"/>
    <w:rsid w:val="00207361"/>
    <w:rsid w:val="0020747A"/>
    <w:rsid w:val="00211231"/>
    <w:rsid w:val="00212D97"/>
    <w:rsid w:val="0021491C"/>
    <w:rsid w:val="0021539E"/>
    <w:rsid w:val="002241FB"/>
    <w:rsid w:val="002255DB"/>
    <w:rsid w:val="002307DF"/>
    <w:rsid w:val="00231C05"/>
    <w:rsid w:val="00233C52"/>
    <w:rsid w:val="00235ADC"/>
    <w:rsid w:val="00236F87"/>
    <w:rsid w:val="0024129E"/>
    <w:rsid w:val="00242094"/>
    <w:rsid w:val="00250919"/>
    <w:rsid w:val="002524C5"/>
    <w:rsid w:val="00252787"/>
    <w:rsid w:val="00256C4D"/>
    <w:rsid w:val="00260EB0"/>
    <w:rsid w:val="00261156"/>
    <w:rsid w:val="002633A9"/>
    <w:rsid w:val="00265478"/>
    <w:rsid w:val="00265702"/>
    <w:rsid w:val="002662B2"/>
    <w:rsid w:val="002717C7"/>
    <w:rsid w:val="002750FF"/>
    <w:rsid w:val="00275A57"/>
    <w:rsid w:val="002764F6"/>
    <w:rsid w:val="00276774"/>
    <w:rsid w:val="00281149"/>
    <w:rsid w:val="00283915"/>
    <w:rsid w:val="002875E9"/>
    <w:rsid w:val="00287EB3"/>
    <w:rsid w:val="002911A0"/>
    <w:rsid w:val="00292223"/>
    <w:rsid w:val="00293A2A"/>
    <w:rsid w:val="00294A71"/>
    <w:rsid w:val="00294D3E"/>
    <w:rsid w:val="00294DDD"/>
    <w:rsid w:val="002A3574"/>
    <w:rsid w:val="002A47BA"/>
    <w:rsid w:val="002A63FE"/>
    <w:rsid w:val="002A6777"/>
    <w:rsid w:val="002A7E66"/>
    <w:rsid w:val="002B06BD"/>
    <w:rsid w:val="002B21AE"/>
    <w:rsid w:val="002B2633"/>
    <w:rsid w:val="002B4F7D"/>
    <w:rsid w:val="002B5D69"/>
    <w:rsid w:val="002C0606"/>
    <w:rsid w:val="002C0E48"/>
    <w:rsid w:val="002C1C05"/>
    <w:rsid w:val="002C1C32"/>
    <w:rsid w:val="002C29BB"/>
    <w:rsid w:val="002C31CF"/>
    <w:rsid w:val="002C3665"/>
    <w:rsid w:val="002C433F"/>
    <w:rsid w:val="002C6F04"/>
    <w:rsid w:val="002D256C"/>
    <w:rsid w:val="002E0B37"/>
    <w:rsid w:val="002E2177"/>
    <w:rsid w:val="002E2E41"/>
    <w:rsid w:val="002E6D29"/>
    <w:rsid w:val="002E75E4"/>
    <w:rsid w:val="002E78CD"/>
    <w:rsid w:val="002F0987"/>
    <w:rsid w:val="002F20A7"/>
    <w:rsid w:val="002F3CFC"/>
    <w:rsid w:val="002F5570"/>
    <w:rsid w:val="002F6290"/>
    <w:rsid w:val="002F6921"/>
    <w:rsid w:val="003008F4"/>
    <w:rsid w:val="00300935"/>
    <w:rsid w:val="00300E36"/>
    <w:rsid w:val="00300F1A"/>
    <w:rsid w:val="0030110A"/>
    <w:rsid w:val="00302B1D"/>
    <w:rsid w:val="0030301A"/>
    <w:rsid w:val="00305E65"/>
    <w:rsid w:val="00306F34"/>
    <w:rsid w:val="00307FA5"/>
    <w:rsid w:val="003126F6"/>
    <w:rsid w:val="00313453"/>
    <w:rsid w:val="00317DA8"/>
    <w:rsid w:val="0032317F"/>
    <w:rsid w:val="00324D64"/>
    <w:rsid w:val="00330DC9"/>
    <w:rsid w:val="00331D6B"/>
    <w:rsid w:val="003326D0"/>
    <w:rsid w:val="00335775"/>
    <w:rsid w:val="00336415"/>
    <w:rsid w:val="00340A69"/>
    <w:rsid w:val="003423EE"/>
    <w:rsid w:val="003462A3"/>
    <w:rsid w:val="00352B52"/>
    <w:rsid w:val="00352DDF"/>
    <w:rsid w:val="00355A17"/>
    <w:rsid w:val="0035760D"/>
    <w:rsid w:val="003578BC"/>
    <w:rsid w:val="0036319E"/>
    <w:rsid w:val="00363ECC"/>
    <w:rsid w:val="003649A9"/>
    <w:rsid w:val="00365FEE"/>
    <w:rsid w:val="00372A4B"/>
    <w:rsid w:val="00376280"/>
    <w:rsid w:val="003772CD"/>
    <w:rsid w:val="0038014E"/>
    <w:rsid w:val="00381751"/>
    <w:rsid w:val="0039020B"/>
    <w:rsid w:val="0039127F"/>
    <w:rsid w:val="003913A9"/>
    <w:rsid w:val="00391DF0"/>
    <w:rsid w:val="003934C6"/>
    <w:rsid w:val="00395263"/>
    <w:rsid w:val="003956E0"/>
    <w:rsid w:val="00395922"/>
    <w:rsid w:val="0039609A"/>
    <w:rsid w:val="00396138"/>
    <w:rsid w:val="00397500"/>
    <w:rsid w:val="003A09AB"/>
    <w:rsid w:val="003A11E3"/>
    <w:rsid w:val="003A2A9A"/>
    <w:rsid w:val="003A309E"/>
    <w:rsid w:val="003A3988"/>
    <w:rsid w:val="003A621D"/>
    <w:rsid w:val="003A7574"/>
    <w:rsid w:val="003B1CC5"/>
    <w:rsid w:val="003B4218"/>
    <w:rsid w:val="003B573F"/>
    <w:rsid w:val="003B6356"/>
    <w:rsid w:val="003B65CE"/>
    <w:rsid w:val="003B7867"/>
    <w:rsid w:val="003C07F3"/>
    <w:rsid w:val="003C7716"/>
    <w:rsid w:val="003C785A"/>
    <w:rsid w:val="003C7F86"/>
    <w:rsid w:val="003D27FB"/>
    <w:rsid w:val="003D2CE1"/>
    <w:rsid w:val="003D2F11"/>
    <w:rsid w:val="003D384D"/>
    <w:rsid w:val="003D3E98"/>
    <w:rsid w:val="003D6721"/>
    <w:rsid w:val="003D67C0"/>
    <w:rsid w:val="003D6BC9"/>
    <w:rsid w:val="003D7331"/>
    <w:rsid w:val="003E039E"/>
    <w:rsid w:val="003E04E4"/>
    <w:rsid w:val="003E0E63"/>
    <w:rsid w:val="003E2EA0"/>
    <w:rsid w:val="003E514F"/>
    <w:rsid w:val="003E5185"/>
    <w:rsid w:val="003E5954"/>
    <w:rsid w:val="003E70C6"/>
    <w:rsid w:val="003E741C"/>
    <w:rsid w:val="003F4DE8"/>
    <w:rsid w:val="003F5E17"/>
    <w:rsid w:val="003F7305"/>
    <w:rsid w:val="003F7A8B"/>
    <w:rsid w:val="0040230E"/>
    <w:rsid w:val="004023EB"/>
    <w:rsid w:val="00403AB3"/>
    <w:rsid w:val="0040419A"/>
    <w:rsid w:val="004051C8"/>
    <w:rsid w:val="00406DA9"/>
    <w:rsid w:val="004147B2"/>
    <w:rsid w:val="00416208"/>
    <w:rsid w:val="0041662F"/>
    <w:rsid w:val="0041693D"/>
    <w:rsid w:val="00422917"/>
    <w:rsid w:val="004229AF"/>
    <w:rsid w:val="00424000"/>
    <w:rsid w:val="004315F5"/>
    <w:rsid w:val="00431DA8"/>
    <w:rsid w:val="004322E3"/>
    <w:rsid w:val="004362E1"/>
    <w:rsid w:val="00440687"/>
    <w:rsid w:val="0044131D"/>
    <w:rsid w:val="00441ADA"/>
    <w:rsid w:val="004427A7"/>
    <w:rsid w:val="004436E5"/>
    <w:rsid w:val="004451BB"/>
    <w:rsid w:val="00450F54"/>
    <w:rsid w:val="004553FF"/>
    <w:rsid w:val="0045708D"/>
    <w:rsid w:val="00457ACA"/>
    <w:rsid w:val="00457E46"/>
    <w:rsid w:val="0046750E"/>
    <w:rsid w:val="00476CC3"/>
    <w:rsid w:val="00477E66"/>
    <w:rsid w:val="004825D5"/>
    <w:rsid w:val="0048399F"/>
    <w:rsid w:val="0048538A"/>
    <w:rsid w:val="004857D4"/>
    <w:rsid w:val="00485C8D"/>
    <w:rsid w:val="00486EF8"/>
    <w:rsid w:val="0049016B"/>
    <w:rsid w:val="004922E4"/>
    <w:rsid w:val="00492E4D"/>
    <w:rsid w:val="00494985"/>
    <w:rsid w:val="004950EA"/>
    <w:rsid w:val="00496AF8"/>
    <w:rsid w:val="0049704A"/>
    <w:rsid w:val="004A0362"/>
    <w:rsid w:val="004A0A47"/>
    <w:rsid w:val="004A36E3"/>
    <w:rsid w:val="004A5309"/>
    <w:rsid w:val="004A575D"/>
    <w:rsid w:val="004A599B"/>
    <w:rsid w:val="004A6EED"/>
    <w:rsid w:val="004B3E61"/>
    <w:rsid w:val="004B4B6D"/>
    <w:rsid w:val="004B65C6"/>
    <w:rsid w:val="004C09E0"/>
    <w:rsid w:val="004C35A8"/>
    <w:rsid w:val="004C51C4"/>
    <w:rsid w:val="004D157E"/>
    <w:rsid w:val="004D15B0"/>
    <w:rsid w:val="004D1DC7"/>
    <w:rsid w:val="004D43B3"/>
    <w:rsid w:val="004D71EC"/>
    <w:rsid w:val="004E1ADC"/>
    <w:rsid w:val="004E2D5B"/>
    <w:rsid w:val="004E5A00"/>
    <w:rsid w:val="004E7215"/>
    <w:rsid w:val="004F03B3"/>
    <w:rsid w:val="004F1DE3"/>
    <w:rsid w:val="004F21A7"/>
    <w:rsid w:val="004F3062"/>
    <w:rsid w:val="004F5EA9"/>
    <w:rsid w:val="004F7D7E"/>
    <w:rsid w:val="00500B0C"/>
    <w:rsid w:val="00501E73"/>
    <w:rsid w:val="00502C4B"/>
    <w:rsid w:val="005059E8"/>
    <w:rsid w:val="00506B6F"/>
    <w:rsid w:val="00510A57"/>
    <w:rsid w:val="005134B0"/>
    <w:rsid w:val="00513C2A"/>
    <w:rsid w:val="005145F9"/>
    <w:rsid w:val="0051483E"/>
    <w:rsid w:val="00514DA1"/>
    <w:rsid w:val="005154A5"/>
    <w:rsid w:val="005160AC"/>
    <w:rsid w:val="005241C6"/>
    <w:rsid w:val="005243F3"/>
    <w:rsid w:val="00524BC6"/>
    <w:rsid w:val="00527714"/>
    <w:rsid w:val="00531067"/>
    <w:rsid w:val="005314B5"/>
    <w:rsid w:val="005346C5"/>
    <w:rsid w:val="0053638A"/>
    <w:rsid w:val="00537150"/>
    <w:rsid w:val="005372F2"/>
    <w:rsid w:val="00540984"/>
    <w:rsid w:val="00542E9F"/>
    <w:rsid w:val="00543851"/>
    <w:rsid w:val="00543D95"/>
    <w:rsid w:val="00543DA5"/>
    <w:rsid w:val="00545C62"/>
    <w:rsid w:val="00550255"/>
    <w:rsid w:val="005547A1"/>
    <w:rsid w:val="00555168"/>
    <w:rsid w:val="0055559D"/>
    <w:rsid w:val="005569AE"/>
    <w:rsid w:val="0055736B"/>
    <w:rsid w:val="005642C9"/>
    <w:rsid w:val="00565B4A"/>
    <w:rsid w:val="005744CB"/>
    <w:rsid w:val="00574FD0"/>
    <w:rsid w:val="005772B1"/>
    <w:rsid w:val="00577746"/>
    <w:rsid w:val="0058006D"/>
    <w:rsid w:val="00582163"/>
    <w:rsid w:val="00582481"/>
    <w:rsid w:val="005852C3"/>
    <w:rsid w:val="0058533E"/>
    <w:rsid w:val="005857F8"/>
    <w:rsid w:val="00586B11"/>
    <w:rsid w:val="0058754F"/>
    <w:rsid w:val="00587D75"/>
    <w:rsid w:val="005908B9"/>
    <w:rsid w:val="005918A7"/>
    <w:rsid w:val="00593959"/>
    <w:rsid w:val="005A0585"/>
    <w:rsid w:val="005A0E2D"/>
    <w:rsid w:val="005A2B83"/>
    <w:rsid w:val="005A6636"/>
    <w:rsid w:val="005B0350"/>
    <w:rsid w:val="005B0D18"/>
    <w:rsid w:val="005B0D37"/>
    <w:rsid w:val="005B12C3"/>
    <w:rsid w:val="005B2225"/>
    <w:rsid w:val="005B409D"/>
    <w:rsid w:val="005B5F13"/>
    <w:rsid w:val="005B67E2"/>
    <w:rsid w:val="005C017D"/>
    <w:rsid w:val="005C0415"/>
    <w:rsid w:val="005C0D21"/>
    <w:rsid w:val="005C2AEE"/>
    <w:rsid w:val="005C4392"/>
    <w:rsid w:val="005D0FDB"/>
    <w:rsid w:val="005D25E9"/>
    <w:rsid w:val="005D2E60"/>
    <w:rsid w:val="005D6D59"/>
    <w:rsid w:val="005E125C"/>
    <w:rsid w:val="005E15CF"/>
    <w:rsid w:val="005E454C"/>
    <w:rsid w:val="005E4B64"/>
    <w:rsid w:val="005E55A3"/>
    <w:rsid w:val="005E594B"/>
    <w:rsid w:val="005F0E4B"/>
    <w:rsid w:val="005F24B1"/>
    <w:rsid w:val="005F2526"/>
    <w:rsid w:val="005F6B0A"/>
    <w:rsid w:val="0060175E"/>
    <w:rsid w:val="006017D4"/>
    <w:rsid w:val="00606A79"/>
    <w:rsid w:val="00607A25"/>
    <w:rsid w:val="00610CCC"/>
    <w:rsid w:val="0061327A"/>
    <w:rsid w:val="00617390"/>
    <w:rsid w:val="006203F6"/>
    <w:rsid w:val="00622104"/>
    <w:rsid w:val="00622AC2"/>
    <w:rsid w:val="00623420"/>
    <w:rsid w:val="00623946"/>
    <w:rsid w:val="00624DDE"/>
    <w:rsid w:val="006344D2"/>
    <w:rsid w:val="0063459B"/>
    <w:rsid w:val="00634768"/>
    <w:rsid w:val="0063596F"/>
    <w:rsid w:val="00635D8E"/>
    <w:rsid w:val="00637166"/>
    <w:rsid w:val="00645DB9"/>
    <w:rsid w:val="00651762"/>
    <w:rsid w:val="0065407B"/>
    <w:rsid w:val="00660A9B"/>
    <w:rsid w:val="006618EF"/>
    <w:rsid w:val="006653C9"/>
    <w:rsid w:val="00667E20"/>
    <w:rsid w:val="006709EB"/>
    <w:rsid w:val="0067213B"/>
    <w:rsid w:val="00672824"/>
    <w:rsid w:val="00676BD4"/>
    <w:rsid w:val="00680699"/>
    <w:rsid w:val="00680843"/>
    <w:rsid w:val="00680ACC"/>
    <w:rsid w:val="0068184A"/>
    <w:rsid w:val="0068214D"/>
    <w:rsid w:val="00686B30"/>
    <w:rsid w:val="00687021"/>
    <w:rsid w:val="0068759F"/>
    <w:rsid w:val="00692261"/>
    <w:rsid w:val="006959DE"/>
    <w:rsid w:val="006A0249"/>
    <w:rsid w:val="006A06CA"/>
    <w:rsid w:val="006A0D5D"/>
    <w:rsid w:val="006A57A9"/>
    <w:rsid w:val="006B00B3"/>
    <w:rsid w:val="006B22E5"/>
    <w:rsid w:val="006B39BF"/>
    <w:rsid w:val="006B4ED6"/>
    <w:rsid w:val="006B5C51"/>
    <w:rsid w:val="006B65CB"/>
    <w:rsid w:val="006B6D81"/>
    <w:rsid w:val="006C1900"/>
    <w:rsid w:val="006C27E0"/>
    <w:rsid w:val="006C367F"/>
    <w:rsid w:val="006C3782"/>
    <w:rsid w:val="006C429D"/>
    <w:rsid w:val="006C6C47"/>
    <w:rsid w:val="006C7F30"/>
    <w:rsid w:val="006D3846"/>
    <w:rsid w:val="006D43FF"/>
    <w:rsid w:val="006D4ABE"/>
    <w:rsid w:val="006E1ABC"/>
    <w:rsid w:val="006E1C50"/>
    <w:rsid w:val="006E292F"/>
    <w:rsid w:val="006E37A0"/>
    <w:rsid w:val="006E6FDD"/>
    <w:rsid w:val="006F1EB1"/>
    <w:rsid w:val="006F204C"/>
    <w:rsid w:val="006F4B7F"/>
    <w:rsid w:val="006F4E03"/>
    <w:rsid w:val="006F69BE"/>
    <w:rsid w:val="006F760B"/>
    <w:rsid w:val="00701CC3"/>
    <w:rsid w:val="00702694"/>
    <w:rsid w:val="00703027"/>
    <w:rsid w:val="00706451"/>
    <w:rsid w:val="0071709B"/>
    <w:rsid w:val="007206D5"/>
    <w:rsid w:val="00723275"/>
    <w:rsid w:val="00724801"/>
    <w:rsid w:val="0072502F"/>
    <w:rsid w:val="00725461"/>
    <w:rsid w:val="00726E69"/>
    <w:rsid w:val="0072710F"/>
    <w:rsid w:val="007272BF"/>
    <w:rsid w:val="007320A2"/>
    <w:rsid w:val="007339A9"/>
    <w:rsid w:val="007342B1"/>
    <w:rsid w:val="00734949"/>
    <w:rsid w:val="007357AC"/>
    <w:rsid w:val="007364B1"/>
    <w:rsid w:val="00736563"/>
    <w:rsid w:val="00736AEC"/>
    <w:rsid w:val="00736E0F"/>
    <w:rsid w:val="007376A5"/>
    <w:rsid w:val="00737B17"/>
    <w:rsid w:val="0074059A"/>
    <w:rsid w:val="007434FA"/>
    <w:rsid w:val="00744DB0"/>
    <w:rsid w:val="007462CF"/>
    <w:rsid w:val="00746F99"/>
    <w:rsid w:val="00747962"/>
    <w:rsid w:val="00752DD9"/>
    <w:rsid w:val="00754470"/>
    <w:rsid w:val="007573F0"/>
    <w:rsid w:val="00757BC2"/>
    <w:rsid w:val="00762D16"/>
    <w:rsid w:val="00765156"/>
    <w:rsid w:val="00765640"/>
    <w:rsid w:val="00765988"/>
    <w:rsid w:val="00767669"/>
    <w:rsid w:val="00772200"/>
    <w:rsid w:val="00773485"/>
    <w:rsid w:val="00776E8F"/>
    <w:rsid w:val="00776F6D"/>
    <w:rsid w:val="0077769D"/>
    <w:rsid w:val="007817E7"/>
    <w:rsid w:val="00784916"/>
    <w:rsid w:val="00785B41"/>
    <w:rsid w:val="007879F1"/>
    <w:rsid w:val="00790752"/>
    <w:rsid w:val="0079371A"/>
    <w:rsid w:val="00797A43"/>
    <w:rsid w:val="007A04CF"/>
    <w:rsid w:val="007A04D7"/>
    <w:rsid w:val="007A0F15"/>
    <w:rsid w:val="007A17DA"/>
    <w:rsid w:val="007A61FE"/>
    <w:rsid w:val="007B2E09"/>
    <w:rsid w:val="007B384E"/>
    <w:rsid w:val="007B410F"/>
    <w:rsid w:val="007B6D23"/>
    <w:rsid w:val="007B7776"/>
    <w:rsid w:val="007C0084"/>
    <w:rsid w:val="007C0297"/>
    <w:rsid w:val="007C1887"/>
    <w:rsid w:val="007C3267"/>
    <w:rsid w:val="007C4E84"/>
    <w:rsid w:val="007C56C0"/>
    <w:rsid w:val="007C6A01"/>
    <w:rsid w:val="007D174E"/>
    <w:rsid w:val="007D2295"/>
    <w:rsid w:val="007D23E9"/>
    <w:rsid w:val="007D4775"/>
    <w:rsid w:val="007D5506"/>
    <w:rsid w:val="007D5DC6"/>
    <w:rsid w:val="007E141B"/>
    <w:rsid w:val="007E20E6"/>
    <w:rsid w:val="007E37A5"/>
    <w:rsid w:val="007E4564"/>
    <w:rsid w:val="007E6565"/>
    <w:rsid w:val="007F0086"/>
    <w:rsid w:val="007F2433"/>
    <w:rsid w:val="007F37BB"/>
    <w:rsid w:val="007F49D8"/>
    <w:rsid w:val="007F78CE"/>
    <w:rsid w:val="00800137"/>
    <w:rsid w:val="00800828"/>
    <w:rsid w:val="0080433A"/>
    <w:rsid w:val="00805940"/>
    <w:rsid w:val="00806731"/>
    <w:rsid w:val="00810F6A"/>
    <w:rsid w:val="00814288"/>
    <w:rsid w:val="008148BE"/>
    <w:rsid w:val="0081599C"/>
    <w:rsid w:val="00817651"/>
    <w:rsid w:val="00817D26"/>
    <w:rsid w:val="008206C3"/>
    <w:rsid w:val="00821ED6"/>
    <w:rsid w:val="00826EFB"/>
    <w:rsid w:val="008329ED"/>
    <w:rsid w:val="00834284"/>
    <w:rsid w:val="0083433B"/>
    <w:rsid w:val="00835DC1"/>
    <w:rsid w:val="00837121"/>
    <w:rsid w:val="00837A6B"/>
    <w:rsid w:val="00837D4E"/>
    <w:rsid w:val="008404E9"/>
    <w:rsid w:val="00845CD6"/>
    <w:rsid w:val="0084667A"/>
    <w:rsid w:val="00846D07"/>
    <w:rsid w:val="008471E5"/>
    <w:rsid w:val="00847238"/>
    <w:rsid w:val="00847D03"/>
    <w:rsid w:val="00850C35"/>
    <w:rsid w:val="00851466"/>
    <w:rsid w:val="008607F1"/>
    <w:rsid w:val="00863E43"/>
    <w:rsid w:val="008647C3"/>
    <w:rsid w:val="008658DF"/>
    <w:rsid w:val="008659ED"/>
    <w:rsid w:val="00865CE2"/>
    <w:rsid w:val="00867218"/>
    <w:rsid w:val="0086757F"/>
    <w:rsid w:val="008708DC"/>
    <w:rsid w:val="00870987"/>
    <w:rsid w:val="00873AB4"/>
    <w:rsid w:val="0087564A"/>
    <w:rsid w:val="00877AF3"/>
    <w:rsid w:val="00881160"/>
    <w:rsid w:val="00881A0F"/>
    <w:rsid w:val="0088371C"/>
    <w:rsid w:val="00884790"/>
    <w:rsid w:val="00884934"/>
    <w:rsid w:val="00884DDB"/>
    <w:rsid w:val="008869EC"/>
    <w:rsid w:val="00886D3E"/>
    <w:rsid w:val="00891F30"/>
    <w:rsid w:val="00892DD0"/>
    <w:rsid w:val="00893DC3"/>
    <w:rsid w:val="00894F2D"/>
    <w:rsid w:val="008A0475"/>
    <w:rsid w:val="008A0B07"/>
    <w:rsid w:val="008A199E"/>
    <w:rsid w:val="008A2038"/>
    <w:rsid w:val="008A2679"/>
    <w:rsid w:val="008A45F3"/>
    <w:rsid w:val="008A78D8"/>
    <w:rsid w:val="008B320F"/>
    <w:rsid w:val="008B51D9"/>
    <w:rsid w:val="008B652E"/>
    <w:rsid w:val="008B7EB3"/>
    <w:rsid w:val="008C12B5"/>
    <w:rsid w:val="008C20D8"/>
    <w:rsid w:val="008C3B9E"/>
    <w:rsid w:val="008C5595"/>
    <w:rsid w:val="008C623C"/>
    <w:rsid w:val="008D05B7"/>
    <w:rsid w:val="008D08DA"/>
    <w:rsid w:val="008D13D5"/>
    <w:rsid w:val="008D3140"/>
    <w:rsid w:val="008D7DCE"/>
    <w:rsid w:val="008E13E9"/>
    <w:rsid w:val="008E37C8"/>
    <w:rsid w:val="008E39D1"/>
    <w:rsid w:val="008E3F88"/>
    <w:rsid w:val="008E4506"/>
    <w:rsid w:val="008E72E7"/>
    <w:rsid w:val="008E73C4"/>
    <w:rsid w:val="008E78FA"/>
    <w:rsid w:val="008F1DC6"/>
    <w:rsid w:val="008F227F"/>
    <w:rsid w:val="008F44F4"/>
    <w:rsid w:val="008F485C"/>
    <w:rsid w:val="008F4E67"/>
    <w:rsid w:val="008F5013"/>
    <w:rsid w:val="008F572E"/>
    <w:rsid w:val="008F6F51"/>
    <w:rsid w:val="00901442"/>
    <w:rsid w:val="00902A14"/>
    <w:rsid w:val="00902FCA"/>
    <w:rsid w:val="009049B4"/>
    <w:rsid w:val="00905C5B"/>
    <w:rsid w:val="00906DB8"/>
    <w:rsid w:val="009070F5"/>
    <w:rsid w:val="00910F75"/>
    <w:rsid w:val="00912456"/>
    <w:rsid w:val="00913543"/>
    <w:rsid w:val="00913D39"/>
    <w:rsid w:val="0091656A"/>
    <w:rsid w:val="0091732C"/>
    <w:rsid w:val="00920221"/>
    <w:rsid w:val="009231BD"/>
    <w:rsid w:val="00923295"/>
    <w:rsid w:val="00925F11"/>
    <w:rsid w:val="009309DB"/>
    <w:rsid w:val="00931B52"/>
    <w:rsid w:val="0093229B"/>
    <w:rsid w:val="00934F40"/>
    <w:rsid w:val="00935265"/>
    <w:rsid w:val="00940810"/>
    <w:rsid w:val="00945980"/>
    <w:rsid w:val="0094689F"/>
    <w:rsid w:val="00947586"/>
    <w:rsid w:val="009477D6"/>
    <w:rsid w:val="00950658"/>
    <w:rsid w:val="0095161E"/>
    <w:rsid w:val="00953A2E"/>
    <w:rsid w:val="00953E13"/>
    <w:rsid w:val="00953ED3"/>
    <w:rsid w:val="00953EE2"/>
    <w:rsid w:val="00954EC3"/>
    <w:rsid w:val="00954FDE"/>
    <w:rsid w:val="00956961"/>
    <w:rsid w:val="00962003"/>
    <w:rsid w:val="00962E23"/>
    <w:rsid w:val="009631DB"/>
    <w:rsid w:val="00965FF6"/>
    <w:rsid w:val="009732D2"/>
    <w:rsid w:val="00980178"/>
    <w:rsid w:val="009846D6"/>
    <w:rsid w:val="0098657F"/>
    <w:rsid w:val="00990F59"/>
    <w:rsid w:val="00991C64"/>
    <w:rsid w:val="00992D4B"/>
    <w:rsid w:val="00993920"/>
    <w:rsid w:val="00993DE1"/>
    <w:rsid w:val="0099743B"/>
    <w:rsid w:val="00997653"/>
    <w:rsid w:val="009A17D7"/>
    <w:rsid w:val="009A1E4B"/>
    <w:rsid w:val="009A30E6"/>
    <w:rsid w:val="009A3236"/>
    <w:rsid w:val="009A3DEB"/>
    <w:rsid w:val="009A3FEC"/>
    <w:rsid w:val="009A4106"/>
    <w:rsid w:val="009A68BD"/>
    <w:rsid w:val="009B4093"/>
    <w:rsid w:val="009B5A93"/>
    <w:rsid w:val="009B5BEA"/>
    <w:rsid w:val="009B7985"/>
    <w:rsid w:val="009C060E"/>
    <w:rsid w:val="009C0DA2"/>
    <w:rsid w:val="009C15BC"/>
    <w:rsid w:val="009C291F"/>
    <w:rsid w:val="009C7A97"/>
    <w:rsid w:val="009D4509"/>
    <w:rsid w:val="009E06A3"/>
    <w:rsid w:val="009E1035"/>
    <w:rsid w:val="009E17DD"/>
    <w:rsid w:val="009E359A"/>
    <w:rsid w:val="009E37BD"/>
    <w:rsid w:val="009E5980"/>
    <w:rsid w:val="009E6B86"/>
    <w:rsid w:val="009E7E3D"/>
    <w:rsid w:val="009F0903"/>
    <w:rsid w:val="009F3DAB"/>
    <w:rsid w:val="009F5D0F"/>
    <w:rsid w:val="009F6035"/>
    <w:rsid w:val="009F6AC9"/>
    <w:rsid w:val="00A0260F"/>
    <w:rsid w:val="00A02EF8"/>
    <w:rsid w:val="00A03206"/>
    <w:rsid w:val="00A03301"/>
    <w:rsid w:val="00A05409"/>
    <w:rsid w:val="00A06110"/>
    <w:rsid w:val="00A079B3"/>
    <w:rsid w:val="00A10071"/>
    <w:rsid w:val="00A11FFE"/>
    <w:rsid w:val="00A12762"/>
    <w:rsid w:val="00A13029"/>
    <w:rsid w:val="00A13867"/>
    <w:rsid w:val="00A14A76"/>
    <w:rsid w:val="00A16883"/>
    <w:rsid w:val="00A23276"/>
    <w:rsid w:val="00A26FED"/>
    <w:rsid w:val="00A27D5A"/>
    <w:rsid w:val="00A30B1A"/>
    <w:rsid w:val="00A310E9"/>
    <w:rsid w:val="00A34B48"/>
    <w:rsid w:val="00A36949"/>
    <w:rsid w:val="00A41364"/>
    <w:rsid w:val="00A421D4"/>
    <w:rsid w:val="00A428EA"/>
    <w:rsid w:val="00A43A2C"/>
    <w:rsid w:val="00A44FF0"/>
    <w:rsid w:val="00A50AE4"/>
    <w:rsid w:val="00A50E55"/>
    <w:rsid w:val="00A51D16"/>
    <w:rsid w:val="00A52E17"/>
    <w:rsid w:val="00A541D1"/>
    <w:rsid w:val="00A55CE2"/>
    <w:rsid w:val="00A561A6"/>
    <w:rsid w:val="00A56752"/>
    <w:rsid w:val="00A61B02"/>
    <w:rsid w:val="00A640C8"/>
    <w:rsid w:val="00A65FDE"/>
    <w:rsid w:val="00A67EB1"/>
    <w:rsid w:val="00A75C8F"/>
    <w:rsid w:val="00A76BE5"/>
    <w:rsid w:val="00A81058"/>
    <w:rsid w:val="00A819FE"/>
    <w:rsid w:val="00A81C24"/>
    <w:rsid w:val="00A83044"/>
    <w:rsid w:val="00A8352F"/>
    <w:rsid w:val="00A845FD"/>
    <w:rsid w:val="00A85413"/>
    <w:rsid w:val="00A9011D"/>
    <w:rsid w:val="00A9030A"/>
    <w:rsid w:val="00A91A47"/>
    <w:rsid w:val="00A95D2B"/>
    <w:rsid w:val="00AA033E"/>
    <w:rsid w:val="00AA1358"/>
    <w:rsid w:val="00AA210E"/>
    <w:rsid w:val="00AA2AAD"/>
    <w:rsid w:val="00AA5587"/>
    <w:rsid w:val="00AB15A6"/>
    <w:rsid w:val="00AB27BA"/>
    <w:rsid w:val="00AB4352"/>
    <w:rsid w:val="00AB4ECE"/>
    <w:rsid w:val="00AC08C8"/>
    <w:rsid w:val="00AC1E53"/>
    <w:rsid w:val="00AC3B77"/>
    <w:rsid w:val="00AC669C"/>
    <w:rsid w:val="00AC69E5"/>
    <w:rsid w:val="00AC7A06"/>
    <w:rsid w:val="00AD05B3"/>
    <w:rsid w:val="00AD06D0"/>
    <w:rsid w:val="00AD3865"/>
    <w:rsid w:val="00AD4B4E"/>
    <w:rsid w:val="00AD5B28"/>
    <w:rsid w:val="00AD5F61"/>
    <w:rsid w:val="00AD5F84"/>
    <w:rsid w:val="00AD63F5"/>
    <w:rsid w:val="00AD6804"/>
    <w:rsid w:val="00AD79C8"/>
    <w:rsid w:val="00AE09B2"/>
    <w:rsid w:val="00AE255E"/>
    <w:rsid w:val="00AE2F51"/>
    <w:rsid w:val="00AE58FF"/>
    <w:rsid w:val="00AE6398"/>
    <w:rsid w:val="00AE6CE0"/>
    <w:rsid w:val="00AF0AD6"/>
    <w:rsid w:val="00AF1FD0"/>
    <w:rsid w:val="00AF6D29"/>
    <w:rsid w:val="00B014A7"/>
    <w:rsid w:val="00B03FE3"/>
    <w:rsid w:val="00B04B57"/>
    <w:rsid w:val="00B05889"/>
    <w:rsid w:val="00B058A6"/>
    <w:rsid w:val="00B117D0"/>
    <w:rsid w:val="00B11810"/>
    <w:rsid w:val="00B12421"/>
    <w:rsid w:val="00B12945"/>
    <w:rsid w:val="00B12D59"/>
    <w:rsid w:val="00B13998"/>
    <w:rsid w:val="00B17CDC"/>
    <w:rsid w:val="00B17DDC"/>
    <w:rsid w:val="00B2069E"/>
    <w:rsid w:val="00B23B64"/>
    <w:rsid w:val="00B246C3"/>
    <w:rsid w:val="00B2634E"/>
    <w:rsid w:val="00B26D55"/>
    <w:rsid w:val="00B30A6B"/>
    <w:rsid w:val="00B30F07"/>
    <w:rsid w:val="00B31B23"/>
    <w:rsid w:val="00B31B4A"/>
    <w:rsid w:val="00B31EBA"/>
    <w:rsid w:val="00B3268F"/>
    <w:rsid w:val="00B32CCC"/>
    <w:rsid w:val="00B34FBC"/>
    <w:rsid w:val="00B35C5F"/>
    <w:rsid w:val="00B36043"/>
    <w:rsid w:val="00B4133B"/>
    <w:rsid w:val="00B4273E"/>
    <w:rsid w:val="00B439DD"/>
    <w:rsid w:val="00B44A53"/>
    <w:rsid w:val="00B451DD"/>
    <w:rsid w:val="00B504F6"/>
    <w:rsid w:val="00B52A7E"/>
    <w:rsid w:val="00B52E0F"/>
    <w:rsid w:val="00B62CF2"/>
    <w:rsid w:val="00B63295"/>
    <w:rsid w:val="00B65E5D"/>
    <w:rsid w:val="00B664A7"/>
    <w:rsid w:val="00B6663E"/>
    <w:rsid w:val="00B70A55"/>
    <w:rsid w:val="00B70F45"/>
    <w:rsid w:val="00B715E5"/>
    <w:rsid w:val="00B73386"/>
    <w:rsid w:val="00B73493"/>
    <w:rsid w:val="00B74629"/>
    <w:rsid w:val="00B76C62"/>
    <w:rsid w:val="00B81162"/>
    <w:rsid w:val="00B91F58"/>
    <w:rsid w:val="00B94291"/>
    <w:rsid w:val="00B94E96"/>
    <w:rsid w:val="00B952C4"/>
    <w:rsid w:val="00B97703"/>
    <w:rsid w:val="00BA164C"/>
    <w:rsid w:val="00BA1994"/>
    <w:rsid w:val="00BA25BE"/>
    <w:rsid w:val="00BA2C6B"/>
    <w:rsid w:val="00BA3193"/>
    <w:rsid w:val="00BA337E"/>
    <w:rsid w:val="00BA55E5"/>
    <w:rsid w:val="00BA579E"/>
    <w:rsid w:val="00BA6896"/>
    <w:rsid w:val="00BA69A7"/>
    <w:rsid w:val="00BA7DA2"/>
    <w:rsid w:val="00BB297D"/>
    <w:rsid w:val="00BB47F7"/>
    <w:rsid w:val="00BB6FD4"/>
    <w:rsid w:val="00BC0E22"/>
    <w:rsid w:val="00BC103F"/>
    <w:rsid w:val="00BC17B2"/>
    <w:rsid w:val="00BC1D34"/>
    <w:rsid w:val="00BC2D0D"/>
    <w:rsid w:val="00BC4267"/>
    <w:rsid w:val="00BC4B69"/>
    <w:rsid w:val="00BC4D35"/>
    <w:rsid w:val="00BC5F61"/>
    <w:rsid w:val="00BC6897"/>
    <w:rsid w:val="00BD2025"/>
    <w:rsid w:val="00BD2FAE"/>
    <w:rsid w:val="00BD3824"/>
    <w:rsid w:val="00BD4490"/>
    <w:rsid w:val="00BD5F92"/>
    <w:rsid w:val="00BD7195"/>
    <w:rsid w:val="00BE2295"/>
    <w:rsid w:val="00BE40D4"/>
    <w:rsid w:val="00BE6373"/>
    <w:rsid w:val="00BE6B62"/>
    <w:rsid w:val="00BF1BDC"/>
    <w:rsid w:val="00BF245C"/>
    <w:rsid w:val="00BF533A"/>
    <w:rsid w:val="00C00DC5"/>
    <w:rsid w:val="00C03330"/>
    <w:rsid w:val="00C0415D"/>
    <w:rsid w:val="00C06687"/>
    <w:rsid w:val="00C07512"/>
    <w:rsid w:val="00C11308"/>
    <w:rsid w:val="00C11A22"/>
    <w:rsid w:val="00C13469"/>
    <w:rsid w:val="00C135EC"/>
    <w:rsid w:val="00C13A6C"/>
    <w:rsid w:val="00C13B52"/>
    <w:rsid w:val="00C14757"/>
    <w:rsid w:val="00C163E2"/>
    <w:rsid w:val="00C22754"/>
    <w:rsid w:val="00C33951"/>
    <w:rsid w:val="00C3658F"/>
    <w:rsid w:val="00C36A3C"/>
    <w:rsid w:val="00C3759C"/>
    <w:rsid w:val="00C41794"/>
    <w:rsid w:val="00C41D64"/>
    <w:rsid w:val="00C44BA3"/>
    <w:rsid w:val="00C45553"/>
    <w:rsid w:val="00C46677"/>
    <w:rsid w:val="00C5180E"/>
    <w:rsid w:val="00C54E40"/>
    <w:rsid w:val="00C55F56"/>
    <w:rsid w:val="00C56639"/>
    <w:rsid w:val="00C57BA4"/>
    <w:rsid w:val="00C6097C"/>
    <w:rsid w:val="00C613EB"/>
    <w:rsid w:val="00C6766B"/>
    <w:rsid w:val="00C71C1A"/>
    <w:rsid w:val="00C741E0"/>
    <w:rsid w:val="00C745E4"/>
    <w:rsid w:val="00C75315"/>
    <w:rsid w:val="00C75F41"/>
    <w:rsid w:val="00C763E3"/>
    <w:rsid w:val="00C83989"/>
    <w:rsid w:val="00C8459E"/>
    <w:rsid w:val="00C84623"/>
    <w:rsid w:val="00C8475D"/>
    <w:rsid w:val="00C84C47"/>
    <w:rsid w:val="00C84D66"/>
    <w:rsid w:val="00C87E30"/>
    <w:rsid w:val="00C91B7D"/>
    <w:rsid w:val="00C952DB"/>
    <w:rsid w:val="00C96D34"/>
    <w:rsid w:val="00CA0D4B"/>
    <w:rsid w:val="00CA296B"/>
    <w:rsid w:val="00CA4059"/>
    <w:rsid w:val="00CA6364"/>
    <w:rsid w:val="00CA75A1"/>
    <w:rsid w:val="00CB06C9"/>
    <w:rsid w:val="00CB1E41"/>
    <w:rsid w:val="00CB271C"/>
    <w:rsid w:val="00CB416B"/>
    <w:rsid w:val="00CB4E32"/>
    <w:rsid w:val="00CB50F4"/>
    <w:rsid w:val="00CC0F87"/>
    <w:rsid w:val="00CC305C"/>
    <w:rsid w:val="00CC4652"/>
    <w:rsid w:val="00CC72F1"/>
    <w:rsid w:val="00CC7893"/>
    <w:rsid w:val="00CC7BC4"/>
    <w:rsid w:val="00CD1832"/>
    <w:rsid w:val="00CD2042"/>
    <w:rsid w:val="00CD2106"/>
    <w:rsid w:val="00CD6B8E"/>
    <w:rsid w:val="00CE0F4D"/>
    <w:rsid w:val="00CE4F96"/>
    <w:rsid w:val="00CE65F4"/>
    <w:rsid w:val="00CF0AB1"/>
    <w:rsid w:val="00CF2EF8"/>
    <w:rsid w:val="00CF4B9B"/>
    <w:rsid w:val="00CF55E6"/>
    <w:rsid w:val="00CF772F"/>
    <w:rsid w:val="00CF7CB3"/>
    <w:rsid w:val="00CF7DA6"/>
    <w:rsid w:val="00D01C58"/>
    <w:rsid w:val="00D048DB"/>
    <w:rsid w:val="00D07337"/>
    <w:rsid w:val="00D12E2A"/>
    <w:rsid w:val="00D13F8A"/>
    <w:rsid w:val="00D14F0B"/>
    <w:rsid w:val="00D15EF0"/>
    <w:rsid w:val="00D178CA"/>
    <w:rsid w:val="00D23BDE"/>
    <w:rsid w:val="00D24709"/>
    <w:rsid w:val="00D24FED"/>
    <w:rsid w:val="00D2664B"/>
    <w:rsid w:val="00D267B2"/>
    <w:rsid w:val="00D26F34"/>
    <w:rsid w:val="00D31E25"/>
    <w:rsid w:val="00D3218E"/>
    <w:rsid w:val="00D3311C"/>
    <w:rsid w:val="00D349FD"/>
    <w:rsid w:val="00D34FD8"/>
    <w:rsid w:val="00D43AC6"/>
    <w:rsid w:val="00D456B7"/>
    <w:rsid w:val="00D466E6"/>
    <w:rsid w:val="00D46C52"/>
    <w:rsid w:val="00D50DBB"/>
    <w:rsid w:val="00D520EC"/>
    <w:rsid w:val="00D52250"/>
    <w:rsid w:val="00D53405"/>
    <w:rsid w:val="00D540C6"/>
    <w:rsid w:val="00D5457B"/>
    <w:rsid w:val="00D56CFE"/>
    <w:rsid w:val="00D57958"/>
    <w:rsid w:val="00D607BC"/>
    <w:rsid w:val="00D645F2"/>
    <w:rsid w:val="00D64BBC"/>
    <w:rsid w:val="00D64BE7"/>
    <w:rsid w:val="00D65153"/>
    <w:rsid w:val="00D67250"/>
    <w:rsid w:val="00D67721"/>
    <w:rsid w:val="00D72500"/>
    <w:rsid w:val="00D72995"/>
    <w:rsid w:val="00D72D39"/>
    <w:rsid w:val="00D733EE"/>
    <w:rsid w:val="00D734E3"/>
    <w:rsid w:val="00D73685"/>
    <w:rsid w:val="00D752BB"/>
    <w:rsid w:val="00D7569F"/>
    <w:rsid w:val="00D75793"/>
    <w:rsid w:val="00D76421"/>
    <w:rsid w:val="00D8009B"/>
    <w:rsid w:val="00D802AA"/>
    <w:rsid w:val="00D8087F"/>
    <w:rsid w:val="00D80F88"/>
    <w:rsid w:val="00D81EE2"/>
    <w:rsid w:val="00D83187"/>
    <w:rsid w:val="00D83BEA"/>
    <w:rsid w:val="00D8628D"/>
    <w:rsid w:val="00D869E0"/>
    <w:rsid w:val="00D87B05"/>
    <w:rsid w:val="00D96C14"/>
    <w:rsid w:val="00DA0A1E"/>
    <w:rsid w:val="00DA179F"/>
    <w:rsid w:val="00DA7FA2"/>
    <w:rsid w:val="00DB0AF4"/>
    <w:rsid w:val="00DB3C2D"/>
    <w:rsid w:val="00DB47E5"/>
    <w:rsid w:val="00DB5A9F"/>
    <w:rsid w:val="00DB6157"/>
    <w:rsid w:val="00DB6AAA"/>
    <w:rsid w:val="00DC08FB"/>
    <w:rsid w:val="00DC153F"/>
    <w:rsid w:val="00DC264E"/>
    <w:rsid w:val="00DC2D8D"/>
    <w:rsid w:val="00DC325B"/>
    <w:rsid w:val="00DC4BE8"/>
    <w:rsid w:val="00DC6188"/>
    <w:rsid w:val="00DC7648"/>
    <w:rsid w:val="00DC7F67"/>
    <w:rsid w:val="00DC7FA9"/>
    <w:rsid w:val="00DD7300"/>
    <w:rsid w:val="00DE1F5D"/>
    <w:rsid w:val="00DE50D8"/>
    <w:rsid w:val="00DF278A"/>
    <w:rsid w:val="00DF349C"/>
    <w:rsid w:val="00DF566C"/>
    <w:rsid w:val="00DF7445"/>
    <w:rsid w:val="00E00AC0"/>
    <w:rsid w:val="00E03F68"/>
    <w:rsid w:val="00E04BC9"/>
    <w:rsid w:val="00E064BB"/>
    <w:rsid w:val="00E07AB8"/>
    <w:rsid w:val="00E11862"/>
    <w:rsid w:val="00E11B90"/>
    <w:rsid w:val="00E1219C"/>
    <w:rsid w:val="00E1375A"/>
    <w:rsid w:val="00E13E35"/>
    <w:rsid w:val="00E1664B"/>
    <w:rsid w:val="00E16F18"/>
    <w:rsid w:val="00E25AEF"/>
    <w:rsid w:val="00E26C16"/>
    <w:rsid w:val="00E30D12"/>
    <w:rsid w:val="00E3394E"/>
    <w:rsid w:val="00E35241"/>
    <w:rsid w:val="00E405FF"/>
    <w:rsid w:val="00E41417"/>
    <w:rsid w:val="00E42FAA"/>
    <w:rsid w:val="00E52B4D"/>
    <w:rsid w:val="00E531AF"/>
    <w:rsid w:val="00E536D3"/>
    <w:rsid w:val="00E541E9"/>
    <w:rsid w:val="00E54BEA"/>
    <w:rsid w:val="00E57BE2"/>
    <w:rsid w:val="00E60717"/>
    <w:rsid w:val="00E61DE3"/>
    <w:rsid w:val="00E62A95"/>
    <w:rsid w:val="00E649D5"/>
    <w:rsid w:val="00E65D9E"/>
    <w:rsid w:val="00E67200"/>
    <w:rsid w:val="00E67795"/>
    <w:rsid w:val="00E67D82"/>
    <w:rsid w:val="00E7339D"/>
    <w:rsid w:val="00E73548"/>
    <w:rsid w:val="00E73805"/>
    <w:rsid w:val="00E7395F"/>
    <w:rsid w:val="00E746A2"/>
    <w:rsid w:val="00E80D7E"/>
    <w:rsid w:val="00E83B96"/>
    <w:rsid w:val="00E8495E"/>
    <w:rsid w:val="00E86DAD"/>
    <w:rsid w:val="00E90D06"/>
    <w:rsid w:val="00E9165C"/>
    <w:rsid w:val="00E93BAA"/>
    <w:rsid w:val="00E97E59"/>
    <w:rsid w:val="00EA06F7"/>
    <w:rsid w:val="00EA1154"/>
    <w:rsid w:val="00EA2E0C"/>
    <w:rsid w:val="00EA7955"/>
    <w:rsid w:val="00EA79C9"/>
    <w:rsid w:val="00EA7D7A"/>
    <w:rsid w:val="00EB04DB"/>
    <w:rsid w:val="00EB5277"/>
    <w:rsid w:val="00EB5739"/>
    <w:rsid w:val="00EB5822"/>
    <w:rsid w:val="00EB66AC"/>
    <w:rsid w:val="00EB76A6"/>
    <w:rsid w:val="00EC1225"/>
    <w:rsid w:val="00EC1C76"/>
    <w:rsid w:val="00EC2247"/>
    <w:rsid w:val="00EC33DF"/>
    <w:rsid w:val="00EC409D"/>
    <w:rsid w:val="00ED01C6"/>
    <w:rsid w:val="00ED0C6E"/>
    <w:rsid w:val="00ED79A8"/>
    <w:rsid w:val="00EE1F87"/>
    <w:rsid w:val="00EE3931"/>
    <w:rsid w:val="00EE3AF7"/>
    <w:rsid w:val="00EE5AF6"/>
    <w:rsid w:val="00EF218E"/>
    <w:rsid w:val="00EF2CEF"/>
    <w:rsid w:val="00EF3EC9"/>
    <w:rsid w:val="00EF4D65"/>
    <w:rsid w:val="00EF6E69"/>
    <w:rsid w:val="00EF7ADC"/>
    <w:rsid w:val="00F0653F"/>
    <w:rsid w:val="00F06B6B"/>
    <w:rsid w:val="00F0709C"/>
    <w:rsid w:val="00F07701"/>
    <w:rsid w:val="00F104C7"/>
    <w:rsid w:val="00F1092D"/>
    <w:rsid w:val="00F1163C"/>
    <w:rsid w:val="00F13170"/>
    <w:rsid w:val="00F165AB"/>
    <w:rsid w:val="00F16C40"/>
    <w:rsid w:val="00F176C5"/>
    <w:rsid w:val="00F17F20"/>
    <w:rsid w:val="00F200F0"/>
    <w:rsid w:val="00F2043F"/>
    <w:rsid w:val="00F27BD7"/>
    <w:rsid w:val="00F311E7"/>
    <w:rsid w:val="00F31860"/>
    <w:rsid w:val="00F32734"/>
    <w:rsid w:val="00F33004"/>
    <w:rsid w:val="00F33810"/>
    <w:rsid w:val="00F42C20"/>
    <w:rsid w:val="00F431D8"/>
    <w:rsid w:val="00F43203"/>
    <w:rsid w:val="00F43A45"/>
    <w:rsid w:val="00F457C7"/>
    <w:rsid w:val="00F46363"/>
    <w:rsid w:val="00F5238F"/>
    <w:rsid w:val="00F54630"/>
    <w:rsid w:val="00F62F1D"/>
    <w:rsid w:val="00F6325A"/>
    <w:rsid w:val="00F63E8D"/>
    <w:rsid w:val="00F65B56"/>
    <w:rsid w:val="00F65F71"/>
    <w:rsid w:val="00F66EE7"/>
    <w:rsid w:val="00F67706"/>
    <w:rsid w:val="00F7011A"/>
    <w:rsid w:val="00F743EF"/>
    <w:rsid w:val="00F75BF2"/>
    <w:rsid w:val="00F77CCA"/>
    <w:rsid w:val="00F81FE3"/>
    <w:rsid w:val="00F83EA2"/>
    <w:rsid w:val="00F84EE6"/>
    <w:rsid w:val="00F90F82"/>
    <w:rsid w:val="00F923D5"/>
    <w:rsid w:val="00F92D75"/>
    <w:rsid w:val="00F96BFB"/>
    <w:rsid w:val="00F97327"/>
    <w:rsid w:val="00FA296F"/>
    <w:rsid w:val="00FA7323"/>
    <w:rsid w:val="00FB1299"/>
    <w:rsid w:val="00FB3622"/>
    <w:rsid w:val="00FB47A6"/>
    <w:rsid w:val="00FB4997"/>
    <w:rsid w:val="00FB4D30"/>
    <w:rsid w:val="00FB4EF1"/>
    <w:rsid w:val="00FC0C03"/>
    <w:rsid w:val="00FC32D3"/>
    <w:rsid w:val="00FC3DA3"/>
    <w:rsid w:val="00FC4E5B"/>
    <w:rsid w:val="00FC67A4"/>
    <w:rsid w:val="00FD02FC"/>
    <w:rsid w:val="00FD0594"/>
    <w:rsid w:val="00FD0687"/>
    <w:rsid w:val="00FD08D3"/>
    <w:rsid w:val="00FD19C1"/>
    <w:rsid w:val="00FD24C4"/>
    <w:rsid w:val="00FD36A6"/>
    <w:rsid w:val="00FD46C6"/>
    <w:rsid w:val="00FD4D82"/>
    <w:rsid w:val="00FD664F"/>
    <w:rsid w:val="00FE082D"/>
    <w:rsid w:val="00FE227D"/>
    <w:rsid w:val="00FE29F6"/>
    <w:rsid w:val="00FE3417"/>
    <w:rsid w:val="00FE40A8"/>
    <w:rsid w:val="00FE4B06"/>
    <w:rsid w:val="00FE555F"/>
    <w:rsid w:val="00FE57AE"/>
    <w:rsid w:val="00FF0061"/>
    <w:rsid w:val="00FF22B1"/>
    <w:rsid w:val="00FF526E"/>
    <w:rsid w:val="00FF7C21"/>
    <w:rsid w:val="05DC8744"/>
    <w:rsid w:val="089ECD96"/>
    <w:rsid w:val="15FEA249"/>
    <w:rsid w:val="1BD4FD48"/>
    <w:rsid w:val="201448F9"/>
    <w:rsid w:val="2DA333EF"/>
    <w:rsid w:val="30F6AB53"/>
    <w:rsid w:val="41C7CC71"/>
    <w:rsid w:val="4E6EAB22"/>
    <w:rsid w:val="542A6825"/>
    <w:rsid w:val="5853D39C"/>
    <w:rsid w:val="5B349267"/>
    <w:rsid w:val="62D96441"/>
    <w:rsid w:val="6F38CF4E"/>
    <w:rsid w:val="7163C3D7"/>
    <w:rsid w:val="75EC9394"/>
    <w:rsid w:val="7C3AB8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5B8DA2C"/>
  <w15:docId w15:val="{4028CD53-9B2C-4363-9545-509BCEAD6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1">
    <w:name w:val="heading 1"/>
    <w:basedOn w:val="Normal"/>
    <w:next w:val="Normal"/>
    <w:link w:val="Heading1Char"/>
    <w:uiPriority w:val="9"/>
    <w:qFormat/>
    <w:rsid w:val="007659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aliases w:val="Char18"/>
    <w:basedOn w:val="Normal"/>
    <w:link w:val="FootnoteTextChar"/>
    <w:uiPriority w:val="99"/>
    <w:qFormat/>
    <w:rsid w:val="00765156"/>
    <w:pPr>
      <w:ind w:left="0" w:firstLine="0"/>
    </w:pPr>
    <w:rPr>
      <w:rFonts w:ascii="Times New Roman" w:eastAsia="Calibri" w:hAnsi="Times New Roman" w:cs="Times New Roman"/>
      <w:sz w:val="20"/>
      <w:szCs w:val="20"/>
    </w:rPr>
  </w:style>
  <w:style w:type="character" w:customStyle="1" w:styleId="FootnoteTextChar">
    <w:name w:val="Footnote Text Char"/>
    <w:aliases w:val="Char18 Char"/>
    <w:basedOn w:val="DefaultParagraphFont"/>
    <w:link w:val="FootnoteText"/>
    <w:uiPriority w:val="99"/>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customStyle="1" w:styleId="UnresolvedMention1">
    <w:name w:val="Unresolved Mention1"/>
    <w:basedOn w:val="DefaultParagraphFont"/>
    <w:uiPriority w:val="99"/>
    <w:semiHidden/>
    <w:unhideWhenUsed/>
    <w:rsid w:val="002750FF"/>
    <w:rPr>
      <w:color w:val="808080"/>
      <w:shd w:val="clear" w:color="auto" w:fill="E6E6E6"/>
    </w:rPr>
  </w:style>
  <w:style w:type="character" w:customStyle="1" w:styleId="Heading1Char">
    <w:name w:val="Heading 1 Char"/>
    <w:basedOn w:val="DefaultParagraphFont"/>
    <w:link w:val="Heading1"/>
    <w:uiPriority w:val="9"/>
    <w:rsid w:val="00765988"/>
    <w:rPr>
      <w:rFonts w:asciiTheme="majorHAnsi" w:eastAsiaTheme="majorEastAsia" w:hAnsiTheme="majorHAnsi" w:cstheme="majorBidi"/>
      <w:color w:val="365F91" w:themeColor="accent1" w:themeShade="BF"/>
      <w:sz w:val="32"/>
      <w:szCs w:val="32"/>
    </w:rPr>
  </w:style>
  <w:style w:type="character" w:customStyle="1" w:styleId="highlight">
    <w:name w:val="highlight"/>
    <w:basedOn w:val="DefaultParagraphFont"/>
    <w:rsid w:val="00765988"/>
  </w:style>
  <w:style w:type="character" w:styleId="FootnoteReference">
    <w:name w:val="footnote reference"/>
    <w:basedOn w:val="DefaultParagraphFont"/>
    <w:uiPriority w:val="99"/>
    <w:unhideWhenUsed/>
    <w:qFormat/>
    <w:rsid w:val="00396138"/>
    <w:rPr>
      <w:vertAlign w:val="superscript"/>
    </w:rPr>
  </w:style>
  <w:style w:type="paragraph" w:styleId="NormalWeb">
    <w:name w:val="Normal (Web)"/>
    <w:basedOn w:val="Normal"/>
    <w:uiPriority w:val="99"/>
    <w:semiHidden/>
    <w:unhideWhenUsed/>
    <w:rsid w:val="00C952DB"/>
    <w:pPr>
      <w:spacing w:before="100" w:beforeAutospacing="1" w:after="100" w:afterAutospacing="1"/>
      <w:ind w:left="0" w:firstLine="0"/>
    </w:pPr>
    <w:rPr>
      <w:rFonts w:ascii="Calibri" w:hAnsi="Calibri" w:cs="Calibri"/>
    </w:rPr>
  </w:style>
  <w:style w:type="character" w:customStyle="1" w:styleId="A2">
    <w:name w:val="A2"/>
    <w:uiPriority w:val="99"/>
    <w:rsid w:val="000043B9"/>
    <w:rPr>
      <w:rFonts w:cs="Futura Std"/>
      <w:color w:val="000000"/>
      <w:sz w:val="20"/>
      <w:szCs w:val="20"/>
    </w:rPr>
  </w:style>
  <w:style w:type="paragraph" w:customStyle="1" w:styleId="question">
    <w:name w:val="question"/>
    <w:basedOn w:val="Normal"/>
    <w:qFormat/>
    <w:rsid w:val="0084667A"/>
    <w:pPr>
      <w:spacing w:before="240"/>
      <w:ind w:left="540" w:right="140" w:hanging="540"/>
    </w:pPr>
    <w:rPr>
      <w:iCs/>
    </w:rPr>
  </w:style>
  <w:style w:type="paragraph" w:customStyle="1" w:styleId="Response">
    <w:name w:val="Response"/>
    <w:basedOn w:val="Normal"/>
    <w:link w:val="ResponseChar"/>
    <w:qFormat/>
    <w:rsid w:val="0038014E"/>
    <w:pPr>
      <w:spacing w:before="240" w:after="240"/>
      <w:ind w:left="432" w:firstLine="0"/>
    </w:pPr>
    <w:rPr>
      <w:color w:val="7030A0"/>
    </w:rPr>
  </w:style>
  <w:style w:type="character" w:customStyle="1" w:styleId="ResponseChar">
    <w:name w:val="Response Char"/>
    <w:basedOn w:val="DefaultParagraphFont"/>
    <w:link w:val="Response"/>
    <w:rsid w:val="0038014E"/>
    <w:rPr>
      <w:color w:val="7030A0"/>
    </w:rPr>
  </w:style>
  <w:style w:type="paragraph" w:styleId="PlainText">
    <w:name w:val="Plain Text"/>
    <w:basedOn w:val="Normal"/>
    <w:link w:val="PlainTextChar"/>
    <w:uiPriority w:val="99"/>
    <w:semiHidden/>
    <w:unhideWhenUsed/>
    <w:rsid w:val="002B4F7D"/>
    <w:pPr>
      <w:ind w:left="0" w:firstLine="0"/>
    </w:pPr>
    <w:rPr>
      <w:rFonts w:ascii="Calibri" w:hAnsi="Calibri" w:cs="Calibri"/>
    </w:rPr>
  </w:style>
  <w:style w:type="character" w:customStyle="1" w:styleId="PlainTextChar">
    <w:name w:val="Plain Text Char"/>
    <w:basedOn w:val="DefaultParagraphFont"/>
    <w:link w:val="PlainText"/>
    <w:uiPriority w:val="99"/>
    <w:semiHidden/>
    <w:rsid w:val="002B4F7D"/>
    <w:rPr>
      <w:rFonts w:ascii="Calibri" w:hAnsi="Calibri" w:cs="Calibri"/>
    </w:rPr>
  </w:style>
  <w:style w:type="paragraph" w:customStyle="1" w:styleId="Default">
    <w:name w:val="Default"/>
    <w:rsid w:val="00D12E2A"/>
    <w:pPr>
      <w:autoSpaceDE w:val="0"/>
      <w:autoSpaceDN w:val="0"/>
      <w:adjustRightInd w:val="0"/>
      <w:ind w:left="0" w:firstLine="0"/>
    </w:pPr>
    <w:rPr>
      <w:rFonts w:ascii="Times New Roman" w:hAnsi="Times New Roman" w:cs="Times New Roman"/>
      <w:color w:val="000000"/>
      <w:sz w:val="24"/>
      <w:szCs w:val="24"/>
    </w:rPr>
  </w:style>
  <w:style w:type="paragraph" w:styleId="Caption">
    <w:name w:val="caption"/>
    <w:basedOn w:val="Normal"/>
    <w:next w:val="Normal"/>
    <w:uiPriority w:val="35"/>
    <w:unhideWhenUsed/>
    <w:qFormat/>
    <w:rsid w:val="00AC669C"/>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1205">
      <w:bodyDiv w:val="1"/>
      <w:marLeft w:val="0"/>
      <w:marRight w:val="0"/>
      <w:marTop w:val="0"/>
      <w:marBottom w:val="0"/>
      <w:divBdr>
        <w:top w:val="none" w:sz="0" w:space="0" w:color="auto"/>
        <w:left w:val="none" w:sz="0" w:space="0" w:color="auto"/>
        <w:bottom w:val="none" w:sz="0" w:space="0" w:color="auto"/>
        <w:right w:val="none" w:sz="0" w:space="0" w:color="auto"/>
      </w:divBdr>
    </w:div>
    <w:div w:id="129398521">
      <w:bodyDiv w:val="1"/>
      <w:marLeft w:val="0"/>
      <w:marRight w:val="0"/>
      <w:marTop w:val="0"/>
      <w:marBottom w:val="0"/>
      <w:divBdr>
        <w:top w:val="none" w:sz="0" w:space="0" w:color="auto"/>
        <w:left w:val="none" w:sz="0" w:space="0" w:color="auto"/>
        <w:bottom w:val="none" w:sz="0" w:space="0" w:color="auto"/>
        <w:right w:val="none" w:sz="0" w:space="0" w:color="auto"/>
      </w:divBdr>
    </w:div>
    <w:div w:id="169217953">
      <w:bodyDiv w:val="1"/>
      <w:marLeft w:val="0"/>
      <w:marRight w:val="0"/>
      <w:marTop w:val="0"/>
      <w:marBottom w:val="0"/>
      <w:divBdr>
        <w:top w:val="none" w:sz="0" w:space="0" w:color="auto"/>
        <w:left w:val="none" w:sz="0" w:space="0" w:color="auto"/>
        <w:bottom w:val="none" w:sz="0" w:space="0" w:color="auto"/>
        <w:right w:val="none" w:sz="0" w:space="0" w:color="auto"/>
      </w:divBdr>
    </w:div>
    <w:div w:id="258147076">
      <w:bodyDiv w:val="1"/>
      <w:marLeft w:val="0"/>
      <w:marRight w:val="0"/>
      <w:marTop w:val="0"/>
      <w:marBottom w:val="0"/>
      <w:divBdr>
        <w:top w:val="none" w:sz="0" w:space="0" w:color="auto"/>
        <w:left w:val="none" w:sz="0" w:space="0" w:color="auto"/>
        <w:bottom w:val="none" w:sz="0" w:space="0" w:color="auto"/>
        <w:right w:val="none" w:sz="0" w:space="0" w:color="auto"/>
      </w:divBdr>
    </w:div>
    <w:div w:id="268900114">
      <w:bodyDiv w:val="1"/>
      <w:marLeft w:val="0"/>
      <w:marRight w:val="0"/>
      <w:marTop w:val="0"/>
      <w:marBottom w:val="0"/>
      <w:divBdr>
        <w:top w:val="none" w:sz="0" w:space="0" w:color="auto"/>
        <w:left w:val="none" w:sz="0" w:space="0" w:color="auto"/>
        <w:bottom w:val="none" w:sz="0" w:space="0" w:color="auto"/>
        <w:right w:val="none" w:sz="0" w:space="0" w:color="auto"/>
      </w:divBdr>
      <w:divsChild>
        <w:div w:id="1886285285">
          <w:marLeft w:val="0"/>
          <w:marRight w:val="0"/>
          <w:marTop w:val="0"/>
          <w:marBottom w:val="0"/>
          <w:divBdr>
            <w:top w:val="none" w:sz="0" w:space="0" w:color="auto"/>
            <w:left w:val="none" w:sz="0" w:space="0" w:color="auto"/>
            <w:bottom w:val="none" w:sz="0" w:space="0" w:color="auto"/>
            <w:right w:val="none" w:sz="0" w:space="0" w:color="auto"/>
          </w:divBdr>
          <w:divsChild>
            <w:div w:id="112187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253806">
      <w:bodyDiv w:val="1"/>
      <w:marLeft w:val="0"/>
      <w:marRight w:val="0"/>
      <w:marTop w:val="0"/>
      <w:marBottom w:val="0"/>
      <w:divBdr>
        <w:top w:val="none" w:sz="0" w:space="0" w:color="auto"/>
        <w:left w:val="none" w:sz="0" w:space="0" w:color="auto"/>
        <w:bottom w:val="none" w:sz="0" w:space="0" w:color="auto"/>
        <w:right w:val="none" w:sz="0" w:space="0" w:color="auto"/>
      </w:divBdr>
    </w:div>
    <w:div w:id="362437255">
      <w:bodyDiv w:val="1"/>
      <w:marLeft w:val="0"/>
      <w:marRight w:val="0"/>
      <w:marTop w:val="0"/>
      <w:marBottom w:val="0"/>
      <w:divBdr>
        <w:top w:val="none" w:sz="0" w:space="0" w:color="auto"/>
        <w:left w:val="none" w:sz="0" w:space="0" w:color="auto"/>
        <w:bottom w:val="none" w:sz="0" w:space="0" w:color="auto"/>
        <w:right w:val="none" w:sz="0" w:space="0" w:color="auto"/>
      </w:divBdr>
    </w:div>
    <w:div w:id="1046181282">
      <w:bodyDiv w:val="1"/>
      <w:marLeft w:val="0"/>
      <w:marRight w:val="0"/>
      <w:marTop w:val="0"/>
      <w:marBottom w:val="0"/>
      <w:divBdr>
        <w:top w:val="none" w:sz="0" w:space="0" w:color="auto"/>
        <w:left w:val="none" w:sz="0" w:space="0" w:color="auto"/>
        <w:bottom w:val="none" w:sz="0" w:space="0" w:color="auto"/>
        <w:right w:val="none" w:sz="0" w:space="0" w:color="auto"/>
      </w:divBdr>
    </w:div>
    <w:div w:id="1102259112">
      <w:bodyDiv w:val="1"/>
      <w:marLeft w:val="0"/>
      <w:marRight w:val="0"/>
      <w:marTop w:val="0"/>
      <w:marBottom w:val="0"/>
      <w:divBdr>
        <w:top w:val="none" w:sz="0" w:space="0" w:color="auto"/>
        <w:left w:val="none" w:sz="0" w:space="0" w:color="auto"/>
        <w:bottom w:val="none" w:sz="0" w:space="0" w:color="auto"/>
        <w:right w:val="none" w:sz="0" w:space="0" w:color="auto"/>
      </w:divBdr>
    </w:div>
    <w:div w:id="1260870525">
      <w:bodyDiv w:val="1"/>
      <w:marLeft w:val="0"/>
      <w:marRight w:val="0"/>
      <w:marTop w:val="0"/>
      <w:marBottom w:val="0"/>
      <w:divBdr>
        <w:top w:val="none" w:sz="0" w:space="0" w:color="auto"/>
        <w:left w:val="none" w:sz="0" w:space="0" w:color="auto"/>
        <w:bottom w:val="none" w:sz="0" w:space="0" w:color="auto"/>
        <w:right w:val="none" w:sz="0" w:space="0" w:color="auto"/>
      </w:divBdr>
    </w:div>
    <w:div w:id="1322662612">
      <w:bodyDiv w:val="1"/>
      <w:marLeft w:val="0"/>
      <w:marRight w:val="0"/>
      <w:marTop w:val="0"/>
      <w:marBottom w:val="0"/>
      <w:divBdr>
        <w:top w:val="none" w:sz="0" w:space="0" w:color="auto"/>
        <w:left w:val="none" w:sz="0" w:space="0" w:color="auto"/>
        <w:bottom w:val="none" w:sz="0" w:space="0" w:color="auto"/>
        <w:right w:val="none" w:sz="0" w:space="0" w:color="auto"/>
      </w:divBdr>
      <w:divsChild>
        <w:div w:id="88673">
          <w:marLeft w:val="1800"/>
          <w:marRight w:val="0"/>
          <w:marTop w:val="0"/>
          <w:marBottom w:val="0"/>
          <w:divBdr>
            <w:top w:val="none" w:sz="0" w:space="0" w:color="auto"/>
            <w:left w:val="none" w:sz="0" w:space="0" w:color="auto"/>
            <w:bottom w:val="none" w:sz="0" w:space="0" w:color="auto"/>
            <w:right w:val="none" w:sz="0" w:space="0" w:color="auto"/>
          </w:divBdr>
        </w:div>
        <w:div w:id="263154025">
          <w:marLeft w:val="1166"/>
          <w:marRight w:val="0"/>
          <w:marTop w:val="0"/>
          <w:marBottom w:val="0"/>
          <w:divBdr>
            <w:top w:val="none" w:sz="0" w:space="0" w:color="auto"/>
            <w:left w:val="none" w:sz="0" w:space="0" w:color="auto"/>
            <w:bottom w:val="none" w:sz="0" w:space="0" w:color="auto"/>
            <w:right w:val="none" w:sz="0" w:space="0" w:color="auto"/>
          </w:divBdr>
        </w:div>
        <w:div w:id="531066476">
          <w:marLeft w:val="1166"/>
          <w:marRight w:val="0"/>
          <w:marTop w:val="0"/>
          <w:marBottom w:val="0"/>
          <w:divBdr>
            <w:top w:val="none" w:sz="0" w:space="0" w:color="auto"/>
            <w:left w:val="none" w:sz="0" w:space="0" w:color="auto"/>
            <w:bottom w:val="none" w:sz="0" w:space="0" w:color="auto"/>
            <w:right w:val="none" w:sz="0" w:space="0" w:color="auto"/>
          </w:divBdr>
        </w:div>
        <w:div w:id="642396148">
          <w:marLeft w:val="1800"/>
          <w:marRight w:val="0"/>
          <w:marTop w:val="0"/>
          <w:marBottom w:val="0"/>
          <w:divBdr>
            <w:top w:val="none" w:sz="0" w:space="0" w:color="auto"/>
            <w:left w:val="none" w:sz="0" w:space="0" w:color="auto"/>
            <w:bottom w:val="none" w:sz="0" w:space="0" w:color="auto"/>
            <w:right w:val="none" w:sz="0" w:space="0" w:color="auto"/>
          </w:divBdr>
        </w:div>
        <w:div w:id="920724174">
          <w:marLeft w:val="1800"/>
          <w:marRight w:val="0"/>
          <w:marTop w:val="0"/>
          <w:marBottom w:val="0"/>
          <w:divBdr>
            <w:top w:val="none" w:sz="0" w:space="0" w:color="auto"/>
            <w:left w:val="none" w:sz="0" w:space="0" w:color="auto"/>
            <w:bottom w:val="none" w:sz="0" w:space="0" w:color="auto"/>
            <w:right w:val="none" w:sz="0" w:space="0" w:color="auto"/>
          </w:divBdr>
        </w:div>
        <w:div w:id="1038628783">
          <w:marLeft w:val="1166"/>
          <w:marRight w:val="0"/>
          <w:marTop w:val="0"/>
          <w:marBottom w:val="0"/>
          <w:divBdr>
            <w:top w:val="none" w:sz="0" w:space="0" w:color="auto"/>
            <w:left w:val="none" w:sz="0" w:space="0" w:color="auto"/>
            <w:bottom w:val="none" w:sz="0" w:space="0" w:color="auto"/>
            <w:right w:val="none" w:sz="0" w:space="0" w:color="auto"/>
          </w:divBdr>
        </w:div>
        <w:div w:id="1541091714">
          <w:marLeft w:val="1166"/>
          <w:marRight w:val="0"/>
          <w:marTop w:val="0"/>
          <w:marBottom w:val="0"/>
          <w:divBdr>
            <w:top w:val="none" w:sz="0" w:space="0" w:color="auto"/>
            <w:left w:val="none" w:sz="0" w:space="0" w:color="auto"/>
            <w:bottom w:val="none" w:sz="0" w:space="0" w:color="auto"/>
            <w:right w:val="none" w:sz="0" w:space="0" w:color="auto"/>
          </w:divBdr>
        </w:div>
        <w:div w:id="1832746221">
          <w:marLeft w:val="1800"/>
          <w:marRight w:val="0"/>
          <w:marTop w:val="0"/>
          <w:marBottom w:val="0"/>
          <w:divBdr>
            <w:top w:val="none" w:sz="0" w:space="0" w:color="auto"/>
            <w:left w:val="none" w:sz="0" w:space="0" w:color="auto"/>
            <w:bottom w:val="none" w:sz="0" w:space="0" w:color="auto"/>
            <w:right w:val="none" w:sz="0" w:space="0" w:color="auto"/>
          </w:divBdr>
        </w:div>
        <w:div w:id="2051807878">
          <w:marLeft w:val="1166"/>
          <w:marRight w:val="0"/>
          <w:marTop w:val="0"/>
          <w:marBottom w:val="0"/>
          <w:divBdr>
            <w:top w:val="none" w:sz="0" w:space="0" w:color="auto"/>
            <w:left w:val="none" w:sz="0" w:space="0" w:color="auto"/>
            <w:bottom w:val="none" w:sz="0" w:space="0" w:color="auto"/>
            <w:right w:val="none" w:sz="0" w:space="0" w:color="auto"/>
          </w:divBdr>
        </w:div>
        <w:div w:id="2146312159">
          <w:marLeft w:val="1166"/>
          <w:marRight w:val="0"/>
          <w:marTop w:val="0"/>
          <w:marBottom w:val="0"/>
          <w:divBdr>
            <w:top w:val="none" w:sz="0" w:space="0" w:color="auto"/>
            <w:left w:val="none" w:sz="0" w:space="0" w:color="auto"/>
            <w:bottom w:val="none" w:sz="0" w:space="0" w:color="auto"/>
            <w:right w:val="none" w:sz="0" w:space="0" w:color="auto"/>
          </w:divBdr>
        </w:div>
      </w:divsChild>
    </w:div>
    <w:div w:id="1367220046">
      <w:bodyDiv w:val="1"/>
      <w:marLeft w:val="0"/>
      <w:marRight w:val="0"/>
      <w:marTop w:val="0"/>
      <w:marBottom w:val="0"/>
      <w:divBdr>
        <w:top w:val="none" w:sz="0" w:space="0" w:color="auto"/>
        <w:left w:val="none" w:sz="0" w:space="0" w:color="auto"/>
        <w:bottom w:val="none" w:sz="0" w:space="0" w:color="auto"/>
        <w:right w:val="none" w:sz="0" w:space="0" w:color="auto"/>
      </w:divBdr>
    </w:div>
    <w:div w:id="1629165434">
      <w:bodyDiv w:val="1"/>
      <w:marLeft w:val="0"/>
      <w:marRight w:val="0"/>
      <w:marTop w:val="0"/>
      <w:marBottom w:val="0"/>
      <w:divBdr>
        <w:top w:val="none" w:sz="0" w:space="0" w:color="auto"/>
        <w:left w:val="none" w:sz="0" w:space="0" w:color="auto"/>
        <w:bottom w:val="none" w:sz="0" w:space="0" w:color="auto"/>
        <w:right w:val="none" w:sz="0" w:space="0" w:color="auto"/>
      </w:divBdr>
    </w:div>
    <w:div w:id="1632860486">
      <w:bodyDiv w:val="1"/>
      <w:marLeft w:val="0"/>
      <w:marRight w:val="0"/>
      <w:marTop w:val="0"/>
      <w:marBottom w:val="0"/>
      <w:divBdr>
        <w:top w:val="none" w:sz="0" w:space="0" w:color="auto"/>
        <w:left w:val="none" w:sz="0" w:space="0" w:color="auto"/>
        <w:bottom w:val="none" w:sz="0" w:space="0" w:color="auto"/>
        <w:right w:val="none" w:sz="0" w:space="0" w:color="auto"/>
      </w:divBdr>
    </w:div>
    <w:div w:id="1682972451">
      <w:bodyDiv w:val="1"/>
      <w:marLeft w:val="0"/>
      <w:marRight w:val="0"/>
      <w:marTop w:val="0"/>
      <w:marBottom w:val="0"/>
      <w:divBdr>
        <w:top w:val="none" w:sz="0" w:space="0" w:color="auto"/>
        <w:left w:val="none" w:sz="0" w:space="0" w:color="auto"/>
        <w:bottom w:val="none" w:sz="0" w:space="0" w:color="auto"/>
        <w:right w:val="none" w:sz="0" w:space="0" w:color="auto"/>
      </w:divBdr>
    </w:div>
    <w:div w:id="1720933732">
      <w:bodyDiv w:val="1"/>
      <w:marLeft w:val="0"/>
      <w:marRight w:val="0"/>
      <w:marTop w:val="0"/>
      <w:marBottom w:val="0"/>
      <w:divBdr>
        <w:top w:val="none" w:sz="0" w:space="0" w:color="auto"/>
        <w:left w:val="none" w:sz="0" w:space="0" w:color="auto"/>
        <w:bottom w:val="none" w:sz="0" w:space="0" w:color="auto"/>
        <w:right w:val="none" w:sz="0" w:space="0" w:color="auto"/>
      </w:divBdr>
    </w:div>
    <w:div w:id="1799371359">
      <w:bodyDiv w:val="1"/>
      <w:marLeft w:val="0"/>
      <w:marRight w:val="0"/>
      <w:marTop w:val="0"/>
      <w:marBottom w:val="0"/>
      <w:divBdr>
        <w:top w:val="none" w:sz="0" w:space="0" w:color="auto"/>
        <w:left w:val="none" w:sz="0" w:space="0" w:color="auto"/>
        <w:bottom w:val="none" w:sz="0" w:space="0" w:color="auto"/>
        <w:right w:val="none" w:sz="0" w:space="0" w:color="auto"/>
      </w:divBdr>
      <w:divsChild>
        <w:div w:id="273754309">
          <w:marLeft w:val="547"/>
          <w:marRight w:val="0"/>
          <w:marTop w:val="0"/>
          <w:marBottom w:val="0"/>
          <w:divBdr>
            <w:top w:val="none" w:sz="0" w:space="0" w:color="auto"/>
            <w:left w:val="none" w:sz="0" w:space="0" w:color="auto"/>
            <w:bottom w:val="none" w:sz="0" w:space="0" w:color="auto"/>
            <w:right w:val="none" w:sz="0" w:space="0" w:color="auto"/>
          </w:divBdr>
        </w:div>
        <w:div w:id="299002430">
          <w:marLeft w:val="547"/>
          <w:marRight w:val="0"/>
          <w:marTop w:val="0"/>
          <w:marBottom w:val="0"/>
          <w:divBdr>
            <w:top w:val="none" w:sz="0" w:space="0" w:color="auto"/>
            <w:left w:val="none" w:sz="0" w:space="0" w:color="auto"/>
            <w:bottom w:val="none" w:sz="0" w:space="0" w:color="auto"/>
            <w:right w:val="none" w:sz="0" w:space="0" w:color="auto"/>
          </w:divBdr>
        </w:div>
        <w:div w:id="1121072915">
          <w:marLeft w:val="547"/>
          <w:marRight w:val="0"/>
          <w:marTop w:val="0"/>
          <w:marBottom w:val="0"/>
          <w:divBdr>
            <w:top w:val="none" w:sz="0" w:space="0" w:color="auto"/>
            <w:left w:val="none" w:sz="0" w:space="0" w:color="auto"/>
            <w:bottom w:val="none" w:sz="0" w:space="0" w:color="auto"/>
            <w:right w:val="none" w:sz="0" w:space="0" w:color="auto"/>
          </w:divBdr>
        </w:div>
      </w:divsChild>
    </w:div>
    <w:div w:id="1914506623">
      <w:bodyDiv w:val="1"/>
      <w:marLeft w:val="0"/>
      <w:marRight w:val="0"/>
      <w:marTop w:val="0"/>
      <w:marBottom w:val="0"/>
      <w:divBdr>
        <w:top w:val="none" w:sz="0" w:space="0" w:color="auto"/>
        <w:left w:val="none" w:sz="0" w:space="0" w:color="auto"/>
        <w:bottom w:val="none" w:sz="0" w:space="0" w:color="auto"/>
        <w:right w:val="none" w:sz="0" w:space="0" w:color="auto"/>
      </w:divBdr>
      <w:divsChild>
        <w:div w:id="321852977">
          <w:marLeft w:val="1166"/>
          <w:marRight w:val="0"/>
          <w:marTop w:val="0"/>
          <w:marBottom w:val="0"/>
          <w:divBdr>
            <w:top w:val="none" w:sz="0" w:space="0" w:color="auto"/>
            <w:left w:val="none" w:sz="0" w:space="0" w:color="auto"/>
            <w:bottom w:val="none" w:sz="0" w:space="0" w:color="auto"/>
            <w:right w:val="none" w:sz="0" w:space="0" w:color="auto"/>
          </w:divBdr>
        </w:div>
        <w:div w:id="458887003">
          <w:marLeft w:val="547"/>
          <w:marRight w:val="0"/>
          <w:marTop w:val="0"/>
          <w:marBottom w:val="0"/>
          <w:divBdr>
            <w:top w:val="none" w:sz="0" w:space="0" w:color="auto"/>
            <w:left w:val="none" w:sz="0" w:space="0" w:color="auto"/>
            <w:bottom w:val="none" w:sz="0" w:space="0" w:color="auto"/>
            <w:right w:val="none" w:sz="0" w:space="0" w:color="auto"/>
          </w:divBdr>
        </w:div>
        <w:div w:id="1243679159">
          <w:marLeft w:val="1166"/>
          <w:marRight w:val="0"/>
          <w:marTop w:val="0"/>
          <w:marBottom w:val="0"/>
          <w:divBdr>
            <w:top w:val="none" w:sz="0" w:space="0" w:color="auto"/>
            <w:left w:val="none" w:sz="0" w:space="0" w:color="auto"/>
            <w:bottom w:val="none" w:sz="0" w:space="0" w:color="auto"/>
            <w:right w:val="none" w:sz="0" w:space="0" w:color="auto"/>
          </w:divBdr>
        </w:div>
        <w:div w:id="1677924313">
          <w:marLeft w:val="1166"/>
          <w:marRight w:val="0"/>
          <w:marTop w:val="0"/>
          <w:marBottom w:val="0"/>
          <w:divBdr>
            <w:top w:val="none" w:sz="0" w:space="0" w:color="auto"/>
            <w:left w:val="none" w:sz="0" w:space="0" w:color="auto"/>
            <w:bottom w:val="none" w:sz="0" w:space="0" w:color="auto"/>
            <w:right w:val="none" w:sz="0" w:space="0" w:color="auto"/>
          </w:divBdr>
        </w:div>
        <w:div w:id="1953972975">
          <w:marLeft w:val="547"/>
          <w:marRight w:val="0"/>
          <w:marTop w:val="0"/>
          <w:marBottom w:val="0"/>
          <w:divBdr>
            <w:top w:val="none" w:sz="0" w:space="0" w:color="auto"/>
            <w:left w:val="none" w:sz="0" w:space="0" w:color="auto"/>
            <w:bottom w:val="none" w:sz="0" w:space="0" w:color="auto"/>
            <w:right w:val="none" w:sz="0" w:space="0" w:color="auto"/>
          </w:divBdr>
        </w:div>
        <w:div w:id="2105375088">
          <w:marLeft w:val="1166"/>
          <w:marRight w:val="0"/>
          <w:marTop w:val="0"/>
          <w:marBottom w:val="0"/>
          <w:divBdr>
            <w:top w:val="none" w:sz="0" w:space="0" w:color="auto"/>
            <w:left w:val="none" w:sz="0" w:space="0" w:color="auto"/>
            <w:bottom w:val="none" w:sz="0" w:space="0" w:color="auto"/>
            <w:right w:val="none" w:sz="0" w:space="0" w:color="auto"/>
          </w:divBdr>
        </w:div>
      </w:divsChild>
    </w:div>
    <w:div w:id="1936933244">
      <w:bodyDiv w:val="1"/>
      <w:marLeft w:val="0"/>
      <w:marRight w:val="0"/>
      <w:marTop w:val="0"/>
      <w:marBottom w:val="0"/>
      <w:divBdr>
        <w:top w:val="none" w:sz="0" w:space="0" w:color="auto"/>
        <w:left w:val="none" w:sz="0" w:space="0" w:color="auto"/>
        <w:bottom w:val="none" w:sz="0" w:space="0" w:color="auto"/>
        <w:right w:val="none" w:sz="0" w:space="0" w:color="auto"/>
      </w:divBdr>
    </w:div>
    <w:div w:id="1975481145">
      <w:bodyDiv w:val="1"/>
      <w:marLeft w:val="0"/>
      <w:marRight w:val="0"/>
      <w:marTop w:val="0"/>
      <w:marBottom w:val="0"/>
      <w:divBdr>
        <w:top w:val="none" w:sz="0" w:space="0" w:color="auto"/>
        <w:left w:val="none" w:sz="0" w:space="0" w:color="auto"/>
        <w:bottom w:val="none" w:sz="0" w:space="0" w:color="auto"/>
        <w:right w:val="none" w:sz="0" w:space="0" w:color="auto"/>
      </w:divBdr>
    </w:div>
    <w:div w:id="2123843099">
      <w:bodyDiv w:val="1"/>
      <w:marLeft w:val="0"/>
      <w:marRight w:val="0"/>
      <w:marTop w:val="0"/>
      <w:marBottom w:val="0"/>
      <w:divBdr>
        <w:top w:val="none" w:sz="0" w:space="0" w:color="auto"/>
        <w:left w:val="none" w:sz="0" w:space="0" w:color="auto"/>
        <w:bottom w:val="none" w:sz="0" w:space="0" w:color="auto"/>
        <w:right w:val="none" w:sz="0" w:space="0" w:color="auto"/>
      </w:divBdr>
      <w:divsChild>
        <w:div w:id="618730471">
          <w:marLeft w:val="1166"/>
          <w:marRight w:val="0"/>
          <w:marTop w:val="0"/>
          <w:marBottom w:val="0"/>
          <w:divBdr>
            <w:top w:val="none" w:sz="0" w:space="0" w:color="auto"/>
            <w:left w:val="none" w:sz="0" w:space="0" w:color="auto"/>
            <w:bottom w:val="none" w:sz="0" w:space="0" w:color="auto"/>
            <w:right w:val="none" w:sz="0" w:space="0" w:color="auto"/>
          </w:divBdr>
        </w:div>
        <w:div w:id="1285964771">
          <w:marLeft w:val="1166"/>
          <w:marRight w:val="0"/>
          <w:marTop w:val="0"/>
          <w:marBottom w:val="0"/>
          <w:divBdr>
            <w:top w:val="none" w:sz="0" w:space="0" w:color="auto"/>
            <w:left w:val="none" w:sz="0" w:space="0" w:color="auto"/>
            <w:bottom w:val="none" w:sz="0" w:space="0" w:color="auto"/>
            <w:right w:val="none" w:sz="0" w:space="0" w:color="auto"/>
          </w:divBdr>
        </w:div>
        <w:div w:id="2144274429">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www.gradeworkinggroup.org" TargetMode="External"/><Relationship Id="rId17" Type="http://schemas.openxmlformats.org/officeDocument/2006/relationships/hyperlink" Target="http://www.shea-online.org/images/guidelines/UTIs_in_LTCF_2001.pdf" TargetMode="External"/><Relationship Id="rId2" Type="http://schemas.openxmlformats.org/officeDocument/2006/relationships/customXml" Target="../customXml/item2.xml"/><Relationship Id="rId16" Type="http://schemas.openxmlformats.org/officeDocument/2006/relationships/hyperlink" Target="https://academic.oup.com/cid/article/48/2/149/30438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hyperlink" Target="http://www.med.umich.edu/1info/FHP/practiceguides/uti/uti.pdf"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qaalliance.org/files/PrinciplesofEfficiencyMeasurementApril2006.doc"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3F645D24C06F45C992FC6EAF5AF7F3FD"/>
        <w:category>
          <w:name w:val="General"/>
          <w:gallery w:val="placeholder"/>
        </w:category>
        <w:types>
          <w:type w:val="bbPlcHdr"/>
        </w:types>
        <w:behaviors>
          <w:behavior w:val="content"/>
        </w:behaviors>
        <w:guid w:val="{1C62D253-42FF-46B3-9A43-37A1FE377162}"/>
      </w:docPartPr>
      <w:docPartBody>
        <w:p w:rsidR="0086620E" w:rsidRDefault="00EF690C" w:rsidP="00EF690C">
          <w:pPr>
            <w:pStyle w:val="3F645D24C06F45C992FC6EAF5AF7F3FD"/>
          </w:pPr>
          <w:r w:rsidRPr="00A25024">
            <w:rPr>
              <w:rStyle w:val="PlaceholderText"/>
              <w:rFonts w:cstheme="minorHAnsi"/>
              <w:color w:val="A6A6A6" w:themeColor="background1" w:themeShade="A6"/>
            </w:rPr>
            <w:t>Click here to enter measure title</w:t>
          </w:r>
        </w:p>
      </w:docPartBody>
    </w:docPart>
    <w:docPart>
      <w:docPartPr>
        <w:name w:val="5F5710FE61404DE7B9B6352BAC451895"/>
        <w:category>
          <w:name w:val="General"/>
          <w:gallery w:val="placeholder"/>
        </w:category>
        <w:types>
          <w:type w:val="bbPlcHdr"/>
        </w:types>
        <w:behaviors>
          <w:behavior w:val="content"/>
        </w:behaviors>
        <w:guid w:val="{6371852A-D446-4093-8C06-A503B904BCD5}"/>
      </w:docPartPr>
      <w:docPartBody>
        <w:p w:rsidR="0086620E" w:rsidRDefault="00EF690C" w:rsidP="00EF690C">
          <w:pPr>
            <w:pStyle w:val="5F5710FE61404DE7B9B6352BAC451895"/>
          </w:pPr>
          <w:r w:rsidRPr="00A25024">
            <w:rPr>
              <w:rStyle w:val="PlaceholderText"/>
              <w:rFonts w:cstheme="minorHAnsi"/>
              <w:color w:val="A6A6A6" w:themeColor="background1" w:themeShade="A6"/>
            </w:rPr>
            <w:t>Click here to enter measure title</w:t>
          </w:r>
        </w:p>
      </w:docPartBody>
    </w:docPart>
    <w:docPart>
      <w:docPartPr>
        <w:name w:val="6E5C0CF3363D41C693D3075993D83BDB"/>
        <w:category>
          <w:name w:val="General"/>
          <w:gallery w:val="placeholder"/>
        </w:category>
        <w:types>
          <w:type w:val="bbPlcHdr"/>
        </w:types>
        <w:behaviors>
          <w:behavior w:val="content"/>
        </w:behaviors>
        <w:guid w:val="{39A2C5E3-E458-41D2-85B3-05219D156BAA}"/>
      </w:docPartPr>
      <w:docPartBody>
        <w:p w:rsidR="00554979" w:rsidRDefault="00ED688D" w:rsidP="00ED688D">
          <w:pPr>
            <w:pStyle w:val="6E5C0CF3363D41C693D3075993D83BDB"/>
          </w:pPr>
          <w:r w:rsidRPr="003B1CC5">
            <w:rPr>
              <w:rStyle w:val="PlaceholderText"/>
              <w:rFonts w:cstheme="minorHAnsi"/>
              <w:color w:val="A6A6A6" w:themeColor="background1" w:themeShade="A6"/>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Futura Std">
    <w:altName w:val="Century Gothic"/>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Mangal">
    <w:altName w:val="Courier New"/>
    <w:panose1 w:val="00000400000000000000"/>
    <w:charset w:val="00"/>
    <w:family w:val="roman"/>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047A6E"/>
    <w:rsid w:val="00160241"/>
    <w:rsid w:val="0018723D"/>
    <w:rsid w:val="001C2DC1"/>
    <w:rsid w:val="001F47A0"/>
    <w:rsid w:val="001F4B0D"/>
    <w:rsid w:val="002412F1"/>
    <w:rsid w:val="002B5F47"/>
    <w:rsid w:val="002C035A"/>
    <w:rsid w:val="003A1E4B"/>
    <w:rsid w:val="00455EB5"/>
    <w:rsid w:val="00461C1C"/>
    <w:rsid w:val="00486615"/>
    <w:rsid w:val="004C3C2A"/>
    <w:rsid w:val="004E2027"/>
    <w:rsid w:val="00554979"/>
    <w:rsid w:val="005723F8"/>
    <w:rsid w:val="005F21F3"/>
    <w:rsid w:val="00605B2C"/>
    <w:rsid w:val="00645E2B"/>
    <w:rsid w:val="0086620E"/>
    <w:rsid w:val="008F6A9B"/>
    <w:rsid w:val="009B7A5B"/>
    <w:rsid w:val="00A77B15"/>
    <w:rsid w:val="00B14A41"/>
    <w:rsid w:val="00BE0F2D"/>
    <w:rsid w:val="00C03643"/>
    <w:rsid w:val="00C2797F"/>
    <w:rsid w:val="00C80225"/>
    <w:rsid w:val="00C935B5"/>
    <w:rsid w:val="00D228C9"/>
    <w:rsid w:val="00D2552B"/>
    <w:rsid w:val="00D26681"/>
    <w:rsid w:val="00D57983"/>
    <w:rsid w:val="00D75B64"/>
    <w:rsid w:val="00DB5324"/>
    <w:rsid w:val="00DC684A"/>
    <w:rsid w:val="00E166B9"/>
    <w:rsid w:val="00E97468"/>
    <w:rsid w:val="00E97654"/>
    <w:rsid w:val="00EA555A"/>
    <w:rsid w:val="00ED688D"/>
    <w:rsid w:val="00EF690C"/>
    <w:rsid w:val="00F25540"/>
    <w:rsid w:val="00F44B8C"/>
    <w:rsid w:val="00F87EB9"/>
    <w:rsid w:val="00FC30A1"/>
    <w:rsid w:val="00FC4F4D"/>
    <w:rsid w:val="00FE18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D688D"/>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 w:type="paragraph" w:customStyle="1" w:styleId="3F645D24C06F45C992FC6EAF5AF7F3FD">
    <w:name w:val="3F645D24C06F45C992FC6EAF5AF7F3FD"/>
    <w:rsid w:val="00EF690C"/>
    <w:pPr>
      <w:spacing w:after="160" w:line="259" w:lineRule="auto"/>
    </w:pPr>
  </w:style>
  <w:style w:type="paragraph" w:customStyle="1" w:styleId="5F5710FE61404DE7B9B6352BAC451895">
    <w:name w:val="5F5710FE61404DE7B9B6352BAC451895"/>
    <w:rsid w:val="00EF690C"/>
    <w:pPr>
      <w:spacing w:after="160" w:line="259" w:lineRule="auto"/>
    </w:pPr>
  </w:style>
  <w:style w:type="paragraph" w:customStyle="1" w:styleId="6E5C0CF3363D41C693D3075993D83BDB">
    <w:name w:val="6E5C0CF3363D41C693D3075993D83BDB"/>
    <w:rsid w:val="00ED688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D6B7BAE999DC4499F8E34D968BFA7B" ma:contentTypeVersion="7" ma:contentTypeDescription="Create a new document." ma:contentTypeScope="" ma:versionID="2e9e68050e63a1d07bd20bd9668a03c6">
  <xsd:schema xmlns:xsd="http://www.w3.org/2001/XMLSchema" xmlns:xs="http://www.w3.org/2001/XMLSchema" xmlns:p="http://schemas.microsoft.com/office/2006/metadata/properties" xmlns:ns2="092b8501-4b24-428c-8ca3-87f49c001613" xmlns:ns3="d3374b7a-0e30-4526-a9ec-88cd1d622ddf" targetNamespace="http://schemas.microsoft.com/office/2006/metadata/properties" ma:root="true" ma:fieldsID="6d8c2e9c27f264c32be755d58aa6562d" ns2:_="" ns3:_="">
    <xsd:import namespace="092b8501-4b24-428c-8ca3-87f49c001613"/>
    <xsd:import namespace="d3374b7a-0e30-4526-a9ec-88cd1d622dd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2b8501-4b24-428c-8ca3-87f49c00161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374b7a-0e30-4526-a9ec-88cd1d622dd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ign-off status" ma:internalName="_x0024_Resources_x003a_core_x002c_Signoff_Status_x003b_">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d3374b7a-0e30-4526-a9ec-88cd1d622dd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826913-92B8-4AC4-AF24-95388DA6C9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2b8501-4b24-428c-8ca3-87f49c001613"/>
    <ds:schemaRef ds:uri="d3374b7a-0e30-4526-a9ec-88cd1d622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3.xml><?xml version="1.0" encoding="utf-8"?>
<ds:datastoreItem xmlns:ds="http://schemas.openxmlformats.org/officeDocument/2006/customXml" ds:itemID="{DF2CDBE7-7F08-4F52-B308-EE351D989842}">
  <ds:schemaRefs>
    <ds:schemaRef ds:uri="d3374b7a-0e30-4526-a9ec-88cd1d622ddf"/>
    <ds:schemaRef ds:uri="http://schemas.microsoft.com/office/infopath/2007/PartnerControls"/>
    <ds:schemaRef ds:uri="http://www.w3.org/XML/1998/namespace"/>
    <ds:schemaRef ds:uri="http://purl.org/dc/terms/"/>
    <ds:schemaRef ds:uri="http://schemas.microsoft.com/office/2006/documentManagement/types"/>
    <ds:schemaRef ds:uri="http://purl.org/dc/dcmitype/"/>
    <ds:schemaRef ds:uri="092b8501-4b24-428c-8ca3-87f49c001613"/>
    <ds:schemaRef ds:uri="http://schemas.openxmlformats.org/package/2006/metadata/core-propertie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FB598F63-540F-4150-9FB7-C0E6DDF49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11</Pages>
  <Words>4269</Words>
  <Characters>24336</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Pace</dc:creator>
  <cp:keywords/>
  <dc:description/>
  <cp:lastModifiedBy>Cheng Lin</cp:lastModifiedBy>
  <cp:revision>16</cp:revision>
  <cp:lastPrinted>2019-06-10T18:13:00Z</cp:lastPrinted>
  <dcterms:created xsi:type="dcterms:W3CDTF">2019-10-30T21:59:00Z</dcterms:created>
  <dcterms:modified xsi:type="dcterms:W3CDTF">2019-10-31T21:49:00Z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0x01010007D6B7BAE999DC4499F8E34D968BFA7B</vt:lpwstr>
  </property>
</Properties>
</file>