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528ECDFD"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586F7F48"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6A0927">
            <w:rPr>
              <w:rStyle w:val="Style1"/>
            </w:rPr>
            <w:t>0684</w:t>
          </w:r>
        </w:sdtContent>
      </w:sdt>
    </w:p>
    <w:p w14:paraId="0CABCF56" w14:textId="3684EF48"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w:t>
      </w:r>
      <w:r w:rsidR="00E87D6C">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6A0927">
            <w:rPr>
              <w:rStyle w:val="Style1"/>
              <w:rFonts w:cstheme="minorHAnsi"/>
            </w:rPr>
            <w:t>Percent of Residents with a Urinary Tract Infection (Long Stay)</w:t>
          </w:r>
        </w:sdtContent>
      </w:sdt>
    </w:p>
    <w:p w14:paraId="0CABCF57" w14:textId="36E81C2A" w:rsidR="005C73CA" w:rsidRPr="00450C58" w:rsidRDefault="00105D8B" w:rsidP="009E1846">
      <w:pPr>
        <w:spacing w:after="0"/>
        <w:rPr>
          <w:rStyle w:val="Style2"/>
          <w:rFonts w:cstheme="minorHAnsi"/>
        </w:rPr>
      </w:pPr>
      <w:r w:rsidRPr="00450C58">
        <w:rPr>
          <w:rFonts w:cstheme="minorHAnsi"/>
          <w:b/>
          <w:noProof/>
        </w:rPr>
        <w:t>Date of Submission</w:t>
      </w:r>
      <w:r w:rsidRPr="006A0927">
        <w:rPr>
          <w:rFonts w:cstheme="minorHAnsi"/>
          <w:noProof/>
        </w:rPr>
        <w:t>:</w:t>
      </w:r>
      <w:r w:rsidR="00E87D6C">
        <w:rPr>
          <w:rFonts w:cstheme="minorHAnsi"/>
          <w:noProof/>
        </w:rPr>
        <w:t xml:space="preserve"> </w:t>
      </w:r>
      <w:sdt>
        <w:sdtPr>
          <w:rPr>
            <w:rStyle w:val="Style2"/>
            <w:rFonts w:cstheme="minorHAnsi"/>
            <w:u w:val="none"/>
          </w:rPr>
          <w:id w:val="-1689821638"/>
          <w:placeholder>
            <w:docPart w:val="DBF6A90D5B3F4A83B02FC5367A8AE399"/>
          </w:placeholder>
          <w:date w:fullDate="2019-08-01T00:00:00Z">
            <w:dateFormat w:val="M/d/yyyy"/>
            <w:lid w:val="en-US"/>
            <w:storeMappedDataAs w:val="dateTime"/>
            <w:calendar w:val="gregorian"/>
          </w:date>
        </w:sdtPr>
        <w:sdtEndPr>
          <w:rPr>
            <w:rStyle w:val="DefaultParagraphFont"/>
            <w:noProof/>
            <w:color w:val="auto"/>
          </w:rPr>
        </w:sdtEndPr>
        <w:sdtContent>
          <w:r w:rsidR="007F331F">
            <w:rPr>
              <w:rStyle w:val="Style2"/>
              <w:rFonts w:cstheme="minorHAnsi"/>
              <w:u w:val="none"/>
            </w:rPr>
            <w:t>8</w:t>
          </w:r>
          <w:r w:rsidR="007F331F" w:rsidRPr="00C34353">
            <w:rPr>
              <w:rStyle w:val="Style2"/>
              <w:rFonts w:cstheme="minorHAnsi"/>
              <w:u w:val="none"/>
            </w:rPr>
            <w:t>/</w:t>
          </w:r>
          <w:r w:rsidR="007F331F">
            <w:rPr>
              <w:rStyle w:val="Style2"/>
              <w:rFonts w:cstheme="minorHAnsi"/>
              <w:u w:val="none"/>
            </w:rPr>
            <w:t>1</w:t>
          </w:r>
          <w:r w:rsidR="007F331F" w:rsidRPr="00C34353">
            <w:rPr>
              <w:rStyle w:val="Style2"/>
              <w:rFonts w:cstheme="minorHAnsi"/>
              <w:u w:val="none"/>
            </w:rPr>
            <w:t>/2019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0CCCCE9D" w:rsidR="000B7D57" w:rsidRPr="00C775CE" w:rsidRDefault="00A97C32" w:rsidP="00CD364B">
            <w:pPr>
              <w:autoSpaceDE w:val="0"/>
              <w:autoSpaceDN w:val="0"/>
              <w:adjustRightInd w:val="0"/>
              <w:rPr>
                <w:rFonts w:cstheme="minorHAnsi"/>
                <w:bCs/>
              </w:rPr>
            </w:pPr>
            <w:sdt>
              <w:sdtPr>
                <w:rPr>
                  <w:rFonts w:cstheme="minorHAnsi"/>
                  <w:bCs/>
                  <w:color w:val="0000FF"/>
                </w:rPr>
                <w:id w:val="40960739"/>
                <w14:checkbox>
                  <w14:checked w14:val="1"/>
                  <w14:checkedState w14:val="2612" w14:font="MS Gothic"/>
                  <w14:uncheckedState w14:val="2610" w14:font="MS Gothic"/>
                </w14:checkbox>
              </w:sdtPr>
              <w:sdtEndPr/>
              <w:sdtContent>
                <w:r w:rsidR="006A0927">
                  <w:rPr>
                    <w:rFonts w:ascii="MS Gothic" w:eastAsia="MS Gothic" w:hAnsi="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A97C32"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A97C32"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A97C32"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A97C32"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A97C32"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A97C32"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F91B8A">
            <w:pPr>
              <w:pStyle w:val="ListParagraph"/>
              <w:numPr>
                <w:ilvl w:val="0"/>
                <w:numId w:val="1"/>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F91B8A">
            <w:pPr>
              <w:pStyle w:val="ListParagraph"/>
              <w:numPr>
                <w:ilvl w:val="0"/>
                <w:numId w:val="1"/>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F91B8A">
            <w:pPr>
              <w:pStyle w:val="ListParagraph"/>
              <w:numPr>
                <w:ilvl w:val="0"/>
                <w:numId w:val="1"/>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F91B8A">
            <w:pPr>
              <w:pStyle w:val="ListParagraph"/>
              <w:numPr>
                <w:ilvl w:val="0"/>
                <w:numId w:val="1"/>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F91B8A">
            <w:pPr>
              <w:pStyle w:val="ListParagraph"/>
              <w:numPr>
                <w:ilvl w:val="0"/>
                <w:numId w:val="1"/>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F91B8A">
            <w:pPr>
              <w:pStyle w:val="ListParagraph"/>
              <w:numPr>
                <w:ilvl w:val="0"/>
                <w:numId w:val="1"/>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F91B8A">
            <w:pPr>
              <w:pStyle w:val="ListParagraph"/>
              <w:numPr>
                <w:ilvl w:val="0"/>
                <w:numId w:val="1"/>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F91B8A">
            <w:pPr>
              <w:pStyle w:val="ListParagraph"/>
              <w:numPr>
                <w:ilvl w:val="0"/>
                <w:numId w:val="1"/>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F91B8A">
            <w:pPr>
              <w:pStyle w:val="ListParagraph"/>
              <w:numPr>
                <w:ilvl w:val="0"/>
                <w:numId w:val="1"/>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7119BA" w14:paraId="0CABCF90" w14:textId="77777777" w:rsidTr="00145149">
        <w:trPr>
          <w:jc w:val="center"/>
        </w:trPr>
        <w:tc>
          <w:tcPr>
            <w:tcW w:w="9576" w:type="dxa"/>
          </w:tcPr>
          <w:p w14:paraId="0CABCF72" w14:textId="7EAF47D5" w:rsidR="00B53E8B" w:rsidRPr="007119BA" w:rsidRDefault="00B53E8B" w:rsidP="00702C73">
            <w:pPr>
              <w:rPr>
                <w:rFonts w:cstheme="minorHAnsi"/>
                <w:b/>
                <w:bCs/>
                <w:sz w:val="20"/>
                <w:szCs w:val="20"/>
              </w:rPr>
            </w:pPr>
            <w:r w:rsidRPr="007119BA">
              <w:rPr>
                <w:b/>
                <w:bCs/>
                <w:sz w:val="20"/>
                <w:szCs w:val="20"/>
                <w:u w:val="single"/>
              </w:rPr>
              <w:t>Note</w:t>
            </w:r>
            <w:r w:rsidRPr="007119BA">
              <w:rPr>
                <w:b/>
                <w:bCs/>
                <w:sz w:val="20"/>
                <w:szCs w:val="20"/>
              </w:rPr>
              <w:t xml:space="preserve">: </w:t>
            </w:r>
            <w:r w:rsidRPr="007119BA">
              <w:rPr>
                <w:bCs/>
                <w:sz w:val="20"/>
                <w:szCs w:val="20"/>
              </w:rPr>
              <w:t xml:space="preserve">The information provided in this form is intended to aid the </w:t>
            </w:r>
            <w:r w:rsidR="00D369E9" w:rsidRPr="007119BA">
              <w:rPr>
                <w:bCs/>
                <w:sz w:val="20"/>
                <w:szCs w:val="20"/>
              </w:rPr>
              <w:t>Standing</w:t>
            </w:r>
            <w:r w:rsidRPr="007119BA">
              <w:rPr>
                <w:bCs/>
                <w:sz w:val="20"/>
                <w:szCs w:val="20"/>
              </w:rPr>
              <w:t xml:space="preserve"> Committee and other stakeholders in understanding to what degree the testing results for this measure meet NQF’s evaluation criteria</w:t>
            </w:r>
            <w:r w:rsidR="000E78F6" w:rsidRPr="007119BA">
              <w:rPr>
                <w:bCs/>
                <w:sz w:val="20"/>
                <w:szCs w:val="20"/>
              </w:rPr>
              <w:t xml:space="preserve"> for testing</w:t>
            </w:r>
            <w:r w:rsidRPr="007119BA">
              <w:rPr>
                <w:bCs/>
                <w:sz w:val="20"/>
                <w:szCs w:val="20"/>
              </w:rPr>
              <w:t>.</w:t>
            </w:r>
          </w:p>
          <w:p w14:paraId="0CABCF73" w14:textId="77777777" w:rsidR="00B53E8B" w:rsidRPr="007119BA" w:rsidRDefault="00B53E8B" w:rsidP="00702C73">
            <w:pPr>
              <w:rPr>
                <w:rFonts w:cstheme="minorHAnsi"/>
                <w:b/>
                <w:bCs/>
                <w:sz w:val="20"/>
                <w:szCs w:val="20"/>
              </w:rPr>
            </w:pPr>
          </w:p>
          <w:p w14:paraId="0CABCF74" w14:textId="7D41E4AD" w:rsidR="00BC0D25" w:rsidRPr="007119BA" w:rsidRDefault="00145149" w:rsidP="00702C73">
            <w:pPr>
              <w:rPr>
                <w:rFonts w:cstheme="minorHAnsi"/>
                <w:bCs/>
                <w:iCs/>
                <w:sz w:val="20"/>
                <w:szCs w:val="20"/>
              </w:rPr>
            </w:pPr>
            <w:r w:rsidRPr="007119BA">
              <w:rPr>
                <w:rFonts w:cstheme="minorHAnsi"/>
                <w:b/>
                <w:bCs/>
                <w:sz w:val="20"/>
                <w:szCs w:val="20"/>
              </w:rPr>
              <w:t>2a2.</w:t>
            </w:r>
            <w:r w:rsidRPr="007119BA">
              <w:rPr>
                <w:rFonts w:cstheme="minorHAnsi"/>
                <w:sz w:val="20"/>
                <w:szCs w:val="20"/>
              </w:rPr>
              <w:t xml:space="preserve"> </w:t>
            </w:r>
            <w:r w:rsidRPr="007119BA">
              <w:rPr>
                <w:rFonts w:cstheme="minorHAnsi"/>
                <w:b/>
                <w:sz w:val="20"/>
                <w:szCs w:val="20"/>
              </w:rPr>
              <w:t>Reliability testing</w:t>
            </w:r>
            <w:r w:rsidRPr="007119BA">
              <w:rPr>
                <w:rFonts w:cstheme="minorHAnsi"/>
                <w:sz w:val="20"/>
                <w:szCs w:val="20"/>
              </w:rPr>
              <w:t xml:space="preserve"> </w:t>
            </w:r>
            <w:hyperlink w:anchor="Note10" w:history="1">
              <w:r w:rsidRPr="007119BA">
                <w:rPr>
                  <w:rStyle w:val="Hyperlink"/>
                  <w:rFonts w:cstheme="minorHAnsi"/>
                  <w:b/>
                  <w:sz w:val="20"/>
                  <w:szCs w:val="20"/>
                  <w:vertAlign w:val="superscript"/>
                </w:rPr>
                <w:t>10</w:t>
              </w:r>
            </w:hyperlink>
            <w:r w:rsidRPr="007119BA">
              <w:rPr>
                <w:rFonts w:cstheme="minorHAnsi"/>
                <w:sz w:val="20"/>
                <w:szCs w:val="20"/>
              </w:rPr>
              <w:t xml:space="preserve"> demonstrates the measure data elements are repeatable, producing the same results a high proportion of the time when assessed </w:t>
            </w:r>
            <w:r w:rsidRPr="007119BA">
              <w:rPr>
                <w:rFonts w:cstheme="minorHAnsi"/>
                <w:bCs/>
                <w:iCs/>
                <w:sz w:val="20"/>
                <w:szCs w:val="20"/>
              </w:rPr>
              <w:t xml:space="preserve">in the same population in the same time period </w:t>
            </w:r>
            <w:r w:rsidRPr="007119BA">
              <w:rPr>
                <w:rFonts w:cstheme="minorHAnsi"/>
                <w:sz w:val="20"/>
                <w:szCs w:val="20"/>
              </w:rPr>
              <w:t>and/or that the measure score is precise</w:t>
            </w:r>
            <w:r w:rsidRPr="007119BA">
              <w:rPr>
                <w:rFonts w:cstheme="minorHAnsi"/>
                <w:bCs/>
                <w:iCs/>
                <w:sz w:val="20"/>
                <w:szCs w:val="20"/>
              </w:rPr>
              <w:t>.</w:t>
            </w:r>
            <w:r w:rsidR="00125273" w:rsidRPr="007119BA">
              <w:rPr>
                <w:rFonts w:cstheme="minorHAnsi"/>
                <w:bCs/>
                <w:iCs/>
                <w:sz w:val="20"/>
                <w:szCs w:val="20"/>
              </w:rPr>
              <w:t xml:space="preserve"> For </w:t>
            </w:r>
            <w:r w:rsidR="00651D44" w:rsidRPr="007119BA">
              <w:rPr>
                <w:rFonts w:cstheme="minorHAnsi"/>
                <w:b/>
                <w:bCs/>
                <w:iCs/>
                <w:sz w:val="20"/>
                <w:szCs w:val="20"/>
              </w:rPr>
              <w:t xml:space="preserve">instrument-based measures </w:t>
            </w:r>
            <w:r w:rsidR="00651D44" w:rsidRPr="007119BA">
              <w:rPr>
                <w:rFonts w:cstheme="minorHAnsi"/>
                <w:bCs/>
                <w:iCs/>
                <w:sz w:val="20"/>
                <w:szCs w:val="20"/>
              </w:rPr>
              <w:t>(including PRO-PMs)</w:t>
            </w:r>
            <w:r w:rsidR="00651D44" w:rsidRPr="007119BA">
              <w:rPr>
                <w:rFonts w:cstheme="minorHAnsi"/>
                <w:b/>
                <w:bCs/>
                <w:iCs/>
                <w:sz w:val="20"/>
                <w:szCs w:val="20"/>
              </w:rPr>
              <w:t xml:space="preserve"> and composite performance measures</w:t>
            </w:r>
            <w:r w:rsidR="00125273" w:rsidRPr="007119BA">
              <w:rPr>
                <w:rFonts w:cstheme="minorHAnsi"/>
                <w:bCs/>
                <w:iCs/>
                <w:sz w:val="20"/>
                <w:szCs w:val="20"/>
              </w:rPr>
              <w:t>, reliability should be demonstrated for the computed performance score.</w:t>
            </w:r>
          </w:p>
          <w:p w14:paraId="0CABCF75" w14:textId="77777777" w:rsidR="00145149" w:rsidRPr="007119BA" w:rsidRDefault="00145149" w:rsidP="00145149">
            <w:pPr>
              <w:autoSpaceDE w:val="0"/>
              <w:autoSpaceDN w:val="0"/>
              <w:adjustRightInd w:val="0"/>
              <w:rPr>
                <w:rFonts w:cstheme="minorHAnsi"/>
                <w:b/>
                <w:iCs/>
                <w:sz w:val="20"/>
                <w:szCs w:val="20"/>
              </w:rPr>
            </w:pPr>
          </w:p>
          <w:p w14:paraId="0CABCF76" w14:textId="263ED451" w:rsidR="00145149" w:rsidRPr="007119BA" w:rsidRDefault="00145149" w:rsidP="00145149">
            <w:pPr>
              <w:autoSpaceDE w:val="0"/>
              <w:autoSpaceDN w:val="0"/>
              <w:adjustRightInd w:val="0"/>
              <w:rPr>
                <w:rFonts w:cstheme="minorHAnsi"/>
                <w:sz w:val="20"/>
                <w:szCs w:val="20"/>
              </w:rPr>
            </w:pPr>
            <w:r w:rsidRPr="007119BA">
              <w:rPr>
                <w:rFonts w:cstheme="minorHAnsi"/>
                <w:b/>
                <w:iCs/>
                <w:sz w:val="20"/>
                <w:szCs w:val="20"/>
              </w:rPr>
              <w:t>2b</w:t>
            </w:r>
            <w:r w:rsidR="00651D44" w:rsidRPr="007119BA">
              <w:rPr>
                <w:rFonts w:cstheme="minorHAnsi"/>
                <w:b/>
                <w:iCs/>
                <w:sz w:val="20"/>
                <w:szCs w:val="20"/>
              </w:rPr>
              <w:t>1</w:t>
            </w:r>
            <w:r w:rsidRPr="007119BA">
              <w:rPr>
                <w:rFonts w:cstheme="minorHAnsi"/>
                <w:b/>
                <w:iCs/>
                <w:sz w:val="20"/>
                <w:szCs w:val="20"/>
              </w:rPr>
              <w:t>.</w:t>
            </w:r>
            <w:r w:rsidRPr="007119BA">
              <w:rPr>
                <w:rFonts w:cstheme="minorHAnsi"/>
                <w:bCs/>
                <w:iCs/>
                <w:sz w:val="20"/>
                <w:szCs w:val="20"/>
              </w:rPr>
              <w:t xml:space="preserve"> </w:t>
            </w:r>
            <w:r w:rsidRPr="007119BA">
              <w:rPr>
                <w:rFonts w:cstheme="minorHAnsi"/>
                <w:b/>
                <w:bCs/>
                <w:iCs/>
                <w:sz w:val="20"/>
                <w:szCs w:val="20"/>
              </w:rPr>
              <w:t>Validity testing</w:t>
            </w:r>
            <w:r w:rsidRPr="007119BA">
              <w:rPr>
                <w:rFonts w:cstheme="minorHAnsi"/>
                <w:bCs/>
                <w:iCs/>
                <w:sz w:val="20"/>
                <w:szCs w:val="20"/>
              </w:rPr>
              <w:t xml:space="preserve"> </w:t>
            </w:r>
            <w:hyperlink w:anchor="Note11" w:history="1">
              <w:r w:rsidRPr="007119BA">
                <w:rPr>
                  <w:rStyle w:val="Hyperlink"/>
                  <w:rFonts w:cstheme="minorHAnsi"/>
                  <w:b/>
                  <w:sz w:val="20"/>
                  <w:szCs w:val="20"/>
                  <w:vertAlign w:val="superscript"/>
                </w:rPr>
                <w:t>11</w:t>
              </w:r>
            </w:hyperlink>
            <w:r w:rsidRPr="007119BA">
              <w:rPr>
                <w:rFonts w:cstheme="minorHAnsi"/>
                <w:bCs/>
                <w:iCs/>
                <w:sz w:val="20"/>
                <w:szCs w:val="20"/>
              </w:rPr>
              <w:t xml:space="preserve"> demonstrates that the measure data elements are correct and/or the </w:t>
            </w:r>
            <w:r w:rsidRPr="007119BA">
              <w:rPr>
                <w:rFonts w:cstheme="minorHAnsi"/>
                <w:sz w:val="20"/>
                <w:szCs w:val="20"/>
              </w:rPr>
              <w:t>measure score correctly reflects the quality of care provided, adequately identifying differences in quality</w:t>
            </w:r>
            <w:r w:rsidRPr="007119BA">
              <w:rPr>
                <w:rFonts w:cstheme="minorHAnsi"/>
                <w:color w:val="0000FF"/>
                <w:sz w:val="20"/>
                <w:szCs w:val="20"/>
              </w:rPr>
              <w:t>.</w:t>
            </w:r>
            <w:r w:rsidR="00E87D6C">
              <w:rPr>
                <w:rFonts w:cstheme="minorHAnsi"/>
                <w:color w:val="0000FF"/>
                <w:sz w:val="20"/>
                <w:szCs w:val="20"/>
              </w:rPr>
              <w:t xml:space="preserve"> </w:t>
            </w:r>
            <w:r w:rsidR="00372FE3" w:rsidRPr="007119BA">
              <w:rPr>
                <w:rFonts w:cstheme="minorHAnsi"/>
                <w:bCs/>
                <w:iCs/>
                <w:sz w:val="20"/>
                <w:szCs w:val="20"/>
              </w:rPr>
              <w:t xml:space="preserve">For </w:t>
            </w:r>
            <w:r w:rsidR="00651D44" w:rsidRPr="007119BA">
              <w:rPr>
                <w:rFonts w:cstheme="minorHAnsi"/>
                <w:b/>
                <w:bCs/>
                <w:iCs/>
                <w:sz w:val="20"/>
                <w:szCs w:val="20"/>
              </w:rPr>
              <w:t>instrument-based measures (including PRO-PMs) and composite performance measures</w:t>
            </w:r>
            <w:r w:rsidR="00372FE3" w:rsidRPr="007119BA">
              <w:rPr>
                <w:rFonts w:cstheme="minorHAnsi"/>
                <w:bCs/>
                <w:iCs/>
                <w:sz w:val="20"/>
                <w:szCs w:val="20"/>
              </w:rPr>
              <w:t>, validity should be demonstrated for the computed performance score.</w:t>
            </w:r>
          </w:p>
          <w:p w14:paraId="0CABCF77" w14:textId="77777777" w:rsidR="00145149" w:rsidRPr="007119BA" w:rsidRDefault="00145149" w:rsidP="00145149">
            <w:pPr>
              <w:rPr>
                <w:rFonts w:cstheme="minorHAnsi"/>
                <w:sz w:val="20"/>
                <w:szCs w:val="20"/>
              </w:rPr>
            </w:pPr>
            <w:bookmarkStart w:id="0" w:name="_Toc256067249"/>
          </w:p>
          <w:p w14:paraId="0CABCF78" w14:textId="03461BC0" w:rsidR="00145149" w:rsidRPr="007119BA" w:rsidRDefault="00145149" w:rsidP="00145149">
            <w:pPr>
              <w:rPr>
                <w:rFonts w:cstheme="minorHAnsi"/>
                <w:sz w:val="20"/>
                <w:szCs w:val="20"/>
              </w:rPr>
            </w:pPr>
            <w:r w:rsidRPr="007119BA">
              <w:rPr>
                <w:rFonts w:cstheme="minorHAnsi"/>
                <w:b/>
                <w:bCs/>
                <w:sz w:val="20"/>
                <w:szCs w:val="20"/>
              </w:rPr>
              <w:t>2b</w:t>
            </w:r>
            <w:r w:rsidR="00651D44" w:rsidRPr="007119BA">
              <w:rPr>
                <w:rFonts w:cstheme="minorHAnsi"/>
                <w:b/>
                <w:bCs/>
                <w:sz w:val="20"/>
                <w:szCs w:val="20"/>
              </w:rPr>
              <w:t>2</w:t>
            </w:r>
            <w:r w:rsidRPr="007119BA">
              <w:rPr>
                <w:rFonts w:cstheme="minorHAnsi"/>
                <w:b/>
                <w:bCs/>
                <w:sz w:val="20"/>
                <w:szCs w:val="20"/>
              </w:rPr>
              <w:t>.</w:t>
            </w:r>
            <w:r w:rsidRPr="007119BA">
              <w:rPr>
                <w:rFonts w:cstheme="minorHAnsi"/>
                <w:sz w:val="20"/>
                <w:szCs w:val="20"/>
              </w:rPr>
              <w:t xml:space="preserve"> </w:t>
            </w:r>
            <w:r w:rsidR="00651D44" w:rsidRPr="007119BA">
              <w:rPr>
                <w:rFonts w:cstheme="minorHAnsi"/>
                <w:b/>
                <w:sz w:val="20"/>
                <w:szCs w:val="20"/>
              </w:rPr>
              <w:t>Exclusions</w:t>
            </w:r>
            <w:r w:rsidR="00651D44" w:rsidRPr="007119BA">
              <w:rPr>
                <w:rFonts w:cstheme="minorHAnsi"/>
                <w:sz w:val="20"/>
                <w:szCs w:val="20"/>
              </w:rPr>
              <w:t xml:space="preserve"> are supported by the clinical evidence and are of sufficient frequency to warrant inclusion in the specifications of the measure</w:t>
            </w:r>
            <w:r w:rsidRPr="007119BA">
              <w:rPr>
                <w:rFonts w:cstheme="minorHAnsi"/>
                <w:sz w:val="20"/>
                <w:szCs w:val="20"/>
              </w:rPr>
              <w:t xml:space="preserve">; </w:t>
            </w:r>
            <w:hyperlink w:anchor="Note12" w:history="1">
              <w:r w:rsidRPr="007119BA">
                <w:rPr>
                  <w:rStyle w:val="Hyperlink"/>
                  <w:rFonts w:cstheme="minorHAnsi"/>
                  <w:b/>
                  <w:sz w:val="20"/>
                  <w:szCs w:val="20"/>
                  <w:vertAlign w:val="superscript"/>
                </w:rPr>
                <w:t>12</w:t>
              </w:r>
            </w:hyperlink>
          </w:p>
          <w:p w14:paraId="0CABCF79" w14:textId="77777777" w:rsidR="00145149" w:rsidRPr="007119BA" w:rsidRDefault="00145149" w:rsidP="00145149">
            <w:pPr>
              <w:rPr>
                <w:rFonts w:cstheme="minorHAnsi"/>
                <w:b/>
                <w:sz w:val="20"/>
                <w:szCs w:val="20"/>
              </w:rPr>
            </w:pPr>
            <w:r w:rsidRPr="007119BA">
              <w:rPr>
                <w:rFonts w:cstheme="minorHAnsi"/>
                <w:b/>
                <w:sz w:val="20"/>
                <w:szCs w:val="20"/>
              </w:rPr>
              <w:t xml:space="preserve">AND </w:t>
            </w:r>
          </w:p>
          <w:p w14:paraId="0CABCF7A" w14:textId="2E5BF44A" w:rsidR="00145149" w:rsidRPr="007119BA" w:rsidRDefault="00145149" w:rsidP="00145149">
            <w:pPr>
              <w:rPr>
                <w:rFonts w:cstheme="minorHAnsi"/>
                <w:sz w:val="20"/>
                <w:szCs w:val="20"/>
              </w:rPr>
            </w:pPr>
            <w:r w:rsidRPr="007119BA">
              <w:rPr>
                <w:rFonts w:cstheme="minorHAnsi"/>
                <w:sz w:val="20"/>
                <w:szCs w:val="20"/>
              </w:rPr>
              <w:lastRenderedPageBreak/>
              <w:t xml:space="preserve">If patient preference (e.g., informed </w:t>
            </w:r>
            <w:proofErr w:type="spellStart"/>
            <w:r w:rsidRPr="007119BA">
              <w:rPr>
                <w:rFonts w:cstheme="minorHAnsi"/>
                <w:sz w:val="20"/>
                <w:szCs w:val="20"/>
              </w:rPr>
              <w:t>decisionmaking</w:t>
            </w:r>
            <w:proofErr w:type="spellEnd"/>
            <w:r w:rsidRPr="007119BA">
              <w:rPr>
                <w:rFonts w:cstheme="minorHAnsi"/>
                <w:sz w:val="20"/>
                <w:szCs w:val="20"/>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7119BA">
                <w:rPr>
                  <w:rStyle w:val="Hyperlink"/>
                  <w:rFonts w:cstheme="minorHAnsi"/>
                  <w:b/>
                  <w:sz w:val="20"/>
                  <w:szCs w:val="20"/>
                  <w:vertAlign w:val="superscript"/>
                </w:rPr>
                <w:t>13</w:t>
              </w:r>
            </w:hyperlink>
          </w:p>
          <w:p w14:paraId="0CABCF7B" w14:textId="77777777" w:rsidR="00145149" w:rsidRPr="007119BA" w:rsidRDefault="00145149" w:rsidP="00145149">
            <w:pPr>
              <w:rPr>
                <w:rFonts w:cstheme="minorHAnsi"/>
                <w:b/>
                <w:bCs/>
                <w:sz w:val="20"/>
                <w:szCs w:val="20"/>
              </w:rPr>
            </w:pPr>
          </w:p>
          <w:p w14:paraId="0CABCF7C" w14:textId="29DA93BC" w:rsidR="00145149" w:rsidRPr="007119BA" w:rsidRDefault="00145149" w:rsidP="00145149">
            <w:pPr>
              <w:rPr>
                <w:rFonts w:cstheme="minorHAnsi"/>
                <w:sz w:val="20"/>
                <w:szCs w:val="20"/>
              </w:rPr>
            </w:pPr>
            <w:bookmarkStart w:id="1" w:name="_Toc256067250"/>
            <w:r w:rsidRPr="007119BA">
              <w:rPr>
                <w:rFonts w:cstheme="minorHAnsi"/>
                <w:b/>
                <w:bCs/>
                <w:sz w:val="20"/>
                <w:szCs w:val="20"/>
              </w:rPr>
              <w:t>2b</w:t>
            </w:r>
            <w:r w:rsidR="00651D44" w:rsidRPr="007119BA">
              <w:rPr>
                <w:rFonts w:cstheme="minorHAnsi"/>
                <w:b/>
                <w:bCs/>
                <w:sz w:val="20"/>
                <w:szCs w:val="20"/>
              </w:rPr>
              <w:t>3</w:t>
            </w:r>
            <w:r w:rsidRPr="007119BA">
              <w:rPr>
                <w:rFonts w:cstheme="minorHAnsi"/>
                <w:b/>
                <w:bCs/>
                <w:sz w:val="20"/>
                <w:szCs w:val="20"/>
              </w:rPr>
              <w:t>.</w:t>
            </w:r>
            <w:r w:rsidRPr="007119BA">
              <w:rPr>
                <w:rFonts w:cstheme="minorHAnsi"/>
                <w:sz w:val="20"/>
                <w:szCs w:val="20"/>
              </w:rPr>
              <w:t xml:space="preserve"> </w:t>
            </w:r>
            <w:r w:rsidRPr="007119BA">
              <w:rPr>
                <w:rFonts w:cstheme="minorHAnsi"/>
                <w:b/>
                <w:sz w:val="20"/>
                <w:szCs w:val="20"/>
              </w:rPr>
              <w:t>For outcome measures and other measures when indicated</w:t>
            </w:r>
            <w:r w:rsidRPr="007119BA">
              <w:rPr>
                <w:rFonts w:cstheme="minorHAnsi"/>
                <w:sz w:val="20"/>
                <w:szCs w:val="20"/>
              </w:rPr>
              <w:t xml:space="preserve"> (e.g., resource use): </w:t>
            </w:r>
          </w:p>
          <w:p w14:paraId="0CABCF7D" w14:textId="14552318" w:rsidR="00145149" w:rsidRPr="007119BA" w:rsidRDefault="00145149" w:rsidP="00F91B8A">
            <w:pPr>
              <w:numPr>
                <w:ilvl w:val="0"/>
                <w:numId w:val="2"/>
              </w:numPr>
              <w:ind w:left="0" w:firstLine="0"/>
              <w:rPr>
                <w:rFonts w:cstheme="minorHAnsi"/>
                <w:sz w:val="20"/>
                <w:szCs w:val="20"/>
              </w:rPr>
            </w:pPr>
            <w:r w:rsidRPr="007119BA">
              <w:rPr>
                <w:rFonts w:cstheme="minorHAnsi"/>
                <w:b/>
                <w:sz w:val="20"/>
                <w:szCs w:val="20"/>
              </w:rPr>
              <w:t>an evidence-based risk-adjustment strategy</w:t>
            </w:r>
            <w:r w:rsidRPr="007119BA">
              <w:rPr>
                <w:rFonts w:cstheme="minorHAnsi"/>
                <w:sz w:val="20"/>
                <w:szCs w:val="20"/>
              </w:rPr>
              <w:t xml:space="preserve"> (e.g., risk models, risk stratification) is specified; is based on patient factors </w:t>
            </w:r>
            <w:r w:rsidR="00A64EBF" w:rsidRPr="007119BA">
              <w:rPr>
                <w:rFonts w:cstheme="minorHAnsi"/>
                <w:sz w:val="20"/>
                <w:szCs w:val="20"/>
              </w:rPr>
              <w:t xml:space="preserve">(including clinical and </w:t>
            </w:r>
            <w:r w:rsidR="00651D44" w:rsidRPr="007119BA">
              <w:rPr>
                <w:rFonts w:cstheme="minorHAnsi"/>
                <w:sz w:val="20"/>
                <w:szCs w:val="20"/>
              </w:rPr>
              <w:t>social risk</w:t>
            </w:r>
            <w:r w:rsidR="00A64EBF" w:rsidRPr="007119BA">
              <w:rPr>
                <w:rFonts w:cstheme="minorHAnsi"/>
                <w:sz w:val="20"/>
                <w:szCs w:val="20"/>
              </w:rPr>
              <w:t xml:space="preserve"> factors) </w:t>
            </w:r>
            <w:r w:rsidRPr="007119BA">
              <w:rPr>
                <w:rFonts w:cstheme="minorHAnsi"/>
                <w:sz w:val="20"/>
                <w:szCs w:val="20"/>
              </w:rPr>
              <w:t xml:space="preserve">that influence the measured outcome and are present at start of care; </w:t>
            </w:r>
            <w:hyperlink w:anchor="Note14" w:history="1">
              <w:r w:rsidRPr="007119BA">
                <w:rPr>
                  <w:rStyle w:val="Hyperlink"/>
                  <w:rFonts w:cstheme="minorHAnsi"/>
                  <w:b/>
                  <w:sz w:val="20"/>
                  <w:szCs w:val="20"/>
                  <w:vertAlign w:val="superscript"/>
                </w:rPr>
                <w:t>14</w:t>
              </w:r>
            </w:hyperlink>
            <w:r w:rsidRPr="007119BA">
              <w:rPr>
                <w:rFonts w:cstheme="minorHAnsi"/>
                <w:b/>
                <w:sz w:val="20"/>
                <w:szCs w:val="20"/>
                <w:vertAlign w:val="superscript"/>
              </w:rPr>
              <w:t>,</w:t>
            </w:r>
            <w:hyperlink w:anchor="Note15" w:history="1">
              <w:r w:rsidRPr="007119BA">
                <w:rPr>
                  <w:rStyle w:val="Hyperlink"/>
                  <w:rFonts w:cstheme="minorHAnsi"/>
                  <w:b/>
                  <w:sz w:val="20"/>
                  <w:szCs w:val="20"/>
                  <w:vertAlign w:val="superscript"/>
                </w:rPr>
                <w:t>15</w:t>
              </w:r>
            </w:hyperlink>
            <w:r w:rsidRPr="007119BA">
              <w:rPr>
                <w:rFonts w:cstheme="minorHAnsi"/>
                <w:sz w:val="20"/>
                <w:szCs w:val="20"/>
              </w:rPr>
              <w:t xml:space="preserve"> and has demonstrated adequate discrimination and calibration</w:t>
            </w:r>
          </w:p>
          <w:p w14:paraId="0CABCF7E" w14:textId="77777777" w:rsidR="00145149" w:rsidRPr="007119BA" w:rsidRDefault="00145149" w:rsidP="00145149">
            <w:pPr>
              <w:rPr>
                <w:rFonts w:cstheme="minorHAnsi"/>
                <w:b/>
                <w:sz w:val="20"/>
                <w:szCs w:val="20"/>
              </w:rPr>
            </w:pPr>
            <w:r w:rsidRPr="007119BA">
              <w:rPr>
                <w:rFonts w:cstheme="minorHAnsi"/>
                <w:b/>
                <w:sz w:val="20"/>
                <w:szCs w:val="20"/>
              </w:rPr>
              <w:t>OR</w:t>
            </w:r>
          </w:p>
          <w:p w14:paraId="0CABCF7F" w14:textId="77777777" w:rsidR="00145149" w:rsidRPr="007119BA" w:rsidRDefault="00145149" w:rsidP="00F91B8A">
            <w:pPr>
              <w:numPr>
                <w:ilvl w:val="0"/>
                <w:numId w:val="2"/>
              </w:numPr>
              <w:ind w:left="0" w:firstLine="0"/>
              <w:rPr>
                <w:rFonts w:cstheme="minorHAnsi"/>
                <w:sz w:val="20"/>
                <w:szCs w:val="20"/>
              </w:rPr>
            </w:pPr>
            <w:r w:rsidRPr="007119BA">
              <w:rPr>
                <w:rFonts w:cstheme="minorHAnsi"/>
                <w:sz w:val="20"/>
                <w:szCs w:val="20"/>
              </w:rPr>
              <w:t xml:space="preserve">rationale/data support no risk adjustment/ stratification. </w:t>
            </w:r>
          </w:p>
          <w:p w14:paraId="0CABCF80" w14:textId="77777777" w:rsidR="00145149" w:rsidRPr="007119BA" w:rsidRDefault="00145149" w:rsidP="00145149">
            <w:pPr>
              <w:rPr>
                <w:rFonts w:cstheme="minorHAnsi"/>
                <w:b/>
                <w:bCs/>
                <w:sz w:val="20"/>
                <w:szCs w:val="20"/>
              </w:rPr>
            </w:pPr>
          </w:p>
          <w:bookmarkEnd w:id="1"/>
          <w:p w14:paraId="0CABCF81" w14:textId="2585CCD3" w:rsidR="00145149" w:rsidRPr="007119BA" w:rsidRDefault="00145149" w:rsidP="00145149">
            <w:pPr>
              <w:rPr>
                <w:rFonts w:cstheme="minorHAnsi"/>
                <w:sz w:val="20"/>
                <w:szCs w:val="20"/>
              </w:rPr>
            </w:pPr>
            <w:r w:rsidRPr="007119BA">
              <w:rPr>
                <w:rFonts w:cstheme="minorHAnsi"/>
                <w:b/>
                <w:bCs/>
                <w:sz w:val="20"/>
                <w:szCs w:val="20"/>
              </w:rPr>
              <w:t>2b</w:t>
            </w:r>
            <w:r w:rsidR="00651D44" w:rsidRPr="007119BA">
              <w:rPr>
                <w:rFonts w:cstheme="minorHAnsi"/>
                <w:b/>
                <w:bCs/>
                <w:sz w:val="20"/>
                <w:szCs w:val="20"/>
              </w:rPr>
              <w:t>4</w:t>
            </w:r>
            <w:r w:rsidRPr="007119BA">
              <w:rPr>
                <w:rFonts w:cstheme="minorHAnsi"/>
                <w:b/>
                <w:bCs/>
                <w:sz w:val="20"/>
                <w:szCs w:val="20"/>
              </w:rPr>
              <w:t>.</w:t>
            </w:r>
            <w:r w:rsidRPr="007119BA">
              <w:rPr>
                <w:rFonts w:cstheme="minorHAnsi"/>
                <w:sz w:val="20"/>
                <w:szCs w:val="20"/>
              </w:rPr>
              <w:t xml:space="preserve"> Data analysis of computed measure scores demonstrates that methods for scoring and analysis of the specified measure allow for </w:t>
            </w:r>
            <w:r w:rsidRPr="007119BA">
              <w:rPr>
                <w:rFonts w:cstheme="minorHAnsi"/>
                <w:b/>
                <w:sz w:val="20"/>
                <w:szCs w:val="20"/>
              </w:rPr>
              <w:t>identification of statistically significant and practically/clinically meaningful</w:t>
            </w:r>
            <w:r w:rsidRPr="007119BA">
              <w:rPr>
                <w:rFonts w:cstheme="minorHAnsi"/>
                <w:sz w:val="20"/>
                <w:szCs w:val="20"/>
              </w:rPr>
              <w:t xml:space="preserve"> </w:t>
            </w:r>
            <w:hyperlink w:anchor="Note16" w:history="1">
              <w:r w:rsidRPr="007119BA">
                <w:rPr>
                  <w:rStyle w:val="Hyperlink"/>
                  <w:rFonts w:cstheme="minorHAnsi"/>
                  <w:b/>
                  <w:sz w:val="20"/>
                  <w:szCs w:val="20"/>
                  <w:vertAlign w:val="superscript"/>
                </w:rPr>
                <w:t>16</w:t>
              </w:r>
            </w:hyperlink>
            <w:r w:rsidRPr="007119BA">
              <w:rPr>
                <w:rFonts w:cstheme="minorHAnsi"/>
                <w:sz w:val="20"/>
                <w:szCs w:val="20"/>
              </w:rPr>
              <w:t xml:space="preserve"> </w:t>
            </w:r>
            <w:r w:rsidRPr="007119BA">
              <w:rPr>
                <w:rFonts w:cstheme="minorHAnsi"/>
                <w:b/>
                <w:sz w:val="20"/>
                <w:szCs w:val="20"/>
              </w:rPr>
              <w:t>differences in performance</w:t>
            </w:r>
            <w:r w:rsidRPr="007119BA">
              <w:rPr>
                <w:rFonts w:cstheme="minorHAnsi"/>
                <w:sz w:val="20"/>
                <w:szCs w:val="20"/>
              </w:rPr>
              <w:t>;</w:t>
            </w:r>
          </w:p>
          <w:p w14:paraId="0CABCF82" w14:textId="77777777" w:rsidR="00145149" w:rsidRPr="007119BA" w:rsidRDefault="00145149" w:rsidP="00145149">
            <w:pPr>
              <w:rPr>
                <w:rFonts w:cstheme="minorHAnsi"/>
                <w:sz w:val="20"/>
                <w:szCs w:val="20"/>
              </w:rPr>
            </w:pPr>
            <w:r w:rsidRPr="007119BA">
              <w:rPr>
                <w:rFonts w:cstheme="minorHAnsi"/>
                <w:b/>
                <w:sz w:val="20"/>
                <w:szCs w:val="20"/>
              </w:rPr>
              <w:t>OR</w:t>
            </w:r>
          </w:p>
          <w:p w14:paraId="0CABCF83" w14:textId="77777777" w:rsidR="00145149" w:rsidRPr="007119BA" w:rsidRDefault="00145149" w:rsidP="00145149">
            <w:pPr>
              <w:rPr>
                <w:rFonts w:cstheme="minorHAnsi"/>
                <w:sz w:val="20"/>
                <w:szCs w:val="20"/>
              </w:rPr>
            </w:pPr>
            <w:r w:rsidRPr="007119BA">
              <w:rPr>
                <w:rFonts w:cstheme="minorHAnsi"/>
                <w:sz w:val="20"/>
                <w:szCs w:val="20"/>
              </w:rPr>
              <w:t xml:space="preserve">there is evidence of overall less-than-optimal performance. </w:t>
            </w:r>
          </w:p>
          <w:p w14:paraId="0CABCF84" w14:textId="77777777" w:rsidR="00145149" w:rsidRPr="007119BA" w:rsidRDefault="00145149" w:rsidP="00145149">
            <w:pPr>
              <w:rPr>
                <w:rFonts w:cstheme="minorHAnsi"/>
                <w:b/>
                <w:bCs/>
                <w:sz w:val="20"/>
                <w:szCs w:val="20"/>
              </w:rPr>
            </w:pPr>
          </w:p>
          <w:p w14:paraId="0CABCF85" w14:textId="64041FFB" w:rsidR="00145149" w:rsidRPr="007119BA" w:rsidRDefault="00145149" w:rsidP="00145149">
            <w:pPr>
              <w:rPr>
                <w:rFonts w:cstheme="minorHAnsi"/>
                <w:sz w:val="20"/>
                <w:szCs w:val="20"/>
              </w:rPr>
            </w:pPr>
            <w:r w:rsidRPr="007119BA">
              <w:rPr>
                <w:rFonts w:cstheme="minorHAnsi"/>
                <w:b/>
                <w:bCs/>
                <w:sz w:val="20"/>
                <w:szCs w:val="20"/>
              </w:rPr>
              <w:t>2b</w:t>
            </w:r>
            <w:r w:rsidR="00651D44" w:rsidRPr="007119BA">
              <w:rPr>
                <w:rFonts w:cstheme="minorHAnsi"/>
                <w:b/>
                <w:bCs/>
                <w:sz w:val="20"/>
                <w:szCs w:val="20"/>
              </w:rPr>
              <w:t>5</w:t>
            </w:r>
            <w:r w:rsidRPr="007119BA">
              <w:rPr>
                <w:rFonts w:cstheme="minorHAnsi"/>
                <w:b/>
                <w:bCs/>
                <w:sz w:val="20"/>
                <w:szCs w:val="20"/>
              </w:rPr>
              <w:t>.</w:t>
            </w:r>
            <w:r w:rsidRPr="007119BA">
              <w:rPr>
                <w:rFonts w:cstheme="minorHAnsi"/>
                <w:sz w:val="20"/>
                <w:szCs w:val="20"/>
              </w:rPr>
              <w:t xml:space="preserve"> </w:t>
            </w:r>
            <w:r w:rsidRPr="007119BA">
              <w:rPr>
                <w:rFonts w:cstheme="minorHAnsi"/>
                <w:b/>
                <w:sz w:val="20"/>
                <w:szCs w:val="20"/>
              </w:rPr>
              <w:t>If multiple data sources/methods are specified, there is demonstration they produce comparable results</w:t>
            </w:r>
            <w:r w:rsidRPr="007119BA">
              <w:rPr>
                <w:rFonts w:cstheme="minorHAnsi"/>
                <w:sz w:val="20"/>
                <w:szCs w:val="20"/>
              </w:rPr>
              <w:t>.</w:t>
            </w:r>
          </w:p>
          <w:p w14:paraId="0CABCF86" w14:textId="77777777" w:rsidR="00E30584" w:rsidRPr="007119BA" w:rsidRDefault="00E30584" w:rsidP="00145149">
            <w:pPr>
              <w:rPr>
                <w:rFonts w:cstheme="minorHAnsi"/>
                <w:sz w:val="20"/>
                <w:szCs w:val="20"/>
              </w:rPr>
            </w:pPr>
          </w:p>
          <w:p w14:paraId="0CABCF87" w14:textId="74D99AAC" w:rsidR="00E30584" w:rsidRPr="007119BA" w:rsidRDefault="00651D44" w:rsidP="00145149">
            <w:pPr>
              <w:rPr>
                <w:rFonts w:cstheme="minorHAnsi"/>
                <w:sz w:val="20"/>
                <w:szCs w:val="20"/>
              </w:rPr>
            </w:pPr>
            <w:r w:rsidRPr="007119BA">
              <w:rPr>
                <w:rFonts w:ascii="Calibri" w:eastAsia="Calibri" w:hAnsi="Calibri" w:cs="Calibri"/>
                <w:b/>
                <w:sz w:val="20"/>
                <w:szCs w:val="20"/>
              </w:rPr>
              <w:t>2b6</w:t>
            </w:r>
            <w:r w:rsidR="00E30584" w:rsidRPr="007119BA">
              <w:rPr>
                <w:rFonts w:ascii="Calibri" w:eastAsia="Calibri" w:hAnsi="Calibri" w:cs="Calibri"/>
                <w:b/>
                <w:sz w:val="20"/>
                <w:szCs w:val="20"/>
              </w:rPr>
              <w:t>.</w:t>
            </w:r>
            <w:r w:rsidR="00E30584" w:rsidRPr="007119BA">
              <w:rPr>
                <w:rFonts w:ascii="Calibri" w:eastAsia="Calibri" w:hAnsi="Calibri" w:cs="Calibri"/>
                <w:sz w:val="20"/>
                <w:szCs w:val="20"/>
              </w:rPr>
              <w:t xml:space="preserve"> </w:t>
            </w:r>
            <w:r w:rsidRPr="007119BA">
              <w:rPr>
                <w:rFonts w:ascii="Calibri" w:eastAsia="Calibri" w:hAnsi="Calibri" w:cs="Calibri"/>
                <w:sz w:val="20"/>
                <w:szCs w:val="20"/>
              </w:rPr>
              <w:t>A</w:t>
            </w:r>
            <w:r w:rsidR="00E30584" w:rsidRPr="007119BA">
              <w:rPr>
                <w:rFonts w:ascii="Calibri" w:eastAsia="Calibri" w:hAnsi="Calibri" w:cs="Calibri"/>
                <w:sz w:val="20"/>
                <w:szCs w:val="20"/>
              </w:rPr>
              <w:t xml:space="preserve">nalyses identify the extent and distribution of </w:t>
            </w:r>
            <w:r w:rsidR="00E30584" w:rsidRPr="007119BA">
              <w:rPr>
                <w:rFonts w:ascii="Calibri" w:eastAsia="Calibri" w:hAnsi="Calibri" w:cs="Calibri"/>
                <w:b/>
                <w:sz w:val="20"/>
                <w:szCs w:val="20"/>
              </w:rPr>
              <w:t>missing data</w:t>
            </w:r>
            <w:r w:rsidR="00E30584" w:rsidRPr="007119BA">
              <w:rPr>
                <w:rFonts w:ascii="Calibri" w:eastAsia="Calibri" w:hAnsi="Calibri" w:cs="Calibri"/>
                <w:sz w:val="20"/>
                <w:szCs w:val="20"/>
              </w:rPr>
              <w:t xml:space="preserve"> (or nonresponse) and demonstrate that performance results are not biased due to systematic missing data (or differences between responders and </w:t>
            </w:r>
            <w:proofErr w:type="spellStart"/>
            <w:r w:rsidR="00E30584" w:rsidRPr="007119BA">
              <w:rPr>
                <w:rFonts w:ascii="Calibri" w:eastAsia="Calibri" w:hAnsi="Calibri" w:cs="Calibri"/>
                <w:sz w:val="20"/>
                <w:szCs w:val="20"/>
              </w:rPr>
              <w:t>nonresponders</w:t>
            </w:r>
            <w:proofErr w:type="spellEnd"/>
            <w:r w:rsidR="00E30584" w:rsidRPr="007119BA">
              <w:rPr>
                <w:rFonts w:ascii="Calibri" w:eastAsia="Calibri" w:hAnsi="Calibri" w:cs="Calibri"/>
                <w:sz w:val="20"/>
                <w:szCs w:val="20"/>
              </w:rPr>
              <w:t>) and how the specified handling of missing data minimizes bias.</w:t>
            </w:r>
          </w:p>
          <w:bookmarkEnd w:id="0"/>
          <w:p w14:paraId="0CABCF88" w14:textId="77777777" w:rsidR="00145149" w:rsidRPr="007119BA" w:rsidRDefault="00145149" w:rsidP="00145149">
            <w:pPr>
              <w:rPr>
                <w:rFonts w:cstheme="minorHAnsi"/>
                <w:b/>
                <w:bCs/>
                <w:sz w:val="20"/>
                <w:szCs w:val="20"/>
              </w:rPr>
            </w:pPr>
          </w:p>
          <w:p w14:paraId="0CABCF89" w14:textId="77777777" w:rsidR="00145149" w:rsidRPr="007119BA" w:rsidRDefault="00145149" w:rsidP="00145149">
            <w:pPr>
              <w:autoSpaceDE w:val="0"/>
              <w:autoSpaceDN w:val="0"/>
              <w:adjustRightInd w:val="0"/>
              <w:rPr>
                <w:rFonts w:cstheme="minorHAnsi"/>
                <w:b/>
                <w:bCs/>
                <w:iCs/>
                <w:sz w:val="20"/>
                <w:szCs w:val="20"/>
              </w:rPr>
            </w:pPr>
            <w:r w:rsidRPr="007119BA">
              <w:rPr>
                <w:rFonts w:cstheme="minorHAnsi"/>
                <w:b/>
                <w:bCs/>
                <w:iCs/>
                <w:sz w:val="20"/>
                <w:szCs w:val="20"/>
              </w:rPr>
              <w:t>Notes</w:t>
            </w:r>
          </w:p>
          <w:p w14:paraId="0CABCF8A" w14:textId="77777777" w:rsidR="00145149" w:rsidRPr="007119BA"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7119BA">
              <w:rPr>
                <w:rFonts w:cstheme="minorHAnsi"/>
                <w:b/>
                <w:sz w:val="20"/>
                <w:szCs w:val="20"/>
              </w:rPr>
              <w:t>10.</w:t>
            </w:r>
            <w:r w:rsidRPr="007119BA">
              <w:rPr>
                <w:rFonts w:cstheme="minorHAnsi"/>
                <w:sz w:val="20"/>
                <w:szCs w:val="20"/>
              </w:rPr>
              <w:t xml:space="preserve"> Reliability testing applies to both the data elements and computed measure score. Examples of reliability testing for data elements </w:t>
            </w:r>
            <w:proofErr w:type="gramStart"/>
            <w:r w:rsidRPr="007119BA">
              <w:rPr>
                <w:rFonts w:cstheme="minorHAnsi"/>
                <w:sz w:val="20"/>
                <w:szCs w:val="20"/>
              </w:rPr>
              <w:t>include, but</w:t>
            </w:r>
            <w:proofErr w:type="gramEnd"/>
            <w:r w:rsidRPr="007119BA">
              <w:rPr>
                <w:rFonts w:cstheme="minorHAnsi"/>
                <w:sz w:val="20"/>
                <w:szCs w:val="20"/>
              </w:rPr>
              <w:t xml:space="preserve"> are not limited to: inter-rater/abstractor or intra-rater/abstractor studies; internal consistency for multi-item scales; test-retest for survey items. Reliability testing of the measure score addresses precision of measurement (e.g., signal-to-noise).</w:t>
            </w:r>
          </w:p>
          <w:p w14:paraId="0CABCF8B" w14:textId="39A94364" w:rsidR="00145149" w:rsidRPr="007119BA" w:rsidRDefault="00145149" w:rsidP="00145149">
            <w:pPr>
              <w:rPr>
                <w:rFonts w:cstheme="minorHAnsi"/>
                <w:sz w:val="20"/>
                <w:szCs w:val="20"/>
              </w:rPr>
            </w:pPr>
            <w:bookmarkStart w:id="5" w:name="Note11"/>
            <w:bookmarkEnd w:id="5"/>
            <w:r w:rsidRPr="007119BA">
              <w:rPr>
                <w:rFonts w:cstheme="minorHAnsi"/>
                <w:b/>
                <w:sz w:val="20"/>
                <w:szCs w:val="20"/>
              </w:rPr>
              <w:t>11.</w:t>
            </w:r>
            <w:r w:rsidRPr="007119BA">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w:t>
            </w:r>
            <w:r w:rsidR="00E87D6C">
              <w:rPr>
                <w:rFonts w:cstheme="minorHAnsi"/>
                <w:sz w:val="20"/>
                <w:szCs w:val="20"/>
              </w:rPr>
              <w:t xml:space="preserve"> </w:t>
            </w:r>
            <w:r w:rsidR="00651D44" w:rsidRPr="007119BA">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7119BA">
              <w:rPr>
                <w:rFonts w:cstheme="minorHAnsi"/>
                <w:sz w:val="20"/>
                <w:szCs w:val="20"/>
              </w:rPr>
              <w:t>.</w:t>
            </w:r>
            <w:r w:rsidR="00651D44" w:rsidRPr="007119BA">
              <w:rPr>
                <w:rFonts w:cstheme="minorHAnsi"/>
                <w:sz w:val="20"/>
                <w:szCs w:val="20"/>
              </w:rPr>
              <w:t xml:space="preserve"> The degree of consensus and any areas of disagreement must be provided/discussed.</w:t>
            </w:r>
          </w:p>
          <w:p w14:paraId="0CABCF8C" w14:textId="511F6779" w:rsidR="00145149" w:rsidRPr="007119BA" w:rsidRDefault="00145149" w:rsidP="00145149">
            <w:pPr>
              <w:pStyle w:val="FootnoteText"/>
              <w:rPr>
                <w:rFonts w:asciiTheme="minorHAnsi" w:hAnsiTheme="minorHAnsi" w:cstheme="minorHAnsi"/>
              </w:rPr>
            </w:pPr>
            <w:bookmarkStart w:id="6" w:name="Note12"/>
            <w:bookmarkEnd w:id="6"/>
            <w:r w:rsidRPr="007119BA">
              <w:rPr>
                <w:rFonts w:asciiTheme="minorHAnsi" w:hAnsiTheme="minorHAnsi" w:cstheme="minorHAnsi"/>
                <w:b/>
              </w:rPr>
              <w:t>12.</w:t>
            </w:r>
            <w:r w:rsidRPr="007119BA">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w:t>
            </w:r>
            <w:r w:rsidR="00E87D6C">
              <w:rPr>
                <w:rFonts w:asciiTheme="minorHAnsi" w:hAnsiTheme="minorHAnsi" w:cstheme="minorHAnsi"/>
              </w:rPr>
              <w:t xml:space="preserve"> </w:t>
            </w:r>
          </w:p>
          <w:p w14:paraId="0CABCF8D" w14:textId="77777777" w:rsidR="00145149" w:rsidRPr="007119BA" w:rsidRDefault="00145149" w:rsidP="00145149">
            <w:pPr>
              <w:autoSpaceDE w:val="0"/>
              <w:autoSpaceDN w:val="0"/>
              <w:adjustRightInd w:val="0"/>
              <w:rPr>
                <w:rFonts w:cstheme="minorHAnsi"/>
                <w:b/>
                <w:sz w:val="20"/>
                <w:szCs w:val="20"/>
              </w:rPr>
            </w:pPr>
            <w:bookmarkStart w:id="7" w:name="Note13"/>
            <w:bookmarkEnd w:id="7"/>
            <w:r w:rsidRPr="007119BA">
              <w:rPr>
                <w:rFonts w:cstheme="minorHAnsi"/>
                <w:b/>
                <w:sz w:val="20"/>
                <w:szCs w:val="20"/>
              </w:rPr>
              <w:t>13.</w:t>
            </w:r>
            <w:r w:rsidRPr="007119BA">
              <w:rPr>
                <w:rFonts w:cstheme="minorHAnsi"/>
                <w:sz w:val="20"/>
                <w:szCs w:val="20"/>
              </w:rPr>
              <w:t xml:space="preserve"> Patient preference is not a clinical exception to eligibility and can be influenced by provider interventions.</w:t>
            </w:r>
          </w:p>
          <w:p w14:paraId="0CABCF8E" w14:textId="51FE465E" w:rsidR="00145149" w:rsidRPr="007119BA" w:rsidRDefault="00145149" w:rsidP="00A71200">
            <w:pPr>
              <w:pStyle w:val="FootnoteText"/>
              <w:rPr>
                <w:b/>
                <w:bCs/>
              </w:rPr>
            </w:pPr>
            <w:bookmarkStart w:id="8" w:name="Note14"/>
            <w:bookmarkEnd w:id="8"/>
            <w:r w:rsidRPr="007119BA">
              <w:rPr>
                <w:rFonts w:asciiTheme="minorHAnsi" w:hAnsiTheme="minorHAnsi" w:cstheme="minorHAnsi"/>
                <w:b/>
              </w:rPr>
              <w:t xml:space="preserve">14. </w:t>
            </w:r>
            <w:r w:rsidRPr="007119BA">
              <w:rPr>
                <w:rFonts w:asciiTheme="minorHAnsi" w:hAnsiTheme="minorHAnsi" w:cstheme="minorHAnsi"/>
              </w:rPr>
              <w:t>Risk factors that influence outcomes should not be specified as exclusions</w:t>
            </w:r>
            <w:bookmarkStart w:id="9" w:name="Note15"/>
            <w:bookmarkEnd w:id="9"/>
            <w:r w:rsidR="00651D44" w:rsidRPr="007119BA">
              <w:rPr>
                <w:rFonts w:asciiTheme="minorHAnsi" w:hAnsiTheme="minorHAnsi" w:cstheme="minorHAnsi"/>
              </w:rPr>
              <w:t>.</w:t>
            </w:r>
          </w:p>
          <w:p w14:paraId="0CABCF8F" w14:textId="469E2616" w:rsidR="00145149" w:rsidRPr="007119BA" w:rsidRDefault="00A64EBF">
            <w:pPr>
              <w:rPr>
                <w:rFonts w:cstheme="minorHAnsi"/>
                <w:noProof/>
                <w:sz w:val="20"/>
                <w:szCs w:val="20"/>
              </w:rPr>
            </w:pPr>
            <w:bookmarkStart w:id="10" w:name="Note16"/>
            <w:bookmarkEnd w:id="10"/>
            <w:r w:rsidRPr="007119BA">
              <w:rPr>
                <w:rFonts w:cstheme="minorHAnsi"/>
                <w:b/>
                <w:sz w:val="20"/>
                <w:szCs w:val="20"/>
              </w:rPr>
              <w:t>15</w:t>
            </w:r>
            <w:r w:rsidR="00145149" w:rsidRPr="007119BA">
              <w:rPr>
                <w:rFonts w:cstheme="minorHAnsi"/>
                <w:b/>
                <w:sz w:val="20"/>
                <w:szCs w:val="20"/>
              </w:rPr>
              <w:t>.</w:t>
            </w:r>
            <w:r w:rsidR="00145149" w:rsidRPr="007119BA">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w:t>
            </w:r>
            <w:r w:rsidR="00E87D6C">
              <w:rPr>
                <w:rFonts w:cstheme="minorHAnsi"/>
                <w:sz w:val="20"/>
                <w:szCs w:val="20"/>
              </w:rPr>
              <w:t xml:space="preserve"> </w:t>
            </w:r>
            <w:r w:rsidR="00145149" w:rsidRPr="007119BA">
              <w:rPr>
                <w:rFonts w:cstheme="minorHAnsi"/>
                <w:sz w:val="20"/>
                <w:szCs w:val="20"/>
              </w:rPr>
              <w:t>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7119BA">
      <w:pPr>
        <w:pageBreakBefore/>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60AE1B02">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60AE1B02">
        <w:trPr>
          <w:jc w:val="center"/>
        </w:trPr>
        <w:tc>
          <w:tcPr>
            <w:tcW w:w="5208" w:type="dxa"/>
          </w:tcPr>
          <w:p w14:paraId="0CABCF9B" w14:textId="77777777" w:rsidR="00A01494" w:rsidRPr="00A01494" w:rsidRDefault="00A97C32" w:rsidP="00DB3627">
            <w:pPr>
              <w:autoSpaceDE w:val="0"/>
              <w:autoSpaceDN w:val="0"/>
              <w:adjustRightInd w:val="0"/>
              <w:rPr>
                <w:rFonts w:cstheme="minorHAnsi"/>
                <w:bCs/>
              </w:rPr>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77777777" w:rsidR="00A01494" w:rsidRPr="00A01494" w:rsidRDefault="00A97C32" w:rsidP="00DB3627">
            <w:pPr>
              <w:autoSpaceDE w:val="0"/>
              <w:autoSpaceDN w:val="0"/>
              <w:adjustRightInd w:val="0"/>
              <w:rPr>
                <w:rFonts w:cstheme="minorHAnsi"/>
                <w:bCs/>
              </w:rPr>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60AE1B02">
        <w:trPr>
          <w:jc w:val="center"/>
        </w:trPr>
        <w:tc>
          <w:tcPr>
            <w:tcW w:w="5208" w:type="dxa"/>
          </w:tcPr>
          <w:p w14:paraId="0CABCF9E" w14:textId="07A77AD8" w:rsidR="00A01494" w:rsidRPr="000F1B7A" w:rsidRDefault="00A97C32"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A97C32"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60AE1B02">
        <w:trPr>
          <w:jc w:val="center"/>
        </w:trPr>
        <w:tc>
          <w:tcPr>
            <w:tcW w:w="5208" w:type="dxa"/>
          </w:tcPr>
          <w:p w14:paraId="0CABCFA1" w14:textId="38318C23" w:rsidR="00A01494" w:rsidRPr="000F1B7A" w:rsidRDefault="00A97C32"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A97C32"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60AE1B02">
        <w:trPr>
          <w:jc w:val="center"/>
        </w:trPr>
        <w:tc>
          <w:tcPr>
            <w:tcW w:w="5208" w:type="dxa"/>
          </w:tcPr>
          <w:p w14:paraId="0CABCFA4" w14:textId="77777777" w:rsidR="00A01494" w:rsidRPr="000F1B7A" w:rsidRDefault="00A97C32" w:rsidP="00DB3627">
            <w:pPr>
              <w:autoSpaceDE w:val="0"/>
              <w:autoSpaceDN w:val="0"/>
              <w:adjustRightInd w:val="0"/>
              <w:rPr>
                <w:rFonts w:cstheme="minorHAnsi"/>
                <w:bCs/>
              </w:rPr>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77777777" w:rsidR="00A01494" w:rsidRPr="000F1B7A" w:rsidRDefault="00A97C32" w:rsidP="00DB3627">
            <w:pPr>
              <w:autoSpaceDE w:val="0"/>
              <w:autoSpaceDN w:val="0"/>
              <w:adjustRightInd w:val="0"/>
              <w:rPr>
                <w:rFonts w:cstheme="minorHAnsi"/>
                <w:bCs/>
              </w:rPr>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60AE1B02">
        <w:trPr>
          <w:jc w:val="center"/>
        </w:trPr>
        <w:tc>
          <w:tcPr>
            <w:tcW w:w="5208" w:type="dxa"/>
          </w:tcPr>
          <w:p w14:paraId="0CABCFA7" w14:textId="77777777" w:rsidR="00A01494" w:rsidRPr="000F1B7A" w:rsidRDefault="00A97C32"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A97C32"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proofErr w:type="spellStart"/>
            <w:r w:rsidR="00A01494" w:rsidRPr="000F1B7A">
              <w:rPr>
                <w:rFonts w:cstheme="minorHAnsi"/>
                <w:bCs/>
              </w:rPr>
              <w:t>eMeasure</w:t>
            </w:r>
            <w:proofErr w:type="spellEnd"/>
            <w:r w:rsidR="00A01494" w:rsidRPr="000F1B7A">
              <w:rPr>
                <w:rFonts w:cstheme="minorHAnsi"/>
                <w:bCs/>
              </w:rPr>
              <w:t xml:space="preserv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60AE1B02">
        <w:trPr>
          <w:jc w:val="center"/>
        </w:trPr>
        <w:tc>
          <w:tcPr>
            <w:tcW w:w="5208" w:type="dxa"/>
          </w:tcPr>
          <w:p w14:paraId="0CABCFAA" w14:textId="7E695631" w:rsidR="00A01494" w:rsidRPr="000F1B7A" w:rsidRDefault="00A97C32" w:rsidP="00DB3627">
            <w:pPr>
              <w:autoSpaceDE w:val="0"/>
              <w:autoSpaceDN w:val="0"/>
              <w:adjustRightInd w:val="0"/>
              <w:rPr>
                <w:rFonts w:cstheme="minorHAnsi"/>
                <w:bCs/>
              </w:rPr>
            </w:pPr>
            <w:sdt>
              <w:sdtPr>
                <w:rPr>
                  <w:rFonts w:cstheme="minorHAnsi"/>
                  <w:bCs/>
                  <w:color w:val="0000FF"/>
                </w:rPr>
                <w:id w:val="1316375390"/>
                <w14:checkbox>
                  <w14:checked w14:val="1"/>
                  <w14:checkedState w14:val="2612" w14:font="MS Gothic"/>
                  <w14:uncheckedState w14:val="2610" w14:font="MS Gothic"/>
                </w14:checkbox>
              </w:sdtPr>
              <w:sdtEndPr/>
              <w:sdtContent>
                <w:r w:rsidR="000001A8">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other:</w:t>
            </w:r>
            <w:r w:rsidR="00E87D6C">
              <w:rPr>
                <w:rFonts w:cstheme="minorHAnsi"/>
                <w:bCs/>
              </w:rPr>
              <w:t xml:space="preserve"> </w:t>
            </w:r>
            <w:sdt>
              <w:sdtPr>
                <w:rPr>
                  <w:rFonts w:cstheme="minorHAnsi"/>
                  <w:bCs/>
                  <w:color w:val="0000FF"/>
                </w:rPr>
                <w:id w:val="1834251992"/>
                <w:text/>
              </w:sdtPr>
              <w:sdtEndPr/>
              <w:sdtContent>
                <w:r w:rsidR="00DB7489" w:rsidRPr="00DB7489">
                  <w:rPr>
                    <w:rFonts w:cstheme="minorHAnsi"/>
                    <w:bCs/>
                    <w:color w:val="0000FF"/>
                  </w:rPr>
                  <w:t>Nursing Home Minimum Data Set (MDS) 3.0 v1.15.0</w:t>
                </w:r>
              </w:sdtContent>
            </w:sdt>
          </w:p>
        </w:tc>
        <w:tc>
          <w:tcPr>
            <w:tcW w:w="4847" w:type="dxa"/>
          </w:tcPr>
          <w:p w14:paraId="0CABCFAB" w14:textId="53494393" w:rsidR="00A01494" w:rsidRPr="000F1B7A" w:rsidRDefault="00A97C32">
            <w:pPr>
              <w:autoSpaceDE w:val="0"/>
              <w:autoSpaceDN w:val="0"/>
              <w:adjustRightInd w:val="0"/>
            </w:pPr>
            <w:sdt>
              <w:sdtPr>
                <w:rPr>
                  <w:rFonts w:cstheme="minorHAnsi"/>
                  <w:bCs/>
                  <w:color w:val="0000FF"/>
                </w:rPr>
                <w:id w:val="1689098749"/>
                <w14:checkbox>
                  <w14:checked w14:val="1"/>
                  <w14:checkedState w14:val="2612" w14:font="MS Gothic"/>
                  <w14:uncheckedState w14:val="2610" w14:font="MS Gothic"/>
                </w14:checkbox>
              </w:sdtPr>
              <w:sdtEndPr/>
              <w:sdtContent>
                <w:r w:rsidR="001B0CD1">
                  <w:rPr>
                    <w:rFonts w:ascii="MS Gothic" w:eastAsia="MS Gothic" w:hAnsi="MS Gothic" w:cstheme="minorHAnsi" w:hint="eastAsia"/>
                    <w:bCs/>
                    <w:color w:val="0000FF"/>
                  </w:rPr>
                  <w:t>☒</w:t>
                </w:r>
              </w:sdtContent>
            </w:sdt>
            <w:r w:rsidR="00B82A57" w:rsidRPr="00B861BF">
              <w:t xml:space="preserve"> </w:t>
            </w:r>
            <w:r w:rsidR="00A01494" w:rsidRPr="00B861BF">
              <w:t>other:</w:t>
            </w:r>
            <w:r w:rsidR="00E87D6C">
              <w:t xml:space="preserve"> </w:t>
            </w:r>
            <w:sdt>
              <w:sdtPr>
                <w:rPr>
                  <w:rFonts w:cstheme="minorHAnsi"/>
                  <w:bCs/>
                  <w:color w:val="0000FF"/>
                </w:rPr>
                <w:id w:val="1976178076"/>
                <w:text/>
              </w:sdtPr>
              <w:sdtEndPr/>
              <w:sdtContent>
                <w:r w:rsidR="00DB7489" w:rsidRPr="00DB7489">
                  <w:rPr>
                    <w:rFonts w:cstheme="minorHAnsi"/>
                    <w:bCs/>
                    <w:color w:val="0000FF"/>
                  </w:rPr>
                  <w:t>Nursing Home Minimum Data Set (MDS) 3.0 v1.15.0</w:t>
                </w:r>
              </w:sdtContent>
            </w:sdt>
          </w:p>
        </w:tc>
      </w:tr>
    </w:tbl>
    <w:p w14:paraId="0CABCFAD" w14:textId="3C23F6F3"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CABCFAE" w14:textId="275E3FCC" w:rsidR="00C355B9"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w:t>
      </w:r>
    </w:p>
    <w:p w14:paraId="74C1E100" w14:textId="0F03769E" w:rsidR="000001A8" w:rsidRDefault="000001A8" w:rsidP="000001A8">
      <w:pPr>
        <w:pStyle w:val="Response"/>
      </w:pPr>
      <w:r>
        <w:rPr>
          <w:rFonts w:eastAsia="Calibri"/>
        </w:rPr>
        <w:t xml:space="preserve">The data set used for testing was the </w:t>
      </w:r>
      <w:r>
        <w:t>Nursing Home Minimum Data Set (MDS) 3.0</w:t>
      </w:r>
      <w:r w:rsidR="00DB7489">
        <w:t xml:space="preserve"> v1.15.0</w:t>
      </w:r>
      <w:r>
        <w:t>.</w:t>
      </w:r>
    </w:p>
    <w:p w14:paraId="0CABCFB0" w14:textId="369C2B14"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1E7F87">
            <w:rPr>
              <w:rStyle w:val="Style1"/>
            </w:rPr>
            <w:t xml:space="preserve">     </w:t>
          </w:r>
        </w:sdtContent>
      </w:sdt>
    </w:p>
    <w:p w14:paraId="51D9B6F6" w14:textId="35DA7221" w:rsidR="002F2642" w:rsidRDefault="00CF0539" w:rsidP="00AE7096">
      <w:pPr>
        <w:autoSpaceDE w:val="0"/>
        <w:autoSpaceDN w:val="0"/>
        <w:adjustRightInd w:val="0"/>
        <w:spacing w:before="240" w:after="240" w:line="240" w:lineRule="auto"/>
        <w:rPr>
          <w:rFonts w:ascii="Calibri" w:eastAsia="MS Mincho" w:hAnsi="Calibri" w:cs="Calibri"/>
          <w:bCs/>
          <w:color w:val="0000FF"/>
        </w:rPr>
      </w:pPr>
      <w:r>
        <w:rPr>
          <w:rFonts w:eastAsiaTheme="minorHAnsi" w:cstheme="minorHAnsi"/>
          <w:bCs/>
          <w:color w:val="0000FF"/>
        </w:rPr>
        <w:t>Two</w:t>
      </w:r>
      <w:r w:rsidR="000001A8" w:rsidRPr="000001A8">
        <w:rPr>
          <w:rFonts w:eastAsiaTheme="minorHAnsi" w:cstheme="minorHAnsi"/>
          <w:bCs/>
          <w:color w:val="0000FF"/>
        </w:rPr>
        <w:t xml:space="preserve"> studies were used in the testing of this measure; they are described in greater detail below.</w:t>
      </w:r>
    </w:p>
    <w:p w14:paraId="28EF2928" w14:textId="21C462DD" w:rsidR="002F2642" w:rsidRDefault="009561D6" w:rsidP="00C77F0D">
      <w:pPr>
        <w:pStyle w:val="ListParagraph"/>
        <w:numPr>
          <w:ilvl w:val="0"/>
          <w:numId w:val="3"/>
        </w:numPr>
        <w:autoSpaceDE w:val="0"/>
        <w:autoSpaceDN w:val="0"/>
        <w:adjustRightInd w:val="0"/>
        <w:spacing w:after="0" w:line="240" w:lineRule="auto"/>
        <w:ind w:left="720" w:hanging="360"/>
        <w:rPr>
          <w:rFonts w:cstheme="minorHAnsi"/>
          <w:color w:val="0000FF"/>
        </w:rPr>
      </w:pPr>
      <w:r w:rsidRPr="00393C9C">
        <w:rPr>
          <w:rFonts w:cstheme="minorHAnsi"/>
          <w:color w:val="0000FF"/>
        </w:rPr>
        <w:t>RAND Corporation – Development and validation of a revised nursing home assessment tool: MDS 3.0; August 2006 to February 2007 (</w:t>
      </w:r>
      <w:proofErr w:type="spellStart"/>
      <w:r w:rsidRPr="00393C9C">
        <w:rPr>
          <w:rFonts w:cstheme="minorHAnsi"/>
          <w:color w:val="0000FF"/>
        </w:rPr>
        <w:t>Saliba</w:t>
      </w:r>
      <w:proofErr w:type="spellEnd"/>
      <w:r w:rsidRPr="00393C9C">
        <w:rPr>
          <w:rFonts w:cstheme="minorHAnsi"/>
          <w:color w:val="0000FF"/>
        </w:rPr>
        <w:t xml:space="preserve"> &amp; Buchanan, 2008)</w:t>
      </w:r>
      <w:r w:rsidR="00C336C7">
        <w:rPr>
          <w:rFonts w:cstheme="minorHAnsi"/>
          <w:color w:val="0000FF"/>
        </w:rPr>
        <w:t>.</w:t>
      </w:r>
    </w:p>
    <w:p w14:paraId="06117B6D" w14:textId="77777777" w:rsidR="00C77F0D" w:rsidRPr="00330142" w:rsidRDefault="00C77F0D" w:rsidP="00C77F0D">
      <w:pPr>
        <w:pStyle w:val="ListParagraph"/>
        <w:autoSpaceDE w:val="0"/>
        <w:autoSpaceDN w:val="0"/>
        <w:adjustRightInd w:val="0"/>
        <w:spacing w:after="0" w:line="240" w:lineRule="auto"/>
        <w:rPr>
          <w:rFonts w:cstheme="minorHAnsi"/>
          <w:color w:val="0000FF"/>
        </w:rPr>
      </w:pPr>
    </w:p>
    <w:p w14:paraId="1E8993F0" w14:textId="465FD821" w:rsidR="009C5CBA" w:rsidRPr="00C77F0D" w:rsidRDefault="000001A8" w:rsidP="00C77F0D">
      <w:pPr>
        <w:pStyle w:val="ListParagraph"/>
        <w:numPr>
          <w:ilvl w:val="0"/>
          <w:numId w:val="3"/>
        </w:numPr>
        <w:autoSpaceDE w:val="0"/>
        <w:autoSpaceDN w:val="0"/>
        <w:adjustRightInd w:val="0"/>
        <w:spacing w:after="0" w:line="240" w:lineRule="auto"/>
        <w:ind w:left="720" w:hanging="360"/>
        <w:rPr>
          <w:rFonts w:cstheme="minorHAnsi"/>
          <w:color w:val="0000FF"/>
        </w:rPr>
      </w:pPr>
      <w:r w:rsidRPr="00C77F0D">
        <w:rPr>
          <w:rFonts w:cstheme="minorHAnsi"/>
          <w:color w:val="0000FF"/>
        </w:rPr>
        <w:t>RTI International</w:t>
      </w:r>
      <w:r w:rsidR="000136D5" w:rsidRPr="00393C9C">
        <w:rPr>
          <w:rFonts w:cstheme="minorHAnsi"/>
          <w:color w:val="0000FF"/>
        </w:rPr>
        <w:t xml:space="preserve"> – </w:t>
      </w:r>
      <w:r w:rsidRPr="00C77F0D">
        <w:rPr>
          <w:rFonts w:cstheme="minorHAnsi"/>
          <w:color w:val="0000FF"/>
        </w:rPr>
        <w:t xml:space="preserve">Analysis of MDS 3.0 data: Quarter </w:t>
      </w:r>
      <w:r w:rsidR="00AC200C">
        <w:rPr>
          <w:rFonts w:cstheme="minorHAnsi"/>
          <w:color w:val="0000FF"/>
        </w:rPr>
        <w:t>2,</w:t>
      </w:r>
      <w:r w:rsidR="000F07F7" w:rsidRPr="00C77F0D">
        <w:rPr>
          <w:rFonts w:cstheme="minorHAnsi"/>
          <w:color w:val="0000FF"/>
        </w:rPr>
        <w:t xml:space="preserve"> 2018 </w:t>
      </w:r>
      <w:r w:rsidR="00AC200C">
        <w:rPr>
          <w:rFonts w:cstheme="minorHAnsi"/>
          <w:color w:val="0000FF"/>
        </w:rPr>
        <w:t xml:space="preserve">and </w:t>
      </w:r>
      <w:r w:rsidRPr="00C77F0D">
        <w:rPr>
          <w:rFonts w:cstheme="minorHAnsi"/>
          <w:color w:val="0000FF"/>
        </w:rPr>
        <w:t xml:space="preserve">Quarter </w:t>
      </w:r>
      <w:r w:rsidR="007366D3" w:rsidRPr="00C77F0D">
        <w:rPr>
          <w:rFonts w:cstheme="minorHAnsi"/>
          <w:color w:val="0000FF"/>
        </w:rPr>
        <w:t>3</w:t>
      </w:r>
      <w:r w:rsidRPr="00C77F0D">
        <w:rPr>
          <w:rFonts w:cstheme="minorHAnsi"/>
          <w:color w:val="0000FF"/>
        </w:rPr>
        <w:t>, 201</w:t>
      </w:r>
      <w:r w:rsidR="008A2A07" w:rsidRPr="00C77F0D">
        <w:rPr>
          <w:rFonts w:cstheme="minorHAnsi"/>
          <w:color w:val="0000FF"/>
        </w:rPr>
        <w:t>8</w:t>
      </w:r>
      <w:r w:rsidR="000F07F7" w:rsidRPr="00C77F0D">
        <w:rPr>
          <w:rFonts w:cstheme="minorHAnsi"/>
          <w:color w:val="0000FF"/>
        </w:rPr>
        <w:t xml:space="preserve">. </w:t>
      </w:r>
    </w:p>
    <w:p w14:paraId="0B044F39" w14:textId="5B091811" w:rsidR="00394637" w:rsidRPr="00C77F0D" w:rsidRDefault="000F07F7" w:rsidP="00C77F0D">
      <w:pPr>
        <w:pStyle w:val="ListParagraph"/>
        <w:numPr>
          <w:ilvl w:val="1"/>
          <w:numId w:val="3"/>
        </w:numPr>
        <w:autoSpaceDE w:val="0"/>
        <w:autoSpaceDN w:val="0"/>
        <w:adjustRightInd w:val="0"/>
        <w:spacing w:after="0" w:line="240" w:lineRule="auto"/>
        <w:ind w:left="1080"/>
        <w:rPr>
          <w:rFonts w:cstheme="minorHAnsi"/>
          <w:color w:val="0000FF"/>
        </w:rPr>
      </w:pPr>
      <w:r w:rsidRPr="00C77F0D">
        <w:rPr>
          <w:rFonts w:cstheme="minorHAnsi"/>
          <w:color w:val="0000FF"/>
        </w:rPr>
        <w:t>Trend ana</w:t>
      </w:r>
      <w:r w:rsidR="009C5CBA" w:rsidRPr="00C77F0D">
        <w:rPr>
          <w:rFonts w:cstheme="minorHAnsi"/>
          <w:color w:val="0000FF"/>
        </w:rPr>
        <w:t>lysis done for Quarter 1</w:t>
      </w:r>
      <w:r w:rsidR="00AC200C">
        <w:rPr>
          <w:rFonts w:cstheme="minorHAnsi"/>
          <w:color w:val="0000FF"/>
        </w:rPr>
        <w:t>,</w:t>
      </w:r>
      <w:r w:rsidR="009C5CBA" w:rsidRPr="00C77F0D">
        <w:rPr>
          <w:rFonts w:cstheme="minorHAnsi"/>
          <w:color w:val="0000FF"/>
        </w:rPr>
        <w:t xml:space="preserve"> 2011 </w:t>
      </w:r>
      <w:r w:rsidR="00AC200C">
        <w:rPr>
          <w:rFonts w:cstheme="minorHAnsi"/>
          <w:color w:val="0000FF"/>
        </w:rPr>
        <w:t xml:space="preserve">– </w:t>
      </w:r>
      <w:r w:rsidR="009C5CBA" w:rsidRPr="00C77F0D">
        <w:rPr>
          <w:rFonts w:cstheme="minorHAnsi"/>
          <w:color w:val="0000FF"/>
        </w:rPr>
        <w:t xml:space="preserve">Quarter </w:t>
      </w:r>
      <w:r w:rsidR="007366D3" w:rsidRPr="00C77F0D">
        <w:rPr>
          <w:rFonts w:cstheme="minorHAnsi"/>
          <w:color w:val="0000FF"/>
        </w:rPr>
        <w:t>3</w:t>
      </w:r>
      <w:r w:rsidR="009C5CBA" w:rsidRPr="00C77F0D">
        <w:rPr>
          <w:rFonts w:cstheme="minorHAnsi"/>
          <w:color w:val="0000FF"/>
        </w:rPr>
        <w:t>, 2018</w:t>
      </w:r>
      <w:r w:rsidR="00AC200C">
        <w:rPr>
          <w:rFonts w:cstheme="minorHAnsi"/>
          <w:color w:val="0000FF"/>
        </w:rPr>
        <w:t xml:space="preserve"> in </w:t>
      </w:r>
      <w:r w:rsidR="00AC200C" w:rsidRPr="002A6972">
        <w:rPr>
          <w:rFonts w:cstheme="minorHAnsi"/>
          <w:b/>
          <w:bCs/>
          <w:color w:val="0000FF"/>
        </w:rPr>
        <w:t>Section 2b1</w:t>
      </w:r>
      <w:r w:rsidR="000001A8" w:rsidRPr="00C77F0D">
        <w:rPr>
          <w:rFonts w:cstheme="minorHAnsi"/>
          <w:color w:val="0000FF"/>
        </w:rPr>
        <w:t xml:space="preserve"> </w:t>
      </w:r>
      <w:r w:rsidR="004E61D8" w:rsidRPr="00393C9C">
        <w:rPr>
          <w:rFonts w:cstheme="minorHAnsi"/>
          <w:color w:val="0000FF"/>
        </w:rPr>
        <w:t>(RTI International, 201</w:t>
      </w:r>
      <w:r w:rsidR="004E61D8">
        <w:rPr>
          <w:rFonts w:cstheme="minorHAnsi"/>
          <w:color w:val="0000FF"/>
        </w:rPr>
        <w:t>9</w:t>
      </w:r>
      <w:r w:rsidR="004E61D8" w:rsidRPr="00393C9C">
        <w:rPr>
          <w:rFonts w:cstheme="minorHAnsi"/>
          <w:color w:val="0000FF"/>
        </w:rPr>
        <w:t>).</w:t>
      </w:r>
    </w:p>
    <w:p w14:paraId="3A59F127" w14:textId="77777777" w:rsidR="00BE3F42" w:rsidRDefault="00BE3F42" w:rsidP="00BE3F42">
      <w:pPr>
        <w:pStyle w:val="Response"/>
        <w:ind w:firstLine="360"/>
        <w:rPr>
          <w:sz w:val="20"/>
          <w:szCs w:val="20"/>
        </w:rPr>
      </w:pPr>
      <w:bookmarkStart w:id="11" w:name="_Hlk14963531"/>
      <w:r>
        <w:rPr>
          <w:sz w:val="20"/>
        </w:rPr>
        <w:t xml:space="preserve">RTI International: RTI analysis of MDS 3.0 data for Quarter 2, 2018 and Quarter 3, 2018. </w:t>
      </w:r>
    </w:p>
    <w:p w14:paraId="08056FCC" w14:textId="6613F718" w:rsidR="004F1083" w:rsidRPr="004F1083" w:rsidRDefault="000001A8" w:rsidP="00C77F0D">
      <w:pPr>
        <w:pStyle w:val="Response"/>
        <w:ind w:left="720" w:hanging="360"/>
        <w:rPr>
          <w:sz w:val="20"/>
          <w:szCs w:val="20"/>
        </w:rPr>
      </w:pPr>
      <w:proofErr w:type="spellStart"/>
      <w:r w:rsidRPr="00EA5CCD">
        <w:rPr>
          <w:sz w:val="20"/>
          <w:szCs w:val="20"/>
        </w:rPr>
        <w:t>Saliba</w:t>
      </w:r>
      <w:proofErr w:type="spellEnd"/>
      <w:r w:rsidRPr="00EA5CCD">
        <w:rPr>
          <w:sz w:val="20"/>
          <w:szCs w:val="20"/>
        </w:rPr>
        <w:t>, D., &amp; Buchanan, J. (2008, April).</w:t>
      </w:r>
      <w:r w:rsidRPr="00EA5CCD">
        <w:rPr>
          <w:i/>
          <w:sz w:val="20"/>
          <w:szCs w:val="20"/>
        </w:rPr>
        <w:t xml:space="preserve"> Development and validation of a revised nursing home assessment tool: MDS 3.0</w:t>
      </w:r>
      <w:r w:rsidRPr="00EA5CCD">
        <w:rPr>
          <w:sz w:val="20"/>
          <w:szCs w:val="20"/>
        </w:rPr>
        <w:t xml:space="preserve">. Contract No. 500-00-0027/Task Order #2. Santa Monica, CA: Rand Corporation. Retrieved from </w:t>
      </w:r>
      <w:hyperlink r:id="rId12" w:history="1">
        <w:r w:rsidRPr="00EA5CCD">
          <w:rPr>
            <w:rStyle w:val="Hyperlink"/>
            <w:sz w:val="20"/>
            <w:szCs w:val="20"/>
          </w:rPr>
          <w:t>http://www.cms.hhs.gov/NursingHomeQualityInits/Downloads/MDS30FinalReport.pdf</w:t>
        </w:r>
      </w:hyperlink>
      <w:r w:rsidRPr="00EA5CCD">
        <w:rPr>
          <w:sz w:val="20"/>
          <w:szCs w:val="20"/>
        </w:rPr>
        <w:t>.</w:t>
      </w:r>
    </w:p>
    <w:bookmarkEnd w:id="11"/>
    <w:p w14:paraId="4DEA699A" w14:textId="77777777" w:rsidR="00105C72" w:rsidRDefault="00105C72" w:rsidP="00DB3627">
      <w:pPr>
        <w:autoSpaceDE w:val="0"/>
        <w:autoSpaceDN w:val="0"/>
        <w:adjustRightInd w:val="0"/>
        <w:spacing w:after="0" w:line="240" w:lineRule="auto"/>
        <w:rPr>
          <w:rFonts w:cstheme="minorHAnsi"/>
          <w:bCs/>
        </w:rPr>
      </w:pPr>
    </w:p>
    <w:p w14:paraId="4754DE92" w14:textId="77777777" w:rsidR="00C77F0D" w:rsidRDefault="00C77F0D">
      <w:pPr>
        <w:rPr>
          <w:rFonts w:cstheme="minorHAnsi"/>
          <w:b/>
          <w:bCs/>
        </w:rPr>
      </w:pPr>
      <w:r>
        <w:rPr>
          <w:rFonts w:cstheme="minorHAnsi"/>
          <w:b/>
          <w:bCs/>
        </w:rPr>
        <w:br w:type="page"/>
      </w:r>
    </w:p>
    <w:p w14:paraId="0CABCFB2" w14:textId="23A68BFB" w:rsidR="000414E8"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A97C32"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A97C32"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A97C32"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A97C32"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067C819F" w:rsidR="000414E8" w:rsidRPr="00A01494" w:rsidRDefault="00A97C32"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0001A8">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256349D5" w:rsidR="000414E8" w:rsidRPr="00A01494" w:rsidRDefault="00A97C32"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0001A8">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A97C32"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A97C32"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4F78D418" w:rsidR="000414E8" w:rsidRPr="00A01494" w:rsidRDefault="00A97C32"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other:</w:t>
            </w:r>
            <w:r w:rsidR="00A73750">
              <w:rPr>
                <w:rFonts w:cstheme="minorHAnsi"/>
                <w:bCs/>
              </w:rPr>
              <w:t xml:space="preserve">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6875C7CE" w:rsidR="000414E8" w:rsidRPr="00A01494" w:rsidRDefault="00A97C32"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other:</w:t>
            </w:r>
            <w:r w:rsidR="00E87D6C">
              <w:rPr>
                <w:rFonts w:cstheme="minorHAnsi"/>
                <w:bCs/>
              </w:rPr>
              <w:t xml:space="preserve">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1F2275D6" w14:textId="0490A9AE" w:rsidR="000001A8"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A25024">
        <w:rPr>
          <w:rFonts w:cstheme="minorHAnsi"/>
          <w:bCs/>
          <w:i/>
        </w:rPr>
        <w:t xml:space="preserve">identify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334AFFFC" w14:textId="3A75D1AC" w:rsidR="00A415EC" w:rsidRDefault="00DB7489" w:rsidP="009C5CBA">
      <w:pPr>
        <w:pStyle w:val="Response"/>
        <w:numPr>
          <w:ilvl w:val="0"/>
          <w:numId w:val="15"/>
        </w:numPr>
      </w:pPr>
      <w:r w:rsidRPr="007F12AD">
        <w:t>The RAND Development and Validation of MDS 3.0 study</w:t>
      </w:r>
      <w:r w:rsidRPr="007F12AD">
        <w:rPr>
          <w:rFonts w:eastAsiaTheme="minorHAnsi"/>
        </w:rPr>
        <w:t xml:space="preserve"> sample included a </w:t>
      </w:r>
      <w:r w:rsidRPr="007F12AD">
        <w:t>representative sample of for-profit and not-for-profit facilities, and hospital-based and freestanding facilities, which were recruited for the study. The sample included 71 community nursing facilities in 8 states and 19 Veterans Affairs (VA) nursing homes</w:t>
      </w:r>
      <w:r>
        <w:t xml:space="preserve"> </w:t>
      </w:r>
      <w:r w:rsidR="004E6066" w:rsidRPr="00AC741A">
        <w:t>(</w:t>
      </w:r>
      <w:proofErr w:type="spellStart"/>
      <w:r w:rsidR="00FF51CF" w:rsidRPr="00AC741A">
        <w:rPr>
          <w:rFonts w:ascii="Calibri" w:eastAsia="MS Mincho" w:hAnsi="Calibri" w:cs="Calibri"/>
        </w:rPr>
        <w:t>Saliba</w:t>
      </w:r>
      <w:proofErr w:type="spellEnd"/>
      <w:r w:rsidR="00FF51CF" w:rsidRPr="00AC741A">
        <w:rPr>
          <w:rFonts w:ascii="Calibri" w:eastAsia="MS Mincho" w:hAnsi="Calibri" w:cs="Calibri"/>
        </w:rPr>
        <w:t xml:space="preserve"> &amp; Buchanan, 2008</w:t>
      </w:r>
      <w:r w:rsidR="004E6066" w:rsidRPr="00AC741A">
        <w:t>)</w:t>
      </w:r>
      <w:r w:rsidR="00C336C7" w:rsidRPr="00AC741A">
        <w:t>.</w:t>
      </w:r>
    </w:p>
    <w:p w14:paraId="505E6997" w14:textId="2D2EF2DD" w:rsidR="00AC200C" w:rsidRPr="00EA5CCD" w:rsidRDefault="00AC200C" w:rsidP="009C5CBA">
      <w:pPr>
        <w:pStyle w:val="Response"/>
        <w:numPr>
          <w:ilvl w:val="0"/>
          <w:numId w:val="15"/>
        </w:numPr>
      </w:pPr>
      <w:r w:rsidRPr="00AC200C">
        <w:t xml:space="preserve">RTI facility-level analyses of MDS 3.0 data </w:t>
      </w:r>
      <w:r w:rsidR="00DB7489">
        <w:t xml:space="preserve">sample </w:t>
      </w:r>
      <w:r w:rsidRPr="00AC200C">
        <w:t>include</w:t>
      </w:r>
      <w:r w:rsidR="00DB7489">
        <w:t>d</w:t>
      </w:r>
      <w:r w:rsidRPr="00AC200C">
        <w:t xml:space="preserve"> all facilities with </w:t>
      </w:r>
      <w:proofErr w:type="gramStart"/>
      <w:r w:rsidRPr="00AC200C">
        <w:t>sufficient</w:t>
      </w:r>
      <w:proofErr w:type="gramEnd"/>
      <w:r w:rsidRPr="00AC200C">
        <w:t xml:space="preserve"> sample size (n ≥ 20</w:t>
      </w:r>
      <w:r>
        <w:t xml:space="preserve"> residents</w:t>
      </w:r>
      <w:r w:rsidRPr="00AC200C">
        <w:t>) to publicly report this measure in Quarter 3, 2018 (k = 14,520</w:t>
      </w:r>
      <w:r w:rsidR="00981F65">
        <w:t xml:space="preserve">), </w:t>
      </w:r>
      <w:r w:rsidR="00981F65" w:rsidRPr="001042C5">
        <w:t>unless otherwise</w:t>
      </w:r>
      <w:r w:rsidR="00981F65">
        <w:t xml:space="preserve"> noted</w:t>
      </w:r>
      <w:r w:rsidRPr="00AC200C">
        <w:t xml:space="preserve"> </w:t>
      </w:r>
      <w:r w:rsidR="00981F65">
        <w:t>(</w:t>
      </w:r>
      <w:r w:rsidRPr="00AC200C">
        <w:t>RTI International, 2019).</w:t>
      </w:r>
      <w:r>
        <w:rPr>
          <w:rStyle w:val="FootnoteReference"/>
        </w:rPr>
        <w:footnoteReference w:id="2"/>
      </w:r>
    </w:p>
    <w:p w14:paraId="348E7601" w14:textId="0CE2CA8A" w:rsidR="000001A8" w:rsidRDefault="009D579D" w:rsidP="00C77F0D">
      <w:pPr>
        <w:pStyle w:val="Response"/>
        <w:ind w:left="720" w:hanging="360"/>
        <w:rPr>
          <w:sz w:val="20"/>
          <w:szCs w:val="20"/>
        </w:rPr>
      </w:pPr>
      <w:r>
        <w:rPr>
          <w:sz w:val="20"/>
        </w:rPr>
        <w:t xml:space="preserve">RTI International (2019). </w:t>
      </w:r>
      <w:r w:rsidR="000001A8" w:rsidRPr="0039084A">
        <w:rPr>
          <w:sz w:val="20"/>
        </w:rPr>
        <w:t xml:space="preserve">RTI analysis of MDS 3.0 data for Quarter </w:t>
      </w:r>
      <w:r w:rsidR="001865A8">
        <w:rPr>
          <w:sz w:val="20"/>
        </w:rPr>
        <w:t>3</w:t>
      </w:r>
      <w:r w:rsidR="000001A8" w:rsidRPr="0039084A">
        <w:rPr>
          <w:sz w:val="20"/>
        </w:rPr>
        <w:t xml:space="preserve"> </w:t>
      </w:r>
      <w:r w:rsidR="00767210" w:rsidRPr="0039084A">
        <w:rPr>
          <w:sz w:val="20"/>
        </w:rPr>
        <w:t xml:space="preserve">2018 </w:t>
      </w:r>
      <w:r w:rsidR="000001A8" w:rsidRPr="0039084A">
        <w:rPr>
          <w:sz w:val="20"/>
        </w:rPr>
        <w:t>(programming reference:</w:t>
      </w:r>
      <w:r w:rsidR="00F14E85">
        <w:rPr>
          <w:sz w:val="20"/>
        </w:rPr>
        <w:t xml:space="preserve"> </w:t>
      </w:r>
      <w:r w:rsidR="006E1D6A" w:rsidRPr="006E1D6A">
        <w:rPr>
          <w:sz w:val="20"/>
        </w:rPr>
        <w:t>kh29_47\hf354_request_q3132_684.log</w:t>
      </w:r>
      <w:r w:rsidR="000001A8" w:rsidRPr="0039084A">
        <w:rPr>
          <w:sz w:val="20"/>
          <w:szCs w:val="20"/>
        </w:rPr>
        <w:t>)</w:t>
      </w:r>
    </w:p>
    <w:p w14:paraId="7380C973" w14:textId="2D3091D5" w:rsidR="00BE3F42" w:rsidRPr="00BE3F42" w:rsidRDefault="00BE3F42" w:rsidP="00BE3F42">
      <w:pPr>
        <w:pStyle w:val="Response"/>
        <w:ind w:left="720" w:hanging="360"/>
        <w:rPr>
          <w:sz w:val="20"/>
          <w:szCs w:val="20"/>
        </w:rPr>
      </w:pPr>
      <w:proofErr w:type="spellStart"/>
      <w:r w:rsidRPr="00EA5CCD">
        <w:rPr>
          <w:sz w:val="20"/>
          <w:szCs w:val="20"/>
        </w:rPr>
        <w:t>Saliba</w:t>
      </w:r>
      <w:proofErr w:type="spellEnd"/>
      <w:r w:rsidRPr="00EA5CCD">
        <w:rPr>
          <w:sz w:val="20"/>
          <w:szCs w:val="20"/>
        </w:rPr>
        <w:t>, D., &amp; Buchanan, J. (2008, April).</w:t>
      </w:r>
      <w:r w:rsidRPr="00EA5CCD">
        <w:rPr>
          <w:i/>
          <w:sz w:val="20"/>
          <w:szCs w:val="20"/>
        </w:rPr>
        <w:t xml:space="preserve"> Development and validation of a revised nursing home assessment tool: MDS 3.0</w:t>
      </w:r>
      <w:r w:rsidRPr="00EA5CCD">
        <w:rPr>
          <w:sz w:val="20"/>
          <w:szCs w:val="20"/>
        </w:rPr>
        <w:t xml:space="preserve">. Contract No. 500-00-0027/Task Order #2. Santa Monica, CA: Rand Corporation. Retrieved from </w:t>
      </w:r>
      <w:hyperlink r:id="rId13" w:history="1">
        <w:r w:rsidRPr="00EA5CCD">
          <w:rPr>
            <w:rStyle w:val="Hyperlink"/>
            <w:sz w:val="20"/>
            <w:szCs w:val="20"/>
          </w:rPr>
          <w:t>http://www.cms.hhs.gov/NursingHomeQualityInits/Downloads/MDS30FinalReport.pdf</w:t>
        </w:r>
      </w:hyperlink>
      <w:r w:rsidRPr="00EA5CCD">
        <w:rPr>
          <w:sz w:val="20"/>
          <w:szCs w:val="20"/>
        </w:rPr>
        <w:t>.</w:t>
      </w:r>
    </w:p>
    <w:p w14:paraId="244BC7EA" w14:textId="77777777" w:rsidR="000001A8"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r w:rsidR="007422FD" w:rsidRPr="00A25024">
        <w:rPr>
          <w:rFonts w:cstheme="minorHAnsi"/>
          <w:bCs/>
          <w:i/>
        </w:rPr>
        <w:t xml:space="preserve">identify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1ED139D0" w14:textId="596CC841" w:rsidR="00DB7489" w:rsidRPr="00DB4CD5" w:rsidRDefault="000001A8" w:rsidP="00DB4CD5">
      <w:pPr>
        <w:pStyle w:val="Response"/>
        <w:numPr>
          <w:ilvl w:val="0"/>
          <w:numId w:val="4"/>
        </w:numPr>
        <w:rPr>
          <w:rFonts w:eastAsiaTheme="minorHAnsi"/>
        </w:rPr>
      </w:pPr>
      <w:r w:rsidRPr="00EA5CCD">
        <w:t>The RAND</w:t>
      </w:r>
      <w:r w:rsidRPr="00EA5CCD">
        <w:rPr>
          <w:rFonts w:eastAsiaTheme="minorHAnsi"/>
        </w:rPr>
        <w:t xml:space="preserve"> Development and Validation of MDS 3.0 study </w:t>
      </w:r>
      <w:r w:rsidRPr="00EA5CCD">
        <w:t>sample included 3,822 residents from community nursing homes and 764 residents from VHA nursing homes</w:t>
      </w:r>
      <w:r w:rsidR="003B100A">
        <w:t xml:space="preserve"> (</w:t>
      </w:r>
      <w:proofErr w:type="spellStart"/>
      <w:r w:rsidR="00850F10">
        <w:rPr>
          <w:rFonts w:ascii="Calibri" w:eastAsia="MS Mincho" w:hAnsi="Calibri" w:cs="Calibri"/>
          <w:bCs w:val="0"/>
        </w:rPr>
        <w:t>Saliba</w:t>
      </w:r>
      <w:proofErr w:type="spellEnd"/>
      <w:r w:rsidR="00850F10">
        <w:rPr>
          <w:rFonts w:ascii="Calibri" w:eastAsia="MS Mincho" w:hAnsi="Calibri" w:cs="Calibri"/>
          <w:bCs w:val="0"/>
        </w:rPr>
        <w:t xml:space="preserve"> &amp; Buchanan, 2008</w:t>
      </w:r>
      <w:r w:rsidR="003B100A">
        <w:t>)</w:t>
      </w:r>
      <w:r w:rsidR="00C336C7">
        <w:t>.</w:t>
      </w:r>
    </w:p>
    <w:p w14:paraId="1D3C9940" w14:textId="77777777" w:rsidR="00DB4CD5" w:rsidRPr="00BE3F42" w:rsidRDefault="00DB4CD5" w:rsidP="00DB4CD5">
      <w:pPr>
        <w:pStyle w:val="Response"/>
        <w:ind w:left="720" w:hanging="360"/>
        <w:rPr>
          <w:sz w:val="20"/>
          <w:szCs w:val="20"/>
        </w:rPr>
      </w:pPr>
      <w:proofErr w:type="spellStart"/>
      <w:r w:rsidRPr="00EA5CCD">
        <w:rPr>
          <w:sz w:val="20"/>
          <w:szCs w:val="20"/>
        </w:rPr>
        <w:t>Saliba</w:t>
      </w:r>
      <w:proofErr w:type="spellEnd"/>
      <w:r w:rsidRPr="00EA5CCD">
        <w:rPr>
          <w:sz w:val="20"/>
          <w:szCs w:val="20"/>
        </w:rPr>
        <w:t>, D., &amp; Buchanan, J. (2008, April).</w:t>
      </w:r>
      <w:r w:rsidRPr="00EA5CCD">
        <w:rPr>
          <w:i/>
          <w:sz w:val="20"/>
          <w:szCs w:val="20"/>
        </w:rPr>
        <w:t xml:space="preserve"> Development and validation of a revised nursing home assessment tool: MDS 3.0</w:t>
      </w:r>
      <w:r w:rsidRPr="00EA5CCD">
        <w:rPr>
          <w:sz w:val="20"/>
          <w:szCs w:val="20"/>
        </w:rPr>
        <w:t xml:space="preserve">. Contract No. 500-00-0027/Task Order #2. Santa Monica, CA: Rand Corporation. Retrieved from </w:t>
      </w:r>
      <w:hyperlink r:id="rId14" w:history="1">
        <w:r w:rsidRPr="00EA5CCD">
          <w:rPr>
            <w:rStyle w:val="Hyperlink"/>
            <w:sz w:val="20"/>
            <w:szCs w:val="20"/>
          </w:rPr>
          <w:t>http://www.cms.hhs.gov/NursingHomeQualityInits/Downloads/MDS30FinalReport.pdf</w:t>
        </w:r>
      </w:hyperlink>
      <w:r w:rsidRPr="00EA5CCD">
        <w:rPr>
          <w:sz w:val="20"/>
          <w:szCs w:val="20"/>
        </w:rPr>
        <w:t>.</w:t>
      </w:r>
    </w:p>
    <w:p w14:paraId="3D4B41C7" w14:textId="77777777" w:rsidR="00DB4CD5" w:rsidRPr="009162EA" w:rsidRDefault="00DB4CD5" w:rsidP="00DB4CD5">
      <w:pPr>
        <w:pStyle w:val="Response"/>
        <w:numPr>
          <w:ilvl w:val="0"/>
          <w:numId w:val="4"/>
        </w:numPr>
        <w:rPr>
          <w:rFonts w:eastAsiaTheme="minorHAnsi"/>
        </w:rPr>
      </w:pPr>
      <w:r w:rsidRPr="00EA5CCD">
        <w:lastRenderedPageBreak/>
        <w:t xml:space="preserve">The sample for the RTI analysis of MDS 3.0 includes all long-stay residents that meet the denominator inclusion criteria for this measure </w:t>
      </w:r>
      <w:r w:rsidRPr="00EA5CCD">
        <w:rPr>
          <w:rStyle w:val="areply"/>
        </w:rPr>
        <w:t>in facilities with sufficient sample size (</w:t>
      </w:r>
      <w:r w:rsidRPr="00EA5CCD">
        <w:rPr>
          <w:rStyle w:val="areply"/>
          <w:i/>
        </w:rPr>
        <w:t>n</w:t>
      </w:r>
      <w:r w:rsidRPr="00EA5CCD">
        <w:rPr>
          <w:rStyle w:val="areply"/>
        </w:rPr>
        <w:t xml:space="preserve"> ≥ 20, </w:t>
      </w:r>
      <w:r w:rsidRPr="0039084A">
        <w:rPr>
          <w:i/>
        </w:rPr>
        <w:t>k</w:t>
      </w:r>
      <w:r w:rsidRPr="0039084A">
        <w:t xml:space="preserve"> </w:t>
      </w:r>
      <w:r w:rsidRPr="009162EA">
        <w:t>= 14,520</w:t>
      </w:r>
      <w:r w:rsidRPr="00767210">
        <w:t>)</w:t>
      </w:r>
      <w:r w:rsidRPr="00EA5CCD">
        <w:rPr>
          <w:rStyle w:val="areply"/>
        </w:rPr>
        <w:t xml:space="preserve"> to report this measure </w:t>
      </w:r>
      <w:r w:rsidRPr="0039084A">
        <w:rPr>
          <w:rStyle w:val="areply"/>
        </w:rPr>
        <w:t>(</w:t>
      </w:r>
      <w:r w:rsidRPr="0039084A">
        <w:rPr>
          <w:rStyle w:val="areply"/>
          <w:i/>
        </w:rPr>
        <w:t>n</w:t>
      </w:r>
      <w:r w:rsidRPr="0039084A">
        <w:rPr>
          <w:rStyle w:val="areply"/>
        </w:rPr>
        <w:t xml:space="preserve"> = 1,0</w:t>
      </w:r>
      <w:r>
        <w:rPr>
          <w:rStyle w:val="areply"/>
        </w:rPr>
        <w:t>96, 778</w:t>
      </w:r>
      <w:r w:rsidRPr="0039084A">
        <w:rPr>
          <w:rStyle w:val="areply"/>
        </w:rPr>
        <w:t>)</w:t>
      </w:r>
      <w:r w:rsidRPr="00EA5CCD">
        <w:rPr>
          <w:rStyle w:val="areply"/>
        </w:rPr>
        <w:t xml:space="preserve"> in </w:t>
      </w:r>
      <w:r w:rsidRPr="0039084A">
        <w:rPr>
          <w:rStyle w:val="areply"/>
        </w:rPr>
        <w:t xml:space="preserve">Quarter </w:t>
      </w:r>
      <w:r>
        <w:rPr>
          <w:rStyle w:val="areply"/>
        </w:rPr>
        <w:t>3</w:t>
      </w:r>
      <w:r w:rsidRPr="0039084A">
        <w:rPr>
          <w:rStyle w:val="areply"/>
        </w:rPr>
        <w:t>, 2018</w:t>
      </w:r>
      <w:r>
        <w:rPr>
          <w:rStyle w:val="areply"/>
        </w:rPr>
        <w:t xml:space="preserve"> (RTI International, 2019).</w:t>
      </w:r>
    </w:p>
    <w:p w14:paraId="7B76F25B" w14:textId="79D4D58F" w:rsidR="00DB4CD5" w:rsidRPr="00DB4CD5" w:rsidRDefault="00DB4CD5" w:rsidP="00DB4CD5">
      <w:pPr>
        <w:pStyle w:val="Response"/>
        <w:ind w:left="720" w:hanging="360"/>
        <w:rPr>
          <w:rStyle w:val="areply"/>
          <w:sz w:val="20"/>
          <w:szCs w:val="20"/>
        </w:rPr>
      </w:pPr>
      <w:r>
        <w:rPr>
          <w:sz w:val="20"/>
        </w:rPr>
        <w:t xml:space="preserve">RTI International (2019). </w:t>
      </w:r>
      <w:r w:rsidRPr="0039084A">
        <w:rPr>
          <w:sz w:val="20"/>
        </w:rPr>
        <w:t xml:space="preserve">RTI analysis of MDS 3.0 data for Quarter </w:t>
      </w:r>
      <w:r>
        <w:rPr>
          <w:sz w:val="20"/>
        </w:rPr>
        <w:t>3</w:t>
      </w:r>
      <w:r w:rsidRPr="0039084A">
        <w:rPr>
          <w:sz w:val="20"/>
        </w:rPr>
        <w:t xml:space="preserve"> 201</w:t>
      </w:r>
      <w:r>
        <w:rPr>
          <w:sz w:val="20"/>
        </w:rPr>
        <w:t>8</w:t>
      </w:r>
      <w:r w:rsidRPr="0039084A">
        <w:rPr>
          <w:sz w:val="20"/>
        </w:rPr>
        <w:t xml:space="preserve"> (programming reference: </w:t>
      </w:r>
      <w:r w:rsidRPr="006E1D6A">
        <w:rPr>
          <w:sz w:val="20"/>
        </w:rPr>
        <w:t>kh29_47\hf354_request_q3132_684.log</w:t>
      </w:r>
      <w:r>
        <w:rPr>
          <w:sz w:val="20"/>
        </w:rPr>
        <w:t xml:space="preserve">, </w:t>
      </w:r>
      <w:r w:rsidRPr="006E1D6A">
        <w:rPr>
          <w:sz w:val="20"/>
        </w:rPr>
        <w:t>kh29_47\hf354_request_q3132_68</w:t>
      </w:r>
      <w:r>
        <w:rPr>
          <w:sz w:val="20"/>
        </w:rPr>
        <w:t>2</w:t>
      </w:r>
      <w:r w:rsidRPr="006E1D6A">
        <w:rPr>
          <w:sz w:val="20"/>
        </w:rPr>
        <w:t>.log</w:t>
      </w:r>
      <w:r w:rsidRPr="0039084A">
        <w:rPr>
          <w:sz w:val="20"/>
          <w:szCs w:val="20"/>
        </w:rPr>
        <w:t>)</w:t>
      </w:r>
    </w:p>
    <w:p w14:paraId="73A7AEFF" w14:textId="54E154C8" w:rsidR="00FF2E2E" w:rsidRPr="001D2227" w:rsidRDefault="00FF2E2E" w:rsidP="00224E97">
      <w:pPr>
        <w:pStyle w:val="Response"/>
        <w:spacing w:after="0"/>
        <w:contextualSpacing/>
      </w:pPr>
      <w:r w:rsidRPr="293E6EF0">
        <w:rPr>
          <w:b/>
          <w:i/>
          <w:iCs/>
        </w:rPr>
        <w:t>Table 1</w:t>
      </w:r>
      <w:r w:rsidR="001D2227">
        <w:rPr>
          <w:b/>
          <w:i/>
          <w:iCs/>
        </w:rPr>
        <w:t>a</w:t>
      </w:r>
      <w:r>
        <w:t xml:space="preserve"> below presents the characteristics of long-stay residents counted in the denominator for this measure in Quarter 3, 2018 </w:t>
      </w:r>
      <w:r w:rsidRPr="293E6EF0">
        <w:rPr>
          <w:i/>
          <w:iCs/>
        </w:rPr>
        <w:t>before</w:t>
      </w:r>
      <w:r>
        <w:t xml:space="preserve"> applying facility sample size restrictions and </w:t>
      </w:r>
      <w:r w:rsidRPr="293E6EF0">
        <w:rPr>
          <w:i/>
          <w:iCs/>
        </w:rPr>
        <w:t>without</w:t>
      </w:r>
      <w:r>
        <w:t xml:space="preserve"> excluding those residents who did not have both a prior and target assessment (</w:t>
      </w:r>
      <w:r w:rsidRPr="293E6EF0">
        <w:rPr>
          <w:rStyle w:val="areply"/>
          <w:i/>
          <w:iCs/>
        </w:rPr>
        <w:t>n</w:t>
      </w:r>
      <w:r w:rsidRPr="293E6EF0">
        <w:rPr>
          <w:rStyle w:val="areply"/>
        </w:rPr>
        <w:t xml:space="preserve"> </w:t>
      </w:r>
      <w:r w:rsidRPr="00F14E85">
        <w:rPr>
          <w:rStyle w:val="areply"/>
        </w:rPr>
        <w:t xml:space="preserve">= </w:t>
      </w:r>
      <w:r w:rsidRPr="001E1211">
        <w:t>1,104,673</w:t>
      </w:r>
      <w:r w:rsidRPr="00F14E85">
        <w:rPr>
          <w:rStyle w:val="areply"/>
        </w:rPr>
        <w:t>)</w:t>
      </w:r>
      <w:r w:rsidRPr="00F14E85">
        <w:t>;</w:t>
      </w:r>
      <w:r>
        <w:t xml:space="preserve"> the </w:t>
      </w:r>
      <w:r w:rsidRPr="293E6EF0">
        <w:rPr>
          <w:rStyle w:val="areply"/>
          <w:i/>
          <w:iCs/>
        </w:rPr>
        <w:t xml:space="preserve">n </w:t>
      </w:r>
      <w:r w:rsidRPr="293E6EF0">
        <w:rPr>
          <w:rStyle w:val="areply"/>
        </w:rPr>
        <w:t>for each resident characteristic varies due to the proportion of missing data for that characteristic.</w:t>
      </w:r>
      <w:r w:rsidR="00E87D6C">
        <w:t xml:space="preserve"> </w:t>
      </w:r>
      <w:bookmarkStart w:id="12" w:name="_Hlk11012836"/>
      <w:r w:rsidR="001D2227">
        <w:t xml:space="preserve">Although most analyses </w:t>
      </w:r>
      <w:r w:rsidR="00E86E01">
        <w:t>include</w:t>
      </w:r>
      <w:r w:rsidR="001D2227">
        <w:t xml:space="preserve"> only facilities </w:t>
      </w:r>
      <w:r w:rsidR="001D2227">
        <w:rPr>
          <w:i/>
          <w:iCs/>
        </w:rPr>
        <w:t xml:space="preserve">after </w:t>
      </w:r>
      <w:r w:rsidR="001D2227">
        <w:t xml:space="preserve">applying facility sample size restrictions, this table is representative of the pool of residents that </w:t>
      </w:r>
      <w:r w:rsidR="001D2227" w:rsidRPr="00792EC5">
        <w:rPr>
          <w:i/>
          <w:iCs/>
        </w:rPr>
        <w:t>may</w:t>
      </w:r>
      <w:r w:rsidR="001D2227">
        <w:t xml:space="preserve"> be in the denominator regardless of changes in facility census.</w:t>
      </w:r>
      <w:r w:rsidR="00E87D6C">
        <w:t xml:space="preserve"> </w:t>
      </w:r>
      <w:bookmarkStart w:id="13" w:name="_Hlk11304260"/>
      <w:r w:rsidR="001D2227" w:rsidRPr="00A11604">
        <w:rPr>
          <w:b/>
          <w:bCs w:val="0"/>
          <w:i/>
          <w:iCs/>
        </w:rPr>
        <w:t xml:space="preserve">Table 1b </w:t>
      </w:r>
      <w:r w:rsidR="001D2227" w:rsidRPr="00A11604">
        <w:t xml:space="preserve">offers the characteristics on the residents </w:t>
      </w:r>
      <w:r w:rsidR="00792EC5" w:rsidRPr="00A11604">
        <w:t xml:space="preserve">who </w:t>
      </w:r>
      <w:r w:rsidR="001D2227" w:rsidRPr="00A11604">
        <w:t xml:space="preserve">are counted in the denominator </w:t>
      </w:r>
      <w:r w:rsidR="001D2227" w:rsidRPr="00A11604">
        <w:rPr>
          <w:i/>
          <w:iCs/>
        </w:rPr>
        <w:t xml:space="preserve">after </w:t>
      </w:r>
      <w:r w:rsidR="001D2227" w:rsidRPr="00A11604">
        <w:t>applying facility sample size restrictions in Quarter 3, 2018</w:t>
      </w:r>
      <w:r w:rsidR="00792EC5" w:rsidRPr="00A11604">
        <w:t xml:space="preserve"> (</w:t>
      </w:r>
      <w:r w:rsidR="00792EC5" w:rsidRPr="00A11604">
        <w:rPr>
          <w:rStyle w:val="areply"/>
          <w:i/>
          <w:iCs/>
        </w:rPr>
        <w:t>n</w:t>
      </w:r>
      <w:r w:rsidR="00792EC5" w:rsidRPr="00A11604">
        <w:rPr>
          <w:rStyle w:val="areply"/>
        </w:rPr>
        <w:t xml:space="preserve"> = </w:t>
      </w:r>
      <w:r w:rsidR="00792EC5" w:rsidRPr="00A11604">
        <w:t>1,096,778</w:t>
      </w:r>
      <w:r w:rsidR="00792EC5" w:rsidRPr="00A11604">
        <w:rPr>
          <w:rStyle w:val="areply"/>
        </w:rPr>
        <w:t>)</w:t>
      </w:r>
      <w:r w:rsidR="001D2227" w:rsidRPr="00A11604">
        <w:t xml:space="preserve">, to clarify the actual description of residents included in the testing and analysis presented for this quality measure as described in </w:t>
      </w:r>
      <w:r w:rsidR="001D2227" w:rsidRPr="00A11604">
        <w:rPr>
          <w:b/>
          <w:bCs w:val="0"/>
        </w:rPr>
        <w:t xml:space="preserve">1.6 </w:t>
      </w:r>
      <w:r w:rsidR="001D2227" w:rsidRPr="00A11604">
        <w:t>above.</w:t>
      </w:r>
      <w:bookmarkEnd w:id="12"/>
      <w:bookmarkEnd w:id="13"/>
    </w:p>
    <w:p w14:paraId="02F159BD" w14:textId="51586763" w:rsidR="00FF2E2E" w:rsidRPr="006C5C5E" w:rsidRDefault="00FF2E2E" w:rsidP="00FF2E2E">
      <w:pPr>
        <w:keepNext/>
        <w:autoSpaceDE w:val="0"/>
        <w:autoSpaceDN w:val="0"/>
        <w:adjustRightInd w:val="0"/>
        <w:spacing w:after="240" w:line="240" w:lineRule="auto"/>
        <w:contextualSpacing/>
        <w:jc w:val="center"/>
        <w:rPr>
          <w:rFonts w:cstheme="minorHAnsi"/>
          <w:b/>
          <w:bCs/>
          <w:color w:val="0000FF"/>
        </w:rPr>
      </w:pPr>
      <w:r w:rsidRPr="00EA5CCD">
        <w:t xml:space="preserve"> </w:t>
      </w:r>
      <w:r w:rsidRPr="00EA5CCD">
        <w:br/>
      </w:r>
      <w:r>
        <w:rPr>
          <w:rFonts w:cstheme="minorHAnsi"/>
          <w:b/>
          <w:bCs/>
          <w:color w:val="0000FF"/>
        </w:rPr>
        <w:t>Table 1</w:t>
      </w:r>
      <w:r w:rsidR="001D2227">
        <w:rPr>
          <w:rFonts w:cstheme="minorHAnsi"/>
          <w:b/>
          <w:bCs/>
          <w:color w:val="0000FF"/>
        </w:rPr>
        <w:t>a</w:t>
      </w:r>
      <w:r>
        <w:rPr>
          <w:rFonts w:cstheme="minorHAnsi"/>
          <w:b/>
          <w:bCs/>
          <w:color w:val="0000FF"/>
        </w:rPr>
        <w:t>.</w:t>
      </w:r>
      <w:r w:rsidR="00E87D6C">
        <w:rPr>
          <w:rFonts w:cstheme="minorHAnsi"/>
          <w:b/>
          <w:bCs/>
          <w:color w:val="0000FF"/>
        </w:rPr>
        <w:t xml:space="preserve"> </w:t>
      </w:r>
      <w:r w:rsidRPr="006C5C5E">
        <w:rPr>
          <w:rFonts w:cstheme="minorHAnsi"/>
          <w:b/>
          <w:bCs/>
          <w:color w:val="0000FF"/>
        </w:rPr>
        <w:t xml:space="preserve">Characteristics of Long-Stay </w:t>
      </w:r>
      <w:r w:rsidRPr="00A11604">
        <w:rPr>
          <w:rFonts w:cstheme="minorHAnsi"/>
          <w:b/>
          <w:bCs/>
          <w:color w:val="0000FF"/>
        </w:rPr>
        <w:t xml:space="preserve">Residents </w:t>
      </w:r>
      <w:r w:rsidR="00792EC5" w:rsidRPr="00A11604">
        <w:rPr>
          <w:rFonts w:cstheme="minorHAnsi"/>
          <w:b/>
          <w:bCs/>
          <w:color w:val="0000FF"/>
        </w:rPr>
        <w:t>Eligible for Inclusion</w:t>
      </w:r>
      <w:r w:rsidR="00981F65">
        <w:rPr>
          <w:rFonts w:cstheme="minorHAnsi"/>
          <w:b/>
          <w:bCs/>
          <w:color w:val="0000FF"/>
        </w:rPr>
        <w:t xml:space="preserve"> in Analyses</w:t>
      </w:r>
      <w:r w:rsidR="00792EC5" w:rsidRPr="00A11604">
        <w:rPr>
          <w:rFonts w:cstheme="minorHAnsi"/>
          <w:b/>
          <w:bCs/>
          <w:color w:val="0000FF"/>
        </w:rPr>
        <w:t xml:space="preserve"> </w:t>
      </w:r>
      <w:r w:rsidR="00981F65">
        <w:rPr>
          <w:rFonts w:cstheme="minorHAnsi"/>
          <w:b/>
          <w:bCs/>
          <w:color w:val="0000FF"/>
        </w:rPr>
        <w:t>of</w:t>
      </w:r>
      <w:r w:rsidRPr="00A11604">
        <w:rPr>
          <w:rFonts w:cstheme="minorHAnsi"/>
          <w:b/>
          <w:bCs/>
          <w:color w:val="0000FF"/>
        </w:rPr>
        <w:t xml:space="preserve"> NQF</w:t>
      </w:r>
      <w:r>
        <w:rPr>
          <w:rFonts w:cstheme="minorHAnsi"/>
          <w:b/>
          <w:bCs/>
          <w:color w:val="0000FF"/>
        </w:rPr>
        <w:t xml:space="preserve"> </w:t>
      </w:r>
      <w:r w:rsidRPr="00205307">
        <w:rPr>
          <w:rFonts w:cstheme="minorHAnsi"/>
          <w:b/>
          <w:bCs/>
          <w:color w:val="0000FF"/>
        </w:rPr>
        <w:t>#068</w:t>
      </w:r>
      <w:r>
        <w:rPr>
          <w:rFonts w:cstheme="minorHAnsi"/>
          <w:b/>
          <w:bCs/>
          <w:color w:val="0000FF"/>
        </w:rPr>
        <w:t xml:space="preserve">4 </w:t>
      </w:r>
      <w:r w:rsidRPr="00A77ED4">
        <w:rPr>
          <w:rFonts w:cstheme="minorHAnsi"/>
          <w:b/>
          <w:bCs/>
          <w:color w:val="0000FF"/>
        </w:rPr>
        <w:t xml:space="preserve">Percent of Residents with a Urinary Tract Infection (Long Stay) </w:t>
      </w:r>
      <w:r>
        <w:rPr>
          <w:rFonts w:cstheme="minorHAnsi"/>
          <w:b/>
          <w:bCs/>
          <w:color w:val="0000FF"/>
        </w:rPr>
        <w:t>(</w:t>
      </w:r>
      <w:r w:rsidRPr="0039084A">
        <w:rPr>
          <w:rFonts w:cstheme="minorHAnsi"/>
          <w:b/>
          <w:color w:val="0000FF"/>
        </w:rPr>
        <w:t xml:space="preserve">Quarter </w:t>
      </w:r>
      <w:r>
        <w:rPr>
          <w:rFonts w:cstheme="minorHAnsi"/>
          <w:b/>
          <w:color w:val="0000FF"/>
        </w:rPr>
        <w:t>3,</w:t>
      </w:r>
      <w:r w:rsidRPr="0039084A">
        <w:rPr>
          <w:rFonts w:cstheme="minorHAnsi"/>
          <w:b/>
          <w:color w:val="0000FF"/>
        </w:rPr>
        <w:t xml:space="preserve"> 2018</w:t>
      </w:r>
      <w:r w:rsidRPr="006C5C5E">
        <w:rPr>
          <w:rFonts w:cstheme="minorHAnsi"/>
          <w:b/>
          <w:bCs/>
          <w:color w:val="0000FF"/>
        </w:rPr>
        <w:t>)</w:t>
      </w:r>
    </w:p>
    <w:tbl>
      <w:tblPr>
        <w:tblW w:w="5000" w:type="pct"/>
        <w:tblBorders>
          <w:top w:val="single" w:sz="12" w:space="0" w:color="auto"/>
          <w:bottom w:val="single" w:sz="12" w:space="0" w:color="auto"/>
        </w:tblBorders>
        <w:tblLook w:val="04A0" w:firstRow="1" w:lastRow="0" w:firstColumn="1" w:lastColumn="0" w:noHBand="0" w:noVBand="1"/>
      </w:tblPr>
      <w:tblGrid>
        <w:gridCol w:w="3620"/>
        <w:gridCol w:w="1992"/>
        <w:gridCol w:w="2031"/>
        <w:gridCol w:w="1717"/>
      </w:tblGrid>
      <w:tr w:rsidR="00FF2E2E" w:rsidRPr="006C5C5E" w14:paraId="0C3892CA" w14:textId="77777777" w:rsidTr="00E2379F">
        <w:trPr>
          <w:tblHeader/>
        </w:trPr>
        <w:tc>
          <w:tcPr>
            <w:tcW w:w="1934" w:type="pct"/>
            <w:tcBorders>
              <w:top w:val="single" w:sz="12" w:space="0" w:color="auto"/>
              <w:bottom w:val="single" w:sz="4" w:space="0" w:color="auto"/>
            </w:tcBorders>
            <w:shd w:val="clear" w:color="auto" w:fill="auto"/>
            <w:vAlign w:val="center"/>
            <w:hideMark/>
          </w:tcPr>
          <w:p w14:paraId="000C46C2" w14:textId="77777777" w:rsidR="00FF2E2E" w:rsidRPr="006C5C5E" w:rsidRDefault="00FF2E2E" w:rsidP="0010646C">
            <w:pPr>
              <w:spacing w:after="0" w:line="240" w:lineRule="auto"/>
              <w:contextualSpacing/>
              <w:rPr>
                <w:rFonts w:eastAsia="Times New Roman" w:cs="Times New Roman"/>
                <w:color w:val="0000FF"/>
              </w:rPr>
            </w:pPr>
            <w:r w:rsidRPr="006C5C5E">
              <w:rPr>
                <w:rFonts w:eastAsia="Times New Roman" w:cs="Times New Roman"/>
                <w:color w:val="0000FF"/>
              </w:rPr>
              <w:t>Resident characteristics</w:t>
            </w:r>
          </w:p>
        </w:tc>
        <w:tc>
          <w:tcPr>
            <w:tcW w:w="1064" w:type="pct"/>
            <w:tcBorders>
              <w:top w:val="single" w:sz="12" w:space="0" w:color="auto"/>
              <w:bottom w:val="single" w:sz="4" w:space="0" w:color="auto"/>
            </w:tcBorders>
            <w:shd w:val="clear" w:color="auto" w:fill="auto"/>
            <w:vAlign w:val="center"/>
            <w:hideMark/>
          </w:tcPr>
          <w:p w14:paraId="72034290" w14:textId="77777777" w:rsidR="00FF2E2E" w:rsidRPr="006C5C5E" w:rsidRDefault="00FF2E2E" w:rsidP="0010646C">
            <w:pPr>
              <w:spacing w:after="0" w:line="240" w:lineRule="auto"/>
              <w:contextualSpacing/>
              <w:jc w:val="center"/>
              <w:rPr>
                <w:rFonts w:eastAsia="Times New Roman" w:cs="Times New Roman"/>
                <w:color w:val="0000FF"/>
              </w:rPr>
            </w:pPr>
            <w:r w:rsidRPr="006C5C5E">
              <w:rPr>
                <w:rFonts w:eastAsia="Times New Roman" w:cs="Times New Roman"/>
                <w:color w:val="0000FF"/>
              </w:rPr>
              <w:t>Frequency (n)</w:t>
            </w:r>
          </w:p>
        </w:tc>
        <w:tc>
          <w:tcPr>
            <w:tcW w:w="1085" w:type="pct"/>
            <w:tcBorders>
              <w:top w:val="single" w:sz="12" w:space="0" w:color="auto"/>
              <w:bottom w:val="single" w:sz="4" w:space="0" w:color="auto"/>
            </w:tcBorders>
            <w:shd w:val="clear" w:color="auto" w:fill="auto"/>
            <w:vAlign w:val="center"/>
          </w:tcPr>
          <w:p w14:paraId="021D8718" w14:textId="77777777" w:rsidR="00FF2E2E" w:rsidRPr="006C5C5E" w:rsidRDefault="00FF2E2E" w:rsidP="0010646C">
            <w:pPr>
              <w:spacing w:after="0" w:line="240" w:lineRule="auto"/>
              <w:contextualSpacing/>
              <w:jc w:val="center"/>
              <w:rPr>
                <w:rFonts w:eastAsia="Times New Roman" w:cs="Times New Roman"/>
                <w:color w:val="0000FF"/>
              </w:rPr>
            </w:pPr>
            <w:r>
              <w:rPr>
                <w:rFonts w:eastAsia="Times New Roman" w:cs="Times New Roman"/>
                <w:color w:val="0000FF"/>
              </w:rPr>
              <w:t>Total Observations (N)</w:t>
            </w:r>
          </w:p>
        </w:tc>
        <w:tc>
          <w:tcPr>
            <w:tcW w:w="917" w:type="pct"/>
            <w:tcBorders>
              <w:top w:val="single" w:sz="12" w:space="0" w:color="auto"/>
              <w:bottom w:val="single" w:sz="4" w:space="0" w:color="auto"/>
            </w:tcBorders>
            <w:vAlign w:val="center"/>
          </w:tcPr>
          <w:p w14:paraId="41D46522" w14:textId="77777777" w:rsidR="00FF2E2E" w:rsidRPr="006C5C5E" w:rsidRDefault="00FF2E2E" w:rsidP="0010646C">
            <w:pPr>
              <w:spacing w:after="0" w:line="240" w:lineRule="auto"/>
              <w:contextualSpacing/>
              <w:jc w:val="center"/>
              <w:rPr>
                <w:rFonts w:eastAsia="Times New Roman" w:cs="Times New Roman"/>
                <w:color w:val="0000FF"/>
              </w:rPr>
            </w:pPr>
            <w:r w:rsidRPr="006C5C5E">
              <w:rPr>
                <w:rFonts w:eastAsia="Times New Roman" w:cs="Times New Roman"/>
                <w:color w:val="0000FF"/>
              </w:rPr>
              <w:t>Percentage (%)</w:t>
            </w:r>
          </w:p>
        </w:tc>
      </w:tr>
      <w:tr w:rsidR="00FF2E2E" w:rsidRPr="006C5C5E" w14:paraId="139E7908" w14:textId="77777777" w:rsidTr="00E2379F">
        <w:tc>
          <w:tcPr>
            <w:tcW w:w="1934" w:type="pct"/>
            <w:tcBorders>
              <w:top w:val="single" w:sz="4" w:space="0" w:color="auto"/>
            </w:tcBorders>
            <w:shd w:val="clear" w:color="auto" w:fill="auto"/>
            <w:hideMark/>
          </w:tcPr>
          <w:p w14:paraId="7163F3CC" w14:textId="4ADDE2CA" w:rsidR="00FF2E2E" w:rsidRPr="006C5C5E" w:rsidRDefault="00981F65" w:rsidP="0010646C">
            <w:pPr>
              <w:spacing w:after="0" w:line="240" w:lineRule="auto"/>
              <w:rPr>
                <w:rFonts w:eastAsia="Times New Roman" w:cs="Times New Roman"/>
                <w:color w:val="0000FF"/>
              </w:rPr>
            </w:pPr>
            <w:r>
              <w:rPr>
                <w:rFonts w:eastAsia="Times New Roman" w:cs="Times New Roman"/>
                <w:color w:val="0000FF"/>
              </w:rPr>
              <w:t>Sex</w:t>
            </w:r>
          </w:p>
        </w:tc>
        <w:tc>
          <w:tcPr>
            <w:tcW w:w="1064" w:type="pct"/>
            <w:tcBorders>
              <w:top w:val="single" w:sz="4" w:space="0" w:color="auto"/>
            </w:tcBorders>
            <w:shd w:val="clear" w:color="auto" w:fill="auto"/>
            <w:hideMark/>
          </w:tcPr>
          <w:p w14:paraId="228CBD97" w14:textId="77777777" w:rsidR="00FF2E2E" w:rsidRPr="00FD2B92" w:rsidRDefault="00FF2E2E" w:rsidP="0010646C">
            <w:pPr>
              <w:spacing w:after="0" w:line="240" w:lineRule="auto"/>
              <w:jc w:val="center"/>
              <w:rPr>
                <w:rFonts w:eastAsia="Times New Roman" w:cs="Times New Roman"/>
                <w:color w:val="0000FF"/>
              </w:rPr>
            </w:pPr>
          </w:p>
        </w:tc>
        <w:tc>
          <w:tcPr>
            <w:tcW w:w="1085" w:type="pct"/>
            <w:tcBorders>
              <w:top w:val="single" w:sz="4" w:space="0" w:color="auto"/>
            </w:tcBorders>
            <w:shd w:val="clear" w:color="auto" w:fill="auto"/>
            <w:noWrap/>
          </w:tcPr>
          <w:p w14:paraId="0C5213AA" w14:textId="77777777" w:rsidR="00FF2E2E" w:rsidRPr="00FD2B92" w:rsidRDefault="00FF2E2E" w:rsidP="0010646C">
            <w:pPr>
              <w:spacing w:after="0" w:line="240" w:lineRule="auto"/>
              <w:jc w:val="center"/>
              <w:rPr>
                <w:rFonts w:eastAsia="Times New Roman" w:cs="Times New Roman"/>
                <w:color w:val="0000FF"/>
              </w:rPr>
            </w:pPr>
          </w:p>
        </w:tc>
        <w:tc>
          <w:tcPr>
            <w:tcW w:w="917" w:type="pct"/>
            <w:tcBorders>
              <w:top w:val="single" w:sz="4" w:space="0" w:color="auto"/>
            </w:tcBorders>
          </w:tcPr>
          <w:p w14:paraId="43C91103" w14:textId="77777777" w:rsidR="00FF2E2E" w:rsidRPr="00FD2B92" w:rsidRDefault="00FF2E2E" w:rsidP="0010646C">
            <w:pPr>
              <w:spacing w:after="0" w:line="240" w:lineRule="auto"/>
              <w:jc w:val="center"/>
              <w:rPr>
                <w:rFonts w:eastAsia="Times New Roman" w:cs="Times New Roman"/>
                <w:color w:val="0000FF"/>
              </w:rPr>
            </w:pPr>
          </w:p>
        </w:tc>
      </w:tr>
      <w:tr w:rsidR="00FF2E2E" w:rsidRPr="006C5C5E" w14:paraId="51967B76" w14:textId="77777777" w:rsidTr="00E2379F">
        <w:tc>
          <w:tcPr>
            <w:tcW w:w="1934" w:type="pct"/>
            <w:shd w:val="clear" w:color="auto" w:fill="auto"/>
            <w:hideMark/>
          </w:tcPr>
          <w:p w14:paraId="4195F2AF"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Female</w:t>
            </w:r>
          </w:p>
        </w:tc>
        <w:tc>
          <w:tcPr>
            <w:tcW w:w="1064" w:type="pct"/>
            <w:shd w:val="clear" w:color="auto" w:fill="auto"/>
            <w:vAlign w:val="bottom"/>
          </w:tcPr>
          <w:p w14:paraId="308C080E" w14:textId="2874B1BA" w:rsidR="00FF2E2E" w:rsidRPr="00FD2B92" w:rsidRDefault="00FF2E2E" w:rsidP="0010646C">
            <w:pPr>
              <w:spacing w:after="0" w:line="240" w:lineRule="auto"/>
              <w:ind w:right="327"/>
              <w:jc w:val="right"/>
              <w:rPr>
                <w:rFonts w:eastAsia="Times New Roman" w:cs="Times New Roman"/>
                <w:color w:val="0000FF"/>
              </w:rPr>
            </w:pPr>
            <w:r w:rsidRPr="004337E4">
              <w:rPr>
                <w:rFonts w:ascii="Calibri" w:hAnsi="Calibri" w:cs="Calibri"/>
                <w:color w:val="0000FF"/>
              </w:rPr>
              <w:t>712,653</w:t>
            </w:r>
          </w:p>
        </w:tc>
        <w:tc>
          <w:tcPr>
            <w:tcW w:w="1085" w:type="pct"/>
            <w:shd w:val="clear" w:color="auto" w:fill="auto"/>
            <w:noWrap/>
          </w:tcPr>
          <w:p w14:paraId="071DCAD2" w14:textId="1FD30669" w:rsidR="00FF2E2E" w:rsidRPr="00097504" w:rsidRDefault="00FF2E2E" w:rsidP="0010646C">
            <w:pPr>
              <w:tabs>
                <w:tab w:val="decimal" w:pos="627"/>
              </w:tabs>
              <w:spacing w:after="0" w:line="240" w:lineRule="auto"/>
              <w:rPr>
                <w:rFonts w:eastAsia="Times New Roman" w:cs="Times New Roman"/>
                <w:color w:val="0000FF"/>
              </w:rPr>
            </w:pPr>
            <w:r w:rsidRPr="00097504">
              <w:rPr>
                <w:color w:val="0000FF"/>
              </w:rPr>
              <w:t>1,104,673</w:t>
            </w:r>
          </w:p>
        </w:tc>
        <w:tc>
          <w:tcPr>
            <w:tcW w:w="917" w:type="pct"/>
            <w:shd w:val="clear" w:color="auto" w:fill="auto"/>
            <w:vAlign w:val="bottom"/>
          </w:tcPr>
          <w:p w14:paraId="1CFA8394" w14:textId="7DA9BBD0"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64.5%</w:t>
            </w:r>
          </w:p>
        </w:tc>
      </w:tr>
      <w:tr w:rsidR="00FF2E2E" w:rsidRPr="006C5C5E" w14:paraId="074AEB41" w14:textId="77777777" w:rsidTr="00E2379F">
        <w:tc>
          <w:tcPr>
            <w:tcW w:w="1934" w:type="pct"/>
            <w:shd w:val="clear" w:color="auto" w:fill="auto"/>
            <w:hideMark/>
          </w:tcPr>
          <w:p w14:paraId="150B4EA3"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Male</w:t>
            </w:r>
          </w:p>
        </w:tc>
        <w:tc>
          <w:tcPr>
            <w:tcW w:w="1064" w:type="pct"/>
            <w:shd w:val="clear" w:color="auto" w:fill="auto"/>
            <w:vAlign w:val="bottom"/>
          </w:tcPr>
          <w:p w14:paraId="6DD484D9" w14:textId="73971A50" w:rsidR="00FF2E2E" w:rsidRPr="00FD2B92" w:rsidRDefault="00FF2E2E" w:rsidP="0010646C">
            <w:pPr>
              <w:spacing w:after="0" w:line="240" w:lineRule="auto"/>
              <w:ind w:right="327"/>
              <w:jc w:val="right"/>
              <w:rPr>
                <w:rFonts w:eastAsia="Times New Roman" w:cs="Times New Roman"/>
                <w:color w:val="0000FF"/>
              </w:rPr>
            </w:pPr>
            <w:r w:rsidRPr="00185EA0">
              <w:rPr>
                <w:rFonts w:ascii="Calibri" w:hAnsi="Calibri" w:cs="Calibri"/>
                <w:color w:val="0000FF"/>
              </w:rPr>
              <w:t>392,020</w:t>
            </w:r>
          </w:p>
        </w:tc>
        <w:tc>
          <w:tcPr>
            <w:tcW w:w="1085" w:type="pct"/>
            <w:shd w:val="clear" w:color="auto" w:fill="auto"/>
            <w:noWrap/>
          </w:tcPr>
          <w:p w14:paraId="0CF97D89" w14:textId="06D963BB" w:rsidR="00FF2E2E" w:rsidRPr="00097504" w:rsidRDefault="00FF2E2E" w:rsidP="0010646C">
            <w:pPr>
              <w:tabs>
                <w:tab w:val="decimal" w:pos="627"/>
              </w:tabs>
              <w:spacing w:after="0" w:line="240" w:lineRule="auto"/>
              <w:rPr>
                <w:rFonts w:eastAsia="Times New Roman" w:cs="Times New Roman"/>
                <w:color w:val="0000FF"/>
              </w:rPr>
            </w:pPr>
            <w:r w:rsidRPr="00097504">
              <w:rPr>
                <w:color w:val="0000FF"/>
              </w:rPr>
              <w:t>1,104,673</w:t>
            </w:r>
          </w:p>
        </w:tc>
        <w:tc>
          <w:tcPr>
            <w:tcW w:w="917" w:type="pct"/>
            <w:shd w:val="clear" w:color="auto" w:fill="auto"/>
            <w:vAlign w:val="bottom"/>
          </w:tcPr>
          <w:p w14:paraId="5A519841" w14:textId="5CD3A95D"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35.5%</w:t>
            </w:r>
          </w:p>
        </w:tc>
      </w:tr>
      <w:tr w:rsidR="00DB7151" w:rsidRPr="00BD47D5" w14:paraId="53296C28" w14:textId="77777777" w:rsidTr="00E2379F">
        <w:tc>
          <w:tcPr>
            <w:tcW w:w="1934" w:type="pct"/>
            <w:shd w:val="clear" w:color="auto" w:fill="auto"/>
            <w:hideMark/>
          </w:tcPr>
          <w:p w14:paraId="18BB9CFF" w14:textId="536A3648" w:rsidR="00DB7151" w:rsidRPr="00BD47D5" w:rsidRDefault="00DB7151" w:rsidP="009162EA">
            <w:pPr>
              <w:spacing w:after="0" w:line="240" w:lineRule="auto"/>
              <w:rPr>
                <w:rFonts w:eastAsia="Times New Roman" w:cs="Times New Roman"/>
                <w:color w:val="0000FF"/>
              </w:rPr>
            </w:pPr>
            <w:r w:rsidRPr="00BD47D5">
              <w:rPr>
                <w:rFonts w:eastAsia="Times New Roman" w:cs="Times New Roman"/>
                <w:color w:val="0000FF"/>
              </w:rPr>
              <w:t>Race</w:t>
            </w:r>
            <w:r w:rsidR="00BE3F42">
              <w:rPr>
                <w:rFonts w:eastAsia="Times New Roman" w:cs="Times New Roman"/>
                <w:color w:val="0000FF"/>
              </w:rPr>
              <w:t>/Ethnicity</w:t>
            </w:r>
          </w:p>
        </w:tc>
        <w:tc>
          <w:tcPr>
            <w:tcW w:w="1064" w:type="pct"/>
            <w:shd w:val="clear" w:color="auto" w:fill="auto"/>
          </w:tcPr>
          <w:p w14:paraId="7082AB8A" w14:textId="7F344FB0" w:rsidR="00DB7151" w:rsidRPr="00097504" w:rsidRDefault="00DB7151" w:rsidP="009162EA">
            <w:pPr>
              <w:spacing w:after="0" w:line="240" w:lineRule="auto"/>
              <w:ind w:right="327"/>
              <w:jc w:val="right"/>
              <w:rPr>
                <w:rFonts w:eastAsia="Times New Roman" w:cs="Times New Roman"/>
                <w:color w:val="0000FF"/>
              </w:rPr>
            </w:pPr>
          </w:p>
        </w:tc>
        <w:tc>
          <w:tcPr>
            <w:tcW w:w="1085" w:type="pct"/>
            <w:shd w:val="clear" w:color="auto" w:fill="auto"/>
            <w:noWrap/>
          </w:tcPr>
          <w:p w14:paraId="5FFBC338" w14:textId="7DE3AB73" w:rsidR="00DB7151" w:rsidRPr="00097504" w:rsidRDefault="00DB7151" w:rsidP="009162EA">
            <w:pPr>
              <w:tabs>
                <w:tab w:val="decimal" w:pos="627"/>
              </w:tabs>
              <w:spacing w:after="0" w:line="240" w:lineRule="auto"/>
              <w:rPr>
                <w:rFonts w:eastAsia="Times New Roman" w:cs="Times New Roman"/>
                <w:color w:val="0000FF"/>
              </w:rPr>
            </w:pPr>
            <w:r w:rsidRPr="00097504">
              <w:rPr>
                <w:color w:val="0000FF"/>
              </w:rPr>
              <w:t>1,104,673</w:t>
            </w:r>
          </w:p>
        </w:tc>
        <w:tc>
          <w:tcPr>
            <w:tcW w:w="917" w:type="pct"/>
          </w:tcPr>
          <w:p w14:paraId="587D1F5F" w14:textId="77777777" w:rsidR="00DB7151" w:rsidRPr="00097504" w:rsidRDefault="00DB7151" w:rsidP="009162EA">
            <w:pPr>
              <w:tabs>
                <w:tab w:val="decimal" w:pos="627"/>
              </w:tabs>
              <w:spacing w:after="0" w:line="240" w:lineRule="auto"/>
              <w:rPr>
                <w:rFonts w:eastAsia="Times New Roman" w:cs="Times New Roman"/>
                <w:color w:val="0000FF"/>
              </w:rPr>
            </w:pPr>
          </w:p>
        </w:tc>
      </w:tr>
      <w:tr w:rsidR="00DB7151" w:rsidRPr="00BD47D5" w14:paraId="49B15ED7" w14:textId="77777777" w:rsidTr="00E2379F">
        <w:tc>
          <w:tcPr>
            <w:tcW w:w="1934" w:type="pct"/>
            <w:shd w:val="clear" w:color="auto" w:fill="auto"/>
            <w:hideMark/>
          </w:tcPr>
          <w:p w14:paraId="772722E7" w14:textId="77777777" w:rsidR="00DB7151" w:rsidRPr="00BD47D5" w:rsidRDefault="00DB7151" w:rsidP="009162EA">
            <w:pPr>
              <w:spacing w:after="0" w:line="240" w:lineRule="auto"/>
              <w:ind w:firstLineChars="100" w:firstLine="220"/>
              <w:rPr>
                <w:rFonts w:eastAsia="Times New Roman" w:cs="Times New Roman"/>
                <w:color w:val="0000FF"/>
              </w:rPr>
            </w:pPr>
            <w:r w:rsidRPr="00BD47D5">
              <w:rPr>
                <w:rFonts w:eastAsia="Times New Roman" w:cs="Times New Roman"/>
                <w:color w:val="0000FF"/>
              </w:rPr>
              <w:t>White Only</w:t>
            </w:r>
          </w:p>
        </w:tc>
        <w:tc>
          <w:tcPr>
            <w:tcW w:w="1064" w:type="pct"/>
            <w:shd w:val="clear" w:color="auto" w:fill="auto"/>
          </w:tcPr>
          <w:p w14:paraId="3372F918" w14:textId="0197CEE6" w:rsidR="00DB7151" w:rsidRPr="00097504" w:rsidRDefault="00D827E8" w:rsidP="009162EA">
            <w:pPr>
              <w:spacing w:after="0" w:line="240" w:lineRule="auto"/>
              <w:ind w:right="327"/>
              <w:jc w:val="right"/>
              <w:rPr>
                <w:rFonts w:eastAsia="Times New Roman" w:cs="Times New Roman"/>
                <w:color w:val="0000FF"/>
              </w:rPr>
            </w:pPr>
            <w:r w:rsidRPr="00097504">
              <w:rPr>
                <w:rFonts w:eastAsia="Times New Roman" w:cs="Times New Roman"/>
                <w:color w:val="0000FF"/>
              </w:rPr>
              <w:t>815,036</w:t>
            </w:r>
          </w:p>
        </w:tc>
        <w:tc>
          <w:tcPr>
            <w:tcW w:w="1085" w:type="pct"/>
            <w:shd w:val="clear" w:color="auto" w:fill="auto"/>
            <w:noWrap/>
          </w:tcPr>
          <w:p w14:paraId="5CCAED40" w14:textId="740CDFA2" w:rsidR="00DB7151" w:rsidRPr="00097504" w:rsidRDefault="00DB7151" w:rsidP="009162EA">
            <w:pPr>
              <w:tabs>
                <w:tab w:val="decimal" w:pos="627"/>
              </w:tabs>
              <w:spacing w:after="0" w:line="240" w:lineRule="auto"/>
              <w:rPr>
                <w:rFonts w:eastAsia="Times New Roman" w:cs="Times New Roman"/>
                <w:color w:val="0000FF"/>
              </w:rPr>
            </w:pPr>
            <w:r w:rsidRPr="00097504">
              <w:rPr>
                <w:color w:val="0000FF"/>
              </w:rPr>
              <w:t>1,104,673</w:t>
            </w:r>
          </w:p>
        </w:tc>
        <w:tc>
          <w:tcPr>
            <w:tcW w:w="917" w:type="pct"/>
            <w:vAlign w:val="bottom"/>
          </w:tcPr>
          <w:p w14:paraId="6FFCA0CA" w14:textId="6612E656" w:rsidR="00DB7151" w:rsidRPr="00097504" w:rsidRDefault="001B2A3D" w:rsidP="009162EA">
            <w:pPr>
              <w:tabs>
                <w:tab w:val="decimal" w:pos="627"/>
              </w:tabs>
              <w:spacing w:after="0" w:line="240" w:lineRule="auto"/>
              <w:rPr>
                <w:rFonts w:eastAsia="Times New Roman" w:cs="Times New Roman"/>
                <w:color w:val="0000FF"/>
              </w:rPr>
            </w:pPr>
            <w:r w:rsidRPr="00097504">
              <w:rPr>
                <w:rFonts w:ascii="Calibri" w:hAnsi="Calibri"/>
                <w:color w:val="0000FF"/>
              </w:rPr>
              <w:t>73.8</w:t>
            </w:r>
            <w:r w:rsidR="00DB7151" w:rsidRPr="00097504">
              <w:rPr>
                <w:rFonts w:ascii="Calibri" w:hAnsi="Calibri"/>
                <w:color w:val="0000FF"/>
              </w:rPr>
              <w:t>%</w:t>
            </w:r>
          </w:p>
        </w:tc>
      </w:tr>
      <w:tr w:rsidR="00DB7151" w:rsidRPr="00BD47D5" w14:paraId="11D27AAA" w14:textId="77777777" w:rsidTr="00E2379F">
        <w:tc>
          <w:tcPr>
            <w:tcW w:w="1934" w:type="pct"/>
            <w:shd w:val="clear" w:color="auto" w:fill="auto"/>
          </w:tcPr>
          <w:p w14:paraId="349048E1" w14:textId="77777777" w:rsidR="00DB7151" w:rsidRPr="00BD47D5" w:rsidDel="002C6C0E" w:rsidRDefault="00DB7151" w:rsidP="009162EA">
            <w:pPr>
              <w:spacing w:after="0" w:line="240" w:lineRule="auto"/>
              <w:ind w:firstLineChars="100" w:firstLine="220"/>
              <w:rPr>
                <w:rFonts w:eastAsia="Times New Roman" w:cs="Times New Roman"/>
                <w:color w:val="0000FF"/>
              </w:rPr>
            </w:pPr>
            <w:r w:rsidRPr="00BD47D5">
              <w:rPr>
                <w:rFonts w:eastAsia="Times New Roman" w:cs="Times New Roman"/>
                <w:color w:val="0000FF"/>
              </w:rPr>
              <w:t xml:space="preserve">Black </w:t>
            </w:r>
            <w:r>
              <w:rPr>
                <w:rFonts w:eastAsia="Times New Roman" w:cs="Times New Roman"/>
                <w:color w:val="0000FF"/>
              </w:rPr>
              <w:t xml:space="preserve">or African American </w:t>
            </w:r>
            <w:r w:rsidRPr="00BD47D5">
              <w:rPr>
                <w:rFonts w:eastAsia="Times New Roman" w:cs="Times New Roman"/>
                <w:color w:val="0000FF"/>
              </w:rPr>
              <w:t>Only</w:t>
            </w:r>
          </w:p>
        </w:tc>
        <w:tc>
          <w:tcPr>
            <w:tcW w:w="1064" w:type="pct"/>
            <w:shd w:val="clear" w:color="auto" w:fill="auto"/>
          </w:tcPr>
          <w:p w14:paraId="1E48B35C" w14:textId="3CDD6455" w:rsidR="00DB7151" w:rsidRPr="00097504" w:rsidRDefault="00D827E8" w:rsidP="009162EA">
            <w:pPr>
              <w:spacing w:after="0" w:line="240" w:lineRule="auto"/>
              <w:ind w:right="327"/>
              <w:jc w:val="right"/>
              <w:rPr>
                <w:rFonts w:eastAsia="Times New Roman" w:cs="Times New Roman"/>
                <w:color w:val="0000FF"/>
              </w:rPr>
            </w:pPr>
            <w:r w:rsidRPr="00097504">
              <w:rPr>
                <w:rFonts w:eastAsia="Times New Roman" w:cs="Times New Roman"/>
                <w:color w:val="0000FF"/>
              </w:rPr>
              <w:t>171,331</w:t>
            </w:r>
          </w:p>
        </w:tc>
        <w:tc>
          <w:tcPr>
            <w:tcW w:w="1085" w:type="pct"/>
            <w:shd w:val="clear" w:color="auto" w:fill="auto"/>
            <w:noWrap/>
          </w:tcPr>
          <w:p w14:paraId="66159F2B" w14:textId="006EA66D" w:rsidR="00DB7151" w:rsidRPr="00097504" w:rsidRDefault="00DB7151" w:rsidP="009162EA">
            <w:pPr>
              <w:tabs>
                <w:tab w:val="decimal" w:pos="627"/>
              </w:tabs>
              <w:spacing w:after="0" w:line="240" w:lineRule="auto"/>
              <w:rPr>
                <w:rFonts w:eastAsia="Times New Roman" w:cs="Times New Roman"/>
                <w:color w:val="0000FF"/>
              </w:rPr>
            </w:pPr>
            <w:r w:rsidRPr="00097504">
              <w:rPr>
                <w:color w:val="0000FF"/>
              </w:rPr>
              <w:t>1,104,673</w:t>
            </w:r>
          </w:p>
        </w:tc>
        <w:tc>
          <w:tcPr>
            <w:tcW w:w="917" w:type="pct"/>
            <w:vAlign w:val="bottom"/>
          </w:tcPr>
          <w:p w14:paraId="66883126" w14:textId="284D3652" w:rsidR="00DB7151" w:rsidRPr="00097504" w:rsidRDefault="001B2A3D" w:rsidP="009162EA">
            <w:pPr>
              <w:tabs>
                <w:tab w:val="decimal" w:pos="627"/>
              </w:tabs>
              <w:spacing w:after="0" w:line="240" w:lineRule="auto"/>
              <w:rPr>
                <w:rFonts w:eastAsia="Times New Roman" w:cs="Times New Roman"/>
                <w:color w:val="0000FF"/>
              </w:rPr>
            </w:pPr>
            <w:r w:rsidRPr="00097504">
              <w:rPr>
                <w:rFonts w:ascii="Calibri" w:hAnsi="Calibri"/>
                <w:color w:val="0000FF"/>
              </w:rPr>
              <w:t>15.5</w:t>
            </w:r>
            <w:r w:rsidR="00DB7151" w:rsidRPr="00097504">
              <w:rPr>
                <w:rFonts w:ascii="Calibri" w:hAnsi="Calibri"/>
                <w:color w:val="0000FF"/>
              </w:rPr>
              <w:t>%</w:t>
            </w:r>
          </w:p>
        </w:tc>
      </w:tr>
      <w:tr w:rsidR="00DB7151" w:rsidRPr="00BD47D5" w14:paraId="60B1D948" w14:textId="77777777" w:rsidTr="00E2379F">
        <w:tc>
          <w:tcPr>
            <w:tcW w:w="1934" w:type="pct"/>
            <w:shd w:val="clear" w:color="auto" w:fill="auto"/>
          </w:tcPr>
          <w:p w14:paraId="52B888E6" w14:textId="77777777" w:rsidR="00DB7151" w:rsidRPr="00BD47D5" w:rsidDel="002C6C0E" w:rsidRDefault="00DB7151" w:rsidP="009162EA">
            <w:pPr>
              <w:spacing w:after="0" w:line="240" w:lineRule="auto"/>
              <w:ind w:firstLineChars="100" w:firstLine="220"/>
              <w:rPr>
                <w:rFonts w:eastAsia="Times New Roman" w:cs="Times New Roman"/>
                <w:color w:val="0000FF"/>
              </w:rPr>
            </w:pPr>
            <w:r>
              <w:rPr>
                <w:rFonts w:eastAsia="Times New Roman" w:cs="Times New Roman"/>
                <w:color w:val="0000FF"/>
              </w:rPr>
              <w:t>Hispanic or Latino Only</w:t>
            </w:r>
          </w:p>
        </w:tc>
        <w:tc>
          <w:tcPr>
            <w:tcW w:w="1064" w:type="pct"/>
            <w:shd w:val="clear" w:color="auto" w:fill="auto"/>
          </w:tcPr>
          <w:p w14:paraId="0C68C1CA" w14:textId="3E871F48" w:rsidR="00DB7151" w:rsidRPr="00097504" w:rsidRDefault="00701832" w:rsidP="009162EA">
            <w:pPr>
              <w:spacing w:after="0" w:line="240" w:lineRule="auto"/>
              <w:ind w:right="327"/>
              <w:jc w:val="right"/>
              <w:rPr>
                <w:rFonts w:eastAsia="Times New Roman" w:cs="Times New Roman"/>
                <w:color w:val="0000FF"/>
              </w:rPr>
            </w:pPr>
            <w:r w:rsidRPr="00097504">
              <w:rPr>
                <w:rFonts w:eastAsia="Times New Roman" w:cs="Times New Roman"/>
                <w:color w:val="0000FF"/>
              </w:rPr>
              <w:t>63,268</w:t>
            </w:r>
          </w:p>
        </w:tc>
        <w:tc>
          <w:tcPr>
            <w:tcW w:w="1085" w:type="pct"/>
            <w:shd w:val="clear" w:color="auto" w:fill="auto"/>
            <w:noWrap/>
          </w:tcPr>
          <w:p w14:paraId="29DF1AE1" w14:textId="23CAF7D0" w:rsidR="00DB7151" w:rsidRPr="00097504" w:rsidRDefault="00DB7151" w:rsidP="009162EA">
            <w:pPr>
              <w:tabs>
                <w:tab w:val="decimal" w:pos="627"/>
              </w:tabs>
              <w:spacing w:after="0" w:line="240" w:lineRule="auto"/>
              <w:rPr>
                <w:rFonts w:eastAsia="Times New Roman" w:cs="Times New Roman"/>
                <w:color w:val="0000FF"/>
              </w:rPr>
            </w:pPr>
            <w:r w:rsidRPr="00097504">
              <w:rPr>
                <w:color w:val="0000FF"/>
              </w:rPr>
              <w:t>1,104,673</w:t>
            </w:r>
          </w:p>
        </w:tc>
        <w:tc>
          <w:tcPr>
            <w:tcW w:w="917" w:type="pct"/>
            <w:vAlign w:val="bottom"/>
          </w:tcPr>
          <w:p w14:paraId="6F1701ED" w14:textId="6CBD5AE3" w:rsidR="00DB7151" w:rsidRPr="00097504" w:rsidRDefault="001B2A3D" w:rsidP="009162EA">
            <w:pPr>
              <w:tabs>
                <w:tab w:val="decimal" w:pos="627"/>
              </w:tabs>
              <w:spacing w:after="0" w:line="240" w:lineRule="auto"/>
              <w:rPr>
                <w:rFonts w:eastAsia="Times New Roman" w:cs="Times New Roman"/>
                <w:color w:val="0000FF"/>
              </w:rPr>
            </w:pPr>
            <w:r w:rsidRPr="00097504">
              <w:rPr>
                <w:rFonts w:ascii="Calibri" w:hAnsi="Calibri"/>
                <w:color w:val="0000FF"/>
              </w:rPr>
              <w:t>5.7</w:t>
            </w:r>
            <w:r w:rsidR="00DB7151" w:rsidRPr="00097504">
              <w:rPr>
                <w:rFonts w:ascii="Calibri" w:hAnsi="Calibri"/>
                <w:color w:val="0000FF"/>
              </w:rPr>
              <w:t>%</w:t>
            </w:r>
          </w:p>
        </w:tc>
      </w:tr>
      <w:tr w:rsidR="00DB7151" w:rsidRPr="00BD47D5" w14:paraId="70161E4C" w14:textId="77777777" w:rsidTr="00E2379F">
        <w:tc>
          <w:tcPr>
            <w:tcW w:w="1934" w:type="pct"/>
            <w:shd w:val="clear" w:color="auto" w:fill="auto"/>
          </w:tcPr>
          <w:p w14:paraId="21E9867C" w14:textId="77777777" w:rsidR="00DB7151" w:rsidRPr="00BD47D5" w:rsidDel="002C6C0E" w:rsidRDefault="00DB7151" w:rsidP="009162EA">
            <w:pPr>
              <w:spacing w:after="0" w:line="240" w:lineRule="auto"/>
              <w:ind w:firstLineChars="100" w:firstLine="220"/>
              <w:rPr>
                <w:rFonts w:eastAsia="Times New Roman" w:cs="Times New Roman"/>
                <w:color w:val="0000FF"/>
              </w:rPr>
            </w:pPr>
            <w:r>
              <w:rPr>
                <w:rFonts w:eastAsia="Times New Roman" w:cs="Times New Roman"/>
                <w:color w:val="0000FF"/>
              </w:rPr>
              <w:t>Asian Only</w:t>
            </w:r>
          </w:p>
        </w:tc>
        <w:tc>
          <w:tcPr>
            <w:tcW w:w="1064" w:type="pct"/>
            <w:shd w:val="clear" w:color="auto" w:fill="auto"/>
          </w:tcPr>
          <w:p w14:paraId="16D90908" w14:textId="582C5EE1" w:rsidR="00DB7151" w:rsidRPr="00097504" w:rsidRDefault="00701832" w:rsidP="009162EA">
            <w:pPr>
              <w:spacing w:after="0" w:line="240" w:lineRule="auto"/>
              <w:ind w:right="327"/>
              <w:jc w:val="right"/>
              <w:rPr>
                <w:rFonts w:eastAsia="Times New Roman" w:cs="Times New Roman"/>
                <w:color w:val="0000FF"/>
              </w:rPr>
            </w:pPr>
            <w:r w:rsidRPr="00097504">
              <w:rPr>
                <w:rFonts w:eastAsia="Times New Roman" w:cs="Times New Roman"/>
                <w:color w:val="0000FF"/>
              </w:rPr>
              <w:t>21,954</w:t>
            </w:r>
          </w:p>
        </w:tc>
        <w:tc>
          <w:tcPr>
            <w:tcW w:w="1085" w:type="pct"/>
            <w:shd w:val="clear" w:color="auto" w:fill="auto"/>
            <w:noWrap/>
          </w:tcPr>
          <w:p w14:paraId="1F3C4469" w14:textId="3B4ED688" w:rsidR="00DB7151" w:rsidRPr="00097504" w:rsidRDefault="00DB7151" w:rsidP="009162EA">
            <w:pPr>
              <w:tabs>
                <w:tab w:val="decimal" w:pos="627"/>
              </w:tabs>
              <w:spacing w:after="0" w:line="240" w:lineRule="auto"/>
              <w:rPr>
                <w:rFonts w:eastAsia="Times New Roman" w:cs="Times New Roman"/>
                <w:color w:val="0000FF"/>
              </w:rPr>
            </w:pPr>
            <w:r w:rsidRPr="00097504">
              <w:rPr>
                <w:color w:val="0000FF"/>
              </w:rPr>
              <w:t>1,104,673</w:t>
            </w:r>
          </w:p>
        </w:tc>
        <w:tc>
          <w:tcPr>
            <w:tcW w:w="917" w:type="pct"/>
            <w:vAlign w:val="bottom"/>
          </w:tcPr>
          <w:p w14:paraId="66193514" w14:textId="07E8DEDE" w:rsidR="00DB7151" w:rsidRPr="00097504" w:rsidRDefault="001B2A3D" w:rsidP="009162EA">
            <w:pPr>
              <w:tabs>
                <w:tab w:val="decimal" w:pos="627"/>
              </w:tabs>
              <w:spacing w:after="0" w:line="240" w:lineRule="auto"/>
              <w:rPr>
                <w:rFonts w:eastAsia="Times New Roman" w:cs="Times New Roman"/>
                <w:color w:val="0000FF"/>
              </w:rPr>
            </w:pPr>
            <w:r w:rsidRPr="00097504">
              <w:rPr>
                <w:rFonts w:ascii="Calibri" w:hAnsi="Calibri"/>
                <w:color w:val="0000FF"/>
              </w:rPr>
              <w:t>2.0</w:t>
            </w:r>
            <w:r w:rsidR="00DB7151" w:rsidRPr="00097504">
              <w:rPr>
                <w:rFonts w:ascii="Calibri" w:hAnsi="Calibri"/>
                <w:color w:val="0000FF"/>
              </w:rPr>
              <w:t>%</w:t>
            </w:r>
          </w:p>
        </w:tc>
      </w:tr>
      <w:tr w:rsidR="00DB7151" w:rsidRPr="00BD47D5" w14:paraId="21043C46" w14:textId="77777777" w:rsidTr="00E2379F">
        <w:tc>
          <w:tcPr>
            <w:tcW w:w="1934" w:type="pct"/>
            <w:shd w:val="clear" w:color="auto" w:fill="auto"/>
          </w:tcPr>
          <w:p w14:paraId="4901251A" w14:textId="79C8E1EF" w:rsidR="00DB7151" w:rsidRPr="00BD47D5" w:rsidRDefault="00DB7151" w:rsidP="004D2C57">
            <w:pPr>
              <w:spacing w:after="0" w:line="240" w:lineRule="auto"/>
              <w:ind w:left="360" w:hanging="144"/>
              <w:rPr>
                <w:rFonts w:eastAsia="Times New Roman" w:cs="Times New Roman"/>
                <w:color w:val="0000FF"/>
              </w:rPr>
            </w:pPr>
            <w:r>
              <w:rPr>
                <w:rFonts w:eastAsia="Times New Roman" w:cs="Times New Roman"/>
                <w:color w:val="0000FF"/>
              </w:rPr>
              <w:t>American Indian/Alaska Native</w:t>
            </w:r>
            <w:r w:rsidR="004D2C57">
              <w:rPr>
                <w:rFonts w:eastAsia="Times New Roman" w:cs="Times New Roman"/>
                <w:color w:val="0000FF"/>
              </w:rPr>
              <w:t xml:space="preserve"> </w:t>
            </w:r>
            <w:r>
              <w:rPr>
                <w:rFonts w:eastAsia="Times New Roman" w:cs="Times New Roman"/>
                <w:color w:val="0000FF"/>
              </w:rPr>
              <w:t>Only</w:t>
            </w:r>
          </w:p>
        </w:tc>
        <w:tc>
          <w:tcPr>
            <w:tcW w:w="1064" w:type="pct"/>
            <w:shd w:val="clear" w:color="auto" w:fill="auto"/>
            <w:vAlign w:val="bottom"/>
          </w:tcPr>
          <w:p w14:paraId="4BF92139" w14:textId="49AD6D65" w:rsidR="00DB7151" w:rsidRPr="00097504" w:rsidDel="00DF5CD0" w:rsidRDefault="00091392" w:rsidP="004D2C57">
            <w:pPr>
              <w:spacing w:after="0" w:line="240" w:lineRule="auto"/>
              <w:ind w:right="327"/>
              <w:jc w:val="right"/>
              <w:rPr>
                <w:rFonts w:eastAsia="Times New Roman" w:cs="Times New Roman"/>
                <w:color w:val="0000FF"/>
              </w:rPr>
            </w:pPr>
            <w:r w:rsidRPr="00097504">
              <w:rPr>
                <w:rFonts w:eastAsia="Times New Roman" w:cs="Times New Roman"/>
                <w:color w:val="0000FF"/>
              </w:rPr>
              <w:t>5,147</w:t>
            </w:r>
          </w:p>
        </w:tc>
        <w:tc>
          <w:tcPr>
            <w:tcW w:w="1085" w:type="pct"/>
            <w:shd w:val="clear" w:color="auto" w:fill="auto"/>
            <w:noWrap/>
            <w:vAlign w:val="bottom"/>
          </w:tcPr>
          <w:p w14:paraId="2F7C6C30" w14:textId="517032D8" w:rsidR="00DB7151" w:rsidRPr="00097504" w:rsidRDefault="00DB7151" w:rsidP="004D2C57">
            <w:pPr>
              <w:tabs>
                <w:tab w:val="decimal" w:pos="627"/>
              </w:tabs>
              <w:spacing w:after="0" w:line="240" w:lineRule="auto"/>
              <w:rPr>
                <w:rFonts w:eastAsia="Times New Roman" w:cs="Times New Roman"/>
                <w:color w:val="0000FF"/>
              </w:rPr>
            </w:pPr>
            <w:r w:rsidRPr="00097504">
              <w:rPr>
                <w:color w:val="0000FF"/>
              </w:rPr>
              <w:t>1,104,673</w:t>
            </w:r>
          </w:p>
        </w:tc>
        <w:tc>
          <w:tcPr>
            <w:tcW w:w="917" w:type="pct"/>
            <w:vAlign w:val="bottom"/>
          </w:tcPr>
          <w:p w14:paraId="534F372B" w14:textId="1ED3BD57" w:rsidR="00DB7151" w:rsidRPr="00097504" w:rsidRDefault="001B2A3D" w:rsidP="004D2C57">
            <w:pPr>
              <w:tabs>
                <w:tab w:val="decimal" w:pos="627"/>
              </w:tabs>
              <w:spacing w:after="0" w:line="240" w:lineRule="auto"/>
              <w:rPr>
                <w:rFonts w:ascii="Calibri" w:hAnsi="Calibri"/>
                <w:color w:val="0000FF"/>
              </w:rPr>
            </w:pPr>
            <w:r w:rsidRPr="00097504">
              <w:rPr>
                <w:rFonts w:ascii="Calibri" w:hAnsi="Calibri"/>
                <w:color w:val="0000FF"/>
              </w:rPr>
              <w:t>0.5</w:t>
            </w:r>
            <w:r w:rsidR="00DB7151" w:rsidRPr="00097504">
              <w:rPr>
                <w:rFonts w:ascii="Calibri" w:hAnsi="Calibri"/>
                <w:color w:val="0000FF"/>
              </w:rPr>
              <w:t>%</w:t>
            </w:r>
          </w:p>
        </w:tc>
      </w:tr>
      <w:tr w:rsidR="00DB7151" w:rsidRPr="00BD47D5" w14:paraId="1EC5B4C4" w14:textId="77777777" w:rsidTr="00E2379F">
        <w:tc>
          <w:tcPr>
            <w:tcW w:w="1934" w:type="pct"/>
            <w:shd w:val="clear" w:color="auto" w:fill="auto"/>
          </w:tcPr>
          <w:p w14:paraId="34D6BC65" w14:textId="3080F16B" w:rsidR="00DB7151" w:rsidRPr="00BD47D5" w:rsidRDefault="00DB7151" w:rsidP="004D2C57">
            <w:pPr>
              <w:spacing w:after="0" w:line="240" w:lineRule="auto"/>
              <w:ind w:left="360" w:hanging="144"/>
              <w:rPr>
                <w:rFonts w:eastAsia="Times New Roman" w:cs="Times New Roman"/>
                <w:color w:val="0000FF"/>
              </w:rPr>
            </w:pPr>
            <w:r>
              <w:rPr>
                <w:rFonts w:eastAsia="Times New Roman" w:cs="Times New Roman"/>
                <w:color w:val="0000FF"/>
              </w:rPr>
              <w:t xml:space="preserve">Native Hawaiian or </w:t>
            </w:r>
            <w:proofErr w:type="gramStart"/>
            <w:r>
              <w:rPr>
                <w:rFonts w:eastAsia="Times New Roman" w:cs="Times New Roman"/>
                <w:color w:val="0000FF"/>
              </w:rPr>
              <w:t>Other</w:t>
            </w:r>
            <w:proofErr w:type="gramEnd"/>
            <w:r>
              <w:rPr>
                <w:rFonts w:eastAsia="Times New Roman" w:cs="Times New Roman"/>
                <w:color w:val="0000FF"/>
              </w:rPr>
              <w:t xml:space="preserve"> Pacific Islander Only</w:t>
            </w:r>
          </w:p>
        </w:tc>
        <w:tc>
          <w:tcPr>
            <w:tcW w:w="1064" w:type="pct"/>
            <w:shd w:val="clear" w:color="auto" w:fill="auto"/>
            <w:vAlign w:val="bottom"/>
          </w:tcPr>
          <w:p w14:paraId="2D063054" w14:textId="562637A3" w:rsidR="00DB7151" w:rsidRPr="00097504" w:rsidDel="00DF5CD0" w:rsidRDefault="00091392" w:rsidP="004D2C57">
            <w:pPr>
              <w:spacing w:after="0" w:line="240" w:lineRule="auto"/>
              <w:ind w:right="327"/>
              <w:jc w:val="right"/>
              <w:rPr>
                <w:rFonts w:eastAsia="Times New Roman" w:cs="Times New Roman"/>
                <w:color w:val="0000FF"/>
              </w:rPr>
            </w:pPr>
            <w:r w:rsidRPr="00097504">
              <w:rPr>
                <w:rFonts w:eastAsia="Times New Roman" w:cs="Times New Roman"/>
                <w:color w:val="0000FF"/>
              </w:rPr>
              <w:t>1,623</w:t>
            </w:r>
          </w:p>
        </w:tc>
        <w:tc>
          <w:tcPr>
            <w:tcW w:w="1085" w:type="pct"/>
            <w:shd w:val="clear" w:color="auto" w:fill="auto"/>
            <w:noWrap/>
            <w:vAlign w:val="bottom"/>
          </w:tcPr>
          <w:p w14:paraId="6178E4D9" w14:textId="489A370C" w:rsidR="00DB7151" w:rsidRPr="00097504" w:rsidRDefault="00DB7151" w:rsidP="004D2C57">
            <w:pPr>
              <w:tabs>
                <w:tab w:val="decimal" w:pos="627"/>
              </w:tabs>
              <w:spacing w:after="0" w:line="240" w:lineRule="auto"/>
              <w:rPr>
                <w:rFonts w:eastAsia="Times New Roman" w:cs="Times New Roman"/>
                <w:color w:val="0000FF"/>
              </w:rPr>
            </w:pPr>
            <w:r w:rsidRPr="00097504">
              <w:rPr>
                <w:color w:val="0000FF"/>
              </w:rPr>
              <w:t>1,104,673</w:t>
            </w:r>
          </w:p>
        </w:tc>
        <w:tc>
          <w:tcPr>
            <w:tcW w:w="917" w:type="pct"/>
            <w:vAlign w:val="bottom"/>
          </w:tcPr>
          <w:p w14:paraId="75F04CF8" w14:textId="231B231D" w:rsidR="00DB7151" w:rsidRPr="00097504" w:rsidRDefault="001640F2" w:rsidP="004D2C57">
            <w:pPr>
              <w:tabs>
                <w:tab w:val="decimal" w:pos="627"/>
              </w:tabs>
              <w:spacing w:after="0" w:line="240" w:lineRule="auto"/>
              <w:rPr>
                <w:rFonts w:ascii="Calibri" w:hAnsi="Calibri"/>
                <w:color w:val="0000FF"/>
              </w:rPr>
            </w:pPr>
            <w:r w:rsidRPr="00097504">
              <w:rPr>
                <w:rFonts w:ascii="Calibri" w:hAnsi="Calibri"/>
                <w:color w:val="0000FF"/>
              </w:rPr>
              <w:t>0.2</w:t>
            </w:r>
            <w:r w:rsidR="00DB7151" w:rsidRPr="00097504">
              <w:rPr>
                <w:rFonts w:ascii="Calibri" w:hAnsi="Calibri"/>
                <w:color w:val="0000FF"/>
              </w:rPr>
              <w:t>%</w:t>
            </w:r>
          </w:p>
        </w:tc>
      </w:tr>
      <w:tr w:rsidR="00DB7151" w:rsidRPr="00BD47D5" w14:paraId="04E408A1" w14:textId="77777777" w:rsidTr="00E2379F">
        <w:tc>
          <w:tcPr>
            <w:tcW w:w="1934" w:type="pct"/>
            <w:shd w:val="clear" w:color="auto" w:fill="auto"/>
          </w:tcPr>
          <w:p w14:paraId="21B4819F" w14:textId="3117CD4E" w:rsidR="00DB7151" w:rsidRDefault="00DB7151" w:rsidP="009162EA">
            <w:pPr>
              <w:spacing w:after="0" w:line="240" w:lineRule="auto"/>
              <w:ind w:firstLineChars="100" w:firstLine="220"/>
              <w:rPr>
                <w:rFonts w:eastAsia="Times New Roman" w:cs="Times New Roman"/>
                <w:color w:val="0000FF"/>
              </w:rPr>
            </w:pPr>
            <w:r>
              <w:rPr>
                <w:rFonts w:eastAsia="Times New Roman" w:cs="Times New Roman"/>
                <w:color w:val="0000FF"/>
              </w:rPr>
              <w:t>Multi-rac</w:t>
            </w:r>
            <w:r w:rsidR="00981F65">
              <w:rPr>
                <w:rFonts w:eastAsia="Times New Roman" w:cs="Times New Roman"/>
                <w:color w:val="0000FF"/>
              </w:rPr>
              <w:t>e</w:t>
            </w:r>
          </w:p>
        </w:tc>
        <w:tc>
          <w:tcPr>
            <w:tcW w:w="1064" w:type="pct"/>
            <w:shd w:val="clear" w:color="auto" w:fill="auto"/>
          </w:tcPr>
          <w:p w14:paraId="24DD7001" w14:textId="70320EF5" w:rsidR="00DB7151" w:rsidRPr="00097504" w:rsidDel="00DF5CD0" w:rsidRDefault="001B2A3D" w:rsidP="009162EA">
            <w:pPr>
              <w:spacing w:after="0" w:line="240" w:lineRule="auto"/>
              <w:ind w:right="327"/>
              <w:jc w:val="right"/>
              <w:rPr>
                <w:rFonts w:eastAsia="Times New Roman" w:cs="Times New Roman"/>
                <w:color w:val="0000FF"/>
              </w:rPr>
            </w:pPr>
            <w:r w:rsidRPr="00097504">
              <w:rPr>
                <w:rFonts w:eastAsia="Times New Roman" w:cs="Times New Roman"/>
                <w:color w:val="0000FF"/>
              </w:rPr>
              <w:t>3,355</w:t>
            </w:r>
          </w:p>
        </w:tc>
        <w:tc>
          <w:tcPr>
            <w:tcW w:w="1085" w:type="pct"/>
            <w:shd w:val="clear" w:color="auto" w:fill="auto"/>
            <w:noWrap/>
          </w:tcPr>
          <w:p w14:paraId="5E1E9587" w14:textId="00BDD313" w:rsidR="00DB7151" w:rsidRPr="00097504" w:rsidRDefault="00DB7151" w:rsidP="009162EA">
            <w:pPr>
              <w:tabs>
                <w:tab w:val="decimal" w:pos="627"/>
              </w:tabs>
              <w:spacing w:after="0" w:line="240" w:lineRule="auto"/>
              <w:rPr>
                <w:rFonts w:eastAsia="Times New Roman" w:cs="Times New Roman"/>
                <w:color w:val="0000FF"/>
              </w:rPr>
            </w:pPr>
            <w:r w:rsidRPr="00097504">
              <w:rPr>
                <w:color w:val="0000FF"/>
              </w:rPr>
              <w:t>1,104,673</w:t>
            </w:r>
          </w:p>
        </w:tc>
        <w:tc>
          <w:tcPr>
            <w:tcW w:w="917" w:type="pct"/>
          </w:tcPr>
          <w:p w14:paraId="565B3A9A" w14:textId="6ACF9730" w:rsidR="00DB7151" w:rsidRPr="00097504" w:rsidRDefault="001640F2" w:rsidP="009162EA">
            <w:pPr>
              <w:tabs>
                <w:tab w:val="decimal" w:pos="627"/>
              </w:tabs>
              <w:spacing w:after="0" w:line="240" w:lineRule="auto"/>
              <w:rPr>
                <w:rFonts w:ascii="Calibri" w:hAnsi="Calibri"/>
                <w:color w:val="0000FF"/>
              </w:rPr>
            </w:pPr>
            <w:r w:rsidRPr="00097504">
              <w:rPr>
                <w:rFonts w:ascii="Calibri" w:hAnsi="Calibri"/>
                <w:color w:val="0000FF"/>
              </w:rPr>
              <w:t>0.3</w:t>
            </w:r>
            <w:r w:rsidR="00DB7151" w:rsidRPr="00097504">
              <w:rPr>
                <w:rFonts w:ascii="Calibri" w:hAnsi="Calibri"/>
                <w:color w:val="0000FF"/>
              </w:rPr>
              <w:t>%</w:t>
            </w:r>
          </w:p>
        </w:tc>
      </w:tr>
      <w:tr w:rsidR="00FF2E2E" w:rsidRPr="006C5C5E" w14:paraId="4DC747F6" w14:textId="77777777" w:rsidTr="00E2379F">
        <w:tc>
          <w:tcPr>
            <w:tcW w:w="1934" w:type="pct"/>
            <w:shd w:val="clear" w:color="auto" w:fill="auto"/>
          </w:tcPr>
          <w:p w14:paraId="35D47776" w14:textId="77777777" w:rsidR="00FF2E2E" w:rsidRPr="006C5C5E" w:rsidRDefault="00FF2E2E" w:rsidP="0010646C">
            <w:pPr>
              <w:spacing w:after="0" w:line="240" w:lineRule="auto"/>
              <w:rPr>
                <w:rFonts w:eastAsia="Times New Roman" w:cs="Times New Roman"/>
                <w:color w:val="0000FF"/>
              </w:rPr>
            </w:pPr>
            <w:r>
              <w:rPr>
                <w:rFonts w:eastAsia="Times New Roman" w:cs="Times New Roman"/>
                <w:color w:val="0000FF"/>
              </w:rPr>
              <w:t>Medicare-Medicaid Dual Eligibility</w:t>
            </w:r>
          </w:p>
        </w:tc>
        <w:tc>
          <w:tcPr>
            <w:tcW w:w="1064" w:type="pct"/>
            <w:shd w:val="clear" w:color="auto" w:fill="auto"/>
          </w:tcPr>
          <w:p w14:paraId="32F7C462" w14:textId="77777777" w:rsidR="00FF2E2E" w:rsidRPr="00FD2B92" w:rsidRDefault="00FF2E2E" w:rsidP="0010646C">
            <w:pPr>
              <w:spacing w:after="0" w:line="240" w:lineRule="auto"/>
              <w:ind w:right="327"/>
              <w:jc w:val="right"/>
              <w:rPr>
                <w:rFonts w:eastAsia="Times New Roman" w:cs="Times New Roman"/>
                <w:color w:val="0000FF"/>
              </w:rPr>
            </w:pPr>
          </w:p>
        </w:tc>
        <w:tc>
          <w:tcPr>
            <w:tcW w:w="1085" w:type="pct"/>
            <w:shd w:val="clear" w:color="auto" w:fill="auto"/>
            <w:noWrap/>
          </w:tcPr>
          <w:p w14:paraId="6635A743" w14:textId="77777777" w:rsidR="00FF2E2E" w:rsidRPr="00097504" w:rsidRDefault="00FF2E2E" w:rsidP="0010646C">
            <w:pPr>
              <w:tabs>
                <w:tab w:val="decimal" w:pos="627"/>
              </w:tabs>
              <w:spacing w:after="0" w:line="240" w:lineRule="auto"/>
              <w:rPr>
                <w:rFonts w:eastAsia="Times New Roman" w:cs="Times New Roman"/>
                <w:color w:val="0000FF"/>
              </w:rPr>
            </w:pPr>
            <w:r w:rsidRPr="00097504">
              <w:rPr>
                <w:color w:val="0000FF"/>
              </w:rPr>
              <w:t>1,104,673</w:t>
            </w:r>
          </w:p>
        </w:tc>
        <w:tc>
          <w:tcPr>
            <w:tcW w:w="917" w:type="pct"/>
          </w:tcPr>
          <w:p w14:paraId="335E9001" w14:textId="77777777" w:rsidR="00FF2E2E" w:rsidRPr="00097504" w:rsidRDefault="00FF2E2E" w:rsidP="0010646C">
            <w:pPr>
              <w:tabs>
                <w:tab w:val="decimal" w:pos="627"/>
              </w:tabs>
              <w:spacing w:after="0" w:line="240" w:lineRule="auto"/>
              <w:rPr>
                <w:rFonts w:eastAsia="Times New Roman" w:cs="Times New Roman"/>
                <w:color w:val="0000FF"/>
              </w:rPr>
            </w:pPr>
          </w:p>
        </w:tc>
      </w:tr>
      <w:tr w:rsidR="00FF2E2E" w:rsidRPr="006C5C5E" w14:paraId="47750F54" w14:textId="77777777" w:rsidTr="00E2379F">
        <w:tc>
          <w:tcPr>
            <w:tcW w:w="1934" w:type="pct"/>
            <w:shd w:val="clear" w:color="auto" w:fill="auto"/>
          </w:tcPr>
          <w:p w14:paraId="71207AC9" w14:textId="77777777" w:rsidR="00FF2E2E" w:rsidRPr="006C5C5E" w:rsidRDefault="00FF2E2E" w:rsidP="0010646C">
            <w:pPr>
              <w:spacing w:after="0" w:line="240" w:lineRule="auto"/>
              <w:ind w:firstLineChars="100" w:firstLine="220"/>
              <w:rPr>
                <w:rFonts w:eastAsia="Times New Roman" w:cs="Times New Roman"/>
                <w:color w:val="0000FF"/>
              </w:rPr>
            </w:pPr>
            <w:r>
              <w:rPr>
                <w:rFonts w:eastAsia="Times New Roman" w:cs="Times New Roman"/>
                <w:color w:val="0000FF"/>
              </w:rPr>
              <w:t xml:space="preserve">Dual-Eligible </w:t>
            </w:r>
          </w:p>
        </w:tc>
        <w:tc>
          <w:tcPr>
            <w:tcW w:w="1064" w:type="pct"/>
            <w:shd w:val="clear" w:color="auto" w:fill="auto"/>
            <w:vAlign w:val="bottom"/>
          </w:tcPr>
          <w:p w14:paraId="061369BC" w14:textId="703EA147" w:rsidR="00FF2E2E" w:rsidRPr="00FD2B92" w:rsidRDefault="00FF2E2E" w:rsidP="0010646C">
            <w:pPr>
              <w:spacing w:after="0" w:line="240" w:lineRule="auto"/>
              <w:ind w:right="327"/>
              <w:jc w:val="right"/>
              <w:rPr>
                <w:rFonts w:eastAsia="Times New Roman" w:cs="Times New Roman"/>
                <w:color w:val="0000FF"/>
              </w:rPr>
            </w:pPr>
            <w:r w:rsidRPr="0038007D">
              <w:rPr>
                <w:rFonts w:ascii="Calibri" w:hAnsi="Calibri" w:cs="Calibri"/>
                <w:color w:val="0000FF"/>
              </w:rPr>
              <w:t>798,534</w:t>
            </w:r>
          </w:p>
        </w:tc>
        <w:tc>
          <w:tcPr>
            <w:tcW w:w="1085" w:type="pct"/>
            <w:shd w:val="clear" w:color="auto" w:fill="auto"/>
            <w:noWrap/>
          </w:tcPr>
          <w:p w14:paraId="31CBF663" w14:textId="2DBE074C" w:rsidR="00FF2E2E" w:rsidRPr="00097504" w:rsidRDefault="00FF2E2E" w:rsidP="0010646C">
            <w:pPr>
              <w:tabs>
                <w:tab w:val="decimal" w:pos="627"/>
              </w:tabs>
              <w:spacing w:after="0" w:line="240" w:lineRule="auto"/>
              <w:rPr>
                <w:rFonts w:eastAsia="Times New Roman" w:cs="Times New Roman"/>
                <w:color w:val="0000FF"/>
              </w:rPr>
            </w:pPr>
            <w:r w:rsidRPr="00097504">
              <w:rPr>
                <w:color w:val="0000FF"/>
              </w:rPr>
              <w:t>1,104,673</w:t>
            </w:r>
          </w:p>
        </w:tc>
        <w:tc>
          <w:tcPr>
            <w:tcW w:w="917" w:type="pct"/>
            <w:shd w:val="clear" w:color="auto" w:fill="auto"/>
            <w:vAlign w:val="bottom"/>
          </w:tcPr>
          <w:p w14:paraId="78B80A6E" w14:textId="6E2AB4AA"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72.3%</w:t>
            </w:r>
          </w:p>
        </w:tc>
      </w:tr>
      <w:tr w:rsidR="00FF2E2E" w:rsidRPr="006C5C5E" w14:paraId="3907B1BA" w14:textId="77777777" w:rsidTr="00E2379F">
        <w:tc>
          <w:tcPr>
            <w:tcW w:w="1934" w:type="pct"/>
            <w:shd w:val="clear" w:color="auto" w:fill="auto"/>
          </w:tcPr>
          <w:p w14:paraId="70D9DC9C" w14:textId="77777777" w:rsidR="00FF2E2E" w:rsidRPr="006C5C5E" w:rsidRDefault="00FF2E2E" w:rsidP="0010646C">
            <w:pPr>
              <w:spacing w:after="0" w:line="240" w:lineRule="auto"/>
              <w:ind w:firstLineChars="100" w:firstLine="220"/>
              <w:rPr>
                <w:rFonts w:eastAsia="Times New Roman" w:cs="Times New Roman"/>
                <w:color w:val="0000FF"/>
              </w:rPr>
            </w:pPr>
            <w:r>
              <w:rPr>
                <w:rFonts w:eastAsia="Times New Roman" w:cs="Times New Roman"/>
                <w:color w:val="0000FF"/>
              </w:rPr>
              <w:t>Non-Dual</w:t>
            </w:r>
          </w:p>
        </w:tc>
        <w:tc>
          <w:tcPr>
            <w:tcW w:w="1064" w:type="pct"/>
            <w:shd w:val="clear" w:color="auto" w:fill="auto"/>
            <w:vAlign w:val="bottom"/>
          </w:tcPr>
          <w:p w14:paraId="70F1375E" w14:textId="7761D797" w:rsidR="00FF2E2E" w:rsidRPr="00FD2B92" w:rsidRDefault="00FF2E2E" w:rsidP="0010646C">
            <w:pPr>
              <w:spacing w:after="0" w:line="240" w:lineRule="auto"/>
              <w:ind w:right="327"/>
              <w:jc w:val="right"/>
              <w:rPr>
                <w:rFonts w:eastAsia="Times New Roman" w:cs="Times New Roman"/>
                <w:color w:val="0000FF"/>
              </w:rPr>
            </w:pPr>
            <w:r w:rsidRPr="00880B0D">
              <w:rPr>
                <w:rFonts w:ascii="Calibri" w:hAnsi="Calibri" w:cs="Calibri"/>
                <w:color w:val="0000FF"/>
              </w:rPr>
              <w:t>226,602</w:t>
            </w:r>
          </w:p>
        </w:tc>
        <w:tc>
          <w:tcPr>
            <w:tcW w:w="1085" w:type="pct"/>
            <w:shd w:val="clear" w:color="auto" w:fill="auto"/>
            <w:noWrap/>
          </w:tcPr>
          <w:p w14:paraId="70E60429" w14:textId="7F98A32E" w:rsidR="00FF2E2E" w:rsidRPr="00097504" w:rsidRDefault="00FF2E2E" w:rsidP="0010646C">
            <w:pPr>
              <w:tabs>
                <w:tab w:val="decimal" w:pos="627"/>
              </w:tabs>
              <w:spacing w:after="0" w:line="240" w:lineRule="auto"/>
              <w:rPr>
                <w:rFonts w:eastAsia="Times New Roman" w:cs="Times New Roman"/>
                <w:color w:val="0000FF"/>
              </w:rPr>
            </w:pPr>
            <w:r w:rsidRPr="00097504">
              <w:rPr>
                <w:color w:val="0000FF"/>
              </w:rPr>
              <w:t>1,104,673</w:t>
            </w:r>
          </w:p>
        </w:tc>
        <w:tc>
          <w:tcPr>
            <w:tcW w:w="917" w:type="pct"/>
            <w:shd w:val="clear" w:color="auto" w:fill="auto"/>
            <w:vAlign w:val="bottom"/>
          </w:tcPr>
          <w:p w14:paraId="433A9234" w14:textId="1DB90822"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20.5%</w:t>
            </w:r>
          </w:p>
        </w:tc>
      </w:tr>
      <w:tr w:rsidR="00FF2E2E" w:rsidRPr="006C5C5E" w14:paraId="4A24EA46" w14:textId="77777777" w:rsidTr="00E2379F">
        <w:tc>
          <w:tcPr>
            <w:tcW w:w="1934" w:type="pct"/>
            <w:shd w:val="clear" w:color="auto" w:fill="auto"/>
          </w:tcPr>
          <w:p w14:paraId="773A086E" w14:textId="77777777" w:rsidR="00FF2E2E" w:rsidRPr="006C5C5E" w:rsidRDefault="00FF2E2E" w:rsidP="0010646C">
            <w:pPr>
              <w:spacing w:after="0" w:line="240" w:lineRule="auto"/>
              <w:ind w:firstLineChars="100" w:firstLine="220"/>
              <w:rPr>
                <w:rFonts w:eastAsia="Times New Roman" w:cs="Times New Roman"/>
                <w:color w:val="0000FF"/>
              </w:rPr>
            </w:pPr>
            <w:r>
              <w:rPr>
                <w:rFonts w:eastAsia="Times New Roman" w:cs="Times New Roman"/>
                <w:color w:val="0000FF"/>
              </w:rPr>
              <w:t>Missing</w:t>
            </w:r>
          </w:p>
        </w:tc>
        <w:tc>
          <w:tcPr>
            <w:tcW w:w="1064" w:type="pct"/>
            <w:shd w:val="clear" w:color="auto" w:fill="auto"/>
            <w:vAlign w:val="bottom"/>
          </w:tcPr>
          <w:p w14:paraId="08625854" w14:textId="5E79D3E5" w:rsidR="00FF2E2E" w:rsidRPr="00FD2B92" w:rsidRDefault="00FF2E2E" w:rsidP="0010646C">
            <w:pPr>
              <w:spacing w:after="0" w:line="240" w:lineRule="auto"/>
              <w:ind w:right="327"/>
              <w:jc w:val="right"/>
              <w:rPr>
                <w:rFonts w:eastAsia="Times New Roman" w:cs="Times New Roman"/>
                <w:color w:val="0000FF"/>
              </w:rPr>
            </w:pPr>
            <w:r w:rsidRPr="00D31493">
              <w:rPr>
                <w:rFonts w:ascii="Calibri" w:hAnsi="Calibri" w:cs="Calibri"/>
                <w:color w:val="0000FF"/>
              </w:rPr>
              <w:t>79,537</w:t>
            </w:r>
          </w:p>
        </w:tc>
        <w:tc>
          <w:tcPr>
            <w:tcW w:w="1085" w:type="pct"/>
            <w:shd w:val="clear" w:color="auto" w:fill="auto"/>
            <w:noWrap/>
          </w:tcPr>
          <w:p w14:paraId="3FE34570" w14:textId="02C2E657" w:rsidR="00FF2E2E" w:rsidRPr="00097504" w:rsidRDefault="00FF2E2E" w:rsidP="0010646C">
            <w:pPr>
              <w:tabs>
                <w:tab w:val="decimal" w:pos="627"/>
              </w:tabs>
              <w:spacing w:after="0" w:line="240" w:lineRule="auto"/>
              <w:rPr>
                <w:rFonts w:eastAsia="Times New Roman" w:cs="Times New Roman"/>
                <w:color w:val="0000FF"/>
              </w:rPr>
            </w:pPr>
            <w:r w:rsidRPr="00097504">
              <w:rPr>
                <w:color w:val="0000FF"/>
              </w:rPr>
              <w:t>1,104,673</w:t>
            </w:r>
          </w:p>
        </w:tc>
        <w:tc>
          <w:tcPr>
            <w:tcW w:w="917" w:type="pct"/>
            <w:shd w:val="clear" w:color="auto" w:fill="auto"/>
            <w:vAlign w:val="bottom"/>
          </w:tcPr>
          <w:p w14:paraId="0CEBB900" w14:textId="77777777"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7.2%</w:t>
            </w:r>
          </w:p>
        </w:tc>
      </w:tr>
      <w:tr w:rsidR="00FF2E2E" w:rsidRPr="006C5C5E" w14:paraId="62C30BB4" w14:textId="77777777" w:rsidTr="00E2379F">
        <w:tc>
          <w:tcPr>
            <w:tcW w:w="1934" w:type="pct"/>
            <w:shd w:val="clear" w:color="auto" w:fill="auto"/>
            <w:hideMark/>
          </w:tcPr>
          <w:p w14:paraId="053C5EE4" w14:textId="77777777" w:rsidR="00FF2E2E" w:rsidRPr="006C5C5E" w:rsidRDefault="00FF2E2E" w:rsidP="0010646C">
            <w:pPr>
              <w:spacing w:after="0" w:line="240" w:lineRule="auto"/>
              <w:rPr>
                <w:rFonts w:eastAsia="Times New Roman" w:cs="Times New Roman"/>
                <w:color w:val="0000FF"/>
              </w:rPr>
            </w:pPr>
            <w:r w:rsidRPr="006C5C5E">
              <w:rPr>
                <w:rFonts w:eastAsia="Times New Roman" w:cs="Times New Roman"/>
                <w:color w:val="0000FF"/>
              </w:rPr>
              <w:t>Age</w:t>
            </w:r>
          </w:p>
        </w:tc>
        <w:tc>
          <w:tcPr>
            <w:tcW w:w="1064" w:type="pct"/>
            <w:shd w:val="clear" w:color="auto" w:fill="auto"/>
          </w:tcPr>
          <w:p w14:paraId="78111409" w14:textId="77777777" w:rsidR="00FF2E2E" w:rsidRPr="00FD2B92" w:rsidRDefault="00FF2E2E" w:rsidP="0010646C">
            <w:pPr>
              <w:spacing w:after="0" w:line="240" w:lineRule="auto"/>
              <w:ind w:right="327"/>
              <w:jc w:val="right"/>
              <w:rPr>
                <w:rFonts w:eastAsia="Times New Roman" w:cs="Times New Roman"/>
                <w:color w:val="0000FF"/>
              </w:rPr>
            </w:pPr>
          </w:p>
        </w:tc>
        <w:tc>
          <w:tcPr>
            <w:tcW w:w="1085" w:type="pct"/>
            <w:shd w:val="clear" w:color="auto" w:fill="auto"/>
            <w:noWrap/>
          </w:tcPr>
          <w:p w14:paraId="423A9AD9" w14:textId="3AA2C018" w:rsidR="00FF2E2E" w:rsidRPr="00097504" w:rsidRDefault="00FF2E2E" w:rsidP="0010646C">
            <w:pPr>
              <w:tabs>
                <w:tab w:val="decimal" w:pos="627"/>
              </w:tabs>
              <w:spacing w:after="0" w:line="240" w:lineRule="auto"/>
              <w:rPr>
                <w:rFonts w:eastAsia="Times New Roman" w:cs="Times New Roman"/>
                <w:color w:val="0000FF"/>
              </w:rPr>
            </w:pPr>
          </w:p>
        </w:tc>
        <w:tc>
          <w:tcPr>
            <w:tcW w:w="917" w:type="pct"/>
          </w:tcPr>
          <w:p w14:paraId="5D536127" w14:textId="77777777" w:rsidR="00FF2E2E" w:rsidRPr="00097504" w:rsidRDefault="00FF2E2E" w:rsidP="0010646C">
            <w:pPr>
              <w:tabs>
                <w:tab w:val="decimal" w:pos="627"/>
              </w:tabs>
              <w:spacing w:after="0" w:line="240" w:lineRule="auto"/>
              <w:rPr>
                <w:rFonts w:eastAsia="Times New Roman" w:cs="Times New Roman"/>
                <w:color w:val="0000FF"/>
              </w:rPr>
            </w:pPr>
          </w:p>
        </w:tc>
      </w:tr>
      <w:tr w:rsidR="00FF2E2E" w:rsidRPr="006C5C5E" w14:paraId="39B2CB06" w14:textId="77777777" w:rsidTr="00E2379F">
        <w:tc>
          <w:tcPr>
            <w:tcW w:w="1934" w:type="pct"/>
            <w:shd w:val="clear" w:color="auto" w:fill="auto"/>
            <w:hideMark/>
          </w:tcPr>
          <w:p w14:paraId="6FA4DFDD"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&lt;65</w:t>
            </w:r>
          </w:p>
        </w:tc>
        <w:tc>
          <w:tcPr>
            <w:tcW w:w="1064" w:type="pct"/>
            <w:shd w:val="clear" w:color="auto" w:fill="auto"/>
            <w:vAlign w:val="bottom"/>
          </w:tcPr>
          <w:p w14:paraId="232D1B92" w14:textId="0A0B4B89" w:rsidR="00FF2E2E" w:rsidRPr="00FD2B92" w:rsidRDefault="00FF2E2E" w:rsidP="0010646C">
            <w:pPr>
              <w:spacing w:after="0" w:line="240" w:lineRule="auto"/>
              <w:ind w:right="327"/>
              <w:jc w:val="right"/>
              <w:rPr>
                <w:rFonts w:eastAsia="Times New Roman" w:cs="Times New Roman"/>
                <w:color w:val="0000FF"/>
              </w:rPr>
            </w:pPr>
            <w:r w:rsidRPr="004A30CF">
              <w:rPr>
                <w:rFonts w:ascii="Calibri" w:hAnsi="Calibri" w:cs="Calibri"/>
                <w:color w:val="0000FF"/>
              </w:rPr>
              <w:t>181,048</w:t>
            </w:r>
          </w:p>
        </w:tc>
        <w:tc>
          <w:tcPr>
            <w:tcW w:w="1085" w:type="pct"/>
            <w:shd w:val="clear" w:color="auto" w:fill="auto"/>
            <w:noWrap/>
          </w:tcPr>
          <w:p w14:paraId="1487744D" w14:textId="6E5D7586" w:rsidR="00FF2E2E" w:rsidRPr="00097504" w:rsidRDefault="00FF2E2E" w:rsidP="0010646C">
            <w:pPr>
              <w:tabs>
                <w:tab w:val="decimal" w:pos="627"/>
              </w:tabs>
              <w:spacing w:after="0" w:line="240" w:lineRule="auto"/>
              <w:rPr>
                <w:rFonts w:eastAsia="Times New Roman" w:cs="Times New Roman"/>
                <w:color w:val="0000FF"/>
              </w:rPr>
            </w:pPr>
            <w:r w:rsidRPr="00097504">
              <w:rPr>
                <w:color w:val="0000FF"/>
              </w:rPr>
              <w:t>1,104,673</w:t>
            </w:r>
          </w:p>
        </w:tc>
        <w:tc>
          <w:tcPr>
            <w:tcW w:w="917" w:type="pct"/>
            <w:shd w:val="clear" w:color="auto" w:fill="auto"/>
            <w:vAlign w:val="bottom"/>
          </w:tcPr>
          <w:p w14:paraId="2B8573A8" w14:textId="77777777"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16.4%</w:t>
            </w:r>
          </w:p>
        </w:tc>
      </w:tr>
      <w:tr w:rsidR="00FF2E2E" w:rsidRPr="006C5C5E" w14:paraId="64786202" w14:textId="77777777" w:rsidTr="00E2379F">
        <w:tc>
          <w:tcPr>
            <w:tcW w:w="1934" w:type="pct"/>
            <w:shd w:val="clear" w:color="auto" w:fill="auto"/>
            <w:hideMark/>
          </w:tcPr>
          <w:p w14:paraId="1B237A9A"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65-74</w:t>
            </w:r>
          </w:p>
        </w:tc>
        <w:tc>
          <w:tcPr>
            <w:tcW w:w="1064" w:type="pct"/>
            <w:shd w:val="clear" w:color="auto" w:fill="auto"/>
            <w:vAlign w:val="bottom"/>
          </w:tcPr>
          <w:p w14:paraId="3B231C1E" w14:textId="127293B4" w:rsidR="00FF2E2E" w:rsidRPr="00FD2B92" w:rsidRDefault="00FF2E2E" w:rsidP="0010646C">
            <w:pPr>
              <w:spacing w:after="0" w:line="240" w:lineRule="auto"/>
              <w:ind w:right="327"/>
              <w:jc w:val="right"/>
              <w:rPr>
                <w:rFonts w:eastAsia="Times New Roman" w:cs="Times New Roman"/>
                <w:color w:val="0000FF"/>
              </w:rPr>
            </w:pPr>
            <w:r w:rsidRPr="003124B9">
              <w:rPr>
                <w:rFonts w:ascii="Calibri" w:hAnsi="Calibri" w:cs="Calibri"/>
                <w:color w:val="0000FF"/>
              </w:rPr>
              <w:t>202,469</w:t>
            </w:r>
          </w:p>
        </w:tc>
        <w:tc>
          <w:tcPr>
            <w:tcW w:w="1085" w:type="pct"/>
            <w:shd w:val="clear" w:color="auto" w:fill="auto"/>
            <w:noWrap/>
          </w:tcPr>
          <w:p w14:paraId="4CFA9140" w14:textId="509918A9" w:rsidR="00FF2E2E" w:rsidRPr="00097504" w:rsidRDefault="00FF2E2E" w:rsidP="0010646C">
            <w:pPr>
              <w:tabs>
                <w:tab w:val="decimal" w:pos="627"/>
              </w:tabs>
              <w:spacing w:after="0" w:line="240" w:lineRule="auto"/>
              <w:rPr>
                <w:rFonts w:eastAsia="Times New Roman" w:cs="Times New Roman"/>
                <w:color w:val="0000FF"/>
              </w:rPr>
            </w:pPr>
            <w:r w:rsidRPr="00097504">
              <w:rPr>
                <w:color w:val="0000FF"/>
              </w:rPr>
              <w:t>1,104,673</w:t>
            </w:r>
          </w:p>
        </w:tc>
        <w:tc>
          <w:tcPr>
            <w:tcW w:w="917" w:type="pct"/>
            <w:shd w:val="clear" w:color="auto" w:fill="auto"/>
            <w:vAlign w:val="bottom"/>
          </w:tcPr>
          <w:p w14:paraId="43A322BC" w14:textId="1C53F50C"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18.3%</w:t>
            </w:r>
          </w:p>
        </w:tc>
      </w:tr>
      <w:tr w:rsidR="00FF2E2E" w:rsidRPr="006C5C5E" w14:paraId="70BA05D9" w14:textId="77777777" w:rsidTr="00E2379F">
        <w:tc>
          <w:tcPr>
            <w:tcW w:w="1934" w:type="pct"/>
            <w:shd w:val="clear" w:color="auto" w:fill="auto"/>
            <w:hideMark/>
          </w:tcPr>
          <w:p w14:paraId="7954CD26"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75-84</w:t>
            </w:r>
          </w:p>
        </w:tc>
        <w:tc>
          <w:tcPr>
            <w:tcW w:w="1064" w:type="pct"/>
            <w:shd w:val="clear" w:color="auto" w:fill="auto"/>
            <w:vAlign w:val="bottom"/>
          </w:tcPr>
          <w:p w14:paraId="454F369F" w14:textId="5BEC852E" w:rsidR="00FF2E2E" w:rsidRPr="00FD2B92" w:rsidRDefault="00FF2E2E" w:rsidP="0010646C">
            <w:pPr>
              <w:spacing w:after="0" w:line="240" w:lineRule="auto"/>
              <w:ind w:right="327"/>
              <w:jc w:val="right"/>
              <w:rPr>
                <w:rFonts w:eastAsia="Times New Roman" w:cs="Times New Roman"/>
                <w:color w:val="0000FF"/>
              </w:rPr>
            </w:pPr>
            <w:r w:rsidRPr="001373D3">
              <w:rPr>
                <w:rFonts w:ascii="Calibri" w:hAnsi="Calibri" w:cs="Calibri"/>
                <w:color w:val="0000FF"/>
              </w:rPr>
              <w:t>289,903</w:t>
            </w:r>
          </w:p>
        </w:tc>
        <w:tc>
          <w:tcPr>
            <w:tcW w:w="1085" w:type="pct"/>
            <w:shd w:val="clear" w:color="auto" w:fill="auto"/>
            <w:noWrap/>
          </w:tcPr>
          <w:p w14:paraId="0AEF4982" w14:textId="1BBE1BEA" w:rsidR="00FF2E2E" w:rsidRPr="00097504" w:rsidRDefault="00FF2E2E" w:rsidP="0010646C">
            <w:pPr>
              <w:tabs>
                <w:tab w:val="decimal" w:pos="627"/>
              </w:tabs>
              <w:spacing w:after="0" w:line="240" w:lineRule="auto"/>
              <w:rPr>
                <w:rFonts w:eastAsia="Times New Roman" w:cs="Times New Roman"/>
                <w:color w:val="0000FF"/>
              </w:rPr>
            </w:pPr>
            <w:r w:rsidRPr="00097504">
              <w:rPr>
                <w:color w:val="0000FF"/>
              </w:rPr>
              <w:t>1,104,673</w:t>
            </w:r>
          </w:p>
        </w:tc>
        <w:tc>
          <w:tcPr>
            <w:tcW w:w="917" w:type="pct"/>
            <w:shd w:val="clear" w:color="auto" w:fill="auto"/>
            <w:vAlign w:val="bottom"/>
          </w:tcPr>
          <w:p w14:paraId="18E3A83E" w14:textId="6741B08E"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26.2%</w:t>
            </w:r>
          </w:p>
        </w:tc>
      </w:tr>
      <w:tr w:rsidR="00FF2E2E" w:rsidRPr="006C5C5E" w14:paraId="592EFD31" w14:textId="77777777" w:rsidTr="00E2379F">
        <w:tc>
          <w:tcPr>
            <w:tcW w:w="1934" w:type="pct"/>
            <w:shd w:val="clear" w:color="auto" w:fill="auto"/>
            <w:hideMark/>
          </w:tcPr>
          <w:p w14:paraId="2B7F3FEF"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85+</w:t>
            </w:r>
          </w:p>
        </w:tc>
        <w:tc>
          <w:tcPr>
            <w:tcW w:w="1064" w:type="pct"/>
            <w:shd w:val="clear" w:color="auto" w:fill="auto"/>
            <w:vAlign w:val="bottom"/>
          </w:tcPr>
          <w:p w14:paraId="4BC46F18" w14:textId="5E1F1B8A" w:rsidR="00FF2E2E" w:rsidRPr="00FD2B92" w:rsidRDefault="00FF2E2E" w:rsidP="0010646C">
            <w:pPr>
              <w:spacing w:after="0" w:line="240" w:lineRule="auto"/>
              <w:ind w:right="327"/>
              <w:jc w:val="right"/>
              <w:rPr>
                <w:rFonts w:eastAsia="Times New Roman" w:cs="Times New Roman"/>
                <w:color w:val="0000FF"/>
              </w:rPr>
            </w:pPr>
            <w:r w:rsidRPr="00D1656F">
              <w:rPr>
                <w:rFonts w:ascii="Calibri" w:hAnsi="Calibri" w:cs="Calibri"/>
                <w:color w:val="0000FF"/>
              </w:rPr>
              <w:t>431,253</w:t>
            </w:r>
          </w:p>
        </w:tc>
        <w:tc>
          <w:tcPr>
            <w:tcW w:w="1085" w:type="pct"/>
            <w:shd w:val="clear" w:color="auto" w:fill="auto"/>
            <w:noWrap/>
          </w:tcPr>
          <w:p w14:paraId="49E6B932" w14:textId="6A7062CF" w:rsidR="00FF2E2E" w:rsidRPr="00097504" w:rsidRDefault="00FF2E2E" w:rsidP="0010646C">
            <w:pPr>
              <w:tabs>
                <w:tab w:val="decimal" w:pos="627"/>
              </w:tabs>
              <w:spacing w:after="0" w:line="240" w:lineRule="auto"/>
              <w:rPr>
                <w:rFonts w:eastAsia="Times New Roman" w:cs="Times New Roman"/>
                <w:color w:val="0000FF"/>
              </w:rPr>
            </w:pPr>
            <w:r w:rsidRPr="00097504">
              <w:rPr>
                <w:color w:val="0000FF"/>
              </w:rPr>
              <w:t>1,104,673</w:t>
            </w:r>
          </w:p>
        </w:tc>
        <w:tc>
          <w:tcPr>
            <w:tcW w:w="917" w:type="pct"/>
            <w:shd w:val="clear" w:color="auto" w:fill="auto"/>
            <w:vAlign w:val="bottom"/>
          </w:tcPr>
          <w:p w14:paraId="335B85F6" w14:textId="748B8BB1"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39.0%</w:t>
            </w:r>
          </w:p>
        </w:tc>
      </w:tr>
      <w:tr w:rsidR="00FF2E2E" w:rsidRPr="006C5C5E" w14:paraId="4ACAC27A" w14:textId="77777777" w:rsidTr="00E2379F">
        <w:tc>
          <w:tcPr>
            <w:tcW w:w="1934" w:type="pct"/>
            <w:shd w:val="clear" w:color="auto" w:fill="auto"/>
            <w:hideMark/>
          </w:tcPr>
          <w:p w14:paraId="7AB41DEF" w14:textId="77777777" w:rsidR="00FF2E2E" w:rsidRPr="006C5C5E" w:rsidRDefault="00FF2E2E" w:rsidP="0010646C">
            <w:pPr>
              <w:spacing w:after="0" w:line="240" w:lineRule="auto"/>
              <w:rPr>
                <w:rFonts w:eastAsia="Times New Roman" w:cs="Times New Roman"/>
                <w:color w:val="0000FF"/>
              </w:rPr>
            </w:pPr>
            <w:r w:rsidRPr="006C5C5E">
              <w:rPr>
                <w:rFonts w:eastAsia="Times New Roman" w:cs="Times New Roman"/>
                <w:color w:val="0000FF"/>
              </w:rPr>
              <w:t>Diagnoses</w:t>
            </w:r>
          </w:p>
        </w:tc>
        <w:tc>
          <w:tcPr>
            <w:tcW w:w="1064" w:type="pct"/>
            <w:shd w:val="clear" w:color="auto" w:fill="auto"/>
          </w:tcPr>
          <w:p w14:paraId="6AED518F" w14:textId="77777777" w:rsidR="00FF2E2E" w:rsidRPr="00FD2B92" w:rsidRDefault="00FF2E2E" w:rsidP="0010646C">
            <w:pPr>
              <w:spacing w:after="0" w:line="240" w:lineRule="auto"/>
              <w:ind w:right="327"/>
              <w:jc w:val="right"/>
              <w:rPr>
                <w:rFonts w:eastAsia="Times New Roman" w:cs="Times New Roman"/>
                <w:color w:val="0000FF"/>
              </w:rPr>
            </w:pPr>
          </w:p>
        </w:tc>
        <w:tc>
          <w:tcPr>
            <w:tcW w:w="1085" w:type="pct"/>
            <w:shd w:val="clear" w:color="auto" w:fill="auto"/>
            <w:noWrap/>
          </w:tcPr>
          <w:p w14:paraId="2D5EBEFB" w14:textId="77777777" w:rsidR="00FF2E2E" w:rsidRPr="00097504" w:rsidRDefault="00FF2E2E" w:rsidP="0010646C">
            <w:pPr>
              <w:tabs>
                <w:tab w:val="decimal" w:pos="627"/>
              </w:tabs>
              <w:spacing w:after="0" w:line="240" w:lineRule="auto"/>
              <w:rPr>
                <w:rFonts w:eastAsia="Times New Roman" w:cs="Times New Roman"/>
                <w:color w:val="0000FF"/>
              </w:rPr>
            </w:pPr>
          </w:p>
        </w:tc>
        <w:tc>
          <w:tcPr>
            <w:tcW w:w="917" w:type="pct"/>
          </w:tcPr>
          <w:p w14:paraId="26D1698B" w14:textId="77777777" w:rsidR="00FF2E2E" w:rsidRPr="00097504" w:rsidRDefault="00FF2E2E" w:rsidP="0010646C">
            <w:pPr>
              <w:tabs>
                <w:tab w:val="decimal" w:pos="627"/>
              </w:tabs>
              <w:spacing w:after="0" w:line="240" w:lineRule="auto"/>
              <w:rPr>
                <w:rFonts w:eastAsia="Times New Roman" w:cs="Times New Roman"/>
                <w:color w:val="0000FF"/>
              </w:rPr>
            </w:pPr>
          </w:p>
        </w:tc>
      </w:tr>
      <w:tr w:rsidR="00FF2E2E" w:rsidRPr="006C5C5E" w14:paraId="66E7F5AC" w14:textId="77777777" w:rsidTr="00E2379F">
        <w:tc>
          <w:tcPr>
            <w:tcW w:w="1934" w:type="pct"/>
            <w:shd w:val="clear" w:color="auto" w:fill="auto"/>
            <w:hideMark/>
          </w:tcPr>
          <w:p w14:paraId="5F939903"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Arthritis</w:t>
            </w:r>
          </w:p>
        </w:tc>
        <w:tc>
          <w:tcPr>
            <w:tcW w:w="1064" w:type="pct"/>
            <w:shd w:val="clear" w:color="auto" w:fill="auto"/>
            <w:vAlign w:val="bottom"/>
          </w:tcPr>
          <w:p w14:paraId="3C61E800" w14:textId="287B061B" w:rsidR="00FF2E2E" w:rsidRPr="00FD2B92" w:rsidRDefault="00FF2E2E" w:rsidP="0010646C">
            <w:pPr>
              <w:spacing w:after="0" w:line="240" w:lineRule="auto"/>
              <w:ind w:right="327"/>
              <w:jc w:val="right"/>
              <w:rPr>
                <w:rFonts w:eastAsia="Times New Roman" w:cs="Times New Roman"/>
                <w:color w:val="0000FF"/>
              </w:rPr>
            </w:pPr>
            <w:r>
              <w:rPr>
                <w:rFonts w:ascii="Calibri" w:hAnsi="Calibri" w:cs="Calibri"/>
                <w:color w:val="0000FF"/>
              </w:rPr>
              <w:t>328,847</w:t>
            </w:r>
          </w:p>
        </w:tc>
        <w:tc>
          <w:tcPr>
            <w:tcW w:w="1085" w:type="pct"/>
            <w:shd w:val="clear" w:color="auto" w:fill="auto"/>
            <w:noWrap/>
            <w:vAlign w:val="bottom"/>
          </w:tcPr>
          <w:p w14:paraId="130E0EA9" w14:textId="12A5F694"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1,100,591</w:t>
            </w:r>
          </w:p>
        </w:tc>
        <w:tc>
          <w:tcPr>
            <w:tcW w:w="917" w:type="pct"/>
            <w:shd w:val="clear" w:color="auto" w:fill="auto"/>
            <w:vAlign w:val="bottom"/>
          </w:tcPr>
          <w:p w14:paraId="1D5527E3" w14:textId="03F14B29"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29.9%</w:t>
            </w:r>
          </w:p>
        </w:tc>
      </w:tr>
      <w:tr w:rsidR="00FF2E2E" w:rsidRPr="006C5C5E" w14:paraId="7FA3CA9D" w14:textId="77777777" w:rsidTr="00E2379F">
        <w:tc>
          <w:tcPr>
            <w:tcW w:w="1934" w:type="pct"/>
            <w:shd w:val="clear" w:color="auto" w:fill="auto"/>
            <w:hideMark/>
          </w:tcPr>
          <w:p w14:paraId="6BC8A8E4"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Osteoporosis</w:t>
            </w:r>
          </w:p>
        </w:tc>
        <w:tc>
          <w:tcPr>
            <w:tcW w:w="1064" w:type="pct"/>
            <w:shd w:val="clear" w:color="auto" w:fill="auto"/>
            <w:vAlign w:val="bottom"/>
          </w:tcPr>
          <w:p w14:paraId="0C0411C4" w14:textId="5ADD0AA2" w:rsidR="00FF2E2E" w:rsidRPr="00FD2B92" w:rsidRDefault="00FF2E2E" w:rsidP="0010646C">
            <w:pPr>
              <w:spacing w:after="0" w:line="240" w:lineRule="auto"/>
              <w:ind w:right="327"/>
              <w:jc w:val="right"/>
              <w:rPr>
                <w:rFonts w:eastAsia="Times New Roman" w:cs="Times New Roman"/>
                <w:color w:val="0000FF"/>
              </w:rPr>
            </w:pPr>
            <w:r>
              <w:rPr>
                <w:rFonts w:ascii="Calibri" w:hAnsi="Calibri" w:cs="Calibri"/>
                <w:color w:val="0000FF"/>
              </w:rPr>
              <w:t>140,690</w:t>
            </w:r>
          </w:p>
        </w:tc>
        <w:tc>
          <w:tcPr>
            <w:tcW w:w="1085" w:type="pct"/>
            <w:shd w:val="clear" w:color="auto" w:fill="auto"/>
            <w:noWrap/>
            <w:vAlign w:val="bottom"/>
          </w:tcPr>
          <w:p w14:paraId="132A4514" w14:textId="6CEDBF2B"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1,100,609</w:t>
            </w:r>
          </w:p>
        </w:tc>
        <w:tc>
          <w:tcPr>
            <w:tcW w:w="917" w:type="pct"/>
            <w:shd w:val="clear" w:color="auto" w:fill="auto"/>
            <w:vAlign w:val="bottom"/>
          </w:tcPr>
          <w:p w14:paraId="57A8BE92" w14:textId="77CBB80C"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12.8%</w:t>
            </w:r>
          </w:p>
        </w:tc>
      </w:tr>
      <w:tr w:rsidR="00FF2E2E" w:rsidRPr="006C5C5E" w14:paraId="4776BB38" w14:textId="77777777" w:rsidTr="00E2379F">
        <w:tc>
          <w:tcPr>
            <w:tcW w:w="1934" w:type="pct"/>
            <w:shd w:val="clear" w:color="auto" w:fill="auto"/>
            <w:hideMark/>
          </w:tcPr>
          <w:p w14:paraId="49A0F899"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Hip Fracture</w:t>
            </w:r>
          </w:p>
        </w:tc>
        <w:tc>
          <w:tcPr>
            <w:tcW w:w="1064" w:type="pct"/>
            <w:shd w:val="clear" w:color="auto" w:fill="auto"/>
            <w:vAlign w:val="bottom"/>
          </w:tcPr>
          <w:p w14:paraId="3F6DE052" w14:textId="5D60A60F" w:rsidR="00FF2E2E" w:rsidRPr="00FD2B92" w:rsidRDefault="00FF2E2E" w:rsidP="0010646C">
            <w:pPr>
              <w:spacing w:after="0" w:line="240" w:lineRule="auto"/>
              <w:ind w:right="327"/>
              <w:jc w:val="right"/>
              <w:rPr>
                <w:rFonts w:eastAsia="Times New Roman" w:cs="Times New Roman"/>
                <w:color w:val="0000FF"/>
              </w:rPr>
            </w:pPr>
            <w:r w:rsidRPr="00FD2B92">
              <w:rPr>
                <w:rFonts w:ascii="Calibri" w:hAnsi="Calibri" w:cs="Calibri"/>
                <w:color w:val="0000FF"/>
              </w:rPr>
              <w:t>18,</w:t>
            </w:r>
            <w:r>
              <w:rPr>
                <w:rFonts w:ascii="Calibri" w:hAnsi="Calibri" w:cs="Calibri"/>
                <w:color w:val="0000FF"/>
              </w:rPr>
              <w:t>330</w:t>
            </w:r>
          </w:p>
        </w:tc>
        <w:tc>
          <w:tcPr>
            <w:tcW w:w="1085" w:type="pct"/>
            <w:shd w:val="clear" w:color="auto" w:fill="auto"/>
            <w:noWrap/>
            <w:vAlign w:val="bottom"/>
          </w:tcPr>
          <w:p w14:paraId="7543825A" w14:textId="5FCF7779"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1,004,739</w:t>
            </w:r>
          </w:p>
        </w:tc>
        <w:tc>
          <w:tcPr>
            <w:tcW w:w="917" w:type="pct"/>
            <w:shd w:val="clear" w:color="auto" w:fill="auto"/>
            <w:vAlign w:val="bottom"/>
          </w:tcPr>
          <w:p w14:paraId="39ECAB5C" w14:textId="3527379F"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1.8%</w:t>
            </w:r>
          </w:p>
        </w:tc>
      </w:tr>
      <w:tr w:rsidR="00FF2E2E" w:rsidRPr="006C5C5E" w14:paraId="33F46FD4" w14:textId="77777777" w:rsidTr="00E2379F">
        <w:tc>
          <w:tcPr>
            <w:tcW w:w="1934" w:type="pct"/>
            <w:shd w:val="clear" w:color="auto" w:fill="auto"/>
            <w:hideMark/>
          </w:tcPr>
          <w:p w14:paraId="30F9222B"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Other Fracture</w:t>
            </w:r>
          </w:p>
        </w:tc>
        <w:tc>
          <w:tcPr>
            <w:tcW w:w="1064" w:type="pct"/>
            <w:shd w:val="clear" w:color="auto" w:fill="auto"/>
            <w:vAlign w:val="bottom"/>
          </w:tcPr>
          <w:p w14:paraId="60A0A8C1" w14:textId="3C8DA05C" w:rsidR="00FF2E2E" w:rsidRPr="00FD2B92" w:rsidRDefault="00FF2E2E" w:rsidP="0010646C">
            <w:pPr>
              <w:spacing w:after="0" w:line="240" w:lineRule="auto"/>
              <w:ind w:right="327"/>
              <w:jc w:val="right"/>
              <w:rPr>
                <w:rFonts w:eastAsia="Times New Roman" w:cs="Times New Roman"/>
                <w:color w:val="0000FF"/>
              </w:rPr>
            </w:pPr>
            <w:r w:rsidRPr="00FD2B92">
              <w:rPr>
                <w:rFonts w:ascii="Calibri" w:hAnsi="Calibri" w:cs="Calibri"/>
                <w:color w:val="0000FF"/>
              </w:rPr>
              <w:t>3</w:t>
            </w:r>
            <w:r>
              <w:rPr>
                <w:rFonts w:ascii="Calibri" w:hAnsi="Calibri" w:cs="Calibri"/>
                <w:color w:val="0000FF"/>
              </w:rPr>
              <w:t>2,255</w:t>
            </w:r>
          </w:p>
        </w:tc>
        <w:tc>
          <w:tcPr>
            <w:tcW w:w="1085" w:type="pct"/>
            <w:shd w:val="clear" w:color="auto" w:fill="auto"/>
            <w:noWrap/>
            <w:vAlign w:val="bottom"/>
          </w:tcPr>
          <w:p w14:paraId="0E76EBDA" w14:textId="204DBBD8"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1,004,720</w:t>
            </w:r>
          </w:p>
        </w:tc>
        <w:tc>
          <w:tcPr>
            <w:tcW w:w="917" w:type="pct"/>
            <w:shd w:val="clear" w:color="auto" w:fill="auto"/>
            <w:vAlign w:val="bottom"/>
          </w:tcPr>
          <w:p w14:paraId="0342C7B7" w14:textId="612C1FD0"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3.2%</w:t>
            </w:r>
          </w:p>
        </w:tc>
      </w:tr>
      <w:tr w:rsidR="00FF2E2E" w:rsidRPr="006C5C5E" w14:paraId="333010FD" w14:textId="77777777" w:rsidTr="00E2379F">
        <w:tc>
          <w:tcPr>
            <w:tcW w:w="1934" w:type="pct"/>
            <w:shd w:val="clear" w:color="auto" w:fill="auto"/>
            <w:hideMark/>
          </w:tcPr>
          <w:p w14:paraId="4372E246"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lastRenderedPageBreak/>
              <w:t>Depression</w:t>
            </w:r>
          </w:p>
        </w:tc>
        <w:tc>
          <w:tcPr>
            <w:tcW w:w="1064" w:type="pct"/>
            <w:shd w:val="clear" w:color="auto" w:fill="auto"/>
            <w:vAlign w:val="bottom"/>
          </w:tcPr>
          <w:p w14:paraId="295F6223" w14:textId="74CD604D" w:rsidR="00FF2E2E" w:rsidRPr="00FD2B92" w:rsidRDefault="00FF2E2E" w:rsidP="0010646C">
            <w:pPr>
              <w:spacing w:after="0" w:line="240" w:lineRule="auto"/>
              <w:ind w:right="327"/>
              <w:jc w:val="right"/>
              <w:rPr>
                <w:rFonts w:eastAsia="Times New Roman" w:cs="Times New Roman"/>
                <w:color w:val="0000FF"/>
              </w:rPr>
            </w:pPr>
            <w:r w:rsidRPr="00FD2B92">
              <w:rPr>
                <w:rFonts w:ascii="Calibri" w:hAnsi="Calibri" w:cs="Calibri"/>
                <w:color w:val="0000FF"/>
              </w:rPr>
              <w:t>52</w:t>
            </w:r>
            <w:r>
              <w:rPr>
                <w:rFonts w:ascii="Calibri" w:hAnsi="Calibri" w:cs="Calibri"/>
                <w:color w:val="0000FF"/>
              </w:rPr>
              <w:t>4,829</w:t>
            </w:r>
          </w:p>
        </w:tc>
        <w:tc>
          <w:tcPr>
            <w:tcW w:w="1085" w:type="pct"/>
            <w:shd w:val="clear" w:color="auto" w:fill="auto"/>
            <w:noWrap/>
            <w:vAlign w:val="bottom"/>
          </w:tcPr>
          <w:p w14:paraId="4B448FDD" w14:textId="05F45FD7"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1,004,637</w:t>
            </w:r>
          </w:p>
        </w:tc>
        <w:tc>
          <w:tcPr>
            <w:tcW w:w="917" w:type="pct"/>
            <w:shd w:val="clear" w:color="auto" w:fill="auto"/>
            <w:vAlign w:val="bottom"/>
          </w:tcPr>
          <w:p w14:paraId="204FDF23" w14:textId="0B0D63F2"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52.2%</w:t>
            </w:r>
          </w:p>
        </w:tc>
      </w:tr>
      <w:tr w:rsidR="00FF2E2E" w:rsidRPr="006C5C5E" w14:paraId="7D52E5CE" w14:textId="77777777" w:rsidTr="00E2379F">
        <w:tc>
          <w:tcPr>
            <w:tcW w:w="1934" w:type="pct"/>
            <w:shd w:val="clear" w:color="auto" w:fill="auto"/>
            <w:hideMark/>
          </w:tcPr>
          <w:p w14:paraId="56089A7E"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Stroke</w:t>
            </w:r>
          </w:p>
        </w:tc>
        <w:tc>
          <w:tcPr>
            <w:tcW w:w="1064" w:type="pct"/>
            <w:shd w:val="clear" w:color="auto" w:fill="auto"/>
            <w:vAlign w:val="bottom"/>
          </w:tcPr>
          <w:p w14:paraId="231BB2C9" w14:textId="1BBFEE2B" w:rsidR="00FF2E2E" w:rsidRPr="00FD2B92" w:rsidRDefault="00FF2E2E" w:rsidP="0010646C">
            <w:pPr>
              <w:spacing w:after="0" w:line="240" w:lineRule="auto"/>
              <w:ind w:right="327"/>
              <w:jc w:val="right"/>
              <w:rPr>
                <w:rFonts w:eastAsia="Times New Roman" w:cs="Times New Roman"/>
                <w:color w:val="0000FF"/>
              </w:rPr>
            </w:pPr>
            <w:r w:rsidRPr="00FD2B92">
              <w:rPr>
                <w:rFonts w:ascii="Calibri" w:hAnsi="Calibri" w:cs="Calibri"/>
                <w:color w:val="0000FF"/>
              </w:rPr>
              <w:t>12</w:t>
            </w:r>
            <w:r>
              <w:rPr>
                <w:rFonts w:ascii="Calibri" w:hAnsi="Calibri" w:cs="Calibri"/>
                <w:color w:val="0000FF"/>
              </w:rPr>
              <w:t>6,897</w:t>
            </w:r>
          </w:p>
        </w:tc>
        <w:tc>
          <w:tcPr>
            <w:tcW w:w="1085" w:type="pct"/>
            <w:shd w:val="clear" w:color="auto" w:fill="auto"/>
            <w:noWrap/>
            <w:vAlign w:val="bottom"/>
          </w:tcPr>
          <w:p w14:paraId="78A688C8" w14:textId="2D20A464"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1,004,696</w:t>
            </w:r>
          </w:p>
        </w:tc>
        <w:tc>
          <w:tcPr>
            <w:tcW w:w="917" w:type="pct"/>
            <w:shd w:val="clear" w:color="auto" w:fill="auto"/>
            <w:vAlign w:val="bottom"/>
          </w:tcPr>
          <w:p w14:paraId="27DA509A" w14:textId="584F4FB7"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12.6%</w:t>
            </w:r>
          </w:p>
        </w:tc>
      </w:tr>
      <w:tr w:rsidR="00FF2E2E" w:rsidRPr="006C5C5E" w14:paraId="523CCC31" w14:textId="77777777" w:rsidTr="00E2379F">
        <w:tc>
          <w:tcPr>
            <w:tcW w:w="1934" w:type="pct"/>
            <w:shd w:val="clear" w:color="auto" w:fill="auto"/>
            <w:hideMark/>
          </w:tcPr>
          <w:p w14:paraId="70470313"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Alzheimer's Disease</w:t>
            </w:r>
          </w:p>
        </w:tc>
        <w:tc>
          <w:tcPr>
            <w:tcW w:w="1064" w:type="pct"/>
            <w:shd w:val="clear" w:color="auto" w:fill="auto"/>
            <w:vAlign w:val="bottom"/>
          </w:tcPr>
          <w:p w14:paraId="6F4DD7D3" w14:textId="75B212F1" w:rsidR="00FF2E2E" w:rsidRPr="00FD2B92" w:rsidRDefault="00FF2E2E" w:rsidP="0010646C">
            <w:pPr>
              <w:spacing w:after="0" w:line="240" w:lineRule="auto"/>
              <w:ind w:right="327"/>
              <w:jc w:val="right"/>
              <w:rPr>
                <w:rFonts w:eastAsia="Times New Roman" w:cs="Times New Roman"/>
                <w:color w:val="0000FF"/>
              </w:rPr>
            </w:pPr>
            <w:r w:rsidRPr="00FD2B92">
              <w:rPr>
                <w:rFonts w:ascii="Calibri" w:hAnsi="Calibri" w:cs="Calibri"/>
                <w:color w:val="0000FF"/>
              </w:rPr>
              <w:t>15</w:t>
            </w:r>
            <w:r>
              <w:rPr>
                <w:rFonts w:ascii="Calibri" w:hAnsi="Calibri" w:cs="Calibri"/>
                <w:color w:val="0000FF"/>
              </w:rPr>
              <w:t>9,464</w:t>
            </w:r>
          </w:p>
        </w:tc>
        <w:tc>
          <w:tcPr>
            <w:tcW w:w="1085" w:type="pct"/>
            <w:shd w:val="clear" w:color="auto" w:fill="auto"/>
            <w:noWrap/>
            <w:vAlign w:val="bottom"/>
          </w:tcPr>
          <w:p w14:paraId="185DB776" w14:textId="4B8DA43B"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1,004,705</w:t>
            </w:r>
          </w:p>
        </w:tc>
        <w:tc>
          <w:tcPr>
            <w:tcW w:w="917" w:type="pct"/>
            <w:shd w:val="clear" w:color="auto" w:fill="auto"/>
            <w:vAlign w:val="bottom"/>
          </w:tcPr>
          <w:p w14:paraId="5E53DC71" w14:textId="13E24EDE"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15.9%</w:t>
            </w:r>
          </w:p>
        </w:tc>
      </w:tr>
      <w:tr w:rsidR="00FF2E2E" w:rsidRPr="006C5C5E" w14:paraId="61536022" w14:textId="77777777" w:rsidTr="00E2379F">
        <w:tc>
          <w:tcPr>
            <w:tcW w:w="1934" w:type="pct"/>
            <w:shd w:val="clear" w:color="auto" w:fill="auto"/>
            <w:hideMark/>
          </w:tcPr>
          <w:p w14:paraId="01725849"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Non-Alzheimer's Dementia</w:t>
            </w:r>
          </w:p>
        </w:tc>
        <w:tc>
          <w:tcPr>
            <w:tcW w:w="1064" w:type="pct"/>
            <w:shd w:val="clear" w:color="auto" w:fill="auto"/>
            <w:vAlign w:val="bottom"/>
          </w:tcPr>
          <w:p w14:paraId="1AB18BE3" w14:textId="6BF84F8C" w:rsidR="00FF2E2E" w:rsidRPr="00FD2B92" w:rsidRDefault="00FF2E2E" w:rsidP="0010646C">
            <w:pPr>
              <w:spacing w:after="0" w:line="240" w:lineRule="auto"/>
              <w:ind w:right="327"/>
              <w:jc w:val="right"/>
              <w:rPr>
                <w:rFonts w:eastAsia="Times New Roman" w:cs="Times New Roman"/>
                <w:color w:val="0000FF"/>
              </w:rPr>
            </w:pPr>
            <w:r w:rsidRPr="00FD2B92">
              <w:rPr>
                <w:rFonts w:ascii="Calibri" w:hAnsi="Calibri" w:cs="Calibri"/>
                <w:color w:val="0000FF"/>
              </w:rPr>
              <w:t>4</w:t>
            </w:r>
            <w:r>
              <w:rPr>
                <w:rFonts w:ascii="Calibri" w:hAnsi="Calibri" w:cs="Calibri"/>
                <w:color w:val="0000FF"/>
              </w:rPr>
              <w:t>90,486</w:t>
            </w:r>
          </w:p>
        </w:tc>
        <w:tc>
          <w:tcPr>
            <w:tcW w:w="1085" w:type="pct"/>
            <w:shd w:val="clear" w:color="auto" w:fill="auto"/>
            <w:noWrap/>
            <w:vAlign w:val="bottom"/>
          </w:tcPr>
          <w:p w14:paraId="2850531E" w14:textId="301090D7"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1,004,654</w:t>
            </w:r>
          </w:p>
        </w:tc>
        <w:tc>
          <w:tcPr>
            <w:tcW w:w="917" w:type="pct"/>
            <w:shd w:val="clear" w:color="auto" w:fill="auto"/>
            <w:vAlign w:val="bottom"/>
          </w:tcPr>
          <w:p w14:paraId="2C916819" w14:textId="06916000"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48.8%</w:t>
            </w:r>
          </w:p>
        </w:tc>
      </w:tr>
      <w:tr w:rsidR="00FF2E2E" w:rsidRPr="006C5C5E" w14:paraId="454A18DF" w14:textId="77777777" w:rsidTr="00E2379F">
        <w:tc>
          <w:tcPr>
            <w:tcW w:w="1934" w:type="pct"/>
            <w:shd w:val="clear" w:color="auto" w:fill="auto"/>
            <w:hideMark/>
          </w:tcPr>
          <w:p w14:paraId="569BE0C3" w14:textId="77777777" w:rsidR="00FF2E2E" w:rsidRPr="006C5C5E" w:rsidRDefault="00FF2E2E" w:rsidP="0010646C">
            <w:pPr>
              <w:spacing w:after="0" w:line="240" w:lineRule="auto"/>
              <w:ind w:left="242"/>
              <w:rPr>
                <w:rFonts w:eastAsia="Times New Roman" w:cs="Times New Roman"/>
                <w:color w:val="0000FF"/>
              </w:rPr>
            </w:pPr>
            <w:r w:rsidRPr="006C5C5E">
              <w:rPr>
                <w:rFonts w:eastAsia="Times New Roman" w:cs="Times New Roman"/>
                <w:color w:val="0000FF"/>
              </w:rPr>
              <w:t>Malnutrition or at risk for malnutrition</w:t>
            </w:r>
          </w:p>
        </w:tc>
        <w:tc>
          <w:tcPr>
            <w:tcW w:w="1064" w:type="pct"/>
            <w:shd w:val="clear" w:color="auto" w:fill="auto"/>
            <w:vAlign w:val="bottom"/>
          </w:tcPr>
          <w:p w14:paraId="350A8A48" w14:textId="121C95F4" w:rsidR="00FF2E2E" w:rsidRPr="00FD2B92" w:rsidRDefault="00FF2E2E" w:rsidP="0010646C">
            <w:pPr>
              <w:spacing w:after="0" w:line="240" w:lineRule="auto"/>
              <w:ind w:right="327"/>
              <w:jc w:val="right"/>
              <w:rPr>
                <w:rFonts w:eastAsia="Times New Roman" w:cs="Times New Roman"/>
                <w:color w:val="0000FF"/>
              </w:rPr>
            </w:pPr>
            <w:r>
              <w:rPr>
                <w:rFonts w:ascii="Calibri" w:hAnsi="Calibri" w:cs="Calibri"/>
                <w:color w:val="0000FF"/>
              </w:rPr>
              <w:t>55,081</w:t>
            </w:r>
          </w:p>
        </w:tc>
        <w:tc>
          <w:tcPr>
            <w:tcW w:w="1085" w:type="pct"/>
            <w:shd w:val="clear" w:color="auto" w:fill="auto"/>
            <w:noWrap/>
            <w:vAlign w:val="bottom"/>
          </w:tcPr>
          <w:p w14:paraId="7067C624" w14:textId="6DB15CB9"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1,104,631</w:t>
            </w:r>
          </w:p>
        </w:tc>
        <w:tc>
          <w:tcPr>
            <w:tcW w:w="917" w:type="pct"/>
            <w:shd w:val="clear" w:color="auto" w:fill="auto"/>
            <w:vAlign w:val="bottom"/>
          </w:tcPr>
          <w:p w14:paraId="5829590C" w14:textId="483F100E"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5.0%</w:t>
            </w:r>
          </w:p>
        </w:tc>
      </w:tr>
      <w:tr w:rsidR="00FF2E2E" w:rsidRPr="006C5C5E" w14:paraId="052C762D" w14:textId="77777777" w:rsidTr="00E2379F">
        <w:tc>
          <w:tcPr>
            <w:tcW w:w="1934" w:type="pct"/>
            <w:shd w:val="clear" w:color="auto" w:fill="auto"/>
            <w:hideMark/>
          </w:tcPr>
          <w:p w14:paraId="46A8F1FC"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Cancer</w:t>
            </w:r>
          </w:p>
        </w:tc>
        <w:tc>
          <w:tcPr>
            <w:tcW w:w="1064" w:type="pct"/>
            <w:shd w:val="clear" w:color="auto" w:fill="auto"/>
            <w:vAlign w:val="bottom"/>
          </w:tcPr>
          <w:p w14:paraId="5A583B9E" w14:textId="3657C3D3" w:rsidR="00FF2E2E" w:rsidRPr="00FD2B92" w:rsidRDefault="00FF2E2E" w:rsidP="0010646C">
            <w:pPr>
              <w:spacing w:after="0" w:line="240" w:lineRule="auto"/>
              <w:ind w:right="327"/>
              <w:jc w:val="right"/>
              <w:rPr>
                <w:rFonts w:eastAsia="Times New Roman" w:cs="Times New Roman"/>
                <w:color w:val="0000FF"/>
              </w:rPr>
            </w:pPr>
            <w:r>
              <w:rPr>
                <w:rFonts w:ascii="Calibri" w:hAnsi="Calibri" w:cs="Calibri"/>
                <w:color w:val="0000FF"/>
              </w:rPr>
              <w:t>71,233</w:t>
            </w:r>
          </w:p>
        </w:tc>
        <w:tc>
          <w:tcPr>
            <w:tcW w:w="1085" w:type="pct"/>
            <w:shd w:val="clear" w:color="auto" w:fill="auto"/>
            <w:noWrap/>
            <w:vAlign w:val="bottom"/>
          </w:tcPr>
          <w:p w14:paraId="05F40BE5" w14:textId="60004E37"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1,100,574</w:t>
            </w:r>
          </w:p>
        </w:tc>
        <w:tc>
          <w:tcPr>
            <w:tcW w:w="917" w:type="pct"/>
            <w:shd w:val="clear" w:color="auto" w:fill="auto"/>
            <w:vAlign w:val="bottom"/>
          </w:tcPr>
          <w:p w14:paraId="7E790E74" w14:textId="06C588A6"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6.5%</w:t>
            </w:r>
          </w:p>
        </w:tc>
      </w:tr>
      <w:tr w:rsidR="00FF2E2E" w:rsidRPr="006C5C5E" w14:paraId="4D6418ED" w14:textId="77777777" w:rsidTr="00E2379F">
        <w:tc>
          <w:tcPr>
            <w:tcW w:w="1934" w:type="pct"/>
            <w:shd w:val="clear" w:color="auto" w:fill="auto"/>
            <w:hideMark/>
          </w:tcPr>
          <w:p w14:paraId="15BE3D8B"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Anemia</w:t>
            </w:r>
          </w:p>
        </w:tc>
        <w:tc>
          <w:tcPr>
            <w:tcW w:w="1064" w:type="pct"/>
            <w:shd w:val="clear" w:color="auto" w:fill="auto"/>
            <w:vAlign w:val="bottom"/>
          </w:tcPr>
          <w:p w14:paraId="3E4BC2E1" w14:textId="6317F4A9" w:rsidR="00FF2E2E" w:rsidRPr="00FD2B92" w:rsidRDefault="00FF2E2E" w:rsidP="0010646C">
            <w:pPr>
              <w:spacing w:after="0" w:line="240" w:lineRule="auto"/>
              <w:ind w:right="327"/>
              <w:jc w:val="right"/>
              <w:rPr>
                <w:rFonts w:eastAsia="Times New Roman" w:cs="Times New Roman"/>
                <w:color w:val="0000FF"/>
              </w:rPr>
            </w:pPr>
            <w:r>
              <w:rPr>
                <w:rFonts w:ascii="Calibri" w:hAnsi="Calibri" w:cs="Calibri"/>
                <w:color w:val="0000FF"/>
              </w:rPr>
              <w:t>298,292</w:t>
            </w:r>
          </w:p>
        </w:tc>
        <w:tc>
          <w:tcPr>
            <w:tcW w:w="1085" w:type="pct"/>
            <w:shd w:val="clear" w:color="auto" w:fill="auto"/>
            <w:noWrap/>
            <w:vAlign w:val="bottom"/>
          </w:tcPr>
          <w:p w14:paraId="7B801337" w14:textId="2911E59E"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1,004,582</w:t>
            </w:r>
          </w:p>
        </w:tc>
        <w:tc>
          <w:tcPr>
            <w:tcW w:w="917" w:type="pct"/>
            <w:shd w:val="clear" w:color="auto" w:fill="auto"/>
            <w:vAlign w:val="bottom"/>
          </w:tcPr>
          <w:p w14:paraId="7B6E313E" w14:textId="2EA2994B"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29.7%</w:t>
            </w:r>
          </w:p>
        </w:tc>
      </w:tr>
      <w:tr w:rsidR="00FF2E2E" w:rsidRPr="006C5C5E" w14:paraId="6BE38A12" w14:textId="77777777" w:rsidTr="00E2379F">
        <w:tc>
          <w:tcPr>
            <w:tcW w:w="1934" w:type="pct"/>
            <w:shd w:val="clear" w:color="auto" w:fill="auto"/>
            <w:hideMark/>
          </w:tcPr>
          <w:p w14:paraId="141D0A40"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Heart Failure</w:t>
            </w:r>
          </w:p>
        </w:tc>
        <w:tc>
          <w:tcPr>
            <w:tcW w:w="1064" w:type="pct"/>
            <w:shd w:val="clear" w:color="auto" w:fill="auto"/>
            <w:vAlign w:val="bottom"/>
          </w:tcPr>
          <w:p w14:paraId="391EFE09" w14:textId="2EDFA33F" w:rsidR="00FF2E2E" w:rsidRPr="00FD2B92" w:rsidRDefault="00FF2E2E" w:rsidP="0010646C">
            <w:pPr>
              <w:spacing w:after="0" w:line="240" w:lineRule="auto"/>
              <w:ind w:right="327"/>
              <w:jc w:val="right"/>
              <w:rPr>
                <w:rFonts w:eastAsia="Times New Roman" w:cs="Times New Roman"/>
                <w:color w:val="0000FF"/>
              </w:rPr>
            </w:pPr>
            <w:r>
              <w:rPr>
                <w:rFonts w:ascii="Calibri" w:hAnsi="Calibri" w:cs="Calibri"/>
                <w:color w:val="0000FF"/>
              </w:rPr>
              <w:t>207,639</w:t>
            </w:r>
          </w:p>
        </w:tc>
        <w:tc>
          <w:tcPr>
            <w:tcW w:w="1085" w:type="pct"/>
            <w:shd w:val="clear" w:color="auto" w:fill="auto"/>
            <w:noWrap/>
            <w:vAlign w:val="bottom"/>
          </w:tcPr>
          <w:p w14:paraId="75046F5D" w14:textId="548668EC"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1,004,700</w:t>
            </w:r>
          </w:p>
        </w:tc>
        <w:tc>
          <w:tcPr>
            <w:tcW w:w="917" w:type="pct"/>
            <w:shd w:val="clear" w:color="auto" w:fill="auto"/>
            <w:vAlign w:val="bottom"/>
          </w:tcPr>
          <w:p w14:paraId="463149A8" w14:textId="4374190D"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20.7%</w:t>
            </w:r>
          </w:p>
        </w:tc>
      </w:tr>
      <w:tr w:rsidR="00FF2E2E" w:rsidRPr="006C5C5E" w14:paraId="4750911B" w14:textId="77777777" w:rsidTr="00E2379F">
        <w:tc>
          <w:tcPr>
            <w:tcW w:w="1934" w:type="pct"/>
            <w:shd w:val="clear" w:color="auto" w:fill="auto"/>
            <w:hideMark/>
          </w:tcPr>
          <w:p w14:paraId="1334BECA"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Hypertension</w:t>
            </w:r>
          </w:p>
        </w:tc>
        <w:tc>
          <w:tcPr>
            <w:tcW w:w="1064" w:type="pct"/>
            <w:shd w:val="clear" w:color="auto" w:fill="auto"/>
            <w:vAlign w:val="bottom"/>
          </w:tcPr>
          <w:p w14:paraId="698814BC" w14:textId="72C9611D" w:rsidR="00FF2E2E" w:rsidRPr="00FD2B92" w:rsidRDefault="00FF2E2E" w:rsidP="0010646C">
            <w:pPr>
              <w:spacing w:after="0" w:line="240" w:lineRule="auto"/>
              <w:ind w:right="327"/>
              <w:jc w:val="right"/>
              <w:rPr>
                <w:rFonts w:eastAsia="Times New Roman" w:cs="Times New Roman"/>
                <w:color w:val="0000FF"/>
              </w:rPr>
            </w:pPr>
            <w:r>
              <w:rPr>
                <w:rFonts w:ascii="Calibri" w:hAnsi="Calibri" w:cs="Calibri"/>
                <w:color w:val="0000FF"/>
              </w:rPr>
              <w:t>772,839</w:t>
            </w:r>
          </w:p>
        </w:tc>
        <w:tc>
          <w:tcPr>
            <w:tcW w:w="1085" w:type="pct"/>
            <w:shd w:val="clear" w:color="auto" w:fill="auto"/>
            <w:noWrap/>
            <w:vAlign w:val="bottom"/>
          </w:tcPr>
          <w:p w14:paraId="249069D5" w14:textId="329F966A"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1,004,606</w:t>
            </w:r>
          </w:p>
        </w:tc>
        <w:tc>
          <w:tcPr>
            <w:tcW w:w="917" w:type="pct"/>
            <w:shd w:val="clear" w:color="auto" w:fill="auto"/>
            <w:vAlign w:val="bottom"/>
          </w:tcPr>
          <w:p w14:paraId="5338DBAE" w14:textId="2F5A242B"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76.9%</w:t>
            </w:r>
          </w:p>
        </w:tc>
      </w:tr>
      <w:tr w:rsidR="00FF2E2E" w:rsidRPr="006C5C5E" w14:paraId="709A9D87" w14:textId="77777777" w:rsidTr="00E2379F">
        <w:tc>
          <w:tcPr>
            <w:tcW w:w="1934" w:type="pct"/>
            <w:shd w:val="clear" w:color="auto" w:fill="auto"/>
            <w:hideMark/>
          </w:tcPr>
          <w:p w14:paraId="78DB8C0D"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Diabetes Mellitus</w:t>
            </w:r>
          </w:p>
        </w:tc>
        <w:tc>
          <w:tcPr>
            <w:tcW w:w="1064" w:type="pct"/>
            <w:shd w:val="clear" w:color="auto" w:fill="auto"/>
            <w:vAlign w:val="bottom"/>
          </w:tcPr>
          <w:p w14:paraId="1998C75C" w14:textId="302A6049" w:rsidR="00FF2E2E" w:rsidRPr="00FD2B92" w:rsidRDefault="00FF2E2E" w:rsidP="0010646C">
            <w:pPr>
              <w:spacing w:after="0" w:line="240" w:lineRule="auto"/>
              <w:ind w:right="327"/>
              <w:jc w:val="right"/>
              <w:rPr>
                <w:rFonts w:eastAsia="Times New Roman" w:cs="Times New Roman"/>
                <w:color w:val="0000FF"/>
              </w:rPr>
            </w:pPr>
            <w:r>
              <w:rPr>
                <w:rFonts w:ascii="Calibri" w:hAnsi="Calibri" w:cs="Calibri"/>
                <w:color w:val="0000FF"/>
              </w:rPr>
              <w:t>381,945</w:t>
            </w:r>
          </w:p>
        </w:tc>
        <w:tc>
          <w:tcPr>
            <w:tcW w:w="1085" w:type="pct"/>
            <w:shd w:val="clear" w:color="auto" w:fill="auto"/>
            <w:noWrap/>
            <w:vAlign w:val="bottom"/>
          </w:tcPr>
          <w:p w14:paraId="1524D8FC" w14:textId="64BCA21D"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1,104,590</w:t>
            </w:r>
          </w:p>
        </w:tc>
        <w:tc>
          <w:tcPr>
            <w:tcW w:w="917" w:type="pct"/>
            <w:shd w:val="clear" w:color="auto" w:fill="auto"/>
            <w:vAlign w:val="bottom"/>
          </w:tcPr>
          <w:p w14:paraId="41A4F6BE" w14:textId="33A42B52"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34.6%</w:t>
            </w:r>
          </w:p>
        </w:tc>
      </w:tr>
      <w:tr w:rsidR="00FF2E2E" w:rsidRPr="006C5C5E" w14:paraId="00E0F9A3" w14:textId="77777777" w:rsidTr="00E2379F">
        <w:tc>
          <w:tcPr>
            <w:tcW w:w="1934" w:type="pct"/>
            <w:shd w:val="clear" w:color="auto" w:fill="auto"/>
            <w:hideMark/>
          </w:tcPr>
          <w:p w14:paraId="769A4152" w14:textId="77777777" w:rsidR="00FF2E2E" w:rsidRPr="006C5C5E" w:rsidRDefault="00FF2E2E" w:rsidP="0010646C">
            <w:pPr>
              <w:spacing w:after="0" w:line="240" w:lineRule="auto"/>
              <w:ind w:firstLineChars="100" w:firstLine="220"/>
              <w:rPr>
                <w:rFonts w:eastAsia="Times New Roman" w:cs="Times New Roman"/>
                <w:color w:val="0000FF"/>
              </w:rPr>
            </w:pPr>
            <w:r w:rsidRPr="006C5C5E">
              <w:rPr>
                <w:rFonts w:eastAsia="Times New Roman" w:cs="Times New Roman"/>
                <w:color w:val="0000FF"/>
              </w:rPr>
              <w:t>Anxiety Disorder</w:t>
            </w:r>
          </w:p>
        </w:tc>
        <w:tc>
          <w:tcPr>
            <w:tcW w:w="1064" w:type="pct"/>
            <w:shd w:val="clear" w:color="auto" w:fill="auto"/>
            <w:vAlign w:val="bottom"/>
          </w:tcPr>
          <w:p w14:paraId="16C8DB9B" w14:textId="3C1EBB23" w:rsidR="00FF2E2E" w:rsidRPr="00FD2B92" w:rsidRDefault="00FF2E2E" w:rsidP="0010646C">
            <w:pPr>
              <w:spacing w:after="0" w:line="240" w:lineRule="auto"/>
              <w:ind w:right="327"/>
              <w:jc w:val="right"/>
              <w:rPr>
                <w:rFonts w:eastAsia="Times New Roman" w:cs="Times New Roman"/>
                <w:color w:val="0000FF"/>
              </w:rPr>
            </w:pPr>
            <w:r>
              <w:rPr>
                <w:rFonts w:ascii="Calibri" w:hAnsi="Calibri" w:cs="Calibri"/>
                <w:color w:val="0000FF"/>
              </w:rPr>
              <w:t>351,495</w:t>
            </w:r>
          </w:p>
        </w:tc>
        <w:tc>
          <w:tcPr>
            <w:tcW w:w="1085" w:type="pct"/>
            <w:shd w:val="clear" w:color="auto" w:fill="auto"/>
            <w:noWrap/>
            <w:vAlign w:val="bottom"/>
          </w:tcPr>
          <w:p w14:paraId="329D83AE" w14:textId="01FDF919" w:rsidR="00FF2E2E" w:rsidRPr="00097504" w:rsidRDefault="00FF2E2E" w:rsidP="0010646C">
            <w:pPr>
              <w:tabs>
                <w:tab w:val="decimal" w:pos="627"/>
              </w:tabs>
              <w:spacing w:after="0" w:line="240" w:lineRule="auto"/>
              <w:rPr>
                <w:rFonts w:eastAsia="Times New Roman" w:cs="Times New Roman"/>
                <w:color w:val="0000FF"/>
              </w:rPr>
            </w:pPr>
            <w:r w:rsidRPr="00097504">
              <w:rPr>
                <w:rFonts w:ascii="Calibri" w:hAnsi="Calibri" w:cs="Calibri"/>
                <w:color w:val="0000FF"/>
              </w:rPr>
              <w:t>1,104,527</w:t>
            </w:r>
          </w:p>
        </w:tc>
        <w:tc>
          <w:tcPr>
            <w:tcW w:w="917" w:type="pct"/>
            <w:shd w:val="clear" w:color="auto" w:fill="auto"/>
            <w:vAlign w:val="bottom"/>
          </w:tcPr>
          <w:p w14:paraId="5FD170CB" w14:textId="0749DD39" w:rsidR="00FF2E2E" w:rsidRPr="00097504" w:rsidRDefault="00FF2E2E" w:rsidP="0010646C">
            <w:pPr>
              <w:tabs>
                <w:tab w:val="decimal" w:pos="627"/>
              </w:tabs>
              <w:spacing w:after="0" w:line="240" w:lineRule="auto"/>
              <w:rPr>
                <w:color w:val="0000FF"/>
              </w:rPr>
            </w:pPr>
            <w:r w:rsidRPr="00097504">
              <w:rPr>
                <w:rFonts w:ascii="Calibri" w:hAnsi="Calibri" w:cs="Calibri"/>
                <w:color w:val="0000FF"/>
              </w:rPr>
              <w:t>31.8%</w:t>
            </w:r>
          </w:p>
        </w:tc>
      </w:tr>
      <w:tr w:rsidR="00FF2E2E" w:rsidRPr="006C5C5E" w14:paraId="173F5B43" w14:textId="77777777" w:rsidTr="00E2379F">
        <w:tc>
          <w:tcPr>
            <w:tcW w:w="1934" w:type="pct"/>
            <w:shd w:val="clear" w:color="auto" w:fill="auto"/>
            <w:hideMark/>
          </w:tcPr>
          <w:p w14:paraId="078973BF" w14:textId="359F4AAD" w:rsidR="00FF2E2E" w:rsidRPr="006C5C5E" w:rsidRDefault="00FF2E2E" w:rsidP="004D2C57">
            <w:pPr>
              <w:spacing w:after="0" w:line="240" w:lineRule="auto"/>
              <w:ind w:left="360" w:hanging="144"/>
              <w:rPr>
                <w:rFonts w:eastAsia="Times New Roman" w:cs="Times New Roman"/>
                <w:color w:val="0000FF"/>
              </w:rPr>
            </w:pPr>
            <w:r w:rsidRPr="006C5C5E">
              <w:rPr>
                <w:rFonts w:eastAsia="Times New Roman" w:cs="Times New Roman"/>
                <w:color w:val="0000FF"/>
              </w:rPr>
              <w:t>Asthma, Chronic Obstructive Pulmonary Disease, or</w:t>
            </w:r>
            <w:r w:rsidR="004D2C57">
              <w:rPr>
                <w:rFonts w:eastAsia="Times New Roman" w:cs="Times New Roman"/>
                <w:color w:val="0000FF"/>
              </w:rPr>
              <w:t xml:space="preserve"> </w:t>
            </w:r>
            <w:r w:rsidR="004D2C57">
              <w:rPr>
                <w:rFonts w:eastAsia="Times New Roman" w:cs="Times New Roman"/>
                <w:color w:val="0000FF"/>
              </w:rPr>
              <w:br/>
            </w:r>
            <w:r w:rsidRPr="006C5C5E">
              <w:rPr>
                <w:rFonts w:eastAsia="Times New Roman" w:cs="Times New Roman"/>
                <w:color w:val="0000FF"/>
              </w:rPr>
              <w:t>Chronic Lung Disease</w:t>
            </w:r>
          </w:p>
        </w:tc>
        <w:tc>
          <w:tcPr>
            <w:tcW w:w="1064" w:type="pct"/>
            <w:shd w:val="clear" w:color="auto" w:fill="auto"/>
            <w:vAlign w:val="bottom"/>
          </w:tcPr>
          <w:p w14:paraId="3F2A2DF2" w14:textId="7D27BD39" w:rsidR="00FF2E2E" w:rsidRPr="00FD2B92" w:rsidRDefault="00FF2E2E" w:rsidP="0010646C">
            <w:pPr>
              <w:spacing w:after="0" w:line="240" w:lineRule="auto"/>
              <w:ind w:right="327"/>
              <w:jc w:val="right"/>
              <w:rPr>
                <w:rFonts w:eastAsia="Times New Roman" w:cs="Times New Roman"/>
                <w:color w:val="0000FF"/>
              </w:rPr>
            </w:pPr>
            <w:r w:rsidRPr="00FD2B92">
              <w:rPr>
                <w:rFonts w:ascii="Calibri" w:hAnsi="Calibri" w:cs="Calibri"/>
                <w:color w:val="0000FF"/>
              </w:rPr>
              <w:t>22</w:t>
            </w:r>
            <w:r>
              <w:rPr>
                <w:rFonts w:ascii="Calibri" w:hAnsi="Calibri" w:cs="Calibri"/>
                <w:color w:val="0000FF"/>
              </w:rPr>
              <w:t>9,946</w:t>
            </w:r>
          </w:p>
        </w:tc>
        <w:tc>
          <w:tcPr>
            <w:tcW w:w="1085" w:type="pct"/>
            <w:shd w:val="clear" w:color="auto" w:fill="auto"/>
            <w:noWrap/>
            <w:vAlign w:val="bottom"/>
          </w:tcPr>
          <w:p w14:paraId="5031624C" w14:textId="78933481" w:rsidR="00FF2E2E" w:rsidRPr="00FD2B92" w:rsidRDefault="00FF2E2E" w:rsidP="0010646C">
            <w:pPr>
              <w:tabs>
                <w:tab w:val="decimal" w:pos="627"/>
              </w:tabs>
              <w:spacing w:after="0" w:line="240" w:lineRule="auto"/>
              <w:rPr>
                <w:rFonts w:eastAsia="Times New Roman" w:cs="Times New Roman"/>
                <w:color w:val="0000FF"/>
              </w:rPr>
            </w:pPr>
            <w:r w:rsidRPr="009669BA">
              <w:rPr>
                <w:rFonts w:ascii="Calibri" w:hAnsi="Calibri" w:cs="Calibri"/>
                <w:color w:val="0000FF"/>
              </w:rPr>
              <w:t>1</w:t>
            </w:r>
            <w:r>
              <w:rPr>
                <w:rFonts w:ascii="Calibri" w:hAnsi="Calibri" w:cs="Calibri"/>
                <w:color w:val="0000FF"/>
              </w:rPr>
              <w:t>,</w:t>
            </w:r>
            <w:r w:rsidRPr="009669BA">
              <w:rPr>
                <w:rFonts w:ascii="Calibri" w:hAnsi="Calibri" w:cs="Calibri"/>
                <w:color w:val="0000FF"/>
              </w:rPr>
              <w:t>004</w:t>
            </w:r>
            <w:r>
              <w:rPr>
                <w:rFonts w:ascii="Calibri" w:hAnsi="Calibri" w:cs="Calibri"/>
                <w:color w:val="0000FF"/>
              </w:rPr>
              <w:t>,</w:t>
            </w:r>
            <w:r w:rsidRPr="009669BA">
              <w:rPr>
                <w:rFonts w:ascii="Calibri" w:hAnsi="Calibri" w:cs="Calibri"/>
                <w:color w:val="0000FF"/>
              </w:rPr>
              <w:t>708</w:t>
            </w:r>
          </w:p>
        </w:tc>
        <w:tc>
          <w:tcPr>
            <w:tcW w:w="917" w:type="pct"/>
            <w:shd w:val="clear" w:color="auto" w:fill="auto"/>
            <w:vAlign w:val="bottom"/>
          </w:tcPr>
          <w:p w14:paraId="1194DF18" w14:textId="4252425B" w:rsidR="00FF2E2E" w:rsidRPr="00FD2B92" w:rsidRDefault="00FF2E2E" w:rsidP="0010646C">
            <w:pPr>
              <w:tabs>
                <w:tab w:val="decimal" w:pos="627"/>
              </w:tabs>
              <w:spacing w:after="0" w:line="240" w:lineRule="auto"/>
              <w:rPr>
                <w:color w:val="0000FF"/>
              </w:rPr>
            </w:pPr>
            <w:r w:rsidRPr="00FD2B92">
              <w:rPr>
                <w:rFonts w:ascii="Calibri" w:hAnsi="Calibri" w:cs="Calibri"/>
                <w:color w:val="0000FF"/>
              </w:rPr>
              <w:t>22.</w:t>
            </w:r>
            <w:r>
              <w:rPr>
                <w:rFonts w:ascii="Calibri" w:hAnsi="Calibri" w:cs="Calibri"/>
                <w:color w:val="0000FF"/>
              </w:rPr>
              <w:t>9</w:t>
            </w:r>
            <w:r w:rsidRPr="00FD2B92">
              <w:rPr>
                <w:rFonts w:ascii="Calibri" w:hAnsi="Calibri" w:cs="Calibri"/>
                <w:color w:val="0000FF"/>
              </w:rPr>
              <w:t>%</w:t>
            </w:r>
          </w:p>
        </w:tc>
      </w:tr>
    </w:tbl>
    <w:p w14:paraId="749CCE03" w14:textId="2711831C" w:rsidR="00FF2E2E" w:rsidRPr="006C5C5E" w:rsidRDefault="00E2373F" w:rsidP="00FF2E2E">
      <w:pPr>
        <w:autoSpaceDE w:val="0"/>
        <w:autoSpaceDN w:val="0"/>
        <w:adjustRightInd w:val="0"/>
        <w:spacing w:after="0" w:line="240" w:lineRule="auto"/>
        <w:rPr>
          <w:rFonts w:cstheme="minorHAnsi"/>
          <w:bCs/>
          <w:color w:val="0000FF"/>
          <w:sz w:val="20"/>
          <w:szCs w:val="20"/>
        </w:rPr>
      </w:pPr>
      <w:r>
        <w:rPr>
          <w:rFonts w:cstheme="minorHAnsi"/>
          <w:color w:val="0000FF"/>
          <w:sz w:val="20"/>
        </w:rPr>
        <w:t>Source</w:t>
      </w:r>
      <w:r w:rsidR="00FF2E2E" w:rsidRPr="0039084A">
        <w:rPr>
          <w:rFonts w:cstheme="minorHAnsi"/>
          <w:color w:val="0000FF"/>
          <w:sz w:val="20"/>
        </w:rPr>
        <w:t>: RTI analysis of Q</w:t>
      </w:r>
      <w:r w:rsidR="00FF2E2E">
        <w:rPr>
          <w:rFonts w:cstheme="minorHAnsi"/>
          <w:color w:val="0000FF"/>
          <w:sz w:val="20"/>
        </w:rPr>
        <w:t>3</w:t>
      </w:r>
      <w:r w:rsidR="00FF2E2E" w:rsidRPr="0039084A">
        <w:rPr>
          <w:rFonts w:cstheme="minorHAnsi"/>
          <w:color w:val="0000FF"/>
          <w:sz w:val="20"/>
        </w:rPr>
        <w:t xml:space="preserve">, 2018 MDS 3.0 data (programming reference: </w:t>
      </w:r>
      <w:r w:rsidR="00FF2E2E" w:rsidRPr="00696CF5">
        <w:rPr>
          <w:rFonts w:cstheme="minorHAnsi"/>
          <w:color w:val="0000FF"/>
          <w:sz w:val="20"/>
        </w:rPr>
        <w:t>kh29_47\hf13_request_684_31_32.log</w:t>
      </w:r>
      <w:r w:rsidR="00FF2E2E" w:rsidRPr="0039084A">
        <w:rPr>
          <w:rFonts w:cstheme="minorHAnsi"/>
          <w:color w:val="0000FF"/>
          <w:sz w:val="20"/>
          <w:szCs w:val="20"/>
        </w:rPr>
        <w:t>)</w:t>
      </w:r>
    </w:p>
    <w:p w14:paraId="0CABCFC9" w14:textId="47B55054" w:rsidR="007422FD" w:rsidRDefault="007422FD" w:rsidP="00DB3627">
      <w:pPr>
        <w:autoSpaceDE w:val="0"/>
        <w:autoSpaceDN w:val="0"/>
        <w:adjustRightInd w:val="0"/>
        <w:spacing w:after="0" w:line="240" w:lineRule="auto"/>
        <w:rPr>
          <w:rFonts w:cstheme="minorHAnsi"/>
          <w:bCs/>
        </w:rPr>
      </w:pPr>
    </w:p>
    <w:p w14:paraId="12F6B9A6" w14:textId="46762CFC" w:rsidR="00792EC5" w:rsidRPr="006C5C5E" w:rsidRDefault="00792EC5" w:rsidP="00792EC5">
      <w:pPr>
        <w:keepNext/>
        <w:autoSpaceDE w:val="0"/>
        <w:autoSpaceDN w:val="0"/>
        <w:adjustRightInd w:val="0"/>
        <w:spacing w:after="240" w:line="240" w:lineRule="auto"/>
        <w:contextualSpacing/>
        <w:jc w:val="center"/>
        <w:rPr>
          <w:rFonts w:cstheme="minorHAnsi"/>
          <w:b/>
          <w:bCs/>
          <w:color w:val="0000FF"/>
        </w:rPr>
      </w:pPr>
      <w:r w:rsidRPr="00A11604">
        <w:rPr>
          <w:rFonts w:cstheme="minorHAnsi"/>
          <w:b/>
          <w:bCs/>
          <w:color w:val="0000FF"/>
        </w:rPr>
        <w:t>Table 1b.</w:t>
      </w:r>
      <w:r w:rsidR="00E87D6C">
        <w:rPr>
          <w:rFonts w:cstheme="minorHAnsi"/>
          <w:b/>
          <w:bCs/>
          <w:color w:val="0000FF"/>
        </w:rPr>
        <w:t xml:space="preserve"> </w:t>
      </w:r>
      <w:r w:rsidRPr="00A11604">
        <w:rPr>
          <w:rFonts w:cstheme="minorHAnsi"/>
          <w:b/>
          <w:bCs/>
          <w:color w:val="0000FF"/>
        </w:rPr>
        <w:t>Characteristics</w:t>
      </w:r>
      <w:r w:rsidRPr="006C5C5E">
        <w:rPr>
          <w:rFonts w:cstheme="minorHAnsi"/>
          <w:b/>
          <w:bCs/>
          <w:color w:val="0000FF"/>
        </w:rPr>
        <w:t xml:space="preserve"> of Long-Stay Residents Included in </w:t>
      </w:r>
      <w:r>
        <w:rPr>
          <w:rFonts w:cstheme="minorHAnsi"/>
          <w:b/>
          <w:bCs/>
          <w:color w:val="0000FF"/>
        </w:rPr>
        <w:t xml:space="preserve">Analyses of NQF </w:t>
      </w:r>
      <w:r w:rsidRPr="00205307">
        <w:rPr>
          <w:rFonts w:cstheme="minorHAnsi"/>
          <w:b/>
          <w:bCs/>
          <w:color w:val="0000FF"/>
        </w:rPr>
        <w:t>#068</w:t>
      </w:r>
      <w:r>
        <w:rPr>
          <w:rFonts w:cstheme="minorHAnsi"/>
          <w:b/>
          <w:bCs/>
          <w:color w:val="0000FF"/>
        </w:rPr>
        <w:t xml:space="preserve">4 </w:t>
      </w:r>
      <w:r w:rsidRPr="00A77ED4">
        <w:rPr>
          <w:rFonts w:cstheme="minorHAnsi"/>
          <w:b/>
          <w:bCs/>
          <w:color w:val="0000FF"/>
        </w:rPr>
        <w:t xml:space="preserve">Percent of Residents with a Urinary Tract Infection (Long Stay) </w:t>
      </w:r>
      <w:r>
        <w:rPr>
          <w:rFonts w:cstheme="minorHAnsi"/>
          <w:b/>
          <w:bCs/>
          <w:color w:val="0000FF"/>
        </w:rPr>
        <w:t>(</w:t>
      </w:r>
      <w:r w:rsidRPr="0039084A">
        <w:rPr>
          <w:rFonts w:cstheme="minorHAnsi"/>
          <w:b/>
          <w:color w:val="0000FF"/>
        </w:rPr>
        <w:t xml:space="preserve">Quarter </w:t>
      </w:r>
      <w:r>
        <w:rPr>
          <w:rFonts w:cstheme="minorHAnsi"/>
          <w:b/>
          <w:color w:val="0000FF"/>
        </w:rPr>
        <w:t>3,</w:t>
      </w:r>
      <w:r w:rsidRPr="0039084A">
        <w:rPr>
          <w:rFonts w:cstheme="minorHAnsi"/>
          <w:b/>
          <w:color w:val="0000FF"/>
        </w:rPr>
        <w:t xml:space="preserve"> 2018</w:t>
      </w:r>
      <w:r w:rsidRPr="006C5C5E">
        <w:rPr>
          <w:rFonts w:cstheme="minorHAnsi"/>
          <w:b/>
          <w:bCs/>
          <w:color w:val="0000FF"/>
        </w:rPr>
        <w:t>)</w:t>
      </w:r>
    </w:p>
    <w:tbl>
      <w:tblPr>
        <w:tblW w:w="5000" w:type="pct"/>
        <w:tblLook w:val="04A0" w:firstRow="1" w:lastRow="0" w:firstColumn="1" w:lastColumn="0" w:noHBand="0" w:noVBand="1"/>
      </w:tblPr>
      <w:tblGrid>
        <w:gridCol w:w="3620"/>
        <w:gridCol w:w="1992"/>
        <w:gridCol w:w="2031"/>
        <w:gridCol w:w="1717"/>
      </w:tblGrid>
      <w:tr w:rsidR="00792EC5" w:rsidRPr="00626708" w14:paraId="705AFB43" w14:textId="77777777" w:rsidTr="00E2379F">
        <w:trPr>
          <w:tblHeader/>
        </w:trPr>
        <w:tc>
          <w:tcPr>
            <w:tcW w:w="1934" w:type="pct"/>
            <w:tcBorders>
              <w:top w:val="single" w:sz="12" w:space="0" w:color="auto"/>
              <w:bottom w:val="single" w:sz="4" w:space="0" w:color="auto"/>
            </w:tcBorders>
            <w:shd w:val="clear" w:color="auto" w:fill="auto"/>
            <w:vAlign w:val="center"/>
            <w:hideMark/>
          </w:tcPr>
          <w:p w14:paraId="1E3CCB7B" w14:textId="77777777" w:rsidR="00792EC5" w:rsidRPr="00626708" w:rsidRDefault="00792EC5" w:rsidP="00792EC5">
            <w:pPr>
              <w:spacing w:after="0" w:line="240" w:lineRule="auto"/>
              <w:contextualSpacing/>
              <w:rPr>
                <w:rFonts w:eastAsia="Times New Roman" w:cstheme="minorHAnsi"/>
                <w:color w:val="0000FF"/>
              </w:rPr>
            </w:pPr>
            <w:r w:rsidRPr="00626708">
              <w:rPr>
                <w:rFonts w:eastAsia="Times New Roman" w:cstheme="minorHAnsi"/>
                <w:color w:val="0000FF"/>
              </w:rPr>
              <w:t>Resident characteristics</w:t>
            </w:r>
          </w:p>
        </w:tc>
        <w:tc>
          <w:tcPr>
            <w:tcW w:w="1064" w:type="pct"/>
            <w:tcBorders>
              <w:top w:val="single" w:sz="12" w:space="0" w:color="auto"/>
              <w:bottom w:val="single" w:sz="4" w:space="0" w:color="auto"/>
            </w:tcBorders>
            <w:shd w:val="clear" w:color="auto" w:fill="auto"/>
            <w:vAlign w:val="center"/>
            <w:hideMark/>
          </w:tcPr>
          <w:p w14:paraId="1D56EDAD" w14:textId="77777777" w:rsidR="00792EC5" w:rsidRPr="00626708" w:rsidRDefault="00792EC5" w:rsidP="00792EC5">
            <w:pPr>
              <w:spacing w:after="0" w:line="240" w:lineRule="auto"/>
              <w:contextualSpacing/>
              <w:jc w:val="center"/>
              <w:rPr>
                <w:rFonts w:eastAsia="Times New Roman" w:cstheme="minorHAnsi"/>
                <w:color w:val="0000FF"/>
              </w:rPr>
            </w:pPr>
            <w:r w:rsidRPr="00626708">
              <w:rPr>
                <w:rFonts w:eastAsia="Times New Roman" w:cstheme="minorHAnsi"/>
                <w:color w:val="0000FF"/>
              </w:rPr>
              <w:t>Frequency (n)</w:t>
            </w:r>
          </w:p>
        </w:tc>
        <w:tc>
          <w:tcPr>
            <w:tcW w:w="1085" w:type="pct"/>
            <w:tcBorders>
              <w:top w:val="single" w:sz="12" w:space="0" w:color="auto"/>
              <w:bottom w:val="single" w:sz="4" w:space="0" w:color="auto"/>
            </w:tcBorders>
            <w:shd w:val="clear" w:color="auto" w:fill="auto"/>
            <w:vAlign w:val="center"/>
          </w:tcPr>
          <w:p w14:paraId="2AE8BDF8" w14:textId="77777777" w:rsidR="00792EC5" w:rsidRPr="00626708" w:rsidRDefault="00792EC5" w:rsidP="00792EC5">
            <w:pPr>
              <w:spacing w:after="0" w:line="240" w:lineRule="auto"/>
              <w:contextualSpacing/>
              <w:jc w:val="center"/>
              <w:rPr>
                <w:rFonts w:eastAsia="Times New Roman" w:cstheme="minorHAnsi"/>
                <w:color w:val="0000FF"/>
              </w:rPr>
            </w:pPr>
            <w:r w:rsidRPr="00626708">
              <w:rPr>
                <w:rFonts w:eastAsia="Times New Roman" w:cstheme="minorHAnsi"/>
                <w:color w:val="0000FF"/>
              </w:rPr>
              <w:t>Total Observations (N)</w:t>
            </w:r>
          </w:p>
        </w:tc>
        <w:tc>
          <w:tcPr>
            <w:tcW w:w="917" w:type="pct"/>
            <w:tcBorders>
              <w:top w:val="single" w:sz="12" w:space="0" w:color="auto"/>
              <w:bottom w:val="single" w:sz="4" w:space="0" w:color="auto"/>
            </w:tcBorders>
            <w:vAlign w:val="center"/>
          </w:tcPr>
          <w:p w14:paraId="3DCCAECE" w14:textId="77777777" w:rsidR="00792EC5" w:rsidRPr="00626708" w:rsidRDefault="00792EC5" w:rsidP="00792EC5">
            <w:pPr>
              <w:spacing w:after="0" w:line="240" w:lineRule="auto"/>
              <w:contextualSpacing/>
              <w:jc w:val="center"/>
              <w:rPr>
                <w:rFonts w:eastAsia="Times New Roman" w:cstheme="minorHAnsi"/>
                <w:color w:val="0000FF"/>
              </w:rPr>
            </w:pPr>
            <w:r w:rsidRPr="00626708">
              <w:rPr>
                <w:rFonts w:eastAsia="Times New Roman" w:cstheme="minorHAnsi"/>
                <w:color w:val="0000FF"/>
              </w:rPr>
              <w:t>Percentage (%)</w:t>
            </w:r>
          </w:p>
        </w:tc>
      </w:tr>
      <w:tr w:rsidR="00792EC5" w:rsidRPr="00626708" w14:paraId="476300BF" w14:textId="77777777" w:rsidTr="00E2379F">
        <w:tc>
          <w:tcPr>
            <w:tcW w:w="1934" w:type="pct"/>
            <w:tcBorders>
              <w:top w:val="single" w:sz="4" w:space="0" w:color="auto"/>
            </w:tcBorders>
            <w:shd w:val="clear" w:color="auto" w:fill="auto"/>
            <w:hideMark/>
          </w:tcPr>
          <w:p w14:paraId="6D661ECA" w14:textId="607341BD" w:rsidR="00792EC5" w:rsidRPr="00626708" w:rsidRDefault="00BE3F42" w:rsidP="00792EC5">
            <w:pPr>
              <w:spacing w:after="0" w:line="240" w:lineRule="auto"/>
              <w:rPr>
                <w:rFonts w:eastAsia="Times New Roman" w:cstheme="minorHAnsi"/>
                <w:color w:val="0000FF"/>
              </w:rPr>
            </w:pPr>
            <w:r>
              <w:rPr>
                <w:rFonts w:eastAsia="Times New Roman" w:cstheme="minorHAnsi"/>
                <w:color w:val="0000FF"/>
              </w:rPr>
              <w:t>Sex</w:t>
            </w:r>
          </w:p>
        </w:tc>
        <w:tc>
          <w:tcPr>
            <w:tcW w:w="1064" w:type="pct"/>
            <w:tcBorders>
              <w:top w:val="single" w:sz="4" w:space="0" w:color="auto"/>
            </w:tcBorders>
            <w:shd w:val="clear" w:color="auto" w:fill="auto"/>
            <w:hideMark/>
          </w:tcPr>
          <w:p w14:paraId="01B8297E" w14:textId="77777777" w:rsidR="00792EC5" w:rsidRPr="00626708" w:rsidRDefault="00792EC5" w:rsidP="00792EC5">
            <w:pPr>
              <w:spacing w:after="0" w:line="240" w:lineRule="auto"/>
              <w:jc w:val="center"/>
              <w:rPr>
                <w:rFonts w:eastAsia="Times New Roman" w:cstheme="minorHAnsi"/>
                <w:color w:val="0000FF"/>
              </w:rPr>
            </w:pPr>
          </w:p>
        </w:tc>
        <w:tc>
          <w:tcPr>
            <w:tcW w:w="1085" w:type="pct"/>
            <w:tcBorders>
              <w:top w:val="single" w:sz="4" w:space="0" w:color="auto"/>
            </w:tcBorders>
            <w:shd w:val="clear" w:color="auto" w:fill="auto"/>
            <w:noWrap/>
          </w:tcPr>
          <w:p w14:paraId="111C6EDD" w14:textId="77777777" w:rsidR="00792EC5" w:rsidRPr="00626708" w:rsidRDefault="00792EC5" w:rsidP="00792EC5">
            <w:pPr>
              <w:spacing w:after="0" w:line="240" w:lineRule="auto"/>
              <w:jc w:val="center"/>
              <w:rPr>
                <w:rFonts w:eastAsia="Times New Roman" w:cstheme="minorHAnsi"/>
                <w:color w:val="0000FF"/>
              </w:rPr>
            </w:pPr>
          </w:p>
        </w:tc>
        <w:tc>
          <w:tcPr>
            <w:tcW w:w="917" w:type="pct"/>
            <w:tcBorders>
              <w:top w:val="single" w:sz="4" w:space="0" w:color="auto"/>
            </w:tcBorders>
          </w:tcPr>
          <w:p w14:paraId="0AD5CE96" w14:textId="77777777" w:rsidR="00792EC5" w:rsidRPr="00626708" w:rsidRDefault="00792EC5" w:rsidP="00792EC5">
            <w:pPr>
              <w:spacing w:after="0" w:line="240" w:lineRule="auto"/>
              <w:jc w:val="center"/>
              <w:rPr>
                <w:rFonts w:eastAsia="Times New Roman" w:cstheme="minorHAnsi"/>
                <w:color w:val="0000FF"/>
              </w:rPr>
            </w:pPr>
          </w:p>
        </w:tc>
      </w:tr>
      <w:tr w:rsidR="00792EC5" w:rsidRPr="00626708" w14:paraId="2C53849F" w14:textId="77777777" w:rsidTr="00E2379F">
        <w:tc>
          <w:tcPr>
            <w:tcW w:w="1934" w:type="pct"/>
            <w:shd w:val="clear" w:color="auto" w:fill="auto"/>
            <w:hideMark/>
          </w:tcPr>
          <w:p w14:paraId="3C207854"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Female</w:t>
            </w:r>
          </w:p>
        </w:tc>
        <w:tc>
          <w:tcPr>
            <w:tcW w:w="1064" w:type="pct"/>
            <w:shd w:val="clear" w:color="auto" w:fill="auto"/>
          </w:tcPr>
          <w:p w14:paraId="44B4F94B"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707,343</w:t>
            </w:r>
          </w:p>
        </w:tc>
        <w:tc>
          <w:tcPr>
            <w:tcW w:w="1085" w:type="pct"/>
            <w:shd w:val="clear" w:color="auto" w:fill="auto"/>
            <w:noWrap/>
          </w:tcPr>
          <w:p w14:paraId="6DCC96B9"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shd w:val="clear" w:color="auto" w:fill="auto"/>
            <w:vAlign w:val="bottom"/>
          </w:tcPr>
          <w:p w14:paraId="5CBF274C"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64.5%</w:t>
            </w:r>
          </w:p>
        </w:tc>
      </w:tr>
      <w:tr w:rsidR="00792EC5" w:rsidRPr="00626708" w14:paraId="2EA4604B" w14:textId="77777777" w:rsidTr="00E2379F">
        <w:tc>
          <w:tcPr>
            <w:tcW w:w="1934" w:type="pct"/>
            <w:shd w:val="clear" w:color="auto" w:fill="auto"/>
            <w:hideMark/>
          </w:tcPr>
          <w:p w14:paraId="1B13A4D3"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Male</w:t>
            </w:r>
          </w:p>
        </w:tc>
        <w:tc>
          <w:tcPr>
            <w:tcW w:w="1064" w:type="pct"/>
            <w:shd w:val="clear" w:color="auto" w:fill="auto"/>
          </w:tcPr>
          <w:p w14:paraId="5BA6FD0E"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389,435</w:t>
            </w:r>
          </w:p>
        </w:tc>
        <w:tc>
          <w:tcPr>
            <w:tcW w:w="1085" w:type="pct"/>
            <w:shd w:val="clear" w:color="auto" w:fill="auto"/>
            <w:noWrap/>
          </w:tcPr>
          <w:p w14:paraId="3046EA16"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shd w:val="clear" w:color="auto" w:fill="auto"/>
            <w:vAlign w:val="bottom"/>
          </w:tcPr>
          <w:p w14:paraId="2B8F2C54"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35.5%</w:t>
            </w:r>
          </w:p>
        </w:tc>
      </w:tr>
      <w:tr w:rsidR="00792EC5" w:rsidRPr="00626708" w14:paraId="03B10551" w14:textId="77777777" w:rsidTr="00E2379F">
        <w:tc>
          <w:tcPr>
            <w:tcW w:w="1934" w:type="pct"/>
            <w:shd w:val="clear" w:color="auto" w:fill="auto"/>
            <w:hideMark/>
          </w:tcPr>
          <w:p w14:paraId="730EE58D" w14:textId="6B7D7D92" w:rsidR="00792EC5" w:rsidRPr="00626708" w:rsidRDefault="00792EC5" w:rsidP="00792EC5">
            <w:pPr>
              <w:spacing w:after="0" w:line="240" w:lineRule="auto"/>
              <w:rPr>
                <w:rFonts w:eastAsia="Times New Roman" w:cstheme="minorHAnsi"/>
                <w:color w:val="0000FF"/>
              </w:rPr>
            </w:pPr>
            <w:r w:rsidRPr="00626708">
              <w:rPr>
                <w:rFonts w:eastAsia="Times New Roman" w:cstheme="minorHAnsi"/>
                <w:color w:val="0000FF"/>
              </w:rPr>
              <w:t>Race</w:t>
            </w:r>
            <w:r w:rsidR="00BE3F42">
              <w:rPr>
                <w:rFonts w:eastAsia="Times New Roman" w:cstheme="minorHAnsi"/>
                <w:color w:val="0000FF"/>
              </w:rPr>
              <w:t>/Ethnicity</w:t>
            </w:r>
          </w:p>
        </w:tc>
        <w:tc>
          <w:tcPr>
            <w:tcW w:w="1064" w:type="pct"/>
            <w:shd w:val="clear" w:color="auto" w:fill="auto"/>
          </w:tcPr>
          <w:p w14:paraId="1D8936EE" w14:textId="77777777" w:rsidR="00792EC5" w:rsidRPr="00626708" w:rsidRDefault="00792EC5" w:rsidP="00792EC5">
            <w:pPr>
              <w:spacing w:after="0" w:line="240" w:lineRule="auto"/>
              <w:ind w:right="327"/>
              <w:jc w:val="right"/>
              <w:rPr>
                <w:rFonts w:eastAsia="Times New Roman" w:cstheme="minorHAnsi"/>
                <w:color w:val="0000FF"/>
              </w:rPr>
            </w:pPr>
          </w:p>
        </w:tc>
        <w:tc>
          <w:tcPr>
            <w:tcW w:w="1085" w:type="pct"/>
            <w:shd w:val="clear" w:color="auto" w:fill="auto"/>
            <w:noWrap/>
          </w:tcPr>
          <w:p w14:paraId="340D00BC" w14:textId="77777777" w:rsidR="00792EC5" w:rsidRPr="00626708" w:rsidRDefault="00792EC5" w:rsidP="00792EC5">
            <w:pPr>
              <w:tabs>
                <w:tab w:val="decimal" w:pos="627"/>
              </w:tabs>
              <w:spacing w:after="0" w:line="240" w:lineRule="auto"/>
              <w:rPr>
                <w:rFonts w:eastAsia="Times New Roman" w:cstheme="minorHAnsi"/>
                <w:color w:val="0000FF"/>
              </w:rPr>
            </w:pPr>
          </w:p>
        </w:tc>
        <w:tc>
          <w:tcPr>
            <w:tcW w:w="917" w:type="pct"/>
          </w:tcPr>
          <w:p w14:paraId="71E1EF94" w14:textId="77777777" w:rsidR="00792EC5" w:rsidRPr="00626708" w:rsidRDefault="00792EC5" w:rsidP="00792EC5">
            <w:pPr>
              <w:tabs>
                <w:tab w:val="decimal" w:pos="627"/>
              </w:tabs>
              <w:spacing w:after="0" w:line="240" w:lineRule="auto"/>
              <w:rPr>
                <w:rFonts w:eastAsia="Times New Roman" w:cstheme="minorHAnsi"/>
                <w:color w:val="0000FF"/>
              </w:rPr>
            </w:pPr>
          </w:p>
        </w:tc>
      </w:tr>
      <w:tr w:rsidR="00792EC5" w:rsidRPr="00626708" w14:paraId="534EDA69" w14:textId="77777777" w:rsidTr="00E2379F">
        <w:tc>
          <w:tcPr>
            <w:tcW w:w="1934" w:type="pct"/>
            <w:shd w:val="clear" w:color="auto" w:fill="auto"/>
            <w:hideMark/>
          </w:tcPr>
          <w:p w14:paraId="3925B457"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White Only</w:t>
            </w:r>
          </w:p>
        </w:tc>
        <w:tc>
          <w:tcPr>
            <w:tcW w:w="1064" w:type="pct"/>
            <w:shd w:val="clear" w:color="auto" w:fill="auto"/>
            <w:vAlign w:val="bottom"/>
          </w:tcPr>
          <w:p w14:paraId="7684451E"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808,833</w:t>
            </w:r>
          </w:p>
        </w:tc>
        <w:tc>
          <w:tcPr>
            <w:tcW w:w="1085" w:type="pct"/>
            <w:shd w:val="clear" w:color="auto" w:fill="auto"/>
            <w:noWrap/>
          </w:tcPr>
          <w:p w14:paraId="4B5C9618"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vAlign w:val="bottom"/>
          </w:tcPr>
          <w:p w14:paraId="39F6FCD9"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73.7%</w:t>
            </w:r>
          </w:p>
        </w:tc>
      </w:tr>
      <w:tr w:rsidR="00792EC5" w:rsidRPr="00626708" w14:paraId="3FFDAF6A" w14:textId="77777777" w:rsidTr="00E2379F">
        <w:tc>
          <w:tcPr>
            <w:tcW w:w="1934" w:type="pct"/>
            <w:shd w:val="clear" w:color="auto" w:fill="auto"/>
          </w:tcPr>
          <w:p w14:paraId="131DD639" w14:textId="77777777" w:rsidR="00792EC5" w:rsidRPr="00626708" w:rsidDel="002C6C0E"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Black or African American Only</w:t>
            </w:r>
          </w:p>
        </w:tc>
        <w:tc>
          <w:tcPr>
            <w:tcW w:w="1064" w:type="pct"/>
            <w:shd w:val="clear" w:color="auto" w:fill="auto"/>
            <w:vAlign w:val="bottom"/>
          </w:tcPr>
          <w:p w14:paraId="7AB007A5"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170,976</w:t>
            </w:r>
          </w:p>
        </w:tc>
        <w:tc>
          <w:tcPr>
            <w:tcW w:w="1085" w:type="pct"/>
            <w:shd w:val="clear" w:color="auto" w:fill="auto"/>
            <w:noWrap/>
          </w:tcPr>
          <w:p w14:paraId="4E2234F5"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vAlign w:val="bottom"/>
          </w:tcPr>
          <w:p w14:paraId="11568A20"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15.6%</w:t>
            </w:r>
          </w:p>
        </w:tc>
      </w:tr>
      <w:tr w:rsidR="00792EC5" w:rsidRPr="00626708" w14:paraId="7EE39580" w14:textId="77777777" w:rsidTr="00E2379F">
        <w:tc>
          <w:tcPr>
            <w:tcW w:w="1934" w:type="pct"/>
            <w:shd w:val="clear" w:color="auto" w:fill="auto"/>
          </w:tcPr>
          <w:p w14:paraId="023F3B6C" w14:textId="77777777" w:rsidR="00792EC5" w:rsidRPr="00626708" w:rsidDel="002C6C0E"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Hispanic or Latino Only</w:t>
            </w:r>
          </w:p>
        </w:tc>
        <w:tc>
          <w:tcPr>
            <w:tcW w:w="1064" w:type="pct"/>
            <w:shd w:val="clear" w:color="auto" w:fill="auto"/>
          </w:tcPr>
          <w:p w14:paraId="4ED73D67"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eastAsia="Times New Roman" w:cstheme="minorHAnsi"/>
                <w:color w:val="0000FF"/>
              </w:rPr>
              <w:t>63,710</w:t>
            </w:r>
          </w:p>
        </w:tc>
        <w:tc>
          <w:tcPr>
            <w:tcW w:w="1085" w:type="pct"/>
            <w:shd w:val="clear" w:color="auto" w:fill="auto"/>
            <w:noWrap/>
          </w:tcPr>
          <w:p w14:paraId="325B87D7"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vAlign w:val="bottom"/>
          </w:tcPr>
          <w:p w14:paraId="7C771167"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5.8%</w:t>
            </w:r>
          </w:p>
        </w:tc>
      </w:tr>
      <w:tr w:rsidR="00792EC5" w:rsidRPr="00626708" w14:paraId="63CA9E55" w14:textId="77777777" w:rsidTr="00E2379F">
        <w:tc>
          <w:tcPr>
            <w:tcW w:w="1934" w:type="pct"/>
            <w:shd w:val="clear" w:color="auto" w:fill="auto"/>
          </w:tcPr>
          <w:p w14:paraId="7BEB3DB7" w14:textId="77777777" w:rsidR="00792EC5" w:rsidRPr="00626708" w:rsidDel="002C6C0E"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Asian Only</w:t>
            </w:r>
          </w:p>
        </w:tc>
        <w:tc>
          <w:tcPr>
            <w:tcW w:w="1064" w:type="pct"/>
            <w:shd w:val="clear" w:color="auto" w:fill="auto"/>
          </w:tcPr>
          <w:p w14:paraId="0AAB9D2E"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eastAsia="Times New Roman" w:cstheme="minorHAnsi"/>
                <w:color w:val="0000FF"/>
              </w:rPr>
              <w:t>21,9</w:t>
            </w:r>
            <w:r>
              <w:rPr>
                <w:rFonts w:eastAsia="Times New Roman" w:cstheme="minorHAnsi"/>
                <w:color w:val="0000FF"/>
              </w:rPr>
              <w:t>36</w:t>
            </w:r>
          </w:p>
        </w:tc>
        <w:tc>
          <w:tcPr>
            <w:tcW w:w="1085" w:type="pct"/>
            <w:shd w:val="clear" w:color="auto" w:fill="auto"/>
            <w:noWrap/>
          </w:tcPr>
          <w:p w14:paraId="74B99F63"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vAlign w:val="bottom"/>
          </w:tcPr>
          <w:p w14:paraId="10248337"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2.0%</w:t>
            </w:r>
          </w:p>
        </w:tc>
      </w:tr>
      <w:tr w:rsidR="00792EC5" w:rsidRPr="00626708" w14:paraId="0139E8FB" w14:textId="77777777" w:rsidTr="00E2379F">
        <w:tc>
          <w:tcPr>
            <w:tcW w:w="1934" w:type="pct"/>
            <w:shd w:val="clear" w:color="auto" w:fill="auto"/>
          </w:tcPr>
          <w:p w14:paraId="1733D9D0" w14:textId="68F948AD" w:rsidR="00792EC5" w:rsidRPr="00626708" w:rsidRDefault="00792EC5" w:rsidP="004D2C57">
            <w:pPr>
              <w:spacing w:after="0" w:line="240" w:lineRule="auto"/>
              <w:ind w:left="360" w:hanging="144"/>
              <w:rPr>
                <w:rFonts w:eastAsia="Times New Roman" w:cstheme="minorHAnsi"/>
                <w:color w:val="0000FF"/>
              </w:rPr>
            </w:pPr>
            <w:r w:rsidRPr="00626708">
              <w:rPr>
                <w:rFonts w:eastAsia="Times New Roman" w:cstheme="minorHAnsi"/>
                <w:color w:val="0000FF"/>
              </w:rPr>
              <w:t>American Indian/Alaska Native Only</w:t>
            </w:r>
          </w:p>
        </w:tc>
        <w:tc>
          <w:tcPr>
            <w:tcW w:w="1064" w:type="pct"/>
            <w:shd w:val="clear" w:color="auto" w:fill="auto"/>
            <w:vAlign w:val="bottom"/>
          </w:tcPr>
          <w:p w14:paraId="3B37C92B" w14:textId="77777777" w:rsidR="00792EC5" w:rsidRPr="00626708" w:rsidDel="00DF5CD0" w:rsidRDefault="00792EC5" w:rsidP="004D2C57">
            <w:pPr>
              <w:spacing w:after="0" w:line="240" w:lineRule="auto"/>
              <w:ind w:right="327"/>
              <w:jc w:val="right"/>
              <w:rPr>
                <w:rFonts w:eastAsia="Times New Roman" w:cstheme="minorHAnsi"/>
                <w:color w:val="0000FF"/>
              </w:rPr>
            </w:pPr>
            <w:r w:rsidRPr="00626708">
              <w:rPr>
                <w:rFonts w:eastAsia="Times New Roman" w:cstheme="minorHAnsi"/>
                <w:color w:val="0000FF"/>
              </w:rPr>
              <w:t>5,</w:t>
            </w:r>
            <w:r>
              <w:rPr>
                <w:rFonts w:eastAsia="Times New Roman" w:cstheme="minorHAnsi"/>
                <w:color w:val="0000FF"/>
              </w:rPr>
              <w:t>484</w:t>
            </w:r>
          </w:p>
        </w:tc>
        <w:tc>
          <w:tcPr>
            <w:tcW w:w="1085" w:type="pct"/>
            <w:shd w:val="clear" w:color="auto" w:fill="auto"/>
            <w:noWrap/>
            <w:vAlign w:val="bottom"/>
          </w:tcPr>
          <w:p w14:paraId="662D50D5" w14:textId="77777777" w:rsidR="00792EC5" w:rsidRPr="00626708" w:rsidRDefault="00792EC5" w:rsidP="00224E97">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vAlign w:val="bottom"/>
          </w:tcPr>
          <w:p w14:paraId="7382EFE4" w14:textId="77777777" w:rsidR="00792EC5" w:rsidRPr="00626708" w:rsidRDefault="00792EC5" w:rsidP="00224E97">
            <w:pPr>
              <w:tabs>
                <w:tab w:val="decimal" w:pos="627"/>
              </w:tabs>
              <w:spacing w:after="0" w:line="240" w:lineRule="auto"/>
              <w:rPr>
                <w:rFonts w:cstheme="minorHAnsi"/>
                <w:color w:val="0000FF"/>
              </w:rPr>
            </w:pPr>
            <w:r w:rsidRPr="00626708">
              <w:rPr>
                <w:rFonts w:cstheme="minorHAnsi"/>
                <w:color w:val="0000FF"/>
              </w:rPr>
              <w:t>0.5%</w:t>
            </w:r>
          </w:p>
        </w:tc>
      </w:tr>
      <w:tr w:rsidR="00792EC5" w:rsidRPr="00626708" w14:paraId="2B763D82" w14:textId="77777777" w:rsidTr="00E2379F">
        <w:tc>
          <w:tcPr>
            <w:tcW w:w="1934" w:type="pct"/>
            <w:shd w:val="clear" w:color="auto" w:fill="auto"/>
          </w:tcPr>
          <w:p w14:paraId="419C6D9F" w14:textId="3E660790" w:rsidR="00792EC5" w:rsidRPr="004D2C57" w:rsidRDefault="00792EC5" w:rsidP="004D2C57">
            <w:pPr>
              <w:spacing w:after="0" w:line="240" w:lineRule="auto"/>
              <w:ind w:left="360" w:hanging="144"/>
              <w:rPr>
                <w:rFonts w:eastAsia="Times New Roman" w:cs="Times New Roman"/>
                <w:color w:val="0000FF"/>
              </w:rPr>
            </w:pPr>
            <w:r w:rsidRPr="004D2C57">
              <w:rPr>
                <w:rFonts w:eastAsia="Times New Roman" w:cs="Times New Roman"/>
                <w:color w:val="0000FF"/>
              </w:rPr>
              <w:t xml:space="preserve">Native Hawaiian or </w:t>
            </w:r>
            <w:proofErr w:type="gramStart"/>
            <w:r w:rsidRPr="004D2C57">
              <w:rPr>
                <w:rFonts w:eastAsia="Times New Roman" w:cs="Times New Roman"/>
                <w:color w:val="0000FF"/>
              </w:rPr>
              <w:t>Other</w:t>
            </w:r>
            <w:proofErr w:type="gramEnd"/>
            <w:r w:rsidRPr="004D2C57">
              <w:rPr>
                <w:rFonts w:eastAsia="Times New Roman" w:cs="Times New Roman"/>
                <w:color w:val="0000FF"/>
              </w:rPr>
              <w:t xml:space="preserve"> Pacific Islander Only</w:t>
            </w:r>
          </w:p>
        </w:tc>
        <w:tc>
          <w:tcPr>
            <w:tcW w:w="1064" w:type="pct"/>
            <w:shd w:val="clear" w:color="auto" w:fill="auto"/>
            <w:vAlign w:val="bottom"/>
          </w:tcPr>
          <w:p w14:paraId="29264810" w14:textId="77777777" w:rsidR="00792EC5" w:rsidRPr="00626708" w:rsidDel="00DF5CD0" w:rsidRDefault="00792EC5" w:rsidP="004D2C57">
            <w:pPr>
              <w:spacing w:after="0" w:line="240" w:lineRule="auto"/>
              <w:ind w:right="327"/>
              <w:jc w:val="right"/>
              <w:rPr>
                <w:rFonts w:eastAsia="Times New Roman" w:cstheme="minorHAnsi"/>
                <w:color w:val="0000FF"/>
              </w:rPr>
            </w:pPr>
            <w:r>
              <w:rPr>
                <w:rFonts w:eastAsia="Times New Roman" w:cstheme="minorHAnsi"/>
                <w:color w:val="0000FF"/>
              </w:rPr>
              <w:t>2</w:t>
            </w:r>
            <w:r w:rsidRPr="00626708">
              <w:rPr>
                <w:rFonts w:eastAsia="Times New Roman" w:cstheme="minorHAnsi"/>
                <w:color w:val="0000FF"/>
              </w:rPr>
              <w:t>,</w:t>
            </w:r>
            <w:r>
              <w:rPr>
                <w:rFonts w:eastAsia="Times New Roman" w:cstheme="minorHAnsi"/>
                <w:color w:val="0000FF"/>
              </w:rPr>
              <w:t>194</w:t>
            </w:r>
          </w:p>
        </w:tc>
        <w:tc>
          <w:tcPr>
            <w:tcW w:w="1085" w:type="pct"/>
            <w:shd w:val="clear" w:color="auto" w:fill="auto"/>
            <w:noWrap/>
            <w:vAlign w:val="bottom"/>
          </w:tcPr>
          <w:p w14:paraId="3CA76122" w14:textId="77777777" w:rsidR="00792EC5" w:rsidRPr="00626708" w:rsidRDefault="00792EC5" w:rsidP="004D2C57">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vAlign w:val="bottom"/>
          </w:tcPr>
          <w:p w14:paraId="7C462E96" w14:textId="77777777" w:rsidR="00792EC5" w:rsidRPr="00626708" w:rsidRDefault="00792EC5" w:rsidP="004D2C57">
            <w:pPr>
              <w:tabs>
                <w:tab w:val="decimal" w:pos="627"/>
              </w:tabs>
              <w:spacing w:after="0" w:line="240" w:lineRule="auto"/>
              <w:rPr>
                <w:rFonts w:cstheme="minorHAnsi"/>
                <w:color w:val="0000FF"/>
              </w:rPr>
            </w:pPr>
            <w:r w:rsidRPr="00626708">
              <w:rPr>
                <w:rFonts w:cstheme="minorHAnsi"/>
                <w:color w:val="0000FF"/>
              </w:rPr>
              <w:t>0.2%</w:t>
            </w:r>
          </w:p>
        </w:tc>
      </w:tr>
      <w:tr w:rsidR="00792EC5" w:rsidRPr="00626708" w14:paraId="76A2F550" w14:textId="77777777" w:rsidTr="00E2379F">
        <w:tc>
          <w:tcPr>
            <w:tcW w:w="1934" w:type="pct"/>
            <w:shd w:val="clear" w:color="auto" w:fill="auto"/>
          </w:tcPr>
          <w:p w14:paraId="7222785E" w14:textId="358C3199"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Multi-rac</w:t>
            </w:r>
            <w:r w:rsidR="00BE3F42">
              <w:rPr>
                <w:rFonts w:eastAsia="Times New Roman" w:cstheme="minorHAnsi"/>
                <w:color w:val="0000FF"/>
              </w:rPr>
              <w:t>e</w:t>
            </w:r>
          </w:p>
        </w:tc>
        <w:tc>
          <w:tcPr>
            <w:tcW w:w="1064" w:type="pct"/>
            <w:shd w:val="clear" w:color="auto" w:fill="auto"/>
          </w:tcPr>
          <w:p w14:paraId="2F70ADAE" w14:textId="77777777" w:rsidR="00792EC5" w:rsidRPr="00626708" w:rsidDel="00DF5CD0" w:rsidRDefault="00792EC5" w:rsidP="00792EC5">
            <w:pPr>
              <w:spacing w:after="0" w:line="240" w:lineRule="auto"/>
              <w:ind w:right="327"/>
              <w:jc w:val="right"/>
              <w:rPr>
                <w:rFonts w:eastAsia="Times New Roman" w:cstheme="minorHAnsi"/>
                <w:color w:val="0000FF"/>
              </w:rPr>
            </w:pPr>
            <w:r w:rsidRPr="00626708">
              <w:rPr>
                <w:rFonts w:eastAsia="Times New Roman" w:cstheme="minorHAnsi"/>
                <w:color w:val="0000FF"/>
              </w:rPr>
              <w:t>3,</w:t>
            </w:r>
            <w:r>
              <w:rPr>
                <w:rFonts w:eastAsia="Times New Roman" w:cstheme="minorHAnsi"/>
                <w:color w:val="0000FF"/>
              </w:rPr>
              <w:t>290</w:t>
            </w:r>
          </w:p>
        </w:tc>
        <w:tc>
          <w:tcPr>
            <w:tcW w:w="1085" w:type="pct"/>
            <w:shd w:val="clear" w:color="auto" w:fill="auto"/>
            <w:noWrap/>
          </w:tcPr>
          <w:p w14:paraId="10C3A5AF"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tcPr>
          <w:p w14:paraId="3CB7EA44" w14:textId="77777777" w:rsidR="00792EC5" w:rsidRPr="00626708" w:rsidRDefault="00792EC5" w:rsidP="00792EC5">
            <w:pPr>
              <w:tabs>
                <w:tab w:val="decimal" w:pos="627"/>
              </w:tabs>
              <w:spacing w:after="0" w:line="240" w:lineRule="auto"/>
              <w:rPr>
                <w:rFonts w:cstheme="minorHAnsi"/>
                <w:color w:val="0000FF"/>
              </w:rPr>
            </w:pPr>
            <w:r w:rsidRPr="00626708">
              <w:rPr>
                <w:rFonts w:cstheme="minorHAnsi"/>
                <w:color w:val="0000FF"/>
              </w:rPr>
              <w:t>0.3%</w:t>
            </w:r>
          </w:p>
        </w:tc>
      </w:tr>
      <w:tr w:rsidR="00792EC5" w:rsidRPr="00626708" w14:paraId="1529A0B2" w14:textId="77777777" w:rsidTr="00E2379F">
        <w:tc>
          <w:tcPr>
            <w:tcW w:w="1934" w:type="pct"/>
            <w:shd w:val="clear" w:color="auto" w:fill="auto"/>
          </w:tcPr>
          <w:p w14:paraId="64A9EA42" w14:textId="77777777" w:rsidR="00792EC5" w:rsidRPr="00626708" w:rsidRDefault="00792EC5" w:rsidP="00792EC5">
            <w:pPr>
              <w:spacing w:after="0" w:line="240" w:lineRule="auto"/>
              <w:rPr>
                <w:rFonts w:eastAsia="Times New Roman" w:cstheme="minorHAnsi"/>
                <w:color w:val="0000FF"/>
              </w:rPr>
            </w:pPr>
            <w:r w:rsidRPr="00626708">
              <w:rPr>
                <w:rFonts w:eastAsia="Times New Roman" w:cstheme="minorHAnsi"/>
                <w:color w:val="0000FF"/>
              </w:rPr>
              <w:t>Medicare-Medicaid Dual Eligibility</w:t>
            </w:r>
          </w:p>
        </w:tc>
        <w:tc>
          <w:tcPr>
            <w:tcW w:w="1064" w:type="pct"/>
            <w:shd w:val="clear" w:color="auto" w:fill="auto"/>
          </w:tcPr>
          <w:p w14:paraId="658CCAE7" w14:textId="77777777" w:rsidR="00792EC5" w:rsidRPr="00626708" w:rsidRDefault="00792EC5" w:rsidP="00792EC5">
            <w:pPr>
              <w:spacing w:after="0" w:line="240" w:lineRule="auto"/>
              <w:ind w:right="327"/>
              <w:jc w:val="right"/>
              <w:rPr>
                <w:rFonts w:eastAsia="Times New Roman" w:cstheme="minorHAnsi"/>
                <w:color w:val="0000FF"/>
              </w:rPr>
            </w:pPr>
          </w:p>
        </w:tc>
        <w:tc>
          <w:tcPr>
            <w:tcW w:w="1085" w:type="pct"/>
            <w:shd w:val="clear" w:color="auto" w:fill="auto"/>
            <w:noWrap/>
          </w:tcPr>
          <w:p w14:paraId="6550F375" w14:textId="77777777" w:rsidR="00792EC5" w:rsidRPr="00626708" w:rsidRDefault="00792EC5" w:rsidP="00792EC5">
            <w:pPr>
              <w:tabs>
                <w:tab w:val="decimal" w:pos="627"/>
              </w:tabs>
              <w:spacing w:after="0" w:line="240" w:lineRule="auto"/>
              <w:rPr>
                <w:rFonts w:eastAsia="Times New Roman" w:cstheme="minorHAnsi"/>
                <w:color w:val="0000FF"/>
              </w:rPr>
            </w:pPr>
          </w:p>
        </w:tc>
        <w:tc>
          <w:tcPr>
            <w:tcW w:w="917" w:type="pct"/>
          </w:tcPr>
          <w:p w14:paraId="6D98ACCA" w14:textId="77777777" w:rsidR="00792EC5" w:rsidRPr="00626708" w:rsidRDefault="00792EC5" w:rsidP="00792EC5">
            <w:pPr>
              <w:tabs>
                <w:tab w:val="decimal" w:pos="627"/>
              </w:tabs>
              <w:spacing w:after="0" w:line="240" w:lineRule="auto"/>
              <w:rPr>
                <w:rFonts w:eastAsia="Times New Roman" w:cstheme="minorHAnsi"/>
                <w:color w:val="0000FF"/>
              </w:rPr>
            </w:pPr>
          </w:p>
        </w:tc>
      </w:tr>
      <w:tr w:rsidR="00792EC5" w:rsidRPr="00626708" w14:paraId="7E526CB9" w14:textId="77777777" w:rsidTr="00E2379F">
        <w:tc>
          <w:tcPr>
            <w:tcW w:w="1934" w:type="pct"/>
            <w:shd w:val="clear" w:color="auto" w:fill="auto"/>
          </w:tcPr>
          <w:p w14:paraId="790681EF"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 xml:space="preserve">Dual-Eligible </w:t>
            </w:r>
          </w:p>
        </w:tc>
        <w:tc>
          <w:tcPr>
            <w:tcW w:w="1064" w:type="pct"/>
            <w:shd w:val="clear" w:color="auto" w:fill="auto"/>
            <w:vAlign w:val="bottom"/>
          </w:tcPr>
          <w:p w14:paraId="09B3B3A6"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795</w:t>
            </w:r>
            <w:r>
              <w:rPr>
                <w:rFonts w:cstheme="minorHAnsi"/>
                <w:color w:val="0000FF"/>
              </w:rPr>
              <w:t>,</w:t>
            </w:r>
            <w:r w:rsidRPr="00626708">
              <w:rPr>
                <w:rFonts w:cstheme="minorHAnsi"/>
                <w:color w:val="0000FF"/>
              </w:rPr>
              <w:t>632</w:t>
            </w:r>
          </w:p>
        </w:tc>
        <w:tc>
          <w:tcPr>
            <w:tcW w:w="1085" w:type="pct"/>
            <w:shd w:val="clear" w:color="auto" w:fill="auto"/>
            <w:noWrap/>
          </w:tcPr>
          <w:p w14:paraId="4DFFAAAA"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shd w:val="clear" w:color="auto" w:fill="auto"/>
            <w:vAlign w:val="bottom"/>
          </w:tcPr>
          <w:p w14:paraId="644320E9"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72.5%</w:t>
            </w:r>
          </w:p>
        </w:tc>
      </w:tr>
      <w:tr w:rsidR="00792EC5" w:rsidRPr="00626708" w14:paraId="35A6CB83" w14:textId="77777777" w:rsidTr="00E2379F">
        <w:tc>
          <w:tcPr>
            <w:tcW w:w="1934" w:type="pct"/>
            <w:shd w:val="clear" w:color="auto" w:fill="auto"/>
          </w:tcPr>
          <w:p w14:paraId="3B21EC7E"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Non-Dual</w:t>
            </w:r>
          </w:p>
        </w:tc>
        <w:tc>
          <w:tcPr>
            <w:tcW w:w="1064" w:type="pct"/>
            <w:shd w:val="clear" w:color="auto" w:fill="auto"/>
            <w:vAlign w:val="bottom"/>
          </w:tcPr>
          <w:p w14:paraId="1F7A7E35"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223</w:t>
            </w:r>
            <w:r>
              <w:rPr>
                <w:rFonts w:cstheme="minorHAnsi"/>
                <w:color w:val="0000FF"/>
              </w:rPr>
              <w:t>,</w:t>
            </w:r>
            <w:r w:rsidRPr="00626708">
              <w:rPr>
                <w:rFonts w:cstheme="minorHAnsi"/>
                <w:color w:val="0000FF"/>
              </w:rPr>
              <w:t>455</w:t>
            </w:r>
          </w:p>
        </w:tc>
        <w:tc>
          <w:tcPr>
            <w:tcW w:w="1085" w:type="pct"/>
            <w:shd w:val="clear" w:color="auto" w:fill="auto"/>
            <w:noWrap/>
          </w:tcPr>
          <w:p w14:paraId="39488854"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shd w:val="clear" w:color="auto" w:fill="auto"/>
            <w:vAlign w:val="bottom"/>
          </w:tcPr>
          <w:p w14:paraId="2EA2C686"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20.4%</w:t>
            </w:r>
          </w:p>
        </w:tc>
      </w:tr>
      <w:tr w:rsidR="00792EC5" w:rsidRPr="00626708" w14:paraId="0783543F" w14:textId="77777777" w:rsidTr="00E2379F">
        <w:tc>
          <w:tcPr>
            <w:tcW w:w="1934" w:type="pct"/>
            <w:shd w:val="clear" w:color="auto" w:fill="auto"/>
          </w:tcPr>
          <w:p w14:paraId="5ADA2958"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Missing</w:t>
            </w:r>
          </w:p>
        </w:tc>
        <w:tc>
          <w:tcPr>
            <w:tcW w:w="1064" w:type="pct"/>
            <w:shd w:val="clear" w:color="auto" w:fill="auto"/>
            <w:vAlign w:val="bottom"/>
          </w:tcPr>
          <w:p w14:paraId="7E70FD1E"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77</w:t>
            </w:r>
            <w:r>
              <w:rPr>
                <w:rFonts w:cstheme="minorHAnsi"/>
                <w:color w:val="0000FF"/>
              </w:rPr>
              <w:t>,</w:t>
            </w:r>
            <w:r w:rsidRPr="00626708">
              <w:rPr>
                <w:rFonts w:cstheme="minorHAnsi"/>
                <w:color w:val="0000FF"/>
              </w:rPr>
              <w:t>691</w:t>
            </w:r>
          </w:p>
        </w:tc>
        <w:tc>
          <w:tcPr>
            <w:tcW w:w="1085" w:type="pct"/>
            <w:shd w:val="clear" w:color="auto" w:fill="auto"/>
            <w:noWrap/>
          </w:tcPr>
          <w:p w14:paraId="4FAB542B"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shd w:val="clear" w:color="auto" w:fill="auto"/>
            <w:vAlign w:val="bottom"/>
          </w:tcPr>
          <w:p w14:paraId="7AC8E197"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7.1%</w:t>
            </w:r>
          </w:p>
        </w:tc>
      </w:tr>
      <w:tr w:rsidR="00792EC5" w:rsidRPr="00626708" w14:paraId="7BEAD025" w14:textId="77777777" w:rsidTr="00E2379F">
        <w:tc>
          <w:tcPr>
            <w:tcW w:w="1934" w:type="pct"/>
            <w:shd w:val="clear" w:color="auto" w:fill="auto"/>
            <w:hideMark/>
          </w:tcPr>
          <w:p w14:paraId="5443A810" w14:textId="77777777" w:rsidR="00792EC5" w:rsidRPr="00626708" w:rsidRDefault="00792EC5" w:rsidP="00792EC5">
            <w:pPr>
              <w:spacing w:after="0" w:line="240" w:lineRule="auto"/>
              <w:rPr>
                <w:rFonts w:eastAsia="Times New Roman" w:cstheme="minorHAnsi"/>
                <w:color w:val="0000FF"/>
              </w:rPr>
            </w:pPr>
            <w:r w:rsidRPr="00626708">
              <w:rPr>
                <w:rFonts w:eastAsia="Times New Roman" w:cstheme="minorHAnsi"/>
                <w:color w:val="0000FF"/>
              </w:rPr>
              <w:t>Age</w:t>
            </w:r>
          </w:p>
        </w:tc>
        <w:tc>
          <w:tcPr>
            <w:tcW w:w="1064" w:type="pct"/>
            <w:shd w:val="clear" w:color="auto" w:fill="auto"/>
          </w:tcPr>
          <w:p w14:paraId="429349F9" w14:textId="77777777" w:rsidR="00792EC5" w:rsidRPr="00626708" w:rsidRDefault="00792EC5" w:rsidP="00792EC5">
            <w:pPr>
              <w:spacing w:after="0" w:line="240" w:lineRule="auto"/>
              <w:ind w:right="327"/>
              <w:jc w:val="right"/>
              <w:rPr>
                <w:rFonts w:eastAsia="Times New Roman" w:cstheme="minorHAnsi"/>
                <w:color w:val="0000FF"/>
              </w:rPr>
            </w:pPr>
          </w:p>
        </w:tc>
        <w:tc>
          <w:tcPr>
            <w:tcW w:w="1085" w:type="pct"/>
            <w:shd w:val="clear" w:color="auto" w:fill="auto"/>
            <w:noWrap/>
          </w:tcPr>
          <w:p w14:paraId="2789BF55" w14:textId="77777777" w:rsidR="00792EC5" w:rsidRPr="00626708" w:rsidRDefault="00792EC5" w:rsidP="00792EC5">
            <w:pPr>
              <w:tabs>
                <w:tab w:val="decimal" w:pos="627"/>
              </w:tabs>
              <w:spacing w:after="0" w:line="240" w:lineRule="auto"/>
              <w:rPr>
                <w:rFonts w:eastAsia="Times New Roman" w:cstheme="minorHAnsi"/>
                <w:color w:val="0000FF"/>
              </w:rPr>
            </w:pPr>
          </w:p>
        </w:tc>
        <w:tc>
          <w:tcPr>
            <w:tcW w:w="917" w:type="pct"/>
          </w:tcPr>
          <w:p w14:paraId="6A7DEC9A" w14:textId="77777777" w:rsidR="00792EC5" w:rsidRPr="00626708" w:rsidRDefault="00792EC5" w:rsidP="00792EC5">
            <w:pPr>
              <w:tabs>
                <w:tab w:val="decimal" w:pos="627"/>
              </w:tabs>
              <w:spacing w:after="0" w:line="240" w:lineRule="auto"/>
              <w:rPr>
                <w:rFonts w:eastAsia="Times New Roman" w:cstheme="minorHAnsi"/>
                <w:color w:val="0000FF"/>
              </w:rPr>
            </w:pPr>
          </w:p>
        </w:tc>
      </w:tr>
      <w:tr w:rsidR="00792EC5" w:rsidRPr="00626708" w14:paraId="1B4D9A7C" w14:textId="77777777" w:rsidTr="00E2379F">
        <w:tc>
          <w:tcPr>
            <w:tcW w:w="1934" w:type="pct"/>
            <w:shd w:val="clear" w:color="auto" w:fill="auto"/>
            <w:hideMark/>
          </w:tcPr>
          <w:p w14:paraId="7A401379"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&lt;65</w:t>
            </w:r>
          </w:p>
        </w:tc>
        <w:tc>
          <w:tcPr>
            <w:tcW w:w="1064" w:type="pct"/>
            <w:shd w:val="clear" w:color="auto" w:fill="auto"/>
            <w:vAlign w:val="bottom"/>
          </w:tcPr>
          <w:p w14:paraId="073808DD"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180</w:t>
            </w:r>
            <w:r>
              <w:rPr>
                <w:rFonts w:cstheme="minorHAnsi"/>
                <w:color w:val="0000FF"/>
              </w:rPr>
              <w:t>,</w:t>
            </w:r>
            <w:r w:rsidRPr="00626708">
              <w:rPr>
                <w:rFonts w:cstheme="minorHAnsi"/>
                <w:color w:val="0000FF"/>
              </w:rPr>
              <w:t>174</w:t>
            </w:r>
          </w:p>
        </w:tc>
        <w:tc>
          <w:tcPr>
            <w:tcW w:w="1085" w:type="pct"/>
            <w:shd w:val="clear" w:color="auto" w:fill="auto"/>
            <w:noWrap/>
          </w:tcPr>
          <w:p w14:paraId="0BB8BC2A"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shd w:val="clear" w:color="auto" w:fill="auto"/>
            <w:vAlign w:val="bottom"/>
          </w:tcPr>
          <w:p w14:paraId="49173B5F"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16.4%</w:t>
            </w:r>
          </w:p>
        </w:tc>
      </w:tr>
      <w:tr w:rsidR="00792EC5" w:rsidRPr="00626708" w14:paraId="4FE034F1" w14:textId="77777777" w:rsidTr="00E2379F">
        <w:tc>
          <w:tcPr>
            <w:tcW w:w="1934" w:type="pct"/>
            <w:shd w:val="clear" w:color="auto" w:fill="auto"/>
            <w:hideMark/>
          </w:tcPr>
          <w:p w14:paraId="0B2C3AE7"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65-74</w:t>
            </w:r>
          </w:p>
        </w:tc>
        <w:tc>
          <w:tcPr>
            <w:tcW w:w="1064" w:type="pct"/>
            <w:shd w:val="clear" w:color="auto" w:fill="auto"/>
            <w:vAlign w:val="bottom"/>
          </w:tcPr>
          <w:p w14:paraId="3ADC57B5"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201</w:t>
            </w:r>
            <w:r>
              <w:rPr>
                <w:rFonts w:cstheme="minorHAnsi"/>
                <w:color w:val="0000FF"/>
              </w:rPr>
              <w:t>,</w:t>
            </w:r>
            <w:r w:rsidRPr="00626708">
              <w:rPr>
                <w:rFonts w:cstheme="minorHAnsi"/>
                <w:color w:val="0000FF"/>
              </w:rPr>
              <w:t>536</w:t>
            </w:r>
          </w:p>
        </w:tc>
        <w:tc>
          <w:tcPr>
            <w:tcW w:w="1085" w:type="pct"/>
            <w:shd w:val="clear" w:color="auto" w:fill="auto"/>
            <w:noWrap/>
          </w:tcPr>
          <w:p w14:paraId="321D7F8A"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shd w:val="clear" w:color="auto" w:fill="auto"/>
            <w:vAlign w:val="bottom"/>
          </w:tcPr>
          <w:p w14:paraId="30B2A13B"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18.4%</w:t>
            </w:r>
          </w:p>
        </w:tc>
      </w:tr>
      <w:tr w:rsidR="00792EC5" w:rsidRPr="00626708" w14:paraId="5703767B" w14:textId="77777777" w:rsidTr="00E2379F">
        <w:tc>
          <w:tcPr>
            <w:tcW w:w="1934" w:type="pct"/>
            <w:shd w:val="clear" w:color="auto" w:fill="auto"/>
            <w:hideMark/>
          </w:tcPr>
          <w:p w14:paraId="675BD997"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75-84</w:t>
            </w:r>
          </w:p>
        </w:tc>
        <w:tc>
          <w:tcPr>
            <w:tcW w:w="1064" w:type="pct"/>
            <w:shd w:val="clear" w:color="auto" w:fill="auto"/>
            <w:vAlign w:val="bottom"/>
          </w:tcPr>
          <w:p w14:paraId="49B7601B"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288</w:t>
            </w:r>
            <w:r>
              <w:rPr>
                <w:rFonts w:cstheme="minorHAnsi"/>
                <w:color w:val="0000FF"/>
              </w:rPr>
              <w:t>,</w:t>
            </w:r>
            <w:r w:rsidRPr="00626708">
              <w:rPr>
                <w:rFonts w:cstheme="minorHAnsi"/>
                <w:color w:val="0000FF"/>
              </w:rPr>
              <w:t>060</w:t>
            </w:r>
          </w:p>
        </w:tc>
        <w:tc>
          <w:tcPr>
            <w:tcW w:w="1085" w:type="pct"/>
            <w:shd w:val="clear" w:color="auto" w:fill="auto"/>
            <w:noWrap/>
          </w:tcPr>
          <w:p w14:paraId="1AEEB504"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shd w:val="clear" w:color="auto" w:fill="auto"/>
            <w:vAlign w:val="bottom"/>
          </w:tcPr>
          <w:p w14:paraId="52A31FB0"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26.3%</w:t>
            </w:r>
          </w:p>
        </w:tc>
      </w:tr>
      <w:tr w:rsidR="00792EC5" w:rsidRPr="00626708" w14:paraId="0FECA919" w14:textId="77777777" w:rsidTr="00E2379F">
        <w:tc>
          <w:tcPr>
            <w:tcW w:w="1934" w:type="pct"/>
            <w:shd w:val="clear" w:color="auto" w:fill="auto"/>
            <w:hideMark/>
          </w:tcPr>
          <w:p w14:paraId="3AE53AD4"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85+</w:t>
            </w:r>
          </w:p>
        </w:tc>
        <w:tc>
          <w:tcPr>
            <w:tcW w:w="1064" w:type="pct"/>
            <w:shd w:val="clear" w:color="auto" w:fill="auto"/>
            <w:vAlign w:val="bottom"/>
          </w:tcPr>
          <w:p w14:paraId="070EB14F"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427</w:t>
            </w:r>
            <w:r>
              <w:rPr>
                <w:rFonts w:cstheme="minorHAnsi"/>
                <w:color w:val="0000FF"/>
              </w:rPr>
              <w:t>,</w:t>
            </w:r>
            <w:r w:rsidRPr="00626708">
              <w:rPr>
                <w:rFonts w:cstheme="minorHAnsi"/>
                <w:color w:val="0000FF"/>
              </w:rPr>
              <w:t>008</w:t>
            </w:r>
          </w:p>
        </w:tc>
        <w:tc>
          <w:tcPr>
            <w:tcW w:w="1085" w:type="pct"/>
            <w:shd w:val="clear" w:color="auto" w:fill="auto"/>
            <w:noWrap/>
          </w:tcPr>
          <w:p w14:paraId="59B4D274" w14:textId="77777777" w:rsidR="00792EC5" w:rsidRPr="00626708" w:rsidRDefault="00792EC5" w:rsidP="00792EC5">
            <w:pPr>
              <w:tabs>
                <w:tab w:val="decimal" w:pos="627"/>
              </w:tabs>
              <w:spacing w:after="0" w:line="240" w:lineRule="auto"/>
              <w:rPr>
                <w:rFonts w:eastAsia="Times New Roman" w:cstheme="minorHAnsi"/>
                <w:color w:val="0000FF"/>
              </w:rPr>
            </w:pPr>
            <w:r w:rsidRPr="00626708">
              <w:rPr>
                <w:rFonts w:cstheme="minorHAnsi"/>
                <w:color w:val="0000FF"/>
              </w:rPr>
              <w:t>1,096,778</w:t>
            </w:r>
          </w:p>
        </w:tc>
        <w:tc>
          <w:tcPr>
            <w:tcW w:w="917" w:type="pct"/>
            <w:shd w:val="clear" w:color="auto" w:fill="auto"/>
            <w:vAlign w:val="bottom"/>
          </w:tcPr>
          <w:p w14:paraId="08FA932C"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38.9%</w:t>
            </w:r>
          </w:p>
        </w:tc>
      </w:tr>
      <w:tr w:rsidR="00792EC5" w:rsidRPr="00626708" w14:paraId="56D128F1" w14:textId="77777777" w:rsidTr="00E2379F">
        <w:tc>
          <w:tcPr>
            <w:tcW w:w="1934" w:type="pct"/>
            <w:shd w:val="clear" w:color="auto" w:fill="auto"/>
            <w:hideMark/>
          </w:tcPr>
          <w:p w14:paraId="051FDAB5" w14:textId="77777777" w:rsidR="00792EC5" w:rsidRPr="00626708" w:rsidRDefault="00792EC5" w:rsidP="00792EC5">
            <w:pPr>
              <w:spacing w:after="0" w:line="240" w:lineRule="auto"/>
              <w:rPr>
                <w:rFonts w:eastAsia="Times New Roman" w:cstheme="minorHAnsi"/>
                <w:color w:val="0000FF"/>
              </w:rPr>
            </w:pPr>
            <w:r w:rsidRPr="00626708">
              <w:rPr>
                <w:rFonts w:eastAsia="Times New Roman" w:cstheme="minorHAnsi"/>
                <w:color w:val="0000FF"/>
              </w:rPr>
              <w:t>Diagnoses</w:t>
            </w:r>
          </w:p>
        </w:tc>
        <w:tc>
          <w:tcPr>
            <w:tcW w:w="1064" w:type="pct"/>
            <w:shd w:val="clear" w:color="auto" w:fill="auto"/>
          </w:tcPr>
          <w:p w14:paraId="32161531" w14:textId="77777777" w:rsidR="00792EC5" w:rsidRPr="00626708" w:rsidRDefault="00792EC5" w:rsidP="00792EC5">
            <w:pPr>
              <w:spacing w:after="0" w:line="240" w:lineRule="auto"/>
              <w:ind w:right="327"/>
              <w:jc w:val="right"/>
              <w:rPr>
                <w:rFonts w:eastAsia="Times New Roman" w:cstheme="minorHAnsi"/>
                <w:color w:val="0000FF"/>
              </w:rPr>
            </w:pPr>
          </w:p>
        </w:tc>
        <w:tc>
          <w:tcPr>
            <w:tcW w:w="1085" w:type="pct"/>
            <w:shd w:val="clear" w:color="auto" w:fill="auto"/>
            <w:noWrap/>
          </w:tcPr>
          <w:p w14:paraId="1437BE90" w14:textId="77777777" w:rsidR="00792EC5" w:rsidRPr="00626708" w:rsidRDefault="00792EC5" w:rsidP="00792EC5">
            <w:pPr>
              <w:tabs>
                <w:tab w:val="decimal" w:pos="627"/>
              </w:tabs>
              <w:spacing w:after="0" w:line="240" w:lineRule="auto"/>
              <w:rPr>
                <w:rFonts w:eastAsia="Times New Roman" w:cstheme="minorHAnsi"/>
                <w:color w:val="0000FF"/>
              </w:rPr>
            </w:pPr>
          </w:p>
        </w:tc>
        <w:tc>
          <w:tcPr>
            <w:tcW w:w="917" w:type="pct"/>
          </w:tcPr>
          <w:p w14:paraId="399651E9" w14:textId="77777777" w:rsidR="00792EC5" w:rsidRPr="00626708" w:rsidRDefault="00792EC5" w:rsidP="00792EC5">
            <w:pPr>
              <w:tabs>
                <w:tab w:val="decimal" w:pos="627"/>
              </w:tabs>
              <w:spacing w:after="0" w:line="240" w:lineRule="auto"/>
              <w:rPr>
                <w:rFonts w:eastAsia="Times New Roman" w:cstheme="minorHAnsi"/>
                <w:color w:val="0000FF"/>
              </w:rPr>
            </w:pPr>
          </w:p>
        </w:tc>
      </w:tr>
      <w:tr w:rsidR="00792EC5" w:rsidRPr="00626708" w14:paraId="3E1C0978" w14:textId="77777777" w:rsidTr="00E2379F">
        <w:tc>
          <w:tcPr>
            <w:tcW w:w="1934" w:type="pct"/>
            <w:shd w:val="clear" w:color="auto" w:fill="auto"/>
            <w:hideMark/>
          </w:tcPr>
          <w:p w14:paraId="311C8277"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Arthritis</w:t>
            </w:r>
          </w:p>
        </w:tc>
        <w:tc>
          <w:tcPr>
            <w:tcW w:w="1064" w:type="pct"/>
            <w:shd w:val="clear" w:color="auto" w:fill="auto"/>
            <w:vAlign w:val="bottom"/>
          </w:tcPr>
          <w:p w14:paraId="2DC5CBB3"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326</w:t>
            </w:r>
            <w:r>
              <w:rPr>
                <w:rFonts w:cstheme="minorHAnsi"/>
                <w:color w:val="0000FF"/>
              </w:rPr>
              <w:t>,</w:t>
            </w:r>
            <w:r w:rsidRPr="00626708">
              <w:rPr>
                <w:rFonts w:cstheme="minorHAnsi"/>
                <w:color w:val="0000FF"/>
              </w:rPr>
              <w:t>574</w:t>
            </w:r>
          </w:p>
        </w:tc>
        <w:tc>
          <w:tcPr>
            <w:tcW w:w="1085" w:type="pct"/>
            <w:shd w:val="clear" w:color="auto" w:fill="auto"/>
            <w:noWrap/>
            <w:vAlign w:val="bottom"/>
          </w:tcPr>
          <w:p w14:paraId="18245BE9"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1</w:t>
            </w:r>
            <w:r>
              <w:rPr>
                <w:rFonts w:cstheme="minorHAnsi"/>
                <w:color w:val="0000FF"/>
              </w:rPr>
              <w:t>,</w:t>
            </w:r>
            <w:r w:rsidRPr="00F2339D">
              <w:rPr>
                <w:rFonts w:cstheme="minorHAnsi"/>
                <w:color w:val="0000FF"/>
              </w:rPr>
              <w:t>092</w:t>
            </w:r>
            <w:r>
              <w:rPr>
                <w:rFonts w:cstheme="minorHAnsi"/>
                <w:color w:val="0000FF"/>
              </w:rPr>
              <w:t>,</w:t>
            </w:r>
            <w:r w:rsidRPr="00F2339D">
              <w:rPr>
                <w:rFonts w:cstheme="minorHAnsi"/>
                <w:color w:val="0000FF"/>
              </w:rPr>
              <w:t>828</w:t>
            </w:r>
          </w:p>
        </w:tc>
        <w:tc>
          <w:tcPr>
            <w:tcW w:w="917" w:type="pct"/>
            <w:shd w:val="clear" w:color="auto" w:fill="auto"/>
            <w:vAlign w:val="bottom"/>
          </w:tcPr>
          <w:p w14:paraId="45E6B0DE"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29.9%</w:t>
            </w:r>
          </w:p>
        </w:tc>
      </w:tr>
      <w:tr w:rsidR="00792EC5" w:rsidRPr="00626708" w14:paraId="1B2BA800" w14:textId="77777777" w:rsidTr="00E2379F">
        <w:tc>
          <w:tcPr>
            <w:tcW w:w="1934" w:type="pct"/>
            <w:shd w:val="clear" w:color="auto" w:fill="auto"/>
            <w:hideMark/>
          </w:tcPr>
          <w:p w14:paraId="54A40BBF"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lastRenderedPageBreak/>
              <w:t>Osteoporosis</w:t>
            </w:r>
          </w:p>
        </w:tc>
        <w:tc>
          <w:tcPr>
            <w:tcW w:w="1064" w:type="pct"/>
            <w:shd w:val="clear" w:color="auto" w:fill="auto"/>
            <w:vAlign w:val="bottom"/>
          </w:tcPr>
          <w:p w14:paraId="34637F58"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139</w:t>
            </w:r>
            <w:r>
              <w:rPr>
                <w:rFonts w:cstheme="minorHAnsi"/>
                <w:color w:val="0000FF"/>
              </w:rPr>
              <w:t>,</w:t>
            </w:r>
            <w:r w:rsidRPr="00626708">
              <w:rPr>
                <w:rFonts w:cstheme="minorHAnsi"/>
                <w:color w:val="0000FF"/>
              </w:rPr>
              <w:t>642</w:t>
            </w:r>
          </w:p>
        </w:tc>
        <w:tc>
          <w:tcPr>
            <w:tcW w:w="1085" w:type="pct"/>
            <w:shd w:val="clear" w:color="auto" w:fill="auto"/>
            <w:noWrap/>
            <w:vAlign w:val="bottom"/>
          </w:tcPr>
          <w:p w14:paraId="68192E74"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1</w:t>
            </w:r>
            <w:r>
              <w:rPr>
                <w:rFonts w:cstheme="minorHAnsi"/>
                <w:color w:val="0000FF"/>
              </w:rPr>
              <w:t>,</w:t>
            </w:r>
            <w:r w:rsidRPr="00F2339D">
              <w:rPr>
                <w:rFonts w:cstheme="minorHAnsi"/>
                <w:color w:val="0000FF"/>
              </w:rPr>
              <w:t>092</w:t>
            </w:r>
            <w:r>
              <w:rPr>
                <w:rFonts w:cstheme="minorHAnsi"/>
                <w:color w:val="0000FF"/>
              </w:rPr>
              <w:t>,</w:t>
            </w:r>
            <w:r w:rsidRPr="00F2339D">
              <w:rPr>
                <w:rFonts w:cstheme="minorHAnsi"/>
                <w:color w:val="0000FF"/>
              </w:rPr>
              <w:t>846</w:t>
            </w:r>
          </w:p>
        </w:tc>
        <w:tc>
          <w:tcPr>
            <w:tcW w:w="917" w:type="pct"/>
            <w:shd w:val="clear" w:color="auto" w:fill="auto"/>
            <w:vAlign w:val="bottom"/>
          </w:tcPr>
          <w:p w14:paraId="29181007"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12.8%</w:t>
            </w:r>
          </w:p>
        </w:tc>
      </w:tr>
      <w:tr w:rsidR="00792EC5" w:rsidRPr="00626708" w14:paraId="18F40197" w14:textId="77777777" w:rsidTr="00E2379F">
        <w:tc>
          <w:tcPr>
            <w:tcW w:w="1934" w:type="pct"/>
            <w:shd w:val="clear" w:color="auto" w:fill="auto"/>
            <w:hideMark/>
          </w:tcPr>
          <w:p w14:paraId="74D8B81A"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Hip Fracture</w:t>
            </w:r>
          </w:p>
        </w:tc>
        <w:tc>
          <w:tcPr>
            <w:tcW w:w="1064" w:type="pct"/>
            <w:shd w:val="clear" w:color="auto" w:fill="auto"/>
            <w:vAlign w:val="bottom"/>
          </w:tcPr>
          <w:p w14:paraId="391BAED0"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18</w:t>
            </w:r>
            <w:r>
              <w:rPr>
                <w:rFonts w:cstheme="minorHAnsi"/>
                <w:color w:val="0000FF"/>
              </w:rPr>
              <w:t>,</w:t>
            </w:r>
            <w:r w:rsidRPr="00626708">
              <w:rPr>
                <w:rFonts w:cstheme="minorHAnsi"/>
                <w:color w:val="0000FF"/>
              </w:rPr>
              <w:t>089</w:t>
            </w:r>
          </w:p>
        </w:tc>
        <w:tc>
          <w:tcPr>
            <w:tcW w:w="1085" w:type="pct"/>
            <w:shd w:val="clear" w:color="auto" w:fill="auto"/>
            <w:noWrap/>
            <w:vAlign w:val="bottom"/>
          </w:tcPr>
          <w:p w14:paraId="760E34A8"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998</w:t>
            </w:r>
            <w:r>
              <w:rPr>
                <w:rFonts w:cstheme="minorHAnsi"/>
                <w:color w:val="0000FF"/>
              </w:rPr>
              <w:t>,</w:t>
            </w:r>
            <w:r w:rsidRPr="00F2339D">
              <w:rPr>
                <w:rFonts w:cstheme="minorHAnsi"/>
                <w:color w:val="0000FF"/>
              </w:rPr>
              <w:t>068</w:t>
            </w:r>
          </w:p>
        </w:tc>
        <w:tc>
          <w:tcPr>
            <w:tcW w:w="917" w:type="pct"/>
            <w:shd w:val="clear" w:color="auto" w:fill="auto"/>
            <w:vAlign w:val="bottom"/>
          </w:tcPr>
          <w:p w14:paraId="1A06FBBB"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1.8%</w:t>
            </w:r>
          </w:p>
        </w:tc>
      </w:tr>
      <w:tr w:rsidR="00792EC5" w:rsidRPr="00626708" w14:paraId="3C6D0AC7" w14:textId="77777777" w:rsidTr="00E2379F">
        <w:tc>
          <w:tcPr>
            <w:tcW w:w="1934" w:type="pct"/>
            <w:shd w:val="clear" w:color="auto" w:fill="auto"/>
            <w:hideMark/>
          </w:tcPr>
          <w:p w14:paraId="63EDAA5C"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Other Fracture</w:t>
            </w:r>
          </w:p>
        </w:tc>
        <w:tc>
          <w:tcPr>
            <w:tcW w:w="1064" w:type="pct"/>
            <w:shd w:val="clear" w:color="auto" w:fill="auto"/>
            <w:vAlign w:val="bottom"/>
          </w:tcPr>
          <w:p w14:paraId="2FAD8794"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31</w:t>
            </w:r>
            <w:r>
              <w:rPr>
                <w:rFonts w:cstheme="minorHAnsi"/>
                <w:color w:val="0000FF"/>
              </w:rPr>
              <w:t>,</w:t>
            </w:r>
            <w:r w:rsidRPr="00626708">
              <w:rPr>
                <w:rFonts w:cstheme="minorHAnsi"/>
                <w:color w:val="0000FF"/>
              </w:rPr>
              <w:t>884</w:t>
            </w:r>
          </w:p>
        </w:tc>
        <w:tc>
          <w:tcPr>
            <w:tcW w:w="1085" w:type="pct"/>
            <w:shd w:val="clear" w:color="auto" w:fill="auto"/>
            <w:noWrap/>
            <w:vAlign w:val="bottom"/>
          </w:tcPr>
          <w:p w14:paraId="2F3711C8"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998</w:t>
            </w:r>
            <w:r>
              <w:rPr>
                <w:rFonts w:cstheme="minorHAnsi"/>
                <w:color w:val="0000FF"/>
              </w:rPr>
              <w:t>,</w:t>
            </w:r>
            <w:r w:rsidRPr="00F2339D">
              <w:rPr>
                <w:rFonts w:cstheme="minorHAnsi"/>
                <w:color w:val="0000FF"/>
              </w:rPr>
              <w:t>050</w:t>
            </w:r>
          </w:p>
        </w:tc>
        <w:tc>
          <w:tcPr>
            <w:tcW w:w="917" w:type="pct"/>
            <w:shd w:val="clear" w:color="auto" w:fill="auto"/>
            <w:vAlign w:val="bottom"/>
          </w:tcPr>
          <w:p w14:paraId="6EB1F767"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3.2%</w:t>
            </w:r>
          </w:p>
        </w:tc>
      </w:tr>
      <w:tr w:rsidR="00792EC5" w:rsidRPr="00626708" w14:paraId="2C47C9B5" w14:textId="77777777" w:rsidTr="00E2379F">
        <w:tc>
          <w:tcPr>
            <w:tcW w:w="1934" w:type="pct"/>
            <w:shd w:val="clear" w:color="auto" w:fill="auto"/>
            <w:hideMark/>
          </w:tcPr>
          <w:p w14:paraId="3E433E8C"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Depression</w:t>
            </w:r>
          </w:p>
        </w:tc>
        <w:tc>
          <w:tcPr>
            <w:tcW w:w="1064" w:type="pct"/>
            <w:shd w:val="clear" w:color="auto" w:fill="auto"/>
            <w:vAlign w:val="bottom"/>
          </w:tcPr>
          <w:p w14:paraId="34C35AED"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521</w:t>
            </w:r>
            <w:r>
              <w:rPr>
                <w:rFonts w:cstheme="minorHAnsi"/>
                <w:color w:val="0000FF"/>
              </w:rPr>
              <w:t>,</w:t>
            </w:r>
            <w:r w:rsidRPr="00626708">
              <w:rPr>
                <w:rFonts w:cstheme="minorHAnsi"/>
                <w:color w:val="0000FF"/>
              </w:rPr>
              <w:t>668</w:t>
            </w:r>
          </w:p>
        </w:tc>
        <w:tc>
          <w:tcPr>
            <w:tcW w:w="1085" w:type="pct"/>
            <w:shd w:val="clear" w:color="auto" w:fill="auto"/>
            <w:noWrap/>
            <w:vAlign w:val="bottom"/>
          </w:tcPr>
          <w:p w14:paraId="4583F650"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997</w:t>
            </w:r>
            <w:r>
              <w:rPr>
                <w:rFonts w:cstheme="minorHAnsi"/>
                <w:color w:val="0000FF"/>
              </w:rPr>
              <w:t>,</w:t>
            </w:r>
            <w:r w:rsidRPr="00F2339D">
              <w:rPr>
                <w:rFonts w:cstheme="minorHAnsi"/>
                <w:color w:val="0000FF"/>
              </w:rPr>
              <w:t>964</w:t>
            </w:r>
          </w:p>
        </w:tc>
        <w:tc>
          <w:tcPr>
            <w:tcW w:w="917" w:type="pct"/>
            <w:shd w:val="clear" w:color="auto" w:fill="auto"/>
            <w:vAlign w:val="bottom"/>
          </w:tcPr>
          <w:p w14:paraId="728D2816"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52.3%</w:t>
            </w:r>
          </w:p>
        </w:tc>
      </w:tr>
      <w:tr w:rsidR="00792EC5" w:rsidRPr="00626708" w14:paraId="76605FC2" w14:textId="77777777" w:rsidTr="00E2379F">
        <w:tc>
          <w:tcPr>
            <w:tcW w:w="1934" w:type="pct"/>
            <w:shd w:val="clear" w:color="auto" w:fill="auto"/>
            <w:hideMark/>
          </w:tcPr>
          <w:p w14:paraId="5911E604"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Stroke</w:t>
            </w:r>
          </w:p>
        </w:tc>
        <w:tc>
          <w:tcPr>
            <w:tcW w:w="1064" w:type="pct"/>
            <w:shd w:val="clear" w:color="auto" w:fill="auto"/>
            <w:vAlign w:val="bottom"/>
          </w:tcPr>
          <w:p w14:paraId="1EB20950"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126</w:t>
            </w:r>
            <w:r>
              <w:rPr>
                <w:rFonts w:cstheme="minorHAnsi"/>
                <w:color w:val="0000FF"/>
              </w:rPr>
              <w:t>,</w:t>
            </w:r>
            <w:r w:rsidRPr="00626708">
              <w:rPr>
                <w:rFonts w:cstheme="minorHAnsi"/>
                <w:color w:val="0000FF"/>
              </w:rPr>
              <w:t>125</w:t>
            </w:r>
          </w:p>
        </w:tc>
        <w:tc>
          <w:tcPr>
            <w:tcW w:w="1085" w:type="pct"/>
            <w:shd w:val="clear" w:color="auto" w:fill="auto"/>
            <w:noWrap/>
            <w:vAlign w:val="bottom"/>
          </w:tcPr>
          <w:p w14:paraId="2F1BFE15"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998</w:t>
            </w:r>
            <w:r>
              <w:rPr>
                <w:rFonts w:cstheme="minorHAnsi"/>
                <w:color w:val="0000FF"/>
              </w:rPr>
              <w:t>,</w:t>
            </w:r>
            <w:r w:rsidRPr="00F2339D">
              <w:rPr>
                <w:rFonts w:cstheme="minorHAnsi"/>
                <w:color w:val="0000FF"/>
              </w:rPr>
              <w:t>024</w:t>
            </w:r>
          </w:p>
        </w:tc>
        <w:tc>
          <w:tcPr>
            <w:tcW w:w="917" w:type="pct"/>
            <w:shd w:val="clear" w:color="auto" w:fill="auto"/>
            <w:vAlign w:val="bottom"/>
          </w:tcPr>
          <w:p w14:paraId="5FEF320F"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12.6%</w:t>
            </w:r>
          </w:p>
        </w:tc>
      </w:tr>
      <w:tr w:rsidR="00792EC5" w:rsidRPr="00626708" w14:paraId="2A94895E" w14:textId="77777777" w:rsidTr="00E2379F">
        <w:tc>
          <w:tcPr>
            <w:tcW w:w="1934" w:type="pct"/>
            <w:shd w:val="clear" w:color="auto" w:fill="auto"/>
            <w:hideMark/>
          </w:tcPr>
          <w:p w14:paraId="6A468E69"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Alzheimer's Disease</w:t>
            </w:r>
          </w:p>
        </w:tc>
        <w:tc>
          <w:tcPr>
            <w:tcW w:w="1064" w:type="pct"/>
            <w:shd w:val="clear" w:color="auto" w:fill="auto"/>
            <w:vAlign w:val="bottom"/>
          </w:tcPr>
          <w:p w14:paraId="2FD23294"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158</w:t>
            </w:r>
            <w:r>
              <w:rPr>
                <w:rFonts w:cstheme="minorHAnsi"/>
                <w:color w:val="0000FF"/>
              </w:rPr>
              <w:t>,</w:t>
            </w:r>
            <w:r w:rsidRPr="00626708">
              <w:rPr>
                <w:rFonts w:cstheme="minorHAnsi"/>
                <w:color w:val="0000FF"/>
              </w:rPr>
              <w:t>548</w:t>
            </w:r>
          </w:p>
        </w:tc>
        <w:tc>
          <w:tcPr>
            <w:tcW w:w="1085" w:type="pct"/>
            <w:shd w:val="clear" w:color="auto" w:fill="auto"/>
            <w:noWrap/>
            <w:vAlign w:val="bottom"/>
          </w:tcPr>
          <w:p w14:paraId="2DEB28D7"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998</w:t>
            </w:r>
            <w:r>
              <w:rPr>
                <w:rFonts w:cstheme="minorHAnsi"/>
                <w:color w:val="0000FF"/>
              </w:rPr>
              <w:t>,</w:t>
            </w:r>
            <w:r w:rsidRPr="00F2339D">
              <w:rPr>
                <w:rFonts w:cstheme="minorHAnsi"/>
                <w:color w:val="0000FF"/>
              </w:rPr>
              <w:t>033</w:t>
            </w:r>
          </w:p>
        </w:tc>
        <w:tc>
          <w:tcPr>
            <w:tcW w:w="917" w:type="pct"/>
            <w:shd w:val="clear" w:color="auto" w:fill="auto"/>
            <w:vAlign w:val="bottom"/>
          </w:tcPr>
          <w:p w14:paraId="318A881D"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15.9%</w:t>
            </w:r>
          </w:p>
        </w:tc>
      </w:tr>
      <w:tr w:rsidR="00792EC5" w:rsidRPr="00626708" w14:paraId="04E00C1F" w14:textId="77777777" w:rsidTr="00E2379F">
        <w:tc>
          <w:tcPr>
            <w:tcW w:w="1934" w:type="pct"/>
            <w:shd w:val="clear" w:color="auto" w:fill="auto"/>
            <w:hideMark/>
          </w:tcPr>
          <w:p w14:paraId="1F66A3E8"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Non-Alzheimer's Dementia</w:t>
            </w:r>
          </w:p>
        </w:tc>
        <w:tc>
          <w:tcPr>
            <w:tcW w:w="1064" w:type="pct"/>
            <w:shd w:val="clear" w:color="auto" w:fill="auto"/>
            <w:vAlign w:val="bottom"/>
          </w:tcPr>
          <w:p w14:paraId="3FAABD12"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487</w:t>
            </w:r>
            <w:r>
              <w:rPr>
                <w:rFonts w:cstheme="minorHAnsi"/>
                <w:color w:val="0000FF"/>
              </w:rPr>
              <w:t>,</w:t>
            </w:r>
            <w:r w:rsidRPr="00626708">
              <w:rPr>
                <w:rFonts w:cstheme="minorHAnsi"/>
                <w:color w:val="0000FF"/>
              </w:rPr>
              <w:t>611</w:t>
            </w:r>
          </w:p>
        </w:tc>
        <w:tc>
          <w:tcPr>
            <w:tcW w:w="1085" w:type="pct"/>
            <w:shd w:val="clear" w:color="auto" w:fill="auto"/>
            <w:noWrap/>
            <w:vAlign w:val="bottom"/>
          </w:tcPr>
          <w:p w14:paraId="14242173"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997</w:t>
            </w:r>
            <w:r>
              <w:rPr>
                <w:rFonts w:cstheme="minorHAnsi"/>
                <w:color w:val="0000FF"/>
              </w:rPr>
              <w:t>,</w:t>
            </w:r>
            <w:r w:rsidRPr="00F2339D">
              <w:rPr>
                <w:rFonts w:cstheme="minorHAnsi"/>
                <w:color w:val="0000FF"/>
              </w:rPr>
              <w:t>982</w:t>
            </w:r>
          </w:p>
        </w:tc>
        <w:tc>
          <w:tcPr>
            <w:tcW w:w="917" w:type="pct"/>
            <w:shd w:val="clear" w:color="auto" w:fill="auto"/>
            <w:vAlign w:val="bottom"/>
          </w:tcPr>
          <w:p w14:paraId="4923FE50"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48.9%</w:t>
            </w:r>
          </w:p>
        </w:tc>
      </w:tr>
      <w:tr w:rsidR="00792EC5" w:rsidRPr="00626708" w14:paraId="6897CFD1" w14:textId="77777777" w:rsidTr="00E2379F">
        <w:tc>
          <w:tcPr>
            <w:tcW w:w="1934" w:type="pct"/>
            <w:shd w:val="clear" w:color="auto" w:fill="auto"/>
            <w:hideMark/>
          </w:tcPr>
          <w:p w14:paraId="223DB890" w14:textId="77777777" w:rsidR="00792EC5" w:rsidRPr="00626708" w:rsidRDefault="00792EC5" w:rsidP="004D2C57">
            <w:pPr>
              <w:spacing w:after="0" w:line="240" w:lineRule="auto"/>
              <w:ind w:left="360" w:hanging="144"/>
              <w:rPr>
                <w:rFonts w:eastAsia="Times New Roman" w:cstheme="minorHAnsi"/>
                <w:color w:val="0000FF"/>
              </w:rPr>
            </w:pPr>
            <w:r w:rsidRPr="00626708">
              <w:rPr>
                <w:rFonts w:eastAsia="Times New Roman" w:cstheme="minorHAnsi"/>
                <w:color w:val="0000FF"/>
              </w:rPr>
              <w:t>Malnutrition or at risk for malnutrition</w:t>
            </w:r>
          </w:p>
        </w:tc>
        <w:tc>
          <w:tcPr>
            <w:tcW w:w="1064" w:type="pct"/>
            <w:shd w:val="clear" w:color="auto" w:fill="auto"/>
            <w:vAlign w:val="bottom"/>
          </w:tcPr>
          <w:p w14:paraId="34DE21BD"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54</w:t>
            </w:r>
            <w:r>
              <w:rPr>
                <w:rFonts w:cstheme="minorHAnsi"/>
                <w:color w:val="0000FF"/>
              </w:rPr>
              <w:t>,</w:t>
            </w:r>
            <w:r w:rsidRPr="00626708">
              <w:rPr>
                <w:rFonts w:cstheme="minorHAnsi"/>
                <w:color w:val="0000FF"/>
              </w:rPr>
              <w:t>712</w:t>
            </w:r>
          </w:p>
        </w:tc>
        <w:tc>
          <w:tcPr>
            <w:tcW w:w="1085" w:type="pct"/>
            <w:shd w:val="clear" w:color="auto" w:fill="auto"/>
            <w:noWrap/>
            <w:vAlign w:val="bottom"/>
          </w:tcPr>
          <w:p w14:paraId="48C116B1"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1</w:t>
            </w:r>
            <w:r>
              <w:rPr>
                <w:rFonts w:cstheme="minorHAnsi"/>
                <w:color w:val="0000FF"/>
              </w:rPr>
              <w:t>,</w:t>
            </w:r>
            <w:r w:rsidRPr="00F2339D">
              <w:rPr>
                <w:rFonts w:cstheme="minorHAnsi"/>
                <w:color w:val="0000FF"/>
              </w:rPr>
              <w:t>096</w:t>
            </w:r>
            <w:r>
              <w:rPr>
                <w:rFonts w:cstheme="minorHAnsi"/>
                <w:color w:val="0000FF"/>
              </w:rPr>
              <w:t>,</w:t>
            </w:r>
            <w:r w:rsidRPr="00F2339D">
              <w:rPr>
                <w:rFonts w:cstheme="minorHAnsi"/>
                <w:color w:val="0000FF"/>
              </w:rPr>
              <w:t>736</w:t>
            </w:r>
          </w:p>
        </w:tc>
        <w:tc>
          <w:tcPr>
            <w:tcW w:w="917" w:type="pct"/>
            <w:shd w:val="clear" w:color="auto" w:fill="auto"/>
            <w:vAlign w:val="bottom"/>
          </w:tcPr>
          <w:p w14:paraId="329065A2"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5.0%</w:t>
            </w:r>
          </w:p>
        </w:tc>
      </w:tr>
      <w:tr w:rsidR="00792EC5" w:rsidRPr="00626708" w14:paraId="15388936" w14:textId="77777777" w:rsidTr="00E2379F">
        <w:tc>
          <w:tcPr>
            <w:tcW w:w="1934" w:type="pct"/>
            <w:shd w:val="clear" w:color="auto" w:fill="auto"/>
            <w:hideMark/>
          </w:tcPr>
          <w:p w14:paraId="230C6835"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Cancer</w:t>
            </w:r>
          </w:p>
        </w:tc>
        <w:tc>
          <w:tcPr>
            <w:tcW w:w="1064" w:type="pct"/>
            <w:shd w:val="clear" w:color="auto" w:fill="auto"/>
            <w:vAlign w:val="bottom"/>
          </w:tcPr>
          <w:p w14:paraId="2E068695"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70</w:t>
            </w:r>
            <w:r>
              <w:rPr>
                <w:rFonts w:cstheme="minorHAnsi"/>
                <w:color w:val="0000FF"/>
              </w:rPr>
              <w:t>,</w:t>
            </w:r>
            <w:r w:rsidRPr="00626708">
              <w:rPr>
                <w:rFonts w:cstheme="minorHAnsi"/>
                <w:color w:val="0000FF"/>
              </w:rPr>
              <w:t>650</w:t>
            </w:r>
          </w:p>
        </w:tc>
        <w:tc>
          <w:tcPr>
            <w:tcW w:w="1085" w:type="pct"/>
            <w:shd w:val="clear" w:color="auto" w:fill="auto"/>
            <w:noWrap/>
            <w:vAlign w:val="bottom"/>
          </w:tcPr>
          <w:p w14:paraId="4B65C6FD"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1</w:t>
            </w:r>
            <w:r>
              <w:rPr>
                <w:rFonts w:cstheme="minorHAnsi"/>
                <w:color w:val="0000FF"/>
              </w:rPr>
              <w:t>,</w:t>
            </w:r>
            <w:r w:rsidRPr="00F2339D">
              <w:rPr>
                <w:rFonts w:cstheme="minorHAnsi"/>
                <w:color w:val="0000FF"/>
              </w:rPr>
              <w:t>092</w:t>
            </w:r>
            <w:r>
              <w:rPr>
                <w:rFonts w:cstheme="minorHAnsi"/>
                <w:color w:val="0000FF"/>
              </w:rPr>
              <w:t>,</w:t>
            </w:r>
            <w:r w:rsidRPr="00F2339D">
              <w:rPr>
                <w:rFonts w:cstheme="minorHAnsi"/>
                <w:color w:val="0000FF"/>
              </w:rPr>
              <w:t>814</w:t>
            </w:r>
          </w:p>
        </w:tc>
        <w:tc>
          <w:tcPr>
            <w:tcW w:w="917" w:type="pct"/>
            <w:shd w:val="clear" w:color="auto" w:fill="auto"/>
            <w:vAlign w:val="bottom"/>
          </w:tcPr>
          <w:p w14:paraId="1A8FAEFB"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6.5%</w:t>
            </w:r>
          </w:p>
        </w:tc>
      </w:tr>
      <w:tr w:rsidR="00792EC5" w:rsidRPr="00626708" w14:paraId="13079E49" w14:textId="77777777" w:rsidTr="00E2379F">
        <w:tc>
          <w:tcPr>
            <w:tcW w:w="1934" w:type="pct"/>
            <w:shd w:val="clear" w:color="auto" w:fill="auto"/>
            <w:hideMark/>
          </w:tcPr>
          <w:p w14:paraId="34F48EAC"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Anemia</w:t>
            </w:r>
          </w:p>
        </w:tc>
        <w:tc>
          <w:tcPr>
            <w:tcW w:w="1064" w:type="pct"/>
            <w:shd w:val="clear" w:color="auto" w:fill="auto"/>
            <w:vAlign w:val="bottom"/>
          </w:tcPr>
          <w:p w14:paraId="25121CDA"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296</w:t>
            </w:r>
            <w:r>
              <w:rPr>
                <w:rFonts w:cstheme="minorHAnsi"/>
                <w:color w:val="0000FF"/>
              </w:rPr>
              <w:t>,</w:t>
            </w:r>
            <w:r w:rsidRPr="00626708">
              <w:rPr>
                <w:rFonts w:cstheme="minorHAnsi"/>
                <w:color w:val="0000FF"/>
              </w:rPr>
              <w:t>653</w:t>
            </w:r>
          </w:p>
        </w:tc>
        <w:tc>
          <w:tcPr>
            <w:tcW w:w="1085" w:type="pct"/>
            <w:shd w:val="clear" w:color="auto" w:fill="auto"/>
            <w:noWrap/>
            <w:vAlign w:val="bottom"/>
          </w:tcPr>
          <w:p w14:paraId="42E98BCC"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997</w:t>
            </w:r>
            <w:r>
              <w:rPr>
                <w:rFonts w:cstheme="minorHAnsi"/>
                <w:color w:val="0000FF"/>
              </w:rPr>
              <w:t>,</w:t>
            </w:r>
            <w:r w:rsidRPr="00F2339D">
              <w:rPr>
                <w:rFonts w:cstheme="minorHAnsi"/>
                <w:color w:val="0000FF"/>
              </w:rPr>
              <w:t>914</w:t>
            </w:r>
          </w:p>
        </w:tc>
        <w:tc>
          <w:tcPr>
            <w:tcW w:w="917" w:type="pct"/>
            <w:shd w:val="clear" w:color="auto" w:fill="auto"/>
            <w:vAlign w:val="bottom"/>
          </w:tcPr>
          <w:p w14:paraId="14A4D838"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29.7%</w:t>
            </w:r>
          </w:p>
        </w:tc>
      </w:tr>
      <w:tr w:rsidR="00792EC5" w:rsidRPr="00626708" w14:paraId="30CEC35D" w14:textId="77777777" w:rsidTr="00E2379F">
        <w:tc>
          <w:tcPr>
            <w:tcW w:w="1934" w:type="pct"/>
            <w:shd w:val="clear" w:color="auto" w:fill="auto"/>
            <w:hideMark/>
          </w:tcPr>
          <w:p w14:paraId="26500401"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Heart Failure</w:t>
            </w:r>
          </w:p>
        </w:tc>
        <w:tc>
          <w:tcPr>
            <w:tcW w:w="1064" w:type="pct"/>
            <w:shd w:val="clear" w:color="auto" w:fill="auto"/>
            <w:vAlign w:val="bottom"/>
          </w:tcPr>
          <w:p w14:paraId="66B657A7"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206</w:t>
            </w:r>
            <w:r>
              <w:rPr>
                <w:rFonts w:cstheme="minorHAnsi"/>
                <w:color w:val="0000FF"/>
              </w:rPr>
              <w:t>,</w:t>
            </w:r>
            <w:r w:rsidRPr="00626708">
              <w:rPr>
                <w:rFonts w:cstheme="minorHAnsi"/>
                <w:color w:val="0000FF"/>
              </w:rPr>
              <w:t>180</w:t>
            </w:r>
          </w:p>
        </w:tc>
        <w:tc>
          <w:tcPr>
            <w:tcW w:w="1085" w:type="pct"/>
            <w:shd w:val="clear" w:color="auto" w:fill="auto"/>
            <w:noWrap/>
            <w:vAlign w:val="bottom"/>
          </w:tcPr>
          <w:p w14:paraId="7C4D91D5"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998</w:t>
            </w:r>
            <w:r>
              <w:rPr>
                <w:rFonts w:cstheme="minorHAnsi"/>
                <w:color w:val="0000FF"/>
              </w:rPr>
              <w:t>,</w:t>
            </w:r>
            <w:r w:rsidRPr="00F2339D">
              <w:rPr>
                <w:rFonts w:cstheme="minorHAnsi"/>
                <w:color w:val="0000FF"/>
              </w:rPr>
              <w:t>029</w:t>
            </w:r>
          </w:p>
        </w:tc>
        <w:tc>
          <w:tcPr>
            <w:tcW w:w="917" w:type="pct"/>
            <w:shd w:val="clear" w:color="auto" w:fill="auto"/>
            <w:vAlign w:val="bottom"/>
          </w:tcPr>
          <w:p w14:paraId="46E0955C"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20.7%</w:t>
            </w:r>
          </w:p>
        </w:tc>
      </w:tr>
      <w:tr w:rsidR="00792EC5" w:rsidRPr="00626708" w14:paraId="68A7B827" w14:textId="77777777" w:rsidTr="00E2379F">
        <w:tc>
          <w:tcPr>
            <w:tcW w:w="1934" w:type="pct"/>
            <w:shd w:val="clear" w:color="auto" w:fill="auto"/>
            <w:hideMark/>
          </w:tcPr>
          <w:p w14:paraId="07299191"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Hypertension</w:t>
            </w:r>
          </w:p>
        </w:tc>
        <w:tc>
          <w:tcPr>
            <w:tcW w:w="1064" w:type="pct"/>
            <w:shd w:val="clear" w:color="auto" w:fill="auto"/>
            <w:vAlign w:val="bottom"/>
          </w:tcPr>
          <w:p w14:paraId="60C225CA"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767</w:t>
            </w:r>
            <w:r>
              <w:rPr>
                <w:rFonts w:cstheme="minorHAnsi"/>
                <w:color w:val="0000FF"/>
              </w:rPr>
              <w:t>,</w:t>
            </w:r>
            <w:r w:rsidRPr="00626708">
              <w:rPr>
                <w:rFonts w:cstheme="minorHAnsi"/>
                <w:color w:val="0000FF"/>
              </w:rPr>
              <w:t>986</w:t>
            </w:r>
          </w:p>
        </w:tc>
        <w:tc>
          <w:tcPr>
            <w:tcW w:w="1085" w:type="pct"/>
            <w:shd w:val="clear" w:color="auto" w:fill="auto"/>
            <w:noWrap/>
            <w:vAlign w:val="bottom"/>
          </w:tcPr>
          <w:p w14:paraId="1330A67B"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997</w:t>
            </w:r>
            <w:r>
              <w:rPr>
                <w:rFonts w:cstheme="minorHAnsi"/>
                <w:color w:val="0000FF"/>
              </w:rPr>
              <w:t>,</w:t>
            </w:r>
            <w:r w:rsidRPr="00F2339D">
              <w:rPr>
                <w:rFonts w:cstheme="minorHAnsi"/>
                <w:color w:val="0000FF"/>
              </w:rPr>
              <w:t>934</w:t>
            </w:r>
          </w:p>
        </w:tc>
        <w:tc>
          <w:tcPr>
            <w:tcW w:w="917" w:type="pct"/>
            <w:shd w:val="clear" w:color="auto" w:fill="auto"/>
            <w:vAlign w:val="bottom"/>
          </w:tcPr>
          <w:p w14:paraId="4C6F65F8"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77.0%</w:t>
            </w:r>
          </w:p>
        </w:tc>
      </w:tr>
      <w:tr w:rsidR="00792EC5" w:rsidRPr="00626708" w14:paraId="3C1D42B5" w14:textId="77777777" w:rsidTr="00E2379F">
        <w:tc>
          <w:tcPr>
            <w:tcW w:w="1934" w:type="pct"/>
            <w:shd w:val="clear" w:color="auto" w:fill="auto"/>
            <w:hideMark/>
          </w:tcPr>
          <w:p w14:paraId="0550A0F0"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Diabetes Mellitus</w:t>
            </w:r>
          </w:p>
        </w:tc>
        <w:tc>
          <w:tcPr>
            <w:tcW w:w="1064" w:type="pct"/>
            <w:shd w:val="clear" w:color="auto" w:fill="auto"/>
            <w:vAlign w:val="bottom"/>
          </w:tcPr>
          <w:p w14:paraId="013AD8D4"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379</w:t>
            </w:r>
            <w:r>
              <w:rPr>
                <w:rFonts w:cstheme="minorHAnsi"/>
                <w:color w:val="0000FF"/>
              </w:rPr>
              <w:t>,</w:t>
            </w:r>
            <w:r w:rsidRPr="00626708">
              <w:rPr>
                <w:rFonts w:cstheme="minorHAnsi"/>
                <w:color w:val="0000FF"/>
              </w:rPr>
              <w:t>808</w:t>
            </w:r>
          </w:p>
        </w:tc>
        <w:tc>
          <w:tcPr>
            <w:tcW w:w="1085" w:type="pct"/>
            <w:shd w:val="clear" w:color="auto" w:fill="auto"/>
            <w:noWrap/>
            <w:vAlign w:val="bottom"/>
          </w:tcPr>
          <w:p w14:paraId="499CF4FD"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1</w:t>
            </w:r>
            <w:r>
              <w:rPr>
                <w:rFonts w:cstheme="minorHAnsi"/>
                <w:color w:val="0000FF"/>
              </w:rPr>
              <w:t>,</w:t>
            </w:r>
            <w:r w:rsidRPr="00F2339D">
              <w:rPr>
                <w:rFonts w:cstheme="minorHAnsi"/>
                <w:color w:val="0000FF"/>
              </w:rPr>
              <w:t>096</w:t>
            </w:r>
            <w:r>
              <w:rPr>
                <w:rFonts w:cstheme="minorHAnsi"/>
                <w:color w:val="0000FF"/>
              </w:rPr>
              <w:t>,</w:t>
            </w:r>
            <w:r w:rsidRPr="00F2339D">
              <w:rPr>
                <w:rFonts w:cstheme="minorHAnsi"/>
                <w:color w:val="0000FF"/>
              </w:rPr>
              <w:t>697</w:t>
            </w:r>
          </w:p>
        </w:tc>
        <w:tc>
          <w:tcPr>
            <w:tcW w:w="917" w:type="pct"/>
            <w:shd w:val="clear" w:color="auto" w:fill="auto"/>
            <w:vAlign w:val="bottom"/>
          </w:tcPr>
          <w:p w14:paraId="256F5BB0"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34.6%</w:t>
            </w:r>
          </w:p>
        </w:tc>
      </w:tr>
      <w:tr w:rsidR="00792EC5" w:rsidRPr="00626708" w14:paraId="1BD42DB0" w14:textId="77777777" w:rsidTr="00E2379F">
        <w:tc>
          <w:tcPr>
            <w:tcW w:w="1934" w:type="pct"/>
            <w:shd w:val="clear" w:color="auto" w:fill="auto"/>
            <w:hideMark/>
          </w:tcPr>
          <w:p w14:paraId="4994F671" w14:textId="77777777" w:rsidR="00792EC5" w:rsidRPr="00626708" w:rsidRDefault="00792EC5" w:rsidP="00792EC5">
            <w:pPr>
              <w:spacing w:after="0" w:line="240" w:lineRule="auto"/>
              <w:ind w:firstLineChars="100" w:firstLine="220"/>
              <w:rPr>
                <w:rFonts w:eastAsia="Times New Roman" w:cstheme="minorHAnsi"/>
                <w:color w:val="0000FF"/>
              </w:rPr>
            </w:pPr>
            <w:r w:rsidRPr="00626708">
              <w:rPr>
                <w:rFonts w:eastAsia="Times New Roman" w:cstheme="minorHAnsi"/>
                <w:color w:val="0000FF"/>
              </w:rPr>
              <w:t>Anxiety Disorder</w:t>
            </w:r>
          </w:p>
        </w:tc>
        <w:tc>
          <w:tcPr>
            <w:tcW w:w="1064" w:type="pct"/>
            <w:shd w:val="clear" w:color="auto" w:fill="auto"/>
            <w:vAlign w:val="bottom"/>
          </w:tcPr>
          <w:p w14:paraId="72BF1AF9"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349</w:t>
            </w:r>
            <w:r>
              <w:rPr>
                <w:rFonts w:cstheme="minorHAnsi"/>
                <w:color w:val="0000FF"/>
              </w:rPr>
              <w:t>,</w:t>
            </w:r>
            <w:r w:rsidRPr="00626708">
              <w:rPr>
                <w:rFonts w:cstheme="minorHAnsi"/>
                <w:color w:val="0000FF"/>
              </w:rPr>
              <w:t>318</w:t>
            </w:r>
          </w:p>
        </w:tc>
        <w:tc>
          <w:tcPr>
            <w:tcW w:w="1085" w:type="pct"/>
            <w:shd w:val="clear" w:color="auto" w:fill="auto"/>
            <w:noWrap/>
            <w:vAlign w:val="bottom"/>
          </w:tcPr>
          <w:p w14:paraId="287ABF11"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1</w:t>
            </w:r>
            <w:r>
              <w:rPr>
                <w:rFonts w:cstheme="minorHAnsi"/>
                <w:color w:val="0000FF"/>
              </w:rPr>
              <w:t>,</w:t>
            </w:r>
            <w:r w:rsidRPr="00F2339D">
              <w:rPr>
                <w:rFonts w:cstheme="minorHAnsi"/>
                <w:color w:val="0000FF"/>
              </w:rPr>
              <w:t>096</w:t>
            </w:r>
            <w:r>
              <w:rPr>
                <w:rFonts w:cstheme="minorHAnsi"/>
                <w:color w:val="0000FF"/>
              </w:rPr>
              <w:t>,</w:t>
            </w:r>
            <w:r w:rsidRPr="00F2339D">
              <w:rPr>
                <w:rFonts w:cstheme="minorHAnsi"/>
                <w:color w:val="0000FF"/>
              </w:rPr>
              <w:t>632</w:t>
            </w:r>
          </w:p>
        </w:tc>
        <w:tc>
          <w:tcPr>
            <w:tcW w:w="917" w:type="pct"/>
            <w:shd w:val="clear" w:color="auto" w:fill="auto"/>
            <w:vAlign w:val="bottom"/>
          </w:tcPr>
          <w:p w14:paraId="0800A55A"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31.9%</w:t>
            </w:r>
          </w:p>
        </w:tc>
      </w:tr>
      <w:tr w:rsidR="00792EC5" w:rsidRPr="00626708" w14:paraId="54E35F56" w14:textId="77777777" w:rsidTr="00E2379F">
        <w:tc>
          <w:tcPr>
            <w:tcW w:w="1934" w:type="pct"/>
            <w:tcBorders>
              <w:bottom w:val="single" w:sz="12" w:space="0" w:color="auto"/>
            </w:tcBorders>
            <w:shd w:val="clear" w:color="auto" w:fill="auto"/>
            <w:hideMark/>
          </w:tcPr>
          <w:p w14:paraId="57A32829" w14:textId="1DB638C4" w:rsidR="00792EC5" w:rsidRPr="004D2C57" w:rsidRDefault="00792EC5" w:rsidP="004D2C57">
            <w:pPr>
              <w:spacing w:after="0" w:line="240" w:lineRule="auto"/>
              <w:ind w:left="360" w:hanging="144"/>
              <w:rPr>
                <w:rFonts w:eastAsia="Times New Roman" w:cs="Times New Roman"/>
                <w:color w:val="0000FF"/>
              </w:rPr>
            </w:pPr>
            <w:r w:rsidRPr="004D2C57">
              <w:rPr>
                <w:rFonts w:eastAsia="Times New Roman" w:cs="Times New Roman"/>
                <w:color w:val="0000FF"/>
              </w:rPr>
              <w:t>Asthma, Chronic Obstructive Pulmonary Disease, or</w:t>
            </w:r>
            <w:r w:rsidR="004D2C57" w:rsidRPr="004D2C57">
              <w:rPr>
                <w:rFonts w:eastAsia="Times New Roman" w:cs="Times New Roman"/>
                <w:color w:val="0000FF"/>
              </w:rPr>
              <w:t xml:space="preserve"> </w:t>
            </w:r>
            <w:r w:rsidRPr="004D2C57">
              <w:rPr>
                <w:rFonts w:eastAsia="Times New Roman" w:cs="Times New Roman"/>
                <w:color w:val="0000FF"/>
              </w:rPr>
              <w:t>Chronic Lung Disease</w:t>
            </w:r>
          </w:p>
        </w:tc>
        <w:tc>
          <w:tcPr>
            <w:tcW w:w="1064" w:type="pct"/>
            <w:tcBorders>
              <w:bottom w:val="single" w:sz="12" w:space="0" w:color="auto"/>
            </w:tcBorders>
            <w:shd w:val="clear" w:color="auto" w:fill="auto"/>
            <w:vAlign w:val="bottom"/>
          </w:tcPr>
          <w:p w14:paraId="29489353" w14:textId="77777777" w:rsidR="00792EC5" w:rsidRPr="00626708" w:rsidRDefault="00792EC5" w:rsidP="00792EC5">
            <w:pPr>
              <w:spacing w:after="0" w:line="240" w:lineRule="auto"/>
              <w:ind w:right="327"/>
              <w:jc w:val="right"/>
              <w:rPr>
                <w:rFonts w:eastAsia="Times New Roman" w:cstheme="minorHAnsi"/>
                <w:color w:val="0000FF"/>
              </w:rPr>
            </w:pPr>
            <w:r w:rsidRPr="00626708">
              <w:rPr>
                <w:rFonts w:cstheme="minorHAnsi"/>
                <w:color w:val="0000FF"/>
              </w:rPr>
              <w:t>228</w:t>
            </w:r>
            <w:r>
              <w:rPr>
                <w:rFonts w:cstheme="minorHAnsi"/>
                <w:color w:val="0000FF"/>
              </w:rPr>
              <w:t>,</w:t>
            </w:r>
            <w:r w:rsidRPr="00626708">
              <w:rPr>
                <w:rFonts w:cstheme="minorHAnsi"/>
                <w:color w:val="0000FF"/>
              </w:rPr>
              <w:t>523</w:t>
            </w:r>
          </w:p>
        </w:tc>
        <w:tc>
          <w:tcPr>
            <w:tcW w:w="1085" w:type="pct"/>
            <w:tcBorders>
              <w:bottom w:val="single" w:sz="12" w:space="0" w:color="auto"/>
            </w:tcBorders>
            <w:shd w:val="clear" w:color="auto" w:fill="auto"/>
            <w:noWrap/>
            <w:vAlign w:val="bottom"/>
          </w:tcPr>
          <w:p w14:paraId="6048963E" w14:textId="77777777" w:rsidR="00792EC5" w:rsidRPr="00F2339D" w:rsidRDefault="00792EC5" w:rsidP="00792EC5">
            <w:pPr>
              <w:tabs>
                <w:tab w:val="decimal" w:pos="627"/>
              </w:tabs>
              <w:spacing w:after="0" w:line="240" w:lineRule="auto"/>
              <w:rPr>
                <w:rFonts w:eastAsia="Times New Roman" w:cstheme="minorHAnsi"/>
                <w:color w:val="0000FF"/>
              </w:rPr>
            </w:pPr>
            <w:r w:rsidRPr="00F2339D">
              <w:rPr>
                <w:rFonts w:cstheme="minorHAnsi"/>
                <w:color w:val="0000FF"/>
              </w:rPr>
              <w:t>998</w:t>
            </w:r>
            <w:r>
              <w:rPr>
                <w:rFonts w:cstheme="minorHAnsi"/>
                <w:color w:val="0000FF"/>
              </w:rPr>
              <w:t>,</w:t>
            </w:r>
            <w:r w:rsidRPr="00F2339D">
              <w:rPr>
                <w:rFonts w:cstheme="minorHAnsi"/>
                <w:color w:val="0000FF"/>
              </w:rPr>
              <w:t>035</w:t>
            </w:r>
          </w:p>
        </w:tc>
        <w:tc>
          <w:tcPr>
            <w:tcW w:w="917" w:type="pct"/>
            <w:tcBorders>
              <w:bottom w:val="single" w:sz="12" w:space="0" w:color="auto"/>
            </w:tcBorders>
            <w:shd w:val="clear" w:color="auto" w:fill="auto"/>
            <w:vAlign w:val="bottom"/>
          </w:tcPr>
          <w:p w14:paraId="5BB8A01D" w14:textId="77777777" w:rsidR="00792EC5" w:rsidRPr="00626708" w:rsidRDefault="00792EC5" w:rsidP="00792EC5">
            <w:pPr>
              <w:tabs>
                <w:tab w:val="decimal" w:pos="627"/>
              </w:tabs>
              <w:spacing w:after="0" w:line="240" w:lineRule="auto"/>
              <w:rPr>
                <w:rFonts w:cstheme="minorHAnsi"/>
                <w:color w:val="0000FF"/>
              </w:rPr>
            </w:pPr>
            <w:r>
              <w:rPr>
                <w:rFonts w:cstheme="minorHAnsi"/>
                <w:color w:val="0000FF"/>
              </w:rPr>
              <w:t>22.9%</w:t>
            </w:r>
          </w:p>
        </w:tc>
      </w:tr>
    </w:tbl>
    <w:p w14:paraId="31CD482D" w14:textId="4B9AE882" w:rsidR="00792EC5" w:rsidRPr="006C5C5E" w:rsidRDefault="00E2373F" w:rsidP="00792EC5">
      <w:pPr>
        <w:autoSpaceDE w:val="0"/>
        <w:autoSpaceDN w:val="0"/>
        <w:adjustRightInd w:val="0"/>
        <w:spacing w:after="0" w:line="240" w:lineRule="auto"/>
        <w:rPr>
          <w:rFonts w:cstheme="minorHAnsi"/>
          <w:bCs/>
          <w:color w:val="0000FF"/>
          <w:sz w:val="20"/>
          <w:szCs w:val="20"/>
        </w:rPr>
      </w:pPr>
      <w:r>
        <w:rPr>
          <w:rFonts w:cstheme="minorHAnsi"/>
          <w:color w:val="0000FF"/>
          <w:sz w:val="20"/>
        </w:rPr>
        <w:t>Source</w:t>
      </w:r>
      <w:r w:rsidR="00792EC5" w:rsidRPr="0039084A">
        <w:rPr>
          <w:rFonts w:cstheme="minorHAnsi"/>
          <w:color w:val="0000FF"/>
          <w:sz w:val="20"/>
        </w:rPr>
        <w:t>: RTI analysis of Q</w:t>
      </w:r>
      <w:r w:rsidR="00792EC5">
        <w:rPr>
          <w:rFonts w:cstheme="minorHAnsi"/>
          <w:color w:val="0000FF"/>
          <w:sz w:val="20"/>
        </w:rPr>
        <w:t>3</w:t>
      </w:r>
      <w:r w:rsidR="00792EC5" w:rsidRPr="0039084A">
        <w:rPr>
          <w:rFonts w:cstheme="minorHAnsi"/>
          <w:color w:val="0000FF"/>
          <w:sz w:val="20"/>
        </w:rPr>
        <w:t xml:space="preserve">, 2018 MDS 3.0 data (programming reference: </w:t>
      </w:r>
      <w:r w:rsidR="00792EC5" w:rsidRPr="00696CF5">
        <w:rPr>
          <w:rFonts w:cstheme="minorHAnsi"/>
          <w:color w:val="0000FF"/>
          <w:sz w:val="20"/>
        </w:rPr>
        <w:t>kh29_47\hf13_request_684_31_32.log</w:t>
      </w:r>
      <w:r w:rsidR="00792EC5" w:rsidRPr="0039084A">
        <w:rPr>
          <w:rFonts w:cstheme="minorHAnsi"/>
          <w:color w:val="0000FF"/>
          <w:sz w:val="20"/>
          <w:szCs w:val="20"/>
        </w:rPr>
        <w:t>)</w:t>
      </w:r>
    </w:p>
    <w:p w14:paraId="11D77D83" w14:textId="77777777" w:rsidR="00792EC5" w:rsidRDefault="00792EC5" w:rsidP="00DB3627">
      <w:pPr>
        <w:autoSpaceDE w:val="0"/>
        <w:autoSpaceDN w:val="0"/>
        <w:adjustRightInd w:val="0"/>
        <w:spacing w:after="0" w:line="240" w:lineRule="auto"/>
        <w:rPr>
          <w:rFonts w:cstheme="minorHAnsi"/>
          <w:bCs/>
        </w:rPr>
      </w:pP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67AF6192" w14:textId="51070FD2" w:rsidR="00E93FE4" w:rsidRPr="00EA5CCD" w:rsidRDefault="0026291B" w:rsidP="00F40A4E">
      <w:pPr>
        <w:pStyle w:val="Response"/>
        <w:ind w:left="360"/>
      </w:pPr>
      <w:bookmarkStart w:id="14" w:name="_Hlk14964671"/>
      <w:r>
        <w:t>All</w:t>
      </w:r>
      <w:r w:rsidRPr="00EA5CCD">
        <w:t xml:space="preserve"> </w:t>
      </w:r>
      <w:r w:rsidR="00E93FE4" w:rsidRPr="00EA5CCD">
        <w:t xml:space="preserve">analyses used the same data as described above in </w:t>
      </w:r>
      <w:r w:rsidR="002A6972" w:rsidRPr="002A6972">
        <w:rPr>
          <w:b/>
          <w:bCs w:val="0"/>
        </w:rPr>
        <w:t>S</w:t>
      </w:r>
      <w:r w:rsidR="00E93FE4" w:rsidRPr="002A6972">
        <w:rPr>
          <w:b/>
          <w:bCs w:val="0"/>
        </w:rPr>
        <w:t>ections 1.5</w:t>
      </w:r>
      <w:r w:rsidR="00E93FE4" w:rsidRPr="00EA5CCD">
        <w:t xml:space="preserve"> and </w:t>
      </w:r>
      <w:r w:rsidR="00E93FE4" w:rsidRPr="002A6972">
        <w:rPr>
          <w:b/>
          <w:bCs w:val="0"/>
        </w:rPr>
        <w:t>1.6</w:t>
      </w:r>
      <w:r w:rsidR="00E93FE4" w:rsidRPr="00EA5CCD">
        <w:t xml:space="preserve">. </w:t>
      </w:r>
    </w:p>
    <w:bookmarkEnd w:id="14"/>
    <w:p w14:paraId="4E3F1A6B" w14:textId="77777777" w:rsidR="00E93FE4" w:rsidRPr="00EA5CCD" w:rsidRDefault="00E93FE4" w:rsidP="00F40A4E">
      <w:pPr>
        <w:pStyle w:val="Response"/>
        <w:spacing w:after="0"/>
        <w:ind w:left="360"/>
        <w:rPr>
          <w:b/>
        </w:rPr>
      </w:pPr>
      <w:r w:rsidRPr="00EA5CCD">
        <w:rPr>
          <w:b/>
        </w:rPr>
        <w:t>Data for Critical Data Elements</w:t>
      </w:r>
    </w:p>
    <w:p w14:paraId="66020AE9" w14:textId="1500A8A3" w:rsidR="00D65D48" w:rsidRPr="00F92B38" w:rsidRDefault="00D65D48" w:rsidP="00F40A4E">
      <w:pPr>
        <w:pStyle w:val="BodyText"/>
        <w:autoSpaceDE w:val="0"/>
        <w:autoSpaceDN w:val="0"/>
        <w:adjustRightInd w:val="0"/>
        <w:spacing w:after="240" w:line="240" w:lineRule="auto"/>
        <w:ind w:left="360"/>
        <w:rPr>
          <w:color w:val="0000FF"/>
        </w:rPr>
      </w:pPr>
      <w:r w:rsidRPr="00F92B38">
        <w:rPr>
          <w:color w:val="0000FF"/>
        </w:rPr>
        <w:t xml:space="preserve">RAND reliability analysis of data elements used the same sample as described in </w:t>
      </w:r>
      <w:r w:rsidR="002A6972" w:rsidRPr="002A6972">
        <w:rPr>
          <w:b/>
          <w:bCs/>
          <w:color w:val="0000FF"/>
        </w:rPr>
        <w:t>S</w:t>
      </w:r>
      <w:r w:rsidRPr="002A6972">
        <w:rPr>
          <w:b/>
          <w:bCs/>
          <w:color w:val="0000FF"/>
        </w:rPr>
        <w:t>ections 1.5</w:t>
      </w:r>
      <w:r w:rsidRPr="00F92B38">
        <w:rPr>
          <w:color w:val="0000FF"/>
        </w:rPr>
        <w:t xml:space="preserve"> and </w:t>
      </w:r>
      <w:r w:rsidRPr="002A6972">
        <w:rPr>
          <w:b/>
          <w:bCs/>
          <w:color w:val="0000FF"/>
        </w:rPr>
        <w:t>1.6</w:t>
      </w:r>
      <w:r w:rsidRPr="00F92B38">
        <w:rPr>
          <w:color w:val="0000FF"/>
        </w:rPr>
        <w:t xml:space="preserve"> (</w:t>
      </w:r>
      <w:proofErr w:type="spellStart"/>
      <w:r w:rsidRPr="00F92B38">
        <w:rPr>
          <w:color w:val="0000FF"/>
        </w:rPr>
        <w:t>Saliba</w:t>
      </w:r>
      <w:proofErr w:type="spellEnd"/>
      <w:r w:rsidRPr="00F92B38">
        <w:rPr>
          <w:color w:val="0000FF"/>
        </w:rPr>
        <w:t xml:space="preserve"> &amp; Buchanan, 2008). </w:t>
      </w:r>
    </w:p>
    <w:p w14:paraId="2CF1F922" w14:textId="77777777" w:rsidR="00E93FE4" w:rsidRPr="00EA5CCD" w:rsidRDefault="00E93FE4" w:rsidP="00F40A4E">
      <w:pPr>
        <w:pStyle w:val="Response"/>
        <w:spacing w:after="0"/>
        <w:ind w:left="360"/>
        <w:rPr>
          <w:b/>
          <w:bCs w:val="0"/>
        </w:rPr>
      </w:pPr>
      <w:r w:rsidRPr="00EA5CCD">
        <w:rPr>
          <w:b/>
          <w:bCs w:val="0"/>
        </w:rPr>
        <w:t>Data for Measure Performance Score Testing</w:t>
      </w:r>
    </w:p>
    <w:p w14:paraId="58F24DA1" w14:textId="4BED001A" w:rsidR="00623ED9" w:rsidRPr="009162EA" w:rsidRDefault="00623ED9" w:rsidP="00F40A4E">
      <w:pPr>
        <w:pStyle w:val="NormalWeb"/>
        <w:autoSpaceDE w:val="0"/>
        <w:autoSpaceDN w:val="0"/>
        <w:adjustRightInd w:val="0"/>
        <w:spacing w:before="0" w:beforeAutospacing="0" w:after="240" w:afterAutospacing="0"/>
        <w:ind w:left="360"/>
        <w:rPr>
          <w:rFonts w:asciiTheme="minorHAnsi" w:hAnsiTheme="minorHAnsi"/>
          <w:color w:val="0000FF"/>
          <w:sz w:val="22"/>
        </w:rPr>
      </w:pPr>
      <w:r w:rsidRPr="009162EA">
        <w:rPr>
          <w:rFonts w:asciiTheme="minorHAnsi" w:hAnsiTheme="minorHAnsi"/>
          <w:color w:val="0000FF"/>
          <w:sz w:val="22"/>
        </w:rPr>
        <w:t xml:space="preserve">RTI analyses used the same data as described in </w:t>
      </w:r>
      <w:r w:rsidR="002A6972" w:rsidRPr="002A6972">
        <w:rPr>
          <w:rFonts w:asciiTheme="minorHAnsi" w:hAnsiTheme="minorHAnsi"/>
          <w:b/>
          <w:bCs/>
          <w:color w:val="0000FF"/>
          <w:sz w:val="22"/>
        </w:rPr>
        <w:t>S</w:t>
      </w:r>
      <w:r w:rsidRPr="002A6972">
        <w:rPr>
          <w:rFonts w:asciiTheme="minorHAnsi" w:hAnsiTheme="minorHAnsi"/>
          <w:b/>
          <w:bCs/>
          <w:color w:val="0000FF"/>
          <w:sz w:val="22"/>
        </w:rPr>
        <w:t>ections 1.5</w:t>
      </w:r>
      <w:r w:rsidRPr="009162EA">
        <w:rPr>
          <w:rFonts w:asciiTheme="minorHAnsi" w:hAnsiTheme="minorHAnsi"/>
          <w:color w:val="0000FF"/>
          <w:sz w:val="22"/>
        </w:rPr>
        <w:t xml:space="preserve"> and </w:t>
      </w:r>
      <w:r w:rsidRPr="002A6972">
        <w:rPr>
          <w:rFonts w:asciiTheme="minorHAnsi" w:hAnsiTheme="minorHAnsi"/>
          <w:b/>
          <w:bCs/>
          <w:color w:val="0000FF"/>
          <w:sz w:val="22"/>
        </w:rPr>
        <w:t>1.6</w:t>
      </w:r>
      <w:r w:rsidRPr="009162EA">
        <w:rPr>
          <w:rFonts w:asciiTheme="minorHAnsi" w:hAnsiTheme="minorHAnsi"/>
          <w:color w:val="0000FF"/>
          <w:sz w:val="22"/>
        </w:rPr>
        <w:t xml:space="preserve">. </w:t>
      </w:r>
    </w:p>
    <w:p w14:paraId="6298EE4E" w14:textId="6E39F3D9" w:rsidR="00623ED9" w:rsidRPr="009162EA" w:rsidRDefault="00623ED9" w:rsidP="00F40A4E">
      <w:pPr>
        <w:pStyle w:val="Response"/>
        <w:ind w:left="720" w:hanging="360"/>
        <w:rPr>
          <w:sz w:val="20"/>
        </w:rPr>
      </w:pPr>
      <w:proofErr w:type="spellStart"/>
      <w:r w:rsidRPr="009162EA">
        <w:rPr>
          <w:sz w:val="20"/>
        </w:rPr>
        <w:t>Saliba</w:t>
      </w:r>
      <w:proofErr w:type="spellEnd"/>
      <w:r w:rsidRPr="009162EA">
        <w:rPr>
          <w:sz w:val="20"/>
        </w:rPr>
        <w:t xml:space="preserve">, D., &amp; Buchanan, J. (2008, April). Development and validation of a revised nursing home assessment tool: MDS 3.0. Contract No. 500-00-0027/Task Order #2. Santa Monica, CA: Rand Corporation. Retrieved from </w:t>
      </w:r>
      <w:hyperlink r:id="rId15" w:history="1">
        <w:r w:rsidRPr="009162EA">
          <w:rPr>
            <w:rStyle w:val="Hyperlink"/>
            <w:color w:val="0000FF"/>
            <w:sz w:val="20"/>
          </w:rPr>
          <w:t>http://www.cms.hhs.gov/NursingHomeQualityInits/Downloads/MDS30FinalReport.pdf</w:t>
        </w:r>
      </w:hyperlink>
      <w:r w:rsidRPr="009162EA">
        <w:rPr>
          <w:sz w:val="20"/>
        </w:rPr>
        <w:t>.</w:t>
      </w:r>
    </w:p>
    <w:p w14:paraId="0CABCFCC" w14:textId="5853576A"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057C3D63" w14:textId="2A7EA595" w:rsidR="00E93FE4" w:rsidRPr="00EA5CCD" w:rsidRDefault="00E93FE4" w:rsidP="00F40A4E">
      <w:pPr>
        <w:pStyle w:val="Response"/>
        <w:ind w:left="360"/>
      </w:pPr>
      <w:r w:rsidRPr="00EA5CCD">
        <w:t xml:space="preserve">Analyses are based on </w:t>
      </w:r>
      <w:r w:rsidR="007C5E9E">
        <w:t xml:space="preserve">resident-level </w:t>
      </w:r>
      <w:r w:rsidRPr="00EA5CCD">
        <w:t xml:space="preserve">social risk factor variables related to </w:t>
      </w:r>
      <w:r w:rsidR="00105C72">
        <w:t xml:space="preserve">urinary tract infection </w:t>
      </w:r>
      <w:r w:rsidRPr="00EA5CCD">
        <w:t>and available in the MDS 3.0, including</w:t>
      </w:r>
      <w:r w:rsidR="00312EFF">
        <w:t xml:space="preserve"> race/ethnicity</w:t>
      </w:r>
      <w:r w:rsidR="002F491E">
        <w:t>,</w:t>
      </w:r>
      <w:r w:rsidRPr="00EA5CCD">
        <w:t xml:space="preserve"> </w:t>
      </w:r>
      <w:r w:rsidRPr="0039084A">
        <w:t>Medicaid status, gender, and age.</w:t>
      </w:r>
      <w:r w:rsidR="00FD03BC">
        <w:t xml:space="preserve"> We selected these resident-level social risk factors based on literature showing that UTI can vary by gender, race/ethnicity, Medicaid status, and age. </w:t>
      </w:r>
    </w:p>
    <w:p w14:paraId="0CABCFCD" w14:textId="77777777" w:rsidR="004348CC" w:rsidRPr="00E37E1B" w:rsidRDefault="00E37E1B" w:rsidP="00E37E1B">
      <w:pPr>
        <w:autoSpaceDE w:val="0"/>
        <w:autoSpaceDN w:val="0"/>
        <w:adjustRightInd w:val="0"/>
        <w:spacing w:after="0" w:line="240" w:lineRule="auto"/>
        <w:rPr>
          <w:rFonts w:cstheme="minorHAnsi"/>
          <w:bCs/>
        </w:rPr>
      </w:pPr>
      <w:r>
        <w:rPr>
          <w:rFonts w:cstheme="minorHAnsi"/>
          <w:noProof/>
        </w:rPr>
        <w:lastRenderedPageBreak/>
        <w:t>_______________</w:t>
      </w:r>
      <w:r w:rsidR="003755CB">
        <w:rPr>
          <w:rFonts w:cstheme="minorHAnsi"/>
          <w:noProof/>
        </w:rPr>
        <w:t>_________</w:t>
      </w:r>
    </w:p>
    <w:p w14:paraId="0CABCFCE" w14:textId="7F5DF901"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7C7EF7F0"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105C72">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105C72">
            <w:rPr>
              <w:rFonts w:ascii="MS Gothic" w:eastAsia="MS Gothic" w:hAnsi="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7D636A78" w14:textId="77777777" w:rsidR="00AC6B33" w:rsidRPr="00EA5CCD" w:rsidRDefault="00AC6B33" w:rsidP="00BD3852">
      <w:pPr>
        <w:pStyle w:val="Response"/>
        <w:spacing w:after="0"/>
        <w:rPr>
          <w:b/>
          <w:bCs w:val="0"/>
        </w:rPr>
      </w:pPr>
      <w:r w:rsidRPr="00EA5CCD">
        <w:rPr>
          <w:b/>
          <w:bCs w:val="0"/>
        </w:rPr>
        <w:t>Critical Data Element Reliability</w:t>
      </w:r>
    </w:p>
    <w:p w14:paraId="064BC398" w14:textId="4C95F972" w:rsidR="00D225E2" w:rsidRPr="00EA5CCD" w:rsidRDefault="00AC6B33" w:rsidP="00BD3852">
      <w:pPr>
        <w:pStyle w:val="Response"/>
        <w:numPr>
          <w:ilvl w:val="0"/>
          <w:numId w:val="5"/>
        </w:numPr>
        <w:spacing w:before="0"/>
      </w:pPr>
      <w:r w:rsidRPr="00EA5CCD">
        <w:t>The national test of MDS 3.0 items examined the agreement between assessors (reliability). Quality Improvement Organizations were employed to identify gold-standard (research) nurses and recruit community nursing facilities to participate in the national evaluation (</w:t>
      </w:r>
      <w:proofErr w:type="spellStart"/>
      <w:r w:rsidR="00E63482">
        <w:t>Saliba</w:t>
      </w:r>
      <w:proofErr w:type="spellEnd"/>
      <w:r w:rsidR="00E63482">
        <w:t xml:space="preserve"> &amp; Buchanan, 2008</w:t>
      </w:r>
      <w:r w:rsidRPr="00EA5CCD">
        <w:t>). The gold-standard nurses were trained in the MDS 3.0 instrument, and they, in turn, trained a facility nurse from each participating nursing facility in their home states. Residents participating in the test were selected to capture a representative sample of short- and long-stay residents. In this national test</w:t>
      </w:r>
      <w:r w:rsidR="00D225E2">
        <w:t xml:space="preserve"> of the UTI item</w:t>
      </w:r>
      <w:r w:rsidRPr="00EA5CCD">
        <w:t xml:space="preserve">, the agreement between </w:t>
      </w:r>
      <w:r w:rsidR="00D225E2">
        <w:t xml:space="preserve">the MDS 2.0 item, coded by facility nurses, and the MDS 3.0 item, coded by </w:t>
      </w:r>
      <w:r w:rsidRPr="00EA5CCD">
        <w:t xml:space="preserve">gold-standard nurses </w:t>
      </w:r>
      <w:r w:rsidR="0055402C" w:rsidRPr="0039084A">
        <w:t>w</w:t>
      </w:r>
      <w:r w:rsidR="00D225E2">
        <w:t>as</w:t>
      </w:r>
      <w:r w:rsidR="0055402C" w:rsidRPr="0039084A">
        <w:t xml:space="preserve"> examined.</w:t>
      </w:r>
      <w:r w:rsidRPr="0039084A">
        <w:t xml:space="preserve"> </w:t>
      </w:r>
      <w:proofErr w:type="spellStart"/>
      <w:r w:rsidR="00D225E2">
        <w:t>Saliba</w:t>
      </w:r>
      <w:proofErr w:type="spellEnd"/>
      <w:r w:rsidR="00D225E2">
        <w:t xml:space="preserve"> and Buchanan (2008) present UTI rates using the MDS 2.0 and MDS 3.0 items at the resident- and facility-level, as well as Cohen’s </w:t>
      </w:r>
      <w:proofErr w:type="spellStart"/>
      <w:r w:rsidR="00D225E2">
        <w:t>kappas</w:t>
      </w:r>
      <w:proofErr w:type="spellEnd"/>
      <w:r w:rsidR="00D225E2">
        <w:t xml:space="preserve">, which </w:t>
      </w:r>
      <w:r w:rsidRPr="00EA5CCD">
        <w:t>were calculated to assess item reliability.</w:t>
      </w:r>
      <w:r w:rsidR="00E87D6C">
        <w:t xml:space="preserve"> </w:t>
      </w:r>
      <w:r w:rsidRPr="00EA5CCD">
        <w:t>Kappa is a statistical measure of inter-rater agreement for qualitative data, ranging from 0.0 to 1.0, where a rating of greater than 0.60 is considered substantial agreement (</w:t>
      </w:r>
      <w:r w:rsidR="00901AD7">
        <w:t>Landis &amp; Koch, 1977</w:t>
      </w:r>
      <w:r w:rsidRPr="00EA5CCD">
        <w:t>).</w:t>
      </w:r>
      <w:r w:rsidR="00E87D6C">
        <w:t xml:space="preserve"> </w:t>
      </w:r>
    </w:p>
    <w:p w14:paraId="089E0810" w14:textId="21A963D7" w:rsidR="002E489A" w:rsidRDefault="00AC6B33" w:rsidP="00BD3852">
      <w:pPr>
        <w:pStyle w:val="Response"/>
        <w:ind w:left="1080" w:hanging="360"/>
        <w:rPr>
          <w:sz w:val="20"/>
          <w:szCs w:val="20"/>
        </w:rPr>
      </w:pPr>
      <w:bookmarkStart w:id="15" w:name="_Hlk14965100"/>
      <w:r w:rsidRPr="00EA5CCD">
        <w:rPr>
          <w:sz w:val="20"/>
          <w:szCs w:val="20"/>
        </w:rPr>
        <w:t xml:space="preserve">Landis, JR, Koch, GG. The measurement of observer agreement for categorical data. </w:t>
      </w:r>
      <w:r w:rsidRPr="00EA5CCD">
        <w:rPr>
          <w:i/>
          <w:sz w:val="20"/>
          <w:szCs w:val="20"/>
        </w:rPr>
        <w:t>Biometrics</w:t>
      </w:r>
      <w:r w:rsidRPr="00EA5CCD">
        <w:rPr>
          <w:sz w:val="20"/>
          <w:szCs w:val="20"/>
        </w:rPr>
        <w:t xml:space="preserve"> </w:t>
      </w:r>
      <w:r w:rsidRPr="00EA5CCD">
        <w:rPr>
          <w:i/>
          <w:sz w:val="20"/>
          <w:szCs w:val="20"/>
        </w:rPr>
        <w:t>33</w:t>
      </w:r>
      <w:r w:rsidRPr="00EA5CCD">
        <w:rPr>
          <w:sz w:val="20"/>
          <w:szCs w:val="20"/>
        </w:rPr>
        <w:t>(1), p 159-174, 1977.</w:t>
      </w:r>
    </w:p>
    <w:p w14:paraId="7A67FF20" w14:textId="089E4DA4" w:rsidR="00BE3F42" w:rsidRDefault="00BE3F42" w:rsidP="00BE3F42">
      <w:pPr>
        <w:pStyle w:val="Response"/>
        <w:spacing w:before="0" w:after="0"/>
        <w:ind w:left="1080" w:hanging="360"/>
        <w:contextualSpacing/>
        <w:rPr>
          <w:sz w:val="20"/>
          <w:szCs w:val="20"/>
        </w:rPr>
      </w:pPr>
      <w:proofErr w:type="spellStart"/>
      <w:r w:rsidRPr="00EA5CCD">
        <w:rPr>
          <w:sz w:val="20"/>
          <w:szCs w:val="20"/>
        </w:rPr>
        <w:t>Saliba</w:t>
      </w:r>
      <w:proofErr w:type="spellEnd"/>
      <w:r w:rsidRPr="00EA5CCD">
        <w:rPr>
          <w:sz w:val="20"/>
          <w:szCs w:val="20"/>
        </w:rPr>
        <w:t>, D., &amp; Buchanan, J. (2008, April).</w:t>
      </w:r>
      <w:r w:rsidRPr="00EA5CCD">
        <w:rPr>
          <w:i/>
          <w:sz w:val="20"/>
          <w:szCs w:val="20"/>
        </w:rPr>
        <w:t xml:space="preserve"> Development and validation of a revised nursing home assessment tool: MDS 3.0</w:t>
      </w:r>
      <w:r w:rsidRPr="00EA5CCD">
        <w:rPr>
          <w:sz w:val="20"/>
          <w:szCs w:val="20"/>
        </w:rPr>
        <w:t xml:space="preserve">. Contract No. 500-00-0027/Task Order #2. Santa Monica, CA: Rand Corporation. Retrieved from </w:t>
      </w:r>
      <w:hyperlink r:id="rId16" w:history="1">
        <w:r w:rsidRPr="00EA5CCD">
          <w:rPr>
            <w:rStyle w:val="Hyperlink"/>
            <w:sz w:val="20"/>
            <w:szCs w:val="20"/>
          </w:rPr>
          <w:t>http://www.cms.hhs.gov/NursingHomeQualityInits/Downloads/MDS30FinalReport.pdf</w:t>
        </w:r>
      </w:hyperlink>
      <w:r w:rsidRPr="00EA5CCD">
        <w:rPr>
          <w:sz w:val="20"/>
          <w:szCs w:val="20"/>
        </w:rPr>
        <w:t>.</w:t>
      </w:r>
    </w:p>
    <w:bookmarkEnd w:id="15"/>
    <w:p w14:paraId="3C1545D3" w14:textId="77777777" w:rsidR="00BE3F42" w:rsidRPr="00EA5CCD" w:rsidRDefault="00BE3F42" w:rsidP="00BE3F42">
      <w:pPr>
        <w:pStyle w:val="Response"/>
        <w:spacing w:before="0" w:after="0"/>
        <w:ind w:left="1080" w:hanging="360"/>
        <w:contextualSpacing/>
        <w:rPr>
          <w:sz w:val="20"/>
          <w:szCs w:val="20"/>
        </w:rPr>
      </w:pPr>
    </w:p>
    <w:p w14:paraId="61B5BE0F" w14:textId="64FFC502" w:rsidR="000975AE" w:rsidRDefault="00AC6B33" w:rsidP="00BD3852">
      <w:pPr>
        <w:pStyle w:val="Response"/>
        <w:spacing w:after="0"/>
      </w:pPr>
      <w:r w:rsidRPr="00EA5CCD">
        <w:rPr>
          <w:b/>
          <w:bCs w:val="0"/>
        </w:rPr>
        <w:t>Performance Measure Score Reliability</w:t>
      </w:r>
    </w:p>
    <w:p w14:paraId="5BCDCE6C" w14:textId="2FA39919" w:rsidR="00AC6B33" w:rsidRPr="00070B78" w:rsidRDefault="000975AE" w:rsidP="00AC6B33">
      <w:pPr>
        <w:pStyle w:val="Response"/>
        <w:spacing w:before="0" w:after="0"/>
        <w:ind w:left="720" w:hanging="450"/>
      </w:pPr>
      <w:r>
        <w:t>2.</w:t>
      </w:r>
      <w:r w:rsidR="004507DF">
        <w:t>a</w:t>
      </w:r>
      <w:r>
        <w:t>.</w:t>
      </w:r>
      <w:r w:rsidR="00BD3852">
        <w:tab/>
      </w:r>
      <w:r w:rsidR="00AC6B33" w:rsidRPr="00EA5CCD">
        <w:t>Signal</w:t>
      </w:r>
      <w:r w:rsidR="00987242">
        <w:t>-</w:t>
      </w:r>
      <w:r w:rsidR="00AC6B33" w:rsidRPr="00EA5CCD">
        <w:t>to</w:t>
      </w:r>
      <w:r w:rsidR="00987242">
        <w:t>-</w:t>
      </w:r>
      <w:r w:rsidR="00AC6B33" w:rsidRPr="00EA5CCD">
        <w:t xml:space="preserve">noise analysis: If a measure is reliable, then true differences in provider performance should explain a substantial proportion of the variance in quality measure scores. A signal-to-noise analysis was performed to determine what proportion of total variance in the measure is attributable to differences among providers. This analysis used logistic regression of the measure numerator triggering for </w:t>
      </w:r>
      <w:r w:rsidR="00AC6B33" w:rsidRPr="000B00D3">
        <w:t>Quarter</w:t>
      </w:r>
      <w:r w:rsidR="00224E97">
        <w:t xml:space="preserve"> </w:t>
      </w:r>
      <w:r w:rsidR="00E228CD">
        <w:t>3</w:t>
      </w:r>
      <w:r w:rsidR="00AC6B33" w:rsidRPr="000B00D3">
        <w:t>, 201</w:t>
      </w:r>
      <w:r w:rsidR="006B0F52" w:rsidRPr="000B00D3">
        <w:t>8</w:t>
      </w:r>
      <w:r w:rsidR="00AC6B33" w:rsidRPr="000B00D3">
        <w:t>.</w:t>
      </w:r>
      <w:r w:rsidR="00E87D6C">
        <w:t xml:space="preserve"> </w:t>
      </w:r>
      <w:bookmarkStart w:id="16" w:name="_Hlk504644052"/>
      <w:r w:rsidR="00AC6B33" w:rsidRPr="00EA5CCD">
        <w:t xml:space="preserve">We ran a logistic regression analysis with one term (a binary variable equal to 1 if the measure numerator is triggered and 0 if otherwise; please refer to S.4 and S.5 for more details on the measure numerator specifications) with facility random effects to obtain an estimate of ρ, the proportion of the total variance </w:t>
      </w:r>
      <w:r w:rsidR="00AC6B33" w:rsidRPr="00EA5CCD">
        <w:lastRenderedPageBreak/>
        <w:t xml:space="preserve">contributed by the facility-level variance component (i.e., </w:t>
      </w:r>
      <w:r w:rsidR="00AC6B33" w:rsidRPr="00EA5CCD">
        <w:rPr>
          <w:i/>
          <w:iCs/>
        </w:rPr>
        <w:t xml:space="preserve">ρ </w:t>
      </w:r>
      <w:r w:rsidR="00AC6B33" w:rsidRPr="00EA5CCD">
        <w:t xml:space="preserve">= </w:t>
      </w:r>
      <m:oMath>
        <m:f>
          <m:fPr>
            <m:ctrlPr>
              <w:rPr>
                <w:rFonts w:ascii="Cambria Math" w:hAnsi="Cambria Math"/>
                <w:i/>
              </w:rPr>
            </m:ctrlPr>
          </m:fPr>
          <m:num>
            <m:sSubSup>
              <m:sSubSupPr>
                <m:ctrlPr>
                  <w:rPr>
                    <w:rFonts w:ascii="Cambria Math" w:hAnsi="Cambria Math"/>
                    <w:i/>
                  </w:rPr>
                </m:ctrlPr>
              </m:sSubSupPr>
              <m:e>
                <m:r>
                  <w:rPr>
                    <w:rFonts w:ascii="Cambria Math" w:hAnsi="Cambria Math"/>
                  </w:rPr>
                  <m:t>σ</m:t>
                </m:r>
              </m:e>
              <m:sub>
                <m:r>
                  <w:rPr>
                    <w:rFonts w:ascii="Cambria Math" w:hAnsi="Cambria Math"/>
                  </w:rPr>
                  <m:t>v</m:t>
                </m:r>
              </m:sub>
              <m:sup>
                <m:r>
                  <w:rPr>
                    <w:rFonts w:ascii="Cambria Math" w:hAnsi="Cambria Math"/>
                  </w:rPr>
                  <m:t>2</m:t>
                </m:r>
              </m:sup>
            </m:sSubSup>
          </m:num>
          <m:den>
            <m:sSubSup>
              <m:sSubSupPr>
                <m:ctrlPr>
                  <w:rPr>
                    <w:rFonts w:ascii="Cambria Math" w:hAnsi="Cambria Math"/>
                    <w:i/>
                  </w:rPr>
                </m:ctrlPr>
              </m:sSubSupPr>
              <m:e>
                <m:r>
                  <w:rPr>
                    <w:rFonts w:ascii="Cambria Math" w:hAnsi="Cambria Math"/>
                  </w:rPr>
                  <m:t>σ</m:t>
                </m:r>
              </m:e>
              <m:sub>
                <m:r>
                  <w:rPr>
                    <w:rFonts w:ascii="Cambria Math" w:hAnsi="Cambria Math"/>
                  </w:rPr>
                  <m:t>v</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σ</m:t>
                </m:r>
              </m:e>
              <m:sub>
                <m:r>
                  <w:rPr>
                    <w:rFonts w:ascii="Cambria Math" w:hAnsi="Cambria Math"/>
                  </w:rPr>
                  <m:t>ε</m:t>
                </m:r>
              </m:sub>
              <m:sup>
                <m:r>
                  <w:rPr>
                    <w:rFonts w:ascii="Cambria Math" w:hAnsi="Cambria Math"/>
                  </w:rPr>
                  <m:t>2</m:t>
                </m:r>
              </m:sup>
            </m:sSubSup>
          </m:den>
        </m:f>
      </m:oMath>
      <w:r w:rsidR="00AC6B33" w:rsidRPr="00EA5CCD">
        <w:t xml:space="preserve"> ).</w:t>
      </w:r>
      <w:bookmarkEnd w:id="16"/>
      <w:r w:rsidR="00AC6B33" w:rsidRPr="00A25F3A">
        <w:t xml:space="preserve"> </w:t>
      </w:r>
      <w:r w:rsidR="00AC6B33" w:rsidRPr="00070B78">
        <w:t xml:space="preserve">The signal-to-noise ratio </w:t>
      </w:r>
      <w:r w:rsidR="00AC6B33" w:rsidRPr="003B7A65">
        <w:rPr>
          <w:i/>
        </w:rPr>
        <w:t>ρ</w:t>
      </w:r>
      <w:r w:rsidR="00AC6B33" w:rsidRPr="00070B78">
        <w:t xml:space="preserve"> is a measure of how well a measure can detect differences between facilities. For nursing home quality measures, we typically see values that are 0.1 or lower.</w:t>
      </w:r>
    </w:p>
    <w:p w14:paraId="0174F089" w14:textId="7DB08E89" w:rsidR="00AC6B33" w:rsidRPr="00EA5CCD" w:rsidRDefault="00AC6B33" w:rsidP="00AC6B33">
      <w:pPr>
        <w:pStyle w:val="Response"/>
        <w:ind w:left="720" w:hanging="450"/>
      </w:pPr>
      <w:r w:rsidRPr="00EA5CCD">
        <w:t>2.</w:t>
      </w:r>
      <w:r w:rsidR="004507DF">
        <w:t>b</w:t>
      </w:r>
      <w:r w:rsidRPr="00EA5CCD">
        <w:t>.</w:t>
      </w:r>
      <w:r w:rsidR="00BD3852">
        <w:tab/>
      </w:r>
      <w:r w:rsidRPr="00EA5CCD">
        <w:t>Split-</w:t>
      </w:r>
      <w:r w:rsidR="00E86E01">
        <w:t>h</w:t>
      </w:r>
      <w:r w:rsidR="00E86E01" w:rsidRPr="00EA5CCD">
        <w:t xml:space="preserve">alf </w:t>
      </w:r>
      <w:r w:rsidRPr="00EA5CCD">
        <w:t>reliability analysis: Split-half reliability assesses the internal consistency of a quality measure by randomly dividing the residents within each nursing facility into two halves and calculating the correlation between the nursing facility’s quality measure scores on the basis of the two randomly divided halves. When a nursing facility’s residents, randomly divided, have similar scores to one another, the quality measure score is more likely to reflect systematic differences in nursing home-level quality rather than random variation.</w:t>
      </w:r>
      <w:r w:rsidR="00E87D6C">
        <w:t xml:space="preserve"> </w:t>
      </w:r>
      <w:r w:rsidRPr="00EA5CCD">
        <w:t xml:space="preserve">In this analysis, we conducted a split-half reliability analysis on all facilities with 20 or more residents counted in the measure denominator. </w:t>
      </w:r>
      <w:r w:rsidR="00987242">
        <w:t xml:space="preserve">We used the </w:t>
      </w:r>
      <w:r w:rsidR="00987242" w:rsidRPr="00F64C55">
        <w:rPr>
          <w:szCs w:val="20"/>
        </w:rPr>
        <w:t xml:space="preserve">Pearson Product-Moment Correlation </w:t>
      </w:r>
      <w:r w:rsidR="00987242">
        <w:rPr>
          <w:szCs w:val="20"/>
        </w:rPr>
        <w:t>(</w:t>
      </w:r>
      <w:r w:rsidR="00987242" w:rsidRPr="003B7A65">
        <w:rPr>
          <w:i/>
          <w:szCs w:val="20"/>
        </w:rPr>
        <w:t>r</w:t>
      </w:r>
      <w:r w:rsidR="00987242">
        <w:rPr>
          <w:szCs w:val="20"/>
        </w:rPr>
        <w:t xml:space="preserve">), </w:t>
      </w:r>
      <w:r w:rsidR="00987242" w:rsidRPr="00F64C55">
        <w:rPr>
          <w:szCs w:val="20"/>
        </w:rPr>
        <w:t xml:space="preserve">Spearman Rank Correlation </w:t>
      </w:r>
      <w:r w:rsidR="00987242">
        <w:rPr>
          <w:szCs w:val="20"/>
        </w:rPr>
        <w:t>(</w:t>
      </w:r>
      <w:r w:rsidR="00987242" w:rsidRPr="003B7A65">
        <w:rPr>
          <w:i/>
          <w:szCs w:val="20"/>
        </w:rPr>
        <w:t>ρ</w:t>
      </w:r>
      <w:r w:rsidR="00987242">
        <w:rPr>
          <w:i/>
          <w:szCs w:val="20"/>
        </w:rPr>
        <w:t>)</w:t>
      </w:r>
      <w:r w:rsidR="00987242">
        <w:rPr>
          <w:szCs w:val="20"/>
        </w:rPr>
        <w:t xml:space="preserve">, and </w:t>
      </w:r>
      <w:r w:rsidR="00987242">
        <w:t xml:space="preserve">Intraclass Correlation Coefficient (ICC) to measure the internal reliability. </w:t>
      </w:r>
    </w:p>
    <w:p w14:paraId="67816364" w14:textId="1E484C83" w:rsidR="005751EC" w:rsidRPr="00D225E2" w:rsidRDefault="00092566" w:rsidP="00D225E2">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E87D6C">
        <w:rPr>
          <w:rFonts w:cstheme="minorHAnsi"/>
          <w:bCs/>
        </w:rPr>
        <w:t xml:space="preserve"> </w:t>
      </w:r>
      <w:r w:rsidR="00AA5213" w:rsidRPr="00A25024">
        <w:rPr>
          <w:rFonts w:cstheme="minorHAnsi"/>
          <w:bCs/>
        </w:rPr>
        <w:t>(e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07A1A1D2" w14:textId="5D6785B5" w:rsidR="0003599C" w:rsidRPr="00EA5CCD" w:rsidRDefault="0003599C" w:rsidP="00BD3852">
      <w:pPr>
        <w:pStyle w:val="Response"/>
        <w:spacing w:after="0"/>
        <w:rPr>
          <w:b/>
          <w:bCs w:val="0"/>
        </w:rPr>
      </w:pPr>
      <w:r w:rsidRPr="00EA5CCD">
        <w:rPr>
          <w:b/>
          <w:bCs w:val="0"/>
        </w:rPr>
        <w:t>Critical Data Element Reliability</w:t>
      </w:r>
    </w:p>
    <w:p w14:paraId="7AE5664B" w14:textId="2912AB81" w:rsidR="005751EC" w:rsidRDefault="00BC3D5A" w:rsidP="00BD3852">
      <w:pPr>
        <w:pStyle w:val="Response"/>
        <w:numPr>
          <w:ilvl w:val="0"/>
          <w:numId w:val="19"/>
        </w:numPr>
        <w:spacing w:before="0"/>
      </w:pPr>
      <w:bookmarkStart w:id="17" w:name="_Hlk504742380"/>
      <w:r w:rsidRPr="00BC3D5A">
        <w:t xml:space="preserve">In their testing of the MDS 3.0, RAND </w:t>
      </w:r>
      <w:r w:rsidR="00D225E2">
        <w:t>calculated the UTI rate</w:t>
      </w:r>
      <w:r w:rsidRPr="00BC3D5A">
        <w:t xml:space="preserve"> using the MDS 3.0 and the MDS 2.0, both at the individual resident</w:t>
      </w:r>
      <w:r w:rsidR="00D225E2">
        <w:t>-</w:t>
      </w:r>
      <w:r w:rsidRPr="00BC3D5A">
        <w:t>level and at the facility</w:t>
      </w:r>
      <w:r w:rsidR="00D225E2">
        <w:t>-</w:t>
      </w:r>
      <w:r w:rsidRPr="00BC3D5A">
        <w:t>level</w:t>
      </w:r>
      <w:r w:rsidR="00CE7527">
        <w:t xml:space="preserve"> (</w:t>
      </w:r>
      <w:proofErr w:type="spellStart"/>
      <w:r w:rsidR="00CE7527">
        <w:t>Saliba</w:t>
      </w:r>
      <w:proofErr w:type="spellEnd"/>
      <w:r w:rsidR="00CE7527">
        <w:t xml:space="preserve"> &amp; Buchanan, 2008).</w:t>
      </w:r>
      <w:r w:rsidRPr="00BC3D5A">
        <w:t xml:space="preserve"> At the resident</w:t>
      </w:r>
      <w:r w:rsidR="00D225E2">
        <w:t>-</w:t>
      </w:r>
      <w:r w:rsidRPr="00BC3D5A">
        <w:t xml:space="preserve">level, the </w:t>
      </w:r>
      <w:r w:rsidR="00D225E2">
        <w:t>UTI</w:t>
      </w:r>
      <w:r w:rsidRPr="00BC3D5A">
        <w:t xml:space="preserve"> rate using the MDS 2.0 was 10.0% and using the MDS 3.0 was 7.5%</w:t>
      </w:r>
      <w:r w:rsidR="00D225E2">
        <w:t>.</w:t>
      </w:r>
      <w:r w:rsidR="00E87D6C">
        <w:t xml:space="preserve"> </w:t>
      </w:r>
      <w:r w:rsidRPr="00BC3D5A">
        <w:t>At the facility</w:t>
      </w:r>
      <w:r w:rsidR="00D225E2">
        <w:t>-</w:t>
      </w:r>
      <w:r w:rsidRPr="00BC3D5A">
        <w:t xml:space="preserve">level, the MDS 2.0 rate of </w:t>
      </w:r>
      <w:r w:rsidR="00D225E2">
        <w:t>UTIs</w:t>
      </w:r>
      <w:r w:rsidRPr="00BC3D5A">
        <w:t xml:space="preserve"> was 10.2% and the MDS 3.0 rate was 7.3%</w:t>
      </w:r>
      <w:r w:rsidR="00D225E2">
        <w:t>.</w:t>
      </w:r>
      <w:r w:rsidR="00E87D6C">
        <w:t xml:space="preserve"> </w:t>
      </w:r>
      <w:r w:rsidR="00D225E2">
        <w:t xml:space="preserve">Correlation between the MDS 2.0 and MDS 3.0 measures was strong at </w:t>
      </w:r>
      <w:r w:rsidR="00F20150">
        <w:t xml:space="preserve">both </w:t>
      </w:r>
      <w:r w:rsidR="00D225E2">
        <w:t>the resident-</w:t>
      </w:r>
      <w:r w:rsidR="00F20150">
        <w:t xml:space="preserve"> (</w:t>
      </w:r>
      <w:r w:rsidR="00F20150" w:rsidRPr="00541392">
        <w:t>ρ</w:t>
      </w:r>
      <w:r w:rsidR="00F20150">
        <w:t xml:space="preserve"> = 0.71)</w:t>
      </w:r>
      <w:r w:rsidR="00D225E2">
        <w:t xml:space="preserve"> and facility-level</w:t>
      </w:r>
      <w:r w:rsidR="00F20150">
        <w:t xml:space="preserve"> (</w:t>
      </w:r>
      <w:r w:rsidR="00F20150" w:rsidRPr="00541392">
        <w:t>ρ</w:t>
      </w:r>
      <w:r w:rsidR="00F20150">
        <w:t xml:space="preserve"> = 0.80).</w:t>
      </w:r>
      <w:r w:rsidR="00E87D6C">
        <w:t xml:space="preserve"> </w:t>
      </w:r>
      <w:r w:rsidR="00F20150">
        <w:t>The Kappa for gold-standard to facility-nurse agreement on the MDS 3.0 and MDS 2.0 item was 0.70.</w:t>
      </w:r>
      <w:r w:rsidR="00E87D6C">
        <w:t xml:space="preserve"> </w:t>
      </w:r>
      <w:r w:rsidR="00E86E01" w:rsidRPr="00BC3D5A">
        <w:t>Kappa is a statistical measure of inter-rater agreement for qualitative data, ranging from 0.0 to 1.0. A rating of 0.70 is considered “substantial agreement.”</w:t>
      </w:r>
      <w:r w:rsidR="00E87D6C">
        <w:t xml:space="preserve"> </w:t>
      </w:r>
      <w:r w:rsidR="00B747DD">
        <w:t>These results are indicative of data element reliability.</w:t>
      </w:r>
      <w:bookmarkEnd w:id="17"/>
    </w:p>
    <w:p w14:paraId="0F867126" w14:textId="2D431FB0" w:rsidR="00B17C4B" w:rsidRPr="00F91B8A" w:rsidRDefault="293E6EF0" w:rsidP="00BD3852">
      <w:pPr>
        <w:pStyle w:val="Response"/>
        <w:spacing w:after="0"/>
        <w:rPr>
          <w:b/>
        </w:rPr>
      </w:pPr>
      <w:r w:rsidRPr="293E6EF0">
        <w:rPr>
          <w:b/>
        </w:rPr>
        <w:t xml:space="preserve">Performance Measure Score Reliability </w:t>
      </w:r>
    </w:p>
    <w:p w14:paraId="752F5F0F" w14:textId="4C6E220C" w:rsidR="003D0B06" w:rsidRPr="007145EF" w:rsidRDefault="00AF6E43" w:rsidP="00BD3852">
      <w:pPr>
        <w:autoSpaceDE w:val="0"/>
        <w:autoSpaceDN w:val="0"/>
        <w:adjustRightInd w:val="0"/>
        <w:spacing w:after="0" w:line="240" w:lineRule="auto"/>
        <w:ind w:left="720" w:hanging="540"/>
        <w:rPr>
          <w:color w:val="0000FF"/>
        </w:rPr>
      </w:pPr>
      <w:r w:rsidRPr="00157E89">
        <w:rPr>
          <w:color w:val="0000FF"/>
        </w:rPr>
        <w:t>2.</w:t>
      </w:r>
      <w:r w:rsidR="004507DF" w:rsidRPr="00157E89">
        <w:rPr>
          <w:color w:val="0000FF"/>
        </w:rPr>
        <w:t>a</w:t>
      </w:r>
      <w:r w:rsidRPr="00A45965">
        <w:rPr>
          <w:color w:val="0000FF"/>
        </w:rPr>
        <w:t xml:space="preserve">. </w:t>
      </w:r>
      <w:r w:rsidR="002B76B4">
        <w:rPr>
          <w:color w:val="0000FF"/>
        </w:rPr>
        <w:tab/>
      </w:r>
      <w:r w:rsidR="00987242" w:rsidRPr="005D3370">
        <w:rPr>
          <w:rFonts w:cstheme="minorHAnsi"/>
          <w:bCs/>
          <w:color w:val="0000FF"/>
        </w:rPr>
        <w:t>Signal</w:t>
      </w:r>
      <w:r w:rsidR="00987242">
        <w:rPr>
          <w:rFonts w:cstheme="minorHAnsi"/>
          <w:bCs/>
          <w:color w:val="0000FF"/>
        </w:rPr>
        <w:t>-</w:t>
      </w:r>
      <w:r w:rsidR="00987242" w:rsidRPr="005D3370">
        <w:rPr>
          <w:rFonts w:cstheme="minorHAnsi"/>
          <w:bCs/>
          <w:color w:val="0000FF"/>
        </w:rPr>
        <w:t>to</w:t>
      </w:r>
      <w:r w:rsidR="00987242">
        <w:rPr>
          <w:rFonts w:cstheme="minorHAnsi"/>
          <w:bCs/>
          <w:color w:val="0000FF"/>
        </w:rPr>
        <w:t>-n</w:t>
      </w:r>
      <w:r w:rsidR="00987242" w:rsidRPr="005D3370">
        <w:rPr>
          <w:rFonts w:cstheme="minorHAnsi"/>
          <w:bCs/>
          <w:color w:val="0000FF"/>
        </w:rPr>
        <w:t>oise:</w:t>
      </w:r>
      <w:r w:rsidR="00987242">
        <w:rPr>
          <w:rFonts w:cstheme="minorHAnsi"/>
          <w:bCs/>
          <w:color w:val="0000FF"/>
        </w:rPr>
        <w:t xml:space="preserve"> </w:t>
      </w:r>
      <w:r w:rsidR="003B3B59" w:rsidRPr="00157E89">
        <w:rPr>
          <w:color w:val="0000FF"/>
        </w:rPr>
        <w:t>The signal-to-noise ratio for this measure was 0.</w:t>
      </w:r>
      <w:r w:rsidR="00B650D7" w:rsidRPr="00A45965">
        <w:rPr>
          <w:color w:val="0000FF"/>
        </w:rPr>
        <w:t>1</w:t>
      </w:r>
      <w:r w:rsidR="00B650D7">
        <w:rPr>
          <w:color w:val="0000FF"/>
        </w:rPr>
        <w:t>91</w:t>
      </w:r>
      <w:r w:rsidR="00B650D7" w:rsidRPr="00A45965">
        <w:rPr>
          <w:color w:val="0000FF"/>
        </w:rPr>
        <w:t xml:space="preserve"> </w:t>
      </w:r>
      <w:r w:rsidR="003B3B59" w:rsidRPr="00A45965">
        <w:rPr>
          <w:color w:val="0000FF"/>
        </w:rPr>
        <w:t>(</w:t>
      </w:r>
      <w:r w:rsidR="003B3B59" w:rsidRPr="00B861BF">
        <w:rPr>
          <w:i/>
          <w:iCs/>
          <w:color w:val="0000FF"/>
        </w:rPr>
        <w:t>p</w:t>
      </w:r>
      <w:r w:rsidR="003B3B59" w:rsidRPr="005B1FAE">
        <w:rPr>
          <w:color w:val="0000FF"/>
        </w:rPr>
        <w:t xml:space="preserve"> &lt; 0.001) indicating that </w:t>
      </w:r>
      <w:r w:rsidR="00B650D7">
        <w:rPr>
          <w:color w:val="0000FF"/>
        </w:rPr>
        <w:t>19.1</w:t>
      </w:r>
      <w:r w:rsidR="003B3B59" w:rsidRPr="00190E56">
        <w:rPr>
          <w:color w:val="0000FF"/>
        </w:rPr>
        <w:t xml:space="preserve">% of the variance in scores for this measure in Quarter </w:t>
      </w:r>
      <w:r w:rsidR="00B650D7">
        <w:rPr>
          <w:color w:val="0000FF"/>
        </w:rPr>
        <w:t>3</w:t>
      </w:r>
      <w:r w:rsidR="003B3B59" w:rsidRPr="00F925D9">
        <w:rPr>
          <w:color w:val="0000FF"/>
        </w:rPr>
        <w:t xml:space="preserve">, </w:t>
      </w:r>
      <w:r w:rsidR="00E32DDD" w:rsidRPr="00C6265F">
        <w:rPr>
          <w:color w:val="0000FF"/>
        </w:rPr>
        <w:t>2018</w:t>
      </w:r>
      <w:r w:rsidR="003B3B59" w:rsidRPr="00C6265F">
        <w:rPr>
          <w:color w:val="0000FF"/>
        </w:rPr>
        <w:t xml:space="preserve"> was explained by inter-facility characteristics (including the underlying quality of care in each facility)</w:t>
      </w:r>
      <w:r w:rsidR="000C0C03" w:rsidRPr="00C6265F">
        <w:rPr>
          <w:color w:val="0000FF"/>
        </w:rPr>
        <w:t xml:space="preserve"> (</w:t>
      </w:r>
      <w:r w:rsidR="003E2EC8">
        <w:rPr>
          <w:color w:val="0000FF"/>
        </w:rPr>
        <w:t>RTI</w:t>
      </w:r>
      <w:r w:rsidR="00761B35">
        <w:rPr>
          <w:color w:val="0000FF"/>
        </w:rPr>
        <w:t xml:space="preserve"> International, 2019a</w:t>
      </w:r>
      <w:r w:rsidR="000C0C03" w:rsidRPr="00C6265F">
        <w:rPr>
          <w:color w:val="0000FF"/>
        </w:rPr>
        <w:t>)</w:t>
      </w:r>
      <w:r w:rsidR="003B3B59" w:rsidRPr="00C6265F">
        <w:rPr>
          <w:color w:val="0000FF"/>
        </w:rPr>
        <w:t xml:space="preserve">. </w:t>
      </w:r>
      <w:bookmarkStart w:id="18" w:name="_Hlk14965380"/>
      <w:r w:rsidR="003B3B59" w:rsidRPr="00C6265F">
        <w:rPr>
          <w:color w:val="0000FF"/>
        </w:rPr>
        <w:t>Thus, this measure is somewhat reliable in separating facility characteristics from the noise of population variance.</w:t>
      </w:r>
      <w:bookmarkEnd w:id="18"/>
    </w:p>
    <w:p w14:paraId="666C55B7" w14:textId="77777777" w:rsidR="003B3B59" w:rsidRDefault="003B3B59" w:rsidP="003B3B59">
      <w:pPr>
        <w:autoSpaceDE w:val="0"/>
        <w:autoSpaceDN w:val="0"/>
        <w:adjustRightInd w:val="0"/>
        <w:spacing w:after="0" w:line="240" w:lineRule="auto"/>
        <w:rPr>
          <w:rFonts w:cstheme="minorHAnsi"/>
          <w:bCs/>
          <w:color w:val="0000FF"/>
          <w:sz w:val="20"/>
          <w:szCs w:val="20"/>
        </w:rPr>
      </w:pPr>
    </w:p>
    <w:p w14:paraId="5D83DF66" w14:textId="1A89133B" w:rsidR="003B3B59" w:rsidRPr="00182E04" w:rsidRDefault="003B3B59" w:rsidP="00BD3852">
      <w:pPr>
        <w:autoSpaceDE w:val="0"/>
        <w:autoSpaceDN w:val="0"/>
        <w:adjustRightInd w:val="0"/>
        <w:spacing w:after="0" w:line="240" w:lineRule="auto"/>
        <w:ind w:left="720" w:hanging="540"/>
        <w:rPr>
          <w:rFonts w:cstheme="minorHAnsi"/>
          <w:color w:val="0000FF"/>
        </w:rPr>
      </w:pPr>
      <w:r w:rsidRPr="00B861BF">
        <w:rPr>
          <w:color w:val="0000FF"/>
        </w:rPr>
        <w:t>2.</w:t>
      </w:r>
      <w:r w:rsidR="004507DF" w:rsidRPr="00B861BF">
        <w:rPr>
          <w:color w:val="0000FF"/>
        </w:rPr>
        <w:t>b</w:t>
      </w:r>
      <w:r w:rsidRPr="00970AC0">
        <w:rPr>
          <w:color w:val="0000FF"/>
        </w:rPr>
        <w:t xml:space="preserve">. </w:t>
      </w:r>
      <w:r w:rsidRPr="00E10A7B">
        <w:rPr>
          <w:rFonts w:cstheme="minorHAnsi"/>
          <w:bCs/>
          <w:color w:val="0000FF"/>
        </w:rPr>
        <w:tab/>
      </w:r>
      <w:r w:rsidRPr="00B861BF">
        <w:rPr>
          <w:color w:val="0000FF"/>
        </w:rPr>
        <w:t>Split-</w:t>
      </w:r>
      <w:r w:rsidR="00401A82">
        <w:rPr>
          <w:color w:val="0000FF"/>
        </w:rPr>
        <w:t>h</w:t>
      </w:r>
      <w:r w:rsidRPr="00B861BF">
        <w:rPr>
          <w:color w:val="0000FF"/>
        </w:rPr>
        <w:t xml:space="preserve">alf </w:t>
      </w:r>
      <w:r w:rsidR="00401A82">
        <w:rPr>
          <w:color w:val="0000FF"/>
        </w:rPr>
        <w:t>r</w:t>
      </w:r>
      <w:r w:rsidRPr="00B861BF">
        <w:rPr>
          <w:color w:val="0000FF"/>
        </w:rPr>
        <w:t xml:space="preserve">eliability </w:t>
      </w:r>
      <w:r w:rsidR="00401A82">
        <w:rPr>
          <w:color w:val="0000FF"/>
        </w:rPr>
        <w:t>a</w:t>
      </w:r>
      <w:r w:rsidRPr="00B861BF">
        <w:rPr>
          <w:color w:val="0000FF"/>
        </w:rPr>
        <w:t xml:space="preserve">nalysis: </w:t>
      </w:r>
      <w:r w:rsidR="00CC62DD">
        <w:rPr>
          <w:rStyle w:val="normaltextrun"/>
          <w:rFonts w:ascii="Calibri" w:hAnsi="Calibri"/>
          <w:color w:val="0000FF"/>
          <w:shd w:val="clear" w:color="auto" w:fill="FFFFFF"/>
        </w:rPr>
        <w:t xml:space="preserve">Correlations above 0.6 are generally considered as evidence of strong </w:t>
      </w:r>
      <w:bookmarkStart w:id="19" w:name="_Hlk14965589"/>
      <w:r w:rsidR="00CC62DD">
        <w:rPr>
          <w:rStyle w:val="normaltextrun"/>
          <w:rFonts w:ascii="Calibri" w:hAnsi="Calibri"/>
          <w:color w:val="0000FF"/>
          <w:shd w:val="clear" w:color="auto" w:fill="FFFFFF"/>
        </w:rPr>
        <w:t>reliability (</w:t>
      </w:r>
      <w:r w:rsidR="00F66AE6">
        <w:rPr>
          <w:rStyle w:val="normaltextrun"/>
          <w:rFonts w:ascii="Calibri" w:hAnsi="Calibri"/>
          <w:color w:val="0000FF"/>
          <w:shd w:val="clear" w:color="auto" w:fill="FFFFFF"/>
        </w:rPr>
        <w:t xml:space="preserve">Armitage &amp; Berry, 1994; </w:t>
      </w:r>
      <w:r w:rsidR="00EF652A">
        <w:rPr>
          <w:rStyle w:val="normaltextrun"/>
          <w:rFonts w:ascii="Calibri" w:hAnsi="Calibri"/>
          <w:color w:val="0000FF"/>
          <w:shd w:val="clear" w:color="auto" w:fill="FFFFFF"/>
        </w:rPr>
        <w:t>Bland &amp; Altman, 1986</w:t>
      </w:r>
      <w:r w:rsidR="00CC62DD">
        <w:rPr>
          <w:rStyle w:val="normaltextrun"/>
          <w:rFonts w:ascii="Calibri" w:hAnsi="Calibri"/>
          <w:color w:val="0000FF"/>
          <w:shd w:val="clear" w:color="auto" w:fill="FFFFFF"/>
        </w:rPr>
        <w:t>). </w:t>
      </w:r>
      <w:bookmarkEnd w:id="19"/>
      <w:r w:rsidRPr="00B861BF">
        <w:rPr>
          <w:color w:val="0000FF"/>
        </w:rPr>
        <w:t xml:space="preserve">The split-half </w:t>
      </w:r>
      <w:r w:rsidR="005821BD" w:rsidRPr="00B861BF">
        <w:rPr>
          <w:color w:val="0000FF"/>
        </w:rPr>
        <w:t>correlation</w:t>
      </w:r>
      <w:r w:rsidR="005821BD">
        <w:rPr>
          <w:color w:val="0000FF"/>
        </w:rPr>
        <w:t xml:space="preserve"> for this measure was</w:t>
      </w:r>
      <w:r w:rsidR="005821BD" w:rsidRPr="00B861BF">
        <w:rPr>
          <w:color w:val="0000FF"/>
        </w:rPr>
        <w:t xml:space="preserve"> </w:t>
      </w:r>
      <w:r w:rsidRPr="00B861BF">
        <w:rPr>
          <w:color w:val="0000FF"/>
        </w:rPr>
        <w:t xml:space="preserve">positive, but the </w:t>
      </w:r>
      <w:r w:rsidR="005821BD" w:rsidRPr="00B861BF">
        <w:rPr>
          <w:color w:val="0000FF"/>
        </w:rPr>
        <w:t>relationship</w:t>
      </w:r>
      <w:r w:rsidR="005821BD">
        <w:rPr>
          <w:color w:val="0000FF"/>
        </w:rPr>
        <w:t xml:space="preserve"> was</w:t>
      </w:r>
      <w:r w:rsidR="005821BD" w:rsidRPr="00B861BF">
        <w:rPr>
          <w:color w:val="0000FF"/>
        </w:rPr>
        <w:t xml:space="preserve"> </w:t>
      </w:r>
      <w:r w:rsidR="00BB1782" w:rsidRPr="00B861BF">
        <w:rPr>
          <w:color w:val="0000FF"/>
        </w:rPr>
        <w:t>moderate</w:t>
      </w:r>
      <w:r w:rsidR="00BB1782" w:rsidRPr="00970AC0">
        <w:rPr>
          <w:color w:val="0000FF"/>
        </w:rPr>
        <w:t xml:space="preserve"> </w:t>
      </w:r>
      <w:r w:rsidRPr="00606F07">
        <w:rPr>
          <w:color w:val="0000FF"/>
        </w:rPr>
        <w:t>(r = 0.</w:t>
      </w:r>
      <w:r w:rsidR="00362425" w:rsidRPr="001A3439">
        <w:rPr>
          <w:color w:val="0000FF"/>
        </w:rPr>
        <w:t>4</w:t>
      </w:r>
      <w:r w:rsidR="00362425">
        <w:rPr>
          <w:color w:val="0000FF"/>
        </w:rPr>
        <w:t>2</w:t>
      </w:r>
      <w:r w:rsidRPr="00541392">
        <w:rPr>
          <w:color w:val="0000FF"/>
        </w:rPr>
        <w:t>, ρ = 0.</w:t>
      </w:r>
      <w:r w:rsidR="00362425" w:rsidRPr="001A3439">
        <w:rPr>
          <w:color w:val="0000FF"/>
        </w:rPr>
        <w:t>3</w:t>
      </w:r>
      <w:r w:rsidR="00362425">
        <w:rPr>
          <w:color w:val="0000FF"/>
        </w:rPr>
        <w:t>7</w:t>
      </w:r>
      <w:r w:rsidRPr="00541392">
        <w:rPr>
          <w:color w:val="0000FF"/>
        </w:rPr>
        <w:t>, p &lt; .001), and the ICC was 0.</w:t>
      </w:r>
      <w:r w:rsidR="00187BB9" w:rsidRPr="001D213C">
        <w:rPr>
          <w:color w:val="0000FF"/>
        </w:rPr>
        <w:t>4</w:t>
      </w:r>
      <w:r w:rsidR="00187BB9">
        <w:rPr>
          <w:color w:val="0000FF"/>
        </w:rPr>
        <w:t>2</w:t>
      </w:r>
      <w:r w:rsidR="00187BB9" w:rsidRPr="001D213C">
        <w:rPr>
          <w:color w:val="0000FF"/>
        </w:rPr>
        <w:t xml:space="preserve"> </w:t>
      </w:r>
      <w:r w:rsidRPr="006B4D75">
        <w:rPr>
          <w:color w:val="0000FF"/>
        </w:rPr>
        <w:t>(p &lt; .001)</w:t>
      </w:r>
      <w:r w:rsidR="00841DB8">
        <w:rPr>
          <w:color w:val="0000FF"/>
        </w:rPr>
        <w:t xml:space="preserve"> </w:t>
      </w:r>
      <w:r w:rsidR="00841DB8" w:rsidRPr="009B1D1E">
        <w:rPr>
          <w:color w:val="0000FF"/>
        </w:rPr>
        <w:t>(RTI</w:t>
      </w:r>
      <w:r w:rsidR="00841DB8">
        <w:rPr>
          <w:color w:val="0000FF"/>
        </w:rPr>
        <w:t xml:space="preserve"> International, 2</w:t>
      </w:r>
      <w:r w:rsidR="00841DB8" w:rsidRPr="00A11604">
        <w:rPr>
          <w:color w:val="0000FF"/>
        </w:rPr>
        <w:t xml:space="preserve">019b). Although approximately one-third of all facilities have values of 0% for this quality measure, this analysis </w:t>
      </w:r>
      <w:r w:rsidRPr="00A11604">
        <w:rPr>
          <w:color w:val="0000FF"/>
        </w:rPr>
        <w:t>provid</w:t>
      </w:r>
      <w:r w:rsidR="00841DB8" w:rsidRPr="00A11604">
        <w:rPr>
          <w:color w:val="0000FF"/>
        </w:rPr>
        <w:t>es</w:t>
      </w:r>
      <w:r w:rsidRPr="00A11604">
        <w:rPr>
          <w:color w:val="0000FF"/>
        </w:rPr>
        <w:t xml:space="preserve"> </w:t>
      </w:r>
      <w:r w:rsidR="00E835C8" w:rsidRPr="00A11604">
        <w:rPr>
          <w:color w:val="0000FF"/>
        </w:rPr>
        <w:t>moder</w:t>
      </w:r>
      <w:r w:rsidR="00D666F1" w:rsidRPr="00A11604">
        <w:rPr>
          <w:color w:val="0000FF"/>
        </w:rPr>
        <w:t>ate</w:t>
      </w:r>
      <w:r w:rsidR="00E835C8" w:rsidRPr="00A11604">
        <w:rPr>
          <w:color w:val="0000FF"/>
        </w:rPr>
        <w:t xml:space="preserve"> </w:t>
      </w:r>
      <w:r w:rsidRPr="00A11604">
        <w:rPr>
          <w:color w:val="0000FF"/>
        </w:rPr>
        <w:t>evidence of internal reliability</w:t>
      </w:r>
      <w:r w:rsidR="00390D75" w:rsidRPr="00A11604">
        <w:rPr>
          <w:color w:val="0000FF"/>
        </w:rPr>
        <w:t xml:space="preserve"> </w:t>
      </w:r>
      <w:r w:rsidR="00841DB8" w:rsidRPr="00A11604">
        <w:rPr>
          <w:color w:val="0000FF"/>
        </w:rPr>
        <w:t>because the variation in scores</w:t>
      </w:r>
      <w:r w:rsidR="00841DB8">
        <w:rPr>
          <w:color w:val="0000FF"/>
        </w:rPr>
        <w:t xml:space="preserve"> is sufficient: as shown in </w:t>
      </w:r>
      <w:r w:rsidR="00841DB8">
        <w:rPr>
          <w:b/>
          <w:bCs/>
          <w:color w:val="0000FF"/>
        </w:rPr>
        <w:t xml:space="preserve">Table 8 </w:t>
      </w:r>
      <w:r w:rsidR="00841DB8">
        <w:rPr>
          <w:color w:val="0000FF"/>
        </w:rPr>
        <w:t xml:space="preserve">in </w:t>
      </w:r>
      <w:r w:rsidR="00841DB8">
        <w:rPr>
          <w:b/>
          <w:bCs/>
          <w:color w:val="0000FF"/>
        </w:rPr>
        <w:t xml:space="preserve">Section 2b4.2 </w:t>
      </w:r>
      <w:r w:rsidR="00841DB8">
        <w:rPr>
          <w:color w:val="0000FF"/>
        </w:rPr>
        <w:t>below, the 50</w:t>
      </w:r>
      <w:r w:rsidR="00841DB8" w:rsidRPr="00390D75">
        <w:rPr>
          <w:color w:val="0000FF"/>
          <w:vertAlign w:val="superscript"/>
        </w:rPr>
        <w:t>th</w:t>
      </w:r>
      <w:r w:rsidR="00841DB8">
        <w:rPr>
          <w:color w:val="0000FF"/>
        </w:rPr>
        <w:t xml:space="preserve"> percentile score is 1.9% and the 90</w:t>
      </w:r>
      <w:r w:rsidR="00841DB8" w:rsidRPr="00390D75">
        <w:rPr>
          <w:color w:val="0000FF"/>
          <w:vertAlign w:val="superscript"/>
        </w:rPr>
        <w:t>th</w:t>
      </w:r>
      <w:r w:rsidR="00841DB8">
        <w:rPr>
          <w:color w:val="0000FF"/>
        </w:rPr>
        <w:t xml:space="preserve"> percentile score is 7.2%</w:t>
      </w:r>
      <w:r w:rsidRPr="009B1D1E">
        <w:rPr>
          <w:color w:val="0000FF"/>
        </w:rPr>
        <w:t>.</w:t>
      </w:r>
    </w:p>
    <w:p w14:paraId="44F1CCB5" w14:textId="102D4CD1" w:rsidR="003B3B59" w:rsidRDefault="003B3B59" w:rsidP="003B3B59">
      <w:pPr>
        <w:autoSpaceDE w:val="0"/>
        <w:autoSpaceDN w:val="0"/>
        <w:adjustRightInd w:val="0"/>
        <w:spacing w:after="0" w:line="240" w:lineRule="auto"/>
        <w:ind w:left="720" w:hanging="720"/>
        <w:rPr>
          <w:rFonts w:cstheme="minorHAnsi"/>
          <w:color w:val="0000FF"/>
        </w:rPr>
      </w:pPr>
    </w:p>
    <w:p w14:paraId="79F4259E" w14:textId="71031DF8" w:rsidR="001A2B6A" w:rsidRDefault="001A2B6A" w:rsidP="00BD3852">
      <w:pPr>
        <w:pStyle w:val="paragraph"/>
        <w:spacing w:before="0" w:beforeAutospacing="0" w:after="240" w:afterAutospacing="0"/>
        <w:ind w:left="720" w:hanging="360"/>
        <w:textAlignment w:val="baseline"/>
        <w:rPr>
          <w:rStyle w:val="eop"/>
          <w:rFonts w:ascii="Calibri" w:hAnsi="Calibri" w:cs="Segoe UI"/>
          <w:color w:val="0000FF"/>
          <w:sz w:val="20"/>
          <w:szCs w:val="20"/>
        </w:rPr>
      </w:pPr>
      <w:r>
        <w:rPr>
          <w:rStyle w:val="normaltextrun"/>
          <w:rFonts w:ascii="Calibri" w:hAnsi="Calibri" w:cs="Segoe UI"/>
          <w:color w:val="0000FF"/>
          <w:sz w:val="20"/>
          <w:szCs w:val="20"/>
        </w:rPr>
        <w:t>Armitage P., &amp; Berry, G. (1994). In: </w:t>
      </w:r>
      <w:r>
        <w:rPr>
          <w:rStyle w:val="normaltextrun"/>
          <w:rFonts w:ascii="Calibri" w:hAnsi="Calibri" w:cs="Segoe UI"/>
          <w:i/>
          <w:iCs/>
          <w:color w:val="0000FF"/>
          <w:sz w:val="20"/>
          <w:szCs w:val="20"/>
        </w:rPr>
        <w:t>Statistical Methods in Medical Research,</w:t>
      </w:r>
      <w:r>
        <w:rPr>
          <w:rStyle w:val="normaltextrun"/>
          <w:rFonts w:ascii="Calibri" w:hAnsi="Calibri" w:cs="Segoe UI"/>
          <w:color w:val="0000FF"/>
          <w:sz w:val="20"/>
          <w:szCs w:val="20"/>
        </w:rPr>
        <w:t> 3rd </w:t>
      </w:r>
      <w:proofErr w:type="spellStart"/>
      <w:r>
        <w:rPr>
          <w:rStyle w:val="spellingerror"/>
          <w:rFonts w:ascii="Calibri" w:hAnsi="Calibri" w:cs="Segoe UI"/>
          <w:color w:val="0000FF"/>
          <w:sz w:val="20"/>
          <w:szCs w:val="20"/>
        </w:rPr>
        <w:t>edn</w:t>
      </w:r>
      <w:proofErr w:type="spellEnd"/>
      <w:r>
        <w:rPr>
          <w:rStyle w:val="normaltextrun"/>
          <w:rFonts w:ascii="Calibri" w:hAnsi="Calibri" w:cs="Segoe UI"/>
          <w:color w:val="0000FF"/>
          <w:sz w:val="20"/>
          <w:szCs w:val="20"/>
        </w:rPr>
        <w:t>. Oxford: Blackwell Scientific Publications:312-41.</w:t>
      </w:r>
      <w:r>
        <w:rPr>
          <w:rStyle w:val="eop"/>
          <w:rFonts w:ascii="Calibri" w:hAnsi="Calibri" w:cs="Segoe UI"/>
          <w:color w:val="0000FF"/>
          <w:sz w:val="20"/>
          <w:szCs w:val="20"/>
        </w:rPr>
        <w:t> </w:t>
      </w:r>
    </w:p>
    <w:p w14:paraId="2654286B" w14:textId="15912897" w:rsidR="001A2B6A" w:rsidRDefault="001A2B6A" w:rsidP="00BD3852">
      <w:pPr>
        <w:pStyle w:val="paragraph"/>
        <w:spacing w:before="0" w:beforeAutospacing="0" w:after="240" w:afterAutospacing="0"/>
        <w:ind w:left="720" w:hanging="360"/>
        <w:textAlignment w:val="baseline"/>
        <w:rPr>
          <w:rStyle w:val="normaltextrun"/>
          <w:rFonts w:ascii="Calibri" w:hAnsi="Calibri" w:cs="Segoe UI"/>
          <w:color w:val="0000FF"/>
          <w:sz w:val="20"/>
          <w:szCs w:val="20"/>
        </w:rPr>
      </w:pPr>
      <w:r>
        <w:rPr>
          <w:rStyle w:val="normaltextrun"/>
          <w:rFonts w:ascii="Calibri" w:hAnsi="Calibri" w:cs="Segoe UI"/>
          <w:color w:val="0000FF"/>
          <w:sz w:val="20"/>
          <w:szCs w:val="20"/>
        </w:rPr>
        <w:lastRenderedPageBreak/>
        <w:t>Bland, J., &amp; Altman, D. (1986). </w:t>
      </w:r>
      <w:r>
        <w:rPr>
          <w:rStyle w:val="normaltextrun"/>
          <w:rFonts w:ascii="Calibri" w:hAnsi="Calibri" w:cs="Segoe UI"/>
          <w:i/>
          <w:iCs/>
          <w:color w:val="0000FF"/>
          <w:sz w:val="20"/>
          <w:szCs w:val="20"/>
        </w:rPr>
        <w:t>Statistical methods for assessing agreement between two methods of clinical measurement.</w:t>
      </w:r>
      <w:r>
        <w:rPr>
          <w:rStyle w:val="normaltextrun"/>
          <w:rFonts w:ascii="Calibri" w:hAnsi="Calibri" w:cs="Segoe UI"/>
          <w:color w:val="0000FF"/>
          <w:sz w:val="20"/>
          <w:szCs w:val="20"/>
        </w:rPr>
        <w:t> Lancet; i:307-10.</w:t>
      </w:r>
    </w:p>
    <w:p w14:paraId="093A1698" w14:textId="12A332EA" w:rsidR="005F17D2" w:rsidRDefault="005F17D2" w:rsidP="00BD3852">
      <w:pPr>
        <w:pStyle w:val="ListParagraph"/>
        <w:autoSpaceDE w:val="0"/>
        <w:autoSpaceDN w:val="0"/>
        <w:adjustRightInd w:val="0"/>
        <w:spacing w:after="240" w:line="240" w:lineRule="auto"/>
        <w:ind w:hanging="360"/>
        <w:contextualSpacing w:val="0"/>
        <w:rPr>
          <w:sz w:val="20"/>
          <w:szCs w:val="20"/>
        </w:rPr>
      </w:pPr>
      <w:r>
        <w:rPr>
          <w:rFonts w:cstheme="minorHAnsi"/>
          <w:color w:val="0000FF"/>
          <w:sz w:val="20"/>
          <w:szCs w:val="20"/>
        </w:rPr>
        <w:t xml:space="preserve">RTI International (2019a). </w:t>
      </w:r>
      <w:r w:rsidRPr="007145EF">
        <w:rPr>
          <w:rFonts w:cstheme="minorHAnsi"/>
          <w:color w:val="0000FF"/>
          <w:sz w:val="20"/>
          <w:szCs w:val="20"/>
        </w:rPr>
        <w:t>RTI analysis of Q3, 2018 MDS 3.0 data (programming reference: Kh29_47/hf363_request_</w:t>
      </w:r>
      <w:r w:rsidRPr="00A11604">
        <w:rPr>
          <w:rFonts w:cstheme="minorHAnsi"/>
          <w:color w:val="0000FF"/>
          <w:sz w:val="20"/>
          <w:szCs w:val="20"/>
        </w:rPr>
        <w:t>q3132_684</w:t>
      </w:r>
      <w:r w:rsidR="00F92B38" w:rsidRPr="00A11604">
        <w:rPr>
          <w:rFonts w:cstheme="minorHAnsi"/>
          <w:color w:val="0000FF"/>
          <w:sz w:val="20"/>
          <w:szCs w:val="20"/>
        </w:rPr>
        <w:t>.log</w:t>
      </w:r>
      <w:r w:rsidRPr="00A11604">
        <w:rPr>
          <w:rFonts w:cstheme="minorHAnsi"/>
          <w:color w:val="0000FF"/>
          <w:sz w:val="20"/>
          <w:szCs w:val="20"/>
        </w:rPr>
        <w:t>)</w:t>
      </w:r>
    </w:p>
    <w:p w14:paraId="50EC1325" w14:textId="1C8C354A" w:rsidR="005F17D2" w:rsidRPr="007145EF" w:rsidRDefault="004E2D52" w:rsidP="00BD3852">
      <w:pPr>
        <w:pStyle w:val="ListParagraph"/>
        <w:autoSpaceDE w:val="0"/>
        <w:autoSpaceDN w:val="0"/>
        <w:adjustRightInd w:val="0"/>
        <w:spacing w:after="240" w:line="240" w:lineRule="auto"/>
        <w:ind w:hanging="360"/>
        <w:rPr>
          <w:rFonts w:cstheme="minorHAnsi"/>
          <w:color w:val="0000FF"/>
          <w:sz w:val="20"/>
          <w:szCs w:val="20"/>
        </w:rPr>
      </w:pPr>
      <w:r>
        <w:rPr>
          <w:rFonts w:cstheme="minorHAnsi"/>
          <w:color w:val="0000FF"/>
          <w:sz w:val="20"/>
          <w:szCs w:val="20"/>
        </w:rPr>
        <w:t>RTI International (2019</w:t>
      </w:r>
      <w:r w:rsidR="005F17D2">
        <w:rPr>
          <w:rFonts w:cstheme="minorHAnsi"/>
          <w:color w:val="0000FF"/>
          <w:sz w:val="20"/>
          <w:szCs w:val="20"/>
        </w:rPr>
        <w:t>b</w:t>
      </w:r>
      <w:r>
        <w:rPr>
          <w:rFonts w:cstheme="minorHAnsi"/>
          <w:color w:val="0000FF"/>
          <w:sz w:val="20"/>
          <w:szCs w:val="20"/>
        </w:rPr>
        <w:t xml:space="preserve">). </w:t>
      </w:r>
      <w:r w:rsidR="001A2B6A" w:rsidRPr="00182E04">
        <w:rPr>
          <w:rFonts w:cstheme="minorHAnsi"/>
          <w:color w:val="0000FF"/>
          <w:sz w:val="20"/>
          <w:szCs w:val="20"/>
        </w:rPr>
        <w:t xml:space="preserve">RTI analysis of </w:t>
      </w:r>
      <w:r w:rsidR="00D07F75" w:rsidRPr="00182E04">
        <w:rPr>
          <w:rFonts w:cstheme="minorHAnsi"/>
          <w:color w:val="0000FF"/>
          <w:sz w:val="20"/>
          <w:szCs w:val="20"/>
        </w:rPr>
        <w:t>Q</w:t>
      </w:r>
      <w:r w:rsidR="00D07F75">
        <w:rPr>
          <w:rFonts w:cstheme="minorHAnsi"/>
          <w:color w:val="0000FF"/>
          <w:sz w:val="20"/>
          <w:szCs w:val="20"/>
        </w:rPr>
        <w:t>3</w:t>
      </w:r>
      <w:r w:rsidR="001A2B6A" w:rsidRPr="00182E04">
        <w:rPr>
          <w:rFonts w:cstheme="minorHAnsi"/>
          <w:color w:val="0000FF"/>
          <w:sz w:val="20"/>
          <w:szCs w:val="20"/>
        </w:rPr>
        <w:t xml:space="preserve">, 2018 MDS 3.0 data (programming reference: </w:t>
      </w:r>
      <w:r w:rsidR="00935A90" w:rsidRPr="00935A90">
        <w:rPr>
          <w:rFonts w:cstheme="minorHAnsi"/>
          <w:bCs/>
          <w:color w:val="0000FF"/>
          <w:sz w:val="20"/>
          <w:szCs w:val="20"/>
        </w:rPr>
        <w:t>kh29_47\hf14_request_684_31_32.log</w:t>
      </w:r>
      <w:r w:rsidR="001A2B6A" w:rsidRPr="00182E04">
        <w:rPr>
          <w:rFonts w:cstheme="minorHAnsi"/>
          <w:color w:val="0000FF"/>
          <w:sz w:val="20"/>
          <w:szCs w:val="20"/>
        </w:rPr>
        <w:t>)</w:t>
      </w:r>
    </w:p>
    <w:p w14:paraId="5FD912DE" w14:textId="4FB9878E" w:rsidR="003B3B59" w:rsidRPr="00791A0A" w:rsidRDefault="004E2D52" w:rsidP="00BD3852">
      <w:pPr>
        <w:pStyle w:val="Response"/>
        <w:spacing w:before="0"/>
        <w:ind w:left="720" w:hanging="360"/>
        <w:rPr>
          <w:sz w:val="20"/>
          <w:szCs w:val="20"/>
        </w:rPr>
      </w:pPr>
      <w:proofErr w:type="spellStart"/>
      <w:r w:rsidRPr="00EA5CCD">
        <w:rPr>
          <w:sz w:val="20"/>
          <w:szCs w:val="20"/>
        </w:rPr>
        <w:t>Saliba</w:t>
      </w:r>
      <w:proofErr w:type="spellEnd"/>
      <w:r w:rsidRPr="00EA5CCD">
        <w:rPr>
          <w:sz w:val="20"/>
          <w:szCs w:val="20"/>
        </w:rPr>
        <w:t>, D., &amp; Buchanan, J. (2008, April).</w:t>
      </w:r>
      <w:r w:rsidRPr="00EA5CCD">
        <w:rPr>
          <w:i/>
          <w:sz w:val="20"/>
          <w:szCs w:val="20"/>
        </w:rPr>
        <w:t xml:space="preserve"> Development and validation of a revised nursing home assessment tool: MDS 3.0</w:t>
      </w:r>
      <w:r w:rsidRPr="00EA5CCD">
        <w:rPr>
          <w:sz w:val="20"/>
          <w:szCs w:val="20"/>
        </w:rPr>
        <w:t xml:space="preserve">. Contract No. 500-00-0027/Task Order #2. Santa Monica, CA: Rand Corporation. Retrieved from </w:t>
      </w:r>
      <w:hyperlink r:id="rId17" w:history="1">
        <w:r w:rsidRPr="00EA5CCD">
          <w:rPr>
            <w:rStyle w:val="Hyperlink"/>
            <w:sz w:val="20"/>
            <w:szCs w:val="20"/>
          </w:rPr>
          <w:t>http://www.cms.hhs.gov/NursingHomeQualityInits/Downloads/MDS30FinalReport.pdf</w:t>
        </w:r>
      </w:hyperlink>
      <w:r w:rsidRPr="00EA5CCD">
        <w:rPr>
          <w:sz w:val="20"/>
          <w:szCs w:val="20"/>
        </w:rPr>
        <w:t>.</w:t>
      </w:r>
    </w:p>
    <w:p w14:paraId="72DA306F" w14:textId="13280A6B" w:rsidR="003B3B59" w:rsidRPr="003B3B59" w:rsidRDefault="00092566" w:rsidP="003B3B59">
      <w:pPr>
        <w:autoSpaceDE w:val="0"/>
        <w:autoSpaceDN w:val="0"/>
        <w:adjustRightInd w:val="0"/>
        <w:spacing w:after="0" w:line="240" w:lineRule="auto"/>
        <w:rPr>
          <w:rFonts w:cstheme="minorHAnsi"/>
          <w:bCs/>
        </w:rPr>
      </w:pPr>
      <w:r>
        <w:rPr>
          <w:rFonts w:cstheme="minorHAnsi"/>
          <w:b/>
          <w:bCs/>
        </w:rPr>
        <w:t>2</w:t>
      </w:r>
      <w:r w:rsidR="00987242">
        <w:rPr>
          <w:rFonts w:cstheme="minorHAnsi"/>
          <w:b/>
          <w:bCs/>
        </w:rPr>
        <w:t>a2</w:t>
      </w:r>
      <w:r>
        <w:rPr>
          <w:rFonts w:cstheme="minorHAnsi"/>
          <w:b/>
          <w:bCs/>
        </w:rPr>
        <w:t xml:space="preserve">.4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w:t>
      </w:r>
      <w:r w:rsidR="000B2DF7" w:rsidRPr="009C3913">
        <w:rPr>
          <w:rFonts w:cstheme="minorHAnsi"/>
          <w:bCs/>
        </w:rPr>
        <w:t>i.e.,</w:t>
      </w:r>
      <w:r w:rsidR="000B2DF7" w:rsidRPr="00A25024">
        <w:rPr>
          <w:rFonts w:cstheme="minorHAnsi"/>
          <w:bCs/>
          <w:i/>
        </w:rPr>
        <w:t xml:space="preserve"> what do the results mean and what are the norms for the test conducted</w:t>
      </w:r>
      <w:r w:rsidR="007757CE" w:rsidRPr="00A25024">
        <w:rPr>
          <w:rFonts w:cstheme="minorHAnsi"/>
          <w:bCs/>
          <w:i/>
        </w:rPr>
        <w:t>?</w:t>
      </w:r>
      <w:r w:rsidR="000B2DF7" w:rsidRPr="00A25024">
        <w:rPr>
          <w:rFonts w:cstheme="minorHAnsi"/>
          <w:bCs/>
        </w:rPr>
        <w:t>)</w:t>
      </w:r>
    </w:p>
    <w:p w14:paraId="0EBE51F9" w14:textId="50D984E2" w:rsidR="005821BD" w:rsidRDefault="005821BD" w:rsidP="00EA545D">
      <w:pPr>
        <w:pStyle w:val="Response"/>
        <w:spacing w:after="0"/>
      </w:pPr>
      <w:r w:rsidRPr="00EA5CCD">
        <w:rPr>
          <w:b/>
          <w:bCs w:val="0"/>
        </w:rPr>
        <w:t>Critical Data Element Reliability</w:t>
      </w:r>
    </w:p>
    <w:p w14:paraId="37810F01" w14:textId="17E6DD23" w:rsidR="003B3B59" w:rsidRDefault="003B3B59" w:rsidP="00EA545D">
      <w:pPr>
        <w:pStyle w:val="Response"/>
        <w:spacing w:before="0"/>
        <w:ind w:left="360"/>
      </w:pPr>
      <w:r>
        <w:t xml:space="preserve">The </w:t>
      </w:r>
      <w:r>
        <w:rPr>
          <w:rFonts w:eastAsiaTheme="minorHAnsi"/>
        </w:rPr>
        <w:t xml:space="preserve">RAND Development and Validation of MDS 3.0 </w:t>
      </w:r>
      <w:r>
        <w:t>national</w:t>
      </w:r>
      <w:r w:rsidRPr="00526D7A">
        <w:t xml:space="preserve"> pilot test </w:t>
      </w:r>
      <w:r>
        <w:t xml:space="preserve">study </w:t>
      </w:r>
      <w:r w:rsidRPr="00182E04">
        <w:t>demonstrated excellent reliability</w:t>
      </w:r>
      <w:r w:rsidRPr="00526D7A">
        <w:t xml:space="preserve"> </w:t>
      </w:r>
      <w:r>
        <w:t>for MDS 3.0 items used to calculate this measure</w:t>
      </w:r>
      <w:r w:rsidRPr="00526D7A">
        <w:t xml:space="preserve">. </w:t>
      </w:r>
    </w:p>
    <w:p w14:paraId="6D297CCA" w14:textId="69B3A15E" w:rsidR="003B3B59" w:rsidRDefault="003B3B59" w:rsidP="00EA545D">
      <w:pPr>
        <w:pStyle w:val="Response"/>
        <w:spacing w:after="0"/>
        <w:rPr>
          <w:b/>
          <w:noProof/>
        </w:rPr>
      </w:pPr>
      <w:r w:rsidRPr="00551E3A">
        <w:rPr>
          <w:b/>
          <w:noProof/>
        </w:rPr>
        <w:t>Performance Measure Score Reliability</w:t>
      </w:r>
    </w:p>
    <w:p w14:paraId="3065B026" w14:textId="78C749D7" w:rsidR="003B3B59" w:rsidRPr="00EA5CCD" w:rsidRDefault="003B3B59" w:rsidP="00EA545D">
      <w:pPr>
        <w:pStyle w:val="Response"/>
        <w:spacing w:before="0"/>
        <w:ind w:left="360"/>
        <w:rPr>
          <w:noProof/>
        </w:rPr>
      </w:pPr>
      <w:r w:rsidRPr="00EA5CCD">
        <w:rPr>
          <w:noProof/>
        </w:rPr>
        <w:t>RTI’s analyses show</w:t>
      </w:r>
      <w:r w:rsidR="003C3EE4">
        <w:rPr>
          <w:noProof/>
        </w:rPr>
        <w:t xml:space="preserve"> </w:t>
      </w:r>
      <w:r w:rsidR="00AD301D">
        <w:rPr>
          <w:noProof/>
        </w:rPr>
        <w:t>that t</w:t>
      </w:r>
      <w:r w:rsidR="00F50BE6">
        <w:rPr>
          <w:rFonts w:eastAsia="Times New Roman"/>
        </w:rPr>
        <w:t>his measure has moderate reliability</w:t>
      </w:r>
      <w:r w:rsidR="007B1B25">
        <w:rPr>
          <w:rFonts w:eastAsia="Times New Roman"/>
        </w:rPr>
        <w:t>. Using the measure of signal-to-noise</w:t>
      </w:r>
      <w:r w:rsidR="00EA1E9F">
        <w:rPr>
          <w:rFonts w:eastAsia="Times New Roman"/>
        </w:rPr>
        <w:t xml:space="preserve"> ratio</w:t>
      </w:r>
      <w:r w:rsidR="007560E7">
        <w:rPr>
          <w:rFonts w:eastAsia="Times New Roman"/>
        </w:rPr>
        <w:t>,</w:t>
      </w:r>
      <w:r w:rsidR="00EA1E9F">
        <w:rPr>
          <w:rFonts w:eastAsia="Times New Roman"/>
        </w:rPr>
        <w:t xml:space="preserve"> </w:t>
      </w:r>
      <w:r w:rsidR="00071B14">
        <w:rPr>
          <w:rFonts w:eastAsia="Times New Roman"/>
        </w:rPr>
        <w:t xml:space="preserve">the analysis shows about </w:t>
      </w:r>
      <w:r w:rsidR="00071B14">
        <w:t>19</w:t>
      </w:r>
      <w:r w:rsidR="00071B14" w:rsidRPr="00190E56">
        <w:t xml:space="preserve">% of the variance in scores for this measure </w:t>
      </w:r>
      <w:r w:rsidR="00071B14">
        <w:t xml:space="preserve">were </w:t>
      </w:r>
      <w:r w:rsidR="00071B14" w:rsidRPr="00C6265F">
        <w:t>explained by inter-facility characteristics</w:t>
      </w:r>
      <w:r w:rsidR="001E4CD7">
        <w:t xml:space="preserve">, which is acceptable in the context of </w:t>
      </w:r>
      <w:r w:rsidR="00D9771F">
        <w:rPr>
          <w:rStyle w:val="normaltextrun"/>
          <w:rFonts w:ascii="Calibri" w:hAnsi="Calibri"/>
          <w:shd w:val="clear" w:color="auto" w:fill="FFFFFF"/>
        </w:rPr>
        <w:t>the variation in case mix in clinical settings, especially in nursing homes</w:t>
      </w:r>
      <w:r w:rsidR="00071B14">
        <w:t xml:space="preserve">. </w:t>
      </w:r>
      <w:r w:rsidR="005C41FA">
        <w:rPr>
          <w:rFonts w:eastAsia="Times New Roman"/>
        </w:rPr>
        <w:t xml:space="preserve">This measure has </w:t>
      </w:r>
      <w:r w:rsidR="00F50BE6">
        <w:rPr>
          <w:rFonts w:eastAsia="Times New Roman"/>
        </w:rPr>
        <w:t>moderate internal reliability</w:t>
      </w:r>
      <w:r w:rsidR="003900B8">
        <w:rPr>
          <w:rFonts w:eastAsia="Times New Roman"/>
        </w:rPr>
        <w:t xml:space="preserve"> as measured by the split-half</w:t>
      </w:r>
      <w:r w:rsidR="001973E8">
        <w:rPr>
          <w:rFonts w:eastAsia="Times New Roman"/>
        </w:rPr>
        <w:t xml:space="preserve"> correlation and </w:t>
      </w:r>
      <w:r w:rsidR="001973E8" w:rsidRPr="00EA5CCD">
        <w:t>Intraclass Correlation Coefficient (ICC)</w:t>
      </w:r>
      <w:r w:rsidR="001973E8">
        <w:t xml:space="preserve"> of 0.42</w:t>
      </w:r>
      <w:r w:rsidR="005C41FA">
        <w:t>, less than the threshold for strong reliability</w:t>
      </w:r>
      <w:r w:rsidR="00CC0BD5">
        <w:t xml:space="preserve"> but acceptable</w:t>
      </w:r>
      <w:r w:rsidRPr="005231BC">
        <w:t xml:space="preserve">. </w:t>
      </w: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36C5424C" w14:textId="3FEEC193" w:rsidR="00564D97" w:rsidRPr="000414E8" w:rsidRDefault="009C7513" w:rsidP="00564D9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696262" w:rsidRPr="00A25024">
        <w:rPr>
          <w:rFonts w:cstheme="minorHAnsi"/>
          <w:bCs/>
          <w:i/>
        </w:rPr>
        <w:t>may</w:t>
      </w:r>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281068">
            <w:rPr>
              <w:rFonts w:ascii="MS Gothic" w:eastAsia="MS Gothic" w:hAnsi="MS Gothic" w:cstheme="minorHAnsi" w:hint="eastAsia"/>
              <w:bCs/>
              <w:color w:val="0000FF"/>
            </w:rPr>
            <w:t>☐</w:t>
          </w:r>
        </w:sdtContent>
      </w:sdt>
      <w:r w:rsidR="00564D97" w:rsidRPr="00A25024">
        <w:rPr>
          <w:rFonts w:eastAsia="MS Mincho" w:cstheme="minorHAnsi"/>
          <w:b/>
          <w:bCs/>
          <w:color w:val="0000FF"/>
        </w:rPr>
        <w:t xml:space="preserve"> </w:t>
      </w:r>
      <w:r w:rsidR="00564D97">
        <w:rPr>
          <w:rFonts w:cstheme="minorHAnsi"/>
          <w:b/>
          <w:bCs/>
        </w:rPr>
        <w:t>C</w:t>
      </w:r>
      <w:r w:rsidR="00564D97" w:rsidRPr="00A25024">
        <w:rPr>
          <w:rFonts w:cstheme="minorHAnsi"/>
          <w:b/>
          <w:bCs/>
        </w:rPr>
        <w:t>ritical data elements</w:t>
      </w:r>
      <w:r w:rsidR="00564D97">
        <w:rPr>
          <w:rFonts w:cstheme="minorHAnsi"/>
          <w:b/>
          <w:bCs/>
        </w:rPr>
        <w:t xml:space="preserve"> </w:t>
      </w:r>
      <w:r w:rsidR="00564D97">
        <w:rPr>
          <w:rFonts w:cstheme="minorHAnsi"/>
          <w:bCs/>
        </w:rPr>
        <w:t>(</w:t>
      </w:r>
      <w:r w:rsidR="00564D97" w:rsidRPr="000414E8">
        <w:rPr>
          <w:rFonts w:cstheme="minorHAnsi"/>
          <w:bCs/>
          <w:i/>
        </w:rPr>
        <w:t>data element validity must address ALL critical data elements</w:t>
      </w:r>
      <w:r w:rsidR="00564D97">
        <w:rPr>
          <w:rFonts w:cstheme="minorHAnsi"/>
          <w:bCs/>
        </w:rPr>
        <w:t>)</w:t>
      </w:r>
    </w:p>
    <w:p w14:paraId="488D380C" w14:textId="15AC401D" w:rsidR="00564D97" w:rsidRPr="00A25024" w:rsidRDefault="00A97C32" w:rsidP="00564D97">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987242">
            <w:rPr>
              <w:rFonts w:ascii="MS Gothic" w:eastAsia="MS Gothic" w:hAnsi="MS Gothic" w:cstheme="minorHAnsi" w:hint="eastAsia"/>
              <w:bCs/>
              <w:color w:val="0000FF"/>
            </w:rPr>
            <w:t>☒</w:t>
          </w:r>
        </w:sdtContent>
      </w:sdt>
      <w:r w:rsidR="00564D97">
        <w:rPr>
          <w:rFonts w:eastAsia="MS Mincho" w:cstheme="minorHAnsi"/>
          <w:b/>
          <w:bCs/>
          <w:color w:val="0000FF"/>
        </w:rPr>
        <w:t xml:space="preserve"> </w:t>
      </w:r>
      <w:r w:rsidR="00564D97">
        <w:rPr>
          <w:rFonts w:eastAsia="MS Gothic" w:cstheme="minorHAnsi"/>
          <w:b/>
          <w:bCs/>
        </w:rPr>
        <w:t>P</w:t>
      </w:r>
      <w:r w:rsidR="00564D97" w:rsidRPr="00A25024">
        <w:rPr>
          <w:rFonts w:eastAsia="MS Gothic" w:cstheme="minorHAnsi"/>
          <w:b/>
          <w:bCs/>
        </w:rPr>
        <w:t xml:space="preserve">erformance </w:t>
      </w:r>
      <w:r w:rsidR="00564D97" w:rsidRPr="00A25024">
        <w:rPr>
          <w:rFonts w:cstheme="minorHAnsi"/>
          <w:b/>
          <w:bCs/>
        </w:rPr>
        <w:t>measure score</w:t>
      </w:r>
    </w:p>
    <w:p w14:paraId="0CABCFD9" w14:textId="1E9E4D68" w:rsidR="000574AB" w:rsidRPr="00A25024" w:rsidRDefault="00A97C32" w:rsidP="00564D97">
      <w:pPr>
        <w:autoSpaceDE w:val="0"/>
        <w:autoSpaceDN w:val="0"/>
        <w:adjustRightInd w:val="0"/>
        <w:spacing w:after="240" w:line="240" w:lineRule="auto"/>
        <w:ind w:left="259"/>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A25F11">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A25F11">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E87D6C">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w:t>
      </w:r>
      <w:r w:rsidR="00E87D6C">
        <w:rPr>
          <w:rFonts w:eastAsia="MS Gothic" w:cstheme="minorHAnsi"/>
          <w:bCs/>
        </w:rPr>
        <w:t xml:space="preserve"> </w:t>
      </w:r>
      <w:r w:rsidR="00275563">
        <w:rPr>
          <w:rFonts w:eastAsia="MS Gothic" w:cstheme="minorHAnsi"/>
          <w:bCs/>
        </w:rPr>
        <w:t>Empirical validity testing is expected at time of maintenance review; if not possible, justification is required.</w:t>
      </w:r>
    </w:p>
    <w:p w14:paraId="64F3F91B" w14:textId="4584F70C" w:rsidR="00281068" w:rsidRPr="00281068" w:rsidRDefault="009C7513" w:rsidP="00281068">
      <w:pPr>
        <w:autoSpaceDE w:val="0"/>
        <w:autoSpaceDN w:val="0"/>
        <w:adjustRightInd w:val="0"/>
        <w:spacing w:after="0" w:line="240" w:lineRule="auto"/>
        <w:rPr>
          <w:b/>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bookmarkStart w:id="20" w:name="_Hlk511401703"/>
    </w:p>
    <w:p w14:paraId="261E3831" w14:textId="784E94EE" w:rsidR="00FD7244" w:rsidRPr="00156501" w:rsidRDefault="00E21910" w:rsidP="00EA545D">
      <w:pPr>
        <w:pStyle w:val="Response"/>
        <w:spacing w:after="0"/>
        <w:rPr>
          <w:b/>
          <w:color w:val="1F497D" w:themeColor="text2"/>
        </w:rPr>
      </w:pPr>
      <w:r>
        <w:rPr>
          <w:b/>
        </w:rPr>
        <w:t>Performance M</w:t>
      </w:r>
      <w:r w:rsidRPr="00156501">
        <w:rPr>
          <w:b/>
        </w:rPr>
        <w:t xml:space="preserve">easure Score Validity </w:t>
      </w:r>
    </w:p>
    <w:p w14:paraId="50C02B41" w14:textId="5816FAD3" w:rsidR="00DC295B" w:rsidRDefault="00731E47" w:rsidP="00EA545D">
      <w:pPr>
        <w:pStyle w:val="Response"/>
        <w:spacing w:before="0"/>
        <w:ind w:left="720" w:hanging="360"/>
      </w:pPr>
      <w:r>
        <w:t>1</w:t>
      </w:r>
      <w:r w:rsidR="00FD7244" w:rsidRPr="00156501">
        <w:t>.a.</w:t>
      </w:r>
      <w:r w:rsidR="00EA545D">
        <w:tab/>
      </w:r>
      <w:r w:rsidR="00FD7244" w:rsidRPr="00156501">
        <w:t xml:space="preserve">Correlation with related quality measures: To assess convergent validity, RTI examined whether a facility’s percentile rank on one quality measure in a measure group was correlated with its percentile rank on another quality measure in the same </w:t>
      </w:r>
      <w:proofErr w:type="gramStart"/>
      <w:r w:rsidR="00FD7244" w:rsidRPr="00156501">
        <w:t>clinically-related</w:t>
      </w:r>
      <w:proofErr w:type="gramEnd"/>
      <w:r w:rsidR="00FD7244" w:rsidRPr="00156501">
        <w:t xml:space="preserve"> group. Specifically, we examined whether a facility’s percentile rank on this measure (NQF</w:t>
      </w:r>
      <w:r w:rsidR="00574EED">
        <w:t xml:space="preserve"> </w:t>
      </w:r>
      <w:r w:rsidR="00FD7244" w:rsidRPr="00156501">
        <w:t>#068</w:t>
      </w:r>
      <w:r w:rsidR="00156501" w:rsidRPr="00156501">
        <w:t>4</w:t>
      </w:r>
      <w:r w:rsidR="00FD7244" w:rsidRPr="00156501">
        <w:t xml:space="preserve">) was correlated with </w:t>
      </w:r>
      <w:r w:rsidR="00FD7244" w:rsidRPr="00156501">
        <w:lastRenderedPageBreak/>
        <w:t xml:space="preserve">that facility’s performance on the related quality measures </w:t>
      </w:r>
      <w:r w:rsidR="00574EED">
        <w:t xml:space="preserve">NQF </w:t>
      </w:r>
      <w:r w:rsidR="00156501" w:rsidRPr="00156501">
        <w:t xml:space="preserve">#0686 (Percent of Residents Who Have/Had a Catheter Inserted and Left in Their Bladder (Long Stay)) </w:t>
      </w:r>
      <w:r w:rsidR="00FD7244" w:rsidRPr="00156501">
        <w:t>and NQF #0685 Percent of Low Risk Residents Who Lose Control of their Bowel or Bladder (Long Stay)).</w:t>
      </w:r>
      <w:r w:rsidR="00E87D6C">
        <w:t xml:space="preserve"> </w:t>
      </w:r>
      <w:r w:rsidR="00FD7244" w:rsidRPr="00156501">
        <w:t>Although historically low correlations have been observed among nursing home quality measures, we hypothesize that a nursing facility’s percentile rank on NQF #068</w:t>
      </w:r>
      <w:r w:rsidR="00156501">
        <w:t>4</w:t>
      </w:r>
      <w:r w:rsidR="00FD7244" w:rsidRPr="00156501">
        <w:t xml:space="preserve"> and its percentile rank on NQF #068</w:t>
      </w:r>
      <w:r w:rsidR="00156501">
        <w:t>6</w:t>
      </w:r>
      <w:r w:rsidR="00FD7244" w:rsidRPr="00156501">
        <w:t xml:space="preserve"> should have a positive, but weak, correlation because both measures are concerned with genitourinary care provided to long-stay residents.</w:t>
      </w:r>
      <w:r w:rsidR="00E87D6C">
        <w:t xml:space="preserve"> </w:t>
      </w:r>
      <w:r w:rsidR="00FD7244" w:rsidRPr="00156501">
        <w:t>Similarly, we hypothesize that a nursing facility’s percentile rank on NQF #068</w:t>
      </w:r>
      <w:r w:rsidR="00156501">
        <w:t>4</w:t>
      </w:r>
      <w:r w:rsidR="00FD7244" w:rsidRPr="00156501">
        <w:t xml:space="preserve"> and NQF #0685 should have a positive, but weak, correlation because both measures are concerned with continence-related care provided to long-stay residents.</w:t>
      </w:r>
    </w:p>
    <w:p w14:paraId="5325A6D3" w14:textId="350E2B45" w:rsidR="00FD7244" w:rsidRDefault="00731E47" w:rsidP="006137FD">
      <w:pPr>
        <w:pStyle w:val="Response"/>
        <w:ind w:left="720" w:hanging="360"/>
      </w:pPr>
      <w:r>
        <w:t>1</w:t>
      </w:r>
      <w:r w:rsidR="006137FD">
        <w:t>.b.</w:t>
      </w:r>
      <w:r w:rsidR="00EA545D">
        <w:tab/>
      </w:r>
      <w:r w:rsidR="00FD7244" w:rsidRPr="00DA4AC7">
        <w:t xml:space="preserve">Variation by state: We examined whether variation in scores on this measure was substantially attributable to state-by-state differences. If a measure is subject to variation caused by other factors beyond facility control, such as state-level payment policies or demographics, this variation can be a threat to the validity of the measure. </w:t>
      </w:r>
    </w:p>
    <w:p w14:paraId="7423FDA5" w14:textId="1478A187" w:rsidR="00FD7244" w:rsidRPr="00EA5CCD" w:rsidRDefault="00731E47" w:rsidP="00FD7244">
      <w:pPr>
        <w:pStyle w:val="Response"/>
        <w:ind w:left="720" w:hanging="360"/>
      </w:pPr>
      <w:r>
        <w:t>1</w:t>
      </w:r>
      <w:r w:rsidR="00FD7244" w:rsidRPr="00EA5CCD">
        <w:t>.</w:t>
      </w:r>
      <w:r w:rsidR="006137FD">
        <w:t>c</w:t>
      </w:r>
      <w:r w:rsidR="00FD7244" w:rsidRPr="00EA5CCD">
        <w:t>.</w:t>
      </w:r>
      <w:r w:rsidR="00EA545D">
        <w:tab/>
      </w:r>
      <w:r w:rsidR="00FD7244" w:rsidRPr="00EA5CCD">
        <w:t xml:space="preserve">Seasonality: Another potential threat to the validity of a quality measure is seasonal variation. If a quality measure score varies substantially from quarter to quarter in a consistent pattern over time corresponding to changes in seasons, it is possible that the validity of the measure is being compromised due to influences not within a nursing home’s control. To address whether seasonal variation might play a role, we examined the trend in the national mean and median for this quality measure score between </w:t>
      </w:r>
      <w:r w:rsidR="00FD7244" w:rsidRPr="00FC2D50">
        <w:t xml:space="preserve">Quarter 1, 2011 and Quarter </w:t>
      </w:r>
      <w:r w:rsidR="001865A8">
        <w:t>3</w:t>
      </w:r>
      <w:r w:rsidR="00FD7244" w:rsidRPr="00FC2D50">
        <w:t xml:space="preserve">, </w:t>
      </w:r>
      <w:r w:rsidR="00027A32" w:rsidRPr="00FC2D50">
        <w:t>2018</w:t>
      </w:r>
      <w:r w:rsidR="00FD7244" w:rsidRPr="00FC2D50">
        <w:t>.</w:t>
      </w:r>
      <w:r w:rsidR="00FD7244" w:rsidRPr="00EA5CCD">
        <w:t xml:space="preserve"> </w:t>
      </w:r>
    </w:p>
    <w:p w14:paraId="23C6A70B" w14:textId="28CB5D28" w:rsidR="00FD7244" w:rsidRPr="00EA5CCD" w:rsidRDefault="00731E47" w:rsidP="005456E1">
      <w:pPr>
        <w:pStyle w:val="Response"/>
        <w:ind w:left="720" w:hanging="450"/>
      </w:pPr>
      <w:r>
        <w:rPr>
          <w:rFonts w:cstheme="minorBidi"/>
        </w:rPr>
        <w:t>1</w:t>
      </w:r>
      <w:r w:rsidR="00FD7244" w:rsidRPr="00EA5CCD">
        <w:rPr>
          <w:rFonts w:cstheme="minorBidi"/>
        </w:rPr>
        <w:t>.</w:t>
      </w:r>
      <w:r w:rsidR="006137FD">
        <w:rPr>
          <w:rFonts w:cstheme="minorBidi"/>
        </w:rPr>
        <w:t>d</w:t>
      </w:r>
      <w:r w:rsidR="00FD7244" w:rsidRPr="00EA5CCD">
        <w:rPr>
          <w:rFonts w:cstheme="minorBidi"/>
        </w:rPr>
        <w:t>.</w:t>
      </w:r>
      <w:r w:rsidR="00FD7244" w:rsidRPr="00EA5CCD">
        <w:rPr>
          <w:rFonts w:cstheme="minorBidi"/>
        </w:rPr>
        <w:tab/>
        <w:t>Stability</w:t>
      </w:r>
      <w:r w:rsidR="00FD7244" w:rsidRPr="00EA5CCD">
        <w:t xml:space="preserve"> analysis:</w:t>
      </w:r>
      <w:r w:rsidR="005456E1">
        <w:t xml:space="preserve"> We</w:t>
      </w:r>
      <w:r w:rsidR="00DF2A52" w:rsidRPr="00EA5CCD">
        <w:t xml:space="preserve"> </w:t>
      </w:r>
      <w:r w:rsidR="00FD7244" w:rsidRPr="00EA5CCD">
        <w:t xml:space="preserve">examined the extent to which relative facility rank changed on this quality measure </w:t>
      </w:r>
      <w:r w:rsidR="00FD7244" w:rsidRPr="00C55A13">
        <w:t xml:space="preserve">from Quarter </w:t>
      </w:r>
      <w:r w:rsidR="00F90FBB">
        <w:t>2</w:t>
      </w:r>
      <w:r w:rsidR="00FD7244" w:rsidRPr="00C55A13">
        <w:t xml:space="preserve"> to Quarter </w:t>
      </w:r>
      <w:r w:rsidR="001865A8">
        <w:t>3</w:t>
      </w:r>
      <w:r w:rsidR="00FD7244" w:rsidRPr="00C55A13">
        <w:t>, 201</w:t>
      </w:r>
      <w:r w:rsidR="00C55A13" w:rsidRPr="00C55A13">
        <w:t>8</w:t>
      </w:r>
      <w:r w:rsidR="00FD7244" w:rsidRPr="00C55A13">
        <w:t xml:space="preserve">. </w:t>
      </w:r>
      <w:r w:rsidR="005456E1">
        <w:t>We</w:t>
      </w:r>
      <w:r w:rsidR="00FD7244" w:rsidRPr="00EA5CCD">
        <w:t xml:space="preserve"> evaluated the percentage of facilities that changed in their percentile ranking (i.e., relative quality measure score) within 1 decile, between 1 and 2 deciles, between 2 and 3 deciles, and 3 or more deciles.</w:t>
      </w:r>
      <w:r w:rsidR="00E87D6C">
        <w:t xml:space="preserve"> </w:t>
      </w:r>
      <w:r w:rsidR="00FD7244" w:rsidRPr="00EA5CCD">
        <w:t>Dramatic changes in the quality measure score or facility rank based on the score over time may indicate measure instability, rather than true changes in quality.</w:t>
      </w:r>
    </w:p>
    <w:p w14:paraId="17030D77" w14:textId="11FB8FA8" w:rsidR="00FD7244" w:rsidRDefault="00731E47" w:rsidP="00FD7244">
      <w:pPr>
        <w:pStyle w:val="Response"/>
        <w:ind w:left="720" w:hanging="450"/>
      </w:pPr>
      <w:r>
        <w:t>1</w:t>
      </w:r>
      <w:r w:rsidR="00FD7244" w:rsidRPr="00EA5CCD">
        <w:t>.</w:t>
      </w:r>
      <w:r w:rsidR="006137FD">
        <w:t>e</w:t>
      </w:r>
      <w:r w:rsidR="00FD7244" w:rsidRPr="00EA5CCD">
        <w:t>.</w:t>
      </w:r>
      <w:r w:rsidR="00FD7244" w:rsidRPr="00EA5CCD">
        <w:tab/>
        <w:t xml:space="preserve">Confidence interval analysis: We examined proportions of facilities with scores for this measure that are significantly different from </w:t>
      </w:r>
      <w:r w:rsidR="00224E97">
        <w:t xml:space="preserve">the </w:t>
      </w:r>
      <w:r w:rsidR="00FD7244" w:rsidRPr="00EA5CCD">
        <w:t xml:space="preserve">national facility-level mean, stratified by facility denominator size. A </w:t>
      </w:r>
      <w:r w:rsidR="004C68ED">
        <w:t>valid</w:t>
      </w:r>
      <w:r w:rsidR="00FD7244" w:rsidRPr="00EA5CCD">
        <w:t xml:space="preserve"> measure should have a </w:t>
      </w:r>
      <w:r w:rsidR="004C68ED">
        <w:t>large</w:t>
      </w:r>
      <w:r w:rsidR="00FD7244" w:rsidRPr="00EA5CCD">
        <w:t xml:space="preserve"> proportion of facilities with scores significantly different than the mean</w:t>
      </w:r>
      <w:r w:rsidR="004C68ED">
        <w:t xml:space="preserve"> due to the variation in resident characteristics and conditions among the nursing homes included in the sample</w:t>
      </w:r>
      <w:r w:rsidR="00FD7244" w:rsidRPr="00EA5CCD">
        <w:t>. For this analysis, statistical significance was determined using 95% confidence intervals: a facility’s quality measure score was significantly different from the national mean if the national mean was not included in the facility’s 95% confidence interval. Because this measure is focusing on an undesirable outcome, high-performing facilities should have scores that are significantly below average, and scores of low-performing facilities should be significantly above average. We stratified the analysis by facility denominator size to examine whether this feature of the measure varies by size.</w:t>
      </w:r>
    </w:p>
    <w:p w14:paraId="59B22EC0" w14:textId="4E2F3365" w:rsidR="006C32A4" w:rsidRDefault="006C32A4" w:rsidP="00B812F1">
      <w:pPr>
        <w:pStyle w:val="Response"/>
        <w:ind w:left="720" w:hanging="450"/>
      </w:pPr>
      <w:r>
        <w:t>1</w:t>
      </w:r>
      <w:r w:rsidRPr="00EA5CCD">
        <w:t>.</w:t>
      </w:r>
      <w:r>
        <w:t>f</w:t>
      </w:r>
      <w:r w:rsidRPr="00EA5CCD">
        <w:t>.</w:t>
      </w:r>
      <w:r w:rsidRPr="00EA5CCD">
        <w:tab/>
      </w:r>
      <w:r w:rsidRPr="00DE4DAF">
        <w:t xml:space="preserve">Average change in performance across years: We </w:t>
      </w:r>
      <w:r w:rsidR="004C68ED">
        <w:t>calculated</w:t>
      </w:r>
      <w:r w:rsidRPr="00DE4DAF">
        <w:t xml:space="preserve"> the difference in performance scores for this measure across years to assess how updates to the</w:t>
      </w:r>
      <w:r w:rsidR="00581548">
        <w:t xml:space="preserve"> </w:t>
      </w:r>
      <w:r w:rsidR="000417FF">
        <w:t>g</w:t>
      </w:r>
      <w:r w:rsidR="00581548" w:rsidRPr="00581548">
        <w:t xml:space="preserve">uidance in the </w:t>
      </w:r>
      <w:r w:rsidR="00224E97">
        <w:t>L</w:t>
      </w:r>
      <w:r w:rsidR="00581548" w:rsidRPr="00581548">
        <w:t>ong-</w:t>
      </w:r>
      <w:r w:rsidR="00224E97">
        <w:t>T</w:t>
      </w:r>
      <w:r w:rsidR="00581548" w:rsidRPr="00581548">
        <w:t xml:space="preserve">erm </w:t>
      </w:r>
      <w:r w:rsidR="00224E97">
        <w:t>C</w:t>
      </w:r>
      <w:r w:rsidR="00581548" w:rsidRPr="00581548">
        <w:t xml:space="preserve">are </w:t>
      </w:r>
      <w:r w:rsidR="00224E97">
        <w:t>F</w:t>
      </w:r>
      <w:r w:rsidR="00581548" w:rsidRPr="00581548">
        <w:t>acility Resident Assessment Instrument 3.0 User’s Manual pertaining to item I2300 – Urinary Tract Infection (UTI) (LAST 30 DAYS), which is used to determine numerator triggering for t</w:t>
      </w:r>
      <w:r w:rsidR="008863C1">
        <w:t xml:space="preserve">his </w:t>
      </w:r>
      <w:r w:rsidR="00581548" w:rsidRPr="00581548">
        <w:t>measure</w:t>
      </w:r>
      <w:r w:rsidRPr="00DE4DAF">
        <w:t xml:space="preserve"> </w:t>
      </w:r>
      <w:r w:rsidR="008863C1">
        <w:t xml:space="preserve">may have </w:t>
      </w:r>
      <w:r w:rsidRPr="00DE4DAF">
        <w:t xml:space="preserve">changed provider scores from year to year. The changes in </w:t>
      </w:r>
      <w:r w:rsidR="00332B2A">
        <w:t xml:space="preserve">guidance could </w:t>
      </w:r>
      <w:r w:rsidRPr="00DE4DAF">
        <w:t xml:space="preserve">compromise the validity of the measure </w:t>
      </w:r>
      <w:r w:rsidR="00DC6493">
        <w:t>if the</w:t>
      </w:r>
      <w:r w:rsidR="00DC6493" w:rsidRPr="00DC6493">
        <w:t xml:space="preserve"> </w:t>
      </w:r>
      <w:bookmarkStart w:id="21" w:name="_Hlk14966345"/>
      <w:r w:rsidR="00DC6493" w:rsidRPr="00DC6493">
        <w:t xml:space="preserve">variation in the overall or regional facility </w:t>
      </w:r>
      <w:r w:rsidR="00DC6493" w:rsidRPr="00DC6493">
        <w:lastRenderedPageBreak/>
        <w:t xml:space="preserve">performance observed on this measure </w:t>
      </w:r>
      <w:r w:rsidR="00787E7C">
        <w:t xml:space="preserve">is </w:t>
      </w:r>
      <w:r w:rsidR="00DC6493" w:rsidRPr="00DC6493">
        <w:t>attributable to this change in guidance</w:t>
      </w:r>
      <w:bookmarkEnd w:id="21"/>
      <w:r w:rsidRPr="00DE4DAF">
        <w:t>. Like the seasonality discussion, this may result in a threat to the measure’s validity if providers experience considerable variation or differences in performance across years.</w:t>
      </w:r>
    </w:p>
    <w:p w14:paraId="13F2D70E" w14:textId="6E17E6B7" w:rsidR="005C687B" w:rsidRDefault="00731E47" w:rsidP="00F4696A">
      <w:pPr>
        <w:pStyle w:val="Response"/>
        <w:ind w:left="720" w:hanging="450"/>
        <w:rPr>
          <w:rStyle w:val="normaltextrun"/>
          <w:rFonts w:ascii="Calibri" w:hAnsi="Calibri" w:cs="Calibri"/>
          <w:shd w:val="clear" w:color="auto" w:fill="FFFFFF"/>
        </w:rPr>
      </w:pPr>
      <w:r>
        <w:t>1</w:t>
      </w:r>
      <w:r w:rsidR="002B013B">
        <w:t>.</w:t>
      </w:r>
      <w:r w:rsidR="008C1765">
        <w:t>g</w:t>
      </w:r>
      <w:r w:rsidR="002B013B">
        <w:t>.</w:t>
      </w:r>
      <w:r w:rsidR="007212FC">
        <w:rPr>
          <w:rStyle w:val="normaltextrun"/>
          <w:rFonts w:ascii="Calibri" w:hAnsi="Calibri" w:cs="Calibri"/>
          <w:shd w:val="clear" w:color="auto" w:fill="FFFFFF"/>
        </w:rPr>
        <w:t xml:space="preserve"> </w:t>
      </w:r>
      <w:r w:rsidR="007212FC">
        <w:rPr>
          <w:rStyle w:val="normaltextrun"/>
          <w:rFonts w:ascii="Calibri" w:hAnsi="Calibri" w:cs="Calibri"/>
          <w:shd w:val="clear" w:color="auto" w:fill="FFFFFF"/>
        </w:rPr>
        <w:tab/>
      </w:r>
      <w:r w:rsidR="00F15478">
        <w:rPr>
          <w:rStyle w:val="normaltextrun"/>
          <w:rFonts w:ascii="Calibri" w:hAnsi="Calibri" w:cs="Calibri"/>
          <w:shd w:val="clear" w:color="auto" w:fill="FFFFFF"/>
        </w:rPr>
        <w:t xml:space="preserve">Face validity: </w:t>
      </w:r>
      <w:r w:rsidR="00A84C22">
        <w:t>RTI convened a Technical Expert Panel (TEP) on May 23, 2019 to obtain feedback from providers and various stakeholders about the face validity of NQF #0684. TEP members discussed the current measure specifications, potential risk</w:t>
      </w:r>
      <w:r w:rsidR="00993CBA">
        <w:t xml:space="preserve"> adjustment</w:t>
      </w:r>
      <w:r w:rsidR="00A84C22">
        <w:t xml:space="preserve"> factors</w:t>
      </w:r>
      <w:r w:rsidR="00993CBA">
        <w:t xml:space="preserve"> and the effectiveness of the measure in capturing quality of care,</w:t>
      </w:r>
      <w:r w:rsidR="00A84C22">
        <w:t xml:space="preserve"> to determine the face validity of the measure as it is currently specified</w:t>
      </w:r>
      <w:r w:rsidR="00841DB8">
        <w:t xml:space="preserve"> (RTI International, 2019)</w:t>
      </w:r>
      <w:r w:rsidR="00A84C22">
        <w:t>.</w:t>
      </w:r>
    </w:p>
    <w:p w14:paraId="7CFFDE74" w14:textId="7F52A233" w:rsidR="00A97C32" w:rsidRPr="00C46B13" w:rsidRDefault="00A97C32" w:rsidP="00841DB8">
      <w:pPr>
        <w:pStyle w:val="Response"/>
        <w:ind w:left="720" w:hanging="360"/>
        <w:rPr>
          <w:sz w:val="20"/>
          <w:szCs w:val="20"/>
        </w:rPr>
      </w:pPr>
      <w:r w:rsidRPr="00A97C32">
        <w:rPr>
          <w:sz w:val="20"/>
          <w:szCs w:val="20"/>
        </w:rPr>
        <w:t>RTI International. (2019, June).  Technical Expert Panel Summary Report: Maintenance of Nursing Home Quality Measures. Prepared under CMS Contract No. HHSM-500-2013-13015I.  Available at https://www.cms.gov/Medicare/Quality-Initiatives-Patient-Assessment-Instruments/MMS/TEP-Current-Panels.html.</w:t>
      </w:r>
    </w:p>
    <w:bookmarkEnd w:id="20"/>
    <w:p w14:paraId="65863040" w14:textId="78500AEC" w:rsidR="00731E47" w:rsidRDefault="009C7513" w:rsidP="00E21910">
      <w:pPr>
        <w:pStyle w:val="Response"/>
        <w:rPr>
          <w:b/>
        </w:rPr>
      </w:pPr>
      <w:r w:rsidRPr="00B9539C">
        <w:rPr>
          <w:b/>
          <w:color w:val="auto"/>
        </w:rPr>
        <w:t>2b1</w:t>
      </w:r>
      <w:r w:rsidR="00092566" w:rsidRPr="00B9539C">
        <w:rPr>
          <w:b/>
          <w:color w:val="auto"/>
        </w:rPr>
        <w:t>.</w:t>
      </w:r>
      <w:r w:rsidR="007757CE" w:rsidRPr="00B9539C">
        <w:rPr>
          <w:b/>
          <w:color w:val="auto"/>
        </w:rPr>
        <w:t xml:space="preserve">3. </w:t>
      </w:r>
      <w:r w:rsidR="00833325" w:rsidRPr="00B9539C">
        <w:rPr>
          <w:b/>
          <w:color w:val="auto"/>
        </w:rPr>
        <w:t xml:space="preserve">What were the statistical results </w:t>
      </w:r>
      <w:r w:rsidR="007422FD" w:rsidRPr="00B9539C">
        <w:rPr>
          <w:b/>
          <w:color w:val="auto"/>
        </w:rPr>
        <w:t xml:space="preserve">from </w:t>
      </w:r>
      <w:r w:rsidR="00EC79DE" w:rsidRPr="00B9539C">
        <w:rPr>
          <w:b/>
          <w:color w:val="auto"/>
        </w:rPr>
        <w:t>validity</w:t>
      </w:r>
      <w:r w:rsidR="007422FD" w:rsidRPr="00B9539C">
        <w:rPr>
          <w:b/>
          <w:color w:val="auto"/>
        </w:rPr>
        <w:t xml:space="preserve"> testing</w:t>
      </w:r>
      <w:r w:rsidR="00833325" w:rsidRPr="00B9539C">
        <w:rPr>
          <w:color w:val="auto"/>
        </w:rPr>
        <w:t xml:space="preserve">? </w:t>
      </w:r>
      <w:r w:rsidR="00AA5213" w:rsidRPr="00B9539C">
        <w:rPr>
          <w:color w:val="auto"/>
        </w:rPr>
        <w:t>(</w:t>
      </w:r>
      <w:r w:rsidR="00AA5213" w:rsidRPr="00B9539C">
        <w:rPr>
          <w:i/>
          <w:color w:val="auto"/>
        </w:rPr>
        <w:t xml:space="preserve">e.g., correlation; </w:t>
      </w:r>
      <w:r w:rsidR="001F1DA1" w:rsidRPr="00B9539C">
        <w:rPr>
          <w:i/>
          <w:color w:val="auto"/>
        </w:rPr>
        <w:t>t-test</w:t>
      </w:r>
      <w:r w:rsidR="00AA5213" w:rsidRPr="00B9539C">
        <w:rPr>
          <w:color w:val="auto"/>
        </w:rPr>
        <w:t>)</w:t>
      </w:r>
    </w:p>
    <w:p w14:paraId="676499CD" w14:textId="78E0DCDE" w:rsidR="00E21910" w:rsidRPr="00956C0E" w:rsidRDefault="00E21910" w:rsidP="00EA545D">
      <w:pPr>
        <w:pStyle w:val="Response"/>
        <w:spacing w:after="0"/>
        <w:rPr>
          <w:b/>
        </w:rPr>
      </w:pPr>
      <w:r w:rsidRPr="00956C0E">
        <w:rPr>
          <w:b/>
        </w:rPr>
        <w:t>Performance Measure Score</w:t>
      </w:r>
      <w:r>
        <w:rPr>
          <w:b/>
        </w:rPr>
        <w:t xml:space="preserve"> Validity</w:t>
      </w:r>
    </w:p>
    <w:p w14:paraId="196D2D3C" w14:textId="77D41ECA" w:rsidR="00E21910" w:rsidRDefault="00731E47" w:rsidP="00EA545D">
      <w:pPr>
        <w:pStyle w:val="Response"/>
        <w:spacing w:before="0"/>
        <w:ind w:left="720" w:hanging="360"/>
      </w:pPr>
      <w:r>
        <w:t>1</w:t>
      </w:r>
      <w:r w:rsidR="00E21910">
        <w:t>.a.</w:t>
      </w:r>
      <w:r w:rsidR="00E21910">
        <w:tab/>
        <w:t xml:space="preserve">Correlation with related quality measures: </w:t>
      </w:r>
      <w:r w:rsidR="00E21910" w:rsidRPr="00683A3D">
        <w:t>Among facilities who could report both</w:t>
      </w:r>
      <w:r w:rsidR="00E21910">
        <w:t xml:space="preserve"> </w:t>
      </w:r>
      <w:r w:rsidR="00E21910" w:rsidRPr="00683A3D">
        <w:t xml:space="preserve">measures, RTI calculated the correlation </w:t>
      </w:r>
      <w:r w:rsidR="00E21910" w:rsidRPr="00830D77">
        <w:t xml:space="preserve">between the facility’s percentile rank on </w:t>
      </w:r>
      <w:r w:rsidR="00830D77" w:rsidRPr="00830D77">
        <w:t>NQF #0684 (Percent of Residents with a Urinary Tract Infection (Long Stay))</w:t>
      </w:r>
      <w:r w:rsidR="00E87D6C">
        <w:t xml:space="preserve"> </w:t>
      </w:r>
      <w:r w:rsidR="00830D77">
        <w:t xml:space="preserve">and </w:t>
      </w:r>
      <w:bookmarkStart w:id="22" w:name="_Hlk530406034"/>
      <w:r w:rsidR="00E21910" w:rsidRPr="00830D77">
        <w:t xml:space="preserve">#0686 (Percent of Residents Who Have/Had a Catheter Inserted and Left in Their Bladder (Long Stay)) </w:t>
      </w:r>
      <w:bookmarkEnd w:id="22"/>
      <w:r w:rsidR="00E21910" w:rsidRPr="00830D77">
        <w:t>and found a positive but weak (</w:t>
      </w:r>
      <m:oMath>
        <m:r>
          <w:rPr>
            <w:rFonts w:ascii="Cambria Math" w:hAnsi="Cambria Math"/>
          </w:rPr>
          <m:t>ρ</m:t>
        </m:r>
      </m:oMath>
      <w:r w:rsidR="00E21910" w:rsidRPr="00A11604">
        <w:t xml:space="preserve"> = 0.1</w:t>
      </w:r>
      <w:r w:rsidR="00C149B2" w:rsidRPr="00A11604">
        <w:t>1</w:t>
      </w:r>
      <w:r w:rsidR="00E21910" w:rsidRPr="00A11604">
        <w:t>, and</w:t>
      </w:r>
      <w:r w:rsidR="00E21910" w:rsidRPr="00830D77">
        <w:t xml:space="preserve"> statistically significant (</w:t>
      </w:r>
      <w:r w:rsidR="00E21910" w:rsidRPr="00830D77">
        <w:rPr>
          <w:i/>
        </w:rPr>
        <w:t>p</w:t>
      </w:r>
      <w:r w:rsidR="00E21910" w:rsidRPr="00830D77">
        <w:t xml:space="preserve"> &lt; 0.001)</w:t>
      </w:r>
      <w:r w:rsidR="008A3166">
        <w:t xml:space="preserve">) </w:t>
      </w:r>
      <w:r w:rsidR="00E21910" w:rsidRPr="00830D77">
        <w:t>correlation.</w:t>
      </w:r>
      <w:r w:rsidR="00E87D6C">
        <w:t xml:space="preserve"> </w:t>
      </w:r>
      <w:r w:rsidR="00E21910" w:rsidRPr="00830D77">
        <w:t xml:space="preserve">Among facilities who could report both measures, RTI also calculated the correlation between the facility’s percentile rank on </w:t>
      </w:r>
      <w:r w:rsidR="00C53266" w:rsidRPr="00830D77">
        <w:t xml:space="preserve">NQF #0684 (Percent of Residents with a Urinary Tract Infection (Long Stay)) </w:t>
      </w:r>
      <w:r w:rsidR="00E21910" w:rsidRPr="00830D77">
        <w:t>and NQF #0685 (Percent of Low Risk Residents Who Lose Control of their Bowels or Bladder (Long Stay)) and found a positive</w:t>
      </w:r>
      <w:r w:rsidR="00037FC2">
        <w:t xml:space="preserve"> </w:t>
      </w:r>
      <w:r w:rsidR="00037FC2" w:rsidRPr="00A11604">
        <w:t>(</w:t>
      </w:r>
      <m:oMath>
        <m:r>
          <w:rPr>
            <w:rFonts w:ascii="Cambria Math" w:hAnsi="Cambria Math"/>
          </w:rPr>
          <m:t>ρ</m:t>
        </m:r>
      </m:oMath>
      <w:r w:rsidR="0005652C" w:rsidRPr="00A11604">
        <w:t>=0.</w:t>
      </w:r>
      <w:r w:rsidR="00E3635D" w:rsidRPr="00A11604">
        <w:t>03</w:t>
      </w:r>
      <w:r w:rsidR="0005652C" w:rsidRPr="00A11604">
        <w:t>)</w:t>
      </w:r>
      <w:r w:rsidR="0005652C">
        <w:t xml:space="preserve"> and statistically significant (</w:t>
      </w:r>
      <w:r w:rsidR="00943C85">
        <w:t>p</w:t>
      </w:r>
      <w:r w:rsidR="0005652C">
        <w:t>&lt;0.001)</w:t>
      </w:r>
      <w:r w:rsidR="00E21910" w:rsidRPr="00830D77">
        <w:t xml:space="preserve"> relationship.</w:t>
      </w:r>
    </w:p>
    <w:p w14:paraId="4EF9280C" w14:textId="7B398A56" w:rsidR="00E21910" w:rsidRPr="00630A97" w:rsidRDefault="00FD231A" w:rsidP="00630A97">
      <w:pPr>
        <w:pStyle w:val="Response"/>
        <w:spacing w:before="0" w:after="0"/>
        <w:ind w:left="720" w:hanging="360"/>
        <w:rPr>
          <w:bCs w:val="0"/>
          <w:sz w:val="20"/>
          <w:szCs w:val="20"/>
        </w:rPr>
      </w:pPr>
      <w:bookmarkStart w:id="23" w:name="_Hlk510866152"/>
      <w:r>
        <w:rPr>
          <w:bCs w:val="0"/>
          <w:sz w:val="20"/>
          <w:szCs w:val="20"/>
        </w:rPr>
        <w:t>RTI Inter</w:t>
      </w:r>
      <w:r w:rsidR="00A119AF">
        <w:rPr>
          <w:bCs w:val="0"/>
          <w:sz w:val="20"/>
          <w:szCs w:val="20"/>
        </w:rPr>
        <w:t>n</w:t>
      </w:r>
      <w:r>
        <w:rPr>
          <w:bCs w:val="0"/>
          <w:sz w:val="20"/>
          <w:szCs w:val="20"/>
        </w:rPr>
        <w:t>ational (2019a).</w:t>
      </w:r>
      <w:r w:rsidR="00E21910" w:rsidRPr="004F2E28">
        <w:rPr>
          <w:bCs w:val="0"/>
          <w:sz w:val="20"/>
          <w:szCs w:val="20"/>
        </w:rPr>
        <w:t xml:space="preserve"> RTI analysis of Q</w:t>
      </w:r>
      <w:r w:rsidR="00820304">
        <w:rPr>
          <w:bCs w:val="0"/>
          <w:sz w:val="20"/>
          <w:szCs w:val="20"/>
        </w:rPr>
        <w:t>3</w:t>
      </w:r>
      <w:r w:rsidR="00E21910" w:rsidRPr="004F2E28">
        <w:rPr>
          <w:bCs w:val="0"/>
          <w:sz w:val="20"/>
          <w:szCs w:val="20"/>
        </w:rPr>
        <w:t>, 201</w:t>
      </w:r>
      <w:r w:rsidR="005416CA" w:rsidRPr="004F2E28">
        <w:rPr>
          <w:bCs w:val="0"/>
          <w:sz w:val="20"/>
          <w:szCs w:val="20"/>
        </w:rPr>
        <w:t>8</w:t>
      </w:r>
      <w:r w:rsidR="00E21910" w:rsidRPr="004F2E28">
        <w:rPr>
          <w:bCs w:val="0"/>
          <w:sz w:val="20"/>
          <w:szCs w:val="20"/>
        </w:rPr>
        <w:t xml:space="preserve"> MDS 3.0 data (programming reference: </w:t>
      </w:r>
      <w:r w:rsidR="00803070">
        <w:rPr>
          <w:bCs w:val="0"/>
          <w:sz w:val="20"/>
          <w:szCs w:val="20"/>
        </w:rPr>
        <w:t>KH33</w:t>
      </w:r>
      <w:r w:rsidR="00E21910" w:rsidRPr="004F2E28">
        <w:rPr>
          <w:bCs w:val="0"/>
          <w:sz w:val="20"/>
          <w:szCs w:val="20"/>
        </w:rPr>
        <w:t>\</w:t>
      </w:r>
      <w:r w:rsidR="004B10EE" w:rsidRPr="004F2E28">
        <w:rPr>
          <w:bCs w:val="0"/>
          <w:sz w:val="20"/>
          <w:szCs w:val="20"/>
        </w:rPr>
        <w:t>hf359_request_</w:t>
      </w:r>
      <w:r w:rsidR="001D1F0C" w:rsidRPr="004F2E28">
        <w:rPr>
          <w:bCs w:val="0"/>
          <w:sz w:val="20"/>
          <w:szCs w:val="20"/>
        </w:rPr>
        <w:t>q3</w:t>
      </w:r>
      <w:r w:rsidR="001D1F0C">
        <w:rPr>
          <w:bCs w:val="0"/>
          <w:sz w:val="20"/>
          <w:szCs w:val="20"/>
        </w:rPr>
        <w:t>132</w:t>
      </w:r>
      <w:r w:rsidR="004B10EE" w:rsidRPr="004F2E28">
        <w:rPr>
          <w:bCs w:val="0"/>
          <w:sz w:val="20"/>
          <w:szCs w:val="20"/>
        </w:rPr>
        <w:t>_684.log</w:t>
      </w:r>
      <w:r w:rsidR="00E21910" w:rsidRPr="004F2E28">
        <w:rPr>
          <w:bCs w:val="0"/>
          <w:sz w:val="20"/>
          <w:szCs w:val="20"/>
        </w:rPr>
        <w:t>)</w:t>
      </w:r>
      <w:bookmarkEnd w:id="23"/>
      <w:r w:rsidR="00190153">
        <w:rPr>
          <w:bCs w:val="0"/>
          <w:sz w:val="20"/>
          <w:szCs w:val="20"/>
        </w:rPr>
        <w:t xml:space="preserve"> </w:t>
      </w:r>
    </w:p>
    <w:p w14:paraId="49B9B842" w14:textId="76C836E0" w:rsidR="00E21910" w:rsidRDefault="00731E47" w:rsidP="00E21910">
      <w:pPr>
        <w:pStyle w:val="Response"/>
        <w:ind w:left="720" w:hanging="360"/>
      </w:pPr>
      <w:r>
        <w:t>1</w:t>
      </w:r>
      <w:r w:rsidR="00E21910">
        <w:t xml:space="preserve">.b. Variation by </w:t>
      </w:r>
      <w:r w:rsidR="00201E2C">
        <w:t>s</w:t>
      </w:r>
      <w:r w:rsidR="00E21910">
        <w:t>tate: RTI conducted a one-way analysis of variance (ANOVA) and examined the interquartile range in mean state-level scores across states to assess whether state characteristics were a source of facility measure score variation for NQF #0684</w:t>
      </w:r>
      <w:r w:rsidR="00E21910" w:rsidRPr="0075346C">
        <w:t xml:space="preserve">. The proportion of variance in this measure explained by the state in which facilities are located is </w:t>
      </w:r>
      <w:r w:rsidR="007D7144" w:rsidRPr="0075346C">
        <w:t>1</w:t>
      </w:r>
      <w:r w:rsidR="00FF13BF">
        <w:t>.</w:t>
      </w:r>
      <w:r w:rsidR="00F916B1">
        <w:t>4</w:t>
      </w:r>
      <w:r w:rsidR="00E21910" w:rsidRPr="0075346C">
        <w:t>% (</w:t>
      </w:r>
      <w:r w:rsidR="00E21910" w:rsidRPr="0075346C">
        <w:rPr>
          <w:i/>
          <w:iCs/>
        </w:rPr>
        <w:t>p</w:t>
      </w:r>
      <w:r w:rsidR="00E21910" w:rsidRPr="0075346C">
        <w:t xml:space="preserve"> &lt; 0.001). The interquartile range of state-level scores is </w:t>
      </w:r>
      <w:r w:rsidR="00C06F33">
        <w:t>4.2</w:t>
      </w:r>
      <w:r w:rsidR="00E21910" w:rsidRPr="0075346C">
        <w:t>%</w:t>
      </w:r>
      <w:r w:rsidR="00A119AF">
        <w:t xml:space="preserve"> (RTI International, 2019b)</w:t>
      </w:r>
      <w:r w:rsidR="00E21910" w:rsidRPr="0075346C">
        <w:t>.</w:t>
      </w:r>
      <w:r w:rsidR="00E87D6C">
        <w:t xml:space="preserve"> </w:t>
      </w:r>
    </w:p>
    <w:p w14:paraId="18127C87" w14:textId="57D22BA9" w:rsidR="00E21910" w:rsidRPr="004F2E28" w:rsidRDefault="00A119AF" w:rsidP="00E21910">
      <w:pPr>
        <w:pStyle w:val="Response"/>
        <w:spacing w:before="0" w:after="0"/>
        <w:ind w:left="720" w:hanging="360"/>
        <w:rPr>
          <w:bCs w:val="0"/>
          <w:sz w:val="20"/>
          <w:szCs w:val="20"/>
        </w:rPr>
      </w:pPr>
      <w:r>
        <w:rPr>
          <w:bCs w:val="0"/>
          <w:sz w:val="20"/>
          <w:szCs w:val="20"/>
        </w:rPr>
        <w:t>RTI International (2019b).</w:t>
      </w:r>
      <w:r w:rsidR="00E21910" w:rsidRPr="004F2E28">
        <w:rPr>
          <w:bCs w:val="0"/>
          <w:sz w:val="20"/>
          <w:szCs w:val="20"/>
        </w:rPr>
        <w:t xml:space="preserve"> RTI analysis of Q</w:t>
      </w:r>
      <w:r w:rsidR="001865A8">
        <w:rPr>
          <w:bCs w:val="0"/>
          <w:sz w:val="20"/>
          <w:szCs w:val="20"/>
        </w:rPr>
        <w:t>3</w:t>
      </w:r>
      <w:r w:rsidR="00E21910" w:rsidRPr="004F2E28">
        <w:rPr>
          <w:bCs w:val="0"/>
          <w:sz w:val="20"/>
          <w:szCs w:val="20"/>
        </w:rPr>
        <w:t>, 20</w:t>
      </w:r>
      <w:r w:rsidR="00241A71">
        <w:rPr>
          <w:bCs w:val="0"/>
          <w:sz w:val="20"/>
          <w:szCs w:val="20"/>
        </w:rPr>
        <w:t>1</w:t>
      </w:r>
      <w:r w:rsidR="005416CA" w:rsidRPr="004F2E28">
        <w:rPr>
          <w:bCs w:val="0"/>
          <w:sz w:val="20"/>
          <w:szCs w:val="20"/>
        </w:rPr>
        <w:t>8</w:t>
      </w:r>
      <w:r w:rsidR="00E21910" w:rsidRPr="004F2E28">
        <w:rPr>
          <w:bCs w:val="0"/>
          <w:sz w:val="20"/>
          <w:szCs w:val="20"/>
        </w:rPr>
        <w:t xml:space="preserve"> MDS 3.0 data (programming reference: </w:t>
      </w:r>
      <w:r w:rsidR="00EE60CE">
        <w:rPr>
          <w:bCs w:val="0"/>
          <w:sz w:val="20"/>
          <w:szCs w:val="20"/>
        </w:rPr>
        <w:t>KH33</w:t>
      </w:r>
      <w:r w:rsidR="00E21910" w:rsidRPr="004F2E28">
        <w:rPr>
          <w:bCs w:val="0"/>
          <w:sz w:val="20"/>
          <w:szCs w:val="20"/>
        </w:rPr>
        <w:t>\</w:t>
      </w:r>
      <w:r w:rsidR="00A812F4" w:rsidRPr="004F2E28">
        <w:rPr>
          <w:bCs w:val="0"/>
          <w:sz w:val="20"/>
          <w:szCs w:val="20"/>
        </w:rPr>
        <w:t>hf357_request_</w:t>
      </w:r>
      <w:r w:rsidR="00EE60CE" w:rsidRPr="004F2E28">
        <w:rPr>
          <w:bCs w:val="0"/>
          <w:sz w:val="20"/>
          <w:szCs w:val="20"/>
        </w:rPr>
        <w:t>q3</w:t>
      </w:r>
      <w:r w:rsidR="00EE60CE">
        <w:rPr>
          <w:bCs w:val="0"/>
          <w:sz w:val="20"/>
          <w:szCs w:val="20"/>
        </w:rPr>
        <w:t>132</w:t>
      </w:r>
      <w:r w:rsidR="00A812F4" w:rsidRPr="004F2E28">
        <w:rPr>
          <w:bCs w:val="0"/>
          <w:sz w:val="20"/>
          <w:szCs w:val="20"/>
        </w:rPr>
        <w:t>_684.log)</w:t>
      </w:r>
    </w:p>
    <w:p w14:paraId="377F058F" w14:textId="6C422C5B" w:rsidR="00E21910" w:rsidRDefault="00731E47" w:rsidP="00E21910">
      <w:pPr>
        <w:pStyle w:val="Response"/>
        <w:ind w:left="720" w:hanging="360"/>
      </w:pPr>
      <w:r>
        <w:t>1</w:t>
      </w:r>
      <w:r w:rsidR="00E21910" w:rsidRPr="00EA5CCD">
        <w:t>.</w:t>
      </w:r>
      <w:r w:rsidR="00E21910">
        <w:t>c</w:t>
      </w:r>
      <w:r w:rsidR="00E21910" w:rsidRPr="00EA5CCD">
        <w:t>.</w:t>
      </w:r>
      <w:r w:rsidR="00E21910" w:rsidRPr="00EA5CCD">
        <w:tab/>
        <w:t xml:space="preserve">Seasonality: RTI examined the </w:t>
      </w:r>
      <w:proofErr w:type="gramStart"/>
      <w:r w:rsidR="00E21910" w:rsidRPr="00EA5CCD">
        <w:t>national-level</w:t>
      </w:r>
      <w:proofErr w:type="gramEnd"/>
      <w:r w:rsidR="00E21910" w:rsidRPr="00EA5CCD">
        <w:t xml:space="preserve"> mean and median quality measure scores for each quarter from </w:t>
      </w:r>
      <w:r w:rsidR="00E21910" w:rsidRPr="00190153">
        <w:t xml:space="preserve">Quarter 1, 2011, to Quarter </w:t>
      </w:r>
      <w:r w:rsidR="001865A8">
        <w:t>3</w:t>
      </w:r>
      <w:r w:rsidR="00E21910" w:rsidRPr="00190153">
        <w:t>, 201</w:t>
      </w:r>
      <w:r w:rsidR="00CE4C07" w:rsidRPr="00190153">
        <w:t>8</w:t>
      </w:r>
      <w:r w:rsidR="00E21910" w:rsidRPr="00190153">
        <w:t>.</w:t>
      </w:r>
      <w:r w:rsidR="00E21910" w:rsidRPr="00EA5CCD">
        <w:t xml:space="preserve"> The results are presented in </w:t>
      </w:r>
      <w:r w:rsidR="00E21910" w:rsidRPr="00EA5CCD">
        <w:rPr>
          <w:b/>
          <w:i/>
        </w:rPr>
        <w:t>Figure 1</w:t>
      </w:r>
      <w:r w:rsidR="00E21910" w:rsidRPr="00EA5CCD">
        <w:t>.</w:t>
      </w:r>
      <w:r w:rsidR="00E21910" w:rsidRPr="00EA5CCD">
        <w:rPr>
          <w:rFonts w:ascii="TimesNewRomanPSMT" w:hAnsi="TimesNewRomanPSMT" w:cs="TimesNewRomanPSMT"/>
        </w:rPr>
        <w:t xml:space="preserve"> </w:t>
      </w:r>
      <w:r w:rsidR="00E21910" w:rsidRPr="00190153">
        <w:t xml:space="preserve">The national-level means and medians have both decreased almost monotonically since Quarter 1 of 2011. These results show no evidence of seasonal variation. Further, this also indicates that facilities may have improved </w:t>
      </w:r>
      <w:r w:rsidR="00A23690">
        <w:t xml:space="preserve">practices related to genitourinary care, including prevention of </w:t>
      </w:r>
      <w:r w:rsidR="000C61E3" w:rsidRPr="00190153">
        <w:t>urinary tract infection</w:t>
      </w:r>
      <w:r w:rsidR="00A23690">
        <w:t>s,</w:t>
      </w:r>
      <w:r w:rsidR="00E21910" w:rsidRPr="00190153">
        <w:t xml:space="preserve"> </w:t>
      </w:r>
      <w:r w:rsidR="00A23690">
        <w:t>during</w:t>
      </w:r>
      <w:r w:rsidR="00E21910" w:rsidRPr="00190153">
        <w:t xml:space="preserve"> this period.</w:t>
      </w:r>
    </w:p>
    <w:p w14:paraId="04CE1400" w14:textId="7D30F5D7" w:rsidR="00390D75" w:rsidRDefault="00390D75" w:rsidP="00390D75">
      <w:pPr>
        <w:pStyle w:val="FigureTitle"/>
      </w:pPr>
      <w:bookmarkStart w:id="24" w:name="_Toc335304092"/>
      <w:bookmarkStart w:id="25" w:name="_Toc338830466"/>
      <w:bookmarkStart w:id="26" w:name="_Toc306986654"/>
      <w:r>
        <w:lastRenderedPageBreak/>
        <w:t>F</w:t>
      </w:r>
      <w:r w:rsidR="00E21910" w:rsidRPr="00EA5CCD">
        <w:t>igure 1</w:t>
      </w:r>
      <w:r>
        <w:t>.</w:t>
      </w:r>
      <w:r w:rsidR="00E87D6C">
        <w:t xml:space="preserve"> </w:t>
      </w:r>
      <w:r w:rsidR="00E21910" w:rsidRPr="00EA5CCD">
        <w:t xml:space="preserve">Seasonal (Quarterly) Variation, </w:t>
      </w:r>
      <w:bookmarkEnd w:id="24"/>
      <w:bookmarkEnd w:id="25"/>
      <w:bookmarkEnd w:id="26"/>
      <w:r w:rsidR="00E21910" w:rsidRPr="00190153">
        <w:t>NQF #0684 Percent of Residents with a Urinary Tract</w:t>
      </w:r>
      <w:r>
        <w:t xml:space="preserve"> </w:t>
      </w:r>
      <w:r w:rsidR="00E21910" w:rsidRPr="00190153">
        <w:t>Infection (Long Stay)</w:t>
      </w:r>
      <w:r w:rsidR="003E09E5">
        <w:t>, Quarter 1, 2011 – Quarter 3, 2018</w:t>
      </w:r>
    </w:p>
    <w:p w14:paraId="4A4C2603" w14:textId="74232EFA" w:rsidR="00E21910" w:rsidRPr="00390D75" w:rsidRDefault="00E21910" w:rsidP="00390D75">
      <w:pPr>
        <w:pStyle w:val="FigureTitle"/>
        <w:rPr>
          <w:highlight w:val="yellow"/>
        </w:rPr>
      </w:pPr>
      <w:r w:rsidRPr="00EA5CCD">
        <w:rPr>
          <w:noProof/>
        </w:rPr>
        <w:drawing>
          <wp:inline distT="0" distB="0" distL="0" distR="0" wp14:anchorId="4FC8F245" wp14:editId="4EB94F15">
            <wp:extent cx="6115050" cy="2962275"/>
            <wp:effectExtent l="0" t="0" r="0"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665B1887" w14:textId="153A5C81" w:rsidR="00E21910" w:rsidRPr="00EA5CCD" w:rsidRDefault="00E2373F" w:rsidP="00E21910">
      <w:pPr>
        <w:pStyle w:val="Response"/>
        <w:rPr>
          <w:sz w:val="20"/>
          <w:szCs w:val="20"/>
        </w:rPr>
      </w:pPr>
      <w:r>
        <w:rPr>
          <w:sz w:val="20"/>
          <w:szCs w:val="20"/>
        </w:rPr>
        <w:t>Source</w:t>
      </w:r>
      <w:r w:rsidR="00E21910" w:rsidRPr="00190153">
        <w:rPr>
          <w:sz w:val="20"/>
          <w:szCs w:val="20"/>
        </w:rPr>
        <w:t xml:space="preserve">: RTI analysis of MDS </w:t>
      </w:r>
      <w:proofErr w:type="gramStart"/>
      <w:r w:rsidR="00E21910" w:rsidRPr="00190153">
        <w:rPr>
          <w:sz w:val="20"/>
          <w:szCs w:val="20"/>
        </w:rPr>
        <w:t>3.0 episode</w:t>
      </w:r>
      <w:proofErr w:type="gramEnd"/>
      <w:r w:rsidR="00E21910" w:rsidRPr="00190153">
        <w:rPr>
          <w:sz w:val="20"/>
          <w:szCs w:val="20"/>
        </w:rPr>
        <w:t xml:space="preserve"> files for Quarter 1, 2011–Quarter </w:t>
      </w:r>
      <w:r w:rsidR="001865A8">
        <w:rPr>
          <w:sz w:val="20"/>
          <w:szCs w:val="20"/>
        </w:rPr>
        <w:t>3</w:t>
      </w:r>
      <w:r w:rsidR="00E21910" w:rsidRPr="00190153">
        <w:rPr>
          <w:sz w:val="20"/>
          <w:szCs w:val="20"/>
        </w:rPr>
        <w:t>, 201</w:t>
      </w:r>
      <w:r w:rsidR="006258E9">
        <w:rPr>
          <w:sz w:val="20"/>
          <w:szCs w:val="20"/>
        </w:rPr>
        <w:t>8</w:t>
      </w:r>
      <w:r w:rsidR="006258E9" w:rsidRPr="00190153">
        <w:rPr>
          <w:sz w:val="20"/>
          <w:szCs w:val="20"/>
        </w:rPr>
        <w:t xml:space="preserve"> (</w:t>
      </w:r>
      <w:r w:rsidR="00AD5979" w:rsidRPr="004F2E28">
        <w:rPr>
          <w:bCs w:val="0"/>
          <w:sz w:val="20"/>
          <w:szCs w:val="20"/>
        </w:rPr>
        <w:t xml:space="preserve">programming reference: </w:t>
      </w:r>
      <w:r w:rsidR="008A5FF9">
        <w:rPr>
          <w:sz w:val="20"/>
          <w:szCs w:val="20"/>
        </w:rPr>
        <w:t>KH46</w:t>
      </w:r>
      <w:r w:rsidR="00AD5979">
        <w:rPr>
          <w:sz w:val="20"/>
          <w:szCs w:val="20"/>
        </w:rPr>
        <w:t>\</w:t>
      </w:r>
      <w:r w:rsidR="00203D73">
        <w:rPr>
          <w:sz w:val="20"/>
          <w:szCs w:val="20"/>
        </w:rPr>
        <w:t>hf15_request_684</w:t>
      </w:r>
      <w:r w:rsidR="007B28BC">
        <w:rPr>
          <w:sz w:val="20"/>
          <w:szCs w:val="20"/>
        </w:rPr>
        <w:t>_31_32</w:t>
      </w:r>
      <w:r w:rsidR="00203D73">
        <w:rPr>
          <w:sz w:val="20"/>
          <w:szCs w:val="20"/>
        </w:rPr>
        <w:t>.log)</w:t>
      </w:r>
    </w:p>
    <w:p w14:paraId="19B396EF" w14:textId="086D6681" w:rsidR="00E21910" w:rsidRPr="00EA5CCD" w:rsidRDefault="00731E47" w:rsidP="00E21910">
      <w:pPr>
        <w:pStyle w:val="Response"/>
        <w:ind w:left="720" w:hanging="720"/>
      </w:pPr>
      <w:r w:rsidRPr="293E6EF0">
        <w:rPr>
          <w:rFonts w:cstheme="minorBidi"/>
        </w:rPr>
        <w:t>1</w:t>
      </w:r>
      <w:r w:rsidR="00E21910" w:rsidRPr="293E6EF0">
        <w:rPr>
          <w:rFonts w:cstheme="minorBidi"/>
        </w:rPr>
        <w:t>.d.</w:t>
      </w:r>
      <w:r w:rsidR="00E21910" w:rsidRPr="00900DB9">
        <w:rPr>
          <w:rFonts w:cstheme="minorBidi"/>
        </w:rPr>
        <w:tab/>
      </w:r>
      <w:r w:rsidR="00E21910" w:rsidRPr="293E6EF0">
        <w:rPr>
          <w:rFonts w:cstheme="minorBidi"/>
        </w:rPr>
        <w:t>Stability</w:t>
      </w:r>
      <w:r w:rsidR="00E21910" w:rsidRPr="00900DB9">
        <w:t xml:space="preserve"> analysis:</w:t>
      </w:r>
      <w:r w:rsidR="0054362C">
        <w:t xml:space="preserve"> </w:t>
      </w:r>
      <w:r w:rsidR="00E21910" w:rsidRPr="293E6EF0">
        <w:rPr>
          <w:b/>
          <w:i/>
          <w:iCs/>
        </w:rPr>
        <w:t>Figure 2</w:t>
      </w:r>
      <w:r w:rsidR="00E21910" w:rsidRPr="00900DB9">
        <w:t xml:space="preserve"> illustrates the changes in facility rank by quality measure score from </w:t>
      </w:r>
      <w:r w:rsidR="00E21910" w:rsidRPr="00190153">
        <w:t xml:space="preserve">Quarter </w:t>
      </w:r>
      <w:r w:rsidR="00B1620E">
        <w:t>2</w:t>
      </w:r>
      <w:r w:rsidR="00E21910" w:rsidRPr="00190153">
        <w:t>, 201</w:t>
      </w:r>
      <w:r w:rsidR="00E00FFD" w:rsidRPr="00190153">
        <w:t>8</w:t>
      </w:r>
      <w:r w:rsidR="00E21910" w:rsidRPr="00190153">
        <w:t xml:space="preserve">, to Quarter </w:t>
      </w:r>
      <w:r w:rsidR="001865A8">
        <w:t>3</w:t>
      </w:r>
      <w:r w:rsidR="00E21910" w:rsidRPr="00190153">
        <w:t>, 201</w:t>
      </w:r>
      <w:r w:rsidR="00E00FFD" w:rsidRPr="00190153">
        <w:t>8</w:t>
      </w:r>
      <w:r w:rsidR="00E21910" w:rsidRPr="00190153">
        <w:t xml:space="preserve">. </w:t>
      </w:r>
      <w:r w:rsidR="00841DB8">
        <w:t>Most</w:t>
      </w:r>
      <w:r w:rsidR="00E21910" w:rsidRPr="00A83C1C">
        <w:t xml:space="preserve"> (</w:t>
      </w:r>
      <w:r w:rsidR="001A5070" w:rsidRPr="00A83C1C">
        <w:t>48.</w:t>
      </w:r>
      <w:r w:rsidR="00AF0E16">
        <w:t>5</w:t>
      </w:r>
      <w:r w:rsidR="001A5070" w:rsidRPr="00A83C1C">
        <w:t>%</w:t>
      </w:r>
      <w:r w:rsidR="00E21910" w:rsidRPr="00A83C1C">
        <w:t xml:space="preserve">) facilities </w:t>
      </w:r>
      <w:r w:rsidR="00841DB8">
        <w:t xml:space="preserve">are </w:t>
      </w:r>
      <w:r w:rsidR="00E21910" w:rsidRPr="00A83C1C">
        <w:t xml:space="preserve">in the same decile in both quarters. Shifts of more than 3 deciles were less common, occurring for approximately </w:t>
      </w:r>
      <w:r w:rsidR="00997BEE" w:rsidRPr="00A83C1C">
        <w:t>2</w:t>
      </w:r>
      <w:r w:rsidR="00AF0E16">
        <w:t>8.</w:t>
      </w:r>
      <w:r w:rsidR="00764EEE">
        <w:t>4</w:t>
      </w:r>
      <w:r w:rsidR="00E21910" w:rsidRPr="00A83C1C">
        <w:t xml:space="preserve">% of facilities. </w:t>
      </w:r>
      <w:r w:rsidR="001763D2">
        <w:t>Thus, both facility scores and relative ranks for this measure are stable from one quarter to the next.</w:t>
      </w:r>
    </w:p>
    <w:p w14:paraId="78E29F37" w14:textId="77777777" w:rsidR="00EA545D" w:rsidRDefault="00EA545D">
      <w:pPr>
        <w:rPr>
          <w:rFonts w:cstheme="minorHAnsi"/>
          <w:b/>
          <w:bCs/>
          <w:color w:val="0000FF"/>
        </w:rPr>
      </w:pPr>
      <w:r>
        <w:br w:type="page"/>
      </w:r>
    </w:p>
    <w:p w14:paraId="40A45E7F" w14:textId="6240A888" w:rsidR="00E21910" w:rsidRPr="00EA5CCD" w:rsidRDefault="00E21910" w:rsidP="00E21910">
      <w:pPr>
        <w:pStyle w:val="FigureTitle"/>
      </w:pPr>
      <w:r w:rsidRPr="00EA5CCD">
        <w:lastRenderedPageBreak/>
        <w:t>Figure 2</w:t>
      </w:r>
      <w:r w:rsidR="00390D75">
        <w:t>.</w:t>
      </w:r>
      <w:r w:rsidR="00E87D6C">
        <w:t xml:space="preserve"> </w:t>
      </w:r>
      <w:r w:rsidRPr="00EA5CCD">
        <w:t xml:space="preserve">Decile Change in Facility Ranking from </w:t>
      </w:r>
      <w:r w:rsidRPr="00FC2D50">
        <w:t xml:space="preserve">Quarter </w:t>
      </w:r>
      <w:r w:rsidR="00E94EA1">
        <w:t>2</w:t>
      </w:r>
      <w:r w:rsidRPr="00FC2D50">
        <w:t>, 201</w:t>
      </w:r>
      <w:r w:rsidR="00B947DD" w:rsidRPr="00FC2D50">
        <w:t>8</w:t>
      </w:r>
      <w:r w:rsidRPr="00FC2D50">
        <w:t xml:space="preserve">, to Quarter </w:t>
      </w:r>
      <w:r w:rsidR="00E94EA1">
        <w:t>3</w:t>
      </w:r>
      <w:r w:rsidRPr="00FC2D50">
        <w:t>, 201</w:t>
      </w:r>
      <w:r w:rsidR="00B947DD" w:rsidRPr="00FC2D50">
        <w:t>8</w:t>
      </w:r>
      <w:r w:rsidRPr="00EA5CCD">
        <w:t xml:space="preserve">, </w:t>
      </w:r>
      <w:r w:rsidRPr="00E21910">
        <w:t>NQF #0684 Percent of Residents with a Urinary Tract Infection (Long Stay)</w:t>
      </w:r>
    </w:p>
    <w:p w14:paraId="7CCA1815" w14:textId="49199A7B" w:rsidR="00E21910" w:rsidRPr="00EA5CCD" w:rsidRDefault="00E21910" w:rsidP="00E21910">
      <w:pPr>
        <w:keepLines/>
        <w:spacing w:before="120" w:after="240"/>
        <w:jc w:val="center"/>
        <w:rPr>
          <w:sz w:val="20"/>
        </w:rPr>
      </w:pPr>
      <w:r w:rsidRPr="00EA5CCD">
        <w:rPr>
          <w:noProof/>
          <w:sz w:val="20"/>
        </w:rPr>
        <w:drawing>
          <wp:inline distT="0" distB="0" distL="0" distR="0" wp14:anchorId="2C82EF06" wp14:editId="1C7A3FAC">
            <wp:extent cx="5394960" cy="2773680"/>
            <wp:effectExtent l="0" t="0" r="15240" b="762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34C38204" w14:textId="247F3194" w:rsidR="00E21910" w:rsidRPr="00597FCE" w:rsidRDefault="00E21910" w:rsidP="00E95999">
      <w:pPr>
        <w:pStyle w:val="Response"/>
        <w:spacing w:after="120"/>
        <w:rPr>
          <w:bCs w:val="0"/>
          <w:sz w:val="20"/>
          <w:szCs w:val="20"/>
        </w:rPr>
      </w:pPr>
      <w:r w:rsidRPr="00597FCE">
        <w:rPr>
          <w:bCs w:val="0"/>
          <w:sz w:val="20"/>
          <w:szCs w:val="20"/>
        </w:rPr>
        <w:t xml:space="preserve">*Facilities were included in this analysis if they could publicly report a measure score for both Quarter </w:t>
      </w:r>
      <w:r w:rsidR="00E94EA1">
        <w:rPr>
          <w:bCs w:val="0"/>
          <w:sz w:val="20"/>
          <w:szCs w:val="20"/>
        </w:rPr>
        <w:t>2</w:t>
      </w:r>
      <w:r w:rsidRPr="00597FCE">
        <w:rPr>
          <w:bCs w:val="0"/>
          <w:sz w:val="20"/>
          <w:szCs w:val="20"/>
        </w:rPr>
        <w:t xml:space="preserve"> and Quarter </w:t>
      </w:r>
      <w:r w:rsidR="00E94EA1">
        <w:rPr>
          <w:bCs w:val="0"/>
          <w:sz w:val="20"/>
          <w:szCs w:val="20"/>
        </w:rPr>
        <w:t>3</w:t>
      </w:r>
      <w:r w:rsidRPr="00597FCE">
        <w:rPr>
          <w:bCs w:val="0"/>
          <w:sz w:val="20"/>
          <w:szCs w:val="20"/>
        </w:rPr>
        <w:t>, 201</w:t>
      </w:r>
      <w:r w:rsidR="00B947DD" w:rsidRPr="00597FCE">
        <w:rPr>
          <w:bCs w:val="0"/>
          <w:sz w:val="20"/>
          <w:szCs w:val="20"/>
        </w:rPr>
        <w:t>8</w:t>
      </w:r>
      <w:r w:rsidR="008C222E">
        <w:rPr>
          <w:bCs w:val="0"/>
          <w:sz w:val="20"/>
          <w:szCs w:val="20"/>
        </w:rPr>
        <w:t xml:space="preserve"> </w:t>
      </w:r>
      <w:r w:rsidRPr="00597FCE">
        <w:rPr>
          <w:bCs w:val="0"/>
          <w:sz w:val="20"/>
          <w:szCs w:val="20"/>
        </w:rPr>
        <w:t>to properly identify the difference in performance across the two quarters.</w:t>
      </w:r>
    </w:p>
    <w:p w14:paraId="44D1B975" w14:textId="1DEFA528" w:rsidR="00D64B97" w:rsidRPr="00390D75" w:rsidRDefault="00E2373F" w:rsidP="00E95999">
      <w:pPr>
        <w:pStyle w:val="Response"/>
        <w:spacing w:before="120"/>
        <w:rPr>
          <w:rFonts w:eastAsia="Calibri"/>
          <w:sz w:val="20"/>
          <w:szCs w:val="20"/>
        </w:rPr>
      </w:pPr>
      <w:r>
        <w:rPr>
          <w:rFonts w:eastAsia="Calibri"/>
          <w:sz w:val="20"/>
          <w:szCs w:val="20"/>
        </w:rPr>
        <w:t>Source</w:t>
      </w:r>
      <w:r w:rsidR="00E21910" w:rsidRPr="00597FCE">
        <w:rPr>
          <w:rFonts w:eastAsia="Calibri"/>
          <w:sz w:val="20"/>
          <w:szCs w:val="20"/>
        </w:rPr>
        <w:t>: RTI analysis of Q</w:t>
      </w:r>
      <w:r w:rsidR="001865A8">
        <w:rPr>
          <w:rFonts w:eastAsia="Calibri"/>
          <w:sz w:val="20"/>
          <w:szCs w:val="20"/>
        </w:rPr>
        <w:t>2</w:t>
      </w:r>
      <w:r w:rsidR="00BE56C3" w:rsidRPr="00597FCE">
        <w:rPr>
          <w:rFonts w:eastAsia="Calibri"/>
          <w:sz w:val="20"/>
          <w:szCs w:val="20"/>
        </w:rPr>
        <w:t>,</w:t>
      </w:r>
      <w:r w:rsidR="00E21910" w:rsidRPr="00597FCE">
        <w:rPr>
          <w:rFonts w:eastAsia="Calibri"/>
          <w:sz w:val="20"/>
          <w:szCs w:val="20"/>
        </w:rPr>
        <w:t xml:space="preserve"> 201</w:t>
      </w:r>
      <w:r w:rsidR="00BE56C3" w:rsidRPr="00597FCE">
        <w:rPr>
          <w:rFonts w:eastAsia="Calibri"/>
          <w:sz w:val="20"/>
          <w:szCs w:val="20"/>
        </w:rPr>
        <w:t>8</w:t>
      </w:r>
      <w:r w:rsidR="00E21910" w:rsidRPr="00597FCE">
        <w:rPr>
          <w:rFonts w:eastAsia="Calibri"/>
          <w:sz w:val="20"/>
          <w:szCs w:val="20"/>
        </w:rPr>
        <w:t xml:space="preserve"> and Q</w:t>
      </w:r>
      <w:r w:rsidR="001865A8">
        <w:rPr>
          <w:rFonts w:eastAsia="Calibri"/>
          <w:sz w:val="20"/>
          <w:szCs w:val="20"/>
        </w:rPr>
        <w:t>3</w:t>
      </w:r>
      <w:r w:rsidR="00BE56C3" w:rsidRPr="00597FCE">
        <w:rPr>
          <w:rFonts w:eastAsia="Calibri"/>
          <w:sz w:val="20"/>
          <w:szCs w:val="20"/>
        </w:rPr>
        <w:t xml:space="preserve">, </w:t>
      </w:r>
      <w:r w:rsidR="00E21910" w:rsidRPr="00597FCE">
        <w:rPr>
          <w:rFonts w:eastAsia="Calibri"/>
          <w:sz w:val="20"/>
          <w:szCs w:val="20"/>
        </w:rPr>
        <w:t>201</w:t>
      </w:r>
      <w:r w:rsidR="00BE56C3" w:rsidRPr="00597FCE">
        <w:rPr>
          <w:rFonts w:eastAsia="Calibri"/>
          <w:sz w:val="20"/>
          <w:szCs w:val="20"/>
        </w:rPr>
        <w:t>8</w:t>
      </w:r>
      <w:r w:rsidR="00E21910" w:rsidRPr="00597FCE">
        <w:rPr>
          <w:rFonts w:eastAsia="Calibri"/>
          <w:sz w:val="20"/>
          <w:szCs w:val="20"/>
        </w:rPr>
        <w:t xml:space="preserve"> MDS 3.0 data (programming reference: </w:t>
      </w:r>
      <w:r w:rsidR="009F520F">
        <w:rPr>
          <w:rFonts w:eastAsia="Calibri"/>
          <w:sz w:val="20"/>
          <w:szCs w:val="20"/>
        </w:rPr>
        <w:t>KH32</w:t>
      </w:r>
      <w:r w:rsidR="00E21910" w:rsidRPr="00597FCE">
        <w:rPr>
          <w:rFonts w:eastAsia="Calibri"/>
          <w:sz w:val="20"/>
          <w:szCs w:val="20"/>
        </w:rPr>
        <w:t>/</w:t>
      </w:r>
      <w:r w:rsidR="00BE56C3" w:rsidRPr="00597FCE">
        <w:rPr>
          <w:rFonts w:eastAsia="Calibri"/>
          <w:sz w:val="20"/>
          <w:szCs w:val="20"/>
        </w:rPr>
        <w:t>hf</w:t>
      </w:r>
      <w:r w:rsidR="00B947DD" w:rsidRPr="00597FCE">
        <w:rPr>
          <w:rFonts w:eastAsia="Calibri"/>
          <w:sz w:val="20"/>
          <w:szCs w:val="20"/>
        </w:rPr>
        <w:t>358_request_</w:t>
      </w:r>
      <w:r w:rsidR="002915CE" w:rsidRPr="00A11604">
        <w:rPr>
          <w:rFonts w:eastAsia="Calibri"/>
          <w:sz w:val="20"/>
          <w:szCs w:val="20"/>
        </w:rPr>
        <w:t>q3132</w:t>
      </w:r>
      <w:r w:rsidR="00B947DD" w:rsidRPr="00A11604">
        <w:rPr>
          <w:rFonts w:eastAsia="Calibri"/>
          <w:sz w:val="20"/>
          <w:szCs w:val="20"/>
        </w:rPr>
        <w:t>_684.log</w:t>
      </w:r>
      <w:r w:rsidR="00F92B38" w:rsidRPr="00A11604">
        <w:rPr>
          <w:rFonts w:eastAsia="Calibri"/>
          <w:sz w:val="20"/>
          <w:szCs w:val="20"/>
        </w:rPr>
        <w:t>)</w:t>
      </w:r>
    </w:p>
    <w:p w14:paraId="227B9270" w14:textId="76785E7D" w:rsidR="00110E68" w:rsidRPr="00EA5CCD" w:rsidRDefault="00472E21" w:rsidP="003E0493">
      <w:pPr>
        <w:pStyle w:val="Response"/>
        <w:spacing w:before="0" w:after="0"/>
        <w:ind w:left="720" w:hanging="360"/>
        <w:contextualSpacing/>
      </w:pPr>
      <w:r>
        <w:t>1</w:t>
      </w:r>
      <w:r w:rsidR="00110E68">
        <w:t>.e.</w:t>
      </w:r>
      <w:r w:rsidR="003E0493">
        <w:tab/>
      </w:r>
      <w:r w:rsidR="00110E68" w:rsidRPr="00EA5CCD">
        <w:t xml:space="preserve">Confidence interval analysis: Another measure of </w:t>
      </w:r>
      <w:r w:rsidR="00224E97">
        <w:t>validity</w:t>
      </w:r>
      <w:r w:rsidR="00110E68" w:rsidRPr="00EA5CCD">
        <w:t xml:space="preserve"> is performance relative to the mean: high-performing facilities should have scores that are significantly below-average, and low-performing facilities should be significantly above-average. </w:t>
      </w:r>
      <w:r w:rsidR="00110E68" w:rsidRPr="00EA5CCD">
        <w:rPr>
          <w:b/>
          <w:i/>
          <w:iCs/>
        </w:rPr>
        <w:t xml:space="preserve">Table 2 </w:t>
      </w:r>
      <w:r w:rsidR="00110E68" w:rsidRPr="00EA5CCD">
        <w:t xml:space="preserve">shows the proportions of facilities that scored significantly higher or lower </w:t>
      </w:r>
      <w:r w:rsidR="001763D2">
        <w:t xml:space="preserve">(i.e., different) </w:t>
      </w:r>
      <w:r w:rsidR="00110E68" w:rsidRPr="00EA5CCD">
        <w:t xml:space="preserve">than the national facility-level mean in </w:t>
      </w:r>
      <w:r w:rsidR="00110E68" w:rsidRPr="00CA5F30">
        <w:t xml:space="preserve">Quarter </w:t>
      </w:r>
      <w:r w:rsidR="00E808D9">
        <w:t>3</w:t>
      </w:r>
      <w:r w:rsidR="00110E68" w:rsidRPr="00CA5F30">
        <w:t>, 201</w:t>
      </w:r>
      <w:r w:rsidR="00D67EB5" w:rsidRPr="00CA5F30">
        <w:t>8</w:t>
      </w:r>
      <w:r w:rsidR="00110E68" w:rsidRPr="00CA5F30">
        <w:t>. For</w:t>
      </w:r>
      <w:r w:rsidR="00110E68" w:rsidRPr="00EA5CCD">
        <w:t xml:space="preserve"> this analysis, statistical significance was determined using 95% confidence intervals: a facility’s quality measure score was statistically significantly different from the national mean if the national mean was not within that facility’s 95% confidence interval. This analysis was also stratified by decile of facility size</w:t>
      </w:r>
      <w:r w:rsidR="00D122AF">
        <w:t xml:space="preserve"> </w:t>
      </w:r>
      <w:r w:rsidR="00D122AF" w:rsidRPr="00AB1BB8">
        <w:t>based on the number of residents who qualify for the denominator count.</w:t>
      </w:r>
      <w:r w:rsidR="00D122AF">
        <w:t xml:space="preserve"> </w:t>
      </w:r>
      <w:r w:rsidR="00110E68" w:rsidRPr="00EA5CCD">
        <w:t xml:space="preserve"> </w:t>
      </w:r>
    </w:p>
    <w:p w14:paraId="79AD9FDC" w14:textId="27DA80C8" w:rsidR="00110E68" w:rsidRPr="00EA5CCD" w:rsidRDefault="39BE2F22" w:rsidP="00110E68">
      <w:pPr>
        <w:pStyle w:val="Response"/>
        <w:ind w:left="720"/>
      </w:pPr>
      <w:r>
        <w:t xml:space="preserve">In general, there were </w:t>
      </w:r>
      <w:r w:rsidR="006F36CC">
        <w:t xml:space="preserve">many more </w:t>
      </w:r>
      <w:r>
        <w:t>facilities with quality measure scores that were statistically significantly (</w:t>
      </w:r>
      <w:r w:rsidRPr="39BE2F22">
        <w:rPr>
          <w:i/>
          <w:iCs/>
        </w:rPr>
        <w:t>p</w:t>
      </w:r>
      <w:r>
        <w:t xml:space="preserve"> ≤ .05) </w:t>
      </w:r>
      <w:r w:rsidR="00A54A11">
        <w:t xml:space="preserve">lower </w:t>
      </w:r>
      <w:r>
        <w:t>than the national mean of 2.8</w:t>
      </w:r>
      <w:r w:rsidR="00753CAD">
        <w:t>3</w:t>
      </w:r>
      <w:r>
        <w:t xml:space="preserve">% than those with scores that were statistically significantly </w:t>
      </w:r>
      <w:r w:rsidR="00A54A11">
        <w:t xml:space="preserve">higher </w:t>
      </w:r>
      <w:r>
        <w:t>than the national mean (</w:t>
      </w:r>
      <w:r w:rsidR="00A54A11">
        <w:t>5,</w:t>
      </w:r>
      <w:r w:rsidR="003A4FDA">
        <w:t>22</w:t>
      </w:r>
      <w:r w:rsidR="00E50848">
        <w:t>9</w:t>
      </w:r>
      <w:r w:rsidR="003A4FDA">
        <w:t xml:space="preserve"> </w:t>
      </w:r>
      <w:r w:rsidR="00A54A11">
        <w:t xml:space="preserve">versus </w:t>
      </w:r>
      <w:r w:rsidR="00620D52">
        <w:t>513</w:t>
      </w:r>
      <w:r>
        <w:t xml:space="preserve">), indicating that more facilities perform better (lower scores are better) than the national facility-level mean. </w:t>
      </w:r>
    </w:p>
    <w:p w14:paraId="14DABE93" w14:textId="51CAF767" w:rsidR="00110E68" w:rsidRPr="00EA5CCD" w:rsidRDefault="39BE2F22" w:rsidP="00110E68">
      <w:pPr>
        <w:pStyle w:val="Response"/>
        <w:ind w:left="720"/>
      </w:pPr>
      <w:r>
        <w:t xml:space="preserve">The proportions of facilities with scores that are significantly different from the national mean vary as a function of the number of residents included in the denominator for this measure; the percentage of facilities which have scores that are statistically significantly different from the mean </w:t>
      </w:r>
      <w:r w:rsidR="000D632C">
        <w:t>decrease</w:t>
      </w:r>
      <w:r w:rsidR="00470283">
        <w:t>s</w:t>
      </w:r>
      <w:r w:rsidR="000D632C">
        <w:t xml:space="preserve"> </w:t>
      </w:r>
      <w:r>
        <w:t>with the number of residents</w:t>
      </w:r>
      <w:r w:rsidR="000D632C">
        <w:t>, except among the largest facilities (9</w:t>
      </w:r>
      <w:r w:rsidR="000D632C" w:rsidRPr="00013884">
        <w:rPr>
          <w:vertAlign w:val="superscript"/>
        </w:rPr>
        <w:t>th</w:t>
      </w:r>
      <w:r w:rsidR="000D632C">
        <w:t xml:space="preserve"> and 10</w:t>
      </w:r>
      <w:r w:rsidR="000D632C" w:rsidRPr="00013884">
        <w:rPr>
          <w:vertAlign w:val="superscript"/>
        </w:rPr>
        <w:t>th</w:t>
      </w:r>
      <w:r w:rsidR="00E71AC7">
        <w:t xml:space="preserve">) </w:t>
      </w:r>
      <w:r w:rsidR="000D632C">
        <w:t>deciles</w:t>
      </w:r>
      <w:r>
        <w:t>. Increases in the facility-level sample size lead to reductions in the standard error of facility-level scores</w:t>
      </w:r>
      <w:r w:rsidR="00FE4B18">
        <w:t>, but larger facilities</w:t>
      </w:r>
      <w:r w:rsidR="004F1253">
        <w:t xml:space="preserve"> might have greater stabilities due to their larger sample size</w:t>
      </w:r>
      <w:r w:rsidR="007D02B6">
        <w:t>,</w:t>
      </w:r>
      <w:r w:rsidR="004F1253">
        <w:t xml:space="preserve"> which is less affected by a </w:t>
      </w:r>
      <w:r w:rsidR="008A6DC3">
        <w:t>single infection</w:t>
      </w:r>
      <w:r>
        <w:t xml:space="preserve">. </w:t>
      </w:r>
      <w:r w:rsidR="008A6DC3">
        <w:t>C</w:t>
      </w:r>
      <w:r>
        <w:t xml:space="preserve">hanges in the reliability of this measure for the </w:t>
      </w:r>
      <w:r>
        <w:lastRenderedPageBreak/>
        <w:t xml:space="preserve">larger facilities </w:t>
      </w:r>
      <w:r w:rsidR="008A6DC3">
        <w:t>may be accounted for by</w:t>
      </w:r>
      <w:r>
        <w:t xml:space="preserve"> the greater statistical reliability that accompanies increased sample size</w:t>
      </w:r>
      <w:r w:rsidR="008A6DC3">
        <w:t xml:space="preserve"> as well as the increased stability</w:t>
      </w:r>
      <w:r>
        <w:t xml:space="preserve">. </w:t>
      </w:r>
    </w:p>
    <w:p w14:paraId="26CDC66D" w14:textId="0C7DF775" w:rsidR="00110E68" w:rsidRPr="00EA5CCD" w:rsidRDefault="293E6EF0" w:rsidP="00110E68">
      <w:pPr>
        <w:pStyle w:val="Response"/>
        <w:ind w:left="720"/>
      </w:pPr>
      <w:r>
        <w:t>Overal</w:t>
      </w:r>
      <w:r w:rsidRPr="00FA0F0B">
        <w:t>l</w:t>
      </w:r>
      <w:r w:rsidRPr="00D75EA4">
        <w:t>, 39.</w:t>
      </w:r>
      <w:r w:rsidR="00D75EA4" w:rsidRPr="00D75EA4">
        <w:t>5</w:t>
      </w:r>
      <w:r w:rsidRPr="00D75EA4">
        <w:t>%</w:t>
      </w:r>
      <w:r w:rsidRPr="00FA0F0B">
        <w:t xml:space="preserve"> </w:t>
      </w:r>
      <w:r>
        <w:t xml:space="preserve">of facilities were significantly different from the national mean in Quarter </w:t>
      </w:r>
      <w:r w:rsidR="00667AD9">
        <w:t>3</w:t>
      </w:r>
      <w:r>
        <w:t>, 201</w:t>
      </w:r>
      <w:r w:rsidR="00944A38">
        <w:t>8</w:t>
      </w:r>
      <w:r>
        <w:t>, indicating that there are meaningful differences in facility-level scores for this measure</w:t>
      </w:r>
      <w:r w:rsidR="001763D2">
        <w:t xml:space="preserve"> and providing evidence of validity for NQF #0684</w:t>
      </w:r>
      <w:r>
        <w:t>.</w:t>
      </w:r>
    </w:p>
    <w:p w14:paraId="2894849C" w14:textId="091C1193" w:rsidR="00110E68" w:rsidRPr="00EA5CCD" w:rsidRDefault="00110E68" w:rsidP="00110E68">
      <w:pPr>
        <w:pStyle w:val="FigureTitle"/>
      </w:pPr>
      <w:r w:rsidRPr="00EA5CCD">
        <w:t>Table 2</w:t>
      </w:r>
      <w:r w:rsidR="00390D75">
        <w:t xml:space="preserve">. </w:t>
      </w:r>
      <w:r w:rsidRPr="00EA5CCD">
        <w:t xml:space="preserve">Proportion of Facilities with Scores Significantly Different from the National Facility-Level Mean, Stratified by Facility Denominator Size for </w:t>
      </w:r>
      <w:r w:rsidRPr="00E21910">
        <w:t>NQF #0684 Percent of Residents with a Urinary Tract Infection (Long Stay</w:t>
      </w:r>
      <w:r w:rsidR="00470283">
        <w:t>) (Quarter 3, 2018)</w:t>
      </w:r>
    </w:p>
    <w:tbl>
      <w:tblPr>
        <w:tblStyle w:val="CMSTable"/>
        <w:tblW w:w="5000" w:type="pct"/>
        <w:tblLook w:val="05E0" w:firstRow="1" w:lastRow="1" w:firstColumn="1" w:lastColumn="1" w:noHBand="0" w:noVBand="1"/>
      </w:tblPr>
      <w:tblGrid>
        <w:gridCol w:w="2407"/>
        <w:gridCol w:w="1200"/>
        <w:gridCol w:w="1917"/>
        <w:gridCol w:w="1971"/>
        <w:gridCol w:w="1865"/>
      </w:tblGrid>
      <w:tr w:rsidR="00110E68" w:rsidRPr="00E95999" w14:paraId="4910A25B" w14:textId="77777777" w:rsidTr="004430D0">
        <w:trPr>
          <w:cnfStyle w:val="100000000000" w:firstRow="1" w:lastRow="0" w:firstColumn="0" w:lastColumn="0" w:oddVBand="0" w:evenVBand="0" w:oddHBand="0" w:evenHBand="0" w:firstRowFirstColumn="0" w:firstRowLastColumn="0" w:lastRowFirstColumn="0" w:lastRowLastColumn="0"/>
          <w:trHeight w:val="20"/>
          <w:tblHeader/>
        </w:trPr>
        <w:tc>
          <w:tcPr>
            <w:tcW w:w="1286" w:type="pct"/>
            <w:tcBorders>
              <w:left w:val="nil"/>
              <w:bottom w:val="single" w:sz="4" w:space="0" w:color="auto"/>
              <w:right w:val="nil"/>
            </w:tcBorders>
            <w:vAlign w:val="center"/>
            <w:hideMark/>
          </w:tcPr>
          <w:p w14:paraId="1685163A" w14:textId="77777777" w:rsidR="00110E68" w:rsidRPr="00E95999" w:rsidRDefault="00110E68" w:rsidP="00A146FE">
            <w:pPr>
              <w:pStyle w:val="TableHeaders"/>
              <w:rPr>
                <w:rFonts w:asciiTheme="minorHAnsi" w:hAnsiTheme="minorHAnsi" w:cstheme="minorHAnsi"/>
                <w:color w:val="3333FF"/>
              </w:rPr>
            </w:pPr>
            <w:r w:rsidRPr="00E95999">
              <w:rPr>
                <w:rFonts w:asciiTheme="minorHAnsi" w:hAnsiTheme="minorHAnsi" w:cstheme="minorHAnsi"/>
                <w:color w:val="3333FF"/>
              </w:rPr>
              <w:t>Decile of denominator size in residents</w:t>
            </w:r>
          </w:p>
        </w:tc>
        <w:tc>
          <w:tcPr>
            <w:tcW w:w="641" w:type="pct"/>
            <w:tcBorders>
              <w:left w:val="nil"/>
              <w:bottom w:val="single" w:sz="4" w:space="0" w:color="auto"/>
              <w:right w:val="nil"/>
            </w:tcBorders>
            <w:vAlign w:val="center"/>
            <w:hideMark/>
          </w:tcPr>
          <w:p w14:paraId="0AB27249" w14:textId="77777777" w:rsidR="00110E68" w:rsidRPr="00E95999" w:rsidRDefault="00110E68" w:rsidP="00A146FE">
            <w:pPr>
              <w:pStyle w:val="TableHeaders"/>
              <w:rPr>
                <w:rFonts w:asciiTheme="minorHAnsi" w:hAnsiTheme="minorHAnsi" w:cstheme="minorHAnsi"/>
                <w:i/>
                <w:color w:val="3333FF"/>
              </w:rPr>
            </w:pPr>
            <w:r w:rsidRPr="00E95999">
              <w:rPr>
                <w:rFonts w:asciiTheme="minorHAnsi" w:hAnsiTheme="minorHAnsi" w:cstheme="minorHAnsi"/>
                <w:i/>
                <w:color w:val="3333FF"/>
              </w:rPr>
              <w:t>k</w:t>
            </w:r>
          </w:p>
        </w:tc>
        <w:tc>
          <w:tcPr>
            <w:tcW w:w="1024" w:type="pct"/>
            <w:tcBorders>
              <w:left w:val="nil"/>
              <w:bottom w:val="single" w:sz="4" w:space="0" w:color="auto"/>
              <w:right w:val="nil"/>
            </w:tcBorders>
            <w:vAlign w:val="center"/>
            <w:hideMark/>
          </w:tcPr>
          <w:p w14:paraId="7AD70B5F" w14:textId="77777777" w:rsidR="00110E68" w:rsidRPr="00E95999" w:rsidRDefault="00110E68" w:rsidP="00A146FE">
            <w:pPr>
              <w:pStyle w:val="TableHeaders"/>
              <w:rPr>
                <w:rFonts w:asciiTheme="minorHAnsi" w:hAnsiTheme="minorHAnsi" w:cstheme="minorHAnsi"/>
                <w:color w:val="3333FF"/>
              </w:rPr>
            </w:pPr>
            <w:r w:rsidRPr="00E95999">
              <w:rPr>
                <w:rFonts w:asciiTheme="minorHAnsi" w:hAnsiTheme="minorHAnsi" w:cstheme="minorHAnsi"/>
                <w:color w:val="3333FF"/>
              </w:rPr>
              <w:t>Number of facilities with 95% confidence interval lower than national mean (%)</w:t>
            </w:r>
          </w:p>
        </w:tc>
        <w:tc>
          <w:tcPr>
            <w:tcW w:w="1053" w:type="pct"/>
            <w:tcBorders>
              <w:left w:val="nil"/>
              <w:bottom w:val="single" w:sz="4" w:space="0" w:color="auto"/>
              <w:right w:val="nil"/>
            </w:tcBorders>
            <w:vAlign w:val="center"/>
            <w:hideMark/>
          </w:tcPr>
          <w:p w14:paraId="26DC25D6" w14:textId="77777777" w:rsidR="00110E68" w:rsidRPr="00E95999" w:rsidRDefault="00110E68" w:rsidP="00A146FE">
            <w:pPr>
              <w:pStyle w:val="TableHeaders"/>
              <w:rPr>
                <w:rFonts w:asciiTheme="minorHAnsi" w:hAnsiTheme="minorHAnsi" w:cstheme="minorHAnsi"/>
                <w:color w:val="3333FF"/>
              </w:rPr>
            </w:pPr>
            <w:r w:rsidRPr="00E95999">
              <w:rPr>
                <w:rFonts w:asciiTheme="minorHAnsi" w:hAnsiTheme="minorHAnsi" w:cstheme="minorHAnsi"/>
                <w:color w:val="3333FF"/>
              </w:rPr>
              <w:t>Number of facilities with 95% confidence interval higher than national mean (%)</w:t>
            </w:r>
          </w:p>
        </w:tc>
        <w:tc>
          <w:tcPr>
            <w:tcW w:w="996" w:type="pct"/>
            <w:tcBorders>
              <w:left w:val="nil"/>
              <w:bottom w:val="single" w:sz="4" w:space="0" w:color="auto"/>
              <w:right w:val="nil"/>
            </w:tcBorders>
            <w:vAlign w:val="center"/>
            <w:hideMark/>
          </w:tcPr>
          <w:p w14:paraId="66A452FD" w14:textId="77777777" w:rsidR="00110E68" w:rsidRPr="00E95999" w:rsidRDefault="00110E68" w:rsidP="00A146FE">
            <w:pPr>
              <w:pStyle w:val="TableHeaders"/>
              <w:rPr>
                <w:rFonts w:asciiTheme="minorHAnsi" w:hAnsiTheme="minorHAnsi" w:cstheme="minorHAnsi"/>
                <w:color w:val="3333FF"/>
              </w:rPr>
            </w:pPr>
            <w:r w:rsidRPr="00E95999">
              <w:rPr>
                <w:rFonts w:asciiTheme="minorHAnsi" w:hAnsiTheme="minorHAnsi" w:cstheme="minorHAnsi"/>
                <w:color w:val="3333FF"/>
              </w:rPr>
              <w:t>Total number of facilities with scores significantly different from mean (%)</w:t>
            </w:r>
          </w:p>
        </w:tc>
      </w:tr>
      <w:tr w:rsidR="00110E68" w:rsidRPr="003E0493" w14:paraId="1DA74A79" w14:textId="77777777" w:rsidTr="004430D0">
        <w:trPr>
          <w:trHeight w:val="20"/>
        </w:trPr>
        <w:tc>
          <w:tcPr>
            <w:tcW w:w="1286" w:type="pct"/>
            <w:tcBorders>
              <w:top w:val="single" w:sz="4" w:space="0" w:color="auto"/>
              <w:left w:val="nil"/>
              <w:bottom w:val="nil"/>
              <w:right w:val="nil"/>
            </w:tcBorders>
            <w:hideMark/>
          </w:tcPr>
          <w:p w14:paraId="1E314CDC" w14:textId="0CE45214" w:rsidR="00110E68" w:rsidRPr="003E0493" w:rsidRDefault="00110E68" w:rsidP="001D3F94">
            <w:pPr>
              <w:pStyle w:val="TableText"/>
              <w:rPr>
                <w:rFonts w:asciiTheme="minorHAnsi" w:hAnsiTheme="minorHAnsi" w:cstheme="minorHAnsi"/>
                <w:color w:val="3333FF"/>
              </w:rPr>
            </w:pPr>
            <w:r w:rsidRPr="003E0493">
              <w:rPr>
                <w:rFonts w:asciiTheme="minorHAnsi" w:hAnsiTheme="minorHAnsi" w:cstheme="minorHAnsi"/>
                <w:color w:val="3333FF"/>
              </w:rPr>
              <w:t>1st Decile (</w:t>
            </w:r>
            <w:r w:rsidRPr="003E0493">
              <w:rPr>
                <w:rFonts w:asciiTheme="minorHAnsi" w:hAnsiTheme="minorHAnsi" w:cstheme="minorHAnsi"/>
                <w:i/>
                <w:color w:val="3333FF"/>
              </w:rPr>
              <w:t>n</w:t>
            </w:r>
            <w:r w:rsidRPr="003E0493">
              <w:rPr>
                <w:rFonts w:asciiTheme="minorHAnsi" w:hAnsiTheme="minorHAnsi" w:cstheme="minorHAnsi"/>
                <w:color w:val="3333FF"/>
              </w:rPr>
              <w:t xml:space="preserve">= 20 to </w:t>
            </w:r>
            <w:r w:rsidR="00387DD6" w:rsidRPr="003E0493">
              <w:rPr>
                <w:rFonts w:asciiTheme="minorHAnsi" w:hAnsiTheme="minorHAnsi" w:cstheme="minorHAnsi"/>
                <w:color w:val="3333FF"/>
              </w:rPr>
              <w:t>33</w:t>
            </w:r>
            <w:r w:rsidRPr="003E0493">
              <w:rPr>
                <w:rFonts w:asciiTheme="minorHAnsi" w:hAnsiTheme="minorHAnsi" w:cstheme="minorHAnsi"/>
                <w:color w:val="3333FF"/>
              </w:rPr>
              <w:t xml:space="preserve">) </w:t>
            </w:r>
          </w:p>
        </w:tc>
        <w:tc>
          <w:tcPr>
            <w:tcW w:w="641" w:type="pct"/>
            <w:tcBorders>
              <w:top w:val="single" w:sz="4" w:space="0" w:color="auto"/>
              <w:left w:val="nil"/>
              <w:bottom w:val="nil"/>
              <w:right w:val="nil"/>
            </w:tcBorders>
            <w:hideMark/>
          </w:tcPr>
          <w:p w14:paraId="645E588E" w14:textId="0BA59671" w:rsidR="00110E68" w:rsidRPr="003E0493" w:rsidRDefault="00C67534"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1,</w:t>
            </w:r>
            <w:r w:rsidR="00A23299" w:rsidRPr="003E0493">
              <w:rPr>
                <w:rFonts w:asciiTheme="minorHAnsi" w:hAnsiTheme="minorHAnsi" w:cstheme="minorHAnsi"/>
                <w:color w:val="3333FF"/>
              </w:rPr>
              <w:t>594</w:t>
            </w:r>
          </w:p>
        </w:tc>
        <w:tc>
          <w:tcPr>
            <w:tcW w:w="1024" w:type="pct"/>
            <w:tcBorders>
              <w:top w:val="single" w:sz="4" w:space="0" w:color="auto"/>
              <w:left w:val="nil"/>
              <w:bottom w:val="nil"/>
              <w:right w:val="nil"/>
            </w:tcBorders>
            <w:hideMark/>
          </w:tcPr>
          <w:p w14:paraId="1278281D" w14:textId="52651FFD" w:rsidR="00110E68" w:rsidRPr="003E0493" w:rsidRDefault="009F70DE"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7</w:t>
            </w:r>
            <w:r w:rsidR="00C76846" w:rsidRPr="003E0493">
              <w:rPr>
                <w:rFonts w:asciiTheme="minorHAnsi" w:hAnsiTheme="minorHAnsi" w:cstheme="minorHAnsi"/>
                <w:color w:val="3333FF"/>
              </w:rPr>
              <w:t>68</w:t>
            </w:r>
            <w:r w:rsidRPr="003E0493">
              <w:rPr>
                <w:rFonts w:asciiTheme="minorHAnsi" w:hAnsiTheme="minorHAnsi" w:cstheme="minorHAnsi"/>
                <w:color w:val="3333FF"/>
              </w:rPr>
              <w:t xml:space="preserve"> (</w:t>
            </w:r>
            <w:r w:rsidR="00D1543F" w:rsidRPr="003E0493">
              <w:rPr>
                <w:rFonts w:asciiTheme="minorHAnsi" w:hAnsiTheme="minorHAnsi" w:cstheme="minorHAnsi"/>
                <w:color w:val="3333FF"/>
              </w:rPr>
              <w:t>48.2</w:t>
            </w:r>
            <w:r w:rsidRPr="003E0493">
              <w:rPr>
                <w:rFonts w:asciiTheme="minorHAnsi" w:hAnsiTheme="minorHAnsi" w:cstheme="minorHAnsi"/>
                <w:color w:val="3333FF"/>
              </w:rPr>
              <w:t>%)</w:t>
            </w:r>
          </w:p>
        </w:tc>
        <w:tc>
          <w:tcPr>
            <w:tcW w:w="1053" w:type="pct"/>
            <w:tcBorders>
              <w:top w:val="single" w:sz="4" w:space="0" w:color="auto"/>
              <w:left w:val="nil"/>
              <w:bottom w:val="nil"/>
              <w:right w:val="nil"/>
            </w:tcBorders>
          </w:tcPr>
          <w:p w14:paraId="26A7A2EC" w14:textId="07804AB8" w:rsidR="00110E68" w:rsidRPr="003E0493" w:rsidRDefault="00010F6B"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4</w:t>
            </w:r>
            <w:r w:rsidR="008673C0" w:rsidRPr="003E0493">
              <w:rPr>
                <w:rFonts w:asciiTheme="minorHAnsi" w:hAnsiTheme="minorHAnsi" w:cstheme="minorHAnsi"/>
                <w:color w:val="3333FF"/>
              </w:rPr>
              <w:t>1</w:t>
            </w:r>
            <w:r w:rsidRPr="003E0493">
              <w:rPr>
                <w:rFonts w:asciiTheme="minorHAnsi" w:hAnsiTheme="minorHAnsi" w:cstheme="minorHAnsi"/>
                <w:color w:val="3333FF"/>
              </w:rPr>
              <w:t xml:space="preserve"> (</w:t>
            </w:r>
            <w:r w:rsidR="00CE0E28" w:rsidRPr="003E0493">
              <w:rPr>
                <w:rFonts w:asciiTheme="minorHAnsi" w:hAnsiTheme="minorHAnsi" w:cstheme="minorHAnsi"/>
                <w:color w:val="3333FF"/>
              </w:rPr>
              <w:t>2.6</w:t>
            </w:r>
            <w:r w:rsidRPr="003E0493">
              <w:rPr>
                <w:rFonts w:asciiTheme="minorHAnsi" w:hAnsiTheme="minorHAnsi" w:cstheme="minorHAnsi"/>
                <w:color w:val="3333FF"/>
              </w:rPr>
              <w:t>%)</w:t>
            </w:r>
          </w:p>
        </w:tc>
        <w:tc>
          <w:tcPr>
            <w:tcW w:w="996" w:type="pct"/>
            <w:tcBorders>
              <w:top w:val="single" w:sz="4" w:space="0" w:color="auto"/>
              <w:left w:val="nil"/>
              <w:bottom w:val="nil"/>
              <w:right w:val="nil"/>
            </w:tcBorders>
          </w:tcPr>
          <w:p w14:paraId="08220F08" w14:textId="427ACEF9" w:rsidR="00110E68" w:rsidRPr="003E0493" w:rsidRDefault="00217CEC"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8</w:t>
            </w:r>
            <w:r w:rsidR="00D6220D" w:rsidRPr="003E0493">
              <w:rPr>
                <w:rFonts w:asciiTheme="minorHAnsi" w:hAnsiTheme="minorHAnsi" w:cstheme="minorHAnsi"/>
                <w:color w:val="3333FF"/>
              </w:rPr>
              <w:t>09</w:t>
            </w:r>
            <w:r w:rsidR="00D25646" w:rsidRPr="003E0493">
              <w:rPr>
                <w:rFonts w:asciiTheme="minorHAnsi" w:hAnsiTheme="minorHAnsi" w:cstheme="minorHAnsi"/>
                <w:color w:val="3333FF"/>
              </w:rPr>
              <w:t xml:space="preserve"> (50.</w:t>
            </w:r>
            <w:r w:rsidR="008F28CB" w:rsidRPr="003E0493">
              <w:rPr>
                <w:rFonts w:asciiTheme="minorHAnsi" w:hAnsiTheme="minorHAnsi" w:cstheme="minorHAnsi"/>
                <w:color w:val="3333FF"/>
              </w:rPr>
              <w:t>8</w:t>
            </w:r>
            <w:r w:rsidR="00D25646" w:rsidRPr="003E0493">
              <w:rPr>
                <w:rFonts w:asciiTheme="minorHAnsi" w:hAnsiTheme="minorHAnsi" w:cstheme="minorHAnsi"/>
                <w:color w:val="3333FF"/>
              </w:rPr>
              <w:t>%)</w:t>
            </w:r>
          </w:p>
        </w:tc>
      </w:tr>
      <w:tr w:rsidR="00110E68" w:rsidRPr="003E0493" w14:paraId="64930414" w14:textId="77777777" w:rsidTr="00C06DF6">
        <w:trPr>
          <w:trHeight w:val="20"/>
        </w:trPr>
        <w:tc>
          <w:tcPr>
            <w:tcW w:w="1286" w:type="pct"/>
            <w:tcBorders>
              <w:top w:val="nil"/>
              <w:left w:val="nil"/>
              <w:bottom w:val="nil"/>
              <w:right w:val="nil"/>
            </w:tcBorders>
            <w:hideMark/>
          </w:tcPr>
          <w:p w14:paraId="35E0D003" w14:textId="1AB1F0C0" w:rsidR="00110E68" w:rsidRPr="003E0493" w:rsidRDefault="00110E68" w:rsidP="001D3F94">
            <w:pPr>
              <w:pStyle w:val="TableText"/>
              <w:rPr>
                <w:rFonts w:asciiTheme="minorHAnsi" w:hAnsiTheme="minorHAnsi" w:cstheme="minorHAnsi"/>
                <w:color w:val="3333FF"/>
              </w:rPr>
            </w:pPr>
            <w:r w:rsidRPr="003E0493">
              <w:rPr>
                <w:rFonts w:asciiTheme="minorHAnsi" w:hAnsiTheme="minorHAnsi" w:cstheme="minorHAnsi"/>
                <w:color w:val="3333FF"/>
              </w:rPr>
              <w:t>2nd Decile (</w:t>
            </w:r>
            <w:r w:rsidRPr="003E0493">
              <w:rPr>
                <w:rFonts w:asciiTheme="minorHAnsi" w:hAnsiTheme="minorHAnsi" w:cstheme="minorHAnsi"/>
                <w:i/>
                <w:color w:val="3333FF"/>
              </w:rPr>
              <w:t>n</w:t>
            </w:r>
            <w:r w:rsidRPr="003E0493">
              <w:rPr>
                <w:rFonts w:asciiTheme="minorHAnsi" w:hAnsiTheme="minorHAnsi" w:cstheme="minorHAnsi"/>
                <w:color w:val="3333FF"/>
              </w:rPr>
              <w:t xml:space="preserve"> = </w:t>
            </w:r>
            <w:r w:rsidR="0028788F" w:rsidRPr="003E0493">
              <w:rPr>
                <w:rFonts w:asciiTheme="minorHAnsi" w:hAnsiTheme="minorHAnsi" w:cstheme="minorHAnsi"/>
                <w:color w:val="3333FF"/>
              </w:rPr>
              <w:t>34</w:t>
            </w:r>
            <w:r w:rsidR="00A15639" w:rsidRPr="003E0493">
              <w:rPr>
                <w:rFonts w:asciiTheme="minorHAnsi" w:hAnsiTheme="minorHAnsi" w:cstheme="minorHAnsi"/>
                <w:color w:val="3333FF"/>
              </w:rPr>
              <w:t xml:space="preserve"> </w:t>
            </w:r>
            <w:r w:rsidRPr="003E0493">
              <w:rPr>
                <w:rFonts w:asciiTheme="minorHAnsi" w:hAnsiTheme="minorHAnsi" w:cstheme="minorHAnsi"/>
                <w:color w:val="3333FF"/>
              </w:rPr>
              <w:t xml:space="preserve">to </w:t>
            </w:r>
            <w:r w:rsidR="0028788F" w:rsidRPr="003E0493">
              <w:rPr>
                <w:rFonts w:asciiTheme="minorHAnsi" w:hAnsiTheme="minorHAnsi" w:cstheme="minorHAnsi"/>
                <w:color w:val="3333FF"/>
              </w:rPr>
              <w:t>41</w:t>
            </w:r>
            <w:r w:rsidRPr="003E0493">
              <w:rPr>
                <w:rFonts w:asciiTheme="minorHAnsi" w:hAnsiTheme="minorHAnsi" w:cstheme="minorHAnsi"/>
                <w:color w:val="3333FF"/>
              </w:rPr>
              <w:t>)</w:t>
            </w:r>
          </w:p>
        </w:tc>
        <w:tc>
          <w:tcPr>
            <w:tcW w:w="641" w:type="pct"/>
            <w:tcBorders>
              <w:top w:val="nil"/>
              <w:left w:val="nil"/>
              <w:bottom w:val="nil"/>
              <w:right w:val="nil"/>
            </w:tcBorders>
          </w:tcPr>
          <w:p w14:paraId="0C98C495" w14:textId="7C62EEFC" w:rsidR="00110E68" w:rsidRPr="003E0493" w:rsidRDefault="00C67534"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1,</w:t>
            </w:r>
            <w:r w:rsidR="00A23299" w:rsidRPr="003E0493">
              <w:rPr>
                <w:rFonts w:asciiTheme="minorHAnsi" w:hAnsiTheme="minorHAnsi" w:cstheme="minorHAnsi"/>
                <w:color w:val="3333FF"/>
              </w:rPr>
              <w:t>322</w:t>
            </w:r>
          </w:p>
        </w:tc>
        <w:tc>
          <w:tcPr>
            <w:tcW w:w="1024" w:type="pct"/>
            <w:tcBorders>
              <w:top w:val="nil"/>
              <w:left w:val="nil"/>
              <w:bottom w:val="nil"/>
              <w:right w:val="nil"/>
            </w:tcBorders>
          </w:tcPr>
          <w:p w14:paraId="5BBA322A" w14:textId="44ED1445" w:rsidR="00110E68" w:rsidRPr="003E0493" w:rsidRDefault="009F67CD"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600</w:t>
            </w:r>
            <w:r w:rsidR="009F70DE" w:rsidRPr="003E0493">
              <w:rPr>
                <w:rFonts w:asciiTheme="minorHAnsi" w:hAnsiTheme="minorHAnsi" w:cstheme="minorHAnsi"/>
                <w:color w:val="3333FF"/>
              </w:rPr>
              <w:t xml:space="preserve"> (</w:t>
            </w:r>
            <w:r w:rsidR="00D1543F" w:rsidRPr="003E0493">
              <w:rPr>
                <w:rFonts w:asciiTheme="minorHAnsi" w:hAnsiTheme="minorHAnsi" w:cstheme="minorHAnsi"/>
                <w:color w:val="3333FF"/>
              </w:rPr>
              <w:t>45.5</w:t>
            </w:r>
            <w:r w:rsidR="009F70DE" w:rsidRPr="003E0493">
              <w:rPr>
                <w:rFonts w:asciiTheme="minorHAnsi" w:hAnsiTheme="minorHAnsi" w:cstheme="minorHAnsi"/>
                <w:color w:val="3333FF"/>
              </w:rPr>
              <w:t>%)</w:t>
            </w:r>
          </w:p>
        </w:tc>
        <w:tc>
          <w:tcPr>
            <w:tcW w:w="1053" w:type="pct"/>
            <w:tcBorders>
              <w:top w:val="nil"/>
              <w:left w:val="nil"/>
              <w:bottom w:val="nil"/>
              <w:right w:val="nil"/>
            </w:tcBorders>
          </w:tcPr>
          <w:p w14:paraId="11234B47" w14:textId="5D958C75" w:rsidR="00110E68" w:rsidRPr="003E0493" w:rsidRDefault="00466092"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2</w:t>
            </w:r>
            <w:r w:rsidR="00E64271" w:rsidRPr="003E0493">
              <w:rPr>
                <w:rFonts w:asciiTheme="minorHAnsi" w:hAnsiTheme="minorHAnsi" w:cstheme="minorHAnsi"/>
                <w:color w:val="3333FF"/>
              </w:rPr>
              <w:t>0</w:t>
            </w:r>
            <w:r w:rsidRPr="003E0493">
              <w:rPr>
                <w:rFonts w:asciiTheme="minorHAnsi" w:hAnsiTheme="minorHAnsi" w:cstheme="minorHAnsi"/>
                <w:color w:val="3333FF"/>
              </w:rPr>
              <w:t xml:space="preserve"> (</w:t>
            </w:r>
            <w:r w:rsidR="00CE0E28" w:rsidRPr="003E0493">
              <w:rPr>
                <w:rFonts w:asciiTheme="minorHAnsi" w:hAnsiTheme="minorHAnsi" w:cstheme="minorHAnsi"/>
                <w:color w:val="3333FF"/>
              </w:rPr>
              <w:t>1.5</w:t>
            </w:r>
            <w:r w:rsidRPr="003E0493">
              <w:rPr>
                <w:rFonts w:asciiTheme="minorHAnsi" w:hAnsiTheme="minorHAnsi" w:cstheme="minorHAnsi"/>
                <w:color w:val="3333FF"/>
              </w:rPr>
              <w:t>%)</w:t>
            </w:r>
          </w:p>
        </w:tc>
        <w:tc>
          <w:tcPr>
            <w:tcW w:w="996" w:type="pct"/>
            <w:tcBorders>
              <w:top w:val="nil"/>
              <w:left w:val="nil"/>
              <w:bottom w:val="nil"/>
              <w:right w:val="nil"/>
            </w:tcBorders>
          </w:tcPr>
          <w:p w14:paraId="120BAA5A" w14:textId="5ED0C003" w:rsidR="00110E68" w:rsidRPr="003E0493" w:rsidRDefault="00C34D0D"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620</w:t>
            </w:r>
            <w:r w:rsidR="00D6220D" w:rsidRPr="003E0493">
              <w:rPr>
                <w:rFonts w:asciiTheme="minorHAnsi" w:hAnsiTheme="minorHAnsi" w:cstheme="minorHAnsi"/>
                <w:color w:val="3333FF"/>
              </w:rPr>
              <w:t xml:space="preserve"> </w:t>
            </w:r>
            <w:r w:rsidR="00E6298F" w:rsidRPr="003E0493">
              <w:rPr>
                <w:rFonts w:asciiTheme="minorHAnsi" w:hAnsiTheme="minorHAnsi" w:cstheme="minorHAnsi"/>
                <w:color w:val="3333FF"/>
              </w:rPr>
              <w:t>(4</w:t>
            </w:r>
            <w:r w:rsidR="00146823" w:rsidRPr="003E0493">
              <w:rPr>
                <w:rFonts w:asciiTheme="minorHAnsi" w:hAnsiTheme="minorHAnsi" w:cstheme="minorHAnsi"/>
                <w:color w:val="3333FF"/>
              </w:rPr>
              <w:t>6.9</w:t>
            </w:r>
            <w:r w:rsidR="00E6298F" w:rsidRPr="003E0493">
              <w:rPr>
                <w:rFonts w:asciiTheme="minorHAnsi" w:hAnsiTheme="minorHAnsi" w:cstheme="minorHAnsi"/>
                <w:color w:val="3333FF"/>
              </w:rPr>
              <w:t>%)</w:t>
            </w:r>
          </w:p>
        </w:tc>
      </w:tr>
      <w:tr w:rsidR="00110E68" w:rsidRPr="003E0493" w14:paraId="2C2BD376" w14:textId="77777777" w:rsidTr="00C06DF6">
        <w:trPr>
          <w:trHeight w:val="20"/>
        </w:trPr>
        <w:tc>
          <w:tcPr>
            <w:tcW w:w="1286" w:type="pct"/>
            <w:tcBorders>
              <w:top w:val="nil"/>
              <w:left w:val="nil"/>
              <w:bottom w:val="nil"/>
              <w:right w:val="nil"/>
            </w:tcBorders>
            <w:hideMark/>
          </w:tcPr>
          <w:p w14:paraId="771054BF" w14:textId="096324D6" w:rsidR="00110E68" w:rsidRPr="003E0493" w:rsidRDefault="00110E68" w:rsidP="001D3F94">
            <w:pPr>
              <w:pStyle w:val="TableText"/>
              <w:rPr>
                <w:rFonts w:asciiTheme="minorHAnsi" w:hAnsiTheme="minorHAnsi" w:cstheme="minorHAnsi"/>
                <w:color w:val="3333FF"/>
              </w:rPr>
            </w:pPr>
            <w:r w:rsidRPr="003E0493">
              <w:rPr>
                <w:rFonts w:asciiTheme="minorHAnsi" w:hAnsiTheme="minorHAnsi" w:cstheme="minorHAnsi"/>
                <w:color w:val="3333FF"/>
              </w:rPr>
              <w:t>3rd Decile (</w:t>
            </w:r>
            <w:r w:rsidRPr="003E0493">
              <w:rPr>
                <w:rFonts w:asciiTheme="minorHAnsi" w:hAnsiTheme="minorHAnsi" w:cstheme="minorHAnsi"/>
                <w:i/>
                <w:color w:val="3333FF"/>
              </w:rPr>
              <w:t>n</w:t>
            </w:r>
            <w:r w:rsidRPr="003E0493">
              <w:rPr>
                <w:rFonts w:asciiTheme="minorHAnsi" w:hAnsiTheme="minorHAnsi" w:cstheme="minorHAnsi"/>
                <w:color w:val="3333FF"/>
              </w:rPr>
              <w:t xml:space="preserve"> = </w:t>
            </w:r>
            <w:r w:rsidR="0028788F" w:rsidRPr="003E0493">
              <w:rPr>
                <w:rFonts w:asciiTheme="minorHAnsi" w:hAnsiTheme="minorHAnsi" w:cstheme="minorHAnsi"/>
                <w:color w:val="3333FF"/>
              </w:rPr>
              <w:t>4</w:t>
            </w:r>
            <w:r w:rsidR="00DF01F0" w:rsidRPr="003E0493">
              <w:rPr>
                <w:rFonts w:asciiTheme="minorHAnsi" w:hAnsiTheme="minorHAnsi" w:cstheme="minorHAnsi"/>
                <w:color w:val="3333FF"/>
              </w:rPr>
              <w:t>2</w:t>
            </w:r>
            <w:r w:rsidR="0028788F" w:rsidRPr="003E0493">
              <w:rPr>
                <w:rFonts w:asciiTheme="minorHAnsi" w:hAnsiTheme="minorHAnsi" w:cstheme="minorHAnsi"/>
                <w:color w:val="3333FF"/>
              </w:rPr>
              <w:t xml:space="preserve"> </w:t>
            </w:r>
            <w:r w:rsidRPr="003E0493">
              <w:rPr>
                <w:rFonts w:asciiTheme="minorHAnsi" w:hAnsiTheme="minorHAnsi" w:cstheme="minorHAnsi"/>
                <w:color w:val="3333FF"/>
              </w:rPr>
              <w:t xml:space="preserve">to </w:t>
            </w:r>
            <w:r w:rsidR="00A15639" w:rsidRPr="003E0493">
              <w:rPr>
                <w:rFonts w:asciiTheme="minorHAnsi" w:hAnsiTheme="minorHAnsi" w:cstheme="minorHAnsi"/>
                <w:color w:val="3333FF"/>
              </w:rPr>
              <w:t>50</w:t>
            </w:r>
            <w:r w:rsidRPr="003E0493">
              <w:rPr>
                <w:rFonts w:asciiTheme="minorHAnsi" w:hAnsiTheme="minorHAnsi" w:cstheme="minorHAnsi"/>
                <w:color w:val="3333FF"/>
              </w:rPr>
              <w:t>)</w:t>
            </w:r>
          </w:p>
        </w:tc>
        <w:tc>
          <w:tcPr>
            <w:tcW w:w="641" w:type="pct"/>
            <w:tcBorders>
              <w:top w:val="nil"/>
              <w:left w:val="nil"/>
              <w:bottom w:val="nil"/>
              <w:right w:val="nil"/>
            </w:tcBorders>
          </w:tcPr>
          <w:p w14:paraId="4890094A" w14:textId="3B88CEE1" w:rsidR="00110E68" w:rsidRPr="003E0493" w:rsidRDefault="00C67534"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1,</w:t>
            </w:r>
            <w:r w:rsidR="006A7B30" w:rsidRPr="003E0493">
              <w:rPr>
                <w:rFonts w:asciiTheme="minorHAnsi" w:hAnsiTheme="minorHAnsi" w:cstheme="minorHAnsi"/>
                <w:color w:val="3333FF"/>
              </w:rPr>
              <w:t>599</w:t>
            </w:r>
          </w:p>
        </w:tc>
        <w:tc>
          <w:tcPr>
            <w:tcW w:w="1024" w:type="pct"/>
            <w:tcBorders>
              <w:top w:val="nil"/>
              <w:left w:val="nil"/>
              <w:bottom w:val="nil"/>
              <w:right w:val="nil"/>
            </w:tcBorders>
          </w:tcPr>
          <w:p w14:paraId="58C136EB" w14:textId="4B91FDB6" w:rsidR="00110E68" w:rsidRPr="003E0493" w:rsidRDefault="009F70DE"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5</w:t>
            </w:r>
            <w:r w:rsidR="009F67CD" w:rsidRPr="003E0493">
              <w:rPr>
                <w:rFonts w:asciiTheme="minorHAnsi" w:hAnsiTheme="minorHAnsi" w:cstheme="minorHAnsi"/>
                <w:color w:val="3333FF"/>
              </w:rPr>
              <w:t>87</w:t>
            </w:r>
            <w:r w:rsidRPr="003E0493">
              <w:rPr>
                <w:rFonts w:asciiTheme="minorHAnsi" w:hAnsiTheme="minorHAnsi" w:cstheme="minorHAnsi"/>
                <w:color w:val="3333FF"/>
              </w:rPr>
              <w:t xml:space="preserve"> (</w:t>
            </w:r>
            <w:r w:rsidR="00B511C5" w:rsidRPr="003E0493">
              <w:rPr>
                <w:rFonts w:asciiTheme="minorHAnsi" w:hAnsiTheme="minorHAnsi" w:cstheme="minorHAnsi"/>
                <w:color w:val="3333FF"/>
              </w:rPr>
              <w:t>36.7</w:t>
            </w:r>
            <w:r w:rsidRPr="003E0493">
              <w:rPr>
                <w:rFonts w:asciiTheme="minorHAnsi" w:hAnsiTheme="minorHAnsi" w:cstheme="minorHAnsi"/>
                <w:color w:val="3333FF"/>
              </w:rPr>
              <w:t>%)</w:t>
            </w:r>
          </w:p>
        </w:tc>
        <w:tc>
          <w:tcPr>
            <w:tcW w:w="1053" w:type="pct"/>
            <w:tcBorders>
              <w:top w:val="nil"/>
              <w:left w:val="nil"/>
              <w:bottom w:val="nil"/>
              <w:right w:val="nil"/>
            </w:tcBorders>
          </w:tcPr>
          <w:p w14:paraId="0764C9D0" w14:textId="4D962966" w:rsidR="00110E68" w:rsidRPr="003E0493" w:rsidRDefault="00E64271"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76</w:t>
            </w:r>
            <w:r w:rsidR="00466092" w:rsidRPr="003E0493">
              <w:rPr>
                <w:rFonts w:asciiTheme="minorHAnsi" w:hAnsiTheme="minorHAnsi" w:cstheme="minorHAnsi"/>
                <w:color w:val="3333FF"/>
              </w:rPr>
              <w:t xml:space="preserve"> (</w:t>
            </w:r>
            <w:r w:rsidR="00CE0E28" w:rsidRPr="003E0493">
              <w:rPr>
                <w:rFonts w:asciiTheme="minorHAnsi" w:hAnsiTheme="minorHAnsi" w:cstheme="minorHAnsi"/>
                <w:color w:val="3333FF"/>
              </w:rPr>
              <w:t>4.8</w:t>
            </w:r>
            <w:r w:rsidR="00466092" w:rsidRPr="003E0493">
              <w:rPr>
                <w:rFonts w:asciiTheme="minorHAnsi" w:hAnsiTheme="minorHAnsi" w:cstheme="minorHAnsi"/>
                <w:color w:val="3333FF"/>
              </w:rPr>
              <w:t>%)</w:t>
            </w:r>
          </w:p>
        </w:tc>
        <w:tc>
          <w:tcPr>
            <w:tcW w:w="996" w:type="pct"/>
            <w:tcBorders>
              <w:top w:val="nil"/>
              <w:left w:val="nil"/>
              <w:bottom w:val="nil"/>
              <w:right w:val="nil"/>
            </w:tcBorders>
          </w:tcPr>
          <w:p w14:paraId="409EEE61" w14:textId="14BF0F9D" w:rsidR="00110E68" w:rsidRPr="003E0493" w:rsidRDefault="007F5A6D"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6</w:t>
            </w:r>
            <w:r w:rsidR="009A1804" w:rsidRPr="003E0493">
              <w:rPr>
                <w:rFonts w:asciiTheme="minorHAnsi" w:hAnsiTheme="minorHAnsi" w:cstheme="minorHAnsi"/>
                <w:color w:val="3333FF"/>
              </w:rPr>
              <w:t>63</w:t>
            </w:r>
            <w:r w:rsidR="00E6298F" w:rsidRPr="003E0493">
              <w:rPr>
                <w:rFonts w:asciiTheme="minorHAnsi" w:hAnsiTheme="minorHAnsi" w:cstheme="minorHAnsi"/>
                <w:color w:val="3333FF"/>
              </w:rPr>
              <w:t xml:space="preserve"> (41.5%)</w:t>
            </w:r>
          </w:p>
        </w:tc>
      </w:tr>
      <w:tr w:rsidR="00110E68" w:rsidRPr="003E0493" w14:paraId="33119982" w14:textId="77777777" w:rsidTr="00C06DF6">
        <w:trPr>
          <w:trHeight w:val="20"/>
        </w:trPr>
        <w:tc>
          <w:tcPr>
            <w:tcW w:w="1286" w:type="pct"/>
            <w:tcBorders>
              <w:top w:val="nil"/>
              <w:left w:val="nil"/>
              <w:bottom w:val="nil"/>
              <w:right w:val="nil"/>
            </w:tcBorders>
            <w:hideMark/>
          </w:tcPr>
          <w:p w14:paraId="285C0FA4" w14:textId="00C6C08C" w:rsidR="00110E68" w:rsidRPr="003E0493" w:rsidRDefault="00110E68" w:rsidP="001D3F94">
            <w:pPr>
              <w:pStyle w:val="TableText"/>
              <w:rPr>
                <w:rFonts w:asciiTheme="minorHAnsi" w:hAnsiTheme="minorHAnsi" w:cstheme="minorHAnsi"/>
                <w:color w:val="3333FF"/>
              </w:rPr>
            </w:pPr>
            <w:r w:rsidRPr="003E0493">
              <w:rPr>
                <w:rFonts w:asciiTheme="minorHAnsi" w:hAnsiTheme="minorHAnsi" w:cstheme="minorHAnsi"/>
                <w:color w:val="3333FF"/>
              </w:rPr>
              <w:t>4th Decile (</w:t>
            </w:r>
            <w:r w:rsidRPr="003E0493">
              <w:rPr>
                <w:rFonts w:asciiTheme="minorHAnsi" w:hAnsiTheme="minorHAnsi" w:cstheme="minorHAnsi"/>
                <w:i/>
                <w:color w:val="3333FF"/>
              </w:rPr>
              <w:t>n</w:t>
            </w:r>
            <w:r w:rsidRPr="003E0493">
              <w:rPr>
                <w:rFonts w:asciiTheme="minorHAnsi" w:hAnsiTheme="minorHAnsi" w:cstheme="minorHAnsi"/>
                <w:color w:val="3333FF"/>
              </w:rPr>
              <w:t xml:space="preserve"> = </w:t>
            </w:r>
            <w:r w:rsidR="00DF01F0" w:rsidRPr="003E0493">
              <w:rPr>
                <w:rFonts w:asciiTheme="minorHAnsi" w:hAnsiTheme="minorHAnsi" w:cstheme="minorHAnsi"/>
                <w:color w:val="3333FF"/>
              </w:rPr>
              <w:t>5</w:t>
            </w:r>
            <w:r w:rsidR="00A15639" w:rsidRPr="003E0493">
              <w:rPr>
                <w:rFonts w:asciiTheme="minorHAnsi" w:hAnsiTheme="minorHAnsi" w:cstheme="minorHAnsi"/>
                <w:color w:val="3333FF"/>
              </w:rPr>
              <w:t>1</w:t>
            </w:r>
            <w:r w:rsidR="00DF01F0" w:rsidRPr="003E0493">
              <w:rPr>
                <w:rFonts w:asciiTheme="minorHAnsi" w:hAnsiTheme="minorHAnsi" w:cstheme="minorHAnsi"/>
                <w:color w:val="3333FF"/>
              </w:rPr>
              <w:t xml:space="preserve"> </w:t>
            </w:r>
            <w:r w:rsidRPr="003E0493">
              <w:rPr>
                <w:rFonts w:asciiTheme="minorHAnsi" w:hAnsiTheme="minorHAnsi" w:cstheme="minorHAnsi"/>
                <w:color w:val="3333FF"/>
              </w:rPr>
              <w:t xml:space="preserve">to </w:t>
            </w:r>
            <w:r w:rsidR="00FB4F5C" w:rsidRPr="003E0493">
              <w:rPr>
                <w:rFonts w:asciiTheme="minorHAnsi" w:hAnsiTheme="minorHAnsi" w:cstheme="minorHAnsi"/>
                <w:color w:val="3333FF"/>
              </w:rPr>
              <w:t>58</w:t>
            </w:r>
            <w:r w:rsidRPr="003E0493">
              <w:rPr>
                <w:rFonts w:asciiTheme="minorHAnsi" w:hAnsiTheme="minorHAnsi" w:cstheme="minorHAnsi"/>
                <w:color w:val="3333FF"/>
              </w:rPr>
              <w:t>)</w:t>
            </w:r>
          </w:p>
        </w:tc>
        <w:tc>
          <w:tcPr>
            <w:tcW w:w="641" w:type="pct"/>
            <w:tcBorders>
              <w:top w:val="nil"/>
              <w:left w:val="nil"/>
              <w:bottom w:val="nil"/>
              <w:right w:val="nil"/>
            </w:tcBorders>
          </w:tcPr>
          <w:p w14:paraId="6ED0BBC6" w14:textId="63D56B69" w:rsidR="00110E68" w:rsidRPr="003E0493" w:rsidRDefault="00C67534"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1,</w:t>
            </w:r>
            <w:r w:rsidR="006A7B30" w:rsidRPr="003E0493">
              <w:rPr>
                <w:rFonts w:asciiTheme="minorHAnsi" w:hAnsiTheme="minorHAnsi" w:cstheme="minorHAnsi"/>
                <w:color w:val="3333FF"/>
              </w:rPr>
              <w:t>371</w:t>
            </w:r>
          </w:p>
        </w:tc>
        <w:tc>
          <w:tcPr>
            <w:tcW w:w="1024" w:type="pct"/>
            <w:tcBorders>
              <w:top w:val="nil"/>
              <w:left w:val="nil"/>
              <w:bottom w:val="nil"/>
              <w:right w:val="nil"/>
            </w:tcBorders>
          </w:tcPr>
          <w:p w14:paraId="58C099C8" w14:textId="6C4C76F0" w:rsidR="00110E68" w:rsidRPr="003E0493" w:rsidRDefault="003E2D3A"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476</w:t>
            </w:r>
            <w:r w:rsidR="009F70DE" w:rsidRPr="003E0493">
              <w:rPr>
                <w:rFonts w:asciiTheme="minorHAnsi" w:hAnsiTheme="minorHAnsi" w:cstheme="minorHAnsi"/>
                <w:color w:val="3333FF"/>
              </w:rPr>
              <w:t xml:space="preserve"> (</w:t>
            </w:r>
            <w:r w:rsidR="00B511C5" w:rsidRPr="003E0493">
              <w:rPr>
                <w:rFonts w:asciiTheme="minorHAnsi" w:hAnsiTheme="minorHAnsi" w:cstheme="minorHAnsi"/>
                <w:color w:val="3333FF"/>
              </w:rPr>
              <w:t>34.7</w:t>
            </w:r>
            <w:r w:rsidR="009F70DE" w:rsidRPr="003E0493">
              <w:rPr>
                <w:rFonts w:asciiTheme="minorHAnsi" w:hAnsiTheme="minorHAnsi" w:cstheme="minorHAnsi"/>
                <w:color w:val="3333FF"/>
              </w:rPr>
              <w:t>%)</w:t>
            </w:r>
          </w:p>
        </w:tc>
        <w:tc>
          <w:tcPr>
            <w:tcW w:w="1053" w:type="pct"/>
            <w:tcBorders>
              <w:top w:val="nil"/>
              <w:left w:val="nil"/>
              <w:bottom w:val="nil"/>
              <w:right w:val="nil"/>
            </w:tcBorders>
          </w:tcPr>
          <w:p w14:paraId="6FD87B6C" w14:textId="368CB5A3" w:rsidR="00E666B5" w:rsidRPr="003E0493" w:rsidRDefault="00E666B5" w:rsidP="00E666B5">
            <w:pPr>
              <w:pStyle w:val="TableText"/>
              <w:jc w:val="center"/>
              <w:rPr>
                <w:rFonts w:asciiTheme="minorHAnsi" w:hAnsiTheme="minorHAnsi" w:cstheme="minorHAnsi"/>
                <w:color w:val="3333FF"/>
              </w:rPr>
            </w:pPr>
            <w:r w:rsidRPr="003E0493">
              <w:rPr>
                <w:rFonts w:asciiTheme="minorHAnsi" w:hAnsiTheme="minorHAnsi" w:cstheme="minorHAnsi"/>
                <w:color w:val="3333FF"/>
              </w:rPr>
              <w:t>3</w:t>
            </w:r>
            <w:r w:rsidR="00E64271" w:rsidRPr="003E0493">
              <w:rPr>
                <w:rFonts w:asciiTheme="minorHAnsi" w:hAnsiTheme="minorHAnsi" w:cstheme="minorHAnsi"/>
                <w:color w:val="3333FF"/>
              </w:rPr>
              <w:t>2</w:t>
            </w:r>
            <w:r w:rsidRPr="003E0493">
              <w:rPr>
                <w:rFonts w:asciiTheme="minorHAnsi" w:hAnsiTheme="minorHAnsi" w:cstheme="minorHAnsi"/>
                <w:color w:val="3333FF"/>
              </w:rPr>
              <w:t xml:space="preserve"> (</w:t>
            </w:r>
            <w:r w:rsidR="00CE0E28" w:rsidRPr="003E0493">
              <w:rPr>
                <w:rFonts w:asciiTheme="minorHAnsi" w:hAnsiTheme="minorHAnsi" w:cstheme="minorHAnsi"/>
                <w:color w:val="3333FF"/>
              </w:rPr>
              <w:t>2.3</w:t>
            </w:r>
            <w:r w:rsidRPr="003E0493">
              <w:rPr>
                <w:rFonts w:asciiTheme="minorHAnsi" w:hAnsiTheme="minorHAnsi" w:cstheme="minorHAnsi"/>
                <w:color w:val="3333FF"/>
              </w:rPr>
              <w:t>%)</w:t>
            </w:r>
          </w:p>
        </w:tc>
        <w:tc>
          <w:tcPr>
            <w:tcW w:w="996" w:type="pct"/>
            <w:tcBorders>
              <w:top w:val="nil"/>
              <w:left w:val="nil"/>
              <w:bottom w:val="nil"/>
              <w:right w:val="nil"/>
            </w:tcBorders>
          </w:tcPr>
          <w:p w14:paraId="5F03E268" w14:textId="3DA13C67" w:rsidR="00110E68" w:rsidRPr="003E0493" w:rsidRDefault="007F5A6D"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5</w:t>
            </w:r>
            <w:r w:rsidR="009A1804" w:rsidRPr="003E0493">
              <w:rPr>
                <w:rFonts w:asciiTheme="minorHAnsi" w:hAnsiTheme="minorHAnsi" w:cstheme="minorHAnsi"/>
                <w:color w:val="3333FF"/>
              </w:rPr>
              <w:t>08</w:t>
            </w:r>
            <w:r w:rsidR="00E6298F" w:rsidRPr="003E0493">
              <w:rPr>
                <w:rFonts w:asciiTheme="minorHAnsi" w:hAnsiTheme="minorHAnsi" w:cstheme="minorHAnsi"/>
                <w:color w:val="3333FF"/>
              </w:rPr>
              <w:t xml:space="preserve"> (3</w:t>
            </w:r>
            <w:r w:rsidR="00752DA7" w:rsidRPr="003E0493">
              <w:rPr>
                <w:rFonts w:asciiTheme="minorHAnsi" w:hAnsiTheme="minorHAnsi" w:cstheme="minorHAnsi"/>
                <w:color w:val="3333FF"/>
              </w:rPr>
              <w:t>7.1</w:t>
            </w:r>
            <w:r w:rsidR="00E6298F" w:rsidRPr="003E0493">
              <w:rPr>
                <w:rFonts w:asciiTheme="minorHAnsi" w:hAnsiTheme="minorHAnsi" w:cstheme="minorHAnsi"/>
                <w:color w:val="3333FF"/>
              </w:rPr>
              <w:t>%)</w:t>
            </w:r>
          </w:p>
        </w:tc>
      </w:tr>
      <w:tr w:rsidR="00110E68" w:rsidRPr="003E0493" w14:paraId="0924C985" w14:textId="77777777" w:rsidTr="00C06DF6">
        <w:trPr>
          <w:trHeight w:val="20"/>
        </w:trPr>
        <w:tc>
          <w:tcPr>
            <w:tcW w:w="1286" w:type="pct"/>
            <w:tcBorders>
              <w:top w:val="nil"/>
              <w:left w:val="nil"/>
              <w:bottom w:val="nil"/>
              <w:right w:val="nil"/>
            </w:tcBorders>
            <w:hideMark/>
          </w:tcPr>
          <w:p w14:paraId="453ACF04" w14:textId="6D970512" w:rsidR="00110E68" w:rsidRPr="003E0493" w:rsidRDefault="00110E68" w:rsidP="001D3F94">
            <w:pPr>
              <w:pStyle w:val="TableText"/>
              <w:rPr>
                <w:rFonts w:asciiTheme="minorHAnsi" w:hAnsiTheme="minorHAnsi" w:cstheme="minorHAnsi"/>
                <w:color w:val="3333FF"/>
              </w:rPr>
            </w:pPr>
            <w:r w:rsidRPr="003E0493">
              <w:rPr>
                <w:rFonts w:asciiTheme="minorHAnsi" w:hAnsiTheme="minorHAnsi" w:cstheme="minorHAnsi"/>
                <w:color w:val="3333FF"/>
              </w:rPr>
              <w:t>5th Decile (</w:t>
            </w:r>
            <w:r w:rsidRPr="003E0493">
              <w:rPr>
                <w:rFonts w:asciiTheme="minorHAnsi" w:hAnsiTheme="minorHAnsi" w:cstheme="minorHAnsi"/>
                <w:i/>
                <w:color w:val="3333FF"/>
              </w:rPr>
              <w:t>n</w:t>
            </w:r>
            <w:r w:rsidRPr="003E0493">
              <w:rPr>
                <w:rFonts w:asciiTheme="minorHAnsi" w:hAnsiTheme="minorHAnsi" w:cstheme="minorHAnsi"/>
                <w:color w:val="3333FF"/>
              </w:rPr>
              <w:t xml:space="preserve"> = </w:t>
            </w:r>
            <w:r w:rsidR="00DF01F0" w:rsidRPr="003E0493">
              <w:rPr>
                <w:rFonts w:asciiTheme="minorHAnsi" w:hAnsiTheme="minorHAnsi" w:cstheme="minorHAnsi"/>
                <w:color w:val="3333FF"/>
              </w:rPr>
              <w:t xml:space="preserve">59 </w:t>
            </w:r>
            <w:r w:rsidRPr="003E0493">
              <w:rPr>
                <w:rFonts w:asciiTheme="minorHAnsi" w:hAnsiTheme="minorHAnsi" w:cstheme="minorHAnsi"/>
                <w:color w:val="3333FF"/>
              </w:rPr>
              <w:t xml:space="preserve">to </w:t>
            </w:r>
            <w:r w:rsidR="00FB4F5C" w:rsidRPr="003E0493">
              <w:rPr>
                <w:rFonts w:asciiTheme="minorHAnsi" w:hAnsiTheme="minorHAnsi" w:cstheme="minorHAnsi"/>
                <w:color w:val="3333FF"/>
              </w:rPr>
              <w:t>6</w:t>
            </w:r>
            <w:r w:rsidR="00A15639" w:rsidRPr="003E0493">
              <w:rPr>
                <w:rFonts w:asciiTheme="minorHAnsi" w:hAnsiTheme="minorHAnsi" w:cstheme="minorHAnsi"/>
                <w:color w:val="3333FF"/>
              </w:rPr>
              <w:t>7</w:t>
            </w:r>
            <w:r w:rsidRPr="003E0493">
              <w:rPr>
                <w:rFonts w:asciiTheme="minorHAnsi" w:hAnsiTheme="minorHAnsi" w:cstheme="minorHAnsi"/>
                <w:color w:val="3333FF"/>
              </w:rPr>
              <w:t>)</w:t>
            </w:r>
          </w:p>
        </w:tc>
        <w:tc>
          <w:tcPr>
            <w:tcW w:w="641" w:type="pct"/>
            <w:tcBorders>
              <w:top w:val="nil"/>
              <w:left w:val="nil"/>
              <w:bottom w:val="nil"/>
              <w:right w:val="nil"/>
            </w:tcBorders>
          </w:tcPr>
          <w:p w14:paraId="7C24AE88" w14:textId="55AA7295" w:rsidR="00110E68" w:rsidRPr="003E0493" w:rsidRDefault="00C67534"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1,</w:t>
            </w:r>
            <w:r w:rsidR="006A7B30" w:rsidRPr="003E0493">
              <w:rPr>
                <w:rFonts w:asciiTheme="minorHAnsi" w:hAnsiTheme="minorHAnsi" w:cstheme="minorHAnsi"/>
                <w:color w:val="3333FF"/>
              </w:rPr>
              <w:t>507</w:t>
            </w:r>
          </w:p>
        </w:tc>
        <w:tc>
          <w:tcPr>
            <w:tcW w:w="1024" w:type="pct"/>
            <w:tcBorders>
              <w:top w:val="nil"/>
              <w:left w:val="nil"/>
              <w:bottom w:val="nil"/>
              <w:right w:val="nil"/>
            </w:tcBorders>
          </w:tcPr>
          <w:p w14:paraId="26488EB2" w14:textId="205153A9" w:rsidR="00110E68" w:rsidRPr="003E0493" w:rsidRDefault="009F70DE"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4</w:t>
            </w:r>
            <w:r w:rsidR="003E2D3A" w:rsidRPr="003E0493">
              <w:rPr>
                <w:rFonts w:asciiTheme="minorHAnsi" w:hAnsiTheme="minorHAnsi" w:cstheme="minorHAnsi"/>
                <w:color w:val="3333FF"/>
              </w:rPr>
              <w:t>96</w:t>
            </w:r>
            <w:r w:rsidRPr="003E0493">
              <w:rPr>
                <w:rFonts w:asciiTheme="minorHAnsi" w:hAnsiTheme="minorHAnsi" w:cstheme="minorHAnsi"/>
                <w:color w:val="3333FF"/>
              </w:rPr>
              <w:t xml:space="preserve"> (</w:t>
            </w:r>
            <w:r w:rsidR="00B511C5" w:rsidRPr="003E0493">
              <w:rPr>
                <w:rFonts w:asciiTheme="minorHAnsi" w:hAnsiTheme="minorHAnsi" w:cstheme="minorHAnsi"/>
                <w:color w:val="3333FF"/>
              </w:rPr>
              <w:t>32.9</w:t>
            </w:r>
            <w:r w:rsidRPr="003E0493">
              <w:rPr>
                <w:rFonts w:asciiTheme="minorHAnsi" w:hAnsiTheme="minorHAnsi" w:cstheme="minorHAnsi"/>
                <w:color w:val="3333FF"/>
              </w:rPr>
              <w:t>%)</w:t>
            </w:r>
          </w:p>
        </w:tc>
        <w:tc>
          <w:tcPr>
            <w:tcW w:w="1053" w:type="pct"/>
            <w:tcBorders>
              <w:top w:val="nil"/>
              <w:left w:val="nil"/>
              <w:bottom w:val="nil"/>
              <w:right w:val="nil"/>
            </w:tcBorders>
          </w:tcPr>
          <w:p w14:paraId="4896FCBC" w14:textId="2FB31F5E" w:rsidR="00110E68" w:rsidRPr="003E0493" w:rsidRDefault="00E64271"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53</w:t>
            </w:r>
            <w:r w:rsidR="00E666B5" w:rsidRPr="003E0493">
              <w:rPr>
                <w:rFonts w:asciiTheme="minorHAnsi" w:hAnsiTheme="minorHAnsi" w:cstheme="minorHAnsi"/>
                <w:color w:val="3333FF"/>
              </w:rPr>
              <w:t xml:space="preserve"> (</w:t>
            </w:r>
            <w:r w:rsidR="006D7467" w:rsidRPr="003E0493">
              <w:rPr>
                <w:rFonts w:asciiTheme="minorHAnsi" w:hAnsiTheme="minorHAnsi" w:cstheme="minorHAnsi"/>
                <w:color w:val="3333FF"/>
              </w:rPr>
              <w:t>3.5</w:t>
            </w:r>
            <w:r w:rsidR="00E666B5" w:rsidRPr="003E0493">
              <w:rPr>
                <w:rFonts w:asciiTheme="minorHAnsi" w:hAnsiTheme="minorHAnsi" w:cstheme="minorHAnsi"/>
                <w:color w:val="3333FF"/>
              </w:rPr>
              <w:t>%)</w:t>
            </w:r>
          </w:p>
        </w:tc>
        <w:tc>
          <w:tcPr>
            <w:tcW w:w="996" w:type="pct"/>
            <w:tcBorders>
              <w:top w:val="nil"/>
              <w:left w:val="nil"/>
              <w:bottom w:val="nil"/>
              <w:right w:val="nil"/>
            </w:tcBorders>
          </w:tcPr>
          <w:p w14:paraId="636A895E" w14:textId="436C8312" w:rsidR="00110E68" w:rsidRPr="003E0493" w:rsidRDefault="00294E64"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549</w:t>
            </w:r>
            <w:r w:rsidR="00397AEB" w:rsidRPr="003E0493">
              <w:rPr>
                <w:rFonts w:asciiTheme="minorHAnsi" w:hAnsiTheme="minorHAnsi" w:cstheme="minorHAnsi"/>
                <w:color w:val="3333FF"/>
              </w:rPr>
              <w:t xml:space="preserve"> (3</w:t>
            </w:r>
            <w:r w:rsidR="00752DA7" w:rsidRPr="003E0493">
              <w:rPr>
                <w:rFonts w:asciiTheme="minorHAnsi" w:hAnsiTheme="minorHAnsi" w:cstheme="minorHAnsi"/>
                <w:color w:val="3333FF"/>
              </w:rPr>
              <w:t>6.4</w:t>
            </w:r>
            <w:r w:rsidR="00397AEB" w:rsidRPr="003E0493">
              <w:rPr>
                <w:rFonts w:asciiTheme="minorHAnsi" w:hAnsiTheme="minorHAnsi" w:cstheme="minorHAnsi"/>
                <w:color w:val="3333FF"/>
              </w:rPr>
              <w:t>%)</w:t>
            </w:r>
          </w:p>
        </w:tc>
      </w:tr>
      <w:tr w:rsidR="00110E68" w:rsidRPr="003E0493" w14:paraId="431CEF46" w14:textId="77777777" w:rsidTr="00C06DF6">
        <w:trPr>
          <w:trHeight w:val="20"/>
        </w:trPr>
        <w:tc>
          <w:tcPr>
            <w:tcW w:w="1286" w:type="pct"/>
            <w:tcBorders>
              <w:top w:val="nil"/>
              <w:left w:val="nil"/>
              <w:bottom w:val="nil"/>
              <w:right w:val="nil"/>
            </w:tcBorders>
            <w:hideMark/>
          </w:tcPr>
          <w:p w14:paraId="6353BC25" w14:textId="77E34910" w:rsidR="00110E68" w:rsidRPr="003E0493" w:rsidRDefault="00110E68" w:rsidP="001D3F94">
            <w:pPr>
              <w:pStyle w:val="TableText"/>
              <w:rPr>
                <w:rFonts w:asciiTheme="minorHAnsi" w:hAnsiTheme="minorHAnsi" w:cstheme="minorHAnsi"/>
                <w:color w:val="3333FF"/>
              </w:rPr>
            </w:pPr>
            <w:r w:rsidRPr="003E0493">
              <w:rPr>
                <w:rFonts w:asciiTheme="minorHAnsi" w:hAnsiTheme="minorHAnsi" w:cstheme="minorHAnsi"/>
                <w:color w:val="3333FF"/>
              </w:rPr>
              <w:t>6th Decile (</w:t>
            </w:r>
            <w:r w:rsidRPr="003E0493">
              <w:rPr>
                <w:rFonts w:asciiTheme="minorHAnsi" w:hAnsiTheme="minorHAnsi" w:cstheme="minorHAnsi"/>
                <w:i/>
                <w:color w:val="3333FF"/>
              </w:rPr>
              <w:t>n</w:t>
            </w:r>
            <w:r w:rsidRPr="003E0493">
              <w:rPr>
                <w:rFonts w:asciiTheme="minorHAnsi" w:hAnsiTheme="minorHAnsi" w:cstheme="minorHAnsi"/>
                <w:color w:val="3333FF"/>
              </w:rPr>
              <w:t xml:space="preserve"> = </w:t>
            </w:r>
            <w:r w:rsidR="00FB4F5C" w:rsidRPr="003E0493">
              <w:rPr>
                <w:rFonts w:asciiTheme="minorHAnsi" w:hAnsiTheme="minorHAnsi" w:cstheme="minorHAnsi"/>
                <w:color w:val="3333FF"/>
              </w:rPr>
              <w:t>6</w:t>
            </w:r>
            <w:r w:rsidR="00A15639" w:rsidRPr="003E0493">
              <w:rPr>
                <w:rFonts w:asciiTheme="minorHAnsi" w:hAnsiTheme="minorHAnsi" w:cstheme="minorHAnsi"/>
                <w:color w:val="3333FF"/>
              </w:rPr>
              <w:t>8</w:t>
            </w:r>
            <w:r w:rsidR="00FB4F5C" w:rsidRPr="003E0493">
              <w:rPr>
                <w:rFonts w:asciiTheme="minorHAnsi" w:hAnsiTheme="minorHAnsi" w:cstheme="minorHAnsi"/>
                <w:color w:val="3333FF"/>
              </w:rPr>
              <w:t xml:space="preserve"> </w:t>
            </w:r>
            <w:r w:rsidRPr="003E0493">
              <w:rPr>
                <w:rFonts w:asciiTheme="minorHAnsi" w:hAnsiTheme="minorHAnsi" w:cstheme="minorHAnsi"/>
                <w:color w:val="3333FF"/>
              </w:rPr>
              <w:t xml:space="preserve">to </w:t>
            </w:r>
            <w:r w:rsidR="00FB4F5C" w:rsidRPr="003E0493">
              <w:rPr>
                <w:rFonts w:asciiTheme="minorHAnsi" w:hAnsiTheme="minorHAnsi" w:cstheme="minorHAnsi"/>
                <w:color w:val="3333FF"/>
              </w:rPr>
              <w:t>75</w:t>
            </w:r>
            <w:r w:rsidRPr="003E0493">
              <w:rPr>
                <w:rFonts w:asciiTheme="minorHAnsi" w:hAnsiTheme="minorHAnsi" w:cstheme="minorHAnsi"/>
                <w:color w:val="3333FF"/>
              </w:rPr>
              <w:t>)</w:t>
            </w:r>
          </w:p>
        </w:tc>
        <w:tc>
          <w:tcPr>
            <w:tcW w:w="641" w:type="pct"/>
            <w:tcBorders>
              <w:top w:val="nil"/>
              <w:left w:val="nil"/>
              <w:bottom w:val="nil"/>
              <w:right w:val="nil"/>
            </w:tcBorders>
          </w:tcPr>
          <w:p w14:paraId="1E65C690" w14:textId="1DBB4EDC" w:rsidR="00110E68" w:rsidRPr="003E0493" w:rsidRDefault="00C67534"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1,</w:t>
            </w:r>
            <w:r w:rsidR="002F04DE" w:rsidRPr="003E0493">
              <w:rPr>
                <w:rFonts w:asciiTheme="minorHAnsi" w:hAnsiTheme="minorHAnsi" w:cstheme="minorHAnsi"/>
                <w:color w:val="3333FF"/>
              </w:rPr>
              <w:t>319</w:t>
            </w:r>
          </w:p>
        </w:tc>
        <w:tc>
          <w:tcPr>
            <w:tcW w:w="1024" w:type="pct"/>
            <w:tcBorders>
              <w:top w:val="nil"/>
              <w:left w:val="nil"/>
              <w:bottom w:val="nil"/>
              <w:right w:val="nil"/>
            </w:tcBorders>
          </w:tcPr>
          <w:p w14:paraId="417F441A" w14:textId="3A01E672" w:rsidR="00110E68" w:rsidRPr="003E0493" w:rsidRDefault="003E2D3A"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386</w:t>
            </w:r>
            <w:r w:rsidR="009F70DE" w:rsidRPr="003E0493">
              <w:rPr>
                <w:rFonts w:asciiTheme="minorHAnsi" w:hAnsiTheme="minorHAnsi" w:cstheme="minorHAnsi"/>
                <w:color w:val="3333FF"/>
              </w:rPr>
              <w:t xml:space="preserve"> (</w:t>
            </w:r>
            <w:r w:rsidR="00B511C5" w:rsidRPr="003E0493">
              <w:rPr>
                <w:rFonts w:asciiTheme="minorHAnsi" w:hAnsiTheme="minorHAnsi" w:cstheme="minorHAnsi"/>
                <w:color w:val="3333FF"/>
              </w:rPr>
              <w:t>29.3</w:t>
            </w:r>
            <w:r w:rsidR="00892E19" w:rsidRPr="003E0493">
              <w:rPr>
                <w:rFonts w:asciiTheme="minorHAnsi" w:hAnsiTheme="minorHAnsi" w:cstheme="minorHAnsi"/>
                <w:color w:val="3333FF"/>
              </w:rPr>
              <w:t>%)</w:t>
            </w:r>
          </w:p>
        </w:tc>
        <w:tc>
          <w:tcPr>
            <w:tcW w:w="1053" w:type="pct"/>
            <w:tcBorders>
              <w:top w:val="nil"/>
              <w:left w:val="nil"/>
              <w:bottom w:val="nil"/>
              <w:right w:val="nil"/>
            </w:tcBorders>
          </w:tcPr>
          <w:p w14:paraId="4A645F5A" w14:textId="7916D496" w:rsidR="00110E68" w:rsidRPr="003E0493" w:rsidRDefault="00E666B5"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5</w:t>
            </w:r>
            <w:r w:rsidR="0001734A" w:rsidRPr="003E0493">
              <w:rPr>
                <w:rFonts w:asciiTheme="minorHAnsi" w:hAnsiTheme="minorHAnsi" w:cstheme="minorHAnsi"/>
                <w:color w:val="3333FF"/>
              </w:rPr>
              <w:t>3</w:t>
            </w:r>
            <w:r w:rsidRPr="003E0493">
              <w:rPr>
                <w:rFonts w:asciiTheme="minorHAnsi" w:hAnsiTheme="minorHAnsi" w:cstheme="minorHAnsi"/>
                <w:color w:val="3333FF"/>
              </w:rPr>
              <w:t xml:space="preserve"> (</w:t>
            </w:r>
            <w:r w:rsidR="006D7467" w:rsidRPr="003E0493">
              <w:rPr>
                <w:rFonts w:asciiTheme="minorHAnsi" w:hAnsiTheme="minorHAnsi" w:cstheme="minorHAnsi"/>
                <w:color w:val="3333FF"/>
              </w:rPr>
              <w:t>4.0</w:t>
            </w:r>
            <w:r w:rsidRPr="003E0493">
              <w:rPr>
                <w:rFonts w:asciiTheme="minorHAnsi" w:hAnsiTheme="minorHAnsi" w:cstheme="minorHAnsi"/>
                <w:color w:val="3333FF"/>
              </w:rPr>
              <w:t>%)</w:t>
            </w:r>
          </w:p>
        </w:tc>
        <w:tc>
          <w:tcPr>
            <w:tcW w:w="996" w:type="pct"/>
            <w:tcBorders>
              <w:top w:val="nil"/>
              <w:left w:val="nil"/>
              <w:bottom w:val="nil"/>
              <w:right w:val="nil"/>
            </w:tcBorders>
          </w:tcPr>
          <w:p w14:paraId="07AAEB99" w14:textId="4A285094" w:rsidR="00110E68" w:rsidRPr="003E0493" w:rsidRDefault="00294E64"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439</w:t>
            </w:r>
            <w:r w:rsidR="003668D9" w:rsidRPr="003E0493">
              <w:rPr>
                <w:rFonts w:asciiTheme="minorHAnsi" w:hAnsiTheme="minorHAnsi" w:cstheme="minorHAnsi"/>
                <w:color w:val="3333FF"/>
              </w:rPr>
              <w:t xml:space="preserve"> (3</w:t>
            </w:r>
            <w:r w:rsidR="00752DA7" w:rsidRPr="003E0493">
              <w:rPr>
                <w:rFonts w:asciiTheme="minorHAnsi" w:hAnsiTheme="minorHAnsi" w:cstheme="minorHAnsi"/>
                <w:color w:val="3333FF"/>
              </w:rPr>
              <w:t>3.</w:t>
            </w:r>
            <w:r w:rsidR="008F28CB" w:rsidRPr="003E0493">
              <w:rPr>
                <w:rFonts w:asciiTheme="minorHAnsi" w:hAnsiTheme="minorHAnsi" w:cstheme="minorHAnsi"/>
                <w:color w:val="3333FF"/>
              </w:rPr>
              <w:t>3</w:t>
            </w:r>
            <w:r w:rsidR="003668D9" w:rsidRPr="003E0493">
              <w:rPr>
                <w:rFonts w:asciiTheme="minorHAnsi" w:hAnsiTheme="minorHAnsi" w:cstheme="minorHAnsi"/>
                <w:color w:val="3333FF"/>
              </w:rPr>
              <w:t>)</w:t>
            </w:r>
          </w:p>
        </w:tc>
      </w:tr>
      <w:tr w:rsidR="00110E68" w:rsidRPr="003E0493" w14:paraId="1357171D" w14:textId="77777777" w:rsidTr="00C06DF6">
        <w:trPr>
          <w:trHeight w:val="20"/>
        </w:trPr>
        <w:tc>
          <w:tcPr>
            <w:tcW w:w="1286" w:type="pct"/>
            <w:tcBorders>
              <w:top w:val="nil"/>
              <w:left w:val="nil"/>
              <w:bottom w:val="nil"/>
              <w:right w:val="nil"/>
            </w:tcBorders>
            <w:hideMark/>
          </w:tcPr>
          <w:p w14:paraId="48142E17" w14:textId="34ED0F73" w:rsidR="00110E68" w:rsidRPr="003E0493" w:rsidRDefault="00110E68" w:rsidP="001D3F94">
            <w:pPr>
              <w:pStyle w:val="TableText"/>
              <w:rPr>
                <w:rFonts w:asciiTheme="minorHAnsi" w:hAnsiTheme="minorHAnsi" w:cstheme="minorHAnsi"/>
                <w:color w:val="3333FF"/>
              </w:rPr>
            </w:pPr>
            <w:r w:rsidRPr="003E0493">
              <w:rPr>
                <w:rFonts w:asciiTheme="minorHAnsi" w:hAnsiTheme="minorHAnsi" w:cstheme="minorHAnsi"/>
                <w:color w:val="3333FF"/>
              </w:rPr>
              <w:t>7th Decile (</w:t>
            </w:r>
            <w:r w:rsidRPr="003E0493">
              <w:rPr>
                <w:rFonts w:asciiTheme="minorHAnsi" w:hAnsiTheme="minorHAnsi" w:cstheme="minorHAnsi"/>
                <w:i/>
                <w:color w:val="3333FF"/>
              </w:rPr>
              <w:t>n</w:t>
            </w:r>
            <w:r w:rsidRPr="003E0493">
              <w:rPr>
                <w:rFonts w:asciiTheme="minorHAnsi" w:hAnsiTheme="minorHAnsi" w:cstheme="minorHAnsi"/>
                <w:color w:val="3333FF"/>
              </w:rPr>
              <w:t xml:space="preserve"> = </w:t>
            </w:r>
            <w:r w:rsidR="00FB4F5C" w:rsidRPr="003E0493">
              <w:rPr>
                <w:rFonts w:asciiTheme="minorHAnsi" w:hAnsiTheme="minorHAnsi" w:cstheme="minorHAnsi"/>
                <w:color w:val="3333FF"/>
              </w:rPr>
              <w:t xml:space="preserve">76 </w:t>
            </w:r>
            <w:r w:rsidRPr="003E0493">
              <w:rPr>
                <w:rFonts w:asciiTheme="minorHAnsi" w:hAnsiTheme="minorHAnsi" w:cstheme="minorHAnsi"/>
                <w:color w:val="3333FF"/>
              </w:rPr>
              <w:t xml:space="preserve">to </w:t>
            </w:r>
            <w:r w:rsidR="00FB4F5C" w:rsidRPr="003E0493">
              <w:rPr>
                <w:rFonts w:asciiTheme="minorHAnsi" w:hAnsiTheme="minorHAnsi" w:cstheme="minorHAnsi"/>
                <w:color w:val="3333FF"/>
              </w:rPr>
              <w:t>8</w:t>
            </w:r>
            <w:r w:rsidR="0009703F" w:rsidRPr="003E0493">
              <w:rPr>
                <w:rFonts w:asciiTheme="minorHAnsi" w:hAnsiTheme="minorHAnsi" w:cstheme="minorHAnsi"/>
                <w:color w:val="3333FF"/>
              </w:rPr>
              <w:t>6</w:t>
            </w:r>
            <w:r w:rsidRPr="003E0493">
              <w:rPr>
                <w:rFonts w:asciiTheme="minorHAnsi" w:hAnsiTheme="minorHAnsi" w:cstheme="minorHAnsi"/>
                <w:color w:val="3333FF"/>
              </w:rPr>
              <w:t>)</w:t>
            </w:r>
          </w:p>
        </w:tc>
        <w:tc>
          <w:tcPr>
            <w:tcW w:w="641" w:type="pct"/>
            <w:tcBorders>
              <w:top w:val="nil"/>
              <w:left w:val="nil"/>
              <w:bottom w:val="nil"/>
              <w:right w:val="nil"/>
            </w:tcBorders>
          </w:tcPr>
          <w:p w14:paraId="49390424" w14:textId="05767451" w:rsidR="00110E68" w:rsidRPr="003E0493" w:rsidRDefault="00C67534"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1,</w:t>
            </w:r>
            <w:r w:rsidR="002F04DE" w:rsidRPr="003E0493">
              <w:rPr>
                <w:rFonts w:asciiTheme="minorHAnsi" w:hAnsiTheme="minorHAnsi" w:cstheme="minorHAnsi"/>
                <w:color w:val="3333FF"/>
              </w:rPr>
              <w:t>553</w:t>
            </w:r>
          </w:p>
        </w:tc>
        <w:tc>
          <w:tcPr>
            <w:tcW w:w="1024" w:type="pct"/>
            <w:tcBorders>
              <w:top w:val="nil"/>
              <w:left w:val="nil"/>
              <w:bottom w:val="nil"/>
              <w:right w:val="nil"/>
            </w:tcBorders>
          </w:tcPr>
          <w:p w14:paraId="2B60C67A" w14:textId="10AA6FBD" w:rsidR="00110E68" w:rsidRPr="003E0493" w:rsidRDefault="00892E19"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4</w:t>
            </w:r>
            <w:r w:rsidR="003E2D3A" w:rsidRPr="003E0493">
              <w:rPr>
                <w:rFonts w:asciiTheme="minorHAnsi" w:hAnsiTheme="minorHAnsi" w:cstheme="minorHAnsi"/>
                <w:color w:val="3333FF"/>
              </w:rPr>
              <w:t>48</w:t>
            </w:r>
            <w:r w:rsidRPr="003E0493">
              <w:rPr>
                <w:rFonts w:asciiTheme="minorHAnsi" w:hAnsiTheme="minorHAnsi" w:cstheme="minorHAnsi"/>
                <w:color w:val="3333FF"/>
              </w:rPr>
              <w:t xml:space="preserve"> (</w:t>
            </w:r>
            <w:r w:rsidR="00B511C5" w:rsidRPr="003E0493">
              <w:rPr>
                <w:rFonts w:asciiTheme="minorHAnsi" w:hAnsiTheme="minorHAnsi" w:cstheme="minorHAnsi"/>
                <w:color w:val="3333FF"/>
              </w:rPr>
              <w:t>28.8</w:t>
            </w:r>
            <w:r w:rsidRPr="003E0493">
              <w:rPr>
                <w:rFonts w:asciiTheme="minorHAnsi" w:hAnsiTheme="minorHAnsi" w:cstheme="minorHAnsi"/>
                <w:color w:val="3333FF"/>
              </w:rPr>
              <w:t>%)</w:t>
            </w:r>
          </w:p>
        </w:tc>
        <w:tc>
          <w:tcPr>
            <w:tcW w:w="1053" w:type="pct"/>
            <w:tcBorders>
              <w:top w:val="nil"/>
              <w:left w:val="nil"/>
              <w:bottom w:val="nil"/>
              <w:right w:val="nil"/>
            </w:tcBorders>
          </w:tcPr>
          <w:p w14:paraId="3AAAF14A" w14:textId="1A8555E5" w:rsidR="00110E68" w:rsidRPr="003E0493" w:rsidRDefault="0001734A"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66</w:t>
            </w:r>
            <w:r w:rsidR="00E666B5" w:rsidRPr="003E0493">
              <w:rPr>
                <w:rFonts w:asciiTheme="minorHAnsi" w:hAnsiTheme="minorHAnsi" w:cstheme="minorHAnsi"/>
                <w:color w:val="3333FF"/>
              </w:rPr>
              <w:t xml:space="preserve"> (</w:t>
            </w:r>
            <w:r w:rsidR="006D7467" w:rsidRPr="003E0493">
              <w:rPr>
                <w:rFonts w:asciiTheme="minorHAnsi" w:hAnsiTheme="minorHAnsi" w:cstheme="minorHAnsi"/>
                <w:color w:val="3333FF"/>
              </w:rPr>
              <w:t>4.2</w:t>
            </w:r>
            <w:r w:rsidR="00E666B5" w:rsidRPr="003E0493">
              <w:rPr>
                <w:rFonts w:asciiTheme="minorHAnsi" w:hAnsiTheme="minorHAnsi" w:cstheme="minorHAnsi"/>
                <w:color w:val="3333FF"/>
              </w:rPr>
              <w:t>%)</w:t>
            </w:r>
          </w:p>
        </w:tc>
        <w:tc>
          <w:tcPr>
            <w:tcW w:w="996" w:type="pct"/>
            <w:tcBorders>
              <w:top w:val="nil"/>
              <w:left w:val="nil"/>
              <w:bottom w:val="nil"/>
              <w:right w:val="nil"/>
            </w:tcBorders>
          </w:tcPr>
          <w:p w14:paraId="4AF77BD9" w14:textId="25B92679" w:rsidR="00110E68" w:rsidRPr="003E0493" w:rsidRDefault="00294E64"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514</w:t>
            </w:r>
            <w:r w:rsidR="003668D9" w:rsidRPr="003E0493">
              <w:rPr>
                <w:rFonts w:asciiTheme="minorHAnsi" w:hAnsiTheme="minorHAnsi" w:cstheme="minorHAnsi"/>
                <w:color w:val="3333FF"/>
              </w:rPr>
              <w:t xml:space="preserve"> (3</w:t>
            </w:r>
            <w:r w:rsidR="00752DA7" w:rsidRPr="003E0493">
              <w:rPr>
                <w:rFonts w:asciiTheme="minorHAnsi" w:hAnsiTheme="minorHAnsi" w:cstheme="minorHAnsi"/>
                <w:color w:val="3333FF"/>
              </w:rPr>
              <w:t>3.1</w:t>
            </w:r>
            <w:r w:rsidR="003668D9" w:rsidRPr="003E0493">
              <w:rPr>
                <w:rFonts w:asciiTheme="minorHAnsi" w:hAnsiTheme="minorHAnsi" w:cstheme="minorHAnsi"/>
                <w:color w:val="3333FF"/>
              </w:rPr>
              <w:t>%)</w:t>
            </w:r>
          </w:p>
        </w:tc>
      </w:tr>
      <w:tr w:rsidR="00110E68" w:rsidRPr="003E0493" w14:paraId="0901B182" w14:textId="77777777" w:rsidTr="00C06DF6">
        <w:trPr>
          <w:trHeight w:val="20"/>
        </w:trPr>
        <w:tc>
          <w:tcPr>
            <w:tcW w:w="1286" w:type="pct"/>
            <w:tcBorders>
              <w:top w:val="nil"/>
              <w:left w:val="nil"/>
              <w:bottom w:val="nil"/>
              <w:right w:val="nil"/>
            </w:tcBorders>
            <w:hideMark/>
          </w:tcPr>
          <w:p w14:paraId="0F1E80DD" w14:textId="4B05B531" w:rsidR="00110E68" w:rsidRPr="003E0493" w:rsidRDefault="00110E68" w:rsidP="001D3F94">
            <w:pPr>
              <w:pStyle w:val="TableText"/>
              <w:rPr>
                <w:rFonts w:asciiTheme="minorHAnsi" w:hAnsiTheme="minorHAnsi" w:cstheme="minorHAnsi"/>
                <w:color w:val="3333FF"/>
              </w:rPr>
            </w:pPr>
            <w:r w:rsidRPr="003E0493">
              <w:rPr>
                <w:rFonts w:asciiTheme="minorHAnsi" w:hAnsiTheme="minorHAnsi" w:cstheme="minorHAnsi"/>
                <w:color w:val="3333FF"/>
              </w:rPr>
              <w:t>8th Decile (</w:t>
            </w:r>
            <w:r w:rsidRPr="003E0493">
              <w:rPr>
                <w:rFonts w:asciiTheme="minorHAnsi" w:hAnsiTheme="minorHAnsi" w:cstheme="minorHAnsi"/>
                <w:i/>
                <w:color w:val="3333FF"/>
              </w:rPr>
              <w:t>n</w:t>
            </w:r>
            <w:r w:rsidRPr="003E0493">
              <w:rPr>
                <w:rFonts w:asciiTheme="minorHAnsi" w:hAnsiTheme="minorHAnsi" w:cstheme="minorHAnsi"/>
                <w:color w:val="3333FF"/>
              </w:rPr>
              <w:t xml:space="preserve"> = </w:t>
            </w:r>
            <w:r w:rsidR="00FB4F5C" w:rsidRPr="003E0493">
              <w:rPr>
                <w:rFonts w:asciiTheme="minorHAnsi" w:hAnsiTheme="minorHAnsi" w:cstheme="minorHAnsi"/>
                <w:color w:val="3333FF"/>
              </w:rPr>
              <w:t>8</w:t>
            </w:r>
            <w:r w:rsidR="0009703F" w:rsidRPr="003E0493">
              <w:rPr>
                <w:rFonts w:asciiTheme="minorHAnsi" w:hAnsiTheme="minorHAnsi" w:cstheme="minorHAnsi"/>
                <w:color w:val="3333FF"/>
              </w:rPr>
              <w:t>7</w:t>
            </w:r>
            <w:r w:rsidR="00FB4F5C" w:rsidRPr="003E0493">
              <w:rPr>
                <w:rFonts w:asciiTheme="minorHAnsi" w:hAnsiTheme="minorHAnsi" w:cstheme="minorHAnsi"/>
                <w:color w:val="3333FF"/>
              </w:rPr>
              <w:t xml:space="preserve"> </w:t>
            </w:r>
            <w:r w:rsidRPr="003E0493">
              <w:rPr>
                <w:rFonts w:asciiTheme="minorHAnsi" w:hAnsiTheme="minorHAnsi" w:cstheme="minorHAnsi"/>
                <w:color w:val="3333FF"/>
              </w:rPr>
              <w:t xml:space="preserve">to </w:t>
            </w:r>
            <w:r w:rsidR="00FB4F5C" w:rsidRPr="003E0493">
              <w:rPr>
                <w:rFonts w:asciiTheme="minorHAnsi" w:hAnsiTheme="minorHAnsi" w:cstheme="minorHAnsi"/>
                <w:color w:val="3333FF"/>
              </w:rPr>
              <w:t>98</w:t>
            </w:r>
            <w:r w:rsidRPr="003E0493">
              <w:rPr>
                <w:rFonts w:asciiTheme="minorHAnsi" w:hAnsiTheme="minorHAnsi" w:cstheme="minorHAnsi"/>
                <w:color w:val="3333FF"/>
              </w:rPr>
              <w:t>)</w:t>
            </w:r>
          </w:p>
        </w:tc>
        <w:tc>
          <w:tcPr>
            <w:tcW w:w="641" w:type="pct"/>
            <w:tcBorders>
              <w:top w:val="nil"/>
              <w:left w:val="nil"/>
              <w:bottom w:val="nil"/>
              <w:right w:val="nil"/>
            </w:tcBorders>
          </w:tcPr>
          <w:p w14:paraId="20426326" w14:textId="3504EC59" w:rsidR="00110E68" w:rsidRPr="003E0493" w:rsidRDefault="00C67534"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1,</w:t>
            </w:r>
            <w:r w:rsidR="002F04DE" w:rsidRPr="003E0493">
              <w:rPr>
                <w:rFonts w:asciiTheme="minorHAnsi" w:hAnsiTheme="minorHAnsi" w:cstheme="minorHAnsi"/>
                <w:color w:val="3333FF"/>
              </w:rPr>
              <w:t>360</w:t>
            </w:r>
          </w:p>
        </w:tc>
        <w:tc>
          <w:tcPr>
            <w:tcW w:w="1024" w:type="pct"/>
            <w:tcBorders>
              <w:top w:val="nil"/>
              <w:left w:val="nil"/>
              <w:bottom w:val="nil"/>
              <w:right w:val="nil"/>
            </w:tcBorders>
          </w:tcPr>
          <w:p w14:paraId="2DE25982" w14:textId="40B7B798" w:rsidR="00110E68" w:rsidRPr="003E0493" w:rsidRDefault="00892E19"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3</w:t>
            </w:r>
            <w:r w:rsidR="007B3C75" w:rsidRPr="003E0493">
              <w:rPr>
                <w:rFonts w:asciiTheme="minorHAnsi" w:hAnsiTheme="minorHAnsi" w:cstheme="minorHAnsi"/>
                <w:color w:val="3333FF"/>
              </w:rPr>
              <w:t>61</w:t>
            </w:r>
            <w:r w:rsidRPr="003E0493">
              <w:rPr>
                <w:rFonts w:asciiTheme="minorHAnsi" w:hAnsiTheme="minorHAnsi" w:cstheme="minorHAnsi"/>
                <w:color w:val="3333FF"/>
              </w:rPr>
              <w:t xml:space="preserve"> (</w:t>
            </w:r>
            <w:r w:rsidR="00B511C5" w:rsidRPr="003E0493">
              <w:rPr>
                <w:rFonts w:asciiTheme="minorHAnsi" w:hAnsiTheme="minorHAnsi" w:cstheme="minorHAnsi"/>
                <w:color w:val="3333FF"/>
              </w:rPr>
              <w:t>26.5</w:t>
            </w:r>
            <w:r w:rsidRPr="003E0493">
              <w:rPr>
                <w:rFonts w:asciiTheme="minorHAnsi" w:hAnsiTheme="minorHAnsi" w:cstheme="minorHAnsi"/>
                <w:color w:val="3333FF"/>
              </w:rPr>
              <w:t>%)</w:t>
            </w:r>
          </w:p>
        </w:tc>
        <w:tc>
          <w:tcPr>
            <w:tcW w:w="1053" w:type="pct"/>
            <w:tcBorders>
              <w:top w:val="nil"/>
              <w:left w:val="nil"/>
              <w:bottom w:val="nil"/>
              <w:right w:val="nil"/>
            </w:tcBorders>
          </w:tcPr>
          <w:p w14:paraId="5F90AC9D" w14:textId="2F13F352" w:rsidR="00110E68" w:rsidRPr="003E0493" w:rsidRDefault="0001734A"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57</w:t>
            </w:r>
            <w:r w:rsidR="00E666B5" w:rsidRPr="003E0493">
              <w:rPr>
                <w:rFonts w:asciiTheme="minorHAnsi" w:hAnsiTheme="minorHAnsi" w:cstheme="minorHAnsi"/>
                <w:color w:val="3333FF"/>
              </w:rPr>
              <w:t xml:space="preserve"> (</w:t>
            </w:r>
            <w:r w:rsidR="006D7467" w:rsidRPr="003E0493">
              <w:rPr>
                <w:rFonts w:asciiTheme="minorHAnsi" w:hAnsiTheme="minorHAnsi" w:cstheme="minorHAnsi"/>
                <w:color w:val="3333FF"/>
              </w:rPr>
              <w:t>4.2</w:t>
            </w:r>
            <w:r w:rsidR="00E666B5" w:rsidRPr="003E0493">
              <w:rPr>
                <w:rFonts w:asciiTheme="minorHAnsi" w:hAnsiTheme="minorHAnsi" w:cstheme="minorHAnsi"/>
                <w:color w:val="3333FF"/>
              </w:rPr>
              <w:t>%)</w:t>
            </w:r>
          </w:p>
        </w:tc>
        <w:tc>
          <w:tcPr>
            <w:tcW w:w="996" w:type="pct"/>
            <w:tcBorders>
              <w:top w:val="nil"/>
              <w:left w:val="nil"/>
              <w:bottom w:val="nil"/>
              <w:right w:val="nil"/>
            </w:tcBorders>
          </w:tcPr>
          <w:p w14:paraId="4C3ADB73" w14:textId="298716D2" w:rsidR="00110E68" w:rsidRPr="003E0493" w:rsidRDefault="00500E52"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418</w:t>
            </w:r>
            <w:r w:rsidR="00B52614" w:rsidRPr="003E0493">
              <w:rPr>
                <w:rFonts w:asciiTheme="minorHAnsi" w:hAnsiTheme="minorHAnsi" w:cstheme="minorHAnsi"/>
                <w:color w:val="3333FF"/>
              </w:rPr>
              <w:t xml:space="preserve"> (</w:t>
            </w:r>
            <w:r w:rsidR="00691B70" w:rsidRPr="003E0493">
              <w:rPr>
                <w:rFonts w:asciiTheme="minorHAnsi" w:hAnsiTheme="minorHAnsi" w:cstheme="minorHAnsi"/>
                <w:color w:val="3333FF"/>
              </w:rPr>
              <w:t>30.7</w:t>
            </w:r>
            <w:r w:rsidR="00B52614" w:rsidRPr="003E0493">
              <w:rPr>
                <w:rFonts w:asciiTheme="minorHAnsi" w:hAnsiTheme="minorHAnsi" w:cstheme="minorHAnsi"/>
                <w:color w:val="3333FF"/>
              </w:rPr>
              <w:t>%)</w:t>
            </w:r>
          </w:p>
        </w:tc>
      </w:tr>
      <w:tr w:rsidR="00110E68" w:rsidRPr="003E0493" w14:paraId="02C3963F" w14:textId="77777777" w:rsidTr="00C06DF6">
        <w:trPr>
          <w:trHeight w:val="20"/>
        </w:trPr>
        <w:tc>
          <w:tcPr>
            <w:tcW w:w="1286" w:type="pct"/>
            <w:tcBorders>
              <w:top w:val="nil"/>
              <w:left w:val="nil"/>
              <w:bottom w:val="nil"/>
              <w:right w:val="nil"/>
            </w:tcBorders>
            <w:hideMark/>
          </w:tcPr>
          <w:p w14:paraId="21037CD4" w14:textId="7861C08C" w:rsidR="00110E68" w:rsidRPr="003E0493" w:rsidRDefault="00110E68" w:rsidP="001D3F94">
            <w:pPr>
              <w:pStyle w:val="TableText"/>
              <w:rPr>
                <w:rFonts w:asciiTheme="minorHAnsi" w:hAnsiTheme="minorHAnsi" w:cstheme="minorHAnsi"/>
                <w:color w:val="3333FF"/>
              </w:rPr>
            </w:pPr>
            <w:r w:rsidRPr="003E0493">
              <w:rPr>
                <w:rFonts w:asciiTheme="minorHAnsi" w:hAnsiTheme="minorHAnsi" w:cstheme="minorHAnsi"/>
                <w:color w:val="3333FF"/>
              </w:rPr>
              <w:t>9th Decile (</w:t>
            </w:r>
            <w:r w:rsidRPr="003E0493">
              <w:rPr>
                <w:rFonts w:asciiTheme="minorHAnsi" w:hAnsiTheme="minorHAnsi" w:cstheme="minorHAnsi"/>
                <w:i/>
                <w:color w:val="3333FF"/>
              </w:rPr>
              <w:t>n</w:t>
            </w:r>
            <w:r w:rsidRPr="003E0493">
              <w:rPr>
                <w:rFonts w:asciiTheme="minorHAnsi" w:hAnsiTheme="minorHAnsi" w:cstheme="minorHAnsi"/>
                <w:color w:val="3333FF"/>
              </w:rPr>
              <w:t xml:space="preserve"> = </w:t>
            </w:r>
            <w:r w:rsidR="00FB4F5C" w:rsidRPr="003E0493">
              <w:rPr>
                <w:rFonts w:asciiTheme="minorHAnsi" w:hAnsiTheme="minorHAnsi" w:cstheme="minorHAnsi"/>
                <w:color w:val="3333FF"/>
              </w:rPr>
              <w:t xml:space="preserve">99 </w:t>
            </w:r>
            <w:r w:rsidRPr="003E0493">
              <w:rPr>
                <w:rFonts w:asciiTheme="minorHAnsi" w:hAnsiTheme="minorHAnsi" w:cstheme="minorHAnsi"/>
                <w:color w:val="3333FF"/>
              </w:rPr>
              <w:t>to</w:t>
            </w:r>
            <w:r w:rsidR="006D6355" w:rsidRPr="003E0493">
              <w:rPr>
                <w:rFonts w:asciiTheme="minorHAnsi" w:hAnsiTheme="minorHAnsi" w:cstheme="minorHAnsi"/>
                <w:color w:val="3333FF"/>
              </w:rPr>
              <w:t xml:space="preserve"> </w:t>
            </w:r>
            <w:r w:rsidR="00FB4F5C" w:rsidRPr="003E0493">
              <w:rPr>
                <w:rFonts w:asciiTheme="minorHAnsi" w:hAnsiTheme="minorHAnsi" w:cstheme="minorHAnsi"/>
                <w:color w:val="3333FF"/>
              </w:rPr>
              <w:t>124</w:t>
            </w:r>
            <w:r w:rsidRPr="003E0493">
              <w:rPr>
                <w:rFonts w:asciiTheme="minorHAnsi" w:hAnsiTheme="minorHAnsi" w:cstheme="minorHAnsi"/>
                <w:color w:val="3333FF"/>
              </w:rPr>
              <w:t>)</w:t>
            </w:r>
          </w:p>
        </w:tc>
        <w:tc>
          <w:tcPr>
            <w:tcW w:w="641" w:type="pct"/>
            <w:tcBorders>
              <w:top w:val="nil"/>
              <w:left w:val="nil"/>
              <w:bottom w:val="nil"/>
              <w:right w:val="nil"/>
            </w:tcBorders>
          </w:tcPr>
          <w:p w14:paraId="1DD89820" w14:textId="3E834796" w:rsidR="00110E68" w:rsidRPr="003E0493" w:rsidRDefault="00C67534"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1,</w:t>
            </w:r>
            <w:r w:rsidR="0094590F" w:rsidRPr="003E0493">
              <w:rPr>
                <w:rFonts w:asciiTheme="minorHAnsi" w:hAnsiTheme="minorHAnsi" w:cstheme="minorHAnsi"/>
                <w:color w:val="3333FF"/>
              </w:rPr>
              <w:t>457</w:t>
            </w:r>
          </w:p>
        </w:tc>
        <w:tc>
          <w:tcPr>
            <w:tcW w:w="1024" w:type="pct"/>
            <w:tcBorders>
              <w:top w:val="nil"/>
              <w:left w:val="nil"/>
              <w:bottom w:val="nil"/>
              <w:right w:val="nil"/>
            </w:tcBorders>
          </w:tcPr>
          <w:p w14:paraId="1950C591" w14:textId="37C61893" w:rsidR="00110E68" w:rsidRPr="003E0493" w:rsidRDefault="00892E19"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5</w:t>
            </w:r>
            <w:r w:rsidR="007B3C75" w:rsidRPr="003E0493">
              <w:rPr>
                <w:rFonts w:asciiTheme="minorHAnsi" w:hAnsiTheme="minorHAnsi" w:cstheme="minorHAnsi"/>
                <w:color w:val="3333FF"/>
              </w:rPr>
              <w:t>49</w:t>
            </w:r>
            <w:r w:rsidRPr="003E0493">
              <w:rPr>
                <w:rFonts w:asciiTheme="minorHAnsi" w:hAnsiTheme="minorHAnsi" w:cstheme="minorHAnsi"/>
                <w:color w:val="3333FF"/>
              </w:rPr>
              <w:t xml:space="preserve"> (</w:t>
            </w:r>
            <w:r w:rsidR="00B511C5" w:rsidRPr="003E0493">
              <w:rPr>
                <w:rFonts w:asciiTheme="minorHAnsi" w:hAnsiTheme="minorHAnsi" w:cstheme="minorHAnsi"/>
                <w:color w:val="3333FF"/>
              </w:rPr>
              <w:t>37.7</w:t>
            </w:r>
            <w:r w:rsidRPr="003E0493">
              <w:rPr>
                <w:rFonts w:asciiTheme="minorHAnsi" w:hAnsiTheme="minorHAnsi" w:cstheme="minorHAnsi"/>
                <w:color w:val="3333FF"/>
              </w:rPr>
              <w:t>%)</w:t>
            </w:r>
          </w:p>
        </w:tc>
        <w:tc>
          <w:tcPr>
            <w:tcW w:w="1053" w:type="pct"/>
            <w:tcBorders>
              <w:top w:val="nil"/>
              <w:left w:val="nil"/>
              <w:bottom w:val="nil"/>
              <w:right w:val="nil"/>
            </w:tcBorders>
          </w:tcPr>
          <w:p w14:paraId="4AB7F928" w14:textId="6CF4EDE0" w:rsidR="00110E68" w:rsidRPr="003E0493" w:rsidRDefault="006B3D58"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48</w:t>
            </w:r>
            <w:r w:rsidR="00E666B5" w:rsidRPr="003E0493">
              <w:rPr>
                <w:rFonts w:asciiTheme="minorHAnsi" w:hAnsiTheme="minorHAnsi" w:cstheme="minorHAnsi"/>
                <w:color w:val="3333FF"/>
              </w:rPr>
              <w:t xml:space="preserve"> (</w:t>
            </w:r>
            <w:r w:rsidR="006D7467" w:rsidRPr="003E0493">
              <w:rPr>
                <w:rFonts w:asciiTheme="minorHAnsi" w:hAnsiTheme="minorHAnsi" w:cstheme="minorHAnsi"/>
                <w:color w:val="3333FF"/>
              </w:rPr>
              <w:t>3.3</w:t>
            </w:r>
            <w:r w:rsidR="00E666B5" w:rsidRPr="003E0493">
              <w:rPr>
                <w:rFonts w:asciiTheme="minorHAnsi" w:hAnsiTheme="minorHAnsi" w:cstheme="minorHAnsi"/>
                <w:color w:val="3333FF"/>
              </w:rPr>
              <w:t>%)</w:t>
            </w:r>
          </w:p>
        </w:tc>
        <w:tc>
          <w:tcPr>
            <w:tcW w:w="996" w:type="pct"/>
            <w:tcBorders>
              <w:top w:val="nil"/>
              <w:left w:val="nil"/>
              <w:bottom w:val="nil"/>
              <w:right w:val="nil"/>
            </w:tcBorders>
          </w:tcPr>
          <w:p w14:paraId="0EDE5730" w14:textId="1719FEAC" w:rsidR="00110E68" w:rsidRPr="003E0493" w:rsidRDefault="00500E52"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597</w:t>
            </w:r>
            <w:r w:rsidR="00B52614" w:rsidRPr="003E0493">
              <w:rPr>
                <w:rFonts w:asciiTheme="minorHAnsi" w:hAnsiTheme="minorHAnsi" w:cstheme="minorHAnsi"/>
                <w:color w:val="3333FF"/>
              </w:rPr>
              <w:t>(4</w:t>
            </w:r>
            <w:r w:rsidR="00691B70" w:rsidRPr="003E0493">
              <w:rPr>
                <w:rFonts w:asciiTheme="minorHAnsi" w:hAnsiTheme="minorHAnsi" w:cstheme="minorHAnsi"/>
                <w:color w:val="3333FF"/>
              </w:rPr>
              <w:t>1.0</w:t>
            </w:r>
            <w:r w:rsidR="00B52614" w:rsidRPr="003E0493">
              <w:rPr>
                <w:rFonts w:asciiTheme="minorHAnsi" w:hAnsiTheme="minorHAnsi" w:cstheme="minorHAnsi"/>
                <w:color w:val="3333FF"/>
              </w:rPr>
              <w:t>%)</w:t>
            </w:r>
          </w:p>
        </w:tc>
      </w:tr>
      <w:tr w:rsidR="00110E68" w:rsidRPr="003E0493" w14:paraId="7016825F" w14:textId="77777777" w:rsidTr="00C06DF6">
        <w:trPr>
          <w:trHeight w:val="20"/>
        </w:trPr>
        <w:tc>
          <w:tcPr>
            <w:tcW w:w="1286" w:type="pct"/>
            <w:tcBorders>
              <w:top w:val="nil"/>
              <w:left w:val="nil"/>
              <w:bottom w:val="nil"/>
              <w:right w:val="nil"/>
            </w:tcBorders>
            <w:hideMark/>
          </w:tcPr>
          <w:p w14:paraId="24679F24" w14:textId="5B4BB88A" w:rsidR="00110E68" w:rsidRPr="003E0493" w:rsidRDefault="00110E68" w:rsidP="001D3F94">
            <w:pPr>
              <w:pStyle w:val="TableText"/>
              <w:rPr>
                <w:rFonts w:asciiTheme="minorHAnsi" w:hAnsiTheme="minorHAnsi" w:cstheme="minorHAnsi"/>
                <w:color w:val="3333FF"/>
              </w:rPr>
            </w:pPr>
            <w:r w:rsidRPr="003E0493">
              <w:rPr>
                <w:rFonts w:asciiTheme="minorHAnsi" w:hAnsiTheme="minorHAnsi" w:cstheme="minorHAnsi"/>
                <w:color w:val="3333FF"/>
              </w:rPr>
              <w:t>10th Decile (</w:t>
            </w:r>
            <w:r w:rsidRPr="003E0493">
              <w:rPr>
                <w:rFonts w:asciiTheme="minorHAnsi" w:hAnsiTheme="minorHAnsi" w:cstheme="minorHAnsi"/>
                <w:i/>
                <w:color w:val="3333FF"/>
              </w:rPr>
              <w:t>n</w:t>
            </w:r>
            <w:r w:rsidRPr="003E0493">
              <w:rPr>
                <w:rFonts w:asciiTheme="minorHAnsi" w:hAnsiTheme="minorHAnsi" w:cstheme="minorHAnsi"/>
                <w:color w:val="3333FF"/>
              </w:rPr>
              <w:t xml:space="preserve"> = </w:t>
            </w:r>
            <w:r w:rsidR="00FB4F5C" w:rsidRPr="003E0493">
              <w:rPr>
                <w:rFonts w:asciiTheme="minorHAnsi" w:hAnsiTheme="minorHAnsi" w:cstheme="minorHAnsi"/>
                <w:color w:val="3333FF"/>
              </w:rPr>
              <w:t xml:space="preserve">125 </w:t>
            </w:r>
            <w:r w:rsidRPr="003E0493">
              <w:rPr>
                <w:rFonts w:asciiTheme="minorHAnsi" w:hAnsiTheme="minorHAnsi" w:cstheme="minorHAnsi"/>
                <w:color w:val="3333FF"/>
              </w:rPr>
              <w:t xml:space="preserve">to </w:t>
            </w:r>
            <w:r w:rsidR="00FB4F5C" w:rsidRPr="003E0493">
              <w:rPr>
                <w:rFonts w:asciiTheme="minorHAnsi" w:hAnsiTheme="minorHAnsi" w:cstheme="minorHAnsi"/>
                <w:color w:val="3333FF"/>
              </w:rPr>
              <w:t>7</w:t>
            </w:r>
            <w:r w:rsidR="006D6355" w:rsidRPr="003E0493">
              <w:rPr>
                <w:rFonts w:asciiTheme="minorHAnsi" w:hAnsiTheme="minorHAnsi" w:cstheme="minorHAnsi"/>
                <w:color w:val="3333FF"/>
              </w:rPr>
              <w:t>31</w:t>
            </w:r>
            <w:r w:rsidRPr="003E0493">
              <w:rPr>
                <w:rFonts w:asciiTheme="minorHAnsi" w:hAnsiTheme="minorHAnsi" w:cstheme="minorHAnsi"/>
                <w:color w:val="3333FF"/>
              </w:rPr>
              <w:t>)</w:t>
            </w:r>
          </w:p>
        </w:tc>
        <w:tc>
          <w:tcPr>
            <w:tcW w:w="641" w:type="pct"/>
            <w:tcBorders>
              <w:top w:val="nil"/>
              <w:left w:val="nil"/>
              <w:bottom w:val="nil"/>
              <w:right w:val="nil"/>
            </w:tcBorders>
          </w:tcPr>
          <w:p w14:paraId="36510105" w14:textId="02F37ED9" w:rsidR="00110E68" w:rsidRPr="003E0493" w:rsidRDefault="00C67534"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1,</w:t>
            </w:r>
            <w:r w:rsidR="0094590F" w:rsidRPr="003E0493">
              <w:rPr>
                <w:rFonts w:asciiTheme="minorHAnsi" w:hAnsiTheme="minorHAnsi" w:cstheme="minorHAnsi"/>
                <w:color w:val="3333FF"/>
              </w:rPr>
              <w:t>438</w:t>
            </w:r>
          </w:p>
        </w:tc>
        <w:tc>
          <w:tcPr>
            <w:tcW w:w="1024" w:type="pct"/>
            <w:tcBorders>
              <w:top w:val="nil"/>
              <w:left w:val="nil"/>
              <w:bottom w:val="nil"/>
              <w:right w:val="nil"/>
            </w:tcBorders>
          </w:tcPr>
          <w:p w14:paraId="5CA0FE99" w14:textId="768FEC4E" w:rsidR="00110E68" w:rsidRPr="003E0493" w:rsidRDefault="00892E19"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5</w:t>
            </w:r>
            <w:r w:rsidR="007B3C75" w:rsidRPr="003E0493">
              <w:rPr>
                <w:rFonts w:asciiTheme="minorHAnsi" w:hAnsiTheme="minorHAnsi" w:cstheme="minorHAnsi"/>
                <w:color w:val="3333FF"/>
              </w:rPr>
              <w:t>58</w:t>
            </w:r>
            <w:r w:rsidRPr="003E0493">
              <w:rPr>
                <w:rFonts w:asciiTheme="minorHAnsi" w:hAnsiTheme="minorHAnsi" w:cstheme="minorHAnsi"/>
                <w:color w:val="3333FF"/>
              </w:rPr>
              <w:t xml:space="preserve"> (</w:t>
            </w:r>
            <w:r w:rsidR="00B511C5" w:rsidRPr="003E0493">
              <w:rPr>
                <w:rFonts w:asciiTheme="minorHAnsi" w:hAnsiTheme="minorHAnsi" w:cstheme="minorHAnsi"/>
                <w:color w:val="3333FF"/>
              </w:rPr>
              <w:t>31.2</w:t>
            </w:r>
            <w:r w:rsidRPr="003E0493">
              <w:rPr>
                <w:rFonts w:asciiTheme="minorHAnsi" w:hAnsiTheme="minorHAnsi" w:cstheme="minorHAnsi"/>
                <w:color w:val="3333FF"/>
              </w:rPr>
              <w:t>%)</w:t>
            </w:r>
          </w:p>
        </w:tc>
        <w:tc>
          <w:tcPr>
            <w:tcW w:w="1053" w:type="pct"/>
            <w:tcBorders>
              <w:top w:val="nil"/>
              <w:left w:val="nil"/>
              <w:bottom w:val="nil"/>
              <w:right w:val="nil"/>
            </w:tcBorders>
          </w:tcPr>
          <w:p w14:paraId="27540EFF" w14:textId="5024564D" w:rsidR="00110E68" w:rsidRPr="003E0493" w:rsidRDefault="00E666B5"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6</w:t>
            </w:r>
            <w:r w:rsidR="006B3D58" w:rsidRPr="003E0493">
              <w:rPr>
                <w:rFonts w:asciiTheme="minorHAnsi" w:hAnsiTheme="minorHAnsi" w:cstheme="minorHAnsi"/>
                <w:color w:val="3333FF"/>
              </w:rPr>
              <w:t>7</w:t>
            </w:r>
            <w:r w:rsidRPr="003E0493">
              <w:rPr>
                <w:rFonts w:asciiTheme="minorHAnsi" w:hAnsiTheme="minorHAnsi" w:cstheme="minorHAnsi"/>
                <w:color w:val="3333FF"/>
              </w:rPr>
              <w:t xml:space="preserve"> (</w:t>
            </w:r>
            <w:r w:rsidR="006D7467" w:rsidRPr="003E0493">
              <w:rPr>
                <w:rFonts w:asciiTheme="minorHAnsi" w:hAnsiTheme="minorHAnsi" w:cstheme="minorHAnsi"/>
                <w:color w:val="3333FF"/>
              </w:rPr>
              <w:t>4.7</w:t>
            </w:r>
            <w:r w:rsidRPr="003E0493">
              <w:rPr>
                <w:rFonts w:asciiTheme="minorHAnsi" w:hAnsiTheme="minorHAnsi" w:cstheme="minorHAnsi"/>
                <w:color w:val="3333FF"/>
              </w:rPr>
              <w:t>%)</w:t>
            </w:r>
          </w:p>
        </w:tc>
        <w:tc>
          <w:tcPr>
            <w:tcW w:w="996" w:type="pct"/>
            <w:tcBorders>
              <w:top w:val="nil"/>
              <w:left w:val="nil"/>
              <w:bottom w:val="nil"/>
              <w:right w:val="nil"/>
            </w:tcBorders>
          </w:tcPr>
          <w:p w14:paraId="5ED01730" w14:textId="7E4EDCBF" w:rsidR="00110E68" w:rsidRPr="003E0493" w:rsidRDefault="005A1070" w:rsidP="001D3F94">
            <w:pPr>
              <w:pStyle w:val="TableText"/>
              <w:jc w:val="center"/>
              <w:rPr>
                <w:rFonts w:asciiTheme="minorHAnsi" w:hAnsiTheme="minorHAnsi" w:cstheme="minorHAnsi"/>
                <w:color w:val="3333FF"/>
              </w:rPr>
            </w:pPr>
            <w:r w:rsidRPr="003E0493">
              <w:rPr>
                <w:rFonts w:asciiTheme="minorHAnsi" w:hAnsiTheme="minorHAnsi" w:cstheme="minorHAnsi"/>
                <w:color w:val="3333FF"/>
              </w:rPr>
              <w:t>6</w:t>
            </w:r>
            <w:r w:rsidR="00C34D0D" w:rsidRPr="003E0493">
              <w:rPr>
                <w:rFonts w:asciiTheme="minorHAnsi" w:hAnsiTheme="minorHAnsi" w:cstheme="minorHAnsi"/>
                <w:color w:val="3333FF"/>
              </w:rPr>
              <w:t>25</w:t>
            </w:r>
            <w:r w:rsidR="008D10B7" w:rsidRPr="003E0493">
              <w:rPr>
                <w:rFonts w:asciiTheme="minorHAnsi" w:hAnsiTheme="minorHAnsi" w:cstheme="minorHAnsi"/>
                <w:color w:val="3333FF"/>
              </w:rPr>
              <w:t xml:space="preserve"> (4</w:t>
            </w:r>
            <w:r w:rsidR="00691B70" w:rsidRPr="003E0493">
              <w:rPr>
                <w:rFonts w:asciiTheme="minorHAnsi" w:hAnsiTheme="minorHAnsi" w:cstheme="minorHAnsi"/>
                <w:color w:val="3333FF"/>
              </w:rPr>
              <w:t>3.5</w:t>
            </w:r>
            <w:r w:rsidR="008D10B7" w:rsidRPr="003E0493">
              <w:rPr>
                <w:rFonts w:asciiTheme="minorHAnsi" w:hAnsiTheme="minorHAnsi" w:cstheme="minorHAnsi"/>
                <w:color w:val="3333FF"/>
              </w:rPr>
              <w:t>%)</w:t>
            </w:r>
          </w:p>
        </w:tc>
      </w:tr>
      <w:tr w:rsidR="00110E68" w:rsidRPr="00A146FE" w14:paraId="5A08E657" w14:textId="77777777" w:rsidTr="00C06DF6">
        <w:trPr>
          <w:cnfStyle w:val="010000000000" w:firstRow="0" w:lastRow="1" w:firstColumn="0" w:lastColumn="0" w:oddVBand="0" w:evenVBand="0" w:oddHBand="0" w:evenHBand="0" w:firstRowFirstColumn="0" w:firstRowLastColumn="0" w:lastRowFirstColumn="0" w:lastRowLastColumn="0"/>
          <w:trHeight w:val="20"/>
        </w:trPr>
        <w:tc>
          <w:tcPr>
            <w:tcW w:w="1286" w:type="pct"/>
            <w:tcBorders>
              <w:top w:val="nil"/>
              <w:left w:val="nil"/>
              <w:right w:val="nil"/>
            </w:tcBorders>
            <w:hideMark/>
          </w:tcPr>
          <w:p w14:paraId="2A9472F8" w14:textId="32777842" w:rsidR="00110E68" w:rsidRPr="00A146FE" w:rsidRDefault="00110E68" w:rsidP="001D3F94">
            <w:pPr>
              <w:pStyle w:val="TableText"/>
              <w:rPr>
                <w:rFonts w:asciiTheme="minorHAnsi" w:hAnsiTheme="minorHAnsi" w:cstheme="minorHAnsi"/>
                <w:b/>
                <w:bCs/>
                <w:color w:val="3333FF"/>
              </w:rPr>
            </w:pPr>
            <w:r w:rsidRPr="00A146FE">
              <w:rPr>
                <w:rFonts w:asciiTheme="minorHAnsi" w:hAnsiTheme="minorHAnsi" w:cstheme="minorHAnsi"/>
                <w:b/>
                <w:bCs/>
                <w:color w:val="3333FF"/>
              </w:rPr>
              <w:t>Total</w:t>
            </w:r>
            <w:r w:rsidR="00C67534" w:rsidRPr="00A146FE">
              <w:rPr>
                <w:rFonts w:asciiTheme="minorHAnsi" w:hAnsiTheme="minorHAnsi" w:cstheme="minorHAnsi"/>
                <w:b/>
                <w:bCs/>
                <w:color w:val="3333FF"/>
              </w:rPr>
              <w:t xml:space="preserve"> (</w:t>
            </w:r>
            <w:r w:rsidR="00C67534" w:rsidRPr="00A146FE">
              <w:rPr>
                <w:rFonts w:asciiTheme="minorHAnsi" w:hAnsiTheme="minorHAnsi" w:cstheme="minorHAnsi"/>
                <w:b/>
                <w:bCs/>
                <w:i/>
                <w:color w:val="3333FF"/>
              </w:rPr>
              <w:t>n</w:t>
            </w:r>
            <w:r w:rsidR="00C67534" w:rsidRPr="00A146FE">
              <w:rPr>
                <w:rFonts w:asciiTheme="minorHAnsi" w:hAnsiTheme="minorHAnsi" w:cstheme="minorHAnsi"/>
                <w:b/>
                <w:bCs/>
                <w:color w:val="3333FF"/>
              </w:rPr>
              <w:t xml:space="preserve"> = 20 to 7</w:t>
            </w:r>
            <w:r w:rsidR="0009703F" w:rsidRPr="00A146FE">
              <w:rPr>
                <w:rFonts w:asciiTheme="minorHAnsi" w:hAnsiTheme="minorHAnsi" w:cstheme="minorHAnsi"/>
                <w:b/>
                <w:bCs/>
                <w:color w:val="3333FF"/>
              </w:rPr>
              <w:t>31</w:t>
            </w:r>
            <w:r w:rsidR="00C67534" w:rsidRPr="00A146FE">
              <w:rPr>
                <w:rFonts w:asciiTheme="minorHAnsi" w:hAnsiTheme="minorHAnsi" w:cstheme="minorHAnsi"/>
                <w:b/>
                <w:bCs/>
                <w:color w:val="3333FF"/>
              </w:rPr>
              <w:t>)</w:t>
            </w:r>
          </w:p>
        </w:tc>
        <w:tc>
          <w:tcPr>
            <w:tcW w:w="641" w:type="pct"/>
            <w:tcBorders>
              <w:top w:val="nil"/>
              <w:left w:val="nil"/>
              <w:right w:val="nil"/>
            </w:tcBorders>
          </w:tcPr>
          <w:p w14:paraId="1C0B62B2" w14:textId="2C4D52F8" w:rsidR="00110E68" w:rsidRPr="00A146FE" w:rsidRDefault="00C67534" w:rsidP="001D3F94">
            <w:pPr>
              <w:pStyle w:val="TableText"/>
              <w:jc w:val="center"/>
              <w:rPr>
                <w:rFonts w:asciiTheme="minorHAnsi" w:hAnsiTheme="minorHAnsi" w:cstheme="minorHAnsi"/>
                <w:b/>
                <w:bCs/>
                <w:color w:val="3333FF"/>
              </w:rPr>
            </w:pPr>
            <w:r w:rsidRPr="00A146FE">
              <w:rPr>
                <w:rFonts w:asciiTheme="minorHAnsi" w:hAnsiTheme="minorHAnsi" w:cstheme="minorHAnsi"/>
                <w:b/>
                <w:bCs/>
                <w:color w:val="3333FF"/>
              </w:rPr>
              <w:t>14,5</w:t>
            </w:r>
            <w:r w:rsidR="009F67CD" w:rsidRPr="00A146FE">
              <w:rPr>
                <w:rFonts w:asciiTheme="minorHAnsi" w:hAnsiTheme="minorHAnsi" w:cstheme="minorHAnsi"/>
                <w:b/>
                <w:bCs/>
                <w:color w:val="3333FF"/>
              </w:rPr>
              <w:t>20</w:t>
            </w:r>
          </w:p>
        </w:tc>
        <w:tc>
          <w:tcPr>
            <w:tcW w:w="1024" w:type="pct"/>
            <w:tcBorders>
              <w:top w:val="nil"/>
              <w:left w:val="nil"/>
              <w:right w:val="nil"/>
            </w:tcBorders>
          </w:tcPr>
          <w:p w14:paraId="7BD60EE4" w14:textId="74638320" w:rsidR="00110E68" w:rsidRPr="00A146FE" w:rsidRDefault="00466092" w:rsidP="001D3F94">
            <w:pPr>
              <w:pStyle w:val="TableText"/>
              <w:jc w:val="center"/>
              <w:rPr>
                <w:rFonts w:asciiTheme="minorHAnsi" w:hAnsiTheme="minorHAnsi" w:cstheme="minorHAnsi"/>
                <w:b/>
                <w:bCs/>
                <w:color w:val="3333FF"/>
              </w:rPr>
            </w:pPr>
            <w:r w:rsidRPr="00A146FE">
              <w:rPr>
                <w:rFonts w:asciiTheme="minorHAnsi" w:hAnsiTheme="minorHAnsi" w:cstheme="minorHAnsi"/>
                <w:b/>
                <w:bCs/>
                <w:color w:val="3333FF"/>
              </w:rPr>
              <w:t>5,2</w:t>
            </w:r>
            <w:r w:rsidR="00A62651" w:rsidRPr="00A146FE">
              <w:rPr>
                <w:rFonts w:asciiTheme="minorHAnsi" w:hAnsiTheme="minorHAnsi" w:cstheme="minorHAnsi"/>
                <w:b/>
                <w:bCs/>
                <w:color w:val="3333FF"/>
              </w:rPr>
              <w:t>29</w:t>
            </w:r>
            <w:r w:rsidRPr="00A146FE">
              <w:rPr>
                <w:rFonts w:asciiTheme="minorHAnsi" w:hAnsiTheme="minorHAnsi" w:cstheme="minorHAnsi"/>
                <w:b/>
                <w:bCs/>
                <w:color w:val="3333FF"/>
              </w:rPr>
              <w:t xml:space="preserve"> (</w:t>
            </w:r>
            <w:r w:rsidR="00B511C5" w:rsidRPr="00A146FE">
              <w:rPr>
                <w:rFonts w:asciiTheme="minorHAnsi" w:hAnsiTheme="minorHAnsi" w:cstheme="minorHAnsi"/>
                <w:b/>
                <w:bCs/>
                <w:color w:val="3333FF"/>
              </w:rPr>
              <w:t>36</w:t>
            </w:r>
            <w:r w:rsidR="00CE0E28" w:rsidRPr="00A146FE">
              <w:rPr>
                <w:rFonts w:asciiTheme="minorHAnsi" w:hAnsiTheme="minorHAnsi" w:cstheme="minorHAnsi"/>
                <w:b/>
                <w:bCs/>
                <w:color w:val="3333FF"/>
              </w:rPr>
              <w:t>.0</w:t>
            </w:r>
            <w:r w:rsidR="001D324E" w:rsidRPr="00A146FE">
              <w:rPr>
                <w:rFonts w:asciiTheme="minorHAnsi" w:hAnsiTheme="minorHAnsi" w:cstheme="minorHAnsi"/>
                <w:b/>
                <w:bCs/>
                <w:color w:val="3333FF"/>
              </w:rPr>
              <w:t>%</w:t>
            </w:r>
            <w:r w:rsidRPr="00A146FE">
              <w:rPr>
                <w:rFonts w:asciiTheme="minorHAnsi" w:hAnsiTheme="minorHAnsi" w:cstheme="minorHAnsi"/>
                <w:b/>
                <w:bCs/>
                <w:color w:val="3333FF"/>
              </w:rPr>
              <w:t>)</w:t>
            </w:r>
          </w:p>
        </w:tc>
        <w:tc>
          <w:tcPr>
            <w:tcW w:w="1053" w:type="pct"/>
            <w:tcBorders>
              <w:top w:val="nil"/>
              <w:left w:val="nil"/>
              <w:right w:val="nil"/>
            </w:tcBorders>
          </w:tcPr>
          <w:p w14:paraId="5E0644ED" w14:textId="51DFB4CA" w:rsidR="00110E68" w:rsidRPr="00A146FE" w:rsidRDefault="006B3D58" w:rsidP="001D3F94">
            <w:pPr>
              <w:pStyle w:val="TableText"/>
              <w:jc w:val="center"/>
              <w:rPr>
                <w:rFonts w:asciiTheme="minorHAnsi" w:hAnsiTheme="minorHAnsi" w:cstheme="minorHAnsi"/>
                <w:b/>
                <w:bCs/>
                <w:color w:val="3333FF"/>
              </w:rPr>
            </w:pPr>
            <w:r w:rsidRPr="00A146FE">
              <w:rPr>
                <w:rFonts w:asciiTheme="minorHAnsi" w:hAnsiTheme="minorHAnsi" w:cstheme="minorHAnsi"/>
                <w:b/>
                <w:bCs/>
                <w:color w:val="3333FF"/>
              </w:rPr>
              <w:t>513</w:t>
            </w:r>
            <w:r w:rsidR="00E666B5" w:rsidRPr="00A146FE">
              <w:rPr>
                <w:rFonts w:asciiTheme="minorHAnsi" w:hAnsiTheme="minorHAnsi" w:cstheme="minorHAnsi"/>
                <w:b/>
                <w:bCs/>
                <w:color w:val="3333FF"/>
              </w:rPr>
              <w:t xml:space="preserve"> (</w:t>
            </w:r>
            <w:r w:rsidR="00AD7853" w:rsidRPr="00A146FE">
              <w:rPr>
                <w:rFonts w:asciiTheme="minorHAnsi" w:hAnsiTheme="minorHAnsi" w:cstheme="minorHAnsi"/>
                <w:b/>
                <w:bCs/>
                <w:color w:val="3333FF"/>
              </w:rPr>
              <w:t>3.5</w:t>
            </w:r>
            <w:r w:rsidR="00E666B5" w:rsidRPr="00A146FE">
              <w:rPr>
                <w:rFonts w:asciiTheme="minorHAnsi" w:hAnsiTheme="minorHAnsi" w:cstheme="minorHAnsi"/>
                <w:b/>
                <w:bCs/>
                <w:color w:val="3333FF"/>
              </w:rPr>
              <w:t>%)</w:t>
            </w:r>
          </w:p>
        </w:tc>
        <w:tc>
          <w:tcPr>
            <w:tcW w:w="996" w:type="pct"/>
            <w:tcBorders>
              <w:top w:val="nil"/>
              <w:left w:val="nil"/>
              <w:right w:val="nil"/>
            </w:tcBorders>
          </w:tcPr>
          <w:p w14:paraId="318F1AEE" w14:textId="1D88ABE1" w:rsidR="00110E68" w:rsidRPr="00A146FE" w:rsidRDefault="00D25646" w:rsidP="001D3F94">
            <w:pPr>
              <w:pStyle w:val="TableText"/>
              <w:jc w:val="center"/>
              <w:rPr>
                <w:rFonts w:asciiTheme="minorHAnsi" w:hAnsiTheme="minorHAnsi" w:cstheme="minorHAnsi"/>
                <w:b/>
                <w:bCs/>
                <w:color w:val="3333FF"/>
              </w:rPr>
            </w:pPr>
            <w:r w:rsidRPr="00A146FE">
              <w:rPr>
                <w:rFonts w:asciiTheme="minorHAnsi" w:hAnsiTheme="minorHAnsi" w:cstheme="minorHAnsi"/>
                <w:b/>
                <w:bCs/>
                <w:color w:val="3333FF"/>
              </w:rPr>
              <w:t>5,</w:t>
            </w:r>
            <w:r w:rsidR="00C34D0D" w:rsidRPr="00A146FE">
              <w:rPr>
                <w:rFonts w:asciiTheme="minorHAnsi" w:hAnsiTheme="minorHAnsi" w:cstheme="minorHAnsi"/>
                <w:b/>
                <w:bCs/>
                <w:color w:val="3333FF"/>
              </w:rPr>
              <w:t>742</w:t>
            </w:r>
            <w:r w:rsidR="008D10B7" w:rsidRPr="00A146FE">
              <w:rPr>
                <w:rFonts w:asciiTheme="minorHAnsi" w:hAnsiTheme="minorHAnsi" w:cstheme="minorHAnsi"/>
                <w:b/>
                <w:bCs/>
                <w:color w:val="3333FF"/>
              </w:rPr>
              <w:t xml:space="preserve"> (39.</w:t>
            </w:r>
            <w:r w:rsidR="00691B70" w:rsidRPr="00A146FE">
              <w:rPr>
                <w:rFonts w:asciiTheme="minorHAnsi" w:hAnsiTheme="minorHAnsi" w:cstheme="minorHAnsi"/>
                <w:b/>
                <w:bCs/>
                <w:color w:val="3333FF"/>
              </w:rPr>
              <w:t>5</w:t>
            </w:r>
            <w:r w:rsidR="008D10B7" w:rsidRPr="00A146FE">
              <w:rPr>
                <w:rFonts w:asciiTheme="minorHAnsi" w:hAnsiTheme="minorHAnsi" w:cstheme="minorHAnsi"/>
                <w:b/>
                <w:bCs/>
                <w:color w:val="3333FF"/>
              </w:rPr>
              <w:t>%)</w:t>
            </w:r>
          </w:p>
        </w:tc>
      </w:tr>
    </w:tbl>
    <w:p w14:paraId="2C6958A6" w14:textId="77777777" w:rsidR="00E2373F" w:rsidRDefault="00110E68" w:rsidP="00110E68">
      <w:pPr>
        <w:autoSpaceDE w:val="0"/>
        <w:autoSpaceDN w:val="0"/>
        <w:adjustRightInd w:val="0"/>
        <w:spacing w:after="0" w:line="240" w:lineRule="auto"/>
        <w:rPr>
          <w:rFonts w:cstheme="minorHAnsi"/>
          <w:bCs/>
          <w:color w:val="0000FF"/>
          <w:sz w:val="20"/>
          <w:szCs w:val="20"/>
        </w:rPr>
      </w:pPr>
      <w:bookmarkStart w:id="27" w:name="_Hlk15032158"/>
      <w:r w:rsidRPr="00944A38">
        <w:rPr>
          <w:rFonts w:cstheme="minorHAnsi"/>
          <w:bCs/>
          <w:color w:val="0000FF"/>
          <w:sz w:val="20"/>
          <w:szCs w:val="20"/>
        </w:rPr>
        <w:t xml:space="preserve">NOTE: </w:t>
      </w:r>
      <w:r w:rsidRPr="00944A38">
        <w:rPr>
          <w:rFonts w:cstheme="minorHAnsi"/>
          <w:bCs/>
          <w:i/>
          <w:iCs/>
          <w:color w:val="0000FF"/>
          <w:sz w:val="20"/>
          <w:szCs w:val="20"/>
        </w:rPr>
        <w:t xml:space="preserve">k </w:t>
      </w:r>
      <w:r w:rsidRPr="00944A38">
        <w:rPr>
          <w:rFonts w:cstheme="minorHAnsi"/>
          <w:bCs/>
          <w:color w:val="0000FF"/>
          <w:sz w:val="20"/>
          <w:szCs w:val="20"/>
        </w:rPr>
        <w:t xml:space="preserve">= number of facilities that meet minimum requirements for public reporting this quality measure. </w:t>
      </w:r>
    </w:p>
    <w:bookmarkEnd w:id="27"/>
    <w:p w14:paraId="77BE77E9" w14:textId="4CB73B43" w:rsidR="00110E68" w:rsidRPr="00A11604" w:rsidRDefault="00E2373F" w:rsidP="00110E68">
      <w:pPr>
        <w:autoSpaceDE w:val="0"/>
        <w:autoSpaceDN w:val="0"/>
        <w:adjustRightInd w:val="0"/>
        <w:spacing w:after="0" w:line="240" w:lineRule="auto"/>
        <w:rPr>
          <w:rFonts w:cstheme="minorHAnsi"/>
          <w:bCs/>
          <w:color w:val="0000FF"/>
          <w:sz w:val="20"/>
          <w:szCs w:val="20"/>
        </w:rPr>
      </w:pPr>
      <w:r>
        <w:rPr>
          <w:rFonts w:cstheme="minorHAnsi"/>
          <w:bCs/>
          <w:color w:val="0000FF"/>
          <w:sz w:val="20"/>
          <w:szCs w:val="20"/>
        </w:rPr>
        <w:t>Source</w:t>
      </w:r>
      <w:r w:rsidR="00110E68" w:rsidRPr="003A4C02">
        <w:rPr>
          <w:rFonts w:cstheme="minorHAnsi"/>
          <w:bCs/>
          <w:color w:val="0000FF"/>
          <w:sz w:val="20"/>
          <w:szCs w:val="20"/>
        </w:rPr>
        <w:t>: RTI analysis of Q</w:t>
      </w:r>
      <w:r w:rsidR="001865A8">
        <w:rPr>
          <w:rFonts w:cstheme="minorHAnsi"/>
          <w:bCs/>
          <w:color w:val="0000FF"/>
          <w:sz w:val="20"/>
          <w:szCs w:val="20"/>
        </w:rPr>
        <w:t>3,</w:t>
      </w:r>
      <w:r w:rsidR="00110E68" w:rsidRPr="003A4C02">
        <w:rPr>
          <w:rFonts w:cstheme="minorHAnsi"/>
          <w:bCs/>
          <w:color w:val="0000FF"/>
          <w:sz w:val="20"/>
          <w:szCs w:val="20"/>
        </w:rPr>
        <w:t xml:space="preserve"> </w:t>
      </w:r>
      <w:r w:rsidR="004C199E" w:rsidRPr="003A4C02">
        <w:rPr>
          <w:rFonts w:cstheme="minorHAnsi"/>
          <w:bCs/>
          <w:color w:val="0000FF"/>
          <w:sz w:val="20"/>
          <w:szCs w:val="20"/>
        </w:rPr>
        <w:t>201</w:t>
      </w:r>
      <w:r w:rsidR="004C199E">
        <w:rPr>
          <w:rFonts w:cstheme="minorHAnsi"/>
          <w:bCs/>
          <w:color w:val="0000FF"/>
          <w:sz w:val="20"/>
          <w:szCs w:val="20"/>
        </w:rPr>
        <w:t>8</w:t>
      </w:r>
      <w:r w:rsidR="004C199E" w:rsidRPr="003A4C02">
        <w:rPr>
          <w:rFonts w:cstheme="minorHAnsi"/>
          <w:bCs/>
          <w:color w:val="0000FF"/>
          <w:sz w:val="20"/>
          <w:szCs w:val="20"/>
        </w:rPr>
        <w:t xml:space="preserve"> </w:t>
      </w:r>
      <w:r w:rsidR="00110E68" w:rsidRPr="003A4C02">
        <w:rPr>
          <w:rFonts w:cstheme="minorHAnsi"/>
          <w:bCs/>
          <w:color w:val="0000FF"/>
          <w:sz w:val="20"/>
          <w:szCs w:val="20"/>
        </w:rPr>
        <w:t>MDS 3.0 data (</w:t>
      </w:r>
      <w:r w:rsidR="00110E68" w:rsidRPr="00A11604">
        <w:rPr>
          <w:rFonts w:cstheme="minorHAnsi"/>
          <w:bCs/>
          <w:color w:val="0000FF"/>
          <w:sz w:val="20"/>
          <w:szCs w:val="20"/>
        </w:rPr>
        <w:t xml:space="preserve">programming reference: </w:t>
      </w:r>
      <w:r w:rsidR="003A4C02" w:rsidRPr="00A11604">
        <w:rPr>
          <w:rFonts w:cstheme="minorHAnsi"/>
          <w:bCs/>
          <w:color w:val="0000FF"/>
          <w:sz w:val="20"/>
          <w:szCs w:val="20"/>
        </w:rPr>
        <w:t>KH</w:t>
      </w:r>
      <w:r w:rsidR="00E83961" w:rsidRPr="00A11604">
        <w:rPr>
          <w:rFonts w:cstheme="minorHAnsi"/>
          <w:bCs/>
          <w:color w:val="0000FF"/>
          <w:sz w:val="20"/>
          <w:szCs w:val="20"/>
        </w:rPr>
        <w:t>38</w:t>
      </w:r>
      <w:r w:rsidR="00110E68" w:rsidRPr="00A11604">
        <w:rPr>
          <w:rFonts w:cstheme="minorHAnsi"/>
          <w:bCs/>
          <w:color w:val="0000FF"/>
          <w:sz w:val="20"/>
          <w:szCs w:val="20"/>
        </w:rPr>
        <w:t>\</w:t>
      </w:r>
      <w:r w:rsidR="009D316F" w:rsidRPr="00A11604">
        <w:rPr>
          <w:rFonts w:cstheme="minorHAnsi"/>
          <w:bCs/>
          <w:color w:val="0000FF"/>
          <w:sz w:val="20"/>
          <w:szCs w:val="20"/>
        </w:rPr>
        <w:t>hf364_request_q3</w:t>
      </w:r>
      <w:r w:rsidR="00E83961" w:rsidRPr="00A11604">
        <w:rPr>
          <w:rFonts w:cstheme="minorHAnsi"/>
          <w:bCs/>
          <w:color w:val="0000FF"/>
          <w:sz w:val="20"/>
          <w:szCs w:val="20"/>
        </w:rPr>
        <w:t>1</w:t>
      </w:r>
      <w:r w:rsidR="009D316F" w:rsidRPr="00A11604">
        <w:rPr>
          <w:rFonts w:cstheme="minorHAnsi"/>
          <w:bCs/>
          <w:color w:val="0000FF"/>
          <w:sz w:val="20"/>
          <w:szCs w:val="20"/>
        </w:rPr>
        <w:t>3</w:t>
      </w:r>
      <w:r w:rsidR="00E83961" w:rsidRPr="00A11604">
        <w:rPr>
          <w:rFonts w:cstheme="minorHAnsi"/>
          <w:bCs/>
          <w:color w:val="0000FF"/>
          <w:sz w:val="20"/>
          <w:szCs w:val="20"/>
        </w:rPr>
        <w:t>2</w:t>
      </w:r>
      <w:r w:rsidR="009D316F" w:rsidRPr="00A11604">
        <w:rPr>
          <w:rFonts w:cstheme="minorHAnsi"/>
          <w:bCs/>
          <w:color w:val="0000FF"/>
          <w:sz w:val="20"/>
          <w:szCs w:val="20"/>
        </w:rPr>
        <w:t>_684.log</w:t>
      </w:r>
      <w:r w:rsidR="00F92B38" w:rsidRPr="00A11604">
        <w:rPr>
          <w:rFonts w:cstheme="minorHAnsi"/>
          <w:bCs/>
          <w:color w:val="0000FF"/>
          <w:sz w:val="20"/>
          <w:szCs w:val="20"/>
        </w:rPr>
        <w:t>)</w:t>
      </w:r>
      <w:r w:rsidR="003A4C02" w:rsidRPr="00A11604">
        <w:rPr>
          <w:rFonts w:cstheme="minorHAnsi"/>
          <w:bCs/>
          <w:color w:val="0000FF"/>
          <w:sz w:val="20"/>
          <w:szCs w:val="20"/>
        </w:rPr>
        <w:t xml:space="preserve"> </w:t>
      </w:r>
    </w:p>
    <w:p w14:paraId="6B46DD98" w14:textId="18AFF6A6" w:rsidR="00472E21" w:rsidRPr="00A11604" w:rsidRDefault="00472E21" w:rsidP="00110E68">
      <w:pPr>
        <w:autoSpaceDE w:val="0"/>
        <w:autoSpaceDN w:val="0"/>
        <w:adjustRightInd w:val="0"/>
        <w:spacing w:after="0" w:line="240" w:lineRule="auto"/>
        <w:rPr>
          <w:rFonts w:cstheme="minorHAnsi"/>
          <w:bCs/>
          <w:color w:val="0000FF"/>
          <w:sz w:val="20"/>
          <w:szCs w:val="20"/>
        </w:rPr>
      </w:pPr>
    </w:p>
    <w:p w14:paraId="3195FD78" w14:textId="44CBF079" w:rsidR="00472E21" w:rsidRDefault="00472E21" w:rsidP="003E0493">
      <w:pPr>
        <w:pStyle w:val="Response"/>
        <w:spacing w:before="0" w:after="0"/>
        <w:ind w:left="720" w:hanging="360"/>
      </w:pPr>
      <w:r w:rsidRPr="00A11604">
        <w:t xml:space="preserve">1.f. </w:t>
      </w:r>
      <w:r w:rsidR="00DC7905" w:rsidRPr="00A11604">
        <w:tab/>
      </w:r>
      <w:r w:rsidR="00163284" w:rsidRPr="00A11604">
        <w:rPr>
          <w:rFonts w:cstheme="minorBidi"/>
        </w:rPr>
        <w:t xml:space="preserve">Average </w:t>
      </w:r>
      <w:r w:rsidR="00201E2C">
        <w:rPr>
          <w:rFonts w:cstheme="minorBidi"/>
        </w:rPr>
        <w:t>c</w:t>
      </w:r>
      <w:r w:rsidR="00163284" w:rsidRPr="00A11604">
        <w:rPr>
          <w:rFonts w:cstheme="minorBidi"/>
        </w:rPr>
        <w:t xml:space="preserve">hange in </w:t>
      </w:r>
      <w:r w:rsidR="00201E2C">
        <w:rPr>
          <w:rFonts w:cstheme="minorBidi"/>
        </w:rPr>
        <w:t>p</w:t>
      </w:r>
      <w:r w:rsidR="00163284" w:rsidRPr="00A11604">
        <w:rPr>
          <w:rFonts w:cstheme="minorBidi"/>
        </w:rPr>
        <w:t xml:space="preserve">erformance </w:t>
      </w:r>
      <w:r w:rsidR="00201E2C">
        <w:rPr>
          <w:rFonts w:cstheme="minorBidi"/>
        </w:rPr>
        <w:t>a</w:t>
      </w:r>
      <w:r w:rsidR="00163284" w:rsidRPr="00A11604">
        <w:rPr>
          <w:rFonts w:cstheme="minorBidi"/>
        </w:rPr>
        <w:t xml:space="preserve">cross </w:t>
      </w:r>
      <w:r w:rsidR="00201E2C">
        <w:rPr>
          <w:rFonts w:cstheme="minorBidi"/>
        </w:rPr>
        <w:t>y</w:t>
      </w:r>
      <w:r w:rsidR="00163284" w:rsidRPr="00A11604">
        <w:rPr>
          <w:rFonts w:cstheme="minorBidi"/>
        </w:rPr>
        <w:t xml:space="preserve">ears: </w:t>
      </w:r>
      <w:r w:rsidR="00163284" w:rsidRPr="00A11604">
        <w:rPr>
          <w:b/>
          <w:i/>
        </w:rPr>
        <w:t>Table 3</w:t>
      </w:r>
      <w:r w:rsidR="00163284" w:rsidRPr="00A11604">
        <w:t xml:space="preserve"> presents the changes in provider performance scores from year to year, </w:t>
      </w:r>
      <w:r w:rsidR="001763D2">
        <w:t>fiscal year (</w:t>
      </w:r>
      <w:r w:rsidR="00B937A6" w:rsidRPr="00A11604">
        <w:t>FY</w:t>
      </w:r>
      <w:r w:rsidR="001763D2">
        <w:t>)</w:t>
      </w:r>
      <w:r w:rsidR="00B937A6" w:rsidRPr="00A11604">
        <w:t xml:space="preserve"> </w:t>
      </w:r>
      <w:r w:rsidR="00163284" w:rsidRPr="00A11604">
        <w:t>201</w:t>
      </w:r>
      <w:r w:rsidR="00B937A6" w:rsidRPr="00A11604">
        <w:t>4</w:t>
      </w:r>
      <w:r w:rsidR="00163284" w:rsidRPr="00A11604">
        <w:t xml:space="preserve"> –</w:t>
      </w:r>
      <w:r w:rsidR="00B937A6" w:rsidRPr="00A11604">
        <w:t xml:space="preserve"> FY </w:t>
      </w:r>
      <w:r w:rsidR="00163284" w:rsidRPr="00A11604">
        <w:t>201</w:t>
      </w:r>
      <w:r w:rsidR="00B937A6" w:rsidRPr="00A11604">
        <w:t>8</w:t>
      </w:r>
      <w:r w:rsidR="00163284" w:rsidRPr="00A11604">
        <w:t>. On average, provider scores changed by less than 0.01 percentage points on NQF #0684. Few facilities experienced</w:t>
      </w:r>
      <w:r w:rsidR="00163284">
        <w:t xml:space="preserve"> a change in performance by 0.</w:t>
      </w:r>
      <w:r w:rsidR="00566200">
        <w:t>0</w:t>
      </w:r>
      <w:r w:rsidR="00163284">
        <w:t xml:space="preserve">5 </w:t>
      </w:r>
      <w:r w:rsidR="00470283">
        <w:t xml:space="preserve">percentage points </w:t>
      </w:r>
      <w:r w:rsidR="00163284">
        <w:t>or greater and over 90% of provider scores changed by 0.0</w:t>
      </w:r>
      <w:r w:rsidR="00620C6E">
        <w:t>7</w:t>
      </w:r>
      <w:r w:rsidR="00163284">
        <w:t xml:space="preserve"> </w:t>
      </w:r>
      <w:r w:rsidR="00470283">
        <w:t xml:space="preserve">percentage </w:t>
      </w:r>
      <w:r w:rsidR="00163284">
        <w:t xml:space="preserve">points or </w:t>
      </w:r>
      <w:r w:rsidR="00470283">
        <w:t>fewer</w:t>
      </w:r>
      <w:r w:rsidR="00163284">
        <w:t xml:space="preserve"> between years. </w:t>
      </w:r>
      <w:r w:rsidR="001763D2" w:rsidRPr="002E247D">
        <w:rPr>
          <w:lang w:val="x-none"/>
        </w:rPr>
        <w:t xml:space="preserve">The mean </w:t>
      </w:r>
      <w:r w:rsidR="001763D2">
        <w:t xml:space="preserve">nursing home </w:t>
      </w:r>
      <w:r w:rsidR="001763D2" w:rsidRPr="002E247D">
        <w:rPr>
          <w:lang w:val="x-none"/>
        </w:rPr>
        <w:t xml:space="preserve">score change between FY 2017 and FY 2018 (the coding guideline changed at the beginning of FY 2018) </w:t>
      </w:r>
      <w:r w:rsidR="001763D2" w:rsidRPr="00281068">
        <w:rPr>
          <w:lang w:val="x-none"/>
        </w:rPr>
        <w:t>was 0.0</w:t>
      </w:r>
      <w:r w:rsidR="00281068">
        <w:t>07</w:t>
      </w:r>
      <w:r w:rsidR="00470283">
        <w:t xml:space="preserve"> percentage points</w:t>
      </w:r>
      <w:r w:rsidR="001763D2" w:rsidRPr="00281068">
        <w:rPr>
          <w:lang w:val="x-none"/>
        </w:rPr>
        <w:t>, which</w:t>
      </w:r>
      <w:r w:rsidR="001763D2" w:rsidRPr="002E247D">
        <w:rPr>
          <w:lang w:val="x-none"/>
        </w:rPr>
        <w:t xml:space="preserve"> is similar to previous mean facility</w:t>
      </w:r>
      <w:r w:rsidR="00470283">
        <w:t xml:space="preserve"> </w:t>
      </w:r>
      <w:r w:rsidR="001763D2" w:rsidRPr="002E247D">
        <w:rPr>
          <w:lang w:val="x-none"/>
        </w:rPr>
        <w:t>score changes between other years whe</w:t>
      </w:r>
      <w:r w:rsidR="00470283">
        <w:t>n</w:t>
      </w:r>
      <w:r w:rsidR="001763D2" w:rsidRPr="002E247D">
        <w:rPr>
          <w:lang w:val="x-none"/>
        </w:rPr>
        <w:t xml:space="preserve"> there was no change in clinical coding </w:t>
      </w:r>
      <w:r w:rsidR="001763D2" w:rsidRPr="00281068">
        <w:rPr>
          <w:lang w:val="x-none"/>
        </w:rPr>
        <w:t>guidelines (0.00</w:t>
      </w:r>
      <w:r w:rsidR="00281068" w:rsidRPr="00281068">
        <w:t>6</w:t>
      </w:r>
      <w:r w:rsidR="001763D2" w:rsidRPr="00281068">
        <w:rPr>
          <w:lang w:val="x-none"/>
        </w:rPr>
        <w:t xml:space="preserve"> – 0.00</w:t>
      </w:r>
      <w:r w:rsidR="00281068" w:rsidRPr="00281068">
        <w:t>9</w:t>
      </w:r>
      <w:r w:rsidR="001763D2" w:rsidRPr="00281068">
        <w:rPr>
          <w:lang w:val="x-none"/>
        </w:rPr>
        <w:t>).</w:t>
      </w:r>
      <w:r w:rsidR="001763D2" w:rsidRPr="002E247D">
        <w:rPr>
          <w:lang w:val="x-none"/>
        </w:rPr>
        <w:t xml:space="preserve"> </w:t>
      </w:r>
      <w:r w:rsidR="00281068">
        <w:t>Based on these findings, we include that t</w:t>
      </w:r>
      <w:r w:rsidR="00620C6E">
        <w:t>here was no substantial change in provider score differences between years, including years when clinical coding guidelin</w:t>
      </w:r>
      <w:r w:rsidR="00C61C89">
        <w:t>e</w:t>
      </w:r>
      <w:r w:rsidR="00620C6E">
        <w:t>s did change</w:t>
      </w:r>
      <w:r w:rsidR="00201E2C">
        <w:t xml:space="preserve"> (considering scores between FY 2017 and FY 2018, as the coding guideline changed at the beginning of FY 2018)</w:t>
      </w:r>
      <w:r w:rsidR="00620C6E">
        <w:t xml:space="preserve">. </w:t>
      </w:r>
      <w:r w:rsidR="00163284">
        <w:t xml:space="preserve">Thus, the output suggests that changes to the </w:t>
      </w:r>
      <w:r w:rsidR="00401A82">
        <w:t xml:space="preserve">clinical coding </w:t>
      </w:r>
      <w:r w:rsidR="00201E2C">
        <w:t>guidelines</w:t>
      </w:r>
      <w:r w:rsidR="00163284">
        <w:t xml:space="preserve"> did not have a substantial effect on provider performance and do not appear to be a threat to the validity of NQF #0684.</w:t>
      </w:r>
    </w:p>
    <w:p w14:paraId="5307D962" w14:textId="0DDD7E00" w:rsidR="005C597D" w:rsidRPr="00F962D9" w:rsidRDefault="005C597D" w:rsidP="003E0493">
      <w:pPr>
        <w:pStyle w:val="FigureTitle"/>
        <w:spacing w:before="240"/>
      </w:pPr>
      <w:r w:rsidRPr="007145EF">
        <w:lastRenderedPageBreak/>
        <w:t>Table 3.</w:t>
      </w:r>
      <w:r w:rsidRPr="00F962D9">
        <w:t xml:space="preserve"> Distribution of</w:t>
      </w:r>
      <w:r>
        <w:t xml:space="preserve"> </w:t>
      </w:r>
      <w:r w:rsidR="005D3C89">
        <w:t>D</w:t>
      </w:r>
      <w:r>
        <w:t xml:space="preserve">ifferences in </w:t>
      </w:r>
      <w:r w:rsidR="005D3C89">
        <w:t>F</w:t>
      </w:r>
      <w:r>
        <w:t xml:space="preserve">acility </w:t>
      </w:r>
      <w:r w:rsidR="005D3C89">
        <w:t>P</w:t>
      </w:r>
      <w:r>
        <w:t xml:space="preserve">erformance </w:t>
      </w:r>
      <w:r w:rsidR="005D3C89">
        <w:t>S</w:t>
      </w:r>
      <w:r>
        <w:t>cores on</w:t>
      </w:r>
      <w:r w:rsidRPr="00F962D9">
        <w:t xml:space="preserve"> </w:t>
      </w:r>
      <w:r w:rsidRPr="00B57C79">
        <w:t>NQF #068</w:t>
      </w:r>
      <w:r w:rsidR="00651D3E">
        <w:t>4</w:t>
      </w:r>
      <w:r w:rsidRPr="00B57C79">
        <w:t xml:space="preserve"> Percent of Residents </w:t>
      </w:r>
      <w:r w:rsidR="00651D3E">
        <w:t>with a Urinary Tract Infection</w:t>
      </w:r>
      <w:r w:rsidRPr="00B57C79">
        <w:t xml:space="preserve"> (Long Stay)</w:t>
      </w:r>
      <w:r w:rsidRPr="00B57C79" w:rsidDel="009D05B3">
        <w:t xml:space="preserve"> </w:t>
      </w:r>
      <w:r w:rsidR="005D3C89">
        <w:t>A</w:t>
      </w:r>
      <w:r>
        <w:t xml:space="preserve">cross </w:t>
      </w:r>
      <w:r w:rsidR="005D3C89">
        <w:t>Y</w:t>
      </w:r>
      <w:r>
        <w:t xml:space="preserve">ears, </w:t>
      </w:r>
      <w:r w:rsidR="009868EF">
        <w:t xml:space="preserve">FY </w:t>
      </w:r>
      <w:r>
        <w:t>201</w:t>
      </w:r>
      <w:r w:rsidR="009868EF">
        <w:t>4</w:t>
      </w:r>
      <w:r>
        <w:t xml:space="preserve"> – 201</w:t>
      </w:r>
      <w:r w:rsidR="009868EF">
        <w:t>8</w:t>
      </w:r>
    </w:p>
    <w:tbl>
      <w:tblPr>
        <w:tblStyle w:val="CMSTable"/>
        <w:tblW w:w="5015" w:type="pct"/>
        <w:tblBorders>
          <w:bottom w:val="single" w:sz="12" w:space="0" w:color="auto"/>
        </w:tblBorders>
        <w:tblLayout w:type="fixed"/>
        <w:tblLook w:val="05E0" w:firstRow="1" w:lastRow="1" w:firstColumn="1" w:lastColumn="1" w:noHBand="0" w:noVBand="1"/>
      </w:tblPr>
      <w:tblGrid>
        <w:gridCol w:w="1088"/>
        <w:gridCol w:w="693"/>
        <w:gridCol w:w="593"/>
        <w:gridCol w:w="591"/>
        <w:gridCol w:w="655"/>
        <w:gridCol w:w="528"/>
        <w:gridCol w:w="674"/>
        <w:gridCol w:w="644"/>
        <w:gridCol w:w="586"/>
        <w:gridCol w:w="610"/>
        <w:gridCol w:w="591"/>
        <w:gridCol w:w="526"/>
        <w:gridCol w:w="614"/>
        <w:gridCol w:w="505"/>
        <w:gridCol w:w="490"/>
      </w:tblGrid>
      <w:tr w:rsidR="001F06C3" w:rsidRPr="009B5870" w14:paraId="117AC144" w14:textId="77777777" w:rsidTr="00E2379F">
        <w:trPr>
          <w:cnfStyle w:val="100000000000" w:firstRow="1" w:lastRow="0" w:firstColumn="0" w:lastColumn="0" w:oddVBand="0" w:evenVBand="0" w:oddHBand="0" w:evenHBand="0" w:firstRowFirstColumn="0" w:firstRowLastColumn="0" w:lastRowFirstColumn="0" w:lastRowLastColumn="0"/>
          <w:trHeight w:val="377"/>
        </w:trPr>
        <w:tc>
          <w:tcPr>
            <w:tcW w:w="579" w:type="pct"/>
            <w:tcBorders>
              <w:top w:val="none" w:sz="0" w:space="0" w:color="auto"/>
              <w:bottom w:val="none" w:sz="0" w:space="0" w:color="auto"/>
            </w:tcBorders>
            <w:vAlign w:val="center"/>
          </w:tcPr>
          <w:p w14:paraId="6F2B6CD3" w14:textId="77777777" w:rsidR="005C597D" w:rsidRPr="005247F0" w:rsidRDefault="005C597D" w:rsidP="00A146FE">
            <w:pPr>
              <w:keepNext/>
              <w:spacing w:before="40" w:after="40"/>
              <w:rPr>
                <w:iCs/>
                <w:snapToGrid w:val="0"/>
                <w:color w:val="0000FF"/>
                <w:sz w:val="18"/>
                <w:szCs w:val="18"/>
              </w:rPr>
            </w:pPr>
          </w:p>
        </w:tc>
        <w:tc>
          <w:tcPr>
            <w:tcW w:w="369" w:type="pct"/>
            <w:tcBorders>
              <w:top w:val="none" w:sz="0" w:space="0" w:color="auto"/>
              <w:bottom w:val="none" w:sz="0" w:space="0" w:color="auto"/>
            </w:tcBorders>
            <w:vAlign w:val="center"/>
          </w:tcPr>
          <w:p w14:paraId="6FFACDE4" w14:textId="77777777" w:rsidR="005C597D" w:rsidRPr="009B5870" w:rsidRDefault="005C597D" w:rsidP="00A146FE">
            <w:pPr>
              <w:keepNext/>
              <w:spacing w:before="40" w:after="40"/>
              <w:rPr>
                <w:i/>
                <w:iCs/>
                <w:snapToGrid w:val="0"/>
                <w:color w:val="0000FF"/>
                <w:sz w:val="18"/>
                <w:szCs w:val="18"/>
              </w:rPr>
            </w:pPr>
          </w:p>
        </w:tc>
        <w:tc>
          <w:tcPr>
            <w:tcW w:w="316" w:type="pct"/>
            <w:tcBorders>
              <w:top w:val="none" w:sz="0" w:space="0" w:color="auto"/>
              <w:bottom w:val="none" w:sz="0" w:space="0" w:color="auto"/>
            </w:tcBorders>
            <w:vAlign w:val="center"/>
          </w:tcPr>
          <w:p w14:paraId="03B98BC2" w14:textId="77777777" w:rsidR="005C597D" w:rsidRPr="009B5870" w:rsidRDefault="005C597D" w:rsidP="00A146FE">
            <w:pPr>
              <w:keepNext/>
              <w:spacing w:before="40" w:after="40"/>
              <w:rPr>
                <w:snapToGrid w:val="0"/>
                <w:color w:val="0000FF"/>
                <w:sz w:val="18"/>
                <w:szCs w:val="18"/>
              </w:rPr>
            </w:pPr>
          </w:p>
        </w:tc>
        <w:tc>
          <w:tcPr>
            <w:tcW w:w="315" w:type="pct"/>
            <w:tcBorders>
              <w:top w:val="none" w:sz="0" w:space="0" w:color="auto"/>
              <w:bottom w:val="none" w:sz="0" w:space="0" w:color="auto"/>
            </w:tcBorders>
            <w:vAlign w:val="center"/>
          </w:tcPr>
          <w:p w14:paraId="0033428F" w14:textId="77777777" w:rsidR="005C597D" w:rsidRPr="009B5870" w:rsidRDefault="005C597D" w:rsidP="00A146FE">
            <w:pPr>
              <w:keepNext/>
              <w:spacing w:before="40" w:after="40"/>
              <w:rPr>
                <w:snapToGrid w:val="0"/>
                <w:color w:val="0000FF"/>
                <w:sz w:val="18"/>
                <w:szCs w:val="18"/>
              </w:rPr>
            </w:pPr>
          </w:p>
        </w:tc>
        <w:tc>
          <w:tcPr>
            <w:tcW w:w="349" w:type="pct"/>
            <w:tcBorders>
              <w:top w:val="none" w:sz="0" w:space="0" w:color="auto"/>
              <w:bottom w:val="none" w:sz="0" w:space="0" w:color="auto"/>
            </w:tcBorders>
            <w:vAlign w:val="center"/>
          </w:tcPr>
          <w:p w14:paraId="498D1A73" w14:textId="77777777" w:rsidR="005C597D" w:rsidRPr="009B5870" w:rsidRDefault="005C597D" w:rsidP="00A146FE">
            <w:pPr>
              <w:keepNext/>
              <w:spacing w:before="40" w:after="40"/>
              <w:rPr>
                <w:snapToGrid w:val="0"/>
                <w:color w:val="0000FF"/>
                <w:sz w:val="18"/>
                <w:szCs w:val="18"/>
              </w:rPr>
            </w:pPr>
          </w:p>
        </w:tc>
        <w:tc>
          <w:tcPr>
            <w:tcW w:w="2810" w:type="pct"/>
            <w:gridSpan w:val="9"/>
            <w:tcBorders>
              <w:bottom w:val="single" w:sz="4" w:space="0" w:color="auto"/>
            </w:tcBorders>
            <w:vAlign w:val="center"/>
          </w:tcPr>
          <w:p w14:paraId="453C97F4" w14:textId="77777777" w:rsidR="005C597D" w:rsidRDefault="005C597D" w:rsidP="00A146FE">
            <w:pPr>
              <w:keepNext/>
              <w:spacing w:before="40" w:after="40"/>
              <w:rPr>
                <w:snapToGrid w:val="0"/>
                <w:color w:val="0000FF"/>
                <w:sz w:val="18"/>
                <w:szCs w:val="18"/>
              </w:rPr>
            </w:pPr>
            <w:r>
              <w:rPr>
                <w:snapToGrid w:val="0"/>
                <w:color w:val="0000FF"/>
                <w:sz w:val="18"/>
                <w:szCs w:val="18"/>
              </w:rPr>
              <w:t>Percentiles</w:t>
            </w:r>
          </w:p>
        </w:tc>
        <w:tc>
          <w:tcPr>
            <w:tcW w:w="262" w:type="pct"/>
            <w:tcBorders>
              <w:top w:val="none" w:sz="0" w:space="0" w:color="auto"/>
              <w:bottom w:val="none" w:sz="0" w:space="0" w:color="auto"/>
            </w:tcBorders>
            <w:vAlign w:val="center"/>
          </w:tcPr>
          <w:p w14:paraId="409E3C44" w14:textId="77777777" w:rsidR="005C597D" w:rsidRDefault="005C597D" w:rsidP="00A146FE">
            <w:pPr>
              <w:keepNext/>
              <w:spacing w:before="40" w:after="40"/>
              <w:rPr>
                <w:snapToGrid w:val="0"/>
                <w:color w:val="0000FF"/>
                <w:sz w:val="18"/>
                <w:szCs w:val="18"/>
              </w:rPr>
            </w:pPr>
          </w:p>
        </w:tc>
      </w:tr>
      <w:tr w:rsidR="001F06C3" w:rsidRPr="009B5870" w14:paraId="04834E22" w14:textId="77777777" w:rsidTr="00E2379F">
        <w:trPr>
          <w:trHeight w:val="462"/>
        </w:trPr>
        <w:tc>
          <w:tcPr>
            <w:tcW w:w="579" w:type="pct"/>
            <w:tcBorders>
              <w:bottom w:val="single" w:sz="4" w:space="0" w:color="auto"/>
            </w:tcBorders>
            <w:vAlign w:val="center"/>
          </w:tcPr>
          <w:p w14:paraId="2D5508E6" w14:textId="77777777" w:rsidR="005C597D" w:rsidRDefault="005C597D" w:rsidP="00A146FE">
            <w:pPr>
              <w:keepNext/>
              <w:spacing w:before="40" w:after="40"/>
              <w:jc w:val="center"/>
              <w:rPr>
                <w:iCs/>
                <w:snapToGrid w:val="0"/>
                <w:color w:val="0000FF"/>
                <w:sz w:val="18"/>
                <w:szCs w:val="18"/>
              </w:rPr>
            </w:pPr>
            <w:r>
              <w:rPr>
                <w:iCs/>
                <w:snapToGrid w:val="0"/>
                <w:color w:val="0000FF"/>
                <w:sz w:val="18"/>
                <w:szCs w:val="18"/>
              </w:rPr>
              <w:t>Difference</w:t>
            </w:r>
          </w:p>
        </w:tc>
        <w:tc>
          <w:tcPr>
            <w:tcW w:w="369" w:type="pct"/>
            <w:tcBorders>
              <w:bottom w:val="single" w:sz="4" w:space="0" w:color="auto"/>
            </w:tcBorders>
            <w:vAlign w:val="center"/>
          </w:tcPr>
          <w:p w14:paraId="32432610" w14:textId="7D8B5D98" w:rsidR="005C597D" w:rsidRPr="00F026B3" w:rsidRDefault="005D719E" w:rsidP="00A146FE">
            <w:pPr>
              <w:keepNext/>
              <w:spacing w:before="40" w:after="40"/>
              <w:jc w:val="center"/>
              <w:rPr>
                <w:i/>
                <w:iCs/>
                <w:snapToGrid w:val="0"/>
                <w:color w:val="0000FF"/>
                <w:sz w:val="18"/>
                <w:szCs w:val="18"/>
              </w:rPr>
            </w:pPr>
            <w:r w:rsidRPr="00F026B3">
              <w:rPr>
                <w:i/>
                <w:iCs/>
                <w:snapToGrid w:val="0"/>
                <w:color w:val="0000FF"/>
                <w:sz w:val="18"/>
                <w:szCs w:val="18"/>
              </w:rPr>
              <w:t>K</w:t>
            </w:r>
          </w:p>
        </w:tc>
        <w:tc>
          <w:tcPr>
            <w:tcW w:w="316" w:type="pct"/>
            <w:tcBorders>
              <w:bottom w:val="single" w:sz="4" w:space="0" w:color="auto"/>
            </w:tcBorders>
            <w:vAlign w:val="center"/>
          </w:tcPr>
          <w:p w14:paraId="55180ABA" w14:textId="77777777" w:rsidR="005C597D" w:rsidRDefault="005C597D" w:rsidP="00A146FE">
            <w:pPr>
              <w:keepNext/>
              <w:spacing w:before="40" w:after="40"/>
              <w:jc w:val="center"/>
              <w:rPr>
                <w:snapToGrid w:val="0"/>
                <w:color w:val="0000FF"/>
                <w:sz w:val="18"/>
                <w:szCs w:val="18"/>
              </w:rPr>
            </w:pPr>
            <w:r>
              <w:rPr>
                <w:snapToGrid w:val="0"/>
                <w:color w:val="0000FF"/>
                <w:sz w:val="18"/>
                <w:szCs w:val="18"/>
              </w:rPr>
              <w:t>Mean</w:t>
            </w:r>
          </w:p>
        </w:tc>
        <w:tc>
          <w:tcPr>
            <w:tcW w:w="315" w:type="pct"/>
            <w:tcBorders>
              <w:bottom w:val="single" w:sz="4" w:space="0" w:color="auto"/>
            </w:tcBorders>
            <w:vAlign w:val="center"/>
          </w:tcPr>
          <w:p w14:paraId="16607663" w14:textId="77777777" w:rsidR="005C597D" w:rsidRPr="009B5870" w:rsidRDefault="005C597D" w:rsidP="00A146FE">
            <w:pPr>
              <w:keepNext/>
              <w:spacing w:before="40" w:after="40"/>
              <w:jc w:val="center"/>
              <w:rPr>
                <w:snapToGrid w:val="0"/>
                <w:color w:val="0000FF"/>
                <w:sz w:val="18"/>
                <w:szCs w:val="18"/>
              </w:rPr>
            </w:pPr>
            <w:r w:rsidRPr="009B5870">
              <w:rPr>
                <w:snapToGrid w:val="0"/>
                <w:color w:val="0000FF"/>
                <w:sz w:val="18"/>
                <w:szCs w:val="18"/>
              </w:rPr>
              <w:t>S</w:t>
            </w:r>
            <w:r>
              <w:rPr>
                <w:snapToGrid w:val="0"/>
                <w:color w:val="0000FF"/>
                <w:sz w:val="18"/>
                <w:szCs w:val="18"/>
              </w:rPr>
              <w:t>.D.</w:t>
            </w:r>
          </w:p>
        </w:tc>
        <w:tc>
          <w:tcPr>
            <w:tcW w:w="349" w:type="pct"/>
            <w:tcBorders>
              <w:bottom w:val="single" w:sz="4" w:space="0" w:color="auto"/>
            </w:tcBorders>
            <w:vAlign w:val="center"/>
          </w:tcPr>
          <w:p w14:paraId="0DAA6E43" w14:textId="77777777" w:rsidR="005C597D" w:rsidRDefault="005C597D" w:rsidP="00A146FE">
            <w:pPr>
              <w:keepNext/>
              <w:spacing w:before="40" w:after="40"/>
              <w:jc w:val="center"/>
              <w:rPr>
                <w:snapToGrid w:val="0"/>
                <w:color w:val="0000FF"/>
                <w:sz w:val="18"/>
                <w:szCs w:val="18"/>
              </w:rPr>
            </w:pPr>
            <w:r>
              <w:rPr>
                <w:snapToGrid w:val="0"/>
                <w:color w:val="0000FF"/>
                <w:sz w:val="18"/>
                <w:szCs w:val="18"/>
              </w:rPr>
              <w:t>Min</w:t>
            </w:r>
          </w:p>
        </w:tc>
        <w:tc>
          <w:tcPr>
            <w:tcW w:w="281" w:type="pct"/>
            <w:tcBorders>
              <w:top w:val="single" w:sz="4" w:space="0" w:color="auto"/>
              <w:bottom w:val="single" w:sz="4" w:space="0" w:color="auto"/>
            </w:tcBorders>
            <w:vAlign w:val="center"/>
          </w:tcPr>
          <w:p w14:paraId="5E54BFF4" w14:textId="77777777" w:rsidR="005C597D" w:rsidRDefault="005C597D" w:rsidP="00A146FE">
            <w:pPr>
              <w:keepNext/>
              <w:spacing w:before="40" w:after="40"/>
              <w:jc w:val="center"/>
              <w:rPr>
                <w:snapToGrid w:val="0"/>
                <w:color w:val="0000FF"/>
                <w:sz w:val="18"/>
                <w:szCs w:val="18"/>
              </w:rPr>
            </w:pPr>
            <w:r>
              <w:rPr>
                <w:snapToGrid w:val="0"/>
                <w:color w:val="0000FF"/>
                <w:sz w:val="18"/>
                <w:szCs w:val="18"/>
              </w:rPr>
              <w:t>1</w:t>
            </w:r>
            <w:r w:rsidRPr="00360379">
              <w:rPr>
                <w:snapToGrid w:val="0"/>
                <w:color w:val="0000FF"/>
                <w:sz w:val="18"/>
                <w:szCs w:val="18"/>
                <w:vertAlign w:val="superscript"/>
              </w:rPr>
              <w:t>st</w:t>
            </w:r>
          </w:p>
        </w:tc>
        <w:tc>
          <w:tcPr>
            <w:tcW w:w="359" w:type="pct"/>
            <w:tcBorders>
              <w:top w:val="single" w:sz="4" w:space="0" w:color="auto"/>
              <w:bottom w:val="single" w:sz="4" w:space="0" w:color="auto"/>
            </w:tcBorders>
            <w:vAlign w:val="center"/>
          </w:tcPr>
          <w:p w14:paraId="7454D5A5" w14:textId="77777777" w:rsidR="005C597D" w:rsidRDefault="005C597D" w:rsidP="00A146FE">
            <w:pPr>
              <w:keepNext/>
              <w:spacing w:before="40" w:after="40"/>
              <w:jc w:val="center"/>
              <w:rPr>
                <w:snapToGrid w:val="0"/>
                <w:color w:val="0000FF"/>
                <w:sz w:val="18"/>
                <w:szCs w:val="18"/>
              </w:rPr>
            </w:pPr>
            <w:r>
              <w:rPr>
                <w:snapToGrid w:val="0"/>
                <w:color w:val="0000FF"/>
                <w:sz w:val="18"/>
                <w:szCs w:val="18"/>
              </w:rPr>
              <w:t>5</w:t>
            </w:r>
            <w:r w:rsidRPr="00360379">
              <w:rPr>
                <w:snapToGrid w:val="0"/>
                <w:color w:val="0000FF"/>
                <w:sz w:val="18"/>
                <w:szCs w:val="18"/>
                <w:vertAlign w:val="superscript"/>
              </w:rPr>
              <w:t>th</w:t>
            </w:r>
          </w:p>
        </w:tc>
        <w:tc>
          <w:tcPr>
            <w:tcW w:w="343" w:type="pct"/>
            <w:tcBorders>
              <w:top w:val="single" w:sz="4" w:space="0" w:color="auto"/>
              <w:bottom w:val="single" w:sz="4" w:space="0" w:color="auto"/>
            </w:tcBorders>
            <w:vAlign w:val="center"/>
          </w:tcPr>
          <w:p w14:paraId="75950B42" w14:textId="77777777" w:rsidR="005C597D" w:rsidRDefault="005C597D" w:rsidP="00A146FE">
            <w:pPr>
              <w:keepNext/>
              <w:spacing w:before="40" w:after="40"/>
              <w:jc w:val="center"/>
              <w:rPr>
                <w:snapToGrid w:val="0"/>
                <w:color w:val="0000FF"/>
                <w:sz w:val="18"/>
                <w:szCs w:val="18"/>
              </w:rPr>
            </w:pPr>
            <w:r>
              <w:rPr>
                <w:snapToGrid w:val="0"/>
                <w:color w:val="0000FF"/>
                <w:sz w:val="18"/>
                <w:szCs w:val="18"/>
              </w:rPr>
              <w:t>10</w:t>
            </w:r>
            <w:r w:rsidRPr="00360379">
              <w:rPr>
                <w:snapToGrid w:val="0"/>
                <w:color w:val="0000FF"/>
                <w:sz w:val="18"/>
                <w:szCs w:val="18"/>
                <w:vertAlign w:val="superscript"/>
              </w:rPr>
              <w:t>th</w:t>
            </w:r>
          </w:p>
        </w:tc>
        <w:tc>
          <w:tcPr>
            <w:tcW w:w="312" w:type="pct"/>
            <w:tcBorders>
              <w:top w:val="single" w:sz="4" w:space="0" w:color="auto"/>
              <w:bottom w:val="single" w:sz="4" w:space="0" w:color="auto"/>
            </w:tcBorders>
            <w:vAlign w:val="center"/>
          </w:tcPr>
          <w:p w14:paraId="71DDC79A" w14:textId="77777777" w:rsidR="005C597D" w:rsidRDefault="005C597D" w:rsidP="00A146FE">
            <w:pPr>
              <w:keepNext/>
              <w:spacing w:before="40" w:after="40"/>
              <w:jc w:val="center"/>
              <w:rPr>
                <w:snapToGrid w:val="0"/>
                <w:color w:val="0000FF"/>
                <w:sz w:val="18"/>
                <w:szCs w:val="18"/>
              </w:rPr>
            </w:pPr>
            <w:r>
              <w:rPr>
                <w:snapToGrid w:val="0"/>
                <w:color w:val="0000FF"/>
                <w:sz w:val="18"/>
                <w:szCs w:val="18"/>
              </w:rPr>
              <w:t>25</w:t>
            </w:r>
            <w:r w:rsidRPr="00360379">
              <w:rPr>
                <w:snapToGrid w:val="0"/>
                <w:color w:val="0000FF"/>
                <w:sz w:val="18"/>
                <w:szCs w:val="18"/>
                <w:vertAlign w:val="superscript"/>
              </w:rPr>
              <w:t>th</w:t>
            </w:r>
          </w:p>
        </w:tc>
        <w:tc>
          <w:tcPr>
            <w:tcW w:w="325" w:type="pct"/>
            <w:tcBorders>
              <w:top w:val="single" w:sz="4" w:space="0" w:color="auto"/>
              <w:bottom w:val="single" w:sz="4" w:space="0" w:color="auto"/>
            </w:tcBorders>
            <w:vAlign w:val="center"/>
          </w:tcPr>
          <w:p w14:paraId="643F5D0C" w14:textId="77777777" w:rsidR="005C597D" w:rsidRDefault="005C597D" w:rsidP="00A146FE">
            <w:pPr>
              <w:keepNext/>
              <w:spacing w:before="40" w:after="40"/>
              <w:jc w:val="center"/>
              <w:rPr>
                <w:snapToGrid w:val="0"/>
                <w:color w:val="0000FF"/>
                <w:sz w:val="18"/>
                <w:szCs w:val="18"/>
              </w:rPr>
            </w:pPr>
            <w:r>
              <w:rPr>
                <w:snapToGrid w:val="0"/>
                <w:color w:val="0000FF"/>
                <w:sz w:val="18"/>
                <w:szCs w:val="18"/>
              </w:rPr>
              <w:t>50</w:t>
            </w:r>
            <w:r w:rsidRPr="00CA42AA">
              <w:rPr>
                <w:snapToGrid w:val="0"/>
                <w:color w:val="0000FF"/>
                <w:sz w:val="18"/>
                <w:szCs w:val="18"/>
                <w:vertAlign w:val="superscript"/>
              </w:rPr>
              <w:t>th</w:t>
            </w:r>
          </w:p>
        </w:tc>
        <w:tc>
          <w:tcPr>
            <w:tcW w:w="315" w:type="pct"/>
            <w:tcBorders>
              <w:top w:val="single" w:sz="4" w:space="0" w:color="auto"/>
              <w:bottom w:val="single" w:sz="4" w:space="0" w:color="auto"/>
            </w:tcBorders>
            <w:vAlign w:val="center"/>
          </w:tcPr>
          <w:p w14:paraId="6DE18A2C" w14:textId="77777777" w:rsidR="005C597D" w:rsidRDefault="005C597D" w:rsidP="00A146FE">
            <w:pPr>
              <w:keepNext/>
              <w:spacing w:before="40" w:after="40"/>
              <w:jc w:val="center"/>
              <w:rPr>
                <w:snapToGrid w:val="0"/>
                <w:color w:val="0000FF"/>
                <w:sz w:val="18"/>
                <w:szCs w:val="18"/>
              </w:rPr>
            </w:pPr>
            <w:r>
              <w:rPr>
                <w:snapToGrid w:val="0"/>
                <w:color w:val="0000FF"/>
                <w:sz w:val="18"/>
                <w:szCs w:val="18"/>
              </w:rPr>
              <w:t>75</w:t>
            </w:r>
            <w:r w:rsidRPr="00CA42AA">
              <w:rPr>
                <w:snapToGrid w:val="0"/>
                <w:color w:val="0000FF"/>
                <w:sz w:val="18"/>
                <w:szCs w:val="18"/>
                <w:vertAlign w:val="superscript"/>
              </w:rPr>
              <w:t>th</w:t>
            </w:r>
          </w:p>
        </w:tc>
        <w:tc>
          <w:tcPr>
            <w:tcW w:w="280" w:type="pct"/>
            <w:tcBorders>
              <w:top w:val="single" w:sz="4" w:space="0" w:color="auto"/>
              <w:bottom w:val="single" w:sz="4" w:space="0" w:color="auto"/>
            </w:tcBorders>
            <w:vAlign w:val="center"/>
          </w:tcPr>
          <w:p w14:paraId="007E9AA5" w14:textId="77777777" w:rsidR="005C597D" w:rsidRDefault="005C597D" w:rsidP="00A146FE">
            <w:pPr>
              <w:keepNext/>
              <w:spacing w:before="40" w:after="40"/>
              <w:jc w:val="center"/>
              <w:rPr>
                <w:snapToGrid w:val="0"/>
                <w:color w:val="0000FF"/>
                <w:sz w:val="18"/>
                <w:szCs w:val="18"/>
              </w:rPr>
            </w:pPr>
            <w:r>
              <w:rPr>
                <w:snapToGrid w:val="0"/>
                <w:color w:val="0000FF"/>
                <w:sz w:val="18"/>
                <w:szCs w:val="18"/>
              </w:rPr>
              <w:t>90</w:t>
            </w:r>
            <w:r w:rsidRPr="00CA42AA">
              <w:rPr>
                <w:snapToGrid w:val="0"/>
                <w:color w:val="0000FF"/>
                <w:sz w:val="18"/>
                <w:szCs w:val="18"/>
                <w:vertAlign w:val="superscript"/>
              </w:rPr>
              <w:t>th</w:t>
            </w:r>
          </w:p>
        </w:tc>
        <w:tc>
          <w:tcPr>
            <w:tcW w:w="327" w:type="pct"/>
            <w:tcBorders>
              <w:top w:val="single" w:sz="4" w:space="0" w:color="auto"/>
              <w:bottom w:val="single" w:sz="4" w:space="0" w:color="auto"/>
            </w:tcBorders>
            <w:vAlign w:val="center"/>
          </w:tcPr>
          <w:p w14:paraId="13FF6BB5" w14:textId="77777777" w:rsidR="005C597D" w:rsidRDefault="005C597D" w:rsidP="00A146FE">
            <w:pPr>
              <w:keepNext/>
              <w:spacing w:before="40" w:after="40"/>
              <w:jc w:val="center"/>
              <w:rPr>
                <w:snapToGrid w:val="0"/>
                <w:color w:val="0000FF"/>
                <w:sz w:val="18"/>
                <w:szCs w:val="18"/>
              </w:rPr>
            </w:pPr>
            <w:r>
              <w:rPr>
                <w:snapToGrid w:val="0"/>
                <w:color w:val="0000FF"/>
                <w:sz w:val="18"/>
                <w:szCs w:val="18"/>
              </w:rPr>
              <w:t>95</w:t>
            </w:r>
            <w:r w:rsidRPr="00CA42AA">
              <w:rPr>
                <w:snapToGrid w:val="0"/>
                <w:color w:val="0000FF"/>
                <w:sz w:val="18"/>
                <w:szCs w:val="18"/>
                <w:vertAlign w:val="superscript"/>
              </w:rPr>
              <w:t>th</w:t>
            </w:r>
          </w:p>
        </w:tc>
        <w:tc>
          <w:tcPr>
            <w:tcW w:w="269" w:type="pct"/>
            <w:tcBorders>
              <w:top w:val="single" w:sz="4" w:space="0" w:color="auto"/>
              <w:bottom w:val="single" w:sz="4" w:space="0" w:color="auto"/>
            </w:tcBorders>
            <w:vAlign w:val="center"/>
          </w:tcPr>
          <w:p w14:paraId="48D3C856" w14:textId="77777777" w:rsidR="005C597D" w:rsidRDefault="005C597D" w:rsidP="00A146FE">
            <w:pPr>
              <w:keepNext/>
              <w:spacing w:before="40" w:after="40"/>
              <w:jc w:val="center"/>
              <w:rPr>
                <w:snapToGrid w:val="0"/>
                <w:color w:val="0000FF"/>
                <w:sz w:val="18"/>
                <w:szCs w:val="18"/>
              </w:rPr>
            </w:pPr>
            <w:r>
              <w:rPr>
                <w:snapToGrid w:val="0"/>
                <w:color w:val="0000FF"/>
                <w:sz w:val="18"/>
                <w:szCs w:val="18"/>
              </w:rPr>
              <w:t>99</w:t>
            </w:r>
            <w:r w:rsidRPr="00CA42AA">
              <w:rPr>
                <w:snapToGrid w:val="0"/>
                <w:color w:val="0000FF"/>
                <w:sz w:val="18"/>
                <w:szCs w:val="18"/>
                <w:vertAlign w:val="superscript"/>
              </w:rPr>
              <w:t>th</w:t>
            </w:r>
          </w:p>
        </w:tc>
        <w:tc>
          <w:tcPr>
            <w:tcW w:w="262" w:type="pct"/>
            <w:tcBorders>
              <w:bottom w:val="single" w:sz="4" w:space="0" w:color="auto"/>
            </w:tcBorders>
            <w:vAlign w:val="center"/>
          </w:tcPr>
          <w:p w14:paraId="7FB95874" w14:textId="77777777" w:rsidR="005C597D" w:rsidRDefault="005C597D" w:rsidP="00A146FE">
            <w:pPr>
              <w:keepNext/>
              <w:spacing w:before="40" w:after="40"/>
              <w:jc w:val="center"/>
              <w:rPr>
                <w:snapToGrid w:val="0"/>
                <w:color w:val="0000FF"/>
                <w:sz w:val="18"/>
                <w:szCs w:val="18"/>
              </w:rPr>
            </w:pPr>
            <w:r>
              <w:rPr>
                <w:snapToGrid w:val="0"/>
                <w:color w:val="0000FF"/>
                <w:sz w:val="18"/>
                <w:szCs w:val="18"/>
              </w:rPr>
              <w:t>Max</w:t>
            </w:r>
          </w:p>
        </w:tc>
      </w:tr>
      <w:tr w:rsidR="001F06C3" w:rsidRPr="009B5870" w14:paraId="3934F80A" w14:textId="77777777" w:rsidTr="00E2379F">
        <w:trPr>
          <w:trHeight w:val="282"/>
        </w:trPr>
        <w:tc>
          <w:tcPr>
            <w:tcW w:w="579" w:type="pct"/>
            <w:tcBorders>
              <w:top w:val="single" w:sz="4" w:space="0" w:color="auto"/>
            </w:tcBorders>
          </w:tcPr>
          <w:p w14:paraId="3C5928B9" w14:textId="5EB651FD" w:rsidR="00AB400F" w:rsidRPr="005247F0" w:rsidRDefault="00AB400F" w:rsidP="00AB400F">
            <w:pPr>
              <w:pStyle w:val="TableText-cent"/>
              <w:jc w:val="left"/>
              <w:rPr>
                <w:color w:val="0000FF"/>
                <w:sz w:val="18"/>
                <w:szCs w:val="18"/>
              </w:rPr>
            </w:pPr>
            <w:r>
              <w:rPr>
                <w:color w:val="0000FF"/>
                <w:sz w:val="18"/>
                <w:szCs w:val="18"/>
              </w:rPr>
              <w:t xml:space="preserve">2014 – 2015 </w:t>
            </w:r>
          </w:p>
        </w:tc>
        <w:tc>
          <w:tcPr>
            <w:tcW w:w="369" w:type="pct"/>
            <w:tcBorders>
              <w:top w:val="single" w:sz="4" w:space="0" w:color="auto"/>
            </w:tcBorders>
          </w:tcPr>
          <w:p w14:paraId="437C07CA" w14:textId="042096A0" w:rsidR="00AB400F" w:rsidRDefault="00AB400F" w:rsidP="00AB400F">
            <w:pPr>
              <w:pStyle w:val="TableText-cent"/>
              <w:rPr>
                <w:color w:val="0000FF"/>
                <w:sz w:val="18"/>
                <w:szCs w:val="18"/>
              </w:rPr>
            </w:pPr>
            <w:r>
              <w:rPr>
                <w:color w:val="0000FF"/>
                <w:sz w:val="18"/>
                <w:szCs w:val="18"/>
              </w:rPr>
              <w:t>14,995</w:t>
            </w:r>
          </w:p>
        </w:tc>
        <w:tc>
          <w:tcPr>
            <w:tcW w:w="316" w:type="pct"/>
            <w:tcBorders>
              <w:top w:val="single" w:sz="4" w:space="0" w:color="auto"/>
            </w:tcBorders>
          </w:tcPr>
          <w:p w14:paraId="0843AE46" w14:textId="5383FC87" w:rsidR="00AB400F" w:rsidRDefault="00AB400F" w:rsidP="00AB400F">
            <w:pPr>
              <w:pStyle w:val="TableText-cent"/>
              <w:rPr>
                <w:color w:val="0000FF"/>
                <w:sz w:val="18"/>
                <w:szCs w:val="18"/>
              </w:rPr>
            </w:pPr>
            <w:r>
              <w:rPr>
                <w:color w:val="0000FF"/>
                <w:sz w:val="18"/>
                <w:szCs w:val="18"/>
              </w:rPr>
              <w:t>0.0058</w:t>
            </w:r>
          </w:p>
        </w:tc>
        <w:tc>
          <w:tcPr>
            <w:tcW w:w="315" w:type="pct"/>
            <w:tcBorders>
              <w:top w:val="single" w:sz="4" w:space="0" w:color="auto"/>
            </w:tcBorders>
          </w:tcPr>
          <w:p w14:paraId="27815766" w14:textId="5F8D9073" w:rsidR="00AB400F" w:rsidRDefault="00AB400F" w:rsidP="00AB400F">
            <w:pPr>
              <w:pStyle w:val="TableText-cent"/>
              <w:rPr>
                <w:color w:val="0000FF"/>
                <w:sz w:val="18"/>
                <w:szCs w:val="18"/>
              </w:rPr>
            </w:pPr>
            <w:r>
              <w:rPr>
                <w:color w:val="0000FF"/>
                <w:sz w:val="18"/>
                <w:szCs w:val="18"/>
              </w:rPr>
              <w:t>0.035</w:t>
            </w:r>
          </w:p>
        </w:tc>
        <w:tc>
          <w:tcPr>
            <w:tcW w:w="349" w:type="pct"/>
            <w:tcBorders>
              <w:top w:val="single" w:sz="4" w:space="0" w:color="auto"/>
            </w:tcBorders>
          </w:tcPr>
          <w:p w14:paraId="28029EBA" w14:textId="7764A5C8" w:rsidR="00AB400F" w:rsidRDefault="00AB400F" w:rsidP="00AB400F">
            <w:pPr>
              <w:pStyle w:val="TableText-cent"/>
              <w:rPr>
                <w:color w:val="0000FF"/>
                <w:sz w:val="18"/>
                <w:szCs w:val="18"/>
              </w:rPr>
            </w:pPr>
            <w:r>
              <w:rPr>
                <w:color w:val="0000FF"/>
                <w:sz w:val="18"/>
                <w:szCs w:val="18"/>
              </w:rPr>
              <w:t>-0.</w:t>
            </w:r>
            <w:r w:rsidR="00150916">
              <w:rPr>
                <w:color w:val="0000FF"/>
                <w:sz w:val="18"/>
                <w:szCs w:val="18"/>
              </w:rPr>
              <w:t>31</w:t>
            </w:r>
          </w:p>
        </w:tc>
        <w:tc>
          <w:tcPr>
            <w:tcW w:w="281" w:type="pct"/>
            <w:tcBorders>
              <w:top w:val="single" w:sz="4" w:space="0" w:color="auto"/>
            </w:tcBorders>
          </w:tcPr>
          <w:p w14:paraId="079001AB" w14:textId="65471A90" w:rsidR="00AB400F" w:rsidRDefault="00AB400F" w:rsidP="00AB400F">
            <w:pPr>
              <w:pStyle w:val="TableText-cent"/>
              <w:rPr>
                <w:color w:val="0000FF"/>
                <w:sz w:val="18"/>
                <w:szCs w:val="18"/>
              </w:rPr>
            </w:pPr>
            <w:r>
              <w:rPr>
                <w:color w:val="0000FF"/>
                <w:sz w:val="18"/>
                <w:szCs w:val="18"/>
              </w:rPr>
              <w:t>-0.09</w:t>
            </w:r>
          </w:p>
        </w:tc>
        <w:tc>
          <w:tcPr>
            <w:tcW w:w="359" w:type="pct"/>
            <w:tcBorders>
              <w:top w:val="single" w:sz="4" w:space="0" w:color="auto"/>
            </w:tcBorders>
          </w:tcPr>
          <w:p w14:paraId="3A9CA429" w14:textId="583671BB" w:rsidR="00AB400F" w:rsidRDefault="00AB400F" w:rsidP="00AB400F">
            <w:pPr>
              <w:pStyle w:val="TableText-cent"/>
              <w:rPr>
                <w:color w:val="0000FF"/>
                <w:sz w:val="18"/>
                <w:szCs w:val="18"/>
              </w:rPr>
            </w:pPr>
            <w:r>
              <w:rPr>
                <w:color w:val="0000FF"/>
                <w:sz w:val="18"/>
                <w:szCs w:val="18"/>
              </w:rPr>
              <w:t>-0.05</w:t>
            </w:r>
          </w:p>
        </w:tc>
        <w:tc>
          <w:tcPr>
            <w:tcW w:w="343" w:type="pct"/>
            <w:tcBorders>
              <w:top w:val="single" w:sz="4" w:space="0" w:color="auto"/>
            </w:tcBorders>
          </w:tcPr>
          <w:p w14:paraId="265284B9" w14:textId="08480285" w:rsidR="00AB400F" w:rsidRDefault="00AB400F" w:rsidP="00AB400F">
            <w:pPr>
              <w:pStyle w:val="TableText-cent"/>
              <w:rPr>
                <w:color w:val="0000FF"/>
                <w:sz w:val="18"/>
                <w:szCs w:val="18"/>
              </w:rPr>
            </w:pPr>
            <w:r>
              <w:rPr>
                <w:color w:val="0000FF"/>
                <w:sz w:val="18"/>
                <w:szCs w:val="18"/>
              </w:rPr>
              <w:t>-0.03</w:t>
            </w:r>
          </w:p>
        </w:tc>
        <w:tc>
          <w:tcPr>
            <w:tcW w:w="312" w:type="pct"/>
            <w:tcBorders>
              <w:top w:val="single" w:sz="4" w:space="0" w:color="auto"/>
            </w:tcBorders>
          </w:tcPr>
          <w:p w14:paraId="46BA8027" w14:textId="77777777" w:rsidR="00AB400F" w:rsidRDefault="00AB400F" w:rsidP="00AB400F">
            <w:pPr>
              <w:pStyle w:val="TableText-cent"/>
              <w:rPr>
                <w:color w:val="0000FF"/>
                <w:sz w:val="18"/>
                <w:szCs w:val="18"/>
              </w:rPr>
            </w:pPr>
            <w:r>
              <w:rPr>
                <w:color w:val="0000FF"/>
                <w:sz w:val="18"/>
                <w:szCs w:val="18"/>
              </w:rPr>
              <w:t>-0.01</w:t>
            </w:r>
          </w:p>
        </w:tc>
        <w:tc>
          <w:tcPr>
            <w:tcW w:w="325" w:type="pct"/>
            <w:tcBorders>
              <w:top w:val="single" w:sz="4" w:space="0" w:color="auto"/>
            </w:tcBorders>
          </w:tcPr>
          <w:p w14:paraId="7BD334ED" w14:textId="77777777" w:rsidR="00AB400F" w:rsidRDefault="00AB400F" w:rsidP="00AB400F">
            <w:pPr>
              <w:pStyle w:val="TableText-cent"/>
              <w:rPr>
                <w:color w:val="0000FF"/>
                <w:sz w:val="18"/>
                <w:szCs w:val="18"/>
              </w:rPr>
            </w:pPr>
            <w:r>
              <w:rPr>
                <w:color w:val="0000FF"/>
                <w:sz w:val="18"/>
                <w:szCs w:val="18"/>
              </w:rPr>
              <w:t>&lt;0.01</w:t>
            </w:r>
          </w:p>
        </w:tc>
        <w:tc>
          <w:tcPr>
            <w:tcW w:w="315" w:type="pct"/>
            <w:tcBorders>
              <w:top w:val="single" w:sz="4" w:space="0" w:color="auto"/>
            </w:tcBorders>
          </w:tcPr>
          <w:p w14:paraId="70A2635A" w14:textId="59D51103" w:rsidR="00AB400F" w:rsidRDefault="00AB400F" w:rsidP="00AB400F">
            <w:pPr>
              <w:pStyle w:val="TableText-cent"/>
              <w:rPr>
                <w:color w:val="0000FF"/>
                <w:sz w:val="18"/>
                <w:szCs w:val="18"/>
              </w:rPr>
            </w:pPr>
            <w:r>
              <w:rPr>
                <w:color w:val="0000FF"/>
                <w:sz w:val="18"/>
                <w:szCs w:val="18"/>
              </w:rPr>
              <w:t>0.02</w:t>
            </w:r>
          </w:p>
        </w:tc>
        <w:tc>
          <w:tcPr>
            <w:tcW w:w="280" w:type="pct"/>
            <w:tcBorders>
              <w:top w:val="single" w:sz="4" w:space="0" w:color="auto"/>
            </w:tcBorders>
          </w:tcPr>
          <w:p w14:paraId="20CA6C42" w14:textId="0C374559" w:rsidR="00AB400F" w:rsidRDefault="00AB400F" w:rsidP="00AB400F">
            <w:pPr>
              <w:pStyle w:val="TableText-cent"/>
              <w:rPr>
                <w:color w:val="0000FF"/>
                <w:sz w:val="18"/>
                <w:szCs w:val="18"/>
              </w:rPr>
            </w:pPr>
            <w:r>
              <w:rPr>
                <w:color w:val="0000FF"/>
                <w:sz w:val="18"/>
                <w:szCs w:val="18"/>
              </w:rPr>
              <w:t>0.05</w:t>
            </w:r>
          </w:p>
        </w:tc>
        <w:tc>
          <w:tcPr>
            <w:tcW w:w="327" w:type="pct"/>
            <w:tcBorders>
              <w:top w:val="single" w:sz="4" w:space="0" w:color="auto"/>
            </w:tcBorders>
          </w:tcPr>
          <w:p w14:paraId="10A7DD7F" w14:textId="3E24D4BB" w:rsidR="00AB400F" w:rsidRDefault="00AB400F" w:rsidP="00AB400F">
            <w:pPr>
              <w:pStyle w:val="TableText-cent"/>
              <w:rPr>
                <w:color w:val="0000FF"/>
                <w:sz w:val="18"/>
                <w:szCs w:val="18"/>
              </w:rPr>
            </w:pPr>
            <w:r>
              <w:rPr>
                <w:color w:val="0000FF"/>
                <w:sz w:val="18"/>
                <w:szCs w:val="18"/>
              </w:rPr>
              <w:t>0.0</w:t>
            </w:r>
            <w:r w:rsidR="00B421C3">
              <w:rPr>
                <w:color w:val="0000FF"/>
                <w:sz w:val="18"/>
                <w:szCs w:val="18"/>
              </w:rPr>
              <w:t>6</w:t>
            </w:r>
          </w:p>
        </w:tc>
        <w:tc>
          <w:tcPr>
            <w:tcW w:w="269" w:type="pct"/>
            <w:tcBorders>
              <w:top w:val="single" w:sz="4" w:space="0" w:color="auto"/>
            </w:tcBorders>
          </w:tcPr>
          <w:p w14:paraId="12E9097C" w14:textId="6B56E048" w:rsidR="00AB400F" w:rsidRDefault="00AB400F" w:rsidP="00AB400F">
            <w:pPr>
              <w:pStyle w:val="TableText-cent"/>
              <w:rPr>
                <w:color w:val="0000FF"/>
                <w:sz w:val="18"/>
                <w:szCs w:val="18"/>
              </w:rPr>
            </w:pPr>
            <w:r>
              <w:rPr>
                <w:color w:val="0000FF"/>
                <w:sz w:val="18"/>
                <w:szCs w:val="18"/>
              </w:rPr>
              <w:t>0.11</w:t>
            </w:r>
          </w:p>
        </w:tc>
        <w:tc>
          <w:tcPr>
            <w:tcW w:w="262" w:type="pct"/>
            <w:tcBorders>
              <w:top w:val="single" w:sz="4" w:space="0" w:color="auto"/>
            </w:tcBorders>
          </w:tcPr>
          <w:p w14:paraId="111DA44E" w14:textId="67228D39" w:rsidR="00AB400F" w:rsidRDefault="00AB400F" w:rsidP="00AB400F">
            <w:pPr>
              <w:pStyle w:val="TableText-cent"/>
              <w:rPr>
                <w:color w:val="0000FF"/>
                <w:sz w:val="18"/>
                <w:szCs w:val="18"/>
              </w:rPr>
            </w:pPr>
            <w:r>
              <w:rPr>
                <w:color w:val="0000FF"/>
                <w:sz w:val="18"/>
                <w:szCs w:val="18"/>
              </w:rPr>
              <w:t>0.</w:t>
            </w:r>
            <w:r w:rsidR="001D215C">
              <w:rPr>
                <w:color w:val="0000FF"/>
                <w:sz w:val="18"/>
                <w:szCs w:val="18"/>
              </w:rPr>
              <w:t>33</w:t>
            </w:r>
          </w:p>
        </w:tc>
      </w:tr>
      <w:tr w:rsidR="001F06C3" w:rsidRPr="009B5870" w14:paraId="29406775" w14:textId="77777777" w:rsidTr="00E2379F">
        <w:trPr>
          <w:trHeight w:val="282"/>
        </w:trPr>
        <w:tc>
          <w:tcPr>
            <w:tcW w:w="579" w:type="pct"/>
          </w:tcPr>
          <w:p w14:paraId="401C57D9" w14:textId="6BE0C306" w:rsidR="00AB400F" w:rsidRDefault="00AB400F" w:rsidP="00AB400F">
            <w:pPr>
              <w:pStyle w:val="TableText-cent"/>
              <w:jc w:val="left"/>
              <w:rPr>
                <w:color w:val="0000FF"/>
                <w:sz w:val="18"/>
                <w:szCs w:val="18"/>
              </w:rPr>
            </w:pPr>
            <w:r>
              <w:rPr>
                <w:color w:val="0000FF"/>
                <w:sz w:val="18"/>
                <w:szCs w:val="18"/>
              </w:rPr>
              <w:t xml:space="preserve">2015 – 2016 </w:t>
            </w:r>
          </w:p>
        </w:tc>
        <w:tc>
          <w:tcPr>
            <w:tcW w:w="369" w:type="pct"/>
          </w:tcPr>
          <w:p w14:paraId="1A62ECDC" w14:textId="27BA7F5C" w:rsidR="00AB400F" w:rsidRDefault="00AB400F" w:rsidP="00AB400F">
            <w:pPr>
              <w:pStyle w:val="TableText-cent"/>
              <w:rPr>
                <w:color w:val="0000FF"/>
                <w:sz w:val="18"/>
                <w:szCs w:val="18"/>
              </w:rPr>
            </w:pPr>
            <w:r>
              <w:rPr>
                <w:color w:val="0000FF"/>
                <w:sz w:val="18"/>
                <w:szCs w:val="18"/>
              </w:rPr>
              <w:t>14,987</w:t>
            </w:r>
          </w:p>
        </w:tc>
        <w:tc>
          <w:tcPr>
            <w:tcW w:w="316" w:type="pct"/>
          </w:tcPr>
          <w:p w14:paraId="60258345" w14:textId="4792FDB3" w:rsidR="00AB400F" w:rsidRDefault="00AB400F" w:rsidP="00AB400F">
            <w:pPr>
              <w:pStyle w:val="TableText-cent"/>
              <w:rPr>
                <w:color w:val="0000FF"/>
                <w:sz w:val="18"/>
                <w:szCs w:val="18"/>
              </w:rPr>
            </w:pPr>
            <w:r>
              <w:rPr>
                <w:color w:val="0000FF"/>
                <w:sz w:val="18"/>
                <w:szCs w:val="18"/>
              </w:rPr>
              <w:t>0.0088</w:t>
            </w:r>
          </w:p>
        </w:tc>
        <w:tc>
          <w:tcPr>
            <w:tcW w:w="315" w:type="pct"/>
          </w:tcPr>
          <w:p w14:paraId="1A29D59F" w14:textId="23BC49E3" w:rsidR="00AB400F" w:rsidRDefault="00AB400F" w:rsidP="00AB400F">
            <w:pPr>
              <w:pStyle w:val="TableText-cent"/>
              <w:rPr>
                <w:color w:val="0000FF"/>
                <w:sz w:val="18"/>
                <w:szCs w:val="18"/>
              </w:rPr>
            </w:pPr>
            <w:r>
              <w:rPr>
                <w:color w:val="0000FF"/>
                <w:sz w:val="18"/>
                <w:szCs w:val="18"/>
              </w:rPr>
              <w:t>0.033</w:t>
            </w:r>
          </w:p>
        </w:tc>
        <w:tc>
          <w:tcPr>
            <w:tcW w:w="349" w:type="pct"/>
          </w:tcPr>
          <w:p w14:paraId="51F4E949" w14:textId="37EF7374" w:rsidR="00AB400F" w:rsidRDefault="00AB400F" w:rsidP="00AB400F">
            <w:pPr>
              <w:pStyle w:val="TableText-cent"/>
              <w:rPr>
                <w:color w:val="0000FF"/>
                <w:sz w:val="18"/>
                <w:szCs w:val="18"/>
              </w:rPr>
            </w:pPr>
            <w:r>
              <w:rPr>
                <w:color w:val="0000FF"/>
                <w:sz w:val="18"/>
                <w:szCs w:val="18"/>
              </w:rPr>
              <w:t>-0.</w:t>
            </w:r>
            <w:r w:rsidR="00150916">
              <w:rPr>
                <w:color w:val="0000FF"/>
                <w:sz w:val="18"/>
                <w:szCs w:val="18"/>
              </w:rPr>
              <w:t>69</w:t>
            </w:r>
          </w:p>
        </w:tc>
        <w:tc>
          <w:tcPr>
            <w:tcW w:w="281" w:type="pct"/>
          </w:tcPr>
          <w:p w14:paraId="3BA67C06" w14:textId="7C35E69A" w:rsidR="00AB400F" w:rsidRDefault="00AB400F" w:rsidP="00AB400F">
            <w:pPr>
              <w:pStyle w:val="TableText-cent"/>
              <w:rPr>
                <w:color w:val="0000FF"/>
                <w:sz w:val="18"/>
                <w:szCs w:val="18"/>
              </w:rPr>
            </w:pPr>
            <w:r>
              <w:rPr>
                <w:color w:val="0000FF"/>
                <w:sz w:val="18"/>
                <w:szCs w:val="18"/>
              </w:rPr>
              <w:t>-0.08</w:t>
            </w:r>
          </w:p>
        </w:tc>
        <w:tc>
          <w:tcPr>
            <w:tcW w:w="359" w:type="pct"/>
          </w:tcPr>
          <w:p w14:paraId="7CF0B83C" w14:textId="3BB605B9" w:rsidR="00AB400F" w:rsidRDefault="00AB400F" w:rsidP="00AB400F">
            <w:pPr>
              <w:pStyle w:val="TableText-cent"/>
              <w:rPr>
                <w:color w:val="0000FF"/>
                <w:sz w:val="18"/>
                <w:szCs w:val="18"/>
              </w:rPr>
            </w:pPr>
            <w:r>
              <w:rPr>
                <w:color w:val="0000FF"/>
                <w:sz w:val="18"/>
                <w:szCs w:val="18"/>
              </w:rPr>
              <w:t>-0.04</w:t>
            </w:r>
          </w:p>
        </w:tc>
        <w:tc>
          <w:tcPr>
            <w:tcW w:w="343" w:type="pct"/>
          </w:tcPr>
          <w:p w14:paraId="39D8CFA2" w14:textId="77777777" w:rsidR="00AB400F" w:rsidRDefault="00AB400F" w:rsidP="00AB400F">
            <w:pPr>
              <w:pStyle w:val="TableText-cent"/>
              <w:rPr>
                <w:color w:val="0000FF"/>
                <w:sz w:val="18"/>
                <w:szCs w:val="18"/>
              </w:rPr>
            </w:pPr>
            <w:r>
              <w:rPr>
                <w:color w:val="0000FF"/>
                <w:sz w:val="18"/>
                <w:szCs w:val="18"/>
              </w:rPr>
              <w:t>-0.03</w:t>
            </w:r>
          </w:p>
        </w:tc>
        <w:tc>
          <w:tcPr>
            <w:tcW w:w="312" w:type="pct"/>
          </w:tcPr>
          <w:p w14:paraId="4DA23AD0" w14:textId="77777777" w:rsidR="00AB400F" w:rsidRDefault="00AB400F" w:rsidP="00AB400F">
            <w:pPr>
              <w:pStyle w:val="TableText-cent"/>
              <w:rPr>
                <w:color w:val="0000FF"/>
                <w:sz w:val="18"/>
                <w:szCs w:val="18"/>
              </w:rPr>
            </w:pPr>
            <w:r>
              <w:rPr>
                <w:color w:val="0000FF"/>
                <w:sz w:val="18"/>
                <w:szCs w:val="18"/>
              </w:rPr>
              <w:t>-0.01</w:t>
            </w:r>
          </w:p>
        </w:tc>
        <w:tc>
          <w:tcPr>
            <w:tcW w:w="325" w:type="pct"/>
          </w:tcPr>
          <w:p w14:paraId="63B729E8" w14:textId="1EAF7D2B" w:rsidR="00AB400F" w:rsidRDefault="00AB400F" w:rsidP="00AB400F">
            <w:pPr>
              <w:pStyle w:val="TableText-cent"/>
              <w:rPr>
                <w:color w:val="0000FF"/>
                <w:sz w:val="18"/>
                <w:szCs w:val="18"/>
              </w:rPr>
            </w:pPr>
            <w:r>
              <w:rPr>
                <w:color w:val="0000FF"/>
                <w:sz w:val="18"/>
                <w:szCs w:val="18"/>
              </w:rPr>
              <w:t>0.01</w:t>
            </w:r>
          </w:p>
        </w:tc>
        <w:tc>
          <w:tcPr>
            <w:tcW w:w="315" w:type="pct"/>
          </w:tcPr>
          <w:p w14:paraId="04CF9C26" w14:textId="359D43D6" w:rsidR="00AB400F" w:rsidRDefault="00AB400F" w:rsidP="00AB400F">
            <w:pPr>
              <w:pStyle w:val="TableText-cent"/>
              <w:rPr>
                <w:color w:val="0000FF"/>
                <w:sz w:val="18"/>
                <w:szCs w:val="18"/>
              </w:rPr>
            </w:pPr>
            <w:r>
              <w:rPr>
                <w:color w:val="0000FF"/>
                <w:sz w:val="18"/>
                <w:szCs w:val="18"/>
              </w:rPr>
              <w:t>0.0</w:t>
            </w:r>
            <w:r w:rsidR="00C965AE">
              <w:rPr>
                <w:color w:val="0000FF"/>
                <w:sz w:val="18"/>
                <w:szCs w:val="18"/>
              </w:rPr>
              <w:t>3</w:t>
            </w:r>
          </w:p>
        </w:tc>
        <w:tc>
          <w:tcPr>
            <w:tcW w:w="280" w:type="pct"/>
          </w:tcPr>
          <w:p w14:paraId="2BA622BE" w14:textId="30CBEEB1" w:rsidR="00AB400F" w:rsidRDefault="00AB400F" w:rsidP="00AB400F">
            <w:pPr>
              <w:pStyle w:val="TableText-cent"/>
              <w:rPr>
                <w:color w:val="0000FF"/>
                <w:sz w:val="18"/>
                <w:szCs w:val="18"/>
              </w:rPr>
            </w:pPr>
            <w:r>
              <w:rPr>
                <w:color w:val="0000FF"/>
                <w:sz w:val="18"/>
                <w:szCs w:val="18"/>
              </w:rPr>
              <w:t>0.05</w:t>
            </w:r>
          </w:p>
        </w:tc>
        <w:tc>
          <w:tcPr>
            <w:tcW w:w="327" w:type="pct"/>
          </w:tcPr>
          <w:p w14:paraId="1F8F8AB3" w14:textId="2EA935D7" w:rsidR="00AB400F" w:rsidRDefault="00AB400F" w:rsidP="00AB400F">
            <w:pPr>
              <w:pStyle w:val="TableText-cent"/>
              <w:rPr>
                <w:color w:val="0000FF"/>
                <w:sz w:val="18"/>
                <w:szCs w:val="18"/>
              </w:rPr>
            </w:pPr>
            <w:r>
              <w:rPr>
                <w:color w:val="0000FF"/>
                <w:sz w:val="18"/>
                <w:szCs w:val="18"/>
              </w:rPr>
              <w:t>0.0</w:t>
            </w:r>
            <w:r w:rsidR="00B421C3">
              <w:rPr>
                <w:color w:val="0000FF"/>
                <w:sz w:val="18"/>
                <w:szCs w:val="18"/>
              </w:rPr>
              <w:t>7</w:t>
            </w:r>
          </w:p>
        </w:tc>
        <w:tc>
          <w:tcPr>
            <w:tcW w:w="269" w:type="pct"/>
          </w:tcPr>
          <w:p w14:paraId="60C8A6EE" w14:textId="362D0326" w:rsidR="00AB400F" w:rsidRDefault="00AB400F" w:rsidP="00AB400F">
            <w:pPr>
              <w:pStyle w:val="TableText-cent"/>
              <w:rPr>
                <w:color w:val="0000FF"/>
                <w:sz w:val="18"/>
                <w:szCs w:val="18"/>
              </w:rPr>
            </w:pPr>
            <w:r>
              <w:rPr>
                <w:color w:val="0000FF"/>
                <w:sz w:val="18"/>
                <w:szCs w:val="18"/>
              </w:rPr>
              <w:t>0.11</w:t>
            </w:r>
          </w:p>
        </w:tc>
        <w:tc>
          <w:tcPr>
            <w:tcW w:w="262" w:type="pct"/>
          </w:tcPr>
          <w:p w14:paraId="0CB8D141" w14:textId="36B5D644" w:rsidR="00AB400F" w:rsidRDefault="00AB400F" w:rsidP="00AB400F">
            <w:pPr>
              <w:pStyle w:val="TableText-cent"/>
              <w:rPr>
                <w:color w:val="0000FF"/>
                <w:sz w:val="18"/>
                <w:szCs w:val="18"/>
              </w:rPr>
            </w:pPr>
            <w:r>
              <w:rPr>
                <w:color w:val="0000FF"/>
                <w:sz w:val="18"/>
                <w:szCs w:val="18"/>
              </w:rPr>
              <w:t>0.</w:t>
            </w:r>
            <w:r w:rsidR="001D215C">
              <w:rPr>
                <w:color w:val="0000FF"/>
                <w:sz w:val="18"/>
                <w:szCs w:val="18"/>
              </w:rPr>
              <w:t>57</w:t>
            </w:r>
          </w:p>
        </w:tc>
      </w:tr>
      <w:tr w:rsidR="001F06C3" w:rsidRPr="009B5870" w14:paraId="0540A70E" w14:textId="77777777" w:rsidTr="00E2379F">
        <w:trPr>
          <w:trHeight w:val="297"/>
        </w:trPr>
        <w:tc>
          <w:tcPr>
            <w:tcW w:w="579" w:type="pct"/>
          </w:tcPr>
          <w:p w14:paraId="26CDB9DD" w14:textId="1BEAD652" w:rsidR="00AB400F" w:rsidRDefault="00AB400F" w:rsidP="00AB400F">
            <w:pPr>
              <w:pStyle w:val="TableText-cent"/>
              <w:jc w:val="left"/>
              <w:rPr>
                <w:color w:val="0000FF"/>
                <w:sz w:val="18"/>
                <w:szCs w:val="18"/>
              </w:rPr>
            </w:pPr>
            <w:r>
              <w:rPr>
                <w:color w:val="0000FF"/>
                <w:sz w:val="18"/>
                <w:szCs w:val="18"/>
              </w:rPr>
              <w:t>2016 – 2017</w:t>
            </w:r>
          </w:p>
        </w:tc>
        <w:tc>
          <w:tcPr>
            <w:tcW w:w="369" w:type="pct"/>
          </w:tcPr>
          <w:p w14:paraId="3D601C44" w14:textId="212E0247" w:rsidR="00AB400F" w:rsidRDefault="00AB400F" w:rsidP="00AB400F">
            <w:pPr>
              <w:pStyle w:val="TableText-cent"/>
              <w:rPr>
                <w:color w:val="0000FF"/>
                <w:sz w:val="18"/>
                <w:szCs w:val="18"/>
              </w:rPr>
            </w:pPr>
            <w:r>
              <w:rPr>
                <w:color w:val="0000FF"/>
                <w:sz w:val="18"/>
                <w:szCs w:val="18"/>
              </w:rPr>
              <w:t>15,012</w:t>
            </w:r>
          </w:p>
        </w:tc>
        <w:tc>
          <w:tcPr>
            <w:tcW w:w="316" w:type="pct"/>
          </w:tcPr>
          <w:p w14:paraId="2B293366" w14:textId="31D8DBE6" w:rsidR="00AB400F" w:rsidRDefault="00AB400F" w:rsidP="00AB400F">
            <w:pPr>
              <w:pStyle w:val="TableText-cent"/>
              <w:rPr>
                <w:color w:val="0000FF"/>
                <w:sz w:val="18"/>
                <w:szCs w:val="18"/>
              </w:rPr>
            </w:pPr>
            <w:r>
              <w:rPr>
                <w:color w:val="0000FF"/>
                <w:sz w:val="18"/>
                <w:szCs w:val="18"/>
              </w:rPr>
              <w:t>0.0071</w:t>
            </w:r>
          </w:p>
        </w:tc>
        <w:tc>
          <w:tcPr>
            <w:tcW w:w="315" w:type="pct"/>
          </w:tcPr>
          <w:p w14:paraId="66A58999" w14:textId="0014BBD2" w:rsidR="00AB400F" w:rsidRDefault="00AB400F" w:rsidP="00AB400F">
            <w:pPr>
              <w:pStyle w:val="TableText-cent"/>
              <w:rPr>
                <w:color w:val="0000FF"/>
                <w:sz w:val="18"/>
                <w:szCs w:val="18"/>
              </w:rPr>
            </w:pPr>
            <w:r>
              <w:rPr>
                <w:color w:val="0000FF"/>
                <w:sz w:val="18"/>
                <w:szCs w:val="18"/>
              </w:rPr>
              <w:t>0.031</w:t>
            </w:r>
          </w:p>
        </w:tc>
        <w:tc>
          <w:tcPr>
            <w:tcW w:w="349" w:type="pct"/>
          </w:tcPr>
          <w:p w14:paraId="779C9F9A" w14:textId="18798CAE" w:rsidR="00AB400F" w:rsidRDefault="00AB400F" w:rsidP="00AB400F">
            <w:pPr>
              <w:pStyle w:val="TableText-cent"/>
              <w:rPr>
                <w:color w:val="0000FF"/>
                <w:sz w:val="18"/>
                <w:szCs w:val="18"/>
              </w:rPr>
            </w:pPr>
            <w:r>
              <w:rPr>
                <w:color w:val="0000FF"/>
                <w:sz w:val="18"/>
                <w:szCs w:val="18"/>
              </w:rPr>
              <w:t>-0.</w:t>
            </w:r>
            <w:r w:rsidR="00150916">
              <w:rPr>
                <w:color w:val="0000FF"/>
                <w:sz w:val="18"/>
                <w:szCs w:val="18"/>
              </w:rPr>
              <w:t>32</w:t>
            </w:r>
          </w:p>
        </w:tc>
        <w:tc>
          <w:tcPr>
            <w:tcW w:w="281" w:type="pct"/>
          </w:tcPr>
          <w:p w14:paraId="4EA3BBCC" w14:textId="3F05C961" w:rsidR="00AB400F" w:rsidRDefault="00AB400F" w:rsidP="00AB400F">
            <w:pPr>
              <w:pStyle w:val="TableText-cent"/>
              <w:rPr>
                <w:color w:val="0000FF"/>
                <w:sz w:val="18"/>
                <w:szCs w:val="18"/>
              </w:rPr>
            </w:pPr>
            <w:r>
              <w:rPr>
                <w:color w:val="0000FF"/>
                <w:sz w:val="18"/>
                <w:szCs w:val="18"/>
              </w:rPr>
              <w:t>-0.08</w:t>
            </w:r>
          </w:p>
        </w:tc>
        <w:tc>
          <w:tcPr>
            <w:tcW w:w="359" w:type="pct"/>
          </w:tcPr>
          <w:p w14:paraId="7A686DD4" w14:textId="5C174856" w:rsidR="00AB400F" w:rsidRDefault="00AB400F" w:rsidP="00AB400F">
            <w:pPr>
              <w:pStyle w:val="TableText-cent"/>
              <w:rPr>
                <w:color w:val="0000FF"/>
                <w:sz w:val="18"/>
                <w:szCs w:val="18"/>
              </w:rPr>
            </w:pPr>
            <w:r>
              <w:rPr>
                <w:color w:val="0000FF"/>
                <w:sz w:val="18"/>
                <w:szCs w:val="18"/>
              </w:rPr>
              <w:t>-0.04</w:t>
            </w:r>
          </w:p>
        </w:tc>
        <w:tc>
          <w:tcPr>
            <w:tcW w:w="343" w:type="pct"/>
          </w:tcPr>
          <w:p w14:paraId="134A4D5D" w14:textId="058D0A3A" w:rsidR="00AB400F" w:rsidRDefault="00AB400F" w:rsidP="00AB400F">
            <w:pPr>
              <w:pStyle w:val="TableText-cent"/>
              <w:rPr>
                <w:color w:val="0000FF"/>
                <w:sz w:val="18"/>
                <w:szCs w:val="18"/>
              </w:rPr>
            </w:pPr>
            <w:r>
              <w:rPr>
                <w:color w:val="0000FF"/>
                <w:sz w:val="18"/>
                <w:szCs w:val="18"/>
              </w:rPr>
              <w:t>-0.0</w:t>
            </w:r>
            <w:r w:rsidR="007A51E3">
              <w:rPr>
                <w:color w:val="0000FF"/>
                <w:sz w:val="18"/>
                <w:szCs w:val="18"/>
              </w:rPr>
              <w:t>2</w:t>
            </w:r>
          </w:p>
        </w:tc>
        <w:tc>
          <w:tcPr>
            <w:tcW w:w="312" w:type="pct"/>
          </w:tcPr>
          <w:p w14:paraId="24869944" w14:textId="508699D4" w:rsidR="00AB400F" w:rsidRDefault="00AB400F" w:rsidP="00AB400F">
            <w:pPr>
              <w:pStyle w:val="TableText-cent"/>
              <w:rPr>
                <w:color w:val="0000FF"/>
                <w:sz w:val="18"/>
                <w:szCs w:val="18"/>
              </w:rPr>
            </w:pPr>
            <w:r>
              <w:rPr>
                <w:color w:val="0000FF"/>
                <w:sz w:val="18"/>
                <w:szCs w:val="18"/>
              </w:rPr>
              <w:t>-0.01</w:t>
            </w:r>
          </w:p>
        </w:tc>
        <w:tc>
          <w:tcPr>
            <w:tcW w:w="325" w:type="pct"/>
          </w:tcPr>
          <w:p w14:paraId="5AB28D2F" w14:textId="1389582A" w:rsidR="00AB400F" w:rsidRDefault="00AB400F" w:rsidP="00AB400F">
            <w:pPr>
              <w:pStyle w:val="TableText-cent"/>
              <w:rPr>
                <w:color w:val="0000FF"/>
                <w:sz w:val="18"/>
                <w:szCs w:val="18"/>
              </w:rPr>
            </w:pPr>
            <w:r>
              <w:rPr>
                <w:color w:val="0000FF"/>
                <w:sz w:val="18"/>
                <w:szCs w:val="18"/>
              </w:rPr>
              <w:t>0.01</w:t>
            </w:r>
          </w:p>
        </w:tc>
        <w:tc>
          <w:tcPr>
            <w:tcW w:w="315" w:type="pct"/>
          </w:tcPr>
          <w:p w14:paraId="0EDF28DB" w14:textId="77777777" w:rsidR="00AB400F" w:rsidRDefault="00AB400F" w:rsidP="00AB400F">
            <w:pPr>
              <w:pStyle w:val="TableText-cent"/>
              <w:rPr>
                <w:color w:val="0000FF"/>
                <w:sz w:val="18"/>
                <w:szCs w:val="18"/>
              </w:rPr>
            </w:pPr>
            <w:r>
              <w:rPr>
                <w:color w:val="0000FF"/>
                <w:sz w:val="18"/>
                <w:szCs w:val="18"/>
              </w:rPr>
              <w:t>0.02</w:t>
            </w:r>
          </w:p>
        </w:tc>
        <w:tc>
          <w:tcPr>
            <w:tcW w:w="280" w:type="pct"/>
          </w:tcPr>
          <w:p w14:paraId="222F18CD" w14:textId="406E6085" w:rsidR="00AB400F" w:rsidRDefault="00AB400F" w:rsidP="00AB400F">
            <w:pPr>
              <w:pStyle w:val="TableText-cent"/>
              <w:rPr>
                <w:color w:val="0000FF"/>
                <w:sz w:val="18"/>
                <w:szCs w:val="18"/>
              </w:rPr>
            </w:pPr>
            <w:r>
              <w:rPr>
                <w:color w:val="0000FF"/>
                <w:sz w:val="18"/>
                <w:szCs w:val="18"/>
              </w:rPr>
              <w:t>0.04</w:t>
            </w:r>
          </w:p>
        </w:tc>
        <w:tc>
          <w:tcPr>
            <w:tcW w:w="327" w:type="pct"/>
          </w:tcPr>
          <w:p w14:paraId="03D72FA4" w14:textId="3CB2E532" w:rsidR="00AB400F" w:rsidRDefault="00AB400F" w:rsidP="00AB400F">
            <w:pPr>
              <w:pStyle w:val="TableText-cent"/>
              <w:rPr>
                <w:color w:val="0000FF"/>
                <w:sz w:val="18"/>
                <w:szCs w:val="18"/>
              </w:rPr>
            </w:pPr>
            <w:r>
              <w:rPr>
                <w:color w:val="0000FF"/>
                <w:sz w:val="18"/>
                <w:szCs w:val="18"/>
              </w:rPr>
              <w:t>0.06</w:t>
            </w:r>
          </w:p>
        </w:tc>
        <w:tc>
          <w:tcPr>
            <w:tcW w:w="269" w:type="pct"/>
          </w:tcPr>
          <w:p w14:paraId="714B5EC6" w14:textId="5A134EEE" w:rsidR="00AB400F" w:rsidRDefault="00AB400F" w:rsidP="00AB400F">
            <w:pPr>
              <w:pStyle w:val="TableText-cent"/>
              <w:rPr>
                <w:color w:val="0000FF"/>
                <w:sz w:val="18"/>
                <w:szCs w:val="18"/>
              </w:rPr>
            </w:pPr>
            <w:r>
              <w:rPr>
                <w:color w:val="0000FF"/>
                <w:sz w:val="18"/>
                <w:szCs w:val="18"/>
              </w:rPr>
              <w:t>0.1</w:t>
            </w:r>
            <w:r w:rsidR="001D215C">
              <w:rPr>
                <w:color w:val="0000FF"/>
                <w:sz w:val="18"/>
                <w:szCs w:val="18"/>
              </w:rPr>
              <w:t>0</w:t>
            </w:r>
          </w:p>
        </w:tc>
        <w:tc>
          <w:tcPr>
            <w:tcW w:w="262" w:type="pct"/>
          </w:tcPr>
          <w:p w14:paraId="737FB49C" w14:textId="0FBE44D6" w:rsidR="00AB400F" w:rsidRDefault="00AB400F" w:rsidP="00AB400F">
            <w:pPr>
              <w:pStyle w:val="TableText-cent"/>
              <w:rPr>
                <w:color w:val="0000FF"/>
                <w:sz w:val="18"/>
                <w:szCs w:val="18"/>
              </w:rPr>
            </w:pPr>
            <w:r>
              <w:rPr>
                <w:color w:val="0000FF"/>
                <w:sz w:val="18"/>
                <w:szCs w:val="18"/>
              </w:rPr>
              <w:t>0.4</w:t>
            </w:r>
            <w:r w:rsidR="00B937A6">
              <w:rPr>
                <w:color w:val="0000FF"/>
                <w:sz w:val="18"/>
                <w:szCs w:val="18"/>
              </w:rPr>
              <w:t>6</w:t>
            </w:r>
          </w:p>
        </w:tc>
      </w:tr>
      <w:tr w:rsidR="001F06C3" w:rsidRPr="009B5870" w14:paraId="6D114984" w14:textId="77777777" w:rsidTr="00E2379F">
        <w:trPr>
          <w:cnfStyle w:val="010000000000" w:firstRow="0" w:lastRow="1" w:firstColumn="0" w:lastColumn="0" w:oddVBand="0" w:evenVBand="0" w:oddHBand="0" w:evenHBand="0" w:firstRowFirstColumn="0" w:firstRowLastColumn="0" w:lastRowFirstColumn="0" w:lastRowLastColumn="0"/>
          <w:trHeight w:val="282"/>
        </w:trPr>
        <w:tc>
          <w:tcPr>
            <w:tcW w:w="579" w:type="pct"/>
            <w:tcBorders>
              <w:bottom w:val="none" w:sz="0" w:space="0" w:color="auto"/>
            </w:tcBorders>
          </w:tcPr>
          <w:p w14:paraId="1C558A99" w14:textId="0E759AAC" w:rsidR="005C597D" w:rsidRDefault="005C597D" w:rsidP="00F222D4">
            <w:pPr>
              <w:pStyle w:val="TableText-cent"/>
              <w:jc w:val="left"/>
              <w:rPr>
                <w:color w:val="0000FF"/>
                <w:sz w:val="18"/>
                <w:szCs w:val="18"/>
              </w:rPr>
            </w:pPr>
            <w:r>
              <w:rPr>
                <w:color w:val="0000FF"/>
                <w:sz w:val="18"/>
                <w:szCs w:val="18"/>
              </w:rPr>
              <w:t>201</w:t>
            </w:r>
            <w:r w:rsidR="00E71B3A">
              <w:rPr>
                <w:color w:val="0000FF"/>
                <w:sz w:val="18"/>
                <w:szCs w:val="18"/>
              </w:rPr>
              <w:t>7</w:t>
            </w:r>
            <w:r>
              <w:rPr>
                <w:color w:val="0000FF"/>
                <w:sz w:val="18"/>
                <w:szCs w:val="18"/>
              </w:rPr>
              <w:t xml:space="preserve"> – 201</w:t>
            </w:r>
            <w:r w:rsidR="00E71B3A">
              <w:rPr>
                <w:color w:val="0000FF"/>
                <w:sz w:val="18"/>
                <w:szCs w:val="18"/>
              </w:rPr>
              <w:t>8</w:t>
            </w:r>
          </w:p>
        </w:tc>
        <w:tc>
          <w:tcPr>
            <w:tcW w:w="369" w:type="pct"/>
            <w:tcBorders>
              <w:bottom w:val="none" w:sz="0" w:space="0" w:color="auto"/>
            </w:tcBorders>
          </w:tcPr>
          <w:p w14:paraId="18B2C023" w14:textId="4C7F0C6B" w:rsidR="005C597D" w:rsidRDefault="00B812F1" w:rsidP="00F222D4">
            <w:pPr>
              <w:pStyle w:val="TableText-cent"/>
              <w:rPr>
                <w:color w:val="0000FF"/>
                <w:sz w:val="18"/>
                <w:szCs w:val="18"/>
              </w:rPr>
            </w:pPr>
            <w:r>
              <w:rPr>
                <w:color w:val="0000FF"/>
                <w:sz w:val="18"/>
                <w:szCs w:val="18"/>
              </w:rPr>
              <w:t>14,9</w:t>
            </w:r>
            <w:r w:rsidR="00260A4E">
              <w:rPr>
                <w:color w:val="0000FF"/>
                <w:sz w:val="18"/>
                <w:szCs w:val="18"/>
              </w:rPr>
              <w:t>69</w:t>
            </w:r>
          </w:p>
        </w:tc>
        <w:tc>
          <w:tcPr>
            <w:tcW w:w="316" w:type="pct"/>
            <w:tcBorders>
              <w:bottom w:val="none" w:sz="0" w:space="0" w:color="auto"/>
            </w:tcBorders>
          </w:tcPr>
          <w:p w14:paraId="1C81CD2B" w14:textId="55489428" w:rsidR="005C597D" w:rsidRDefault="005C597D" w:rsidP="00F222D4">
            <w:pPr>
              <w:pStyle w:val="TableText-cent"/>
              <w:rPr>
                <w:color w:val="0000FF"/>
                <w:sz w:val="18"/>
                <w:szCs w:val="18"/>
              </w:rPr>
            </w:pPr>
            <w:r>
              <w:rPr>
                <w:color w:val="0000FF"/>
                <w:sz w:val="18"/>
                <w:szCs w:val="18"/>
              </w:rPr>
              <w:t>0.00</w:t>
            </w:r>
            <w:r w:rsidR="00AB400F">
              <w:rPr>
                <w:color w:val="0000FF"/>
                <w:sz w:val="18"/>
                <w:szCs w:val="18"/>
              </w:rPr>
              <w:t>80</w:t>
            </w:r>
          </w:p>
        </w:tc>
        <w:tc>
          <w:tcPr>
            <w:tcW w:w="315" w:type="pct"/>
            <w:tcBorders>
              <w:bottom w:val="none" w:sz="0" w:space="0" w:color="auto"/>
            </w:tcBorders>
          </w:tcPr>
          <w:p w14:paraId="3AA8A4EA" w14:textId="6A93FCDA" w:rsidR="005C597D" w:rsidRDefault="005C597D" w:rsidP="00F222D4">
            <w:pPr>
              <w:pStyle w:val="TableText-cent"/>
              <w:rPr>
                <w:color w:val="0000FF"/>
                <w:sz w:val="18"/>
                <w:szCs w:val="18"/>
              </w:rPr>
            </w:pPr>
            <w:r>
              <w:rPr>
                <w:color w:val="0000FF"/>
                <w:sz w:val="18"/>
                <w:szCs w:val="18"/>
              </w:rPr>
              <w:t>0.0</w:t>
            </w:r>
            <w:r w:rsidR="00AB400F">
              <w:rPr>
                <w:color w:val="0000FF"/>
                <w:sz w:val="18"/>
                <w:szCs w:val="18"/>
              </w:rPr>
              <w:t>29</w:t>
            </w:r>
          </w:p>
        </w:tc>
        <w:tc>
          <w:tcPr>
            <w:tcW w:w="349" w:type="pct"/>
            <w:tcBorders>
              <w:bottom w:val="none" w:sz="0" w:space="0" w:color="auto"/>
            </w:tcBorders>
          </w:tcPr>
          <w:p w14:paraId="72CB8AFC" w14:textId="7EBF5744" w:rsidR="005C597D" w:rsidRDefault="005C597D" w:rsidP="00F222D4">
            <w:pPr>
              <w:pStyle w:val="TableText-cent"/>
              <w:rPr>
                <w:color w:val="0000FF"/>
                <w:sz w:val="18"/>
                <w:szCs w:val="18"/>
              </w:rPr>
            </w:pPr>
            <w:r>
              <w:rPr>
                <w:color w:val="0000FF"/>
                <w:sz w:val="18"/>
                <w:szCs w:val="18"/>
              </w:rPr>
              <w:t>-0.</w:t>
            </w:r>
            <w:r w:rsidR="00150916">
              <w:rPr>
                <w:color w:val="0000FF"/>
                <w:sz w:val="18"/>
                <w:szCs w:val="18"/>
              </w:rPr>
              <w:t>52</w:t>
            </w:r>
          </w:p>
        </w:tc>
        <w:tc>
          <w:tcPr>
            <w:tcW w:w="281" w:type="pct"/>
            <w:tcBorders>
              <w:bottom w:val="none" w:sz="0" w:space="0" w:color="auto"/>
            </w:tcBorders>
          </w:tcPr>
          <w:p w14:paraId="059FC78F" w14:textId="47BA2C98" w:rsidR="005C597D" w:rsidRDefault="005C597D" w:rsidP="00F222D4">
            <w:pPr>
              <w:pStyle w:val="TableText-cent"/>
              <w:rPr>
                <w:color w:val="0000FF"/>
                <w:sz w:val="18"/>
                <w:szCs w:val="18"/>
              </w:rPr>
            </w:pPr>
            <w:r>
              <w:rPr>
                <w:color w:val="0000FF"/>
                <w:sz w:val="18"/>
                <w:szCs w:val="18"/>
              </w:rPr>
              <w:t>-0.0</w:t>
            </w:r>
            <w:r w:rsidR="00AB2220">
              <w:rPr>
                <w:color w:val="0000FF"/>
                <w:sz w:val="18"/>
                <w:szCs w:val="18"/>
              </w:rPr>
              <w:t>6</w:t>
            </w:r>
          </w:p>
        </w:tc>
        <w:tc>
          <w:tcPr>
            <w:tcW w:w="359" w:type="pct"/>
            <w:tcBorders>
              <w:bottom w:val="none" w:sz="0" w:space="0" w:color="auto"/>
            </w:tcBorders>
          </w:tcPr>
          <w:p w14:paraId="5DB75C8A" w14:textId="60D4D49A" w:rsidR="005C597D" w:rsidRDefault="005C597D" w:rsidP="00F222D4">
            <w:pPr>
              <w:pStyle w:val="TableText-cent"/>
              <w:rPr>
                <w:color w:val="0000FF"/>
                <w:sz w:val="18"/>
                <w:szCs w:val="18"/>
              </w:rPr>
            </w:pPr>
            <w:r>
              <w:rPr>
                <w:color w:val="0000FF"/>
                <w:sz w:val="18"/>
                <w:szCs w:val="18"/>
              </w:rPr>
              <w:t>-0.0</w:t>
            </w:r>
            <w:r w:rsidR="00F600DD">
              <w:rPr>
                <w:color w:val="0000FF"/>
                <w:sz w:val="18"/>
                <w:szCs w:val="18"/>
              </w:rPr>
              <w:t>3</w:t>
            </w:r>
          </w:p>
        </w:tc>
        <w:tc>
          <w:tcPr>
            <w:tcW w:w="343" w:type="pct"/>
            <w:tcBorders>
              <w:bottom w:val="none" w:sz="0" w:space="0" w:color="auto"/>
            </w:tcBorders>
          </w:tcPr>
          <w:p w14:paraId="5E65FEAF" w14:textId="77777777" w:rsidR="005C597D" w:rsidRDefault="005C597D" w:rsidP="00F222D4">
            <w:pPr>
              <w:pStyle w:val="TableText-cent"/>
              <w:rPr>
                <w:color w:val="0000FF"/>
                <w:sz w:val="18"/>
                <w:szCs w:val="18"/>
              </w:rPr>
            </w:pPr>
            <w:r>
              <w:rPr>
                <w:color w:val="0000FF"/>
                <w:sz w:val="18"/>
                <w:szCs w:val="18"/>
              </w:rPr>
              <w:t>-0.02</w:t>
            </w:r>
          </w:p>
        </w:tc>
        <w:tc>
          <w:tcPr>
            <w:tcW w:w="312" w:type="pct"/>
            <w:tcBorders>
              <w:bottom w:val="none" w:sz="0" w:space="0" w:color="auto"/>
            </w:tcBorders>
          </w:tcPr>
          <w:p w14:paraId="09E876A4" w14:textId="77777777" w:rsidR="005C597D" w:rsidRDefault="005C597D" w:rsidP="00F222D4">
            <w:pPr>
              <w:pStyle w:val="TableText-cent"/>
              <w:rPr>
                <w:color w:val="0000FF"/>
                <w:sz w:val="18"/>
                <w:szCs w:val="18"/>
              </w:rPr>
            </w:pPr>
            <w:r>
              <w:rPr>
                <w:color w:val="0000FF"/>
                <w:sz w:val="18"/>
                <w:szCs w:val="18"/>
              </w:rPr>
              <w:t>-0.01</w:t>
            </w:r>
          </w:p>
        </w:tc>
        <w:tc>
          <w:tcPr>
            <w:tcW w:w="325" w:type="pct"/>
            <w:tcBorders>
              <w:bottom w:val="none" w:sz="0" w:space="0" w:color="auto"/>
            </w:tcBorders>
          </w:tcPr>
          <w:p w14:paraId="361C16BE" w14:textId="077F3B1F" w:rsidR="005C597D" w:rsidRDefault="005C597D" w:rsidP="00F222D4">
            <w:pPr>
              <w:pStyle w:val="TableText-cent"/>
              <w:rPr>
                <w:color w:val="0000FF"/>
                <w:sz w:val="18"/>
                <w:szCs w:val="18"/>
              </w:rPr>
            </w:pPr>
            <w:r>
              <w:rPr>
                <w:color w:val="0000FF"/>
                <w:sz w:val="18"/>
                <w:szCs w:val="18"/>
              </w:rPr>
              <w:t>0.01</w:t>
            </w:r>
          </w:p>
        </w:tc>
        <w:tc>
          <w:tcPr>
            <w:tcW w:w="315" w:type="pct"/>
            <w:tcBorders>
              <w:bottom w:val="none" w:sz="0" w:space="0" w:color="auto"/>
            </w:tcBorders>
          </w:tcPr>
          <w:p w14:paraId="6EA15475" w14:textId="77777777" w:rsidR="005C597D" w:rsidRDefault="005C597D" w:rsidP="00F222D4">
            <w:pPr>
              <w:pStyle w:val="TableText-cent"/>
              <w:rPr>
                <w:color w:val="0000FF"/>
                <w:sz w:val="18"/>
                <w:szCs w:val="18"/>
              </w:rPr>
            </w:pPr>
            <w:r>
              <w:rPr>
                <w:color w:val="0000FF"/>
                <w:sz w:val="18"/>
                <w:szCs w:val="18"/>
              </w:rPr>
              <w:t>0.02</w:t>
            </w:r>
          </w:p>
        </w:tc>
        <w:tc>
          <w:tcPr>
            <w:tcW w:w="280" w:type="pct"/>
            <w:tcBorders>
              <w:bottom w:val="none" w:sz="0" w:space="0" w:color="auto"/>
            </w:tcBorders>
          </w:tcPr>
          <w:p w14:paraId="3E31F9C0" w14:textId="05D907DB" w:rsidR="005C597D" w:rsidRDefault="005C597D" w:rsidP="00F222D4">
            <w:pPr>
              <w:pStyle w:val="TableText-cent"/>
              <w:rPr>
                <w:color w:val="0000FF"/>
                <w:sz w:val="18"/>
                <w:szCs w:val="18"/>
              </w:rPr>
            </w:pPr>
            <w:r>
              <w:rPr>
                <w:color w:val="0000FF"/>
                <w:sz w:val="18"/>
                <w:szCs w:val="18"/>
              </w:rPr>
              <w:t>0.0</w:t>
            </w:r>
            <w:r w:rsidR="00034D27">
              <w:rPr>
                <w:color w:val="0000FF"/>
                <w:sz w:val="18"/>
                <w:szCs w:val="18"/>
              </w:rPr>
              <w:t>4</w:t>
            </w:r>
          </w:p>
        </w:tc>
        <w:tc>
          <w:tcPr>
            <w:tcW w:w="327" w:type="pct"/>
            <w:tcBorders>
              <w:bottom w:val="none" w:sz="0" w:space="0" w:color="auto"/>
            </w:tcBorders>
          </w:tcPr>
          <w:p w14:paraId="1E470E4C" w14:textId="0B97CD98" w:rsidR="005C597D" w:rsidRDefault="005C597D" w:rsidP="00F222D4">
            <w:pPr>
              <w:pStyle w:val="TableText-cent"/>
              <w:rPr>
                <w:color w:val="0000FF"/>
                <w:sz w:val="18"/>
                <w:szCs w:val="18"/>
              </w:rPr>
            </w:pPr>
            <w:r>
              <w:rPr>
                <w:color w:val="0000FF"/>
                <w:sz w:val="18"/>
                <w:szCs w:val="18"/>
              </w:rPr>
              <w:t>0.0</w:t>
            </w:r>
            <w:r w:rsidR="00034D27">
              <w:rPr>
                <w:color w:val="0000FF"/>
                <w:sz w:val="18"/>
                <w:szCs w:val="18"/>
              </w:rPr>
              <w:t>6</w:t>
            </w:r>
          </w:p>
        </w:tc>
        <w:tc>
          <w:tcPr>
            <w:tcW w:w="269" w:type="pct"/>
            <w:tcBorders>
              <w:bottom w:val="none" w:sz="0" w:space="0" w:color="auto"/>
            </w:tcBorders>
          </w:tcPr>
          <w:p w14:paraId="26FC4164" w14:textId="4D7819D1" w:rsidR="005C597D" w:rsidRDefault="005C597D" w:rsidP="00F222D4">
            <w:pPr>
              <w:pStyle w:val="TableText-cent"/>
              <w:rPr>
                <w:color w:val="0000FF"/>
                <w:sz w:val="18"/>
                <w:szCs w:val="18"/>
              </w:rPr>
            </w:pPr>
            <w:r>
              <w:rPr>
                <w:color w:val="0000FF"/>
                <w:sz w:val="18"/>
                <w:szCs w:val="18"/>
              </w:rPr>
              <w:t>0.</w:t>
            </w:r>
            <w:r w:rsidR="00034D27">
              <w:rPr>
                <w:color w:val="0000FF"/>
                <w:sz w:val="18"/>
                <w:szCs w:val="18"/>
              </w:rPr>
              <w:t>10</w:t>
            </w:r>
          </w:p>
        </w:tc>
        <w:tc>
          <w:tcPr>
            <w:tcW w:w="262" w:type="pct"/>
            <w:tcBorders>
              <w:bottom w:val="none" w:sz="0" w:space="0" w:color="auto"/>
            </w:tcBorders>
          </w:tcPr>
          <w:p w14:paraId="3665739E" w14:textId="0C5E9A95" w:rsidR="005C597D" w:rsidRDefault="005C597D" w:rsidP="00F222D4">
            <w:pPr>
              <w:pStyle w:val="TableText-cent"/>
              <w:rPr>
                <w:color w:val="0000FF"/>
                <w:sz w:val="18"/>
                <w:szCs w:val="18"/>
              </w:rPr>
            </w:pPr>
            <w:r>
              <w:rPr>
                <w:color w:val="0000FF"/>
                <w:sz w:val="18"/>
                <w:szCs w:val="18"/>
              </w:rPr>
              <w:t>0.</w:t>
            </w:r>
            <w:r w:rsidR="00B937A6">
              <w:rPr>
                <w:color w:val="0000FF"/>
                <w:sz w:val="18"/>
                <w:szCs w:val="18"/>
              </w:rPr>
              <w:t>42</w:t>
            </w:r>
          </w:p>
        </w:tc>
      </w:tr>
    </w:tbl>
    <w:p w14:paraId="7DF8F625" w14:textId="5E560402" w:rsidR="005C597D" w:rsidRPr="00390D75" w:rsidRDefault="00E2373F" w:rsidP="00390D75">
      <w:pPr>
        <w:autoSpaceDE w:val="0"/>
        <w:autoSpaceDN w:val="0"/>
        <w:adjustRightInd w:val="0"/>
        <w:spacing w:after="0" w:line="240" w:lineRule="auto"/>
        <w:rPr>
          <w:rStyle w:val="normaltextrun"/>
          <w:rFonts w:ascii="Calibri" w:eastAsia="MS Mincho" w:hAnsi="Calibri" w:cs="Calibri"/>
          <w:bCs/>
          <w:color w:val="0000FF"/>
          <w:sz w:val="20"/>
          <w:szCs w:val="20"/>
        </w:rPr>
      </w:pPr>
      <w:r>
        <w:rPr>
          <w:rFonts w:eastAsia="Times New Roman" w:cs="Times New Roman"/>
          <w:color w:val="0000FF"/>
          <w:sz w:val="20"/>
          <w:szCs w:val="20"/>
        </w:rPr>
        <w:t>Source</w:t>
      </w:r>
      <w:r w:rsidR="005C597D" w:rsidRPr="00561398">
        <w:rPr>
          <w:rFonts w:eastAsia="Times New Roman" w:cs="Times New Roman"/>
          <w:color w:val="0000FF"/>
          <w:sz w:val="20"/>
          <w:szCs w:val="20"/>
        </w:rPr>
        <w:t xml:space="preserve">: </w:t>
      </w:r>
      <w:r w:rsidR="005C597D">
        <w:rPr>
          <w:rFonts w:eastAsia="Times New Roman" w:cs="Times New Roman"/>
          <w:color w:val="0000FF"/>
          <w:sz w:val="20"/>
          <w:szCs w:val="20"/>
        </w:rPr>
        <w:t>RTI analysis of MDS 3.0 Data, Q</w:t>
      </w:r>
      <w:r w:rsidR="00843DB8">
        <w:rPr>
          <w:rFonts w:eastAsia="Times New Roman" w:cs="Times New Roman"/>
          <w:color w:val="0000FF"/>
          <w:sz w:val="20"/>
          <w:szCs w:val="20"/>
        </w:rPr>
        <w:t>4</w:t>
      </w:r>
      <w:r w:rsidR="005C597D">
        <w:rPr>
          <w:rFonts w:eastAsia="Times New Roman" w:cs="Times New Roman"/>
          <w:color w:val="0000FF"/>
          <w:sz w:val="20"/>
          <w:szCs w:val="20"/>
        </w:rPr>
        <w:t>, 2013 through Q</w:t>
      </w:r>
      <w:r w:rsidR="00843DB8">
        <w:rPr>
          <w:rFonts w:eastAsia="Times New Roman" w:cs="Times New Roman"/>
          <w:color w:val="0000FF"/>
          <w:sz w:val="20"/>
          <w:szCs w:val="20"/>
        </w:rPr>
        <w:t>3</w:t>
      </w:r>
      <w:r w:rsidR="005C597D">
        <w:rPr>
          <w:rFonts w:eastAsia="Times New Roman" w:cs="Times New Roman"/>
          <w:color w:val="0000FF"/>
          <w:sz w:val="20"/>
          <w:szCs w:val="20"/>
        </w:rPr>
        <w:t>,</w:t>
      </w:r>
      <w:r w:rsidR="005C597D" w:rsidRPr="00561398">
        <w:rPr>
          <w:rFonts w:eastAsia="Times New Roman" w:cs="Times New Roman"/>
          <w:color w:val="0000FF"/>
          <w:sz w:val="20"/>
          <w:szCs w:val="20"/>
        </w:rPr>
        <w:t xml:space="preserve"> 201</w:t>
      </w:r>
      <w:r w:rsidR="00843DB8">
        <w:rPr>
          <w:rFonts w:eastAsia="Times New Roman" w:cs="Times New Roman"/>
          <w:color w:val="0000FF"/>
          <w:sz w:val="20"/>
          <w:szCs w:val="20"/>
        </w:rPr>
        <w:t>8</w:t>
      </w:r>
      <w:r w:rsidR="005C597D" w:rsidRPr="00561398">
        <w:rPr>
          <w:rFonts w:eastAsia="Times New Roman" w:cs="Times New Roman"/>
          <w:color w:val="0000FF"/>
          <w:sz w:val="20"/>
          <w:szCs w:val="20"/>
        </w:rPr>
        <w:t xml:space="preserve"> (programming refe</w:t>
      </w:r>
      <w:r w:rsidR="005C597D">
        <w:rPr>
          <w:rFonts w:eastAsia="Times New Roman" w:cs="Times New Roman"/>
          <w:color w:val="0000FF"/>
          <w:sz w:val="20"/>
          <w:szCs w:val="20"/>
        </w:rPr>
        <w:t xml:space="preserve">rence: </w:t>
      </w:r>
      <w:r w:rsidR="00651D3E">
        <w:rPr>
          <w:rFonts w:eastAsia="Times New Roman" w:cs="Times New Roman"/>
          <w:color w:val="0000FF"/>
          <w:sz w:val="20"/>
          <w:szCs w:val="20"/>
        </w:rPr>
        <w:t>hf</w:t>
      </w:r>
      <w:r w:rsidR="005C597D">
        <w:rPr>
          <w:rFonts w:eastAsia="Times New Roman" w:cs="Times New Roman"/>
          <w:color w:val="0000FF"/>
          <w:sz w:val="20"/>
          <w:szCs w:val="20"/>
        </w:rPr>
        <w:t>\</w:t>
      </w:r>
      <w:r w:rsidR="00651D3E">
        <w:rPr>
          <w:rFonts w:eastAsia="Times New Roman" w:cs="Times New Roman"/>
          <w:color w:val="0000FF"/>
          <w:sz w:val="20"/>
          <w:szCs w:val="20"/>
        </w:rPr>
        <w:t>hf1</w:t>
      </w:r>
      <w:r w:rsidR="00843DB8">
        <w:rPr>
          <w:rFonts w:eastAsia="Times New Roman" w:cs="Times New Roman"/>
          <w:color w:val="0000FF"/>
          <w:sz w:val="20"/>
          <w:szCs w:val="20"/>
        </w:rPr>
        <w:t>8</w:t>
      </w:r>
      <w:r w:rsidR="005C597D">
        <w:rPr>
          <w:rFonts w:eastAsia="Times New Roman" w:cs="Times New Roman"/>
          <w:color w:val="0000FF"/>
          <w:sz w:val="20"/>
          <w:szCs w:val="20"/>
        </w:rPr>
        <w:t>\</w:t>
      </w:r>
      <w:r w:rsidR="00651D3E">
        <w:rPr>
          <w:rFonts w:eastAsia="Times New Roman" w:cs="Times New Roman"/>
          <w:color w:val="0000FF"/>
          <w:sz w:val="20"/>
          <w:szCs w:val="20"/>
        </w:rPr>
        <w:t>hf1</w:t>
      </w:r>
      <w:r w:rsidR="00843DB8">
        <w:rPr>
          <w:rFonts w:eastAsia="Times New Roman" w:cs="Times New Roman"/>
          <w:color w:val="0000FF"/>
          <w:sz w:val="20"/>
          <w:szCs w:val="20"/>
        </w:rPr>
        <w:t>8</w:t>
      </w:r>
      <w:r w:rsidR="005C597D">
        <w:rPr>
          <w:rFonts w:eastAsia="Times New Roman" w:cs="Times New Roman"/>
          <w:color w:val="0000FF"/>
          <w:sz w:val="20"/>
          <w:szCs w:val="20"/>
        </w:rPr>
        <w:t>_request_q_31_32_684.log</w:t>
      </w:r>
      <w:r w:rsidR="005C597D" w:rsidRPr="00561398">
        <w:rPr>
          <w:rFonts w:eastAsia="Times New Roman" w:cs="Times New Roman"/>
          <w:color w:val="0000FF"/>
          <w:sz w:val="20"/>
          <w:szCs w:val="20"/>
        </w:rPr>
        <w:t>)</w:t>
      </w:r>
      <w:r w:rsidR="005C597D" w:rsidRPr="00561398">
        <w:rPr>
          <w:rFonts w:ascii="Calibri" w:eastAsia="MS Mincho" w:hAnsi="Calibri" w:cs="Calibri"/>
          <w:bCs/>
          <w:color w:val="0000FF"/>
          <w:sz w:val="20"/>
          <w:szCs w:val="20"/>
        </w:rPr>
        <w:t xml:space="preserve"> </w:t>
      </w:r>
    </w:p>
    <w:p w14:paraId="2EE05D0C" w14:textId="569C06EC" w:rsidR="00767314" w:rsidRPr="000F7089" w:rsidRDefault="006C32A4" w:rsidP="00767314">
      <w:pPr>
        <w:pStyle w:val="Response"/>
        <w:ind w:left="720" w:hanging="450"/>
        <w:rPr>
          <w:highlight w:val="yellow"/>
        </w:rPr>
      </w:pPr>
      <w:r w:rsidRPr="00157E89">
        <w:t>1.</w:t>
      </w:r>
      <w:r w:rsidR="005C597D">
        <w:t>g</w:t>
      </w:r>
      <w:r w:rsidRPr="00157E89">
        <w:t xml:space="preserve">. </w:t>
      </w:r>
      <w:r>
        <w:tab/>
      </w:r>
      <w:r w:rsidR="00485D7B">
        <w:t xml:space="preserve">Face validity: </w:t>
      </w:r>
      <w:r w:rsidR="00AC606A">
        <w:t xml:space="preserve">The majority of </w:t>
      </w:r>
      <w:r w:rsidR="00B91423" w:rsidRPr="00C310C0">
        <w:t xml:space="preserve">TEP members explicitly affirmed </w:t>
      </w:r>
      <w:r w:rsidR="00B91423">
        <w:t xml:space="preserve">the face </w:t>
      </w:r>
      <w:r w:rsidR="00B91423" w:rsidRPr="00A11604">
        <w:t xml:space="preserve">validity of NQF #0684. </w:t>
      </w:r>
      <w:r w:rsidR="007D02B6">
        <w:t>The TEP supported</w:t>
      </w:r>
      <w:r w:rsidR="00E72477" w:rsidRPr="00A11604">
        <w:t xml:space="preserve"> continued public reporting of the measure, as it allows</w:t>
      </w:r>
      <w:r w:rsidR="00473355" w:rsidRPr="00A11604">
        <w:t xml:space="preserve"> providers to track their </w:t>
      </w:r>
      <w:r w:rsidR="008F7E1C" w:rsidRPr="00A11604">
        <w:t>performance not only in correctly diagnosing UTI</w:t>
      </w:r>
      <w:r w:rsidR="003145A5" w:rsidRPr="00A11604">
        <w:t>s,</w:t>
      </w:r>
      <w:r w:rsidR="008F7E1C" w:rsidRPr="00A11604">
        <w:t xml:space="preserve"> but also in antibiotic stewardship, which is closely linked to UTI management.</w:t>
      </w:r>
      <w:r w:rsidR="00B91423" w:rsidRPr="00A11604">
        <w:t xml:space="preserve"> </w:t>
      </w:r>
      <w:r w:rsidR="007D02B6">
        <w:t>Most TEP</w:t>
      </w:r>
      <w:r w:rsidR="00B17FCD" w:rsidRPr="00A11604">
        <w:t xml:space="preserve"> members agreed that the measure </w:t>
      </w:r>
      <w:r w:rsidR="00EB60E3" w:rsidRPr="00A11604">
        <w:t xml:space="preserve">facilitated </w:t>
      </w:r>
      <w:r w:rsidR="003145A5" w:rsidRPr="00A11604">
        <w:t>a declining trend</w:t>
      </w:r>
      <w:r w:rsidR="00EB60E3" w:rsidRPr="00A11604">
        <w:t xml:space="preserve"> </w:t>
      </w:r>
      <w:r w:rsidR="003145A5" w:rsidRPr="00A11604">
        <w:t>in</w:t>
      </w:r>
      <w:r w:rsidR="00EB60E3" w:rsidRPr="00A11604">
        <w:t xml:space="preserve"> UTI rates over time, and</w:t>
      </w:r>
      <w:r w:rsidR="00EB60E3">
        <w:t xml:space="preserve"> </w:t>
      </w:r>
      <w:r w:rsidR="003145A5">
        <w:t>reflected</w:t>
      </w:r>
      <w:r w:rsidR="00EB60E3">
        <w:t xml:space="preserve"> quality of care in nursing homes. </w:t>
      </w:r>
      <w:r w:rsidR="00DE0961">
        <w:t>Some TEP members suggested looking at the relationship between UTI and function, hospice care, and dementia</w:t>
      </w:r>
      <w:r w:rsidR="00E8560C">
        <w:t xml:space="preserve"> to see if they might be appropriate risk adjustors</w:t>
      </w:r>
      <w:r w:rsidR="00AC606A">
        <w:t xml:space="preserve"> (s</w:t>
      </w:r>
      <w:r w:rsidR="008E0D69">
        <w:t>ee</w:t>
      </w:r>
      <w:r w:rsidR="007175C4">
        <w:t xml:space="preserve"> </w:t>
      </w:r>
      <w:r w:rsidR="002A6972" w:rsidRPr="002A6972">
        <w:rPr>
          <w:b/>
          <w:bCs w:val="0"/>
        </w:rPr>
        <w:t>S</w:t>
      </w:r>
      <w:r w:rsidR="007175C4" w:rsidRPr="002A6972">
        <w:rPr>
          <w:b/>
          <w:bCs w:val="0"/>
        </w:rPr>
        <w:t>ection</w:t>
      </w:r>
      <w:r w:rsidR="008E0D69" w:rsidRPr="002A6972">
        <w:rPr>
          <w:b/>
          <w:bCs w:val="0"/>
        </w:rPr>
        <w:t xml:space="preserve"> </w:t>
      </w:r>
      <w:r w:rsidR="008E0D69" w:rsidRPr="004647D3">
        <w:rPr>
          <w:b/>
        </w:rPr>
        <w:t>2b</w:t>
      </w:r>
      <w:r w:rsidR="004647D3">
        <w:rPr>
          <w:b/>
        </w:rPr>
        <w:t>3.3a</w:t>
      </w:r>
      <w:r w:rsidR="000F7A96">
        <w:rPr>
          <w:b/>
        </w:rPr>
        <w:t xml:space="preserve"> </w:t>
      </w:r>
      <w:r w:rsidR="000F7A96">
        <w:t>for analysis</w:t>
      </w:r>
      <w:r w:rsidR="00AC606A">
        <w:t xml:space="preserve"> of candidate factors</w:t>
      </w:r>
      <w:r w:rsidR="000F7A96">
        <w:t>)</w:t>
      </w:r>
      <w:r w:rsidR="00AC606A">
        <w:t>; however, TEP members voiced support for</w:t>
      </w:r>
      <w:r w:rsidR="00B91423">
        <w:t xml:space="preserve"> the face validity of NQF #068</w:t>
      </w:r>
      <w:r w:rsidR="00466E14">
        <w:t>4</w:t>
      </w:r>
      <w:r w:rsidR="00B91423">
        <w:t xml:space="preserve"> as it is currently specified</w:t>
      </w:r>
      <w:r w:rsidR="00AC606A">
        <w:t xml:space="preserve"> (RTI International, 2019)</w:t>
      </w:r>
      <w:r w:rsidR="00B91423">
        <w:t>.</w:t>
      </w:r>
    </w:p>
    <w:p w14:paraId="59EE9882" w14:textId="77777777" w:rsidR="00A97C32" w:rsidRPr="00C46B13" w:rsidRDefault="00A97C32" w:rsidP="00A97C32">
      <w:pPr>
        <w:pStyle w:val="Response"/>
        <w:ind w:left="720" w:hanging="360"/>
        <w:rPr>
          <w:sz w:val="20"/>
          <w:szCs w:val="20"/>
        </w:rPr>
      </w:pPr>
      <w:r w:rsidRPr="00A97C32">
        <w:rPr>
          <w:sz w:val="20"/>
          <w:szCs w:val="20"/>
        </w:rPr>
        <w:t>RTI International. (2019, June).  Technical Expert Panel Summary Report: Maintenance of Nursing Home Quality Measures. Prepared under CMS Contract No. HHSM-500-2013-13015I.  Available at https://www.cms.gov/Medicare/Quality-Initiatives-Patient-Assessment-Instruments/MMS/TEP-Current-Panels.html.</w:t>
      </w:r>
    </w:p>
    <w:p w14:paraId="0CABCFDF" w14:textId="26AE76CA" w:rsidR="007422FD" w:rsidRPr="00A25024"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w:t>
      </w:r>
      <w:r w:rsidR="000B2DF7" w:rsidRPr="00D50C66">
        <w:rPr>
          <w:rFonts w:cstheme="minorHAnsi"/>
          <w:bCs/>
          <w:i/>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p>
    <w:p w14:paraId="26F4B48E" w14:textId="77777777" w:rsidR="00110E68" w:rsidRPr="00EA5CCD" w:rsidRDefault="00110E68" w:rsidP="003E0493">
      <w:pPr>
        <w:pStyle w:val="Response"/>
        <w:spacing w:after="0"/>
        <w:rPr>
          <w:b/>
        </w:rPr>
      </w:pPr>
      <w:r w:rsidRPr="00EA5CCD">
        <w:rPr>
          <w:b/>
        </w:rPr>
        <w:t>Performance Measure Score Validity</w:t>
      </w:r>
    </w:p>
    <w:p w14:paraId="576A72BF" w14:textId="624717A8" w:rsidR="00F22BA8" w:rsidRPr="009A0812" w:rsidRDefault="00F22BA8" w:rsidP="003E0493">
      <w:pPr>
        <w:pStyle w:val="Response"/>
        <w:spacing w:before="0"/>
        <w:ind w:left="360"/>
      </w:pPr>
      <w:r w:rsidRPr="00354973">
        <w:t xml:space="preserve">RTI’s analyses indicated that this measure is a valid measurement of </w:t>
      </w:r>
      <w:r>
        <w:t>urinary tract infections.</w:t>
      </w:r>
      <w:r w:rsidR="00E87D6C">
        <w:t xml:space="preserve"> </w:t>
      </w:r>
      <w:r w:rsidR="00BF07E0">
        <w:t>The testing results indicated high validity according to</w:t>
      </w:r>
      <w:r w:rsidR="00554D97">
        <w:t xml:space="preserve"> analysis of</w:t>
      </w:r>
      <w:r w:rsidR="003627B0">
        <w:t xml:space="preserve"> </w:t>
      </w:r>
      <w:r w:rsidR="00554D97">
        <w:t>seasonal variation</w:t>
      </w:r>
      <w:r w:rsidR="007D02B6">
        <w:t>.</w:t>
      </w:r>
      <w:r w:rsidR="00E87D6C">
        <w:t xml:space="preserve"> </w:t>
      </w:r>
      <w:r w:rsidR="00986AD3">
        <w:t>Facility-level measure score</w:t>
      </w:r>
      <w:r w:rsidR="005D3C89">
        <w:t>s</w:t>
      </w:r>
      <w:r w:rsidR="00F07B1C" w:rsidRPr="00623852">
        <w:t xml:space="preserve"> do not vary substantially from quarter to quarter corresponding to changes in seasons; thus, seasonality is not a threat to validity for this measure.</w:t>
      </w:r>
      <w:r w:rsidR="00F07B1C">
        <w:t xml:space="preserve"> The testing results also indicate high validity according to analysis of </w:t>
      </w:r>
      <w:r w:rsidR="00554D97">
        <w:t xml:space="preserve">change in measure performance over years, </w:t>
      </w:r>
      <w:r w:rsidR="00F85D08">
        <w:t>confidence interval analysis</w:t>
      </w:r>
      <w:r w:rsidR="00F07B1C">
        <w:t>,</w:t>
      </w:r>
      <w:r w:rsidR="00554D97">
        <w:t xml:space="preserve"> </w:t>
      </w:r>
      <w:r w:rsidR="000216FC">
        <w:t>and variation by state</w:t>
      </w:r>
      <w:r w:rsidR="00566200">
        <w:t xml:space="preserve"> (with a low proportion of variance explained by state).</w:t>
      </w:r>
      <w:r w:rsidR="00E87D6C">
        <w:t xml:space="preserve"> </w:t>
      </w:r>
      <w:r w:rsidR="002579A4">
        <w:t>The measure</w:t>
      </w:r>
      <w:r w:rsidR="000216FC">
        <w:t xml:space="preserve"> also showed </w:t>
      </w:r>
      <w:r w:rsidR="00BF07E0">
        <w:t xml:space="preserve">moderate validity </w:t>
      </w:r>
      <w:r w:rsidR="005E3F25">
        <w:t>according to correlations with related quality measures</w:t>
      </w:r>
      <w:r w:rsidR="00DE1A33">
        <w:t>; i.e., f</w:t>
      </w:r>
      <w:r w:rsidR="00DE1A33" w:rsidRPr="00354973">
        <w:t xml:space="preserve">acilities’ scores on this QM are positively correlated with their scores on </w:t>
      </w:r>
      <w:r w:rsidR="00DE1A33" w:rsidRPr="00830D77">
        <w:t>#0686 (Percent of Residents Who Have/Had a Catheter Inserted and Left in Their Bladder (Long Stay))</w:t>
      </w:r>
      <w:r w:rsidR="00DE1A33">
        <w:t xml:space="preserve"> and </w:t>
      </w:r>
      <w:r w:rsidR="00DE1A33" w:rsidRPr="00830D77">
        <w:t>NQF #0685 (Percent of Low Risk Residents Who Lose Control of their Bowels or Bladder (Long Stay))</w:t>
      </w:r>
      <w:r w:rsidR="00DE1A33" w:rsidRPr="00A66225">
        <w:t>, providing some evidence supporting convergent validity.</w:t>
      </w:r>
      <w:r w:rsidR="00DE1A33">
        <w:t xml:space="preserve"> </w:t>
      </w:r>
      <w:r w:rsidR="00F85D08">
        <w:t>T</w:t>
      </w:r>
      <w:r w:rsidR="000D1E2A">
        <w:t>he testing did suggest some instability in facility</w:t>
      </w:r>
      <w:r w:rsidR="009F4533">
        <w:t xml:space="preserve"> decile</w:t>
      </w:r>
      <w:r w:rsidR="000D1E2A">
        <w:t xml:space="preserve"> ranking over time, potentially attributable to lower prevalence and narrow distribution.</w:t>
      </w:r>
      <w:r w:rsidR="005E3F25">
        <w:t xml:space="preserve"> </w:t>
      </w:r>
      <w:r w:rsidR="00871EC6">
        <w:t>However, change in measure performance over years was small, even</w:t>
      </w:r>
      <w:r w:rsidR="00796A02">
        <w:t xml:space="preserve"> after the </w:t>
      </w:r>
      <w:r w:rsidR="00814074">
        <w:t>revision of</w:t>
      </w:r>
      <w:r w:rsidR="00796A02">
        <w:t xml:space="preserve"> item coding guidelines, indicating that </w:t>
      </w:r>
      <w:r w:rsidR="00953A2E">
        <w:t xml:space="preserve">changes in facility scores are not due </w:t>
      </w:r>
      <w:r w:rsidR="00814074">
        <w:t>to change in coding practice.</w:t>
      </w:r>
      <w:r w:rsidR="00E87D6C">
        <w:t xml:space="preserve"> </w:t>
      </w:r>
      <w:bookmarkStart w:id="28" w:name="_Hlk11015019"/>
      <w:r w:rsidR="00C91B71">
        <w:t>The 2019 TEP supported the face validity of the measure</w:t>
      </w:r>
      <w:r w:rsidR="00EB35D7">
        <w:t xml:space="preserve">. </w:t>
      </w:r>
      <w:bookmarkEnd w:id="28"/>
    </w:p>
    <w:p w14:paraId="5E74DC40" w14:textId="7CDE8C77" w:rsidR="00110E68" w:rsidRPr="00EA5CCD" w:rsidRDefault="00110E68" w:rsidP="003E0493">
      <w:pPr>
        <w:pStyle w:val="Response"/>
        <w:spacing w:before="0"/>
        <w:ind w:left="360"/>
      </w:pPr>
      <w:r w:rsidRPr="00A66225">
        <w:lastRenderedPageBreak/>
        <w:t xml:space="preserve">Please see </w:t>
      </w:r>
      <w:r w:rsidR="0067560F" w:rsidRPr="0067560F">
        <w:rPr>
          <w:b/>
          <w:bCs w:val="0"/>
        </w:rPr>
        <w:t>S</w:t>
      </w:r>
      <w:r w:rsidRPr="0067560F">
        <w:rPr>
          <w:b/>
          <w:bCs w:val="0"/>
        </w:rPr>
        <w:t>ection 2b6</w:t>
      </w:r>
      <w:r w:rsidRPr="00A66225">
        <w:t xml:space="preserve"> for analysis of the impact of missing data on this measure, which also speaks to validity.</w:t>
      </w:r>
      <w:r w:rsidRPr="00EA5CCD">
        <w:t xml:space="preserve"> </w:t>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48C0BB72" w:rsidR="00833325" w:rsidRPr="009D3882" w:rsidRDefault="00092566" w:rsidP="00DB3627">
      <w:pPr>
        <w:autoSpaceDE w:val="0"/>
        <w:autoSpaceDN w:val="0"/>
        <w:adjustRightInd w:val="0"/>
        <w:spacing w:after="0" w:line="240" w:lineRule="auto"/>
        <w:rPr>
          <w:rFonts w:cstheme="minorHAnsi"/>
          <w:bCs/>
          <w:sz w:val="12"/>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 xml:space="preserve">) </w:t>
      </w:r>
    </w:p>
    <w:p w14:paraId="033BFE45" w14:textId="47489BEA" w:rsidR="00F22BA8" w:rsidRDefault="00F22BA8" w:rsidP="00A146FE">
      <w:pPr>
        <w:pStyle w:val="Response"/>
        <w:ind w:left="360"/>
      </w:pPr>
      <w:r>
        <w:t xml:space="preserve">The denominator exclusion criteria for this quality measure are as follows: 1) The target assessment is an admission assessment, a PPS 5-day assessment or a PPS readmission/return assessment; </w:t>
      </w:r>
      <w:r w:rsidRPr="00BA52E7">
        <w:t>2) The</w:t>
      </w:r>
      <w:r w:rsidR="00F61178" w:rsidRPr="00BA52E7">
        <w:t>re are missing data in the response to urinary tract infection item in the target assessment</w:t>
      </w:r>
      <w:r w:rsidR="00D177FE">
        <w:t>.</w:t>
      </w:r>
      <w:r>
        <w:t xml:space="preserve"> </w:t>
      </w:r>
    </w:p>
    <w:p w14:paraId="3B7B5D6B" w14:textId="77777777" w:rsidR="00F61178" w:rsidRPr="00EA5CCD" w:rsidRDefault="00F61178" w:rsidP="00A146FE">
      <w:pPr>
        <w:pStyle w:val="Response"/>
        <w:ind w:left="360"/>
      </w:pPr>
      <w:r w:rsidRPr="00EA5CCD">
        <w:t>RTI examined the frequency and proportion of residents excluded from this measure for each of the exclusion criteria for this quality measure.</w:t>
      </w:r>
    </w:p>
    <w:p w14:paraId="06BBA9D7" w14:textId="0328FEDC" w:rsidR="00F61178" w:rsidRPr="00EA5CCD" w:rsidRDefault="00F61178" w:rsidP="00A146FE">
      <w:pPr>
        <w:pStyle w:val="Response"/>
        <w:ind w:left="360"/>
      </w:pPr>
      <w:r w:rsidRPr="00EA5CCD">
        <w:t xml:space="preserve">Exclusion criterion </w:t>
      </w:r>
      <w:r w:rsidR="0065428B">
        <w:t>2</w:t>
      </w:r>
      <w:r w:rsidR="0065428B" w:rsidRPr="00EA5CCD">
        <w:t xml:space="preserve"> </w:t>
      </w:r>
      <w:r w:rsidRPr="00EA5CCD">
        <w:t xml:space="preserve">relating to missing data is assessed in greater detail in </w:t>
      </w:r>
      <w:r w:rsidR="002A6972" w:rsidRPr="00147303">
        <w:rPr>
          <w:b/>
          <w:bCs w:val="0"/>
        </w:rPr>
        <w:t>S</w:t>
      </w:r>
      <w:r w:rsidRPr="00147303">
        <w:rPr>
          <w:b/>
          <w:bCs w:val="0"/>
        </w:rPr>
        <w:t>ection 2b6</w:t>
      </w:r>
      <w:r w:rsidRPr="00EA5CCD">
        <w:t>.</w:t>
      </w:r>
    </w:p>
    <w:p w14:paraId="0CABCFE6" w14:textId="73568631" w:rsidR="007422FD"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A25024">
        <w:rPr>
          <w:rFonts w:cstheme="minorHAnsi"/>
          <w:bCs/>
          <w:i/>
        </w:rPr>
        <w:t xml:space="preserve">include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14:paraId="1DFA652D" w14:textId="50A7C862" w:rsidR="00BD66E7" w:rsidRPr="000B54D0" w:rsidRDefault="00BD66E7" w:rsidP="00A146FE">
      <w:pPr>
        <w:pStyle w:val="ListBullet2"/>
        <w:spacing w:after="0"/>
        <w:ind w:left="360"/>
        <w:contextualSpacing w:val="0"/>
        <w:rPr>
          <w:bCs w:val="0"/>
        </w:rPr>
      </w:pPr>
      <w:r w:rsidRPr="00EA5CCD">
        <w:rPr>
          <w:bCs w:val="0"/>
        </w:rPr>
        <w:t xml:space="preserve">A total of </w:t>
      </w:r>
      <w:r w:rsidR="00E05C43">
        <w:t>13,352</w:t>
      </w:r>
      <w:r w:rsidRPr="00621341">
        <w:t xml:space="preserve"> residents</w:t>
      </w:r>
      <w:r w:rsidRPr="00EA5CCD">
        <w:rPr>
          <w:bCs w:val="0"/>
        </w:rPr>
        <w:t xml:space="preserve"> </w:t>
      </w:r>
      <w:r w:rsidR="00986AD3" w:rsidRPr="002A1E1D">
        <w:rPr>
          <w:bCs w:val="0"/>
        </w:rPr>
        <w:t>(</w:t>
      </w:r>
      <w:r w:rsidR="00986AD3" w:rsidRPr="00621341">
        <w:t>1.19</w:t>
      </w:r>
      <w:r w:rsidR="00986AD3">
        <w:t>%</w:t>
      </w:r>
      <w:r w:rsidR="00986AD3" w:rsidRPr="00621341">
        <w:t xml:space="preserve"> of </w:t>
      </w:r>
      <w:r w:rsidR="00986AD3">
        <w:t xml:space="preserve">1,118,025 </w:t>
      </w:r>
      <w:r w:rsidR="00986AD3" w:rsidRPr="00621341">
        <w:t xml:space="preserve">long-stay residents in Quarter </w:t>
      </w:r>
      <w:r w:rsidR="00986AD3">
        <w:t>3</w:t>
      </w:r>
      <w:r w:rsidR="00986AD3" w:rsidRPr="00621341">
        <w:t>, 201</w:t>
      </w:r>
      <w:r w:rsidR="00986AD3">
        <w:t>8</w:t>
      </w:r>
      <w:r w:rsidR="00986AD3" w:rsidRPr="002A1E1D">
        <w:rPr>
          <w:bCs w:val="0"/>
        </w:rPr>
        <w:t xml:space="preserve">) </w:t>
      </w:r>
      <w:r w:rsidRPr="00EA5CCD">
        <w:rPr>
          <w:bCs w:val="0"/>
        </w:rPr>
        <w:t xml:space="preserve">were </w:t>
      </w:r>
      <w:r w:rsidRPr="002A1E1D">
        <w:rPr>
          <w:bCs w:val="0"/>
        </w:rPr>
        <w:t>excluded from this quality measure based on the measure denominator exclusions as described above</w:t>
      </w:r>
      <w:r w:rsidR="00986AD3">
        <w:rPr>
          <w:bCs w:val="0"/>
        </w:rPr>
        <w:t>.</w:t>
      </w:r>
      <w:r w:rsidRPr="002A1E1D">
        <w:rPr>
          <w:bCs w:val="0"/>
        </w:rPr>
        <w:t xml:space="preserve"> </w:t>
      </w:r>
      <w:r w:rsidR="00986AD3">
        <w:rPr>
          <w:bCs w:val="0"/>
        </w:rPr>
        <w:t>P</w:t>
      </w:r>
      <w:r w:rsidR="00986AD3" w:rsidRPr="002A1E1D">
        <w:rPr>
          <w:bCs w:val="0"/>
        </w:rPr>
        <w:t xml:space="preserve">lease </w:t>
      </w:r>
      <w:r w:rsidRPr="002A1E1D">
        <w:rPr>
          <w:bCs w:val="0"/>
        </w:rPr>
        <w:t>note that exclusion criteria are not mutually exclusive.</w:t>
      </w:r>
      <w:bookmarkStart w:id="29" w:name="_Hlk500504231"/>
    </w:p>
    <w:p w14:paraId="114560FF" w14:textId="6CBE07B2" w:rsidR="00BD66E7" w:rsidRPr="002A1E1D" w:rsidRDefault="00352354" w:rsidP="003E0493">
      <w:pPr>
        <w:pStyle w:val="ListBullet2"/>
        <w:spacing w:after="0"/>
        <w:ind w:left="360"/>
        <w:contextualSpacing w:val="0"/>
      </w:pPr>
      <w:r>
        <w:t>12,911</w:t>
      </w:r>
      <w:r w:rsidR="00F74B5A" w:rsidRPr="00621341">
        <w:t xml:space="preserve"> residents (1.1</w:t>
      </w:r>
      <w:r>
        <w:t>5</w:t>
      </w:r>
      <w:r w:rsidR="00F74B5A" w:rsidRPr="00621341">
        <w:t xml:space="preserve">% of long-stay residents in Quarter </w:t>
      </w:r>
      <w:r>
        <w:t>3</w:t>
      </w:r>
      <w:r w:rsidR="00F74B5A" w:rsidRPr="00621341">
        <w:t>, 2018)</w:t>
      </w:r>
      <w:r w:rsidR="00F74B5A" w:rsidRPr="002A1E1D">
        <w:t xml:space="preserve"> were excluded because their target assessments were either admission, </w:t>
      </w:r>
      <w:r w:rsidR="00CF6B89">
        <w:t xml:space="preserve">PPS </w:t>
      </w:r>
      <w:r w:rsidR="00F74B5A" w:rsidRPr="002A1E1D">
        <w:t>5-day, or readmission/return assessments.</w:t>
      </w:r>
      <w:r w:rsidR="00F74B5A">
        <w:t xml:space="preserve"> </w:t>
      </w:r>
      <w:r w:rsidR="00741282" w:rsidRPr="007145EF">
        <w:t>4</w:t>
      </w:r>
      <w:r w:rsidR="006328CF" w:rsidRPr="007145EF">
        <w:t>43</w:t>
      </w:r>
      <w:r w:rsidR="00BD66E7" w:rsidRPr="00621341">
        <w:t xml:space="preserve"> residents (</w:t>
      </w:r>
      <w:r w:rsidR="002A1E1D" w:rsidRPr="00621341">
        <w:t>0</w:t>
      </w:r>
      <w:r w:rsidR="00621341">
        <w:rPr>
          <w:bCs w:val="0"/>
        </w:rPr>
        <w:t>.</w:t>
      </w:r>
      <w:r w:rsidR="002A1E1D" w:rsidRPr="00621341">
        <w:t>04</w:t>
      </w:r>
      <w:r w:rsidR="00BD66E7" w:rsidRPr="00621341">
        <w:t xml:space="preserve">% of long-stay residents in Quarter </w:t>
      </w:r>
      <w:r>
        <w:t>3</w:t>
      </w:r>
      <w:r w:rsidR="00BD66E7" w:rsidRPr="00621341">
        <w:t>, 201</w:t>
      </w:r>
      <w:r w:rsidR="00724468" w:rsidRPr="00621341">
        <w:t>8</w:t>
      </w:r>
      <w:r w:rsidR="00BD66E7" w:rsidRPr="00621341">
        <w:t>)</w:t>
      </w:r>
      <w:r w:rsidR="00BD66E7" w:rsidRPr="002A1E1D">
        <w:rPr>
          <w:bCs w:val="0"/>
        </w:rPr>
        <w:t xml:space="preserve"> were excluded </w:t>
      </w:r>
      <w:r w:rsidR="00240036" w:rsidRPr="002A1E1D">
        <w:rPr>
          <w:bCs w:val="0"/>
        </w:rPr>
        <w:t>because data was missing on the item</w:t>
      </w:r>
      <w:r w:rsidR="00787DCF">
        <w:rPr>
          <w:bCs w:val="0"/>
        </w:rPr>
        <w:t xml:space="preserve"> I2300</w:t>
      </w:r>
      <w:r w:rsidR="00240036" w:rsidRPr="002A1E1D">
        <w:rPr>
          <w:bCs w:val="0"/>
        </w:rPr>
        <w:t xml:space="preserve"> </w:t>
      </w:r>
      <w:r w:rsidR="00787DCF">
        <w:rPr>
          <w:bCs w:val="0"/>
        </w:rPr>
        <w:t>on the MDS</w:t>
      </w:r>
      <w:r w:rsidR="00240036" w:rsidRPr="002A1E1D">
        <w:rPr>
          <w:bCs w:val="0"/>
        </w:rPr>
        <w:t>.</w:t>
      </w:r>
      <w:r w:rsidR="00E87D6C">
        <w:rPr>
          <w:bCs w:val="0"/>
        </w:rPr>
        <w:t xml:space="preserve"> </w:t>
      </w:r>
      <w:bookmarkEnd w:id="29"/>
    </w:p>
    <w:p w14:paraId="2DA6C1CC" w14:textId="73662330" w:rsidR="00BD66E7" w:rsidRPr="00EA5CCD" w:rsidRDefault="00E2373F" w:rsidP="00BD66E7">
      <w:pPr>
        <w:pStyle w:val="Response"/>
        <w:rPr>
          <w:rFonts w:ascii="Calibri" w:eastAsia="MS Mincho" w:hAnsi="Calibri" w:cs="Calibri"/>
          <w:sz w:val="20"/>
          <w:szCs w:val="20"/>
        </w:rPr>
      </w:pPr>
      <w:r>
        <w:rPr>
          <w:rFonts w:ascii="Calibri" w:eastAsia="MS Mincho" w:hAnsi="Calibri" w:cs="Calibri"/>
          <w:sz w:val="20"/>
          <w:szCs w:val="20"/>
        </w:rPr>
        <w:t>Source</w:t>
      </w:r>
      <w:r w:rsidR="00BD66E7" w:rsidRPr="00621341">
        <w:rPr>
          <w:rFonts w:ascii="Calibri" w:eastAsia="MS Mincho" w:hAnsi="Calibri" w:cs="Calibri"/>
          <w:sz w:val="20"/>
          <w:szCs w:val="20"/>
        </w:rPr>
        <w:t xml:space="preserve">: RTI analysis of </w:t>
      </w:r>
      <w:r w:rsidR="00E0241F" w:rsidRPr="00621341">
        <w:rPr>
          <w:rFonts w:ascii="Calibri" w:eastAsia="MS Mincho" w:hAnsi="Calibri" w:cs="Calibri"/>
          <w:sz w:val="20"/>
          <w:szCs w:val="20"/>
        </w:rPr>
        <w:t>Q</w:t>
      </w:r>
      <w:r w:rsidR="00E0241F">
        <w:rPr>
          <w:rFonts w:ascii="Calibri" w:eastAsia="MS Mincho" w:hAnsi="Calibri" w:cs="Calibri"/>
          <w:sz w:val="20"/>
          <w:szCs w:val="20"/>
        </w:rPr>
        <w:t>3</w:t>
      </w:r>
      <w:r w:rsidR="001865A8">
        <w:rPr>
          <w:rFonts w:ascii="Calibri" w:eastAsia="MS Mincho" w:hAnsi="Calibri" w:cs="Calibri"/>
          <w:sz w:val="20"/>
          <w:szCs w:val="20"/>
        </w:rPr>
        <w:t>,</w:t>
      </w:r>
      <w:r w:rsidR="00E0241F" w:rsidRPr="00621341">
        <w:rPr>
          <w:rFonts w:ascii="Calibri" w:eastAsia="MS Mincho" w:hAnsi="Calibri" w:cs="Calibri"/>
          <w:sz w:val="20"/>
          <w:szCs w:val="20"/>
        </w:rPr>
        <w:t xml:space="preserve"> </w:t>
      </w:r>
      <w:r w:rsidR="00BD66E7" w:rsidRPr="00621341">
        <w:rPr>
          <w:rFonts w:ascii="Calibri" w:eastAsia="MS Mincho" w:hAnsi="Calibri" w:cs="Calibri"/>
          <w:sz w:val="20"/>
          <w:szCs w:val="20"/>
        </w:rPr>
        <w:t>201</w:t>
      </w:r>
      <w:r w:rsidR="002926A3" w:rsidRPr="00621341">
        <w:rPr>
          <w:rFonts w:ascii="Calibri" w:eastAsia="MS Mincho" w:hAnsi="Calibri" w:cs="Calibri"/>
          <w:sz w:val="20"/>
          <w:szCs w:val="20"/>
        </w:rPr>
        <w:t>8</w:t>
      </w:r>
      <w:r w:rsidR="00BD66E7" w:rsidRPr="00621341">
        <w:rPr>
          <w:rFonts w:ascii="Calibri" w:eastAsia="MS Mincho" w:hAnsi="Calibri" w:cs="Calibri"/>
          <w:sz w:val="20"/>
          <w:szCs w:val="20"/>
        </w:rPr>
        <w:t xml:space="preserve"> MDS 3.0 data (programming reference: </w:t>
      </w:r>
      <w:r w:rsidR="00E0241F" w:rsidRPr="005D29D7">
        <w:rPr>
          <w:rFonts w:ascii="Calibri" w:eastAsia="MS Mincho" w:hAnsi="Calibri" w:cs="Calibri"/>
          <w:sz w:val="20"/>
          <w:szCs w:val="20"/>
        </w:rPr>
        <w:t>kh29_47\hf360_request_q3132_684.log</w:t>
      </w:r>
      <w:r w:rsidR="00BD66E7" w:rsidRPr="00621341">
        <w:rPr>
          <w:rFonts w:ascii="Calibri" w:eastAsia="MS Mincho" w:hAnsi="Calibri" w:cs="Calibri"/>
          <w:sz w:val="20"/>
          <w:szCs w:val="20"/>
        </w:rPr>
        <w:t>)</w:t>
      </w:r>
    </w:p>
    <w:p w14:paraId="0CABCFE8" w14:textId="0CBE0658" w:rsidR="007422FD" w:rsidRDefault="00092566" w:rsidP="00A119B7">
      <w:pPr>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s.</w:t>
      </w:r>
      <w:r w:rsidR="00E87D6C">
        <w:rPr>
          <w:rFonts w:cstheme="minorHAnsi"/>
          <w:bCs/>
          <w:i/>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14:paraId="33268164" w14:textId="451E8F09" w:rsidR="00E32565" w:rsidRDefault="00240036" w:rsidP="00A146FE">
      <w:pPr>
        <w:pStyle w:val="Response"/>
        <w:ind w:left="360"/>
      </w:pPr>
      <w:bookmarkStart w:id="30" w:name="_Hlk530388310"/>
      <w:r w:rsidRPr="00EA5CCD">
        <w:t xml:space="preserve">Most </w:t>
      </w:r>
      <w:bookmarkEnd w:id="30"/>
      <w:r w:rsidRPr="00EA5CCD">
        <w:t xml:space="preserve">denominator exclusions for this measure occur because of </w:t>
      </w:r>
      <w:r w:rsidR="009A49E8">
        <w:t>the type of assessmen</w:t>
      </w:r>
      <w:r w:rsidR="0024269F">
        <w:t>t that serves as the resident’s target assessment</w:t>
      </w:r>
      <w:r w:rsidR="002E24E8">
        <w:t>.</w:t>
      </w:r>
      <w:r w:rsidR="0024269F">
        <w:t xml:space="preserve"> Excluding these assessments to capture urinary tract infection information is appropriate because these assessments occur immediately following</w:t>
      </w:r>
      <w:r w:rsidR="002E24E8">
        <w:t xml:space="preserve"> time the resident has spent not under the facility’s care, and therefore would not accurately reflect the quality of the facility’s care</w:t>
      </w:r>
      <w:r w:rsidR="00E32565">
        <w:t>.</w:t>
      </w:r>
    </w:p>
    <w:p w14:paraId="10F0C0DD" w14:textId="54D30366" w:rsidR="00240036" w:rsidRPr="00F92B38" w:rsidRDefault="00E32565" w:rsidP="00A146FE">
      <w:pPr>
        <w:pStyle w:val="Response"/>
        <w:ind w:left="360"/>
      </w:pPr>
      <w:r>
        <w:t>A small number of exclusions occur because of missing data. The</w:t>
      </w:r>
      <w:r w:rsidR="00240036" w:rsidRPr="00EA5CCD">
        <w:t xml:space="preserve"> impact of missing data on this quality measure is presented in detail in </w:t>
      </w:r>
      <w:r w:rsidR="0067560F" w:rsidRPr="0067560F">
        <w:rPr>
          <w:b/>
          <w:bCs w:val="0"/>
        </w:rPr>
        <w:t>S</w:t>
      </w:r>
      <w:r w:rsidR="00240036" w:rsidRPr="0067560F">
        <w:rPr>
          <w:b/>
          <w:bCs w:val="0"/>
        </w:rPr>
        <w:t>ection 2b6</w:t>
      </w:r>
      <w:r w:rsidR="00240036" w:rsidRPr="00EA5CCD">
        <w:t xml:space="preserve">. </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lastRenderedPageBreak/>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31" w:name="section2b4"/>
      <w:bookmarkEnd w:id="31"/>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21F29840" w:rsidR="00033038" w:rsidRPr="005232D6" w:rsidRDefault="00A97C32"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A119B7">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471B4ECD" w:rsidR="00743E46" w:rsidRPr="005232D6" w:rsidRDefault="00A97C32"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A119B7">
            <w:rPr>
              <w:rFonts w:ascii="MS Gothic" w:eastAsia="MS Gothic" w:hAnsi="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A119B7">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A97C32"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A97C32"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2FB31B2E" w14:textId="0EDB4AFB" w:rsidR="00A119B7" w:rsidRPr="007B766A" w:rsidRDefault="00A119B7" w:rsidP="00E95999">
      <w:pPr>
        <w:pStyle w:val="Response"/>
        <w:ind w:left="360"/>
        <w:rPr>
          <w:bCs w:val="0"/>
        </w:rPr>
      </w:pPr>
      <w:r w:rsidRPr="007B766A">
        <w:rPr>
          <w:bCs w:val="0"/>
        </w:rPr>
        <w:t>Not applicable.</w:t>
      </w:r>
      <w:r w:rsidR="00E87D6C">
        <w:rPr>
          <w:bCs w:val="0"/>
        </w:rPr>
        <w:t xml:space="preserve"> </w:t>
      </w:r>
      <w:r w:rsidRPr="007B766A">
        <w:rPr>
          <w:bCs w:val="0"/>
        </w:rPr>
        <w:t>This measure is not risk-adjusted.</w:t>
      </w:r>
    </w:p>
    <w:p w14:paraId="271B0CCE" w14:textId="53C6FE6C" w:rsidR="00390D75" w:rsidRDefault="009C7513" w:rsidP="00B80FEB">
      <w:pPr>
        <w:pStyle w:val="BodyText"/>
        <w:rPr>
          <w:rStyle w:val="ResponseChar"/>
        </w:rPr>
      </w:pPr>
      <w:r>
        <w:rPr>
          <w:rFonts w:cs="Calibri"/>
          <w:b/>
          <w:bCs/>
        </w:rPr>
        <w:t>2b3</w:t>
      </w:r>
      <w:r w:rsidR="009D3882">
        <w:rPr>
          <w:rFonts w:cs="Calibri"/>
          <w:b/>
          <w:bCs/>
        </w:rPr>
        <w:t xml:space="preserve">.2. If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p>
    <w:p w14:paraId="75C3C1CF" w14:textId="4FBF44C5" w:rsidR="00B67C73" w:rsidRDefault="003C611F" w:rsidP="00A146FE">
      <w:pPr>
        <w:pStyle w:val="Response"/>
        <w:ind w:left="360"/>
      </w:pPr>
      <w:r w:rsidRPr="00390D75">
        <w:rPr>
          <w:rStyle w:val="ResponseChar"/>
        </w:rPr>
        <w:t>The measure is not risk adjusted through a statistical model</w:t>
      </w:r>
      <w:r w:rsidR="00B428A3" w:rsidRPr="00390D75">
        <w:rPr>
          <w:rStyle w:val="ResponseChar"/>
        </w:rPr>
        <w:t xml:space="preserve"> nor through stratification</w:t>
      </w:r>
      <w:r w:rsidRPr="00390D75">
        <w:rPr>
          <w:rStyle w:val="ResponseChar"/>
        </w:rPr>
        <w:t xml:space="preserve">. </w:t>
      </w:r>
    </w:p>
    <w:p w14:paraId="4C26B99F" w14:textId="41F03C79" w:rsidR="003C611F" w:rsidRPr="00623852" w:rsidRDefault="003C611F" w:rsidP="00A146FE">
      <w:pPr>
        <w:pStyle w:val="Response"/>
        <w:ind w:left="360"/>
      </w:pPr>
      <w:r w:rsidRPr="00623852">
        <w:t xml:space="preserve">Urinary tract infections have relatively high prevalence across the continuum of care and there are no obvious conditions for which risk adjustment is appropriate. </w:t>
      </w:r>
      <w:r w:rsidR="00031372" w:rsidRPr="00031372">
        <w:rPr>
          <w:sz w:val="23"/>
          <w:szCs w:val="23"/>
        </w:rPr>
        <w:t>During the development of the MDS 3.0 measure</w:t>
      </w:r>
      <w:r w:rsidR="000D2AD6">
        <w:rPr>
          <w:sz w:val="23"/>
          <w:szCs w:val="23"/>
        </w:rPr>
        <w:t>,</w:t>
      </w:r>
      <w:r w:rsidR="00031372" w:rsidRPr="00031372">
        <w:rPr>
          <w:sz w:val="23"/>
          <w:szCs w:val="23"/>
        </w:rPr>
        <w:t xml:space="preserve"> no major conditions were identified that were appropriate for risk adjustment and clearly associated with UTI. </w:t>
      </w:r>
      <w:r w:rsidR="00B906BD">
        <w:t>U</w:t>
      </w:r>
      <w:r w:rsidR="002514E1" w:rsidRPr="00623852">
        <w:t>rinary tract infections are often associated with catheter use, which is often inappropriate</w:t>
      </w:r>
      <w:r w:rsidR="00EE3BD0">
        <w:t xml:space="preserve"> </w:t>
      </w:r>
      <w:r w:rsidR="002514E1" w:rsidRPr="00623852">
        <w:t>(</w:t>
      </w:r>
      <w:r w:rsidR="002514E1">
        <w:t>Gould et al., 2009</w:t>
      </w:r>
      <w:r w:rsidR="002514E1" w:rsidRPr="00623852">
        <w:t>)</w:t>
      </w:r>
      <w:r w:rsidR="00EE3BD0">
        <w:t>.</w:t>
      </w:r>
      <w:r w:rsidR="002514E1" w:rsidRPr="00623852">
        <w:t xml:space="preserve"> Thus, risk adjusting for </w:t>
      </w:r>
      <w:r w:rsidR="002514E1">
        <w:t>catheter use</w:t>
      </w:r>
      <w:r w:rsidR="002514E1" w:rsidRPr="00623852">
        <w:t xml:space="preserve"> would not be desirable.</w:t>
      </w:r>
      <w:r w:rsidR="002514E1">
        <w:t xml:space="preserve"> </w:t>
      </w:r>
      <w:r w:rsidR="00EE3BD0">
        <w:t xml:space="preserve">The 2019 TEP expressed concern that mobility limitations would be a risk factor for UTIs that could warrant some type of risk adjustment, which we explored further (see below) before deciding not to </w:t>
      </w:r>
      <w:r w:rsidR="00BC2BE4" w:rsidRPr="00623852">
        <w:t>perform testing</w:t>
      </w:r>
      <w:r w:rsidR="00431188" w:rsidRPr="00623852">
        <w:t xml:space="preserve"> on </w:t>
      </w:r>
      <w:r w:rsidR="00967510">
        <w:t xml:space="preserve">potential clinical risk factors or </w:t>
      </w:r>
      <w:r w:rsidR="00431188" w:rsidRPr="00623852">
        <w:t>risk-adjustment</w:t>
      </w:r>
      <w:r w:rsidR="00967510">
        <w:t xml:space="preserve"> specifications</w:t>
      </w:r>
      <w:r w:rsidR="00431188" w:rsidRPr="00623852">
        <w:t xml:space="preserve">. </w:t>
      </w:r>
      <w:r w:rsidR="008E00D1">
        <w:t xml:space="preserve">Discussion of the rationale for </w:t>
      </w:r>
      <w:r w:rsidR="00FF21B8" w:rsidRPr="00623852">
        <w:t xml:space="preserve">risk-adjustment testing </w:t>
      </w:r>
      <w:r w:rsidR="005836E2" w:rsidRPr="00623852">
        <w:t xml:space="preserve">for social risk factors </w:t>
      </w:r>
      <w:r w:rsidR="008E00D1">
        <w:t xml:space="preserve">is </w:t>
      </w:r>
      <w:r w:rsidR="005836E2" w:rsidRPr="00623852">
        <w:t xml:space="preserve">presented in </w:t>
      </w:r>
      <w:r w:rsidR="005836E2" w:rsidRPr="0067560F">
        <w:rPr>
          <w:b/>
          <w:bCs w:val="0"/>
        </w:rPr>
        <w:t>2b3.3a</w:t>
      </w:r>
      <w:r w:rsidR="005836E2" w:rsidRPr="00623852">
        <w:t>.</w:t>
      </w:r>
    </w:p>
    <w:p w14:paraId="0CABCFF4" w14:textId="74B7539E" w:rsidR="009D3882" w:rsidRPr="00864B93" w:rsidRDefault="003C611F" w:rsidP="003E0493">
      <w:pPr>
        <w:ind w:left="360" w:hanging="360"/>
        <w:rPr>
          <w:rFonts w:cstheme="minorHAnsi"/>
          <w:b/>
          <w:color w:val="0000FF"/>
          <w:sz w:val="20"/>
          <w:szCs w:val="20"/>
        </w:rPr>
      </w:pPr>
      <w:r w:rsidRPr="00864B93">
        <w:rPr>
          <w:color w:val="0000FF"/>
          <w:sz w:val="20"/>
          <w:szCs w:val="20"/>
        </w:rPr>
        <w:t xml:space="preserve">Gould CV, </w:t>
      </w:r>
      <w:proofErr w:type="spellStart"/>
      <w:r w:rsidRPr="00864B93">
        <w:rPr>
          <w:color w:val="0000FF"/>
          <w:sz w:val="20"/>
          <w:szCs w:val="20"/>
        </w:rPr>
        <w:t>Umscheid</w:t>
      </w:r>
      <w:proofErr w:type="spellEnd"/>
      <w:r w:rsidRPr="00864B93">
        <w:rPr>
          <w:color w:val="0000FF"/>
          <w:sz w:val="20"/>
          <w:szCs w:val="20"/>
        </w:rPr>
        <w:t xml:space="preserve"> CA, Agarwal R, Kuntz G, Pegues DA; the Healthcare Infection Control Practices Advisory Committee. Guideline for prevention of catheter-associated urinary tract infections 2009. Atlanta: Centers for Disease Control and Prevention, 2009. Available from http://www.cdc.gov/ncidod/dhqp/pdf/guidelines/CAUTI_Guideline2009final.pdf.</w:t>
      </w:r>
      <w:r w:rsidR="00ED07A0">
        <w:rPr>
          <w:color w:val="0000FF"/>
          <w:sz w:val="20"/>
          <w:szCs w:val="20"/>
        </w:rPr>
        <w:t xml:space="preserve"> </w:t>
      </w:r>
    </w:p>
    <w:p w14:paraId="5D4B44CF" w14:textId="3A220ECF" w:rsidR="00837B6A" w:rsidRDefault="009C7513" w:rsidP="00AF2D68">
      <w:pPr>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E87D6C">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p>
    <w:p w14:paraId="66A5A9C5" w14:textId="3762ECF4" w:rsidR="00837B6A" w:rsidRPr="00837B6A" w:rsidRDefault="00837B6A" w:rsidP="005B1FAE">
      <w:pPr>
        <w:spacing w:before="160" w:after="120" w:line="240" w:lineRule="auto"/>
        <w:rPr>
          <w:rFonts w:eastAsia="Times New Roman" w:cs="Times New Roman"/>
          <w:color w:val="0000FF"/>
          <w:sz w:val="20"/>
          <w:szCs w:val="20"/>
        </w:rPr>
      </w:pPr>
      <w:r w:rsidRPr="00837B6A">
        <w:rPr>
          <w:b/>
          <w:i/>
          <w:iCs/>
          <w:color w:val="0000FF"/>
        </w:rPr>
        <w:t>Risk Adjustor Selection – Conceptual Rationale and Statistical Testing</w:t>
      </w:r>
    </w:p>
    <w:p w14:paraId="15F35784" w14:textId="5C990125" w:rsidR="00C420BE" w:rsidRDefault="00C420BE" w:rsidP="00837B6A">
      <w:pPr>
        <w:spacing w:before="160" w:after="120" w:line="240" w:lineRule="auto"/>
        <w:rPr>
          <w:b/>
          <w:iCs/>
          <w:color w:val="0000FF"/>
        </w:rPr>
      </w:pPr>
      <w:r>
        <w:rPr>
          <w:b/>
          <w:iCs/>
          <w:color w:val="0000FF"/>
        </w:rPr>
        <w:t>Clinical Risk Factors</w:t>
      </w:r>
    </w:p>
    <w:p w14:paraId="5FCBF4DA" w14:textId="5C617D46" w:rsidR="00757167" w:rsidRDefault="00F51113" w:rsidP="003E0493">
      <w:pPr>
        <w:pStyle w:val="BodyText"/>
        <w:spacing w:line="240" w:lineRule="auto"/>
        <w:ind w:left="360"/>
        <w:rPr>
          <w:iCs/>
          <w:color w:val="0000FF"/>
        </w:rPr>
      </w:pPr>
      <w:r>
        <w:rPr>
          <w:iCs/>
          <w:color w:val="0000FF"/>
        </w:rPr>
        <w:lastRenderedPageBreak/>
        <w:t xml:space="preserve">At the suggestion of </w:t>
      </w:r>
      <w:r w:rsidR="00EE3BD0">
        <w:rPr>
          <w:iCs/>
          <w:color w:val="0000FF"/>
        </w:rPr>
        <w:t>the 2019 TEP</w:t>
      </w:r>
      <w:r w:rsidR="0078716E">
        <w:rPr>
          <w:iCs/>
          <w:color w:val="0000FF"/>
        </w:rPr>
        <w:t xml:space="preserve">, we </w:t>
      </w:r>
      <w:r w:rsidR="0078716E" w:rsidRPr="00A11604">
        <w:rPr>
          <w:iCs/>
          <w:color w:val="0000FF"/>
        </w:rPr>
        <w:t xml:space="preserve">conducted testing </w:t>
      </w:r>
      <w:r w:rsidR="00986AD3">
        <w:rPr>
          <w:iCs/>
          <w:color w:val="0000FF"/>
        </w:rPr>
        <w:t xml:space="preserve">on </w:t>
      </w:r>
      <w:r w:rsidR="0078716E" w:rsidRPr="00A11604">
        <w:rPr>
          <w:iCs/>
          <w:color w:val="0000FF"/>
        </w:rPr>
        <w:t>several clini</w:t>
      </w:r>
      <w:r w:rsidR="007B5482" w:rsidRPr="00A11604">
        <w:rPr>
          <w:iCs/>
          <w:color w:val="0000FF"/>
        </w:rPr>
        <w:t xml:space="preserve">cal factors, including </w:t>
      </w:r>
      <w:r w:rsidR="00265CF9" w:rsidRPr="00A11604">
        <w:rPr>
          <w:iCs/>
          <w:color w:val="0000FF"/>
        </w:rPr>
        <w:t xml:space="preserve">hospice </w:t>
      </w:r>
      <w:r w:rsidR="00757167">
        <w:rPr>
          <w:iCs/>
          <w:color w:val="0000FF"/>
        </w:rPr>
        <w:t>care</w:t>
      </w:r>
      <w:r w:rsidR="00265CF9" w:rsidRPr="00A11604">
        <w:rPr>
          <w:iCs/>
          <w:color w:val="0000FF"/>
        </w:rPr>
        <w:t xml:space="preserve"> and functional status.</w:t>
      </w:r>
      <w:r w:rsidR="00E87D6C">
        <w:rPr>
          <w:iCs/>
          <w:color w:val="0000FF"/>
        </w:rPr>
        <w:t xml:space="preserve"> </w:t>
      </w:r>
      <w:r w:rsidR="00757167">
        <w:rPr>
          <w:iCs/>
          <w:color w:val="0000FF"/>
        </w:rPr>
        <w:t>Per the Long-Term Care Facility Resident Assessment Instrument 3.0 User’s Manual, the hospice item on the MDS (O0100K2) identifies residents who were in a hospice program for “…</w:t>
      </w:r>
      <w:r w:rsidR="00757167" w:rsidRPr="00757167">
        <w:rPr>
          <w:iCs/>
          <w:color w:val="0000FF"/>
        </w:rPr>
        <w:t>terminally ill persons where an array of services is provided for the palliation and management of terminal illness and related conditions</w:t>
      </w:r>
      <w:r w:rsidR="00757167">
        <w:rPr>
          <w:iCs/>
          <w:color w:val="0000FF"/>
        </w:rPr>
        <w:t>” within the last 14 days (Centers for Medicare &amp; Medicaid Services, 2018).</w:t>
      </w:r>
      <w:r w:rsidR="00E87D6C">
        <w:rPr>
          <w:iCs/>
          <w:color w:val="0000FF"/>
        </w:rPr>
        <w:t xml:space="preserve"> </w:t>
      </w:r>
      <w:r w:rsidR="00236E0C">
        <w:rPr>
          <w:iCs/>
          <w:color w:val="0000FF"/>
        </w:rPr>
        <w:t>Tested f</w:t>
      </w:r>
      <w:r w:rsidR="00757167">
        <w:rPr>
          <w:iCs/>
          <w:color w:val="0000FF"/>
        </w:rPr>
        <w:t xml:space="preserve">unction items from Section G of the MDS </w:t>
      </w:r>
      <w:r w:rsidR="00236E0C">
        <w:rPr>
          <w:iCs/>
          <w:color w:val="0000FF"/>
        </w:rPr>
        <w:t>pertain to assistance with self-performance on Activities of Daily Living (ADLs), including:</w:t>
      </w:r>
    </w:p>
    <w:p w14:paraId="35135FDF" w14:textId="4E839C57" w:rsidR="00236E0C" w:rsidRDefault="00236E0C" w:rsidP="00236E0C">
      <w:pPr>
        <w:pStyle w:val="ListParagraph"/>
        <w:numPr>
          <w:ilvl w:val="0"/>
          <w:numId w:val="45"/>
        </w:numPr>
        <w:spacing w:before="160" w:after="120" w:line="240" w:lineRule="auto"/>
        <w:rPr>
          <w:iCs/>
          <w:color w:val="0000FF"/>
        </w:rPr>
      </w:pPr>
      <w:r>
        <w:rPr>
          <w:iCs/>
          <w:color w:val="0000FF"/>
        </w:rPr>
        <w:t xml:space="preserve">Bed mobility (G0110A1) – </w:t>
      </w:r>
      <w:r w:rsidRPr="00236E0C">
        <w:rPr>
          <w:iCs/>
          <w:color w:val="0000FF"/>
        </w:rPr>
        <w:t>how resident moves to and from lying position, turns side to side, and positions body while in bed or alternate sleep furniture.</w:t>
      </w:r>
    </w:p>
    <w:p w14:paraId="2A118375" w14:textId="10A3589A" w:rsidR="00236E0C" w:rsidRDefault="00236E0C" w:rsidP="00236E0C">
      <w:pPr>
        <w:pStyle w:val="ListParagraph"/>
        <w:numPr>
          <w:ilvl w:val="0"/>
          <w:numId w:val="45"/>
        </w:numPr>
        <w:spacing w:before="160" w:after="120" w:line="240" w:lineRule="auto"/>
        <w:rPr>
          <w:iCs/>
          <w:color w:val="0000FF"/>
        </w:rPr>
      </w:pPr>
      <w:r>
        <w:rPr>
          <w:iCs/>
          <w:color w:val="0000FF"/>
        </w:rPr>
        <w:t xml:space="preserve">Transfer (G0110B1) – </w:t>
      </w:r>
      <w:r w:rsidRPr="00236E0C">
        <w:rPr>
          <w:iCs/>
          <w:color w:val="0000FF"/>
        </w:rPr>
        <w:t>how resident moves between surfaces including to or from: bed, chair, wheelchair, standing position (excludes to/from bath/toilet).</w:t>
      </w:r>
    </w:p>
    <w:p w14:paraId="38E33C04" w14:textId="5A336ED7" w:rsidR="00236E0C" w:rsidRDefault="00236E0C" w:rsidP="00236E0C">
      <w:pPr>
        <w:pStyle w:val="ListParagraph"/>
        <w:numPr>
          <w:ilvl w:val="0"/>
          <w:numId w:val="45"/>
        </w:numPr>
        <w:spacing w:before="160" w:after="120" w:line="240" w:lineRule="auto"/>
        <w:rPr>
          <w:iCs/>
          <w:color w:val="0000FF"/>
        </w:rPr>
      </w:pPr>
      <w:r>
        <w:rPr>
          <w:iCs/>
          <w:color w:val="0000FF"/>
        </w:rPr>
        <w:t xml:space="preserve">Walk in room (G0110C1) – </w:t>
      </w:r>
      <w:r w:rsidRPr="00236E0C">
        <w:rPr>
          <w:iCs/>
          <w:color w:val="0000FF"/>
        </w:rPr>
        <w:t>how resident walks between locations in his/her room.</w:t>
      </w:r>
    </w:p>
    <w:p w14:paraId="1402AD26" w14:textId="220A8EED" w:rsidR="00236E0C" w:rsidRDefault="00236E0C" w:rsidP="00236E0C">
      <w:pPr>
        <w:pStyle w:val="ListParagraph"/>
        <w:numPr>
          <w:ilvl w:val="0"/>
          <w:numId w:val="45"/>
        </w:numPr>
        <w:spacing w:before="160" w:after="120" w:line="240" w:lineRule="auto"/>
        <w:rPr>
          <w:iCs/>
          <w:color w:val="0000FF"/>
        </w:rPr>
      </w:pPr>
      <w:r>
        <w:rPr>
          <w:iCs/>
          <w:color w:val="0000FF"/>
        </w:rPr>
        <w:t xml:space="preserve">Walk in corridor (G0110D1) – </w:t>
      </w:r>
      <w:r w:rsidRPr="00236E0C">
        <w:rPr>
          <w:iCs/>
          <w:color w:val="0000FF"/>
        </w:rPr>
        <w:t>how resident walks in corridor on unit.</w:t>
      </w:r>
    </w:p>
    <w:p w14:paraId="14599BE6" w14:textId="09C1A977" w:rsidR="00757167" w:rsidRPr="00236E0C" w:rsidRDefault="00236E0C" w:rsidP="00F92B38">
      <w:pPr>
        <w:pStyle w:val="ListParagraph"/>
        <w:numPr>
          <w:ilvl w:val="0"/>
          <w:numId w:val="45"/>
        </w:numPr>
        <w:spacing w:before="160" w:after="120" w:line="240" w:lineRule="auto"/>
        <w:rPr>
          <w:iCs/>
          <w:color w:val="0000FF"/>
        </w:rPr>
      </w:pPr>
      <w:r>
        <w:rPr>
          <w:iCs/>
          <w:color w:val="0000FF"/>
        </w:rPr>
        <w:t xml:space="preserve">Toilet use (G0110I1) - </w:t>
      </w:r>
      <w:r w:rsidRPr="00236E0C">
        <w:rPr>
          <w:iCs/>
          <w:color w:val="0000FF"/>
        </w:rPr>
        <w:t>how resident uses the toilet room, commode, bedpan, or urinal; transfers on/off toilet; cleanses self after elimination; changes pad; manages ostomy or catheter; and adjusts clothes. Do</w:t>
      </w:r>
      <w:r>
        <w:rPr>
          <w:iCs/>
          <w:color w:val="0000FF"/>
        </w:rPr>
        <w:t>es</w:t>
      </w:r>
      <w:r w:rsidRPr="00236E0C">
        <w:rPr>
          <w:iCs/>
          <w:color w:val="0000FF"/>
        </w:rPr>
        <w:t xml:space="preserve"> not include emptying of bedpan, urinal, bedside commode, catheter bag or ostomy bag.</w:t>
      </w:r>
    </w:p>
    <w:p w14:paraId="6CE348D3" w14:textId="518F4369" w:rsidR="00236E0C" w:rsidRPr="00A11604" w:rsidRDefault="00236E0C" w:rsidP="003E0493">
      <w:pPr>
        <w:pStyle w:val="BodyText"/>
        <w:spacing w:line="240" w:lineRule="auto"/>
        <w:ind w:left="360"/>
        <w:rPr>
          <w:rFonts w:ascii="Calibri" w:hAnsi="Calibri"/>
          <w:color w:val="0000FF"/>
        </w:rPr>
      </w:pPr>
      <w:r w:rsidRPr="00A11604">
        <w:rPr>
          <w:rStyle w:val="eop"/>
          <w:rFonts w:ascii="Calibri" w:hAnsi="Calibri"/>
          <w:color w:val="0000FF"/>
        </w:rPr>
        <w:t xml:space="preserve">We assessed the relationship between </w:t>
      </w:r>
      <w:r>
        <w:rPr>
          <w:rStyle w:val="eop"/>
          <w:rFonts w:ascii="Calibri" w:hAnsi="Calibri"/>
          <w:color w:val="0000FF"/>
        </w:rPr>
        <w:t xml:space="preserve">the facility mean proportion of </w:t>
      </w:r>
      <w:r w:rsidRPr="00A11604">
        <w:rPr>
          <w:rStyle w:val="eop"/>
          <w:rFonts w:ascii="Calibri" w:hAnsi="Calibri"/>
          <w:color w:val="0000FF"/>
        </w:rPr>
        <w:t xml:space="preserve">residents </w:t>
      </w:r>
      <w:r>
        <w:rPr>
          <w:rStyle w:val="eop"/>
          <w:rFonts w:ascii="Calibri" w:hAnsi="Calibri"/>
          <w:color w:val="0000FF"/>
        </w:rPr>
        <w:t>receiving</w:t>
      </w:r>
      <w:r w:rsidRPr="00A11604">
        <w:rPr>
          <w:rStyle w:val="eop"/>
          <w:rFonts w:ascii="Calibri" w:hAnsi="Calibri"/>
          <w:color w:val="0000FF"/>
        </w:rPr>
        <w:t xml:space="preserve"> hospice care and performance on the UTI measure a</w:t>
      </w:r>
      <w:r w:rsidRPr="00A11604">
        <w:rPr>
          <w:rFonts w:ascii="Calibri" w:hAnsi="Calibri"/>
          <w:color w:val="0000FF"/>
        </w:rPr>
        <w:t>cross QM score deciles</w:t>
      </w:r>
      <w:r>
        <w:rPr>
          <w:rFonts w:ascii="Calibri" w:hAnsi="Calibri"/>
          <w:color w:val="0000FF"/>
        </w:rPr>
        <w:t>.</w:t>
      </w:r>
      <w:r w:rsidR="00E87D6C">
        <w:rPr>
          <w:rFonts w:ascii="Calibri" w:hAnsi="Calibri"/>
          <w:color w:val="0000FF"/>
        </w:rPr>
        <w:t xml:space="preserve"> </w:t>
      </w:r>
      <w:r>
        <w:rPr>
          <w:rFonts w:ascii="Calibri" w:hAnsi="Calibri"/>
          <w:color w:val="0000FF"/>
        </w:rPr>
        <w:t xml:space="preserve">Nationally, the facility </w:t>
      </w:r>
      <w:proofErr w:type="gramStart"/>
      <w:r>
        <w:rPr>
          <w:rFonts w:ascii="Calibri" w:hAnsi="Calibri"/>
          <w:color w:val="0000FF"/>
        </w:rPr>
        <w:t>mean</w:t>
      </w:r>
      <w:proofErr w:type="gramEnd"/>
      <w:r>
        <w:rPr>
          <w:rFonts w:ascii="Calibri" w:hAnsi="Calibri"/>
          <w:color w:val="0000FF"/>
        </w:rPr>
        <w:t xml:space="preserve"> proportion of residents receiving hospice care was 8.4% (</w:t>
      </w:r>
      <w:r w:rsidR="00895915">
        <w:rPr>
          <w:rFonts w:ascii="Calibri" w:hAnsi="Calibri"/>
          <w:color w:val="0000FF"/>
        </w:rPr>
        <w:t>standard deviation [</w:t>
      </w:r>
      <w:r>
        <w:rPr>
          <w:rFonts w:ascii="Calibri" w:hAnsi="Calibri"/>
          <w:color w:val="0000FF"/>
        </w:rPr>
        <w:t>SD</w:t>
      </w:r>
      <w:r w:rsidR="00895915">
        <w:rPr>
          <w:rFonts w:ascii="Calibri" w:hAnsi="Calibri"/>
          <w:color w:val="0000FF"/>
        </w:rPr>
        <w:t>]</w:t>
      </w:r>
      <w:r>
        <w:rPr>
          <w:rFonts w:ascii="Calibri" w:hAnsi="Calibri"/>
          <w:color w:val="0000FF"/>
        </w:rPr>
        <w:t xml:space="preserve"> = 7.2%).</w:t>
      </w:r>
      <w:r w:rsidR="00E87D6C">
        <w:rPr>
          <w:rFonts w:ascii="Calibri" w:hAnsi="Calibri"/>
          <w:color w:val="0000FF"/>
        </w:rPr>
        <w:t xml:space="preserve"> </w:t>
      </w:r>
      <w:r>
        <w:rPr>
          <w:rFonts w:ascii="Calibri" w:hAnsi="Calibri"/>
          <w:color w:val="0000FF"/>
        </w:rPr>
        <w:t>A</w:t>
      </w:r>
      <w:r w:rsidRPr="00A11604">
        <w:rPr>
          <w:rFonts w:ascii="Calibri" w:hAnsi="Calibri"/>
          <w:color w:val="0000FF"/>
        </w:rPr>
        <w:t>s QM score increases, the mean proportion of residents on hospice increases slightly</w:t>
      </w:r>
      <w:r>
        <w:rPr>
          <w:rFonts w:ascii="Calibri" w:hAnsi="Calibri"/>
          <w:color w:val="0000FF"/>
        </w:rPr>
        <w:t xml:space="preserve"> from 8.5% to 9.5%</w:t>
      </w:r>
      <w:r w:rsidRPr="00A11604">
        <w:rPr>
          <w:rFonts w:ascii="Calibri" w:hAnsi="Calibri"/>
          <w:color w:val="0000FF"/>
        </w:rPr>
        <w:t>.</w:t>
      </w:r>
      <w:r w:rsidR="00E87D6C">
        <w:rPr>
          <w:rFonts w:ascii="Calibri" w:hAnsi="Calibri"/>
          <w:color w:val="0000FF"/>
        </w:rPr>
        <w:t xml:space="preserve"> </w:t>
      </w:r>
      <w:r w:rsidRPr="00A11604">
        <w:rPr>
          <w:rFonts w:ascii="Calibri" w:hAnsi="Calibri"/>
          <w:color w:val="0000FF"/>
        </w:rPr>
        <w:t>However, the mean proportion does not increase monotonically across QM score deciles</w:t>
      </w:r>
      <w:r>
        <w:rPr>
          <w:rFonts w:ascii="Calibri" w:hAnsi="Calibri"/>
          <w:color w:val="0000FF"/>
        </w:rPr>
        <w:t>, and the facility mean proportion of residents receiving hospice care ranged from 6.6% to 9.5% overall</w:t>
      </w:r>
      <w:r w:rsidRPr="00A11604">
        <w:rPr>
          <w:rFonts w:ascii="Calibri" w:hAnsi="Calibri"/>
          <w:color w:val="0000FF"/>
        </w:rPr>
        <w:t>.</w:t>
      </w:r>
    </w:p>
    <w:p w14:paraId="52D20B4A" w14:textId="7EE742BB" w:rsidR="00C751AB" w:rsidRDefault="00F86072" w:rsidP="003E0493">
      <w:pPr>
        <w:pStyle w:val="BodyText"/>
        <w:spacing w:line="240" w:lineRule="auto"/>
        <w:ind w:left="360"/>
        <w:rPr>
          <w:rFonts w:ascii="Calibri" w:hAnsi="Calibri"/>
          <w:color w:val="0000FF"/>
        </w:rPr>
      </w:pPr>
      <w:r w:rsidRPr="00A11604">
        <w:rPr>
          <w:iCs/>
          <w:color w:val="0000FF"/>
        </w:rPr>
        <w:t>We</w:t>
      </w:r>
      <w:r w:rsidR="00895915">
        <w:rPr>
          <w:iCs/>
          <w:color w:val="0000FF"/>
        </w:rPr>
        <w:t xml:space="preserve"> also</w:t>
      </w:r>
      <w:r w:rsidRPr="00A11604">
        <w:rPr>
          <w:iCs/>
          <w:color w:val="0000FF"/>
        </w:rPr>
        <w:t xml:space="preserve"> assessed the</w:t>
      </w:r>
      <w:r w:rsidR="00895915" w:rsidRPr="00895915">
        <w:rPr>
          <w:rStyle w:val="eop"/>
          <w:rFonts w:ascii="Calibri" w:hAnsi="Calibri"/>
          <w:color w:val="0000FF"/>
        </w:rPr>
        <w:t xml:space="preserve"> </w:t>
      </w:r>
      <w:r w:rsidR="00895915" w:rsidRPr="00A11604">
        <w:rPr>
          <w:rStyle w:val="eop"/>
          <w:rFonts w:ascii="Calibri" w:hAnsi="Calibri"/>
          <w:color w:val="0000FF"/>
        </w:rPr>
        <w:t xml:space="preserve">relationship between </w:t>
      </w:r>
      <w:r w:rsidR="00895915">
        <w:rPr>
          <w:rStyle w:val="eop"/>
          <w:rFonts w:ascii="Calibri" w:hAnsi="Calibri"/>
          <w:color w:val="0000FF"/>
        </w:rPr>
        <w:t xml:space="preserve">the facility mean proportion of </w:t>
      </w:r>
      <w:r w:rsidR="00895915" w:rsidRPr="00A11604">
        <w:rPr>
          <w:rStyle w:val="eop"/>
          <w:rFonts w:ascii="Calibri" w:hAnsi="Calibri"/>
          <w:color w:val="0000FF"/>
        </w:rPr>
        <w:t>residents</w:t>
      </w:r>
      <w:r w:rsidR="00895915">
        <w:rPr>
          <w:rStyle w:val="eop"/>
          <w:rFonts w:ascii="Calibri" w:hAnsi="Calibri"/>
          <w:color w:val="0000FF"/>
        </w:rPr>
        <w:t xml:space="preserve"> who were totally dependent (i.e., for activities performed 3 or more times in the past 7 days, nursing home staff performed the activity each time) on each of </w:t>
      </w:r>
      <w:r w:rsidR="00F92B38" w:rsidRPr="00A11604">
        <w:rPr>
          <w:iCs/>
          <w:color w:val="0000FF"/>
        </w:rPr>
        <w:t xml:space="preserve">the </w:t>
      </w:r>
      <w:r w:rsidRPr="00A11604">
        <w:rPr>
          <w:iCs/>
          <w:color w:val="0000FF"/>
        </w:rPr>
        <w:t>function items</w:t>
      </w:r>
      <w:r w:rsidR="00236E0C">
        <w:rPr>
          <w:iCs/>
          <w:color w:val="0000FF"/>
        </w:rPr>
        <w:t xml:space="preserve"> described above</w:t>
      </w:r>
      <w:r w:rsidR="00895915" w:rsidRPr="00895915">
        <w:rPr>
          <w:rStyle w:val="eop"/>
          <w:rFonts w:ascii="Calibri" w:hAnsi="Calibri"/>
          <w:color w:val="0000FF"/>
        </w:rPr>
        <w:t xml:space="preserve"> </w:t>
      </w:r>
      <w:r w:rsidR="00895915" w:rsidRPr="00A11604">
        <w:rPr>
          <w:rStyle w:val="eop"/>
          <w:rFonts w:ascii="Calibri" w:hAnsi="Calibri"/>
          <w:color w:val="0000FF"/>
        </w:rPr>
        <w:t>and performance on the UTI measure a</w:t>
      </w:r>
      <w:r w:rsidR="00895915" w:rsidRPr="00A11604">
        <w:rPr>
          <w:rFonts w:ascii="Calibri" w:hAnsi="Calibri"/>
          <w:color w:val="0000FF"/>
        </w:rPr>
        <w:t>cross QM score deciles</w:t>
      </w:r>
      <w:r w:rsidR="00895915">
        <w:rPr>
          <w:rFonts w:ascii="Calibri" w:hAnsi="Calibri"/>
          <w:color w:val="0000FF"/>
        </w:rPr>
        <w:t>.</w:t>
      </w:r>
      <w:r w:rsidR="00E87D6C">
        <w:rPr>
          <w:rFonts w:ascii="Calibri" w:hAnsi="Calibri"/>
          <w:color w:val="0000FF"/>
        </w:rPr>
        <w:t xml:space="preserve"> </w:t>
      </w:r>
    </w:p>
    <w:p w14:paraId="13DAC91F" w14:textId="77777777" w:rsidR="00895915" w:rsidRDefault="00895915" w:rsidP="00895915">
      <w:pPr>
        <w:pStyle w:val="ListParagraph"/>
        <w:numPr>
          <w:ilvl w:val="0"/>
          <w:numId w:val="46"/>
        </w:numPr>
        <w:spacing w:before="160" w:after="120" w:line="240" w:lineRule="auto"/>
        <w:rPr>
          <w:rFonts w:ascii="Calibri" w:hAnsi="Calibri"/>
          <w:color w:val="0000FF"/>
        </w:rPr>
      </w:pPr>
      <w:r>
        <w:rPr>
          <w:rFonts w:ascii="Calibri" w:hAnsi="Calibri"/>
          <w:color w:val="0000FF"/>
        </w:rPr>
        <w:t>Bed mobility</w:t>
      </w:r>
    </w:p>
    <w:p w14:paraId="5A0F8204" w14:textId="0FC061D1" w:rsidR="00895915" w:rsidRPr="001C60AE" w:rsidRDefault="001C60AE" w:rsidP="001C60AE">
      <w:pPr>
        <w:pStyle w:val="ListParagraph"/>
        <w:numPr>
          <w:ilvl w:val="1"/>
          <w:numId w:val="46"/>
        </w:numPr>
        <w:spacing w:before="160" w:after="120" w:line="240" w:lineRule="auto"/>
        <w:rPr>
          <w:rFonts w:ascii="Calibri" w:hAnsi="Calibri"/>
          <w:color w:val="0000FF"/>
        </w:rPr>
      </w:pPr>
      <w:r>
        <w:rPr>
          <w:rFonts w:ascii="Calibri" w:hAnsi="Calibri"/>
          <w:color w:val="0000FF"/>
        </w:rPr>
        <w:t>F</w:t>
      </w:r>
      <w:r w:rsidR="00895915" w:rsidRPr="00895915">
        <w:rPr>
          <w:rFonts w:ascii="Calibri" w:hAnsi="Calibri"/>
          <w:color w:val="0000FF"/>
        </w:rPr>
        <w:t xml:space="preserve">acility mean proportion of residents </w:t>
      </w:r>
      <w:r>
        <w:rPr>
          <w:rFonts w:ascii="Calibri" w:hAnsi="Calibri"/>
          <w:color w:val="0000FF"/>
        </w:rPr>
        <w:t xml:space="preserve">who were totally dependent was </w:t>
      </w:r>
      <w:r w:rsidR="00895915" w:rsidRPr="00895915">
        <w:rPr>
          <w:rFonts w:ascii="Calibri" w:hAnsi="Calibri"/>
          <w:color w:val="0000FF"/>
        </w:rPr>
        <w:t>8.</w:t>
      </w:r>
      <w:r>
        <w:rPr>
          <w:rFonts w:ascii="Calibri" w:hAnsi="Calibri"/>
          <w:color w:val="0000FF"/>
        </w:rPr>
        <w:t>6</w:t>
      </w:r>
      <w:r w:rsidR="00895915" w:rsidRPr="00895915">
        <w:rPr>
          <w:rFonts w:ascii="Calibri" w:hAnsi="Calibri"/>
          <w:color w:val="0000FF"/>
        </w:rPr>
        <w:t xml:space="preserve">% (SD = </w:t>
      </w:r>
      <w:r>
        <w:rPr>
          <w:rFonts w:ascii="Calibri" w:hAnsi="Calibri"/>
          <w:color w:val="0000FF"/>
        </w:rPr>
        <w:t>11</w:t>
      </w:r>
      <w:r w:rsidR="00895915" w:rsidRPr="00895915">
        <w:rPr>
          <w:rFonts w:ascii="Calibri" w:hAnsi="Calibri"/>
          <w:color w:val="0000FF"/>
        </w:rPr>
        <w:t>.2%).</w:t>
      </w:r>
      <w:r w:rsidR="00E87D6C">
        <w:rPr>
          <w:rFonts w:ascii="Calibri" w:hAnsi="Calibri"/>
          <w:color w:val="0000FF"/>
        </w:rPr>
        <w:t xml:space="preserve"> </w:t>
      </w:r>
      <w:r w:rsidR="00895915" w:rsidRPr="001C60AE">
        <w:rPr>
          <w:rFonts w:ascii="Calibri" w:hAnsi="Calibri"/>
          <w:color w:val="0000FF"/>
        </w:rPr>
        <w:t xml:space="preserve">As QM score increases, the mean proportion of residents </w:t>
      </w:r>
      <w:r w:rsidRPr="001C60AE">
        <w:rPr>
          <w:rFonts w:ascii="Calibri" w:hAnsi="Calibri"/>
          <w:color w:val="0000FF"/>
        </w:rPr>
        <w:t>who were totally dependent</w:t>
      </w:r>
      <w:r w:rsidR="00895915" w:rsidRPr="001C60AE">
        <w:rPr>
          <w:rFonts w:ascii="Calibri" w:hAnsi="Calibri"/>
          <w:color w:val="0000FF"/>
        </w:rPr>
        <w:t xml:space="preserve"> increases from 8.5% to 9.5%.</w:t>
      </w:r>
      <w:r w:rsidR="00E87D6C">
        <w:rPr>
          <w:rFonts w:ascii="Calibri" w:hAnsi="Calibri"/>
          <w:color w:val="0000FF"/>
        </w:rPr>
        <w:t xml:space="preserve"> </w:t>
      </w:r>
      <w:r w:rsidR="00895915" w:rsidRPr="001C60AE">
        <w:rPr>
          <w:rFonts w:ascii="Calibri" w:hAnsi="Calibri"/>
          <w:color w:val="0000FF"/>
        </w:rPr>
        <w:t xml:space="preserve">However, the mean proportion does not increase monotonically across QM score deciles, and the facility mean proportion of residents </w:t>
      </w:r>
      <w:r w:rsidRPr="001C60AE">
        <w:rPr>
          <w:rFonts w:ascii="Calibri" w:hAnsi="Calibri"/>
          <w:color w:val="0000FF"/>
        </w:rPr>
        <w:t>who were totally dependent</w:t>
      </w:r>
      <w:r w:rsidR="00895915" w:rsidRPr="001C60AE">
        <w:rPr>
          <w:rFonts w:ascii="Calibri" w:hAnsi="Calibri"/>
          <w:color w:val="0000FF"/>
        </w:rPr>
        <w:t xml:space="preserve"> ranged from </w:t>
      </w:r>
      <w:r w:rsidRPr="001C60AE">
        <w:rPr>
          <w:rFonts w:ascii="Calibri" w:hAnsi="Calibri"/>
          <w:color w:val="0000FF"/>
        </w:rPr>
        <w:t>8</w:t>
      </w:r>
      <w:r w:rsidR="00895915" w:rsidRPr="001C60AE">
        <w:rPr>
          <w:rFonts w:ascii="Calibri" w:hAnsi="Calibri"/>
          <w:color w:val="0000FF"/>
        </w:rPr>
        <w:t>.</w:t>
      </w:r>
      <w:r w:rsidRPr="001C60AE">
        <w:rPr>
          <w:rFonts w:ascii="Calibri" w:hAnsi="Calibri"/>
          <w:color w:val="0000FF"/>
        </w:rPr>
        <w:t>4</w:t>
      </w:r>
      <w:r w:rsidR="00895915" w:rsidRPr="001C60AE">
        <w:rPr>
          <w:rFonts w:ascii="Calibri" w:hAnsi="Calibri"/>
          <w:color w:val="0000FF"/>
        </w:rPr>
        <w:t>% to 9.5% overall.</w:t>
      </w:r>
    </w:p>
    <w:p w14:paraId="41950B79" w14:textId="4FBB764B" w:rsidR="00895915" w:rsidRDefault="00895915" w:rsidP="00895915">
      <w:pPr>
        <w:pStyle w:val="ListParagraph"/>
        <w:numPr>
          <w:ilvl w:val="0"/>
          <w:numId w:val="46"/>
        </w:numPr>
        <w:spacing w:before="160" w:after="120" w:line="240" w:lineRule="auto"/>
        <w:rPr>
          <w:rFonts w:ascii="Calibri" w:hAnsi="Calibri"/>
          <w:color w:val="0000FF"/>
        </w:rPr>
      </w:pPr>
      <w:r>
        <w:rPr>
          <w:rFonts w:ascii="Calibri" w:hAnsi="Calibri"/>
          <w:color w:val="0000FF"/>
        </w:rPr>
        <w:t>Transfer</w:t>
      </w:r>
    </w:p>
    <w:p w14:paraId="65B5EBCB" w14:textId="534F7D3C" w:rsidR="001C60AE" w:rsidRPr="001C60AE" w:rsidRDefault="001C60AE" w:rsidP="001C60AE">
      <w:pPr>
        <w:pStyle w:val="ListParagraph"/>
        <w:numPr>
          <w:ilvl w:val="1"/>
          <w:numId w:val="46"/>
        </w:numPr>
        <w:spacing w:before="160" w:after="120" w:line="240" w:lineRule="auto"/>
        <w:rPr>
          <w:rFonts w:ascii="Calibri" w:hAnsi="Calibri"/>
          <w:color w:val="0000FF"/>
        </w:rPr>
      </w:pPr>
      <w:r>
        <w:rPr>
          <w:rFonts w:ascii="Calibri" w:hAnsi="Calibri"/>
          <w:color w:val="0000FF"/>
        </w:rPr>
        <w:t>F</w:t>
      </w:r>
      <w:r w:rsidRPr="00895915">
        <w:rPr>
          <w:rFonts w:ascii="Calibri" w:hAnsi="Calibri"/>
          <w:color w:val="0000FF"/>
        </w:rPr>
        <w:t xml:space="preserve">acility mean proportion of residents </w:t>
      </w:r>
      <w:r>
        <w:rPr>
          <w:rFonts w:ascii="Calibri" w:hAnsi="Calibri"/>
          <w:color w:val="0000FF"/>
        </w:rPr>
        <w:t>who were totally dependent was 20</w:t>
      </w:r>
      <w:r w:rsidRPr="00895915">
        <w:rPr>
          <w:rFonts w:ascii="Calibri" w:hAnsi="Calibri"/>
          <w:color w:val="0000FF"/>
        </w:rPr>
        <w:t>.</w:t>
      </w:r>
      <w:r>
        <w:rPr>
          <w:rFonts w:ascii="Calibri" w:hAnsi="Calibri"/>
          <w:color w:val="0000FF"/>
        </w:rPr>
        <w:t>0</w:t>
      </w:r>
      <w:r w:rsidRPr="00895915">
        <w:rPr>
          <w:rFonts w:ascii="Calibri" w:hAnsi="Calibri"/>
          <w:color w:val="0000FF"/>
        </w:rPr>
        <w:t xml:space="preserve">% (SD = </w:t>
      </w:r>
      <w:r>
        <w:rPr>
          <w:rFonts w:ascii="Calibri" w:hAnsi="Calibri"/>
          <w:color w:val="0000FF"/>
        </w:rPr>
        <w:t>13</w:t>
      </w:r>
      <w:r w:rsidRPr="00895915">
        <w:rPr>
          <w:rFonts w:ascii="Calibri" w:hAnsi="Calibri"/>
          <w:color w:val="0000FF"/>
        </w:rPr>
        <w:t>.</w:t>
      </w:r>
      <w:r>
        <w:rPr>
          <w:rFonts w:ascii="Calibri" w:hAnsi="Calibri"/>
          <w:color w:val="0000FF"/>
        </w:rPr>
        <w:t>7</w:t>
      </w:r>
      <w:r w:rsidRPr="00895915">
        <w:rPr>
          <w:rFonts w:ascii="Calibri" w:hAnsi="Calibri"/>
          <w:color w:val="0000FF"/>
        </w:rPr>
        <w:t>%).</w:t>
      </w:r>
      <w:r w:rsidR="00E87D6C">
        <w:rPr>
          <w:rFonts w:ascii="Calibri" w:hAnsi="Calibri"/>
          <w:color w:val="0000FF"/>
        </w:rPr>
        <w:t xml:space="preserve"> </w:t>
      </w:r>
      <w:r w:rsidRPr="001C60AE">
        <w:rPr>
          <w:rFonts w:ascii="Calibri" w:hAnsi="Calibri"/>
          <w:color w:val="0000FF"/>
        </w:rPr>
        <w:t xml:space="preserve">As QM score increases, </w:t>
      </w:r>
      <w:r>
        <w:rPr>
          <w:rFonts w:ascii="Calibri" w:hAnsi="Calibri"/>
          <w:color w:val="0000FF"/>
        </w:rPr>
        <w:t xml:space="preserve">there is a small increase in </w:t>
      </w:r>
      <w:r w:rsidRPr="001C60AE">
        <w:rPr>
          <w:rFonts w:ascii="Calibri" w:hAnsi="Calibri"/>
          <w:color w:val="0000FF"/>
        </w:rPr>
        <w:t>the mean proportion of residents who were totally dependent</w:t>
      </w:r>
      <w:r>
        <w:rPr>
          <w:rFonts w:ascii="Calibri" w:hAnsi="Calibri"/>
          <w:color w:val="0000FF"/>
        </w:rPr>
        <w:t xml:space="preserve">, </w:t>
      </w:r>
      <w:r w:rsidRPr="001C60AE">
        <w:rPr>
          <w:rFonts w:ascii="Calibri" w:hAnsi="Calibri"/>
          <w:color w:val="0000FF"/>
        </w:rPr>
        <w:t xml:space="preserve">from </w:t>
      </w:r>
      <w:r>
        <w:rPr>
          <w:rFonts w:ascii="Calibri" w:hAnsi="Calibri"/>
          <w:color w:val="0000FF"/>
        </w:rPr>
        <w:t>19</w:t>
      </w:r>
      <w:r w:rsidRPr="001C60AE">
        <w:rPr>
          <w:rFonts w:ascii="Calibri" w:hAnsi="Calibri"/>
          <w:color w:val="0000FF"/>
        </w:rPr>
        <w:t>.</w:t>
      </w:r>
      <w:r>
        <w:rPr>
          <w:rFonts w:ascii="Calibri" w:hAnsi="Calibri"/>
          <w:color w:val="0000FF"/>
        </w:rPr>
        <w:t>2</w:t>
      </w:r>
      <w:r w:rsidRPr="001C60AE">
        <w:rPr>
          <w:rFonts w:ascii="Calibri" w:hAnsi="Calibri"/>
          <w:color w:val="0000FF"/>
        </w:rPr>
        <w:t xml:space="preserve">% to </w:t>
      </w:r>
      <w:r>
        <w:rPr>
          <w:rFonts w:ascii="Calibri" w:hAnsi="Calibri"/>
          <w:color w:val="0000FF"/>
        </w:rPr>
        <w:t>20.9</w:t>
      </w:r>
      <w:r w:rsidRPr="001C60AE">
        <w:rPr>
          <w:rFonts w:ascii="Calibri" w:hAnsi="Calibri"/>
          <w:color w:val="0000FF"/>
        </w:rPr>
        <w:t>%.</w:t>
      </w:r>
      <w:r w:rsidR="00E87D6C">
        <w:rPr>
          <w:rFonts w:ascii="Calibri" w:hAnsi="Calibri"/>
          <w:color w:val="0000FF"/>
        </w:rPr>
        <w:t xml:space="preserve"> </w:t>
      </w:r>
      <w:r w:rsidRPr="001C60AE">
        <w:rPr>
          <w:rFonts w:ascii="Calibri" w:hAnsi="Calibri"/>
          <w:color w:val="0000FF"/>
        </w:rPr>
        <w:t xml:space="preserve">However, the mean proportion does not increase monotonically across QM score deciles, and the facility mean proportion of residents who were totally dependent ranged from </w:t>
      </w:r>
      <w:r>
        <w:rPr>
          <w:rFonts w:ascii="Calibri" w:hAnsi="Calibri"/>
          <w:color w:val="0000FF"/>
        </w:rPr>
        <w:t>19</w:t>
      </w:r>
      <w:r w:rsidRPr="001C60AE">
        <w:rPr>
          <w:rFonts w:ascii="Calibri" w:hAnsi="Calibri"/>
          <w:color w:val="0000FF"/>
        </w:rPr>
        <w:t>.</w:t>
      </w:r>
      <w:r>
        <w:rPr>
          <w:rFonts w:ascii="Calibri" w:hAnsi="Calibri"/>
          <w:color w:val="0000FF"/>
        </w:rPr>
        <w:t>2</w:t>
      </w:r>
      <w:r w:rsidRPr="001C60AE">
        <w:rPr>
          <w:rFonts w:ascii="Calibri" w:hAnsi="Calibri"/>
          <w:color w:val="0000FF"/>
        </w:rPr>
        <w:t xml:space="preserve">% to </w:t>
      </w:r>
      <w:r>
        <w:rPr>
          <w:rFonts w:ascii="Calibri" w:hAnsi="Calibri"/>
          <w:color w:val="0000FF"/>
        </w:rPr>
        <w:t>21.0</w:t>
      </w:r>
      <w:r w:rsidRPr="001C60AE">
        <w:rPr>
          <w:rFonts w:ascii="Calibri" w:hAnsi="Calibri"/>
          <w:color w:val="0000FF"/>
        </w:rPr>
        <w:t>%</w:t>
      </w:r>
      <w:r>
        <w:rPr>
          <w:rFonts w:ascii="Calibri" w:hAnsi="Calibri"/>
          <w:color w:val="0000FF"/>
        </w:rPr>
        <w:t xml:space="preserve"> </w:t>
      </w:r>
      <w:r w:rsidRPr="001C60AE">
        <w:rPr>
          <w:rFonts w:ascii="Calibri" w:hAnsi="Calibri"/>
          <w:color w:val="0000FF"/>
        </w:rPr>
        <w:t>overall.</w:t>
      </w:r>
    </w:p>
    <w:p w14:paraId="45F6BD14" w14:textId="3B9217BC" w:rsidR="00895915" w:rsidRDefault="00895915" w:rsidP="003E0493">
      <w:pPr>
        <w:pStyle w:val="ListParagraph"/>
        <w:keepNext/>
        <w:numPr>
          <w:ilvl w:val="0"/>
          <w:numId w:val="46"/>
        </w:numPr>
        <w:spacing w:before="160" w:after="120" w:line="240" w:lineRule="auto"/>
        <w:rPr>
          <w:rFonts w:ascii="Calibri" w:hAnsi="Calibri"/>
          <w:color w:val="0000FF"/>
        </w:rPr>
      </w:pPr>
      <w:r>
        <w:rPr>
          <w:rFonts w:ascii="Calibri" w:hAnsi="Calibri"/>
          <w:color w:val="0000FF"/>
        </w:rPr>
        <w:t>Walk in room</w:t>
      </w:r>
    </w:p>
    <w:p w14:paraId="6EA54E2D" w14:textId="4853648E" w:rsidR="00AA03A0" w:rsidRPr="00AA03A0" w:rsidRDefault="00AA03A0" w:rsidP="00AA03A0">
      <w:pPr>
        <w:pStyle w:val="ListParagraph"/>
        <w:numPr>
          <w:ilvl w:val="1"/>
          <w:numId w:val="46"/>
        </w:numPr>
        <w:spacing w:before="160" w:after="120" w:line="240" w:lineRule="auto"/>
        <w:rPr>
          <w:rFonts w:ascii="Calibri" w:hAnsi="Calibri"/>
          <w:color w:val="0000FF"/>
        </w:rPr>
      </w:pPr>
      <w:r>
        <w:rPr>
          <w:rFonts w:ascii="Calibri" w:hAnsi="Calibri"/>
          <w:color w:val="0000FF"/>
        </w:rPr>
        <w:t>F</w:t>
      </w:r>
      <w:r w:rsidRPr="00895915">
        <w:rPr>
          <w:rFonts w:ascii="Calibri" w:hAnsi="Calibri"/>
          <w:color w:val="0000FF"/>
        </w:rPr>
        <w:t xml:space="preserve">acility mean proportion of residents </w:t>
      </w:r>
      <w:r>
        <w:rPr>
          <w:rFonts w:ascii="Calibri" w:hAnsi="Calibri"/>
          <w:color w:val="0000FF"/>
        </w:rPr>
        <w:t>who were totally dependent was 57</w:t>
      </w:r>
      <w:r w:rsidRPr="00895915">
        <w:rPr>
          <w:rFonts w:ascii="Calibri" w:hAnsi="Calibri"/>
          <w:color w:val="0000FF"/>
        </w:rPr>
        <w:t>.</w:t>
      </w:r>
      <w:r>
        <w:rPr>
          <w:rFonts w:ascii="Calibri" w:hAnsi="Calibri"/>
          <w:color w:val="0000FF"/>
        </w:rPr>
        <w:t>3</w:t>
      </w:r>
      <w:r w:rsidRPr="00895915">
        <w:rPr>
          <w:rFonts w:ascii="Calibri" w:hAnsi="Calibri"/>
          <w:color w:val="0000FF"/>
        </w:rPr>
        <w:t xml:space="preserve">% (SD = </w:t>
      </w:r>
      <w:r>
        <w:rPr>
          <w:rFonts w:ascii="Calibri" w:hAnsi="Calibri"/>
          <w:color w:val="0000FF"/>
        </w:rPr>
        <w:t>16</w:t>
      </w:r>
      <w:r w:rsidRPr="00895915">
        <w:rPr>
          <w:rFonts w:ascii="Calibri" w:hAnsi="Calibri"/>
          <w:color w:val="0000FF"/>
        </w:rPr>
        <w:t>.</w:t>
      </w:r>
      <w:r>
        <w:rPr>
          <w:rFonts w:ascii="Calibri" w:hAnsi="Calibri"/>
          <w:color w:val="0000FF"/>
        </w:rPr>
        <w:t>4</w:t>
      </w:r>
      <w:r w:rsidRPr="00895915">
        <w:rPr>
          <w:rFonts w:ascii="Calibri" w:hAnsi="Calibri"/>
          <w:color w:val="0000FF"/>
        </w:rPr>
        <w:t>%).</w:t>
      </w:r>
      <w:r w:rsidR="00E87D6C">
        <w:rPr>
          <w:rFonts w:ascii="Calibri" w:hAnsi="Calibri"/>
          <w:color w:val="0000FF"/>
        </w:rPr>
        <w:t xml:space="preserve"> </w:t>
      </w:r>
      <w:r w:rsidRPr="001C60AE">
        <w:rPr>
          <w:rFonts w:ascii="Calibri" w:hAnsi="Calibri"/>
          <w:color w:val="0000FF"/>
        </w:rPr>
        <w:t xml:space="preserve">As QM score increases, the mean proportion of residents who were totally dependent increases from </w:t>
      </w:r>
      <w:r>
        <w:rPr>
          <w:rFonts w:ascii="Calibri" w:hAnsi="Calibri"/>
          <w:color w:val="0000FF"/>
        </w:rPr>
        <w:t>56</w:t>
      </w:r>
      <w:r w:rsidRPr="001C60AE">
        <w:rPr>
          <w:rFonts w:ascii="Calibri" w:hAnsi="Calibri"/>
          <w:color w:val="0000FF"/>
        </w:rPr>
        <w:t>.</w:t>
      </w:r>
      <w:r>
        <w:rPr>
          <w:rFonts w:ascii="Calibri" w:hAnsi="Calibri"/>
          <w:color w:val="0000FF"/>
        </w:rPr>
        <w:t>1</w:t>
      </w:r>
      <w:r w:rsidRPr="001C60AE">
        <w:rPr>
          <w:rFonts w:ascii="Calibri" w:hAnsi="Calibri"/>
          <w:color w:val="0000FF"/>
        </w:rPr>
        <w:t xml:space="preserve">% to </w:t>
      </w:r>
      <w:r>
        <w:rPr>
          <w:rFonts w:ascii="Calibri" w:hAnsi="Calibri"/>
          <w:color w:val="0000FF"/>
        </w:rPr>
        <w:t>58</w:t>
      </w:r>
      <w:r w:rsidRPr="001C60AE">
        <w:rPr>
          <w:rFonts w:ascii="Calibri" w:hAnsi="Calibri"/>
          <w:color w:val="0000FF"/>
        </w:rPr>
        <w:t>.</w:t>
      </w:r>
      <w:r>
        <w:rPr>
          <w:rFonts w:ascii="Calibri" w:hAnsi="Calibri"/>
          <w:color w:val="0000FF"/>
        </w:rPr>
        <w:t>2</w:t>
      </w:r>
      <w:r w:rsidRPr="001C60AE">
        <w:rPr>
          <w:rFonts w:ascii="Calibri" w:hAnsi="Calibri"/>
          <w:color w:val="0000FF"/>
        </w:rPr>
        <w:t>%</w:t>
      </w:r>
      <w:r>
        <w:rPr>
          <w:rFonts w:ascii="Calibri" w:hAnsi="Calibri"/>
          <w:color w:val="0000FF"/>
        </w:rPr>
        <w:t>.</w:t>
      </w:r>
      <w:r w:rsidR="00E87D6C">
        <w:rPr>
          <w:rFonts w:ascii="Calibri" w:hAnsi="Calibri"/>
          <w:color w:val="0000FF"/>
        </w:rPr>
        <w:t xml:space="preserve"> </w:t>
      </w:r>
      <w:r w:rsidRPr="001C60AE">
        <w:rPr>
          <w:rFonts w:ascii="Calibri" w:hAnsi="Calibri"/>
          <w:color w:val="0000FF"/>
        </w:rPr>
        <w:t xml:space="preserve">However, the mean proportion does not </w:t>
      </w:r>
      <w:r w:rsidRPr="001C60AE">
        <w:rPr>
          <w:rFonts w:ascii="Calibri" w:hAnsi="Calibri"/>
          <w:color w:val="0000FF"/>
        </w:rPr>
        <w:lastRenderedPageBreak/>
        <w:t xml:space="preserve">increase monotonically across QM score deciles, and the facility mean proportion of residents who were totally dependent ranged from </w:t>
      </w:r>
      <w:r>
        <w:rPr>
          <w:rFonts w:ascii="Calibri" w:hAnsi="Calibri"/>
          <w:color w:val="0000FF"/>
        </w:rPr>
        <w:t>56</w:t>
      </w:r>
      <w:r w:rsidRPr="001C60AE">
        <w:rPr>
          <w:rFonts w:ascii="Calibri" w:hAnsi="Calibri"/>
          <w:color w:val="0000FF"/>
        </w:rPr>
        <w:t>.</w:t>
      </w:r>
      <w:r>
        <w:rPr>
          <w:rFonts w:ascii="Calibri" w:hAnsi="Calibri"/>
          <w:color w:val="0000FF"/>
        </w:rPr>
        <w:t>1</w:t>
      </w:r>
      <w:r w:rsidRPr="001C60AE">
        <w:rPr>
          <w:rFonts w:ascii="Calibri" w:hAnsi="Calibri"/>
          <w:color w:val="0000FF"/>
        </w:rPr>
        <w:t xml:space="preserve">% to </w:t>
      </w:r>
      <w:r>
        <w:rPr>
          <w:rFonts w:ascii="Calibri" w:hAnsi="Calibri"/>
          <w:color w:val="0000FF"/>
        </w:rPr>
        <w:t>58</w:t>
      </w:r>
      <w:r w:rsidRPr="001C60AE">
        <w:rPr>
          <w:rFonts w:ascii="Calibri" w:hAnsi="Calibri"/>
          <w:color w:val="0000FF"/>
        </w:rPr>
        <w:t>.</w:t>
      </w:r>
      <w:r>
        <w:rPr>
          <w:rFonts w:ascii="Calibri" w:hAnsi="Calibri"/>
          <w:color w:val="0000FF"/>
        </w:rPr>
        <w:t>6</w:t>
      </w:r>
      <w:r w:rsidRPr="001C60AE">
        <w:rPr>
          <w:rFonts w:ascii="Calibri" w:hAnsi="Calibri"/>
          <w:color w:val="0000FF"/>
        </w:rPr>
        <w:t>% overall.</w:t>
      </w:r>
    </w:p>
    <w:p w14:paraId="7DF8C843" w14:textId="4E7D47E9" w:rsidR="00895915" w:rsidRDefault="00895915" w:rsidP="00895915">
      <w:pPr>
        <w:pStyle w:val="ListParagraph"/>
        <w:numPr>
          <w:ilvl w:val="0"/>
          <w:numId w:val="46"/>
        </w:numPr>
        <w:spacing w:before="160" w:after="120" w:line="240" w:lineRule="auto"/>
        <w:rPr>
          <w:rFonts w:ascii="Calibri" w:hAnsi="Calibri"/>
          <w:color w:val="0000FF"/>
        </w:rPr>
      </w:pPr>
      <w:r>
        <w:rPr>
          <w:rFonts w:ascii="Calibri" w:hAnsi="Calibri"/>
          <w:color w:val="0000FF"/>
        </w:rPr>
        <w:t>Walk in corridor</w:t>
      </w:r>
    </w:p>
    <w:p w14:paraId="373CA49D" w14:textId="6E8F59C5" w:rsidR="00AA03A0" w:rsidRPr="00AA03A0" w:rsidRDefault="00AA03A0" w:rsidP="00AA03A0">
      <w:pPr>
        <w:pStyle w:val="ListParagraph"/>
        <w:numPr>
          <w:ilvl w:val="1"/>
          <w:numId w:val="46"/>
        </w:numPr>
        <w:spacing w:before="160" w:after="120" w:line="240" w:lineRule="auto"/>
        <w:rPr>
          <w:rFonts w:ascii="Calibri" w:hAnsi="Calibri"/>
          <w:color w:val="0000FF"/>
        </w:rPr>
      </w:pPr>
      <w:r>
        <w:rPr>
          <w:rFonts w:ascii="Calibri" w:hAnsi="Calibri"/>
          <w:color w:val="0000FF"/>
        </w:rPr>
        <w:t>F</w:t>
      </w:r>
      <w:r w:rsidRPr="00895915">
        <w:rPr>
          <w:rFonts w:ascii="Calibri" w:hAnsi="Calibri"/>
          <w:color w:val="0000FF"/>
        </w:rPr>
        <w:t xml:space="preserve">acility mean proportion of residents </w:t>
      </w:r>
      <w:r>
        <w:rPr>
          <w:rFonts w:ascii="Calibri" w:hAnsi="Calibri"/>
          <w:color w:val="0000FF"/>
        </w:rPr>
        <w:t>who were totally dependent was 61</w:t>
      </w:r>
      <w:r w:rsidRPr="00895915">
        <w:rPr>
          <w:rFonts w:ascii="Calibri" w:hAnsi="Calibri"/>
          <w:color w:val="0000FF"/>
        </w:rPr>
        <w:t>.</w:t>
      </w:r>
      <w:r>
        <w:rPr>
          <w:rFonts w:ascii="Calibri" w:hAnsi="Calibri"/>
          <w:color w:val="0000FF"/>
        </w:rPr>
        <w:t>2</w:t>
      </w:r>
      <w:r w:rsidRPr="00895915">
        <w:rPr>
          <w:rFonts w:ascii="Calibri" w:hAnsi="Calibri"/>
          <w:color w:val="0000FF"/>
        </w:rPr>
        <w:t xml:space="preserve">% (SD = </w:t>
      </w:r>
      <w:r>
        <w:rPr>
          <w:rFonts w:ascii="Calibri" w:hAnsi="Calibri"/>
          <w:color w:val="0000FF"/>
        </w:rPr>
        <w:t>16</w:t>
      </w:r>
      <w:r w:rsidRPr="00895915">
        <w:rPr>
          <w:rFonts w:ascii="Calibri" w:hAnsi="Calibri"/>
          <w:color w:val="0000FF"/>
        </w:rPr>
        <w:t>.</w:t>
      </w:r>
      <w:r>
        <w:rPr>
          <w:rFonts w:ascii="Calibri" w:hAnsi="Calibri"/>
          <w:color w:val="0000FF"/>
        </w:rPr>
        <w:t>2</w:t>
      </w:r>
      <w:r w:rsidRPr="00895915">
        <w:rPr>
          <w:rFonts w:ascii="Calibri" w:hAnsi="Calibri"/>
          <w:color w:val="0000FF"/>
        </w:rPr>
        <w:t>%).</w:t>
      </w:r>
      <w:r w:rsidR="00E87D6C">
        <w:rPr>
          <w:rFonts w:ascii="Calibri" w:hAnsi="Calibri"/>
          <w:color w:val="0000FF"/>
        </w:rPr>
        <w:t xml:space="preserve"> </w:t>
      </w:r>
      <w:r w:rsidRPr="001C60AE">
        <w:rPr>
          <w:rFonts w:ascii="Calibri" w:hAnsi="Calibri"/>
          <w:color w:val="0000FF"/>
        </w:rPr>
        <w:t xml:space="preserve">As QM score increases, </w:t>
      </w:r>
      <w:r>
        <w:rPr>
          <w:rFonts w:ascii="Calibri" w:hAnsi="Calibri"/>
          <w:color w:val="0000FF"/>
        </w:rPr>
        <w:t xml:space="preserve">there is a small increase in </w:t>
      </w:r>
      <w:r w:rsidRPr="001C60AE">
        <w:rPr>
          <w:rFonts w:ascii="Calibri" w:hAnsi="Calibri"/>
          <w:color w:val="0000FF"/>
        </w:rPr>
        <w:t>the mean proportion of residents who were totally dependent</w:t>
      </w:r>
      <w:r>
        <w:rPr>
          <w:rFonts w:ascii="Calibri" w:hAnsi="Calibri"/>
          <w:color w:val="0000FF"/>
        </w:rPr>
        <w:t xml:space="preserve">, </w:t>
      </w:r>
      <w:r w:rsidRPr="001C60AE">
        <w:rPr>
          <w:rFonts w:ascii="Calibri" w:hAnsi="Calibri"/>
          <w:color w:val="0000FF"/>
        </w:rPr>
        <w:t xml:space="preserve">from </w:t>
      </w:r>
      <w:r>
        <w:rPr>
          <w:rFonts w:ascii="Calibri" w:hAnsi="Calibri"/>
          <w:color w:val="0000FF"/>
        </w:rPr>
        <w:t>59</w:t>
      </w:r>
      <w:r w:rsidRPr="001C60AE">
        <w:rPr>
          <w:rFonts w:ascii="Calibri" w:hAnsi="Calibri"/>
          <w:color w:val="0000FF"/>
        </w:rPr>
        <w:t>.</w:t>
      </w:r>
      <w:r>
        <w:rPr>
          <w:rFonts w:ascii="Calibri" w:hAnsi="Calibri"/>
          <w:color w:val="0000FF"/>
        </w:rPr>
        <w:t>9</w:t>
      </w:r>
      <w:r w:rsidRPr="001C60AE">
        <w:rPr>
          <w:rFonts w:ascii="Calibri" w:hAnsi="Calibri"/>
          <w:color w:val="0000FF"/>
        </w:rPr>
        <w:t xml:space="preserve">% to </w:t>
      </w:r>
      <w:r>
        <w:rPr>
          <w:rFonts w:ascii="Calibri" w:hAnsi="Calibri"/>
          <w:color w:val="0000FF"/>
        </w:rPr>
        <w:t>63.1</w:t>
      </w:r>
      <w:r w:rsidRPr="001C60AE">
        <w:rPr>
          <w:rFonts w:ascii="Calibri" w:hAnsi="Calibri"/>
          <w:color w:val="0000FF"/>
        </w:rPr>
        <w:t>%.</w:t>
      </w:r>
      <w:r w:rsidR="00E87D6C">
        <w:rPr>
          <w:rFonts w:ascii="Calibri" w:hAnsi="Calibri"/>
          <w:color w:val="0000FF"/>
        </w:rPr>
        <w:t xml:space="preserve"> </w:t>
      </w:r>
      <w:r w:rsidRPr="001C60AE">
        <w:rPr>
          <w:rFonts w:ascii="Calibri" w:hAnsi="Calibri"/>
          <w:color w:val="0000FF"/>
        </w:rPr>
        <w:t>However, the mean proportion does not increase monotonically across QM score deciles</w:t>
      </w:r>
      <w:r>
        <w:rPr>
          <w:rFonts w:ascii="Calibri" w:hAnsi="Calibri"/>
          <w:color w:val="0000FF"/>
        </w:rPr>
        <w:t>.</w:t>
      </w:r>
    </w:p>
    <w:p w14:paraId="1B802597" w14:textId="43F2EB46" w:rsidR="00895915" w:rsidRDefault="00895915" w:rsidP="00895915">
      <w:pPr>
        <w:pStyle w:val="ListParagraph"/>
        <w:numPr>
          <w:ilvl w:val="0"/>
          <w:numId w:val="46"/>
        </w:numPr>
        <w:spacing w:before="160" w:after="120" w:line="240" w:lineRule="auto"/>
        <w:rPr>
          <w:rFonts w:ascii="Calibri" w:hAnsi="Calibri"/>
          <w:color w:val="0000FF"/>
        </w:rPr>
      </w:pPr>
      <w:r>
        <w:rPr>
          <w:rFonts w:ascii="Calibri" w:hAnsi="Calibri"/>
          <w:color w:val="0000FF"/>
        </w:rPr>
        <w:t>Toilet use</w:t>
      </w:r>
    </w:p>
    <w:p w14:paraId="40174A16" w14:textId="25F957F1" w:rsidR="00895915" w:rsidRPr="00AA03A0" w:rsidRDefault="00AA03A0" w:rsidP="00895915">
      <w:pPr>
        <w:pStyle w:val="ListParagraph"/>
        <w:numPr>
          <w:ilvl w:val="1"/>
          <w:numId w:val="46"/>
        </w:numPr>
        <w:spacing w:before="160" w:after="120" w:line="240" w:lineRule="auto"/>
        <w:rPr>
          <w:rFonts w:ascii="Calibri" w:hAnsi="Calibri"/>
          <w:color w:val="0000FF"/>
        </w:rPr>
      </w:pPr>
      <w:r>
        <w:rPr>
          <w:rFonts w:ascii="Calibri" w:hAnsi="Calibri"/>
          <w:color w:val="0000FF"/>
        </w:rPr>
        <w:t>F</w:t>
      </w:r>
      <w:r w:rsidRPr="00895915">
        <w:rPr>
          <w:rFonts w:ascii="Calibri" w:hAnsi="Calibri"/>
          <w:color w:val="0000FF"/>
        </w:rPr>
        <w:t xml:space="preserve">acility mean proportion of residents </w:t>
      </w:r>
      <w:r>
        <w:rPr>
          <w:rFonts w:ascii="Calibri" w:hAnsi="Calibri"/>
          <w:color w:val="0000FF"/>
        </w:rPr>
        <w:t>who were totally dependent was 16</w:t>
      </w:r>
      <w:r w:rsidRPr="00895915">
        <w:rPr>
          <w:rFonts w:ascii="Calibri" w:hAnsi="Calibri"/>
          <w:color w:val="0000FF"/>
        </w:rPr>
        <w:t>.</w:t>
      </w:r>
      <w:r>
        <w:rPr>
          <w:rFonts w:ascii="Calibri" w:hAnsi="Calibri"/>
          <w:color w:val="0000FF"/>
        </w:rPr>
        <w:t>8</w:t>
      </w:r>
      <w:r w:rsidRPr="00895915">
        <w:rPr>
          <w:rFonts w:ascii="Calibri" w:hAnsi="Calibri"/>
          <w:color w:val="0000FF"/>
        </w:rPr>
        <w:t xml:space="preserve">% (SD = </w:t>
      </w:r>
      <w:r>
        <w:rPr>
          <w:rFonts w:ascii="Calibri" w:hAnsi="Calibri"/>
          <w:color w:val="0000FF"/>
        </w:rPr>
        <w:t>16</w:t>
      </w:r>
      <w:r w:rsidRPr="00895915">
        <w:rPr>
          <w:rFonts w:ascii="Calibri" w:hAnsi="Calibri"/>
          <w:color w:val="0000FF"/>
        </w:rPr>
        <w:t>.</w:t>
      </w:r>
      <w:r>
        <w:rPr>
          <w:rFonts w:ascii="Calibri" w:hAnsi="Calibri"/>
          <w:color w:val="0000FF"/>
        </w:rPr>
        <w:t>6</w:t>
      </w:r>
      <w:r w:rsidRPr="00895915">
        <w:rPr>
          <w:rFonts w:ascii="Calibri" w:hAnsi="Calibri"/>
          <w:color w:val="0000FF"/>
        </w:rPr>
        <w:t>%).</w:t>
      </w:r>
      <w:r w:rsidR="00E87D6C">
        <w:rPr>
          <w:rFonts w:ascii="Calibri" w:hAnsi="Calibri"/>
          <w:color w:val="0000FF"/>
        </w:rPr>
        <w:t xml:space="preserve"> </w:t>
      </w:r>
      <w:r w:rsidRPr="001C60AE">
        <w:rPr>
          <w:rFonts w:ascii="Calibri" w:hAnsi="Calibri"/>
          <w:color w:val="0000FF"/>
        </w:rPr>
        <w:t xml:space="preserve">As QM score increases, the mean proportion of residents who were totally dependent increases from </w:t>
      </w:r>
      <w:r>
        <w:rPr>
          <w:rFonts w:ascii="Calibri" w:hAnsi="Calibri"/>
          <w:color w:val="0000FF"/>
        </w:rPr>
        <w:t>16</w:t>
      </w:r>
      <w:r w:rsidRPr="001C60AE">
        <w:rPr>
          <w:rFonts w:ascii="Calibri" w:hAnsi="Calibri"/>
          <w:color w:val="0000FF"/>
        </w:rPr>
        <w:t>.</w:t>
      </w:r>
      <w:r>
        <w:rPr>
          <w:rFonts w:ascii="Calibri" w:hAnsi="Calibri"/>
          <w:color w:val="0000FF"/>
        </w:rPr>
        <w:t>1</w:t>
      </w:r>
      <w:r w:rsidRPr="001C60AE">
        <w:rPr>
          <w:rFonts w:ascii="Calibri" w:hAnsi="Calibri"/>
          <w:color w:val="0000FF"/>
        </w:rPr>
        <w:t xml:space="preserve">% to </w:t>
      </w:r>
      <w:r>
        <w:rPr>
          <w:rFonts w:ascii="Calibri" w:hAnsi="Calibri"/>
          <w:color w:val="0000FF"/>
        </w:rPr>
        <w:t>18</w:t>
      </w:r>
      <w:r w:rsidRPr="001C60AE">
        <w:rPr>
          <w:rFonts w:ascii="Calibri" w:hAnsi="Calibri"/>
          <w:color w:val="0000FF"/>
        </w:rPr>
        <w:t>.</w:t>
      </w:r>
      <w:r>
        <w:rPr>
          <w:rFonts w:ascii="Calibri" w:hAnsi="Calibri"/>
          <w:color w:val="0000FF"/>
        </w:rPr>
        <w:t>4</w:t>
      </w:r>
      <w:r w:rsidRPr="001C60AE">
        <w:rPr>
          <w:rFonts w:ascii="Calibri" w:hAnsi="Calibri"/>
          <w:color w:val="0000FF"/>
        </w:rPr>
        <w:t>%.</w:t>
      </w:r>
      <w:r w:rsidR="00E87D6C">
        <w:rPr>
          <w:rFonts w:ascii="Calibri" w:hAnsi="Calibri"/>
          <w:color w:val="0000FF"/>
        </w:rPr>
        <w:t xml:space="preserve"> </w:t>
      </w:r>
      <w:r w:rsidRPr="001C60AE">
        <w:rPr>
          <w:rFonts w:ascii="Calibri" w:hAnsi="Calibri"/>
          <w:color w:val="0000FF"/>
        </w:rPr>
        <w:t>However, the mean proportion does not increase monotonically across QM score decile</w:t>
      </w:r>
      <w:r>
        <w:rPr>
          <w:rFonts w:ascii="Calibri" w:hAnsi="Calibri"/>
          <w:color w:val="0000FF"/>
        </w:rPr>
        <w:t>s</w:t>
      </w:r>
      <w:r w:rsidRPr="001C60AE">
        <w:rPr>
          <w:rFonts w:ascii="Calibri" w:hAnsi="Calibri"/>
          <w:color w:val="0000FF"/>
        </w:rPr>
        <w:t>.</w:t>
      </w:r>
    </w:p>
    <w:p w14:paraId="4EA3FC75" w14:textId="0B2D9995" w:rsidR="00C751AB" w:rsidRPr="00A11604" w:rsidRDefault="00021059" w:rsidP="00E95999">
      <w:pPr>
        <w:pStyle w:val="BodyText"/>
        <w:spacing w:after="240" w:line="240" w:lineRule="auto"/>
        <w:ind w:left="360"/>
        <w:rPr>
          <w:rFonts w:ascii="Calibri" w:hAnsi="Calibri"/>
          <w:color w:val="0000FF"/>
        </w:rPr>
      </w:pPr>
      <w:r w:rsidRPr="00A11604">
        <w:rPr>
          <w:rFonts w:ascii="Calibri" w:hAnsi="Calibri"/>
          <w:color w:val="0000FF"/>
        </w:rPr>
        <w:t xml:space="preserve">Results of testing demonstrated that there were not strong relationships between performance on the UTI quality measure and </w:t>
      </w:r>
      <w:r w:rsidR="00895915" w:rsidRPr="00A11604">
        <w:rPr>
          <w:rFonts w:ascii="Calibri" w:hAnsi="Calibri"/>
          <w:color w:val="0000FF"/>
        </w:rPr>
        <w:t xml:space="preserve">proportion of residents </w:t>
      </w:r>
      <w:r w:rsidR="00895915">
        <w:rPr>
          <w:rFonts w:ascii="Calibri" w:hAnsi="Calibri"/>
          <w:color w:val="0000FF"/>
        </w:rPr>
        <w:t>receiving hospice care or who were totally dependent on the</w:t>
      </w:r>
      <w:r w:rsidR="00895915" w:rsidRPr="00A11604">
        <w:rPr>
          <w:rFonts w:ascii="Calibri" w:hAnsi="Calibri"/>
          <w:color w:val="0000FF"/>
        </w:rPr>
        <w:t xml:space="preserve"> </w:t>
      </w:r>
      <w:r w:rsidRPr="00A11604">
        <w:rPr>
          <w:rFonts w:ascii="Calibri" w:hAnsi="Calibri"/>
          <w:color w:val="0000FF"/>
        </w:rPr>
        <w:t xml:space="preserve">functional items. Therefore, we did not </w:t>
      </w:r>
      <w:r w:rsidR="00031A7E" w:rsidRPr="00A11604">
        <w:rPr>
          <w:rFonts w:ascii="Calibri" w:hAnsi="Calibri"/>
          <w:color w:val="0000FF"/>
        </w:rPr>
        <w:t>proceed with risk adjustment for clinical factors and did no further testing for risk adjustment</w:t>
      </w:r>
      <w:r w:rsidR="00F92B38" w:rsidRPr="00A11604">
        <w:rPr>
          <w:rFonts w:ascii="Calibri" w:hAnsi="Calibri"/>
          <w:color w:val="0000FF"/>
        </w:rPr>
        <w:t xml:space="preserve"> (RTI International, 2019)</w:t>
      </w:r>
      <w:r w:rsidR="00031A7E" w:rsidRPr="00A11604">
        <w:rPr>
          <w:rFonts w:ascii="Calibri" w:hAnsi="Calibri"/>
          <w:color w:val="0000FF"/>
        </w:rPr>
        <w:t xml:space="preserve">. </w:t>
      </w:r>
    </w:p>
    <w:p w14:paraId="3CEE23AF" w14:textId="0B7F46D2" w:rsidR="005751EC" w:rsidRDefault="005751EC" w:rsidP="003E0493">
      <w:pPr>
        <w:pStyle w:val="Response"/>
        <w:spacing w:before="0" w:after="0"/>
        <w:ind w:left="360" w:hanging="360"/>
        <w:rPr>
          <w:rStyle w:val="Hyperlink"/>
          <w:rFonts w:ascii="Calibri" w:eastAsia="MS Mincho" w:hAnsi="Calibri" w:cs="Calibri"/>
          <w:sz w:val="20"/>
          <w:szCs w:val="20"/>
        </w:rPr>
      </w:pPr>
      <w:r>
        <w:rPr>
          <w:rFonts w:ascii="Calibri" w:eastAsia="MS Mincho" w:hAnsi="Calibri" w:cs="Calibri"/>
          <w:color w:val="3333FF"/>
          <w:sz w:val="20"/>
          <w:szCs w:val="20"/>
        </w:rPr>
        <w:t xml:space="preserve">Centers for Medicare &amp; Medicaid Services </w:t>
      </w:r>
      <w:r w:rsidRPr="00A55A97">
        <w:rPr>
          <w:rFonts w:ascii="Calibri" w:eastAsia="MS Mincho" w:hAnsi="Calibri" w:cs="Calibri"/>
          <w:color w:val="3333FF"/>
          <w:sz w:val="20"/>
          <w:szCs w:val="20"/>
        </w:rPr>
        <w:t>(201</w:t>
      </w:r>
      <w:r>
        <w:rPr>
          <w:rFonts w:ascii="Calibri" w:eastAsia="MS Mincho" w:hAnsi="Calibri" w:cs="Calibri"/>
          <w:color w:val="3333FF"/>
          <w:sz w:val="20"/>
          <w:szCs w:val="20"/>
        </w:rPr>
        <w:t>8</w:t>
      </w:r>
      <w:r w:rsidRPr="00A55A97">
        <w:rPr>
          <w:rFonts w:ascii="Calibri" w:eastAsia="MS Mincho" w:hAnsi="Calibri" w:cs="Calibri"/>
          <w:color w:val="3333FF"/>
          <w:sz w:val="20"/>
          <w:szCs w:val="20"/>
        </w:rPr>
        <w:t xml:space="preserve">, </w:t>
      </w:r>
      <w:r>
        <w:rPr>
          <w:rFonts w:ascii="Calibri" w:eastAsia="MS Mincho" w:hAnsi="Calibri" w:cs="Calibri"/>
          <w:color w:val="3333FF"/>
          <w:sz w:val="20"/>
          <w:szCs w:val="20"/>
        </w:rPr>
        <w:t>October</w:t>
      </w:r>
      <w:r w:rsidRPr="00A55A97">
        <w:rPr>
          <w:rFonts w:ascii="Calibri" w:eastAsia="MS Mincho" w:hAnsi="Calibri" w:cs="Calibri"/>
          <w:color w:val="3333FF"/>
          <w:sz w:val="20"/>
          <w:szCs w:val="20"/>
        </w:rPr>
        <w:t xml:space="preserve">). </w:t>
      </w:r>
      <w:r>
        <w:rPr>
          <w:rFonts w:ascii="Calibri" w:eastAsia="MS Mincho" w:hAnsi="Calibri" w:cs="Calibri"/>
          <w:color w:val="3333FF"/>
          <w:sz w:val="20"/>
          <w:szCs w:val="20"/>
        </w:rPr>
        <w:t>Long-Term Care Facility Resident Assessment Instrument 3.0 User’s Manual, Version 1.16.</w:t>
      </w:r>
      <w:r w:rsidR="00E87D6C">
        <w:rPr>
          <w:rFonts w:ascii="Calibri" w:eastAsia="MS Mincho" w:hAnsi="Calibri" w:cs="Calibri"/>
          <w:color w:val="3333FF"/>
          <w:sz w:val="20"/>
          <w:szCs w:val="20"/>
        </w:rPr>
        <w:t xml:space="preserve"> </w:t>
      </w:r>
      <w:hyperlink r:id="rId20" w:history="1">
        <w:r w:rsidRPr="00CF4AF7">
          <w:rPr>
            <w:rStyle w:val="Hyperlink"/>
            <w:rFonts w:ascii="Calibri" w:eastAsia="MS Mincho" w:hAnsi="Calibri" w:cs="Calibri"/>
            <w:sz w:val="20"/>
            <w:szCs w:val="20"/>
          </w:rPr>
          <w:t>https://downloads.cms.gov/files/1-MDS-30-RAI-Manual-v1-16-October-1-2018.pdf</w:t>
        </w:r>
      </w:hyperlink>
      <w:r>
        <w:rPr>
          <w:rFonts w:ascii="Calibri" w:eastAsia="MS Mincho" w:hAnsi="Calibri" w:cs="Calibri"/>
          <w:color w:val="3333FF"/>
          <w:sz w:val="20"/>
          <w:szCs w:val="20"/>
        </w:rPr>
        <w:t xml:space="preserve"> </w:t>
      </w:r>
    </w:p>
    <w:p w14:paraId="0FC48465" w14:textId="0D825317" w:rsidR="00F86072" w:rsidRPr="00F92B38" w:rsidRDefault="00E2373F" w:rsidP="003E0493">
      <w:pPr>
        <w:pStyle w:val="Response"/>
        <w:ind w:left="360" w:hanging="360"/>
        <w:rPr>
          <w:rFonts w:ascii="Calibri" w:eastAsia="MS Mincho" w:hAnsi="Calibri" w:cs="Calibri"/>
          <w:sz w:val="20"/>
          <w:szCs w:val="20"/>
        </w:rPr>
      </w:pPr>
      <w:r>
        <w:rPr>
          <w:rFonts w:ascii="Calibri" w:eastAsia="MS Mincho" w:hAnsi="Calibri" w:cs="Calibri"/>
          <w:sz w:val="20"/>
          <w:szCs w:val="20"/>
        </w:rPr>
        <w:t>Source</w:t>
      </w:r>
      <w:r w:rsidR="00F92B38" w:rsidRPr="00A11604">
        <w:rPr>
          <w:rFonts w:ascii="Calibri" w:eastAsia="MS Mincho" w:hAnsi="Calibri" w:cs="Calibri"/>
          <w:sz w:val="20"/>
          <w:szCs w:val="20"/>
        </w:rPr>
        <w:t xml:space="preserve">: RTI analysis of Q3, 2018 MDS 3.0 data (programming reference: </w:t>
      </w:r>
      <w:proofErr w:type="spellStart"/>
      <w:r w:rsidR="00F92B38" w:rsidRPr="00A11604">
        <w:rPr>
          <w:rFonts w:ascii="Calibri" w:eastAsia="MS Mincho" w:hAnsi="Calibri" w:cs="Calibri"/>
          <w:sz w:val="20"/>
          <w:szCs w:val="20"/>
        </w:rPr>
        <w:t>ljc</w:t>
      </w:r>
      <w:proofErr w:type="spellEnd"/>
      <w:r w:rsidR="00F92B38" w:rsidRPr="00A11604">
        <w:rPr>
          <w:rFonts w:ascii="Calibri" w:eastAsia="MS Mincho" w:hAnsi="Calibri" w:cs="Calibri"/>
          <w:sz w:val="20"/>
          <w:szCs w:val="20"/>
        </w:rPr>
        <w:t>\ljc73_request_684_31_32.log)</w:t>
      </w:r>
    </w:p>
    <w:p w14:paraId="457C4163" w14:textId="337116BB" w:rsidR="00837B6A" w:rsidRPr="00837B6A" w:rsidRDefault="00837B6A" w:rsidP="003E0493">
      <w:pPr>
        <w:spacing w:before="160" w:after="0" w:line="240" w:lineRule="auto"/>
        <w:rPr>
          <w:b/>
          <w:iCs/>
          <w:color w:val="0000FF"/>
        </w:rPr>
      </w:pPr>
      <w:r w:rsidRPr="00837B6A">
        <w:rPr>
          <w:b/>
          <w:iCs/>
          <w:color w:val="0000FF"/>
        </w:rPr>
        <w:t>Social Risk Factors</w:t>
      </w:r>
    </w:p>
    <w:p w14:paraId="4AE54383" w14:textId="7E683AC2" w:rsidR="00837B6A" w:rsidRPr="00A45965" w:rsidRDefault="00F022E6" w:rsidP="003E0493">
      <w:pPr>
        <w:pStyle w:val="BodyText"/>
        <w:spacing w:line="240" w:lineRule="auto"/>
        <w:ind w:left="360"/>
        <w:rPr>
          <w:color w:val="0000FF"/>
        </w:rPr>
      </w:pPr>
      <w:r w:rsidRPr="009D5AB0">
        <w:rPr>
          <w:rFonts w:ascii="Calibri" w:eastAsia="MS Mincho" w:hAnsi="Calibri" w:cs="Calibri"/>
          <w:color w:val="0000FF"/>
        </w:rPr>
        <w:t xml:space="preserve">We </w:t>
      </w:r>
      <w:r w:rsidR="00914ECC">
        <w:rPr>
          <w:rFonts w:ascii="Calibri" w:eastAsia="MS Mincho" w:hAnsi="Calibri" w:cs="Calibri"/>
          <w:color w:val="0000FF"/>
        </w:rPr>
        <w:t>conducted a</w:t>
      </w:r>
      <w:r w:rsidR="00CF6B89">
        <w:rPr>
          <w:rFonts w:ascii="Calibri" w:eastAsia="MS Mincho" w:hAnsi="Calibri" w:cs="Calibri"/>
          <w:color w:val="0000FF"/>
        </w:rPr>
        <w:t xml:space="preserve"> recent</w:t>
      </w:r>
      <w:r w:rsidR="00914ECC">
        <w:rPr>
          <w:rFonts w:ascii="Calibri" w:eastAsia="MS Mincho" w:hAnsi="Calibri" w:cs="Calibri"/>
          <w:color w:val="0000FF"/>
        </w:rPr>
        <w:t xml:space="preserve"> literature review on</w:t>
      </w:r>
      <w:r w:rsidRPr="009D5AB0">
        <w:rPr>
          <w:rFonts w:ascii="Calibri" w:eastAsia="MS Mincho" w:hAnsi="Calibri" w:cs="Calibri"/>
          <w:color w:val="0000FF"/>
        </w:rPr>
        <w:t xml:space="preserve"> UTIs in nursing homes to determine whether other researchers had posited a conceptual basis for why social risk factors might influence the incidence of UTIs in nursing homes, such that the risk factor could not be addressed through nursing home care delivery (NQF, 2017).</w:t>
      </w:r>
      <w:r w:rsidR="00E87D6C">
        <w:rPr>
          <w:rFonts w:ascii="Calibri" w:eastAsia="MS Mincho" w:hAnsi="Calibri" w:cs="Calibri"/>
          <w:color w:val="0000FF"/>
        </w:rPr>
        <w:t xml:space="preserve"> </w:t>
      </w:r>
      <w:r w:rsidR="003C048C">
        <w:rPr>
          <w:rFonts w:ascii="Calibri" w:eastAsia="MS Mincho" w:hAnsi="Calibri" w:cs="Calibri"/>
          <w:color w:val="0000FF"/>
        </w:rPr>
        <w:t xml:space="preserve">Some </w:t>
      </w:r>
      <w:r w:rsidRPr="009D5AB0">
        <w:rPr>
          <w:rFonts w:ascii="Calibri" w:eastAsia="MS Mincho" w:hAnsi="Calibri" w:cs="Calibri"/>
          <w:color w:val="0000FF"/>
        </w:rPr>
        <w:t xml:space="preserve">studies found an </w:t>
      </w:r>
      <w:r w:rsidRPr="009D5AB0">
        <w:rPr>
          <w:rFonts w:ascii="Calibri" w:eastAsia="MS Mincho" w:hAnsi="Calibri" w:cs="Calibri"/>
          <w:i/>
          <w:color w:val="0000FF"/>
        </w:rPr>
        <w:t xml:space="preserve">empirical </w:t>
      </w:r>
      <w:r w:rsidRPr="009D5AB0">
        <w:rPr>
          <w:rFonts w:ascii="Calibri" w:eastAsia="MS Mincho" w:hAnsi="Calibri" w:cs="Calibri"/>
          <w:color w:val="0000FF"/>
        </w:rPr>
        <w:t xml:space="preserve">association between social risk factors that could be measured by items available in the MDS 3.0 and UTI, but did not offer a </w:t>
      </w:r>
      <w:r w:rsidRPr="009D5AB0">
        <w:rPr>
          <w:rFonts w:ascii="Calibri" w:eastAsia="MS Mincho" w:hAnsi="Calibri" w:cs="Calibri"/>
          <w:i/>
          <w:color w:val="0000FF"/>
        </w:rPr>
        <w:t xml:space="preserve">conceptual </w:t>
      </w:r>
      <w:r w:rsidRPr="009D5AB0">
        <w:rPr>
          <w:rFonts w:ascii="Calibri" w:eastAsia="MS Mincho" w:hAnsi="Calibri" w:cs="Calibri"/>
          <w:color w:val="0000FF"/>
        </w:rPr>
        <w:t>basis for understanding how the inherent characteristics of the social risk factor (</w:t>
      </w:r>
      <w:r w:rsidR="000D736B">
        <w:rPr>
          <w:rFonts w:ascii="Calibri" w:eastAsia="MS Mincho" w:hAnsi="Calibri" w:cs="Calibri"/>
          <w:color w:val="0000FF"/>
        </w:rPr>
        <w:t xml:space="preserve">race/ethnicity, age, </w:t>
      </w:r>
      <w:r w:rsidRPr="009D5AB0">
        <w:rPr>
          <w:rFonts w:ascii="Calibri" w:eastAsia="MS Mincho" w:hAnsi="Calibri" w:cs="Calibri"/>
          <w:color w:val="0000FF"/>
        </w:rPr>
        <w:t xml:space="preserve">gender, </w:t>
      </w:r>
      <w:r w:rsidR="000D736B">
        <w:rPr>
          <w:rFonts w:ascii="Calibri" w:eastAsia="MS Mincho" w:hAnsi="Calibri" w:cs="Calibri"/>
          <w:color w:val="0000FF"/>
        </w:rPr>
        <w:t>and</w:t>
      </w:r>
      <w:r w:rsidRPr="009D5AB0">
        <w:rPr>
          <w:rFonts w:ascii="Calibri" w:eastAsia="MS Mincho" w:hAnsi="Calibri" w:cs="Calibri"/>
          <w:color w:val="0000FF"/>
        </w:rPr>
        <w:t xml:space="preserve"> Medicaid coverage) would affect the development or avoidance of UTI. </w:t>
      </w:r>
      <w:r w:rsidR="00EE3BD0">
        <w:rPr>
          <w:iCs/>
          <w:color w:val="0000FF"/>
        </w:rPr>
        <w:t>The 2019 TEP did not find a conceptual basis for risk adjustment by any of these social risk factors (RTI International, 2019).</w:t>
      </w:r>
    </w:p>
    <w:p w14:paraId="36C0BD46" w14:textId="64120D0A" w:rsidR="00190E56" w:rsidRPr="00ED2481" w:rsidRDefault="003330ED" w:rsidP="003E0493">
      <w:pPr>
        <w:pStyle w:val="BodyText"/>
        <w:spacing w:line="240" w:lineRule="auto"/>
        <w:ind w:left="360"/>
        <w:rPr>
          <w:rFonts w:ascii="Calibri" w:eastAsia="MS Mincho" w:hAnsi="Calibri" w:cs="Calibri"/>
          <w:bCs/>
          <w:color w:val="0000FF"/>
        </w:rPr>
      </w:pPr>
      <w:r w:rsidRPr="009526BF">
        <w:rPr>
          <w:color w:val="0000FF"/>
        </w:rPr>
        <w:t xml:space="preserve">In the event that there is interest in statistical testing on social risk factors with an </w:t>
      </w:r>
      <w:r w:rsidRPr="009526BF">
        <w:rPr>
          <w:i/>
          <w:color w:val="0000FF"/>
        </w:rPr>
        <w:t xml:space="preserve">empirical </w:t>
      </w:r>
      <w:r w:rsidRPr="009526BF">
        <w:rPr>
          <w:color w:val="0000FF"/>
        </w:rPr>
        <w:t xml:space="preserve">association with the outcome – even in the absence of a </w:t>
      </w:r>
      <w:r w:rsidRPr="009526BF">
        <w:rPr>
          <w:i/>
          <w:color w:val="0000FF"/>
        </w:rPr>
        <w:t xml:space="preserve">conceptual </w:t>
      </w:r>
      <w:r w:rsidRPr="009526BF">
        <w:rPr>
          <w:color w:val="0000FF"/>
        </w:rPr>
        <w:t>reason for the social risk factor</w:t>
      </w:r>
      <w:r w:rsidR="00E95999">
        <w:rPr>
          <w:color w:val="0000FF"/>
        </w:rPr>
        <w:t>—</w:t>
      </w:r>
      <w:r w:rsidRPr="009526BF">
        <w:rPr>
          <w:color w:val="0000FF"/>
        </w:rPr>
        <w:t>we examined (1) the feasibility of stratifying the measure by race/ethnicity,</w:t>
      </w:r>
      <w:r w:rsidR="000D736B">
        <w:rPr>
          <w:color w:val="0000FF"/>
        </w:rPr>
        <w:t xml:space="preserve"> gender and</w:t>
      </w:r>
      <w:r w:rsidRPr="009526BF">
        <w:rPr>
          <w:color w:val="0000FF"/>
        </w:rPr>
        <w:t xml:space="preserve"> Medicaid status, as that would be the most appropriate risk adjustment strategy to avoid masking disparities in care associated with those factors, and (2) the effect of age (equal or greater than 85 years old) in a risk adjustment model, in the absence of any other risk adjustment based on clinical or social risk factors</w:t>
      </w:r>
      <w:r w:rsidR="00C52346" w:rsidRPr="00ED2481">
        <w:rPr>
          <w:rFonts w:ascii="Calibri" w:eastAsia="MS Mincho" w:hAnsi="Calibri" w:cs="Calibri"/>
          <w:bCs/>
          <w:color w:val="0000FF"/>
        </w:rPr>
        <w:t>.</w:t>
      </w:r>
    </w:p>
    <w:p w14:paraId="62F8F933" w14:textId="27C54F74" w:rsidR="005E2EFA" w:rsidRDefault="005E2EFA" w:rsidP="00ED7332">
      <w:pPr>
        <w:pStyle w:val="Response"/>
        <w:spacing w:before="0"/>
        <w:ind w:left="720" w:hanging="360"/>
        <w:rPr>
          <w:rStyle w:val="Hyperlink"/>
          <w:rFonts w:ascii="Calibri" w:eastAsia="MS Mincho" w:hAnsi="Calibri" w:cs="Calibri"/>
          <w:sz w:val="20"/>
          <w:szCs w:val="20"/>
        </w:rPr>
      </w:pPr>
      <w:r w:rsidRPr="00A55A97">
        <w:rPr>
          <w:rFonts w:ascii="Calibri" w:eastAsia="MS Mincho" w:hAnsi="Calibri" w:cs="Calibri"/>
          <w:color w:val="3333FF"/>
          <w:sz w:val="20"/>
          <w:szCs w:val="20"/>
        </w:rPr>
        <w:t>National Quality Forum (2017, July). Evaluation of the NQF Trial Period for Risk Adjustment for Social Risk Factors. Final Report.</w:t>
      </w:r>
      <w:r w:rsidR="00E87D6C">
        <w:rPr>
          <w:rFonts w:ascii="Calibri" w:eastAsia="MS Mincho" w:hAnsi="Calibri" w:cs="Calibri"/>
          <w:color w:val="3333FF"/>
          <w:sz w:val="20"/>
          <w:szCs w:val="20"/>
        </w:rPr>
        <w:t xml:space="preserve"> </w:t>
      </w:r>
      <w:hyperlink r:id="rId21" w:history="1">
        <w:r w:rsidRPr="00EE4063">
          <w:rPr>
            <w:rStyle w:val="Hyperlink"/>
            <w:rFonts w:ascii="Calibri" w:eastAsia="MS Mincho" w:hAnsi="Calibri" w:cs="Calibri"/>
            <w:sz w:val="20"/>
            <w:szCs w:val="20"/>
          </w:rPr>
          <w:t>https://www.qualityforum.org/Publications/2017/07/Social_Risk_Trial_Final_Report.aspx</w:t>
        </w:r>
      </w:hyperlink>
    </w:p>
    <w:p w14:paraId="315D8832" w14:textId="77777777" w:rsidR="00A97C32" w:rsidRPr="00C46B13" w:rsidRDefault="00A97C32" w:rsidP="00A97C32">
      <w:pPr>
        <w:pStyle w:val="Response"/>
        <w:ind w:left="720" w:hanging="360"/>
        <w:rPr>
          <w:sz w:val="20"/>
          <w:szCs w:val="20"/>
        </w:rPr>
      </w:pPr>
      <w:r w:rsidRPr="00A97C32">
        <w:rPr>
          <w:sz w:val="20"/>
          <w:szCs w:val="20"/>
        </w:rPr>
        <w:t xml:space="preserve">RTI International. (2019, June).  </w:t>
      </w:r>
      <w:bookmarkStart w:id="32" w:name="_GoBack"/>
      <w:r w:rsidRPr="00A97C32">
        <w:rPr>
          <w:sz w:val="20"/>
          <w:szCs w:val="20"/>
        </w:rPr>
        <w:t>Technical</w:t>
      </w:r>
      <w:bookmarkEnd w:id="32"/>
      <w:r w:rsidRPr="00A97C32">
        <w:rPr>
          <w:sz w:val="20"/>
          <w:szCs w:val="20"/>
        </w:rPr>
        <w:t xml:space="preserve"> Expert Panel Summary Report: Maintenance of Nursing Home Quality Measures. Prepared under CMS Contract No. HHSM-500-2013-13015I.  Available at https://www.cms.gov/Medicare/Quality-Initiatives-Patient-Assessment-Instruments/MMS/TEP-Current-Panels.html.</w:t>
      </w:r>
    </w:p>
    <w:p w14:paraId="4260792A" w14:textId="2C410B68" w:rsidR="00275563" w:rsidRDefault="00275563" w:rsidP="00001D73">
      <w:pPr>
        <w:autoSpaceDE w:val="0"/>
        <w:autoSpaceDN w:val="0"/>
        <w:adjustRightInd w:val="0"/>
        <w:spacing w:after="0" w:line="240" w:lineRule="auto"/>
        <w:rPr>
          <w:rFonts w:cstheme="minorHAnsi"/>
          <w:b/>
          <w:bCs/>
        </w:rPr>
      </w:pPr>
      <w:r>
        <w:rPr>
          <w:rFonts w:cstheme="minorHAnsi"/>
          <w:b/>
          <w:bCs/>
        </w:rPr>
        <w:lastRenderedPageBreak/>
        <w:t xml:space="preserve">2b3.3b. How was the conceptual model </w:t>
      </w:r>
      <w:r w:rsidR="00CE284E">
        <w:rPr>
          <w:rFonts w:cstheme="minorHAnsi"/>
          <w:b/>
          <w:bCs/>
        </w:rPr>
        <w:t xml:space="preserve">of how social risk impacts this outcome </w:t>
      </w:r>
      <w:r>
        <w:rPr>
          <w:rFonts w:cstheme="minorHAnsi"/>
          <w:b/>
          <w:bCs/>
        </w:rPr>
        <w:t>developed?</w:t>
      </w:r>
      <w:r w:rsidR="00E87D6C">
        <w:rPr>
          <w:rFonts w:cstheme="minorHAnsi"/>
          <w:b/>
          <w:bCs/>
        </w:rPr>
        <w:t xml:space="preserve"> </w:t>
      </w:r>
      <w:r>
        <w:rPr>
          <w:rFonts w:cstheme="minorHAnsi"/>
          <w:b/>
          <w:bCs/>
        </w:rPr>
        <w:t>Please check all that apply:</w:t>
      </w:r>
    </w:p>
    <w:p w14:paraId="2B47DA83" w14:textId="32FFB6A8" w:rsidR="00275563" w:rsidRPr="005232D6" w:rsidRDefault="00A97C32"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1"/>
            <w14:checkedState w14:val="2612" w14:font="MS Gothic"/>
            <w14:uncheckedState w14:val="2610" w14:font="MS Gothic"/>
          </w14:checkbox>
        </w:sdtPr>
        <w:sdtEndPr/>
        <w:sdtContent>
          <w:r w:rsidR="00117A5F">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3865AEF2" w:rsidR="00275563" w:rsidRPr="005232D6" w:rsidRDefault="00A97C32"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1"/>
            <w14:checkedState w14:val="2612" w14:font="MS Gothic"/>
            <w14:uncheckedState w14:val="2610" w14:font="MS Gothic"/>
          </w14:checkbox>
        </w:sdtPr>
        <w:sdtEndPr/>
        <w:sdtContent>
          <w:r w:rsidR="00117A5F">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A97C32"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1B2A28CE" w14:textId="77777777" w:rsidR="00ED7332" w:rsidRPr="004C4A9B" w:rsidRDefault="00ED7332" w:rsidP="00ED7332">
      <w:pPr>
        <w:pStyle w:val="Response"/>
        <w:spacing w:after="0" w:line="264" w:lineRule="auto"/>
        <w:rPr>
          <w:b/>
        </w:rPr>
      </w:pPr>
      <w:r w:rsidRPr="004C4A9B">
        <w:rPr>
          <w:b/>
        </w:rPr>
        <w:t>Published literature</w:t>
      </w:r>
    </w:p>
    <w:p w14:paraId="762E9A36" w14:textId="24CAAAF4" w:rsidR="009D5AB0" w:rsidRPr="009D5AB0" w:rsidRDefault="001D526F" w:rsidP="00ED7332">
      <w:pPr>
        <w:pStyle w:val="Response"/>
        <w:spacing w:before="0" w:line="264" w:lineRule="auto"/>
        <w:ind w:left="360"/>
        <w:rPr>
          <w:rFonts w:ascii="Calibri" w:eastAsia="MS Mincho" w:hAnsi="Calibri" w:cs="Calibri"/>
        </w:rPr>
      </w:pPr>
      <w:r w:rsidRPr="009162EA">
        <w:t xml:space="preserve">We did not develop a conceptual model of how social risk impacts </w:t>
      </w:r>
      <w:r w:rsidRPr="00A11604">
        <w:t xml:space="preserve">this outcome because there is no </w:t>
      </w:r>
      <w:r w:rsidR="00BE194F">
        <w:t>rationale</w:t>
      </w:r>
      <w:r w:rsidRPr="00A11604">
        <w:t xml:space="preserve"> presented in the literature for how factors such as age, Medicaid coverage, and race/ethnicity are influencing the incidence of UTIs in nursing homes. In the case of gender</w:t>
      </w:r>
      <w:r w:rsidR="009D5AB0" w:rsidRPr="00ED2481">
        <w:rPr>
          <w:rFonts w:ascii="Calibri" w:eastAsia="MS Mincho" w:hAnsi="Calibri" w:cs="Calibri"/>
        </w:rPr>
        <w:t>, the</w:t>
      </w:r>
      <w:r w:rsidR="009D5AB0" w:rsidRPr="009D5AB0">
        <w:rPr>
          <w:rFonts w:ascii="Calibri" w:eastAsia="MS Mincho" w:hAnsi="Calibri" w:cs="Calibri"/>
        </w:rPr>
        <w:t xml:space="preserve"> association between gender and UTIs is likely reflecting other gender-specific conditions for which facilities should be held accountable when providing care.</w:t>
      </w:r>
      <w:r w:rsidR="00E87D6C">
        <w:rPr>
          <w:rFonts w:ascii="Calibri" w:eastAsia="MS Mincho" w:hAnsi="Calibri" w:cs="Calibri"/>
        </w:rPr>
        <w:t xml:space="preserve"> </w:t>
      </w:r>
      <w:r w:rsidR="0099578C" w:rsidRPr="009D5AB0">
        <w:rPr>
          <w:rFonts w:ascii="Calibri" w:eastAsia="MS Mincho" w:hAnsi="Calibri" w:cs="Calibri"/>
        </w:rPr>
        <w:t xml:space="preserve">The following studies found an </w:t>
      </w:r>
      <w:r w:rsidR="0099578C" w:rsidRPr="009D5AB0">
        <w:rPr>
          <w:rFonts w:ascii="Calibri" w:eastAsia="MS Mincho" w:hAnsi="Calibri" w:cs="Calibri"/>
          <w:i/>
        </w:rPr>
        <w:t xml:space="preserve">empirical </w:t>
      </w:r>
      <w:r w:rsidR="0099578C" w:rsidRPr="009D5AB0">
        <w:rPr>
          <w:rFonts w:ascii="Calibri" w:eastAsia="MS Mincho" w:hAnsi="Calibri" w:cs="Calibri"/>
        </w:rPr>
        <w:t>association between social risk factors that could be measured by items available in the MDS 3.0 and UTI</w:t>
      </w:r>
      <w:r w:rsidR="0099578C">
        <w:rPr>
          <w:rFonts w:ascii="Calibri" w:eastAsia="MS Mincho" w:hAnsi="Calibri" w:cs="Calibri"/>
        </w:rPr>
        <w:t>:</w:t>
      </w:r>
    </w:p>
    <w:p w14:paraId="74DEF177" w14:textId="77777777" w:rsidR="009D5AB0" w:rsidRPr="00ED7332" w:rsidRDefault="009D5AB0" w:rsidP="00ED7332">
      <w:pPr>
        <w:pStyle w:val="Response"/>
        <w:widowControl w:val="0"/>
        <w:numPr>
          <w:ilvl w:val="0"/>
          <w:numId w:val="32"/>
        </w:numPr>
        <w:autoSpaceDE/>
        <w:autoSpaceDN/>
        <w:adjustRightInd/>
        <w:spacing w:before="120" w:after="120" w:line="264" w:lineRule="auto"/>
        <w:ind w:right="-14"/>
      </w:pPr>
      <w:r w:rsidRPr="00ED7332">
        <w:t>One study identified a positive association between female gender and the rate of UTIs (</w:t>
      </w:r>
      <w:proofErr w:type="spellStart"/>
      <w:r w:rsidRPr="00ED7332">
        <w:t>Gucwa</w:t>
      </w:r>
      <w:proofErr w:type="spellEnd"/>
      <w:r w:rsidRPr="00ED7332">
        <w:t> et al. 2016). </w:t>
      </w:r>
    </w:p>
    <w:p w14:paraId="27E25925" w14:textId="57F2A57A" w:rsidR="009D5AB0" w:rsidRPr="00ED7332" w:rsidRDefault="009D5AB0" w:rsidP="00ED7332">
      <w:pPr>
        <w:pStyle w:val="Response"/>
        <w:widowControl w:val="0"/>
        <w:numPr>
          <w:ilvl w:val="0"/>
          <w:numId w:val="32"/>
        </w:numPr>
        <w:autoSpaceDE/>
        <w:autoSpaceDN/>
        <w:adjustRightInd/>
        <w:spacing w:before="120" w:after="120" w:line="264" w:lineRule="auto"/>
        <w:ind w:right="-14"/>
      </w:pPr>
      <w:r w:rsidRPr="00ED7332">
        <w:t>One study identified a link between both age and having Medicaid coverage with UTIs, with older residents having a higher risk of infection and higher Medicaid coverage in a facility negatively associated with UTI incidence (Castle et al., 2017). </w:t>
      </w:r>
    </w:p>
    <w:p w14:paraId="6359F8FA" w14:textId="61C7D879" w:rsidR="00117A5F" w:rsidRPr="00ED7332" w:rsidRDefault="009D5AB0" w:rsidP="00ED7332">
      <w:pPr>
        <w:pStyle w:val="Response"/>
        <w:widowControl w:val="0"/>
        <w:numPr>
          <w:ilvl w:val="0"/>
          <w:numId w:val="32"/>
        </w:numPr>
        <w:autoSpaceDE/>
        <w:autoSpaceDN/>
        <w:adjustRightInd/>
        <w:spacing w:before="120" w:after="120" w:line="264" w:lineRule="auto"/>
        <w:ind w:right="-14"/>
      </w:pPr>
      <w:r w:rsidRPr="00ED7332">
        <w:t>White race was also identified as a predictor of UTI in one study (Hefele et al. 2017). </w:t>
      </w:r>
    </w:p>
    <w:p w14:paraId="0E113104" w14:textId="77777777" w:rsidR="00613F2D" w:rsidRDefault="00613F2D" w:rsidP="00ED7332">
      <w:pPr>
        <w:autoSpaceDE w:val="0"/>
        <w:autoSpaceDN w:val="0"/>
        <w:adjustRightInd w:val="0"/>
        <w:spacing w:before="240" w:after="0" w:line="240" w:lineRule="auto"/>
        <w:rPr>
          <w:rFonts w:ascii="Calibri" w:eastAsia="MS Mincho" w:hAnsi="Calibri" w:cs="Calibri"/>
          <w:b/>
          <w:bCs/>
          <w:color w:val="0000FF"/>
        </w:rPr>
      </w:pPr>
      <w:r>
        <w:rPr>
          <w:rFonts w:ascii="Calibri" w:eastAsia="MS Mincho" w:hAnsi="Calibri" w:cs="Calibri"/>
          <w:b/>
          <w:bCs/>
          <w:color w:val="0000FF"/>
        </w:rPr>
        <w:t>Internal data analysis</w:t>
      </w:r>
    </w:p>
    <w:p w14:paraId="59F41A9D" w14:textId="4CB19842" w:rsidR="007D05E9" w:rsidRPr="007B766A" w:rsidRDefault="007D05E9" w:rsidP="00ED7332">
      <w:pPr>
        <w:pStyle w:val="Response"/>
        <w:spacing w:before="0" w:line="264" w:lineRule="auto"/>
        <w:ind w:left="360"/>
        <w:rPr>
          <w:rFonts w:ascii="Calibri" w:eastAsia="MS Mincho" w:hAnsi="Calibri" w:cs="Calibri"/>
          <w:bCs w:val="0"/>
        </w:rPr>
      </w:pPr>
      <w:r w:rsidRPr="00B3375F">
        <w:rPr>
          <w:rFonts w:ascii="Calibri" w:eastAsia="MS Mincho" w:hAnsi="Calibri" w:cs="Calibri"/>
        </w:rPr>
        <w:t>We created binary variables for each social risk factor described above as follows:</w:t>
      </w:r>
    </w:p>
    <w:p w14:paraId="04ADDABF" w14:textId="5CA990C9" w:rsidR="007D05E9" w:rsidRDefault="007D05E9" w:rsidP="007D05E9">
      <w:pPr>
        <w:pStyle w:val="ListParagraph"/>
        <w:numPr>
          <w:ilvl w:val="0"/>
          <w:numId w:val="9"/>
        </w:numPr>
        <w:autoSpaceDE w:val="0"/>
        <w:autoSpaceDN w:val="0"/>
        <w:adjustRightInd w:val="0"/>
        <w:spacing w:before="240" w:after="240" w:line="240" w:lineRule="auto"/>
        <w:rPr>
          <w:color w:val="0000FF"/>
        </w:rPr>
      </w:pPr>
      <w:r>
        <w:rPr>
          <w:color w:val="0000FF"/>
        </w:rPr>
        <w:t xml:space="preserve">Race/ethnicity: defined from item A1000 (Race/Ethnicity) in the MDS. We created non-Hispanic white and non-white categories. A resident is defined as non-Hispanic white if A1000 = F and no other categories apply. A resident is defined as non-white if A1000 was coded as anything other than F. </w:t>
      </w:r>
    </w:p>
    <w:p w14:paraId="0FA0F366" w14:textId="0814C56F" w:rsidR="006D617A" w:rsidRDefault="006D617A" w:rsidP="006D617A">
      <w:pPr>
        <w:pStyle w:val="ListParagraph"/>
        <w:numPr>
          <w:ilvl w:val="0"/>
          <w:numId w:val="9"/>
        </w:numPr>
        <w:autoSpaceDE w:val="0"/>
        <w:autoSpaceDN w:val="0"/>
        <w:adjustRightInd w:val="0"/>
        <w:spacing w:before="240" w:after="240" w:line="240" w:lineRule="auto"/>
        <w:rPr>
          <w:color w:val="0000FF"/>
        </w:rPr>
      </w:pPr>
      <w:r w:rsidRPr="00627706">
        <w:rPr>
          <w:color w:val="0000FF"/>
        </w:rPr>
        <w:t>Oldest old: defined from Item A0900 (Birth Date) in the MDS.</w:t>
      </w:r>
      <w:r w:rsidR="00E87D6C">
        <w:rPr>
          <w:color w:val="0000FF"/>
        </w:rPr>
        <w:t xml:space="preserve"> </w:t>
      </w:r>
      <w:r w:rsidRPr="00627706">
        <w:rPr>
          <w:color w:val="0000FF"/>
        </w:rPr>
        <w:t>Oldest old is defined as 1 if the resident is age 85 or older and 0 if otherwise.</w:t>
      </w:r>
      <w:r w:rsidR="00E87D6C">
        <w:rPr>
          <w:color w:val="0000FF"/>
        </w:rPr>
        <w:t xml:space="preserve"> </w:t>
      </w:r>
      <w:r w:rsidRPr="00627706">
        <w:rPr>
          <w:color w:val="0000FF"/>
        </w:rPr>
        <w:t>Birth Date is not missing on any assessment in the sample.</w:t>
      </w:r>
    </w:p>
    <w:p w14:paraId="2E55BFAF" w14:textId="77777777" w:rsidR="006D617A" w:rsidRDefault="006D617A" w:rsidP="006D617A">
      <w:pPr>
        <w:pStyle w:val="ListParagraph"/>
        <w:numPr>
          <w:ilvl w:val="0"/>
          <w:numId w:val="9"/>
        </w:numPr>
        <w:autoSpaceDE w:val="0"/>
        <w:autoSpaceDN w:val="0"/>
        <w:adjustRightInd w:val="0"/>
        <w:spacing w:before="240" w:after="240" w:line="240" w:lineRule="auto"/>
        <w:rPr>
          <w:color w:val="0000FF"/>
        </w:rPr>
      </w:pPr>
      <w:r w:rsidRPr="00627706">
        <w:rPr>
          <w:color w:val="0000FF"/>
        </w:rPr>
        <w:t>Gender: defined from item A0800 (Gender) in the MDS. Male is defined as 1 and Female as 0. Gender is not missing on any assessment in the sample.</w:t>
      </w:r>
    </w:p>
    <w:p w14:paraId="660DED51" w14:textId="5B0B87BE" w:rsidR="007D05E9" w:rsidRPr="00F92B38" w:rsidRDefault="007D05E9" w:rsidP="00F92B38">
      <w:pPr>
        <w:pStyle w:val="ListParagraph"/>
        <w:numPr>
          <w:ilvl w:val="0"/>
          <w:numId w:val="9"/>
        </w:numPr>
        <w:autoSpaceDE w:val="0"/>
        <w:autoSpaceDN w:val="0"/>
        <w:adjustRightInd w:val="0"/>
        <w:spacing w:before="240" w:after="240" w:line="240" w:lineRule="auto"/>
        <w:rPr>
          <w:color w:val="0000FF"/>
        </w:rPr>
      </w:pPr>
      <w:r w:rsidRPr="00627706">
        <w:rPr>
          <w:color w:val="0000FF"/>
        </w:rPr>
        <w:t>Medicaid eligibility: defined from Item A0700 (Medicaid Number) in the MDS.</w:t>
      </w:r>
      <w:r w:rsidR="00E87D6C">
        <w:rPr>
          <w:color w:val="0000FF"/>
        </w:rPr>
        <w:t xml:space="preserve"> </w:t>
      </w:r>
      <w:r w:rsidRPr="00627706">
        <w:rPr>
          <w:color w:val="0000FF"/>
        </w:rPr>
        <w:t>Medicaid eligibility is defined as 1 if the resident has a Medicaid number or if a Medicaid number is pending, 0 if Medicaid number = “N”, and missing if Medicaid number is missing.</w:t>
      </w:r>
      <w:r w:rsidR="00E87D6C">
        <w:rPr>
          <w:color w:val="0000FF"/>
        </w:rPr>
        <w:t xml:space="preserve"> </w:t>
      </w:r>
    </w:p>
    <w:p w14:paraId="66057056" w14:textId="32BE88EA" w:rsidR="007D05E9" w:rsidRPr="00F92B38" w:rsidRDefault="00185999" w:rsidP="00ED7332">
      <w:pPr>
        <w:pStyle w:val="Response"/>
        <w:spacing w:before="0" w:line="264" w:lineRule="auto"/>
        <w:ind w:left="360"/>
        <w:rPr>
          <w:rFonts w:ascii="Calibri" w:eastAsia="MS Mincho" w:hAnsi="Calibri" w:cs="Calibri"/>
        </w:rPr>
      </w:pPr>
      <w:r>
        <w:rPr>
          <w:rFonts w:ascii="Calibri" w:eastAsia="MS Mincho" w:hAnsi="Calibri" w:cs="Calibri"/>
        </w:rPr>
        <w:t xml:space="preserve">We also used a non-binary version of </w:t>
      </w:r>
      <w:r w:rsidR="00275A4F">
        <w:rPr>
          <w:rFonts w:ascii="Calibri" w:eastAsia="MS Mincho" w:hAnsi="Calibri" w:cs="Calibri"/>
        </w:rPr>
        <w:t>the race/ethnicity variable, using each of the race ethnicity categories as defined in item A1000 in the MDS</w:t>
      </w:r>
      <w:r w:rsidR="00982131">
        <w:rPr>
          <w:rFonts w:ascii="Calibri" w:eastAsia="MS Mincho" w:hAnsi="Calibri" w:cs="Calibri"/>
        </w:rPr>
        <w:t xml:space="preserve"> and an additional category for multi-race</w:t>
      </w:r>
      <w:r w:rsidR="007D05E9" w:rsidRPr="00541392">
        <w:rPr>
          <w:rFonts w:ascii="Calibri" w:eastAsia="MS Mincho" w:hAnsi="Calibri" w:cs="Calibri"/>
        </w:rPr>
        <w:t>.</w:t>
      </w:r>
      <w:r w:rsidR="00E94A03">
        <w:rPr>
          <w:rFonts w:ascii="Calibri" w:eastAsia="MS Mincho" w:hAnsi="Calibri" w:cs="Calibri"/>
        </w:rPr>
        <w:t xml:space="preserve"> Residents were defined as multi-racial if more than one category in </w:t>
      </w:r>
      <w:r w:rsidR="00112EC6">
        <w:rPr>
          <w:rFonts w:ascii="Calibri" w:eastAsia="MS Mincho" w:hAnsi="Calibri" w:cs="Calibri"/>
        </w:rPr>
        <w:t>item A1000 was selected.</w:t>
      </w:r>
      <w:r w:rsidR="007D05E9" w:rsidRPr="00541392">
        <w:rPr>
          <w:rFonts w:ascii="Calibri" w:eastAsia="MS Mincho" w:hAnsi="Calibri" w:cs="Calibri"/>
        </w:rPr>
        <w:t xml:space="preserve"> </w:t>
      </w:r>
    </w:p>
    <w:p w14:paraId="79B386B4" w14:textId="55595ED5" w:rsidR="007D05E9" w:rsidRPr="007B766A" w:rsidRDefault="007D05E9" w:rsidP="00ED7332">
      <w:pPr>
        <w:pStyle w:val="Response"/>
        <w:spacing w:before="0" w:line="264" w:lineRule="auto"/>
        <w:ind w:left="360"/>
        <w:rPr>
          <w:rFonts w:ascii="Calibri" w:eastAsia="MS Mincho" w:hAnsi="Calibri" w:cs="Calibri"/>
          <w:bCs w:val="0"/>
        </w:rPr>
      </w:pPr>
      <w:r w:rsidRPr="007B766A">
        <w:rPr>
          <w:rFonts w:ascii="Calibri" w:eastAsia="MS Mincho" w:hAnsi="Calibri" w:cs="Calibri"/>
          <w:bCs w:val="0"/>
        </w:rPr>
        <w:t xml:space="preserve">First, we examined the percentage of </w:t>
      </w:r>
      <w:r>
        <w:rPr>
          <w:rFonts w:ascii="Calibri" w:eastAsia="MS Mincho" w:hAnsi="Calibri" w:cs="Calibri"/>
          <w:bCs w:val="0"/>
        </w:rPr>
        <w:t>long</w:t>
      </w:r>
      <w:r w:rsidRPr="007B766A">
        <w:rPr>
          <w:rFonts w:ascii="Calibri" w:eastAsia="MS Mincho" w:hAnsi="Calibri" w:cs="Calibri"/>
          <w:bCs w:val="0"/>
        </w:rPr>
        <w:t xml:space="preserve">-stay residents with each social risk factor </w:t>
      </w:r>
      <w:r>
        <w:rPr>
          <w:rFonts w:ascii="Calibri" w:eastAsia="MS Mincho" w:hAnsi="Calibri" w:cs="Calibri"/>
          <w:bCs w:val="0"/>
        </w:rPr>
        <w:t>identified in the literature as having an empirical association with urinary tract infection,</w:t>
      </w:r>
      <w:r w:rsidRPr="007B766A">
        <w:rPr>
          <w:rFonts w:ascii="Calibri" w:eastAsia="MS Mincho" w:hAnsi="Calibri" w:cs="Calibri"/>
          <w:bCs w:val="0"/>
        </w:rPr>
        <w:t xml:space="preserve"> compared to those without </w:t>
      </w:r>
      <w:r w:rsidRPr="007B766A">
        <w:rPr>
          <w:rFonts w:ascii="Calibri" w:eastAsia="MS Mincho" w:hAnsi="Calibri" w:cs="Calibri"/>
          <w:bCs w:val="0"/>
        </w:rPr>
        <w:lastRenderedPageBreak/>
        <w:t>that social risk factor</w:t>
      </w:r>
      <w:r>
        <w:rPr>
          <w:rFonts w:ascii="Calibri" w:eastAsia="MS Mincho" w:hAnsi="Calibri" w:cs="Calibri"/>
          <w:bCs w:val="0"/>
        </w:rPr>
        <w:t>,</w:t>
      </w:r>
      <w:r w:rsidRPr="007B766A">
        <w:rPr>
          <w:rFonts w:ascii="Calibri" w:eastAsia="MS Mincho" w:hAnsi="Calibri" w:cs="Calibri"/>
          <w:bCs w:val="0"/>
        </w:rPr>
        <w:t xml:space="preserve"> and used Chi-Squared tests to determine whether these differences were statistically significant, as shown in </w:t>
      </w:r>
      <w:r w:rsidRPr="004E2A3E">
        <w:rPr>
          <w:rFonts w:ascii="Calibri" w:eastAsia="MS Mincho" w:hAnsi="Calibri" w:cs="Calibri"/>
          <w:b/>
          <w:bCs w:val="0"/>
          <w:i/>
        </w:rPr>
        <w:t xml:space="preserve">Table </w:t>
      </w:r>
      <w:r w:rsidR="00D12B62">
        <w:rPr>
          <w:rFonts w:ascii="Calibri" w:eastAsia="MS Mincho" w:hAnsi="Calibri" w:cs="Calibri"/>
          <w:b/>
          <w:bCs w:val="0"/>
          <w:i/>
        </w:rPr>
        <w:t>4</w:t>
      </w:r>
      <w:r w:rsidRPr="007B766A">
        <w:rPr>
          <w:rFonts w:ascii="Calibri" w:eastAsia="MS Mincho" w:hAnsi="Calibri" w:cs="Calibri"/>
          <w:bCs w:val="0"/>
        </w:rPr>
        <w:t>.</w:t>
      </w:r>
      <w:r w:rsidR="00E87D6C">
        <w:rPr>
          <w:rFonts w:ascii="Calibri" w:eastAsia="MS Mincho" w:hAnsi="Calibri" w:cs="Calibri"/>
          <w:bCs w:val="0"/>
        </w:rPr>
        <w:t xml:space="preserve"> </w:t>
      </w:r>
    </w:p>
    <w:p w14:paraId="78FA29F7" w14:textId="40D101E0" w:rsidR="007D05E9" w:rsidRPr="00517C1E" w:rsidRDefault="007D05E9" w:rsidP="00ED7332">
      <w:pPr>
        <w:pStyle w:val="Response"/>
        <w:spacing w:before="0" w:line="264" w:lineRule="auto"/>
        <w:ind w:left="360"/>
        <w:rPr>
          <w:rFonts w:ascii="Calibri" w:eastAsia="MS Mincho" w:hAnsi="Calibri" w:cs="Calibri"/>
        </w:rPr>
      </w:pPr>
      <w:r w:rsidRPr="004B0864">
        <w:rPr>
          <w:rFonts w:ascii="Calibri" w:eastAsia="MS Mincho" w:hAnsi="Calibri" w:cs="Calibri"/>
        </w:rPr>
        <w:t xml:space="preserve">While all of these differences were </w:t>
      </w:r>
      <w:r w:rsidRPr="00C8725A">
        <w:rPr>
          <w:rFonts w:ascii="Calibri" w:eastAsia="MS Mincho" w:hAnsi="Calibri" w:cs="Calibri"/>
        </w:rPr>
        <w:t>statistically significant, the differences across subpopulations are mostly small.</w:t>
      </w:r>
      <w:r w:rsidR="00E87D6C">
        <w:rPr>
          <w:rFonts w:ascii="Calibri" w:eastAsia="MS Mincho" w:hAnsi="Calibri" w:cs="Calibri"/>
        </w:rPr>
        <w:t xml:space="preserve"> </w:t>
      </w:r>
      <w:r w:rsidRPr="00C8725A">
        <w:rPr>
          <w:rFonts w:ascii="Calibri" w:eastAsia="MS Mincho" w:hAnsi="Calibri" w:cs="Calibri"/>
        </w:rPr>
        <w:t xml:space="preserve">Among residents who </w:t>
      </w:r>
      <w:r>
        <w:rPr>
          <w:rFonts w:ascii="Calibri" w:eastAsia="MS Mincho" w:hAnsi="Calibri" w:cs="Calibri"/>
        </w:rPr>
        <w:t>were</w:t>
      </w:r>
      <w:r w:rsidRPr="00C8725A">
        <w:rPr>
          <w:rFonts w:ascii="Calibri" w:eastAsia="MS Mincho" w:hAnsi="Calibri" w:cs="Calibri"/>
        </w:rPr>
        <w:t xml:space="preserve"> eligible for Medicaid, 2.4</w:t>
      </w:r>
      <w:r>
        <w:rPr>
          <w:rFonts w:ascii="Calibri" w:eastAsia="MS Mincho" w:hAnsi="Calibri" w:cs="Calibri"/>
        </w:rPr>
        <w:t>6</w:t>
      </w:r>
      <w:r w:rsidRPr="00C8725A">
        <w:rPr>
          <w:rFonts w:ascii="Calibri" w:eastAsia="MS Mincho" w:hAnsi="Calibri" w:cs="Calibri"/>
        </w:rPr>
        <w:t xml:space="preserve">% had urinary tract infections and, among </w:t>
      </w:r>
      <w:proofErr w:type="gramStart"/>
      <w:r w:rsidRPr="00C8725A">
        <w:rPr>
          <w:rFonts w:ascii="Calibri" w:eastAsia="MS Mincho" w:hAnsi="Calibri" w:cs="Calibri"/>
        </w:rPr>
        <w:t>those ineligible</w:t>
      </w:r>
      <w:proofErr w:type="gramEnd"/>
      <w:r w:rsidRPr="00C8725A">
        <w:rPr>
          <w:rFonts w:ascii="Calibri" w:eastAsia="MS Mincho" w:hAnsi="Calibri" w:cs="Calibri"/>
        </w:rPr>
        <w:t xml:space="preserve"> for Medicaid, </w:t>
      </w:r>
      <w:r w:rsidRPr="004B0864">
        <w:rPr>
          <w:rFonts w:ascii="Calibri" w:eastAsia="MS Mincho" w:hAnsi="Calibri" w:cs="Calibri"/>
        </w:rPr>
        <w:t>3.35</w:t>
      </w:r>
      <w:r w:rsidRPr="00C8725A">
        <w:rPr>
          <w:rFonts w:ascii="Calibri" w:eastAsia="MS Mincho" w:hAnsi="Calibri" w:cs="Calibri"/>
        </w:rPr>
        <w:t>% had urinary tract infections (</w:t>
      </w:r>
      <w:r w:rsidRPr="004B0864">
        <w:rPr>
          <w:rFonts w:ascii="Calibri" w:eastAsia="MS Mincho" w:hAnsi="Calibri" w:cs="Calibri"/>
          <w:i/>
          <w:iCs/>
        </w:rPr>
        <w:t>χ</w:t>
      </w:r>
      <w:r w:rsidRPr="00C8725A">
        <w:rPr>
          <w:rFonts w:ascii="Calibri" w:eastAsia="MS Mincho" w:hAnsi="Calibri" w:cs="Calibri"/>
          <w:vertAlign w:val="superscript"/>
        </w:rPr>
        <w:t>2</w:t>
      </w:r>
      <w:r w:rsidRPr="00C8725A">
        <w:rPr>
          <w:rFonts w:ascii="Calibri" w:eastAsia="MS Mincho" w:hAnsi="Calibri" w:cs="Calibri"/>
        </w:rPr>
        <w:t>(1) =</w:t>
      </w:r>
      <w:r>
        <w:rPr>
          <w:rFonts w:ascii="Calibri" w:eastAsia="MS Mincho" w:hAnsi="Calibri" w:cs="Calibri"/>
        </w:rPr>
        <w:t>324.39</w:t>
      </w:r>
      <w:r w:rsidRPr="00C8725A">
        <w:rPr>
          <w:rFonts w:ascii="Calibri" w:eastAsia="MS Mincho" w:hAnsi="Calibri" w:cs="Calibri"/>
        </w:rPr>
        <w:t>,</w:t>
      </w:r>
      <w:r w:rsidRPr="004B0864">
        <w:rPr>
          <w:rFonts w:ascii="Calibri" w:eastAsia="MS Mincho" w:hAnsi="Calibri" w:cs="Calibri"/>
          <w:i/>
          <w:iCs/>
        </w:rPr>
        <w:t xml:space="preserve"> p</w:t>
      </w:r>
      <w:r w:rsidRPr="00C8725A">
        <w:rPr>
          <w:rFonts w:ascii="Calibri" w:eastAsia="MS Mincho" w:hAnsi="Calibri" w:cs="Calibri"/>
        </w:rPr>
        <w:t xml:space="preserve"> &lt; .001). </w:t>
      </w:r>
      <w:r w:rsidR="00C121A3">
        <w:rPr>
          <w:rFonts w:ascii="Calibri" w:eastAsia="MS Mincho" w:hAnsi="Calibri" w:cs="Calibri"/>
        </w:rPr>
        <w:t xml:space="preserve">For </w:t>
      </w:r>
      <w:r w:rsidR="00061A79">
        <w:rPr>
          <w:rFonts w:ascii="Calibri" w:eastAsia="MS Mincho" w:hAnsi="Calibri" w:cs="Calibri"/>
        </w:rPr>
        <w:t>n</w:t>
      </w:r>
      <w:r w:rsidR="00C121A3">
        <w:rPr>
          <w:rFonts w:ascii="Calibri" w:eastAsia="MS Mincho" w:hAnsi="Calibri" w:cs="Calibri"/>
        </w:rPr>
        <w:t xml:space="preserve">on-Hispanic </w:t>
      </w:r>
      <w:r w:rsidR="00061A79">
        <w:rPr>
          <w:rFonts w:ascii="Calibri" w:eastAsia="MS Mincho" w:hAnsi="Calibri" w:cs="Calibri"/>
        </w:rPr>
        <w:t>w</w:t>
      </w:r>
      <w:r w:rsidR="00C121A3">
        <w:rPr>
          <w:rFonts w:ascii="Calibri" w:eastAsia="MS Mincho" w:hAnsi="Calibri" w:cs="Calibri"/>
        </w:rPr>
        <w:t xml:space="preserve">hite residents, 2.88% had urinary tract infections, compared with 1.92% of </w:t>
      </w:r>
      <w:r w:rsidR="00061A79">
        <w:rPr>
          <w:rFonts w:ascii="Calibri" w:eastAsia="MS Mincho" w:hAnsi="Calibri" w:cs="Calibri"/>
        </w:rPr>
        <w:t>n</w:t>
      </w:r>
      <w:r w:rsidR="00C121A3">
        <w:rPr>
          <w:rFonts w:ascii="Calibri" w:eastAsia="MS Mincho" w:hAnsi="Calibri" w:cs="Calibri"/>
        </w:rPr>
        <w:t>on-</w:t>
      </w:r>
      <w:r w:rsidR="00061A79">
        <w:rPr>
          <w:rFonts w:ascii="Calibri" w:eastAsia="MS Mincho" w:hAnsi="Calibri" w:cs="Calibri"/>
        </w:rPr>
        <w:t>w</w:t>
      </w:r>
      <w:r w:rsidR="00C121A3">
        <w:rPr>
          <w:rFonts w:ascii="Calibri" w:eastAsia="MS Mincho" w:hAnsi="Calibri" w:cs="Calibri"/>
        </w:rPr>
        <w:t>hite residents</w:t>
      </w:r>
      <w:r w:rsidR="0A2B77D4">
        <w:rPr>
          <w:rFonts w:ascii="Calibri" w:eastAsia="MS Mincho" w:hAnsi="Calibri" w:cs="Calibri"/>
        </w:rPr>
        <w:t xml:space="preserve"> (</w:t>
      </w:r>
      <w:r w:rsidR="0A2B77D4" w:rsidRPr="00517C1E">
        <w:rPr>
          <w:rFonts w:ascii="Calibri" w:eastAsia="MS Mincho" w:hAnsi="Calibri" w:cs="Calibri"/>
          <w:i/>
          <w:iCs/>
        </w:rPr>
        <w:t>χ</w:t>
      </w:r>
      <w:r w:rsidR="0A2B77D4" w:rsidRPr="00517C1E">
        <w:rPr>
          <w:rFonts w:ascii="Calibri" w:eastAsia="MS Mincho" w:hAnsi="Calibri" w:cs="Calibri"/>
          <w:vertAlign w:val="superscript"/>
        </w:rPr>
        <w:t>2</w:t>
      </w:r>
      <w:r w:rsidR="0A2B77D4" w:rsidRPr="00517C1E">
        <w:rPr>
          <w:rFonts w:ascii="Calibri" w:eastAsia="MS Mincho" w:hAnsi="Calibri" w:cs="Calibri"/>
        </w:rPr>
        <w:t>(1) =765.46,</w:t>
      </w:r>
      <w:r w:rsidR="0A2B77D4" w:rsidRPr="00517C1E">
        <w:rPr>
          <w:rFonts w:ascii="Calibri" w:eastAsia="MS Mincho" w:hAnsi="Calibri" w:cs="Calibri"/>
          <w:i/>
          <w:iCs/>
        </w:rPr>
        <w:t xml:space="preserve"> p</w:t>
      </w:r>
      <w:r w:rsidR="0A2B77D4" w:rsidRPr="00517C1E">
        <w:rPr>
          <w:rFonts w:ascii="Calibri" w:eastAsia="MS Mincho" w:hAnsi="Calibri" w:cs="Calibri"/>
        </w:rPr>
        <w:t xml:space="preserve"> &lt; .001)</w:t>
      </w:r>
      <w:r w:rsidR="00C121A3">
        <w:rPr>
          <w:rFonts w:ascii="Calibri" w:eastAsia="MS Mincho" w:hAnsi="Calibri" w:cs="Calibri"/>
        </w:rPr>
        <w:t>.</w:t>
      </w:r>
      <w:r w:rsidRPr="00C8725A">
        <w:rPr>
          <w:rFonts w:ascii="Calibri" w:eastAsia="MS Mincho" w:hAnsi="Calibri" w:cs="Calibri"/>
        </w:rPr>
        <w:t xml:space="preserve"> For residents aged 85 years or older, 2.7</w:t>
      </w:r>
      <w:r>
        <w:rPr>
          <w:rFonts w:ascii="Calibri" w:eastAsia="MS Mincho" w:hAnsi="Calibri" w:cs="Calibri"/>
        </w:rPr>
        <w:t>6</w:t>
      </w:r>
      <w:r w:rsidRPr="00C8725A">
        <w:rPr>
          <w:rFonts w:ascii="Calibri" w:eastAsia="MS Mincho" w:hAnsi="Calibri" w:cs="Calibri"/>
        </w:rPr>
        <w:t>% had urinary tract infections, compared with 2.</w:t>
      </w:r>
      <w:r>
        <w:rPr>
          <w:rFonts w:ascii="Calibri" w:eastAsia="MS Mincho" w:hAnsi="Calibri" w:cs="Calibri"/>
        </w:rPr>
        <w:t>52</w:t>
      </w:r>
      <w:r w:rsidRPr="00C8725A">
        <w:rPr>
          <w:rFonts w:ascii="Calibri" w:eastAsia="MS Mincho" w:hAnsi="Calibri" w:cs="Calibri"/>
        </w:rPr>
        <w:t>% of younger residents (</w:t>
      </w:r>
      <w:r w:rsidRPr="004B0864">
        <w:rPr>
          <w:rFonts w:ascii="Calibri" w:eastAsia="MS Mincho" w:hAnsi="Calibri" w:cs="Calibri"/>
          <w:i/>
          <w:iCs/>
        </w:rPr>
        <w:t>χ</w:t>
      </w:r>
      <w:r w:rsidRPr="00C8725A">
        <w:rPr>
          <w:rFonts w:ascii="Calibri" w:eastAsia="MS Mincho" w:hAnsi="Calibri" w:cs="Calibri"/>
          <w:vertAlign w:val="superscript"/>
        </w:rPr>
        <w:t>2</w:t>
      </w:r>
      <w:r w:rsidRPr="00C8725A">
        <w:rPr>
          <w:rFonts w:ascii="Calibri" w:eastAsia="MS Mincho" w:hAnsi="Calibri" w:cs="Calibri"/>
        </w:rPr>
        <w:t xml:space="preserve">(1) = </w:t>
      </w:r>
      <w:r w:rsidRPr="004B0864">
        <w:rPr>
          <w:rFonts w:ascii="Calibri" w:eastAsia="MS Mincho" w:hAnsi="Calibri" w:cs="Calibri"/>
        </w:rPr>
        <w:t>60.50</w:t>
      </w:r>
      <w:r w:rsidRPr="00C8725A">
        <w:rPr>
          <w:rFonts w:ascii="Calibri" w:eastAsia="MS Mincho" w:hAnsi="Calibri" w:cs="Calibri"/>
        </w:rPr>
        <w:t xml:space="preserve">, </w:t>
      </w:r>
      <w:r w:rsidRPr="004B0864">
        <w:rPr>
          <w:rFonts w:ascii="Calibri" w:eastAsia="MS Mincho" w:hAnsi="Calibri" w:cs="Calibri"/>
          <w:i/>
          <w:iCs/>
        </w:rPr>
        <w:t>p</w:t>
      </w:r>
      <w:r w:rsidRPr="00C8725A">
        <w:rPr>
          <w:rFonts w:ascii="Calibri" w:eastAsia="MS Mincho" w:hAnsi="Calibri" w:cs="Calibri"/>
        </w:rPr>
        <w:t xml:space="preserve"> &lt; .001). In addition, whereas 2.</w:t>
      </w:r>
      <w:r>
        <w:rPr>
          <w:rFonts w:ascii="Calibri" w:eastAsia="MS Mincho" w:hAnsi="Calibri" w:cs="Calibri"/>
        </w:rPr>
        <w:t>20</w:t>
      </w:r>
      <w:r w:rsidRPr="00C8725A">
        <w:rPr>
          <w:rFonts w:ascii="Calibri" w:eastAsia="MS Mincho" w:hAnsi="Calibri" w:cs="Calibri"/>
        </w:rPr>
        <w:t>% of the male residents had urinary tract infections, 2.84% of the female residents had urinary tract infections (</w:t>
      </w:r>
      <w:r w:rsidRPr="004B0864">
        <w:rPr>
          <w:rFonts w:ascii="Calibri" w:eastAsia="MS Mincho" w:hAnsi="Calibri" w:cs="Calibri"/>
          <w:i/>
          <w:iCs/>
        </w:rPr>
        <w:t>χ</w:t>
      </w:r>
      <w:r w:rsidRPr="00C8725A">
        <w:rPr>
          <w:rFonts w:ascii="Calibri" w:eastAsia="MS Mincho" w:hAnsi="Calibri" w:cs="Calibri"/>
          <w:vertAlign w:val="superscript"/>
        </w:rPr>
        <w:t>2</w:t>
      </w:r>
      <w:r w:rsidRPr="00C8725A">
        <w:rPr>
          <w:rFonts w:ascii="Calibri" w:eastAsia="MS Mincho" w:hAnsi="Calibri" w:cs="Calibri"/>
        </w:rPr>
        <w:t xml:space="preserve">(1) = </w:t>
      </w:r>
      <w:r w:rsidRPr="004B0864">
        <w:rPr>
          <w:rFonts w:ascii="Calibri" w:eastAsia="MS Mincho" w:hAnsi="Calibri" w:cs="Calibri"/>
        </w:rPr>
        <w:t>405.96,</w:t>
      </w:r>
      <w:r w:rsidRPr="00C8725A">
        <w:rPr>
          <w:rFonts w:ascii="Calibri" w:eastAsia="MS Mincho" w:hAnsi="Calibri" w:cs="Calibri"/>
        </w:rPr>
        <w:t xml:space="preserve"> </w:t>
      </w:r>
      <w:r w:rsidRPr="004B0864">
        <w:rPr>
          <w:rFonts w:ascii="Calibri" w:eastAsia="MS Mincho" w:hAnsi="Calibri" w:cs="Calibri"/>
          <w:i/>
          <w:iCs/>
        </w:rPr>
        <w:t>p</w:t>
      </w:r>
      <w:r w:rsidRPr="00C8725A">
        <w:rPr>
          <w:rFonts w:ascii="Calibri" w:eastAsia="MS Mincho" w:hAnsi="Calibri" w:cs="Calibri"/>
        </w:rPr>
        <w:t xml:space="preserve"> &lt; .001).</w:t>
      </w:r>
    </w:p>
    <w:p w14:paraId="6CC00935" w14:textId="3AED3B3C" w:rsidR="007D05E9" w:rsidRPr="00ED42A2" w:rsidRDefault="007D05E9" w:rsidP="00281068">
      <w:pPr>
        <w:pStyle w:val="ListParagraph"/>
        <w:ind w:left="765"/>
        <w:jc w:val="center"/>
        <w:rPr>
          <w:color w:val="0000FF"/>
        </w:rPr>
      </w:pPr>
      <w:r w:rsidRPr="00281068">
        <w:rPr>
          <w:rFonts w:eastAsia="Times New Roman" w:cs="Times New Roman"/>
          <w:b/>
          <w:color w:val="0000FF"/>
        </w:rPr>
        <w:t xml:space="preserve">Table </w:t>
      </w:r>
      <w:r w:rsidR="00D12B62" w:rsidRPr="00281068">
        <w:rPr>
          <w:rFonts w:eastAsia="Times New Roman" w:cs="Times New Roman"/>
          <w:b/>
          <w:color w:val="0000FF"/>
        </w:rPr>
        <w:t>4</w:t>
      </w:r>
      <w:r w:rsidR="00F92B38" w:rsidRPr="00281068">
        <w:rPr>
          <w:rFonts w:eastAsia="Times New Roman" w:cs="Times New Roman"/>
          <w:b/>
          <w:color w:val="0000FF"/>
        </w:rPr>
        <w:t>.</w:t>
      </w:r>
      <w:r w:rsidRPr="00281068">
        <w:rPr>
          <w:rFonts w:eastAsia="Times New Roman" w:cs="Times New Roman"/>
          <w:b/>
          <w:color w:val="0000FF"/>
        </w:rPr>
        <w:t xml:space="preserve"> </w:t>
      </w:r>
      <w:r w:rsidR="00281068" w:rsidRPr="00281068">
        <w:rPr>
          <w:rFonts w:cstheme="minorHAnsi"/>
          <w:b/>
          <w:bCs/>
          <w:color w:val="0000FF"/>
        </w:rPr>
        <w:t xml:space="preserve">NQF #0684 Percent of Residents with a Urinary Tract Infection (Long Stay) </w:t>
      </w:r>
      <w:r w:rsidRPr="00281068">
        <w:rPr>
          <w:rFonts w:eastAsia="Times New Roman" w:cs="Times New Roman"/>
          <w:b/>
          <w:color w:val="0000FF"/>
        </w:rPr>
        <w:t>by Social Risk Factors</w:t>
      </w:r>
      <w:r w:rsidR="00281068" w:rsidRPr="00281068">
        <w:rPr>
          <w:rFonts w:eastAsia="Times New Roman" w:cs="Times New Roman"/>
          <w:b/>
          <w:color w:val="0000FF"/>
        </w:rPr>
        <w:t xml:space="preserve"> </w:t>
      </w:r>
      <w:r w:rsidR="0067560F">
        <w:rPr>
          <w:rFonts w:eastAsia="Times New Roman" w:cs="Times New Roman"/>
          <w:b/>
          <w:color w:val="0000FF"/>
        </w:rPr>
        <w:t>(</w:t>
      </w:r>
      <w:r w:rsidR="00281068" w:rsidRPr="00281068">
        <w:rPr>
          <w:rFonts w:eastAsia="Times New Roman" w:cs="Times New Roman"/>
          <w:b/>
          <w:color w:val="0000FF"/>
        </w:rPr>
        <w:t>Quarter 3, 2018</w:t>
      </w:r>
      <w:r w:rsidR="0067560F">
        <w:rPr>
          <w:rFonts w:eastAsia="Times New Roman" w:cs="Times New Roman"/>
          <w:b/>
          <w:color w:val="0000FF"/>
        </w:rPr>
        <w:t>)</w:t>
      </w:r>
    </w:p>
    <w:tbl>
      <w:tblPr>
        <w:tblW w:w="5000" w:type="pct"/>
        <w:tblLook w:val="04A0" w:firstRow="1" w:lastRow="0" w:firstColumn="1" w:lastColumn="0" w:noHBand="0" w:noVBand="1"/>
      </w:tblPr>
      <w:tblGrid>
        <w:gridCol w:w="2522"/>
        <w:gridCol w:w="2879"/>
        <w:gridCol w:w="2804"/>
        <w:gridCol w:w="1155"/>
      </w:tblGrid>
      <w:tr w:rsidR="007D05E9" w:rsidRPr="00ED7332" w14:paraId="07479CD6" w14:textId="77777777" w:rsidTr="003D1711">
        <w:trPr>
          <w:tblHeader/>
        </w:trPr>
        <w:tc>
          <w:tcPr>
            <w:tcW w:w="1347" w:type="pct"/>
            <w:tcBorders>
              <w:top w:val="single" w:sz="12" w:space="0" w:color="auto"/>
              <w:bottom w:val="single" w:sz="4" w:space="0" w:color="auto"/>
            </w:tcBorders>
            <w:shd w:val="clear" w:color="auto" w:fill="auto"/>
            <w:vAlign w:val="center"/>
            <w:hideMark/>
          </w:tcPr>
          <w:p w14:paraId="1E2E2E37" w14:textId="77777777" w:rsidR="007D05E9" w:rsidRPr="00ED7332" w:rsidRDefault="007D05E9" w:rsidP="003D1711">
            <w:pPr>
              <w:spacing w:after="0" w:line="240" w:lineRule="auto"/>
              <w:contextualSpacing/>
              <w:rPr>
                <w:rFonts w:eastAsia="Times New Roman" w:cstheme="minorHAnsi"/>
                <w:color w:val="0000FF"/>
                <w:sz w:val="18"/>
                <w:szCs w:val="18"/>
              </w:rPr>
            </w:pPr>
            <w:r w:rsidRPr="00ED7332">
              <w:rPr>
                <w:rFonts w:eastAsia="Times New Roman" w:cstheme="minorHAnsi"/>
                <w:color w:val="0000FF"/>
                <w:sz w:val="18"/>
                <w:szCs w:val="18"/>
              </w:rPr>
              <w:t xml:space="preserve">Resident characteristic </w:t>
            </w:r>
          </w:p>
        </w:tc>
        <w:tc>
          <w:tcPr>
            <w:tcW w:w="1538" w:type="pct"/>
            <w:tcBorders>
              <w:top w:val="single" w:sz="12" w:space="0" w:color="auto"/>
              <w:bottom w:val="single" w:sz="4" w:space="0" w:color="auto"/>
            </w:tcBorders>
            <w:vAlign w:val="center"/>
          </w:tcPr>
          <w:p w14:paraId="6CAFC679" w14:textId="77777777" w:rsidR="007D05E9" w:rsidRPr="00ED7332" w:rsidRDefault="007D05E9" w:rsidP="003D1711">
            <w:pPr>
              <w:spacing w:after="0" w:line="240" w:lineRule="auto"/>
              <w:contextualSpacing/>
              <w:jc w:val="center"/>
              <w:rPr>
                <w:rFonts w:eastAsia="Times New Roman" w:cstheme="minorHAnsi"/>
                <w:color w:val="0000FF"/>
                <w:sz w:val="18"/>
                <w:szCs w:val="18"/>
              </w:rPr>
            </w:pPr>
            <w:r w:rsidRPr="00ED7332">
              <w:rPr>
                <w:rFonts w:eastAsia="Times New Roman" w:cstheme="minorHAnsi"/>
                <w:color w:val="0000FF"/>
                <w:sz w:val="18"/>
                <w:szCs w:val="18"/>
              </w:rPr>
              <w:t xml:space="preserve">Frequency of residents who </w:t>
            </w:r>
            <w:r w:rsidRPr="00ED7332">
              <w:rPr>
                <w:rFonts w:eastAsia="MS Mincho" w:cstheme="minorHAnsi"/>
                <w:color w:val="0000FF"/>
                <w:sz w:val="18"/>
                <w:szCs w:val="18"/>
              </w:rPr>
              <w:t xml:space="preserve">had urinary tract infections </w:t>
            </w:r>
            <w:r w:rsidRPr="00ED7332">
              <w:rPr>
                <w:rFonts w:eastAsia="Times New Roman" w:cstheme="minorHAnsi"/>
                <w:color w:val="0000FF"/>
                <w:sz w:val="18"/>
                <w:szCs w:val="18"/>
              </w:rPr>
              <w:t xml:space="preserve">(n) </w:t>
            </w:r>
          </w:p>
        </w:tc>
        <w:tc>
          <w:tcPr>
            <w:tcW w:w="1498" w:type="pct"/>
            <w:tcBorders>
              <w:top w:val="single" w:sz="12" w:space="0" w:color="auto"/>
              <w:bottom w:val="single" w:sz="4" w:space="0" w:color="auto"/>
            </w:tcBorders>
            <w:vAlign w:val="center"/>
          </w:tcPr>
          <w:p w14:paraId="2E5E0FA3" w14:textId="77777777" w:rsidR="007D05E9" w:rsidRPr="00ED7332" w:rsidRDefault="007D05E9" w:rsidP="003D1711">
            <w:pPr>
              <w:spacing w:after="0" w:line="240" w:lineRule="auto"/>
              <w:contextualSpacing/>
              <w:jc w:val="center"/>
              <w:rPr>
                <w:rFonts w:eastAsia="Times New Roman" w:cstheme="minorHAnsi"/>
                <w:color w:val="0000FF"/>
                <w:sz w:val="18"/>
                <w:szCs w:val="18"/>
              </w:rPr>
            </w:pPr>
            <w:r w:rsidRPr="00ED7332">
              <w:rPr>
                <w:rFonts w:eastAsia="Times New Roman" w:cstheme="minorHAnsi"/>
                <w:color w:val="0000FF"/>
                <w:sz w:val="18"/>
                <w:szCs w:val="18"/>
              </w:rPr>
              <w:t xml:space="preserve">Percentage of residents who </w:t>
            </w:r>
            <w:r w:rsidRPr="00ED7332">
              <w:rPr>
                <w:rFonts w:eastAsia="MS Mincho" w:cstheme="minorHAnsi"/>
                <w:color w:val="0000FF"/>
                <w:sz w:val="18"/>
                <w:szCs w:val="18"/>
              </w:rPr>
              <w:t xml:space="preserve">had urinary tract infections </w:t>
            </w:r>
            <w:r w:rsidRPr="00ED7332">
              <w:rPr>
                <w:rFonts w:eastAsia="Times New Roman" w:cstheme="minorHAnsi"/>
                <w:color w:val="0000FF"/>
                <w:sz w:val="18"/>
                <w:szCs w:val="18"/>
              </w:rPr>
              <w:t>(%)</w:t>
            </w:r>
          </w:p>
        </w:tc>
        <w:tc>
          <w:tcPr>
            <w:tcW w:w="617" w:type="pct"/>
            <w:tcBorders>
              <w:top w:val="single" w:sz="12" w:space="0" w:color="auto"/>
              <w:bottom w:val="single" w:sz="4" w:space="0" w:color="auto"/>
            </w:tcBorders>
          </w:tcPr>
          <w:p w14:paraId="698AA778" w14:textId="77777777" w:rsidR="007D05E9" w:rsidRPr="00ED7332" w:rsidRDefault="007D05E9" w:rsidP="003D1711">
            <w:pPr>
              <w:spacing w:after="0" w:line="240" w:lineRule="auto"/>
              <w:contextualSpacing/>
              <w:jc w:val="center"/>
              <w:rPr>
                <w:rFonts w:eastAsia="Times New Roman" w:cstheme="minorHAnsi"/>
                <w:color w:val="0000FF"/>
                <w:sz w:val="18"/>
                <w:szCs w:val="18"/>
              </w:rPr>
            </w:pPr>
            <w:r w:rsidRPr="00ED7332">
              <w:rPr>
                <w:rFonts w:eastAsia="Times New Roman" w:cstheme="minorHAnsi"/>
                <w:color w:val="0000FF"/>
                <w:sz w:val="18"/>
                <w:szCs w:val="18"/>
              </w:rPr>
              <w:t>Pearson chi</w:t>
            </w:r>
            <w:r w:rsidRPr="00ED7332">
              <w:rPr>
                <w:rFonts w:eastAsia="Times New Roman" w:cstheme="minorHAnsi"/>
                <w:color w:val="0000FF"/>
                <w:sz w:val="18"/>
                <w:szCs w:val="18"/>
                <w:vertAlign w:val="superscript"/>
              </w:rPr>
              <w:t>2</w:t>
            </w:r>
            <w:r w:rsidRPr="00ED7332">
              <w:rPr>
                <w:rFonts w:eastAsia="Times New Roman" w:cstheme="minorHAnsi"/>
                <w:color w:val="0000FF"/>
                <w:sz w:val="18"/>
                <w:szCs w:val="18"/>
              </w:rPr>
              <w:t xml:space="preserve"> P-value</w:t>
            </w:r>
          </w:p>
        </w:tc>
      </w:tr>
      <w:tr w:rsidR="005B6837" w:rsidRPr="00ED7332" w14:paraId="0343CE58" w14:textId="77777777" w:rsidTr="003D1711">
        <w:trPr>
          <w:trHeight w:val="197"/>
        </w:trPr>
        <w:tc>
          <w:tcPr>
            <w:tcW w:w="1347" w:type="pct"/>
            <w:shd w:val="clear" w:color="auto" w:fill="auto"/>
          </w:tcPr>
          <w:p w14:paraId="3C2572B1" w14:textId="6E5510F6" w:rsidR="005B6837" w:rsidRPr="00ED7332" w:rsidRDefault="005B6837" w:rsidP="003D1711">
            <w:pPr>
              <w:spacing w:after="0" w:line="240" w:lineRule="auto"/>
              <w:rPr>
                <w:rFonts w:eastAsia="Times New Roman" w:cstheme="minorHAnsi"/>
                <w:color w:val="0000FF"/>
                <w:sz w:val="18"/>
                <w:szCs w:val="18"/>
              </w:rPr>
            </w:pPr>
            <w:r w:rsidRPr="00ED7332">
              <w:rPr>
                <w:rFonts w:eastAsia="Times New Roman" w:cstheme="minorHAnsi"/>
                <w:color w:val="0000FF"/>
                <w:sz w:val="18"/>
                <w:szCs w:val="18"/>
              </w:rPr>
              <w:t>Race/Ethnicity</w:t>
            </w:r>
          </w:p>
        </w:tc>
        <w:tc>
          <w:tcPr>
            <w:tcW w:w="1538" w:type="pct"/>
          </w:tcPr>
          <w:p w14:paraId="03ADD5FC" w14:textId="77777777" w:rsidR="005B6837" w:rsidRPr="00ED7332" w:rsidRDefault="005B6837" w:rsidP="00DE6072">
            <w:pPr>
              <w:spacing w:after="0" w:line="240" w:lineRule="auto"/>
              <w:ind w:right="1062"/>
              <w:jc w:val="right"/>
              <w:rPr>
                <w:rFonts w:eastAsia="Times New Roman" w:cstheme="minorHAnsi"/>
                <w:color w:val="0000FF"/>
                <w:sz w:val="18"/>
                <w:szCs w:val="18"/>
              </w:rPr>
            </w:pPr>
          </w:p>
        </w:tc>
        <w:tc>
          <w:tcPr>
            <w:tcW w:w="1498" w:type="pct"/>
          </w:tcPr>
          <w:p w14:paraId="3EF6C451" w14:textId="77777777" w:rsidR="005B6837" w:rsidRPr="00ED7332" w:rsidRDefault="005B6837" w:rsidP="00DE6072">
            <w:pPr>
              <w:spacing w:after="0" w:line="240" w:lineRule="auto"/>
              <w:ind w:right="990"/>
              <w:jc w:val="right"/>
              <w:rPr>
                <w:rFonts w:eastAsia="Times New Roman" w:cstheme="minorHAnsi"/>
                <w:color w:val="0000FF"/>
                <w:sz w:val="18"/>
                <w:szCs w:val="18"/>
              </w:rPr>
            </w:pPr>
          </w:p>
        </w:tc>
        <w:tc>
          <w:tcPr>
            <w:tcW w:w="617" w:type="pct"/>
          </w:tcPr>
          <w:p w14:paraId="1BD631DE" w14:textId="77777777" w:rsidR="005B6837" w:rsidRPr="00ED7332" w:rsidRDefault="005B6837" w:rsidP="00DE6072">
            <w:pPr>
              <w:spacing w:after="0" w:line="240" w:lineRule="auto"/>
              <w:ind w:right="261"/>
              <w:jc w:val="right"/>
              <w:rPr>
                <w:rFonts w:eastAsia="Times New Roman" w:cstheme="minorHAnsi"/>
                <w:color w:val="0000FF"/>
                <w:sz w:val="18"/>
                <w:szCs w:val="18"/>
              </w:rPr>
            </w:pPr>
          </w:p>
        </w:tc>
      </w:tr>
      <w:tr w:rsidR="005B6837" w:rsidRPr="00ED7332" w14:paraId="4B30158E" w14:textId="77777777" w:rsidTr="003D1711">
        <w:trPr>
          <w:trHeight w:val="197"/>
        </w:trPr>
        <w:tc>
          <w:tcPr>
            <w:tcW w:w="1347" w:type="pct"/>
            <w:shd w:val="clear" w:color="auto" w:fill="auto"/>
          </w:tcPr>
          <w:p w14:paraId="5B4FBE63" w14:textId="73F40590" w:rsidR="005B6837" w:rsidRPr="00E5513C" w:rsidRDefault="00352681" w:rsidP="00E5513C">
            <w:pPr>
              <w:spacing w:after="0" w:line="240" w:lineRule="auto"/>
              <w:ind w:firstLineChars="100" w:firstLine="180"/>
              <w:rPr>
                <w:rFonts w:cstheme="minorHAnsi"/>
                <w:color w:val="0000FF"/>
                <w:sz w:val="18"/>
                <w:szCs w:val="18"/>
              </w:rPr>
            </w:pPr>
            <w:r w:rsidRPr="00E5513C">
              <w:rPr>
                <w:rFonts w:cstheme="minorHAnsi"/>
                <w:color w:val="0000FF"/>
                <w:sz w:val="18"/>
                <w:szCs w:val="18"/>
              </w:rPr>
              <w:t xml:space="preserve">Non-Hispanic </w:t>
            </w:r>
            <w:r w:rsidR="00061A79" w:rsidRPr="00E5513C">
              <w:rPr>
                <w:rFonts w:cstheme="minorHAnsi"/>
                <w:color w:val="0000FF"/>
                <w:sz w:val="18"/>
                <w:szCs w:val="18"/>
              </w:rPr>
              <w:t>w</w:t>
            </w:r>
            <w:r w:rsidRPr="00E5513C">
              <w:rPr>
                <w:rFonts w:cstheme="minorHAnsi"/>
                <w:color w:val="0000FF"/>
                <w:sz w:val="18"/>
                <w:szCs w:val="18"/>
              </w:rPr>
              <w:t>hite</w:t>
            </w:r>
          </w:p>
        </w:tc>
        <w:tc>
          <w:tcPr>
            <w:tcW w:w="1538" w:type="pct"/>
          </w:tcPr>
          <w:p w14:paraId="1D47D38E" w14:textId="3C6CD0C2" w:rsidR="005B6837" w:rsidRPr="00ED7332" w:rsidRDefault="003D56C4" w:rsidP="00DE6072">
            <w:pPr>
              <w:spacing w:after="0" w:line="240" w:lineRule="auto"/>
              <w:ind w:right="1062"/>
              <w:jc w:val="right"/>
              <w:rPr>
                <w:rFonts w:eastAsia="Times New Roman" w:cstheme="minorHAnsi"/>
                <w:color w:val="0000FF"/>
                <w:sz w:val="18"/>
                <w:szCs w:val="18"/>
              </w:rPr>
            </w:pPr>
            <w:r w:rsidRPr="00ED7332">
              <w:rPr>
                <w:rFonts w:eastAsia="Times New Roman" w:cstheme="minorHAnsi"/>
                <w:color w:val="0000FF"/>
                <w:sz w:val="18"/>
                <w:szCs w:val="18"/>
              </w:rPr>
              <w:t>23,499</w:t>
            </w:r>
          </w:p>
        </w:tc>
        <w:tc>
          <w:tcPr>
            <w:tcW w:w="1498" w:type="pct"/>
          </w:tcPr>
          <w:p w14:paraId="678BB52B" w14:textId="7FEF5429" w:rsidR="005B6837" w:rsidRPr="00ED7332" w:rsidRDefault="004965B7" w:rsidP="00DE6072">
            <w:pPr>
              <w:spacing w:after="0" w:line="240" w:lineRule="auto"/>
              <w:ind w:right="990"/>
              <w:jc w:val="right"/>
              <w:rPr>
                <w:rFonts w:eastAsia="Times New Roman" w:cstheme="minorHAnsi"/>
                <w:color w:val="0000FF"/>
                <w:sz w:val="18"/>
                <w:szCs w:val="18"/>
              </w:rPr>
            </w:pPr>
            <w:r w:rsidRPr="00ED7332">
              <w:rPr>
                <w:rFonts w:eastAsia="Times New Roman" w:cstheme="minorHAnsi"/>
                <w:color w:val="0000FF"/>
                <w:sz w:val="18"/>
                <w:szCs w:val="18"/>
              </w:rPr>
              <w:t>2.88%</w:t>
            </w:r>
          </w:p>
        </w:tc>
        <w:tc>
          <w:tcPr>
            <w:tcW w:w="617" w:type="pct"/>
          </w:tcPr>
          <w:p w14:paraId="75B21081" w14:textId="591208EC" w:rsidR="005B6837" w:rsidRPr="00ED7332" w:rsidRDefault="005A7CD5" w:rsidP="00DE6072">
            <w:pPr>
              <w:spacing w:after="0" w:line="240" w:lineRule="auto"/>
              <w:ind w:right="261"/>
              <w:jc w:val="right"/>
              <w:rPr>
                <w:rFonts w:eastAsia="Times New Roman" w:cstheme="minorHAnsi"/>
                <w:color w:val="0000FF"/>
                <w:sz w:val="18"/>
                <w:szCs w:val="18"/>
              </w:rPr>
            </w:pPr>
            <w:r w:rsidRPr="00ED7332">
              <w:rPr>
                <w:rFonts w:eastAsia="Times New Roman" w:cstheme="minorHAnsi"/>
                <w:color w:val="0000FF"/>
                <w:sz w:val="18"/>
                <w:szCs w:val="18"/>
              </w:rPr>
              <w:t>&lt;0.0</w:t>
            </w:r>
            <w:r w:rsidR="00DA505A" w:rsidRPr="00ED7332">
              <w:rPr>
                <w:rFonts w:eastAsia="Times New Roman" w:cstheme="minorHAnsi"/>
                <w:color w:val="0000FF"/>
                <w:sz w:val="18"/>
                <w:szCs w:val="18"/>
              </w:rPr>
              <w:t>01</w:t>
            </w:r>
          </w:p>
        </w:tc>
      </w:tr>
      <w:tr w:rsidR="005B6837" w:rsidRPr="00ED7332" w14:paraId="4C04A81C" w14:textId="77777777" w:rsidTr="003D1711">
        <w:trPr>
          <w:trHeight w:val="197"/>
        </w:trPr>
        <w:tc>
          <w:tcPr>
            <w:tcW w:w="1347" w:type="pct"/>
            <w:shd w:val="clear" w:color="auto" w:fill="auto"/>
          </w:tcPr>
          <w:p w14:paraId="0EB7C99F" w14:textId="73B6A79E" w:rsidR="005B6837" w:rsidRPr="00E5513C" w:rsidRDefault="00352681" w:rsidP="00E5513C">
            <w:pPr>
              <w:spacing w:after="0" w:line="240" w:lineRule="auto"/>
              <w:ind w:firstLineChars="100" w:firstLine="180"/>
              <w:rPr>
                <w:rFonts w:cstheme="minorHAnsi"/>
                <w:color w:val="0000FF"/>
                <w:sz w:val="18"/>
                <w:szCs w:val="18"/>
              </w:rPr>
            </w:pPr>
            <w:r w:rsidRPr="00E5513C">
              <w:rPr>
                <w:rFonts w:cstheme="minorHAnsi"/>
                <w:color w:val="0000FF"/>
                <w:sz w:val="18"/>
                <w:szCs w:val="18"/>
              </w:rPr>
              <w:t>Non-</w:t>
            </w:r>
            <w:r w:rsidR="00061A79" w:rsidRPr="00E5513C">
              <w:rPr>
                <w:rFonts w:cstheme="minorHAnsi"/>
                <w:color w:val="0000FF"/>
                <w:sz w:val="18"/>
                <w:szCs w:val="18"/>
              </w:rPr>
              <w:t>w</w:t>
            </w:r>
            <w:r w:rsidRPr="00E5513C">
              <w:rPr>
                <w:rFonts w:cstheme="minorHAnsi"/>
                <w:color w:val="0000FF"/>
                <w:sz w:val="18"/>
                <w:szCs w:val="18"/>
              </w:rPr>
              <w:t>hite</w:t>
            </w:r>
          </w:p>
        </w:tc>
        <w:tc>
          <w:tcPr>
            <w:tcW w:w="1538" w:type="pct"/>
          </w:tcPr>
          <w:p w14:paraId="3BBE94DB" w14:textId="69CEEECF" w:rsidR="005B6837" w:rsidRPr="00ED7332" w:rsidRDefault="00E26C01" w:rsidP="00DE6072">
            <w:pPr>
              <w:spacing w:after="0" w:line="240" w:lineRule="auto"/>
              <w:ind w:right="1062"/>
              <w:jc w:val="right"/>
              <w:rPr>
                <w:rFonts w:eastAsia="Times New Roman" w:cstheme="minorHAnsi"/>
                <w:color w:val="0000FF"/>
                <w:sz w:val="18"/>
                <w:szCs w:val="18"/>
              </w:rPr>
            </w:pPr>
            <w:r w:rsidRPr="00ED7332">
              <w:rPr>
                <w:rFonts w:eastAsia="Times New Roman" w:cstheme="minorHAnsi"/>
                <w:color w:val="0000FF"/>
                <w:sz w:val="18"/>
                <w:szCs w:val="18"/>
              </w:rPr>
              <w:t>5,561</w:t>
            </w:r>
          </w:p>
        </w:tc>
        <w:tc>
          <w:tcPr>
            <w:tcW w:w="1498" w:type="pct"/>
          </w:tcPr>
          <w:p w14:paraId="196162F6" w14:textId="3A9A098E" w:rsidR="005B6837" w:rsidRPr="00ED7332" w:rsidRDefault="004965B7" w:rsidP="00DE6072">
            <w:pPr>
              <w:spacing w:after="0" w:line="240" w:lineRule="auto"/>
              <w:ind w:right="990"/>
              <w:jc w:val="right"/>
              <w:rPr>
                <w:rFonts w:eastAsia="Times New Roman" w:cstheme="minorHAnsi"/>
                <w:color w:val="0000FF"/>
                <w:sz w:val="18"/>
                <w:szCs w:val="18"/>
              </w:rPr>
            </w:pPr>
            <w:r w:rsidRPr="00ED7332">
              <w:rPr>
                <w:rFonts w:eastAsia="Times New Roman" w:cstheme="minorHAnsi"/>
                <w:color w:val="0000FF"/>
                <w:sz w:val="18"/>
                <w:szCs w:val="18"/>
              </w:rPr>
              <w:t>1.</w:t>
            </w:r>
            <w:r w:rsidR="006E4BFF" w:rsidRPr="00ED7332">
              <w:rPr>
                <w:rFonts w:eastAsia="Times New Roman" w:cstheme="minorHAnsi"/>
                <w:color w:val="0000FF"/>
                <w:sz w:val="18"/>
                <w:szCs w:val="18"/>
              </w:rPr>
              <w:t>9</w:t>
            </w:r>
            <w:r w:rsidRPr="00ED7332">
              <w:rPr>
                <w:rFonts w:eastAsia="Times New Roman" w:cstheme="minorHAnsi"/>
                <w:color w:val="0000FF"/>
                <w:sz w:val="18"/>
                <w:szCs w:val="18"/>
              </w:rPr>
              <w:t>2%</w:t>
            </w:r>
          </w:p>
        </w:tc>
        <w:tc>
          <w:tcPr>
            <w:tcW w:w="617" w:type="pct"/>
          </w:tcPr>
          <w:p w14:paraId="481E4332" w14:textId="77777777" w:rsidR="005B6837" w:rsidRPr="00ED7332" w:rsidRDefault="005B6837" w:rsidP="00DE6072">
            <w:pPr>
              <w:spacing w:after="0" w:line="240" w:lineRule="auto"/>
              <w:ind w:right="261"/>
              <w:jc w:val="right"/>
              <w:rPr>
                <w:rFonts w:eastAsia="Times New Roman" w:cstheme="minorHAnsi"/>
                <w:color w:val="0000FF"/>
                <w:sz w:val="18"/>
                <w:szCs w:val="18"/>
              </w:rPr>
            </w:pPr>
          </w:p>
        </w:tc>
      </w:tr>
      <w:tr w:rsidR="007D05E9" w:rsidRPr="00ED7332" w14:paraId="46B66D4F" w14:textId="77777777" w:rsidTr="003D1711">
        <w:trPr>
          <w:trHeight w:val="197"/>
        </w:trPr>
        <w:tc>
          <w:tcPr>
            <w:tcW w:w="1347" w:type="pct"/>
            <w:shd w:val="clear" w:color="auto" w:fill="auto"/>
            <w:hideMark/>
          </w:tcPr>
          <w:p w14:paraId="615862FB" w14:textId="77777777" w:rsidR="007D05E9" w:rsidRPr="00ED7332" w:rsidRDefault="007D05E9" w:rsidP="003D1711">
            <w:pPr>
              <w:spacing w:after="0" w:line="240" w:lineRule="auto"/>
              <w:rPr>
                <w:rFonts w:eastAsia="Times New Roman" w:cstheme="minorHAnsi"/>
                <w:color w:val="0000FF"/>
                <w:sz w:val="18"/>
                <w:szCs w:val="18"/>
              </w:rPr>
            </w:pPr>
            <w:r w:rsidRPr="00ED7332">
              <w:rPr>
                <w:rFonts w:eastAsia="Times New Roman" w:cstheme="minorHAnsi"/>
                <w:color w:val="0000FF"/>
                <w:sz w:val="18"/>
                <w:szCs w:val="18"/>
              </w:rPr>
              <w:t>Age</w:t>
            </w:r>
          </w:p>
        </w:tc>
        <w:tc>
          <w:tcPr>
            <w:tcW w:w="1538" w:type="pct"/>
          </w:tcPr>
          <w:p w14:paraId="16DA1B97" w14:textId="77777777" w:rsidR="007D05E9" w:rsidRPr="00ED7332" w:rsidRDefault="007D05E9" w:rsidP="00DE6072">
            <w:pPr>
              <w:spacing w:after="0" w:line="240" w:lineRule="auto"/>
              <w:ind w:right="1062"/>
              <w:jc w:val="right"/>
              <w:rPr>
                <w:rFonts w:eastAsia="Times New Roman" w:cstheme="minorHAnsi"/>
                <w:color w:val="0000FF"/>
                <w:sz w:val="18"/>
                <w:szCs w:val="18"/>
              </w:rPr>
            </w:pPr>
          </w:p>
        </w:tc>
        <w:tc>
          <w:tcPr>
            <w:tcW w:w="1498" w:type="pct"/>
          </w:tcPr>
          <w:p w14:paraId="4861329E" w14:textId="77777777" w:rsidR="007D05E9" w:rsidRPr="00ED7332" w:rsidRDefault="007D05E9" w:rsidP="00DE6072">
            <w:pPr>
              <w:spacing w:after="0" w:line="240" w:lineRule="auto"/>
              <w:ind w:right="990"/>
              <w:jc w:val="right"/>
              <w:rPr>
                <w:rFonts w:eastAsia="Times New Roman" w:cstheme="minorHAnsi"/>
                <w:color w:val="0000FF"/>
                <w:sz w:val="18"/>
                <w:szCs w:val="18"/>
              </w:rPr>
            </w:pPr>
          </w:p>
        </w:tc>
        <w:tc>
          <w:tcPr>
            <w:tcW w:w="617" w:type="pct"/>
          </w:tcPr>
          <w:p w14:paraId="53DFAB2B" w14:textId="77777777" w:rsidR="007D05E9" w:rsidRPr="00ED7332" w:rsidRDefault="007D05E9" w:rsidP="00DE6072">
            <w:pPr>
              <w:spacing w:after="0" w:line="240" w:lineRule="auto"/>
              <w:ind w:right="261"/>
              <w:jc w:val="right"/>
              <w:rPr>
                <w:rFonts w:eastAsia="Times New Roman" w:cstheme="minorHAnsi"/>
                <w:color w:val="0000FF"/>
                <w:sz w:val="18"/>
                <w:szCs w:val="18"/>
              </w:rPr>
            </w:pPr>
          </w:p>
        </w:tc>
      </w:tr>
      <w:tr w:rsidR="007D05E9" w:rsidRPr="00ED7332" w14:paraId="5BCD1AC4" w14:textId="77777777" w:rsidTr="003D1711">
        <w:tc>
          <w:tcPr>
            <w:tcW w:w="1347" w:type="pct"/>
            <w:shd w:val="clear" w:color="auto" w:fill="auto"/>
            <w:hideMark/>
          </w:tcPr>
          <w:p w14:paraId="5F8C3D9F" w14:textId="77777777" w:rsidR="007D05E9" w:rsidRPr="00ED7332" w:rsidRDefault="007D05E9" w:rsidP="003D1711">
            <w:pPr>
              <w:spacing w:after="0" w:line="240" w:lineRule="auto"/>
              <w:ind w:firstLineChars="100" w:firstLine="180"/>
              <w:rPr>
                <w:rFonts w:eastAsia="Times New Roman" w:cstheme="minorHAnsi"/>
                <w:color w:val="0000FF"/>
                <w:sz w:val="18"/>
                <w:szCs w:val="18"/>
              </w:rPr>
            </w:pPr>
            <w:r w:rsidRPr="00ED7332">
              <w:rPr>
                <w:rFonts w:cstheme="minorHAnsi"/>
                <w:color w:val="0000FF"/>
                <w:sz w:val="18"/>
                <w:szCs w:val="18"/>
              </w:rPr>
              <w:t xml:space="preserve">≥ 85 </w:t>
            </w:r>
          </w:p>
        </w:tc>
        <w:tc>
          <w:tcPr>
            <w:tcW w:w="1538" w:type="pct"/>
          </w:tcPr>
          <w:p w14:paraId="2224F95F" w14:textId="77777777" w:rsidR="007D05E9" w:rsidRPr="00ED7332" w:rsidRDefault="007D05E9" w:rsidP="00DE6072">
            <w:pPr>
              <w:spacing w:after="0" w:line="240" w:lineRule="auto"/>
              <w:ind w:right="1062"/>
              <w:jc w:val="right"/>
              <w:rPr>
                <w:rFonts w:eastAsia="Times New Roman" w:cstheme="minorHAnsi"/>
                <w:color w:val="0000FF"/>
                <w:sz w:val="18"/>
                <w:szCs w:val="18"/>
              </w:rPr>
            </w:pPr>
            <w:r w:rsidRPr="00ED7332">
              <w:rPr>
                <w:rFonts w:eastAsia="Times New Roman" w:cstheme="minorHAnsi"/>
                <w:color w:val="0000FF"/>
                <w:sz w:val="18"/>
                <w:szCs w:val="18"/>
              </w:rPr>
              <w:t>11,814</w:t>
            </w:r>
          </w:p>
        </w:tc>
        <w:tc>
          <w:tcPr>
            <w:tcW w:w="1498" w:type="pct"/>
          </w:tcPr>
          <w:p w14:paraId="7F7F679B" w14:textId="77777777" w:rsidR="007D05E9" w:rsidRPr="00ED7332" w:rsidRDefault="007D05E9" w:rsidP="00DE6072">
            <w:pPr>
              <w:spacing w:after="0" w:line="240" w:lineRule="auto"/>
              <w:ind w:right="990"/>
              <w:jc w:val="right"/>
              <w:rPr>
                <w:rFonts w:eastAsia="Times New Roman" w:cstheme="minorHAnsi"/>
                <w:color w:val="0000FF"/>
                <w:sz w:val="18"/>
                <w:szCs w:val="18"/>
              </w:rPr>
            </w:pPr>
            <w:r w:rsidRPr="00ED7332">
              <w:rPr>
                <w:rFonts w:eastAsia="Times New Roman" w:cstheme="minorHAnsi"/>
                <w:color w:val="0000FF"/>
                <w:sz w:val="18"/>
                <w:szCs w:val="18"/>
              </w:rPr>
              <w:t>2.76%</w:t>
            </w:r>
          </w:p>
        </w:tc>
        <w:tc>
          <w:tcPr>
            <w:tcW w:w="617" w:type="pct"/>
          </w:tcPr>
          <w:p w14:paraId="55B6AB0E" w14:textId="77777777" w:rsidR="007D05E9" w:rsidRPr="00ED7332" w:rsidRDefault="007D05E9" w:rsidP="00DE6072">
            <w:pPr>
              <w:spacing w:after="0" w:line="240" w:lineRule="auto"/>
              <w:ind w:right="261"/>
              <w:jc w:val="right"/>
              <w:rPr>
                <w:rFonts w:eastAsia="Times New Roman" w:cstheme="minorHAnsi"/>
                <w:color w:val="0000FF"/>
                <w:sz w:val="18"/>
                <w:szCs w:val="18"/>
              </w:rPr>
            </w:pPr>
            <w:r w:rsidRPr="00ED7332">
              <w:rPr>
                <w:rFonts w:eastAsia="Times New Roman" w:cstheme="minorHAnsi"/>
                <w:color w:val="0000FF"/>
                <w:sz w:val="18"/>
                <w:szCs w:val="18"/>
              </w:rPr>
              <w:t>&lt;0.001</w:t>
            </w:r>
          </w:p>
        </w:tc>
      </w:tr>
      <w:tr w:rsidR="007D05E9" w:rsidRPr="00ED7332" w14:paraId="2E987060" w14:textId="77777777" w:rsidTr="003D1711">
        <w:tc>
          <w:tcPr>
            <w:tcW w:w="1347" w:type="pct"/>
            <w:shd w:val="clear" w:color="auto" w:fill="auto"/>
            <w:hideMark/>
          </w:tcPr>
          <w:p w14:paraId="6688B382" w14:textId="77777777" w:rsidR="007D05E9" w:rsidRPr="00ED7332" w:rsidRDefault="007D05E9" w:rsidP="003D1711">
            <w:pPr>
              <w:spacing w:after="0" w:line="240" w:lineRule="auto"/>
              <w:ind w:firstLineChars="100" w:firstLine="180"/>
              <w:rPr>
                <w:rFonts w:eastAsia="Times New Roman" w:cstheme="minorHAnsi"/>
                <w:color w:val="0000FF"/>
                <w:sz w:val="18"/>
                <w:szCs w:val="18"/>
              </w:rPr>
            </w:pPr>
            <w:r w:rsidRPr="00ED7332">
              <w:rPr>
                <w:rFonts w:eastAsia="Times New Roman" w:cstheme="minorHAnsi"/>
                <w:color w:val="0000FF"/>
                <w:sz w:val="18"/>
                <w:szCs w:val="18"/>
              </w:rPr>
              <w:t xml:space="preserve">&lt; 85 </w:t>
            </w:r>
          </w:p>
        </w:tc>
        <w:tc>
          <w:tcPr>
            <w:tcW w:w="1538" w:type="pct"/>
          </w:tcPr>
          <w:p w14:paraId="255B680E" w14:textId="77777777" w:rsidR="007D05E9" w:rsidRPr="00ED7332" w:rsidRDefault="007D05E9" w:rsidP="00DE6072">
            <w:pPr>
              <w:spacing w:after="0" w:line="240" w:lineRule="auto"/>
              <w:ind w:right="1062"/>
              <w:jc w:val="right"/>
              <w:rPr>
                <w:rFonts w:eastAsia="Times New Roman" w:cstheme="minorHAnsi"/>
                <w:color w:val="0000FF"/>
                <w:sz w:val="18"/>
                <w:szCs w:val="18"/>
              </w:rPr>
            </w:pPr>
            <w:r w:rsidRPr="00ED7332">
              <w:rPr>
                <w:rFonts w:eastAsia="Times New Roman" w:cstheme="minorHAnsi"/>
                <w:color w:val="0000FF"/>
                <w:sz w:val="18"/>
                <w:szCs w:val="18"/>
              </w:rPr>
              <w:t>16,807</w:t>
            </w:r>
          </w:p>
        </w:tc>
        <w:tc>
          <w:tcPr>
            <w:tcW w:w="1498" w:type="pct"/>
          </w:tcPr>
          <w:p w14:paraId="3EB3B528" w14:textId="77777777" w:rsidR="007D05E9" w:rsidRPr="00ED7332" w:rsidRDefault="007D05E9" w:rsidP="00DE6072">
            <w:pPr>
              <w:spacing w:after="0" w:line="240" w:lineRule="auto"/>
              <w:ind w:right="990"/>
              <w:jc w:val="right"/>
              <w:rPr>
                <w:rFonts w:eastAsia="Times New Roman" w:cstheme="minorHAnsi"/>
                <w:color w:val="0000FF"/>
                <w:sz w:val="18"/>
                <w:szCs w:val="18"/>
              </w:rPr>
            </w:pPr>
            <w:r w:rsidRPr="00ED7332">
              <w:rPr>
                <w:rFonts w:eastAsia="Times New Roman" w:cstheme="minorHAnsi"/>
                <w:color w:val="0000FF"/>
                <w:sz w:val="18"/>
                <w:szCs w:val="18"/>
              </w:rPr>
              <w:t>2.52%</w:t>
            </w:r>
          </w:p>
        </w:tc>
        <w:tc>
          <w:tcPr>
            <w:tcW w:w="617" w:type="pct"/>
          </w:tcPr>
          <w:p w14:paraId="0F3991BB" w14:textId="77777777" w:rsidR="007D05E9" w:rsidRPr="00ED7332" w:rsidRDefault="007D05E9" w:rsidP="00DE6072">
            <w:pPr>
              <w:spacing w:after="0" w:line="240" w:lineRule="auto"/>
              <w:ind w:right="261"/>
              <w:jc w:val="right"/>
              <w:rPr>
                <w:rFonts w:eastAsia="Times New Roman" w:cstheme="minorHAnsi"/>
                <w:color w:val="0000FF"/>
                <w:sz w:val="18"/>
                <w:szCs w:val="18"/>
              </w:rPr>
            </w:pPr>
          </w:p>
        </w:tc>
      </w:tr>
      <w:tr w:rsidR="007D05E9" w:rsidRPr="00ED7332" w14:paraId="4D26A2C5" w14:textId="77777777" w:rsidTr="003D1711">
        <w:tc>
          <w:tcPr>
            <w:tcW w:w="1347" w:type="pct"/>
            <w:shd w:val="clear" w:color="auto" w:fill="auto"/>
            <w:hideMark/>
          </w:tcPr>
          <w:p w14:paraId="291BEA9E" w14:textId="77777777" w:rsidR="007D05E9" w:rsidRPr="00ED7332" w:rsidRDefault="007D05E9" w:rsidP="003D1711">
            <w:pPr>
              <w:spacing w:after="0" w:line="240" w:lineRule="auto"/>
              <w:rPr>
                <w:rFonts w:eastAsia="Times New Roman" w:cstheme="minorHAnsi"/>
                <w:color w:val="0000FF"/>
                <w:sz w:val="18"/>
                <w:szCs w:val="18"/>
              </w:rPr>
            </w:pPr>
            <w:r w:rsidRPr="00ED7332">
              <w:rPr>
                <w:rFonts w:eastAsia="Times New Roman" w:cstheme="minorHAnsi"/>
                <w:color w:val="0000FF"/>
                <w:sz w:val="18"/>
                <w:szCs w:val="18"/>
              </w:rPr>
              <w:t>Gender</w:t>
            </w:r>
          </w:p>
        </w:tc>
        <w:tc>
          <w:tcPr>
            <w:tcW w:w="1538" w:type="pct"/>
          </w:tcPr>
          <w:p w14:paraId="2F047DC6" w14:textId="77777777" w:rsidR="007D05E9" w:rsidRPr="00ED7332" w:rsidRDefault="007D05E9" w:rsidP="00DE6072">
            <w:pPr>
              <w:spacing w:after="0" w:line="240" w:lineRule="auto"/>
              <w:ind w:right="1062"/>
              <w:jc w:val="right"/>
              <w:rPr>
                <w:rFonts w:eastAsia="Times New Roman" w:cstheme="minorHAnsi"/>
                <w:color w:val="0000FF"/>
                <w:sz w:val="18"/>
                <w:szCs w:val="18"/>
              </w:rPr>
            </w:pPr>
          </w:p>
        </w:tc>
        <w:tc>
          <w:tcPr>
            <w:tcW w:w="1498" w:type="pct"/>
          </w:tcPr>
          <w:p w14:paraId="5A59EE9E" w14:textId="77777777" w:rsidR="007D05E9" w:rsidRPr="00ED7332" w:rsidRDefault="007D05E9" w:rsidP="00DE6072">
            <w:pPr>
              <w:spacing w:after="0" w:line="240" w:lineRule="auto"/>
              <w:ind w:right="990"/>
              <w:jc w:val="right"/>
              <w:rPr>
                <w:rFonts w:eastAsia="Times New Roman" w:cstheme="minorHAnsi"/>
                <w:color w:val="0000FF"/>
                <w:sz w:val="18"/>
                <w:szCs w:val="18"/>
              </w:rPr>
            </w:pPr>
          </w:p>
        </w:tc>
        <w:tc>
          <w:tcPr>
            <w:tcW w:w="617" w:type="pct"/>
          </w:tcPr>
          <w:p w14:paraId="47240D7F" w14:textId="77777777" w:rsidR="007D05E9" w:rsidRPr="00ED7332" w:rsidRDefault="007D05E9" w:rsidP="00DE6072">
            <w:pPr>
              <w:spacing w:after="0" w:line="240" w:lineRule="auto"/>
              <w:ind w:right="261"/>
              <w:jc w:val="right"/>
              <w:rPr>
                <w:rFonts w:eastAsia="Times New Roman" w:cstheme="minorHAnsi"/>
                <w:color w:val="0000FF"/>
                <w:sz w:val="18"/>
                <w:szCs w:val="18"/>
              </w:rPr>
            </w:pPr>
          </w:p>
        </w:tc>
      </w:tr>
      <w:tr w:rsidR="007D05E9" w:rsidRPr="00ED7332" w14:paraId="5D6034B8" w14:textId="77777777" w:rsidTr="003D1711">
        <w:tc>
          <w:tcPr>
            <w:tcW w:w="1347" w:type="pct"/>
            <w:shd w:val="clear" w:color="auto" w:fill="auto"/>
            <w:hideMark/>
          </w:tcPr>
          <w:p w14:paraId="5E3F2D0A" w14:textId="77777777" w:rsidR="007D05E9" w:rsidRPr="00ED7332" w:rsidRDefault="007D05E9" w:rsidP="003D1711">
            <w:pPr>
              <w:spacing w:after="0" w:line="240" w:lineRule="auto"/>
              <w:ind w:firstLineChars="100" w:firstLine="180"/>
              <w:rPr>
                <w:rFonts w:eastAsia="Times New Roman" w:cstheme="minorHAnsi"/>
                <w:color w:val="0000FF"/>
                <w:sz w:val="18"/>
                <w:szCs w:val="18"/>
              </w:rPr>
            </w:pPr>
            <w:r w:rsidRPr="00ED7332">
              <w:rPr>
                <w:rFonts w:eastAsia="Times New Roman" w:cstheme="minorHAnsi"/>
                <w:color w:val="0000FF"/>
                <w:sz w:val="18"/>
                <w:szCs w:val="18"/>
              </w:rPr>
              <w:t xml:space="preserve">Male </w:t>
            </w:r>
          </w:p>
        </w:tc>
        <w:tc>
          <w:tcPr>
            <w:tcW w:w="1538" w:type="pct"/>
          </w:tcPr>
          <w:p w14:paraId="38AFD1CB" w14:textId="77777777" w:rsidR="007D05E9" w:rsidRPr="00ED7332" w:rsidRDefault="007D05E9" w:rsidP="00DE6072">
            <w:pPr>
              <w:spacing w:after="0" w:line="240" w:lineRule="auto"/>
              <w:ind w:right="1062"/>
              <w:jc w:val="right"/>
              <w:rPr>
                <w:rFonts w:eastAsia="Times New Roman" w:cstheme="minorHAnsi"/>
                <w:color w:val="0000FF"/>
                <w:sz w:val="18"/>
                <w:szCs w:val="18"/>
              </w:rPr>
            </w:pPr>
            <w:r w:rsidRPr="00ED7332">
              <w:rPr>
                <w:rFonts w:eastAsia="Times New Roman" w:cstheme="minorHAnsi"/>
                <w:color w:val="0000FF"/>
                <w:sz w:val="18"/>
                <w:szCs w:val="18"/>
              </w:rPr>
              <w:t>8,538</w:t>
            </w:r>
          </w:p>
        </w:tc>
        <w:tc>
          <w:tcPr>
            <w:tcW w:w="1498" w:type="pct"/>
          </w:tcPr>
          <w:p w14:paraId="4C102792" w14:textId="77777777" w:rsidR="007D05E9" w:rsidRPr="00ED7332" w:rsidRDefault="007D05E9" w:rsidP="00DE6072">
            <w:pPr>
              <w:spacing w:after="0" w:line="240" w:lineRule="auto"/>
              <w:ind w:right="990"/>
              <w:jc w:val="right"/>
              <w:rPr>
                <w:rFonts w:eastAsia="Times New Roman" w:cstheme="minorHAnsi"/>
                <w:color w:val="0000FF"/>
                <w:sz w:val="18"/>
                <w:szCs w:val="18"/>
              </w:rPr>
            </w:pPr>
            <w:r w:rsidRPr="00ED7332">
              <w:rPr>
                <w:rFonts w:eastAsia="Times New Roman" w:cstheme="minorHAnsi"/>
                <w:color w:val="0000FF"/>
                <w:sz w:val="18"/>
                <w:szCs w:val="18"/>
              </w:rPr>
              <w:t>2.20%</w:t>
            </w:r>
          </w:p>
        </w:tc>
        <w:tc>
          <w:tcPr>
            <w:tcW w:w="617" w:type="pct"/>
          </w:tcPr>
          <w:p w14:paraId="22CAE92D" w14:textId="77777777" w:rsidR="007D05E9" w:rsidRPr="00ED7332" w:rsidRDefault="007D05E9" w:rsidP="00DE6072">
            <w:pPr>
              <w:spacing w:after="0" w:line="240" w:lineRule="auto"/>
              <w:ind w:right="261"/>
              <w:jc w:val="right"/>
              <w:rPr>
                <w:rFonts w:eastAsia="Times New Roman" w:cstheme="minorHAnsi"/>
                <w:color w:val="0000FF"/>
                <w:sz w:val="18"/>
                <w:szCs w:val="18"/>
              </w:rPr>
            </w:pPr>
            <w:r w:rsidRPr="00ED7332">
              <w:rPr>
                <w:rFonts w:eastAsia="Times New Roman" w:cstheme="minorHAnsi"/>
                <w:color w:val="0000FF"/>
                <w:sz w:val="18"/>
                <w:szCs w:val="18"/>
              </w:rPr>
              <w:t>&lt;0.001</w:t>
            </w:r>
          </w:p>
        </w:tc>
      </w:tr>
      <w:tr w:rsidR="007D05E9" w:rsidRPr="00ED7332" w14:paraId="4DE05204" w14:textId="77777777" w:rsidTr="003D1711">
        <w:tc>
          <w:tcPr>
            <w:tcW w:w="1347" w:type="pct"/>
            <w:shd w:val="clear" w:color="auto" w:fill="auto"/>
            <w:hideMark/>
          </w:tcPr>
          <w:p w14:paraId="4ED35AB9" w14:textId="77777777" w:rsidR="007D05E9" w:rsidRPr="00ED7332" w:rsidRDefault="007D05E9" w:rsidP="003D1711">
            <w:pPr>
              <w:spacing w:after="0" w:line="240" w:lineRule="auto"/>
              <w:ind w:firstLineChars="100" w:firstLine="180"/>
              <w:rPr>
                <w:rFonts w:eastAsia="Times New Roman" w:cstheme="minorHAnsi"/>
                <w:color w:val="0000FF"/>
                <w:sz w:val="18"/>
                <w:szCs w:val="18"/>
              </w:rPr>
            </w:pPr>
            <w:r w:rsidRPr="00ED7332">
              <w:rPr>
                <w:rFonts w:eastAsia="Times New Roman" w:cstheme="minorHAnsi"/>
                <w:color w:val="0000FF"/>
                <w:sz w:val="18"/>
                <w:szCs w:val="18"/>
              </w:rPr>
              <w:t xml:space="preserve">Female </w:t>
            </w:r>
          </w:p>
        </w:tc>
        <w:tc>
          <w:tcPr>
            <w:tcW w:w="1538" w:type="pct"/>
          </w:tcPr>
          <w:p w14:paraId="1D4C49EB" w14:textId="77777777" w:rsidR="007D05E9" w:rsidRPr="00ED7332" w:rsidRDefault="007D05E9" w:rsidP="00DE6072">
            <w:pPr>
              <w:spacing w:after="0" w:line="240" w:lineRule="auto"/>
              <w:ind w:right="1062"/>
              <w:jc w:val="right"/>
              <w:rPr>
                <w:rFonts w:eastAsia="Times New Roman" w:cstheme="minorHAnsi"/>
                <w:color w:val="0000FF"/>
                <w:sz w:val="18"/>
                <w:szCs w:val="18"/>
              </w:rPr>
            </w:pPr>
            <w:r w:rsidRPr="00ED7332">
              <w:rPr>
                <w:rFonts w:eastAsia="Times New Roman" w:cstheme="minorHAnsi"/>
                <w:color w:val="0000FF"/>
                <w:sz w:val="18"/>
                <w:szCs w:val="18"/>
              </w:rPr>
              <w:t>20,083</w:t>
            </w:r>
          </w:p>
        </w:tc>
        <w:tc>
          <w:tcPr>
            <w:tcW w:w="1498" w:type="pct"/>
          </w:tcPr>
          <w:p w14:paraId="12BC86A1" w14:textId="77777777" w:rsidR="007D05E9" w:rsidRPr="00ED7332" w:rsidRDefault="007D05E9" w:rsidP="00DE6072">
            <w:pPr>
              <w:spacing w:after="0" w:line="240" w:lineRule="auto"/>
              <w:ind w:right="990"/>
              <w:jc w:val="right"/>
              <w:rPr>
                <w:rFonts w:eastAsia="Times New Roman" w:cstheme="minorHAnsi"/>
                <w:color w:val="0000FF"/>
                <w:sz w:val="18"/>
                <w:szCs w:val="18"/>
              </w:rPr>
            </w:pPr>
            <w:r w:rsidRPr="00ED7332">
              <w:rPr>
                <w:rFonts w:eastAsia="Times New Roman" w:cstheme="minorHAnsi"/>
                <w:color w:val="0000FF"/>
                <w:sz w:val="18"/>
                <w:szCs w:val="18"/>
              </w:rPr>
              <w:t>2.84%</w:t>
            </w:r>
          </w:p>
        </w:tc>
        <w:tc>
          <w:tcPr>
            <w:tcW w:w="617" w:type="pct"/>
          </w:tcPr>
          <w:p w14:paraId="65858230" w14:textId="77777777" w:rsidR="007D05E9" w:rsidRPr="00ED7332" w:rsidRDefault="007D05E9" w:rsidP="00DE6072">
            <w:pPr>
              <w:spacing w:after="0" w:line="240" w:lineRule="auto"/>
              <w:ind w:right="261"/>
              <w:jc w:val="right"/>
              <w:rPr>
                <w:rFonts w:eastAsia="Times New Roman" w:cstheme="minorHAnsi"/>
                <w:color w:val="0000FF"/>
                <w:sz w:val="18"/>
                <w:szCs w:val="18"/>
              </w:rPr>
            </w:pPr>
          </w:p>
        </w:tc>
      </w:tr>
      <w:tr w:rsidR="007D05E9" w:rsidRPr="00ED7332" w14:paraId="5A06A9D4" w14:textId="77777777" w:rsidTr="003D1711">
        <w:tc>
          <w:tcPr>
            <w:tcW w:w="1347" w:type="pct"/>
            <w:shd w:val="clear" w:color="auto" w:fill="auto"/>
            <w:hideMark/>
          </w:tcPr>
          <w:p w14:paraId="31B7307B" w14:textId="77777777" w:rsidR="007D05E9" w:rsidRPr="00ED7332" w:rsidRDefault="007D05E9" w:rsidP="003D1711">
            <w:pPr>
              <w:spacing w:after="0" w:line="240" w:lineRule="auto"/>
              <w:rPr>
                <w:rFonts w:eastAsia="Times New Roman" w:cstheme="minorHAnsi"/>
                <w:color w:val="0000FF"/>
                <w:sz w:val="18"/>
                <w:szCs w:val="18"/>
              </w:rPr>
            </w:pPr>
            <w:r w:rsidRPr="00ED7332">
              <w:rPr>
                <w:rFonts w:eastAsia="Times New Roman" w:cstheme="minorHAnsi"/>
                <w:color w:val="0000FF"/>
                <w:sz w:val="18"/>
                <w:szCs w:val="18"/>
              </w:rPr>
              <w:t>Medicaid</w:t>
            </w:r>
          </w:p>
        </w:tc>
        <w:tc>
          <w:tcPr>
            <w:tcW w:w="1538" w:type="pct"/>
          </w:tcPr>
          <w:p w14:paraId="5BCBAE08" w14:textId="77777777" w:rsidR="007D05E9" w:rsidRPr="00ED7332" w:rsidRDefault="007D05E9" w:rsidP="00DE6072">
            <w:pPr>
              <w:spacing w:after="0" w:line="240" w:lineRule="auto"/>
              <w:ind w:right="1062"/>
              <w:jc w:val="right"/>
              <w:rPr>
                <w:rFonts w:eastAsia="Times New Roman" w:cstheme="minorHAnsi"/>
                <w:color w:val="0000FF"/>
                <w:sz w:val="18"/>
                <w:szCs w:val="18"/>
              </w:rPr>
            </w:pPr>
          </w:p>
        </w:tc>
        <w:tc>
          <w:tcPr>
            <w:tcW w:w="1498" w:type="pct"/>
          </w:tcPr>
          <w:p w14:paraId="2FE05075" w14:textId="77777777" w:rsidR="007D05E9" w:rsidRPr="00ED7332" w:rsidRDefault="007D05E9" w:rsidP="00DE6072">
            <w:pPr>
              <w:spacing w:after="0" w:line="240" w:lineRule="auto"/>
              <w:ind w:right="990"/>
              <w:jc w:val="right"/>
              <w:rPr>
                <w:rFonts w:eastAsia="Times New Roman" w:cstheme="minorHAnsi"/>
                <w:color w:val="0000FF"/>
                <w:sz w:val="18"/>
                <w:szCs w:val="18"/>
              </w:rPr>
            </w:pPr>
          </w:p>
        </w:tc>
        <w:tc>
          <w:tcPr>
            <w:tcW w:w="617" w:type="pct"/>
          </w:tcPr>
          <w:p w14:paraId="4B7B7364" w14:textId="77777777" w:rsidR="007D05E9" w:rsidRPr="00ED7332" w:rsidRDefault="007D05E9" w:rsidP="00DE6072">
            <w:pPr>
              <w:spacing w:after="0" w:line="240" w:lineRule="auto"/>
              <w:ind w:right="261"/>
              <w:jc w:val="right"/>
              <w:rPr>
                <w:rFonts w:eastAsia="Times New Roman" w:cstheme="minorHAnsi"/>
                <w:color w:val="0000FF"/>
                <w:sz w:val="18"/>
                <w:szCs w:val="18"/>
              </w:rPr>
            </w:pPr>
          </w:p>
        </w:tc>
      </w:tr>
      <w:tr w:rsidR="007D05E9" w:rsidRPr="00ED7332" w14:paraId="1AA33501" w14:textId="77777777" w:rsidTr="00E2379F">
        <w:tc>
          <w:tcPr>
            <w:tcW w:w="1347" w:type="pct"/>
            <w:shd w:val="clear" w:color="auto" w:fill="auto"/>
            <w:hideMark/>
          </w:tcPr>
          <w:p w14:paraId="4CAE1670" w14:textId="77777777" w:rsidR="007D05E9" w:rsidRPr="00ED7332" w:rsidRDefault="007D05E9" w:rsidP="003D1711">
            <w:pPr>
              <w:spacing w:after="0" w:line="240" w:lineRule="auto"/>
              <w:ind w:firstLineChars="100" w:firstLine="180"/>
              <w:rPr>
                <w:rFonts w:eastAsia="Times New Roman" w:cstheme="minorHAnsi"/>
                <w:color w:val="0000FF"/>
                <w:sz w:val="18"/>
                <w:szCs w:val="18"/>
              </w:rPr>
            </w:pPr>
            <w:r w:rsidRPr="00ED7332">
              <w:rPr>
                <w:rFonts w:eastAsia="Times New Roman" w:cstheme="minorHAnsi"/>
                <w:color w:val="0000FF"/>
                <w:sz w:val="18"/>
                <w:szCs w:val="18"/>
              </w:rPr>
              <w:t xml:space="preserve">Medicaid </w:t>
            </w:r>
          </w:p>
        </w:tc>
        <w:tc>
          <w:tcPr>
            <w:tcW w:w="1538" w:type="pct"/>
          </w:tcPr>
          <w:p w14:paraId="4D9F9A28" w14:textId="77777777" w:rsidR="007D05E9" w:rsidRPr="00ED7332" w:rsidRDefault="007D05E9" w:rsidP="00DE6072">
            <w:pPr>
              <w:spacing w:after="0" w:line="240" w:lineRule="auto"/>
              <w:ind w:right="1062"/>
              <w:jc w:val="right"/>
              <w:rPr>
                <w:rFonts w:eastAsia="Times New Roman" w:cstheme="minorHAnsi"/>
                <w:color w:val="0000FF"/>
                <w:sz w:val="18"/>
                <w:szCs w:val="18"/>
              </w:rPr>
            </w:pPr>
            <w:r w:rsidRPr="00ED7332">
              <w:rPr>
                <w:rFonts w:eastAsia="Times New Roman" w:cstheme="minorHAnsi"/>
                <w:color w:val="0000FF"/>
                <w:sz w:val="18"/>
                <w:szCs w:val="18"/>
              </w:rPr>
              <w:t>21,856</w:t>
            </w:r>
          </w:p>
        </w:tc>
        <w:tc>
          <w:tcPr>
            <w:tcW w:w="1498" w:type="pct"/>
          </w:tcPr>
          <w:p w14:paraId="7EE9D7B4" w14:textId="77777777" w:rsidR="007D05E9" w:rsidRPr="00ED7332" w:rsidRDefault="007D05E9" w:rsidP="00DE6072">
            <w:pPr>
              <w:spacing w:after="0" w:line="240" w:lineRule="auto"/>
              <w:ind w:right="990"/>
              <w:jc w:val="right"/>
              <w:rPr>
                <w:rFonts w:eastAsia="Times New Roman" w:cstheme="minorHAnsi"/>
                <w:color w:val="0000FF"/>
                <w:sz w:val="18"/>
                <w:szCs w:val="18"/>
              </w:rPr>
            </w:pPr>
            <w:r w:rsidRPr="00ED7332">
              <w:rPr>
                <w:rFonts w:eastAsia="Times New Roman" w:cstheme="minorHAnsi"/>
                <w:color w:val="0000FF"/>
                <w:sz w:val="18"/>
                <w:szCs w:val="18"/>
              </w:rPr>
              <w:t>2.46%</w:t>
            </w:r>
          </w:p>
        </w:tc>
        <w:tc>
          <w:tcPr>
            <w:tcW w:w="617" w:type="pct"/>
          </w:tcPr>
          <w:p w14:paraId="6C051929" w14:textId="77777777" w:rsidR="007D05E9" w:rsidRPr="00ED7332" w:rsidRDefault="007D05E9" w:rsidP="00DE6072">
            <w:pPr>
              <w:spacing w:after="0" w:line="240" w:lineRule="auto"/>
              <w:ind w:right="261"/>
              <w:jc w:val="right"/>
              <w:rPr>
                <w:rFonts w:eastAsia="Times New Roman" w:cstheme="minorHAnsi"/>
                <w:color w:val="0000FF"/>
                <w:sz w:val="18"/>
                <w:szCs w:val="18"/>
              </w:rPr>
            </w:pPr>
            <w:r w:rsidRPr="00ED7332">
              <w:rPr>
                <w:rFonts w:eastAsia="Times New Roman" w:cstheme="minorHAnsi"/>
                <w:color w:val="0000FF"/>
                <w:sz w:val="18"/>
                <w:szCs w:val="18"/>
              </w:rPr>
              <w:t>&lt;0.001</w:t>
            </w:r>
          </w:p>
        </w:tc>
      </w:tr>
      <w:tr w:rsidR="007D05E9" w:rsidRPr="00ED7332" w14:paraId="0A0AA441" w14:textId="77777777" w:rsidTr="00E2379F">
        <w:tc>
          <w:tcPr>
            <w:tcW w:w="1347" w:type="pct"/>
            <w:tcBorders>
              <w:bottom w:val="single" w:sz="12" w:space="0" w:color="auto"/>
            </w:tcBorders>
            <w:shd w:val="clear" w:color="auto" w:fill="auto"/>
          </w:tcPr>
          <w:p w14:paraId="02352BA1" w14:textId="77777777" w:rsidR="007D05E9" w:rsidRPr="00ED7332" w:rsidRDefault="007D05E9" w:rsidP="003D1711">
            <w:pPr>
              <w:spacing w:after="0" w:line="240" w:lineRule="auto"/>
              <w:ind w:firstLine="162"/>
              <w:rPr>
                <w:rFonts w:eastAsia="Times New Roman" w:cstheme="minorHAnsi"/>
                <w:color w:val="0000FF"/>
                <w:sz w:val="18"/>
                <w:szCs w:val="18"/>
              </w:rPr>
            </w:pPr>
            <w:r w:rsidRPr="00ED7332">
              <w:rPr>
                <w:rFonts w:eastAsia="Times New Roman" w:cstheme="minorHAnsi"/>
                <w:color w:val="0000FF"/>
                <w:sz w:val="18"/>
                <w:szCs w:val="18"/>
              </w:rPr>
              <w:t xml:space="preserve">Non-Medicaid </w:t>
            </w:r>
          </w:p>
        </w:tc>
        <w:tc>
          <w:tcPr>
            <w:tcW w:w="1538" w:type="pct"/>
            <w:tcBorders>
              <w:bottom w:val="single" w:sz="12" w:space="0" w:color="auto"/>
            </w:tcBorders>
          </w:tcPr>
          <w:p w14:paraId="4CD75ECF" w14:textId="77777777" w:rsidR="007D05E9" w:rsidRPr="00ED7332" w:rsidRDefault="007D05E9" w:rsidP="00DE6072">
            <w:pPr>
              <w:spacing w:after="0" w:line="240" w:lineRule="auto"/>
              <w:ind w:right="1062"/>
              <w:jc w:val="right"/>
              <w:rPr>
                <w:rFonts w:eastAsia="Times New Roman" w:cstheme="minorHAnsi"/>
                <w:color w:val="0000FF"/>
                <w:sz w:val="18"/>
                <w:szCs w:val="18"/>
              </w:rPr>
            </w:pPr>
            <w:r w:rsidRPr="00ED7332">
              <w:rPr>
                <w:rFonts w:eastAsia="Times New Roman" w:cstheme="minorHAnsi"/>
                <w:color w:val="0000FF"/>
                <w:sz w:val="18"/>
                <w:szCs w:val="18"/>
              </w:rPr>
              <w:t>3,922</w:t>
            </w:r>
          </w:p>
        </w:tc>
        <w:tc>
          <w:tcPr>
            <w:tcW w:w="1498" w:type="pct"/>
            <w:tcBorders>
              <w:bottom w:val="single" w:sz="12" w:space="0" w:color="auto"/>
            </w:tcBorders>
          </w:tcPr>
          <w:p w14:paraId="7D5D0231" w14:textId="77777777" w:rsidR="007D05E9" w:rsidRPr="00ED7332" w:rsidRDefault="007D05E9" w:rsidP="00DE6072">
            <w:pPr>
              <w:spacing w:after="0" w:line="240" w:lineRule="auto"/>
              <w:ind w:right="990"/>
              <w:jc w:val="right"/>
              <w:rPr>
                <w:rFonts w:eastAsia="Times New Roman" w:cstheme="minorHAnsi"/>
                <w:color w:val="0000FF"/>
                <w:sz w:val="18"/>
                <w:szCs w:val="18"/>
              </w:rPr>
            </w:pPr>
            <w:r w:rsidRPr="00ED7332">
              <w:rPr>
                <w:rFonts w:eastAsia="Times New Roman" w:cstheme="minorHAnsi"/>
                <w:color w:val="0000FF"/>
                <w:sz w:val="18"/>
                <w:szCs w:val="18"/>
              </w:rPr>
              <w:t>3.35%</w:t>
            </w:r>
          </w:p>
        </w:tc>
        <w:tc>
          <w:tcPr>
            <w:tcW w:w="617" w:type="pct"/>
            <w:tcBorders>
              <w:bottom w:val="single" w:sz="12" w:space="0" w:color="auto"/>
            </w:tcBorders>
          </w:tcPr>
          <w:p w14:paraId="7429FE38" w14:textId="77777777" w:rsidR="007D05E9" w:rsidRPr="00ED7332" w:rsidRDefault="007D05E9" w:rsidP="00DE6072">
            <w:pPr>
              <w:spacing w:after="0" w:line="240" w:lineRule="auto"/>
              <w:ind w:right="261"/>
              <w:jc w:val="right"/>
              <w:rPr>
                <w:rFonts w:eastAsia="Times New Roman" w:cstheme="minorHAnsi"/>
                <w:color w:val="0000FF"/>
                <w:sz w:val="18"/>
                <w:szCs w:val="18"/>
              </w:rPr>
            </w:pPr>
          </w:p>
        </w:tc>
      </w:tr>
    </w:tbl>
    <w:p w14:paraId="6379F1D9" w14:textId="1838D57D" w:rsidR="007D05E9" w:rsidRPr="00F92B38" w:rsidRDefault="00E2373F" w:rsidP="007D05E9">
      <w:pPr>
        <w:autoSpaceDE w:val="0"/>
        <w:autoSpaceDN w:val="0"/>
        <w:adjustRightInd w:val="0"/>
        <w:spacing w:after="0" w:line="240" w:lineRule="auto"/>
        <w:rPr>
          <w:rFonts w:eastAsia="Times New Roman" w:cs="Times New Roman"/>
          <w:color w:val="0000FF"/>
          <w:sz w:val="20"/>
          <w:szCs w:val="20"/>
        </w:rPr>
      </w:pPr>
      <w:r>
        <w:rPr>
          <w:rFonts w:eastAsia="Times New Roman" w:cs="Times New Roman"/>
          <w:color w:val="0000FF"/>
          <w:sz w:val="20"/>
          <w:szCs w:val="20"/>
        </w:rPr>
        <w:t>Source</w:t>
      </w:r>
      <w:r w:rsidR="007D05E9" w:rsidRPr="003D41FD">
        <w:rPr>
          <w:rFonts w:eastAsia="Times New Roman" w:cs="Times New Roman"/>
          <w:color w:val="0000FF"/>
          <w:sz w:val="20"/>
          <w:szCs w:val="20"/>
        </w:rPr>
        <w:t>: RTI analysis of MDS 3.0 Data, Q</w:t>
      </w:r>
      <w:r w:rsidR="007D05E9">
        <w:rPr>
          <w:rFonts w:eastAsia="Times New Roman" w:cs="Times New Roman"/>
          <w:color w:val="0000FF"/>
          <w:sz w:val="20"/>
          <w:szCs w:val="20"/>
        </w:rPr>
        <w:t>3,</w:t>
      </w:r>
      <w:r w:rsidR="007D05E9" w:rsidRPr="003D41FD">
        <w:rPr>
          <w:rFonts w:eastAsia="Times New Roman" w:cs="Times New Roman"/>
          <w:color w:val="0000FF"/>
          <w:sz w:val="20"/>
          <w:szCs w:val="20"/>
        </w:rPr>
        <w:t xml:space="preserve"> 2018 (programming reference:</w:t>
      </w:r>
      <w:r w:rsidR="007D05E9">
        <w:rPr>
          <w:rFonts w:eastAsia="Times New Roman" w:cs="Times New Roman"/>
          <w:color w:val="0000FF"/>
          <w:sz w:val="20"/>
          <w:szCs w:val="20"/>
        </w:rPr>
        <w:t>KH42/</w:t>
      </w:r>
      <w:r w:rsidR="007D05E9" w:rsidRPr="00615773">
        <w:rPr>
          <w:rFonts w:eastAsia="Times New Roman" w:cs="Times New Roman"/>
          <w:color w:val="0000FF"/>
          <w:sz w:val="20"/>
          <w:szCs w:val="20"/>
        </w:rPr>
        <w:t>hf</w:t>
      </w:r>
      <w:r w:rsidR="007D05E9">
        <w:rPr>
          <w:rFonts w:eastAsia="Times New Roman" w:cs="Times New Roman"/>
          <w:color w:val="0000FF"/>
          <w:sz w:val="20"/>
          <w:szCs w:val="20"/>
        </w:rPr>
        <w:t>11</w:t>
      </w:r>
      <w:r w:rsidR="007D05E9" w:rsidRPr="00615773" w:rsidDel="00454435">
        <w:rPr>
          <w:rFonts w:eastAsia="Times New Roman" w:cs="Times New Roman"/>
          <w:color w:val="0000FF"/>
          <w:sz w:val="20"/>
          <w:szCs w:val="20"/>
        </w:rPr>
        <w:t xml:space="preserve"> </w:t>
      </w:r>
      <w:r w:rsidR="007D05E9" w:rsidRPr="00615773">
        <w:rPr>
          <w:rFonts w:eastAsia="Times New Roman" w:cs="Times New Roman"/>
          <w:color w:val="0000FF"/>
          <w:sz w:val="20"/>
          <w:szCs w:val="20"/>
        </w:rPr>
        <w:t>_request_684</w:t>
      </w:r>
      <w:r w:rsidR="007D05E9">
        <w:rPr>
          <w:rFonts w:eastAsia="Times New Roman" w:cs="Times New Roman"/>
          <w:color w:val="0000FF"/>
          <w:sz w:val="20"/>
          <w:szCs w:val="20"/>
        </w:rPr>
        <w:t>_31_32</w:t>
      </w:r>
      <w:r w:rsidR="007D05E9" w:rsidRPr="00615773">
        <w:rPr>
          <w:rFonts w:eastAsia="Times New Roman" w:cs="Times New Roman"/>
          <w:color w:val="0000FF"/>
          <w:sz w:val="20"/>
          <w:szCs w:val="20"/>
        </w:rPr>
        <w:t>.log</w:t>
      </w:r>
      <w:r w:rsidR="007F3A78">
        <w:rPr>
          <w:rFonts w:eastAsia="Times New Roman" w:cs="Times New Roman"/>
          <w:color w:val="0000FF"/>
          <w:sz w:val="20"/>
          <w:szCs w:val="20"/>
        </w:rPr>
        <w:t xml:space="preserve">, </w:t>
      </w:r>
      <w:r w:rsidR="007F3A78" w:rsidRPr="007F3A78">
        <w:rPr>
          <w:rFonts w:eastAsia="Times New Roman" w:cs="Times New Roman"/>
          <w:color w:val="0000FF"/>
          <w:sz w:val="20"/>
          <w:szCs w:val="20"/>
        </w:rPr>
        <w:t>hf19_request_31_32.log</w:t>
      </w:r>
      <w:r w:rsidR="007D05E9" w:rsidRPr="003D41FD">
        <w:rPr>
          <w:rFonts w:eastAsia="Times New Roman" w:cs="Times New Roman"/>
          <w:color w:val="0000FF"/>
          <w:sz w:val="20"/>
          <w:szCs w:val="20"/>
        </w:rPr>
        <w:t>)</w:t>
      </w:r>
    </w:p>
    <w:p w14:paraId="2BAD8434" w14:textId="21F40F94" w:rsidR="007D05E9" w:rsidRPr="00F732BA" w:rsidRDefault="007D05E9" w:rsidP="00ED7332">
      <w:pPr>
        <w:pStyle w:val="Response"/>
        <w:spacing w:line="264" w:lineRule="auto"/>
        <w:ind w:left="360"/>
        <w:rPr>
          <w:rFonts w:ascii="Calibri" w:eastAsia="MS Mincho" w:hAnsi="Calibri" w:cs="Calibri"/>
        </w:rPr>
      </w:pPr>
      <w:r w:rsidRPr="00B861BF">
        <w:rPr>
          <w:rFonts w:ascii="Calibri" w:eastAsia="MS Mincho" w:hAnsi="Calibri" w:cs="Calibri"/>
        </w:rPr>
        <w:t>Overall, individuals who</w:t>
      </w:r>
      <w:r w:rsidR="00A56135">
        <w:rPr>
          <w:rFonts w:ascii="Calibri" w:eastAsia="MS Mincho" w:hAnsi="Calibri" w:cs="Calibri"/>
        </w:rPr>
        <w:t xml:space="preserve"> identified as non-white </w:t>
      </w:r>
      <w:r w:rsidR="005104AC">
        <w:rPr>
          <w:rFonts w:ascii="Calibri" w:eastAsia="MS Mincho" w:hAnsi="Calibri" w:cs="Calibri"/>
        </w:rPr>
        <w:t>r</w:t>
      </w:r>
      <w:r w:rsidR="00A56135">
        <w:rPr>
          <w:rFonts w:ascii="Calibri" w:eastAsia="MS Mincho" w:hAnsi="Calibri" w:cs="Calibri"/>
        </w:rPr>
        <w:t>ace/ethnicity,</w:t>
      </w:r>
      <w:r w:rsidRPr="00B861BF">
        <w:rPr>
          <w:rFonts w:ascii="Calibri" w:eastAsia="MS Mincho" w:hAnsi="Calibri" w:cs="Calibri"/>
        </w:rPr>
        <w:t xml:space="preserve"> were older, female,</w:t>
      </w:r>
      <w:r w:rsidR="00A56135">
        <w:rPr>
          <w:rFonts w:ascii="Calibri" w:eastAsia="MS Mincho" w:hAnsi="Calibri" w:cs="Calibri"/>
        </w:rPr>
        <w:t xml:space="preserve"> and</w:t>
      </w:r>
      <w:r w:rsidRPr="00B861BF">
        <w:rPr>
          <w:rFonts w:ascii="Calibri" w:eastAsia="MS Mincho" w:hAnsi="Calibri" w:cs="Calibri"/>
        </w:rPr>
        <w:t xml:space="preserve"> non-Medicaid eligible</w:t>
      </w:r>
      <w:r w:rsidR="00281AA8" w:rsidRPr="00517C1E">
        <w:rPr>
          <w:rFonts w:ascii="Calibri" w:eastAsia="MS Mincho" w:hAnsi="Calibri" w:cs="Calibri"/>
        </w:rPr>
        <w:t xml:space="preserve">, </w:t>
      </w:r>
      <w:r w:rsidRPr="00B861BF">
        <w:rPr>
          <w:rFonts w:ascii="Calibri" w:eastAsia="MS Mincho" w:hAnsi="Calibri" w:cs="Calibri"/>
        </w:rPr>
        <w:t>were slightly more likely than their counterparts to have a urinary tract infection. For females, this result was expected</w:t>
      </w:r>
      <w:r>
        <w:rPr>
          <w:rFonts w:ascii="Calibri" w:eastAsia="MS Mincho" w:hAnsi="Calibri" w:cs="Calibri"/>
        </w:rPr>
        <w:t>, and the other results were also supported by the literature</w:t>
      </w:r>
      <w:r w:rsidRPr="00B861BF">
        <w:rPr>
          <w:rFonts w:ascii="Calibri" w:eastAsia="MS Mincho" w:hAnsi="Calibri" w:cs="Calibri"/>
        </w:rPr>
        <w:t xml:space="preserve">. </w:t>
      </w:r>
    </w:p>
    <w:p w14:paraId="0746FF23" w14:textId="4367313D" w:rsidR="00BD061B" w:rsidRPr="009162EA" w:rsidRDefault="007D05E9" w:rsidP="00ED7332">
      <w:pPr>
        <w:pStyle w:val="Response"/>
        <w:spacing w:line="264" w:lineRule="auto"/>
        <w:ind w:left="360"/>
        <w:rPr>
          <w:rFonts w:ascii="Calibri" w:eastAsia="MS Mincho" w:hAnsi="Calibri" w:cs="Calibri"/>
          <w:b/>
          <w:bCs w:val="0"/>
          <w:i/>
        </w:rPr>
      </w:pPr>
      <w:r w:rsidRPr="00EB6671">
        <w:rPr>
          <w:rFonts w:ascii="Calibri" w:eastAsia="MS Mincho" w:hAnsi="Calibri" w:cs="Calibri"/>
          <w:bCs w:val="0"/>
        </w:rPr>
        <w:t>Given CMS’</w:t>
      </w:r>
      <w:r w:rsidR="00E857FF">
        <w:rPr>
          <w:rFonts w:ascii="Calibri" w:eastAsia="MS Mincho" w:hAnsi="Calibri" w:cs="Calibri"/>
          <w:bCs w:val="0"/>
        </w:rPr>
        <w:t>s</w:t>
      </w:r>
      <w:r w:rsidRPr="00EB6671">
        <w:rPr>
          <w:rFonts w:ascii="Calibri" w:eastAsia="MS Mincho" w:hAnsi="Calibri" w:cs="Calibri"/>
          <w:bCs w:val="0"/>
        </w:rPr>
        <w:t xml:space="preserve"> guidance to avoid having risk adjusters mask disparities in care associated with these factors, and instead </w:t>
      </w:r>
      <w:r w:rsidR="005023CF">
        <w:rPr>
          <w:rFonts w:ascii="Calibri" w:eastAsia="MS Mincho" w:hAnsi="Calibri" w:cs="Calibri"/>
          <w:bCs w:val="0"/>
        </w:rPr>
        <w:t>consider using</w:t>
      </w:r>
      <w:r w:rsidRPr="00EB6671">
        <w:rPr>
          <w:rFonts w:ascii="Calibri" w:eastAsia="MS Mincho" w:hAnsi="Calibri" w:cs="Calibri"/>
          <w:bCs w:val="0"/>
        </w:rPr>
        <w:t xml:space="preserve"> measure stratification by these categories if there is a </w:t>
      </w:r>
      <w:r w:rsidRPr="00EB6671">
        <w:rPr>
          <w:rFonts w:ascii="Calibri" w:eastAsia="MS Mincho" w:hAnsi="Calibri" w:cs="Calibri"/>
          <w:bCs w:val="0"/>
          <w:i/>
        </w:rPr>
        <w:t xml:space="preserve">conceptual </w:t>
      </w:r>
      <w:r w:rsidRPr="00EB6671">
        <w:rPr>
          <w:rFonts w:ascii="Calibri" w:eastAsia="MS Mincho" w:hAnsi="Calibri" w:cs="Calibri"/>
          <w:bCs w:val="0"/>
        </w:rPr>
        <w:t>reason to do so (CMS, 2018), RTI has further examined the implications of stratify</w:t>
      </w:r>
      <w:r>
        <w:rPr>
          <w:rFonts w:ascii="Calibri" w:eastAsia="MS Mincho" w:hAnsi="Calibri" w:cs="Calibri"/>
          <w:bCs w:val="0"/>
        </w:rPr>
        <w:t>i</w:t>
      </w:r>
      <w:r w:rsidRPr="00EB6671">
        <w:rPr>
          <w:rFonts w:ascii="Calibri" w:eastAsia="MS Mincho" w:hAnsi="Calibri" w:cs="Calibri"/>
          <w:bCs w:val="0"/>
        </w:rPr>
        <w:t>ng by social risk factors, includin</w:t>
      </w:r>
      <w:r>
        <w:rPr>
          <w:rFonts w:ascii="Calibri" w:eastAsia="MS Mincho" w:hAnsi="Calibri" w:cs="Calibri"/>
          <w:bCs w:val="0"/>
        </w:rPr>
        <w:t>g</w:t>
      </w:r>
      <w:r w:rsidRPr="00EB6671">
        <w:rPr>
          <w:rFonts w:ascii="Calibri" w:eastAsia="MS Mincho" w:hAnsi="Calibri" w:cs="Calibri"/>
          <w:bCs w:val="0"/>
        </w:rPr>
        <w:t xml:space="preserve"> race/ethnicity,</w:t>
      </w:r>
      <w:r w:rsidR="005104AC">
        <w:rPr>
          <w:rFonts w:ascii="Calibri" w:eastAsia="MS Mincho" w:hAnsi="Calibri" w:cs="Calibri"/>
          <w:bCs w:val="0"/>
        </w:rPr>
        <w:t xml:space="preserve"> gender, and</w:t>
      </w:r>
      <w:r w:rsidRPr="00EB6671">
        <w:rPr>
          <w:rFonts w:ascii="Calibri" w:eastAsia="MS Mincho" w:hAnsi="Calibri" w:cs="Calibri"/>
          <w:bCs w:val="0"/>
        </w:rPr>
        <w:t xml:space="preserve"> Medicaid status</w:t>
      </w:r>
      <w:r>
        <w:rPr>
          <w:rFonts w:ascii="Calibri" w:eastAsia="MS Mincho" w:hAnsi="Calibri" w:cs="Calibri"/>
          <w:bCs w:val="0"/>
        </w:rPr>
        <w:t xml:space="preserve">. </w:t>
      </w:r>
      <w:r w:rsidR="00207500">
        <w:rPr>
          <w:rFonts w:ascii="Calibri" w:eastAsia="MS Mincho" w:hAnsi="Calibri" w:cs="Calibri"/>
          <w:bCs w:val="0"/>
        </w:rPr>
        <w:t>Results are show</w:t>
      </w:r>
      <w:r w:rsidR="00E82024">
        <w:rPr>
          <w:rFonts w:ascii="Calibri" w:eastAsia="MS Mincho" w:hAnsi="Calibri" w:cs="Calibri"/>
          <w:bCs w:val="0"/>
        </w:rPr>
        <w:t>n</w:t>
      </w:r>
      <w:r w:rsidR="00207500">
        <w:rPr>
          <w:rFonts w:ascii="Calibri" w:eastAsia="MS Mincho" w:hAnsi="Calibri" w:cs="Calibri"/>
          <w:bCs w:val="0"/>
        </w:rPr>
        <w:t xml:space="preserve"> in </w:t>
      </w:r>
      <w:r w:rsidR="00207500">
        <w:rPr>
          <w:rFonts w:ascii="Calibri" w:eastAsia="MS Mincho" w:hAnsi="Calibri" w:cs="Calibri"/>
          <w:b/>
          <w:bCs w:val="0"/>
          <w:i/>
        </w:rPr>
        <w:t xml:space="preserve">Table </w:t>
      </w:r>
      <w:r w:rsidR="00D12B62">
        <w:rPr>
          <w:rFonts w:ascii="Calibri" w:eastAsia="MS Mincho" w:hAnsi="Calibri" w:cs="Calibri"/>
          <w:b/>
          <w:bCs w:val="0"/>
          <w:i/>
        </w:rPr>
        <w:t>5</w:t>
      </w:r>
      <w:r w:rsidR="00215452">
        <w:rPr>
          <w:rFonts w:ascii="Calibri" w:eastAsia="MS Mincho" w:hAnsi="Calibri" w:cs="Calibri"/>
          <w:b/>
          <w:bCs w:val="0"/>
          <w:i/>
        </w:rPr>
        <w:t>.</w:t>
      </w:r>
    </w:p>
    <w:p w14:paraId="61C2A5D9" w14:textId="41324DBB" w:rsidR="007D05E9" w:rsidRPr="00EB6671" w:rsidRDefault="007D05E9" w:rsidP="00ED7332">
      <w:pPr>
        <w:pStyle w:val="Response"/>
        <w:spacing w:line="264" w:lineRule="auto"/>
        <w:ind w:left="360"/>
        <w:rPr>
          <w:rFonts w:ascii="Calibri" w:eastAsia="MS Mincho" w:hAnsi="Calibri" w:cs="Calibri"/>
          <w:bCs w:val="0"/>
        </w:rPr>
      </w:pPr>
      <w:r w:rsidRPr="00EB6671">
        <w:rPr>
          <w:rFonts w:ascii="Calibri" w:eastAsia="MS Mincho" w:hAnsi="Calibri" w:cs="Calibri"/>
          <w:bCs w:val="0"/>
        </w:rPr>
        <w:t>When RTI examined</w:t>
      </w:r>
      <w:r>
        <w:rPr>
          <w:rFonts w:ascii="Calibri" w:eastAsia="MS Mincho" w:hAnsi="Calibri" w:cs="Calibri"/>
          <w:bCs w:val="0"/>
        </w:rPr>
        <w:t xml:space="preserve">, race/ethnicity, </w:t>
      </w:r>
      <w:r w:rsidRPr="00EB6671">
        <w:rPr>
          <w:rFonts w:ascii="Calibri" w:eastAsia="MS Mincho" w:hAnsi="Calibri" w:cs="Calibri"/>
          <w:bCs w:val="0"/>
        </w:rPr>
        <w:t>gender</w:t>
      </w:r>
      <w:r w:rsidR="005104AC">
        <w:rPr>
          <w:rFonts w:ascii="Calibri" w:eastAsia="MS Mincho" w:hAnsi="Calibri" w:cs="Calibri"/>
          <w:bCs w:val="0"/>
        </w:rPr>
        <w:t xml:space="preserve"> and</w:t>
      </w:r>
      <w:r w:rsidR="005104AC" w:rsidRPr="005104AC">
        <w:rPr>
          <w:rFonts w:ascii="Calibri" w:eastAsia="MS Mincho" w:hAnsi="Calibri" w:cs="Calibri"/>
          <w:bCs w:val="0"/>
        </w:rPr>
        <w:t xml:space="preserve"> </w:t>
      </w:r>
      <w:r w:rsidR="005104AC">
        <w:rPr>
          <w:rFonts w:ascii="Calibri" w:eastAsia="MS Mincho" w:hAnsi="Calibri" w:cs="Calibri"/>
          <w:bCs w:val="0"/>
        </w:rPr>
        <w:t xml:space="preserve">Medicaid </w:t>
      </w:r>
      <w:r w:rsidR="00E857FF">
        <w:rPr>
          <w:rFonts w:ascii="Calibri" w:eastAsia="MS Mincho" w:hAnsi="Calibri" w:cs="Calibri"/>
          <w:bCs w:val="0"/>
        </w:rPr>
        <w:t>eligibility</w:t>
      </w:r>
      <w:r w:rsidRPr="00EB6671">
        <w:rPr>
          <w:rFonts w:ascii="Calibri" w:eastAsia="MS Mincho" w:hAnsi="Calibri" w:cs="Calibri"/>
          <w:bCs w:val="0"/>
        </w:rPr>
        <w:t xml:space="preserve"> as potential stratifying variable</w:t>
      </w:r>
      <w:r>
        <w:rPr>
          <w:rFonts w:ascii="Calibri" w:eastAsia="MS Mincho" w:hAnsi="Calibri" w:cs="Calibri"/>
          <w:bCs w:val="0"/>
        </w:rPr>
        <w:t>s</w:t>
      </w:r>
      <w:r w:rsidRPr="00EB6671">
        <w:rPr>
          <w:rFonts w:ascii="Calibri" w:eastAsia="MS Mincho" w:hAnsi="Calibri" w:cs="Calibri"/>
          <w:bCs w:val="0"/>
        </w:rPr>
        <w:t xml:space="preserve"> for the UTI measure, results indicated that, of the facilities with publicly reportable scores (≥20 residents in the denominator) for the current specification, approximately </w:t>
      </w:r>
      <w:r w:rsidR="005E068F" w:rsidRPr="00517C1E">
        <w:rPr>
          <w:rFonts w:ascii="Calibri" w:eastAsia="MS Mincho" w:hAnsi="Calibri" w:cs="Calibri"/>
          <w:bCs w:val="0"/>
        </w:rPr>
        <w:t xml:space="preserve">75.1%, </w:t>
      </w:r>
      <w:r w:rsidR="00491512" w:rsidRPr="00517C1E">
        <w:rPr>
          <w:rFonts w:ascii="Calibri" w:eastAsia="MS Mincho" w:hAnsi="Calibri" w:cs="Calibri"/>
          <w:bCs w:val="0"/>
        </w:rPr>
        <w:t>49.3</w:t>
      </w:r>
      <w:r w:rsidR="0087546B" w:rsidRPr="00517C1E">
        <w:rPr>
          <w:rFonts w:ascii="Calibri" w:eastAsia="MS Mincho" w:hAnsi="Calibri" w:cs="Calibri"/>
          <w:bCs w:val="0"/>
        </w:rPr>
        <w:t xml:space="preserve">%, and </w:t>
      </w:r>
      <w:r w:rsidR="00491512" w:rsidRPr="00517C1E">
        <w:rPr>
          <w:rFonts w:ascii="Calibri" w:eastAsia="MS Mincho" w:hAnsi="Calibri" w:cs="Calibri"/>
          <w:bCs w:val="0"/>
        </w:rPr>
        <w:t>92.8</w:t>
      </w:r>
      <w:r w:rsidR="0087546B" w:rsidRPr="00517C1E">
        <w:rPr>
          <w:rFonts w:ascii="Calibri" w:eastAsia="MS Mincho" w:hAnsi="Calibri" w:cs="Calibri"/>
          <w:bCs w:val="0"/>
        </w:rPr>
        <w:t>%</w:t>
      </w:r>
      <w:r w:rsidR="00E87D6C">
        <w:rPr>
          <w:rFonts w:ascii="Calibri" w:eastAsia="MS Mincho" w:hAnsi="Calibri" w:cs="Calibri"/>
          <w:bCs w:val="0"/>
        </w:rPr>
        <w:t xml:space="preserve"> </w:t>
      </w:r>
      <w:r w:rsidRPr="00EB6671">
        <w:rPr>
          <w:rFonts w:ascii="Calibri" w:eastAsia="MS Mincho" w:hAnsi="Calibri" w:cs="Calibri"/>
          <w:bCs w:val="0"/>
        </w:rPr>
        <w:t>of facilities would be excluded if the measure were stratified by</w:t>
      </w:r>
      <w:r w:rsidR="005E068F">
        <w:rPr>
          <w:rFonts w:ascii="Calibri" w:eastAsia="MS Mincho" w:hAnsi="Calibri" w:cs="Calibri"/>
          <w:bCs w:val="0"/>
        </w:rPr>
        <w:t xml:space="preserve"> </w:t>
      </w:r>
      <w:r w:rsidR="005E068F" w:rsidRPr="00EB6671">
        <w:rPr>
          <w:rFonts w:ascii="Calibri" w:eastAsia="MS Mincho" w:hAnsi="Calibri" w:cs="Calibri"/>
          <w:bCs w:val="0"/>
        </w:rPr>
        <w:t>race</w:t>
      </w:r>
      <w:r w:rsidR="005E068F">
        <w:rPr>
          <w:rFonts w:ascii="Calibri" w:eastAsia="MS Mincho" w:hAnsi="Calibri" w:cs="Calibri"/>
          <w:bCs w:val="0"/>
        </w:rPr>
        <w:t>/ethnicity,</w:t>
      </w:r>
      <w:r w:rsidRPr="00EB6671">
        <w:rPr>
          <w:rFonts w:ascii="Calibri" w:eastAsia="MS Mincho" w:hAnsi="Calibri" w:cs="Calibri"/>
          <w:bCs w:val="0"/>
        </w:rPr>
        <w:t xml:space="preserve"> gender</w:t>
      </w:r>
      <w:r w:rsidR="0087546B">
        <w:rPr>
          <w:rFonts w:ascii="Calibri" w:eastAsia="MS Mincho" w:hAnsi="Calibri" w:cs="Calibri"/>
          <w:bCs w:val="0"/>
        </w:rPr>
        <w:t>,</w:t>
      </w:r>
      <w:r w:rsidRPr="00EB6671">
        <w:rPr>
          <w:rFonts w:ascii="Calibri" w:eastAsia="MS Mincho" w:hAnsi="Calibri" w:cs="Calibri"/>
          <w:bCs w:val="0"/>
        </w:rPr>
        <w:t xml:space="preserve"> and Medicaid </w:t>
      </w:r>
      <w:r w:rsidR="00E857FF">
        <w:rPr>
          <w:rFonts w:ascii="Calibri" w:eastAsia="MS Mincho" w:hAnsi="Calibri" w:cs="Calibri"/>
          <w:bCs w:val="0"/>
        </w:rPr>
        <w:t>eligibility</w:t>
      </w:r>
      <w:r w:rsidR="0087546B">
        <w:rPr>
          <w:rFonts w:ascii="Calibri" w:eastAsia="MS Mincho" w:hAnsi="Calibri" w:cs="Calibri"/>
          <w:bCs w:val="0"/>
        </w:rPr>
        <w:t>, respectively.</w:t>
      </w:r>
      <w:r w:rsidRPr="00EB6671">
        <w:rPr>
          <w:rFonts w:ascii="Calibri" w:eastAsia="MS Mincho" w:hAnsi="Calibri" w:cs="Calibri"/>
          <w:bCs w:val="0"/>
        </w:rPr>
        <w:t xml:space="preserve"> The loss of ability to report the UTI QM would have an effect on its importance and usability in helping consumers (including residents and their caregivers and family) make informed decisions about their nursing home care and in encouraging nursing homes to </w:t>
      </w:r>
      <w:r w:rsidRPr="00EB6671">
        <w:rPr>
          <w:rFonts w:ascii="Calibri" w:eastAsia="MS Mincho" w:hAnsi="Calibri" w:cs="Calibri"/>
          <w:bCs w:val="0"/>
        </w:rPr>
        <w:lastRenderedPageBreak/>
        <w:t>improve quality in this domain</w:t>
      </w:r>
      <w:r>
        <w:rPr>
          <w:rFonts w:ascii="Calibri" w:eastAsia="MS Mincho" w:hAnsi="Calibri" w:cs="Calibri"/>
          <w:bCs w:val="0"/>
        </w:rPr>
        <w:t>, and thus risk adjustment by stratification is not feasible for this measure</w:t>
      </w:r>
      <w:r w:rsidRPr="00EB6671">
        <w:rPr>
          <w:rFonts w:ascii="Calibri" w:eastAsia="MS Mincho" w:hAnsi="Calibri" w:cs="Calibri"/>
          <w:bCs w:val="0"/>
        </w:rPr>
        <w:t>.</w:t>
      </w:r>
    </w:p>
    <w:p w14:paraId="42C6E10A" w14:textId="2F47EF19" w:rsidR="00207500" w:rsidRPr="00F962D9" w:rsidRDefault="00207500" w:rsidP="00FD6DCE">
      <w:pPr>
        <w:pStyle w:val="FigureTitle"/>
      </w:pPr>
      <w:r w:rsidRPr="00F962D9">
        <w:t xml:space="preserve">Table </w:t>
      </w:r>
      <w:r w:rsidR="00D12B62">
        <w:t>5</w:t>
      </w:r>
      <w:r w:rsidR="00215452">
        <w:t>.</w:t>
      </w:r>
      <w:r w:rsidRPr="00F962D9">
        <w:t xml:space="preserve"> </w:t>
      </w:r>
      <w:r>
        <w:t xml:space="preserve">Frequency and </w:t>
      </w:r>
      <w:r w:rsidR="00281068">
        <w:t>P</w:t>
      </w:r>
      <w:r>
        <w:t xml:space="preserve">ercentage of </w:t>
      </w:r>
      <w:r w:rsidR="00281068">
        <w:t>F</w:t>
      </w:r>
      <w:r>
        <w:t xml:space="preserve">acilities that </w:t>
      </w:r>
      <w:r w:rsidR="00281068">
        <w:t>C</w:t>
      </w:r>
      <w:r>
        <w:t xml:space="preserve">an </w:t>
      </w:r>
      <w:r w:rsidR="00281068">
        <w:t>R</w:t>
      </w:r>
      <w:r>
        <w:t xml:space="preserve">eport a </w:t>
      </w:r>
      <w:r w:rsidR="00281068">
        <w:t>S</w:t>
      </w:r>
      <w:r>
        <w:t xml:space="preserve">tratified </w:t>
      </w:r>
      <w:r w:rsidR="00281068">
        <w:t>M</w:t>
      </w:r>
      <w:r>
        <w:t xml:space="preserve">easure for </w:t>
      </w:r>
      <w:r w:rsidR="00215452" w:rsidRPr="00B57C79">
        <w:t>NQF #068</w:t>
      </w:r>
      <w:r w:rsidR="00215452">
        <w:t>4</w:t>
      </w:r>
      <w:r w:rsidR="00215452" w:rsidRPr="00B57C79">
        <w:t xml:space="preserve"> Percent of Residents </w:t>
      </w:r>
      <w:r w:rsidR="00215452">
        <w:t>with a Urinary Tract Infection</w:t>
      </w:r>
      <w:r w:rsidR="00215452" w:rsidRPr="00B57C79">
        <w:t xml:space="preserve"> (Long Stay)</w:t>
      </w:r>
      <w:r w:rsidR="0067560F">
        <w:t xml:space="preserve"> (</w:t>
      </w:r>
      <w:r w:rsidR="00281068">
        <w:t>Quarter 3, 2018</w:t>
      </w:r>
      <w:r w:rsidR="0067560F">
        <w:t>)</w:t>
      </w:r>
    </w:p>
    <w:tbl>
      <w:tblPr>
        <w:tblW w:w="5000" w:type="pct"/>
        <w:tblLook w:val="04A0" w:firstRow="1" w:lastRow="0" w:firstColumn="1" w:lastColumn="0" w:noHBand="0" w:noVBand="1"/>
      </w:tblPr>
      <w:tblGrid>
        <w:gridCol w:w="2271"/>
        <w:gridCol w:w="3579"/>
        <w:gridCol w:w="3510"/>
      </w:tblGrid>
      <w:tr w:rsidR="00207500" w:rsidRPr="006B0AAA" w14:paraId="0D6422EA" w14:textId="77777777" w:rsidTr="00517C1E">
        <w:trPr>
          <w:tblHeader/>
        </w:trPr>
        <w:tc>
          <w:tcPr>
            <w:tcW w:w="1213" w:type="pct"/>
            <w:tcBorders>
              <w:top w:val="single" w:sz="12" w:space="0" w:color="auto"/>
              <w:bottom w:val="single" w:sz="4" w:space="0" w:color="auto"/>
            </w:tcBorders>
            <w:shd w:val="clear" w:color="auto" w:fill="auto"/>
            <w:vAlign w:val="center"/>
            <w:hideMark/>
          </w:tcPr>
          <w:p w14:paraId="62B40A42" w14:textId="77777777" w:rsidR="00207500" w:rsidRPr="00D42272" w:rsidRDefault="00207500" w:rsidP="009162EA">
            <w:pPr>
              <w:spacing w:after="0" w:line="240" w:lineRule="auto"/>
              <w:contextualSpacing/>
              <w:rPr>
                <w:rFonts w:eastAsia="Times New Roman" w:cs="Times New Roman"/>
                <w:color w:val="0000FF"/>
                <w:sz w:val="18"/>
                <w:szCs w:val="18"/>
              </w:rPr>
            </w:pPr>
            <w:r>
              <w:rPr>
                <w:rFonts w:eastAsia="Times New Roman" w:cs="Times New Roman"/>
                <w:color w:val="0000FF"/>
                <w:sz w:val="18"/>
                <w:szCs w:val="18"/>
              </w:rPr>
              <w:t>Social Risk Factor</w:t>
            </w:r>
          </w:p>
        </w:tc>
        <w:tc>
          <w:tcPr>
            <w:tcW w:w="1912" w:type="pct"/>
            <w:tcBorders>
              <w:top w:val="single" w:sz="12" w:space="0" w:color="auto"/>
              <w:bottom w:val="single" w:sz="4" w:space="0" w:color="auto"/>
            </w:tcBorders>
            <w:vAlign w:val="center"/>
          </w:tcPr>
          <w:p w14:paraId="2FFA66B6" w14:textId="77777777" w:rsidR="00207500" w:rsidRPr="006B0AAA" w:rsidRDefault="00207500" w:rsidP="009162EA">
            <w:pPr>
              <w:spacing w:after="0" w:line="240" w:lineRule="auto"/>
              <w:contextualSpacing/>
              <w:jc w:val="center"/>
              <w:rPr>
                <w:rFonts w:eastAsia="Times New Roman" w:cs="Times New Roman"/>
                <w:color w:val="0000FF"/>
                <w:sz w:val="18"/>
                <w:szCs w:val="18"/>
              </w:rPr>
            </w:pPr>
            <w:r>
              <w:rPr>
                <w:rFonts w:eastAsia="Times New Roman" w:cs="Times New Roman"/>
                <w:color w:val="0000FF"/>
                <w:sz w:val="18"/>
                <w:szCs w:val="18"/>
              </w:rPr>
              <w:t>Number</w:t>
            </w:r>
            <w:r w:rsidRPr="006B0AAA">
              <w:rPr>
                <w:rFonts w:eastAsia="Times New Roman" w:cs="Times New Roman"/>
                <w:color w:val="0000FF"/>
                <w:sz w:val="18"/>
                <w:szCs w:val="18"/>
              </w:rPr>
              <w:t xml:space="preserve"> </w:t>
            </w:r>
            <w:r>
              <w:rPr>
                <w:rFonts w:eastAsia="Times New Roman" w:cs="Times New Roman"/>
                <w:color w:val="0000FF"/>
                <w:sz w:val="18"/>
                <w:szCs w:val="18"/>
              </w:rPr>
              <w:t>of facilities who can report both levels of the stratified QM</w:t>
            </w:r>
          </w:p>
        </w:tc>
        <w:tc>
          <w:tcPr>
            <w:tcW w:w="1875" w:type="pct"/>
            <w:tcBorders>
              <w:top w:val="single" w:sz="12" w:space="0" w:color="auto"/>
              <w:bottom w:val="single" w:sz="4" w:space="0" w:color="auto"/>
            </w:tcBorders>
            <w:vAlign w:val="center"/>
          </w:tcPr>
          <w:p w14:paraId="34431AB3" w14:textId="77777777" w:rsidR="00207500" w:rsidRPr="006B0AAA" w:rsidRDefault="00207500" w:rsidP="009162EA">
            <w:pPr>
              <w:spacing w:after="0" w:line="240" w:lineRule="auto"/>
              <w:contextualSpacing/>
              <w:jc w:val="center"/>
              <w:rPr>
                <w:rFonts w:eastAsia="Times New Roman" w:cs="Times New Roman"/>
                <w:color w:val="0000FF"/>
                <w:sz w:val="18"/>
                <w:szCs w:val="18"/>
              </w:rPr>
            </w:pPr>
            <w:r w:rsidRPr="006B0AAA">
              <w:rPr>
                <w:rFonts w:eastAsia="Times New Roman" w:cs="Times New Roman"/>
                <w:color w:val="0000FF"/>
                <w:sz w:val="18"/>
                <w:szCs w:val="18"/>
              </w:rPr>
              <w:t>Percentage</w:t>
            </w:r>
            <w:r>
              <w:rPr>
                <w:rFonts w:eastAsia="Times New Roman" w:cs="Times New Roman"/>
                <w:color w:val="0000FF"/>
                <w:sz w:val="18"/>
                <w:szCs w:val="18"/>
              </w:rPr>
              <w:t xml:space="preserve"> of facilities who can report both levels of the stratified QM</w:t>
            </w:r>
          </w:p>
        </w:tc>
      </w:tr>
      <w:tr w:rsidR="00207500" w:rsidRPr="006B0AAA" w14:paraId="582A41DD" w14:textId="77777777" w:rsidTr="00ED7332">
        <w:tc>
          <w:tcPr>
            <w:tcW w:w="1213" w:type="pct"/>
            <w:shd w:val="clear" w:color="auto" w:fill="auto"/>
            <w:hideMark/>
          </w:tcPr>
          <w:p w14:paraId="559C3556" w14:textId="24AECFFC" w:rsidR="00207500" w:rsidRPr="006B0AAA" w:rsidRDefault="007145EF" w:rsidP="009162EA">
            <w:pPr>
              <w:spacing w:after="0" w:line="240" w:lineRule="auto"/>
              <w:rPr>
                <w:rFonts w:eastAsia="Times New Roman" w:cs="Times New Roman"/>
                <w:color w:val="0000FF"/>
                <w:sz w:val="18"/>
                <w:szCs w:val="18"/>
              </w:rPr>
            </w:pPr>
            <w:r>
              <w:rPr>
                <w:rFonts w:eastAsia="Times New Roman" w:cs="Times New Roman"/>
                <w:color w:val="0000FF"/>
                <w:sz w:val="18"/>
                <w:szCs w:val="18"/>
              </w:rPr>
              <w:t>Race/ethnicity</w:t>
            </w:r>
          </w:p>
        </w:tc>
        <w:tc>
          <w:tcPr>
            <w:tcW w:w="1912" w:type="pct"/>
          </w:tcPr>
          <w:p w14:paraId="64B70546" w14:textId="13919C7E" w:rsidR="00207500" w:rsidRPr="006B0AAA" w:rsidRDefault="00A02F39" w:rsidP="00ED7332">
            <w:pPr>
              <w:spacing w:after="0" w:line="240" w:lineRule="auto"/>
              <w:ind w:right="327"/>
              <w:jc w:val="center"/>
              <w:rPr>
                <w:rFonts w:eastAsia="Times New Roman" w:cs="Times New Roman"/>
                <w:color w:val="0000FF"/>
                <w:sz w:val="18"/>
                <w:szCs w:val="18"/>
              </w:rPr>
            </w:pPr>
            <w:r>
              <w:rPr>
                <w:rFonts w:eastAsia="Times New Roman" w:cs="Times New Roman"/>
                <w:color w:val="0000FF"/>
                <w:sz w:val="18"/>
                <w:szCs w:val="18"/>
              </w:rPr>
              <w:t>3,803</w:t>
            </w:r>
          </w:p>
        </w:tc>
        <w:tc>
          <w:tcPr>
            <w:tcW w:w="1875" w:type="pct"/>
          </w:tcPr>
          <w:p w14:paraId="5C5230E2" w14:textId="60D4E581" w:rsidR="00207500" w:rsidRPr="006B0AAA" w:rsidRDefault="00F6203A" w:rsidP="00ED7332">
            <w:pPr>
              <w:spacing w:after="0" w:line="240" w:lineRule="auto"/>
              <w:ind w:right="327"/>
              <w:jc w:val="center"/>
              <w:rPr>
                <w:rFonts w:eastAsia="Times New Roman" w:cs="Times New Roman"/>
                <w:color w:val="0000FF"/>
                <w:sz w:val="18"/>
                <w:szCs w:val="18"/>
              </w:rPr>
            </w:pPr>
            <w:r>
              <w:rPr>
                <w:rFonts w:eastAsia="Times New Roman" w:cs="Times New Roman"/>
                <w:color w:val="0000FF"/>
                <w:sz w:val="18"/>
                <w:szCs w:val="18"/>
              </w:rPr>
              <w:t>24.9</w:t>
            </w:r>
            <w:r w:rsidR="05621DC5">
              <w:rPr>
                <w:rFonts w:eastAsia="Times New Roman" w:cs="Times New Roman"/>
                <w:color w:val="0000FF"/>
                <w:sz w:val="18"/>
                <w:szCs w:val="18"/>
              </w:rPr>
              <w:t>%</w:t>
            </w:r>
          </w:p>
        </w:tc>
      </w:tr>
      <w:tr w:rsidR="00207500" w:rsidRPr="006B0AAA" w14:paraId="14D3F721" w14:textId="77777777" w:rsidTr="00E2379F">
        <w:tc>
          <w:tcPr>
            <w:tcW w:w="1213" w:type="pct"/>
            <w:shd w:val="clear" w:color="auto" w:fill="auto"/>
            <w:hideMark/>
          </w:tcPr>
          <w:p w14:paraId="682DAD79" w14:textId="179B798B" w:rsidR="00207500" w:rsidRPr="006B0AAA" w:rsidRDefault="00105E22" w:rsidP="009162EA">
            <w:pPr>
              <w:spacing w:after="0" w:line="240" w:lineRule="auto"/>
              <w:rPr>
                <w:rFonts w:eastAsia="Times New Roman" w:cs="Times New Roman"/>
                <w:color w:val="0000FF"/>
                <w:sz w:val="18"/>
                <w:szCs w:val="18"/>
              </w:rPr>
            </w:pPr>
            <w:r>
              <w:rPr>
                <w:rFonts w:eastAsia="Times New Roman" w:cs="Times New Roman"/>
                <w:color w:val="0000FF"/>
                <w:sz w:val="18"/>
                <w:szCs w:val="18"/>
              </w:rPr>
              <w:t>Gender</w:t>
            </w:r>
          </w:p>
        </w:tc>
        <w:tc>
          <w:tcPr>
            <w:tcW w:w="1912" w:type="pct"/>
          </w:tcPr>
          <w:p w14:paraId="3B64F444" w14:textId="2ACBA383" w:rsidR="00207500" w:rsidRPr="006B0AAA" w:rsidRDefault="00A02F39" w:rsidP="00ED7332">
            <w:pPr>
              <w:spacing w:after="0" w:line="240" w:lineRule="auto"/>
              <w:ind w:right="327"/>
              <w:jc w:val="center"/>
              <w:rPr>
                <w:rFonts w:eastAsia="Times New Roman" w:cs="Times New Roman"/>
                <w:color w:val="0000FF"/>
                <w:sz w:val="18"/>
                <w:szCs w:val="18"/>
              </w:rPr>
            </w:pPr>
            <w:r>
              <w:rPr>
                <w:rFonts w:eastAsia="Times New Roman" w:cs="Times New Roman"/>
                <w:color w:val="0000FF"/>
                <w:sz w:val="18"/>
                <w:szCs w:val="18"/>
              </w:rPr>
              <w:t>7,742</w:t>
            </w:r>
          </w:p>
        </w:tc>
        <w:tc>
          <w:tcPr>
            <w:tcW w:w="1875" w:type="pct"/>
          </w:tcPr>
          <w:p w14:paraId="2AFBB177" w14:textId="7D71C639" w:rsidR="00207500" w:rsidRPr="006B0AAA" w:rsidRDefault="00F6203A" w:rsidP="00ED7332">
            <w:pPr>
              <w:spacing w:after="0" w:line="240" w:lineRule="auto"/>
              <w:ind w:right="327"/>
              <w:jc w:val="center"/>
              <w:rPr>
                <w:rFonts w:eastAsia="Times New Roman" w:cs="Times New Roman"/>
                <w:color w:val="0000FF"/>
                <w:sz w:val="18"/>
                <w:szCs w:val="18"/>
              </w:rPr>
            </w:pPr>
            <w:r>
              <w:rPr>
                <w:rFonts w:eastAsia="Times New Roman" w:cs="Times New Roman"/>
                <w:color w:val="0000FF"/>
                <w:sz w:val="18"/>
                <w:szCs w:val="18"/>
              </w:rPr>
              <w:t>50.7</w:t>
            </w:r>
            <w:r w:rsidR="05621DC5">
              <w:rPr>
                <w:rFonts w:eastAsia="Times New Roman" w:cs="Times New Roman"/>
                <w:color w:val="0000FF"/>
                <w:sz w:val="18"/>
                <w:szCs w:val="18"/>
              </w:rPr>
              <w:t>%</w:t>
            </w:r>
          </w:p>
        </w:tc>
      </w:tr>
      <w:tr w:rsidR="00207500" w:rsidRPr="006B0AAA" w14:paraId="7198D109" w14:textId="77777777" w:rsidTr="00E2379F">
        <w:tc>
          <w:tcPr>
            <w:tcW w:w="1213" w:type="pct"/>
            <w:tcBorders>
              <w:bottom w:val="single" w:sz="12" w:space="0" w:color="auto"/>
            </w:tcBorders>
            <w:shd w:val="clear" w:color="auto" w:fill="auto"/>
            <w:hideMark/>
          </w:tcPr>
          <w:p w14:paraId="22BC58C0" w14:textId="5BEC74DA" w:rsidR="00207500" w:rsidRPr="006B0AAA" w:rsidRDefault="00207500" w:rsidP="009162EA">
            <w:pPr>
              <w:spacing w:after="0" w:line="240" w:lineRule="auto"/>
              <w:rPr>
                <w:rFonts w:eastAsia="Times New Roman" w:cs="Times New Roman"/>
                <w:color w:val="0000FF"/>
                <w:sz w:val="18"/>
                <w:szCs w:val="18"/>
              </w:rPr>
            </w:pPr>
            <w:r>
              <w:rPr>
                <w:rFonts w:eastAsia="Times New Roman" w:cs="Times New Roman"/>
                <w:color w:val="0000FF"/>
                <w:sz w:val="18"/>
                <w:szCs w:val="18"/>
              </w:rPr>
              <w:t>Medicaid</w:t>
            </w:r>
            <w:r w:rsidR="007145EF">
              <w:rPr>
                <w:rFonts w:eastAsia="Times New Roman" w:cs="Times New Roman"/>
                <w:color w:val="0000FF"/>
                <w:sz w:val="18"/>
                <w:szCs w:val="18"/>
              </w:rPr>
              <w:t xml:space="preserve"> status</w:t>
            </w:r>
          </w:p>
        </w:tc>
        <w:tc>
          <w:tcPr>
            <w:tcW w:w="1912" w:type="pct"/>
            <w:tcBorders>
              <w:bottom w:val="single" w:sz="12" w:space="0" w:color="auto"/>
            </w:tcBorders>
          </w:tcPr>
          <w:p w14:paraId="2EA57439" w14:textId="0365B91E" w:rsidR="00207500" w:rsidRPr="006B0AAA" w:rsidRDefault="00F53290" w:rsidP="00ED7332">
            <w:pPr>
              <w:spacing w:after="0" w:line="240" w:lineRule="auto"/>
              <w:ind w:right="327"/>
              <w:jc w:val="center"/>
              <w:rPr>
                <w:rFonts w:eastAsia="Times New Roman" w:cs="Times New Roman"/>
                <w:color w:val="0000FF"/>
                <w:sz w:val="18"/>
                <w:szCs w:val="18"/>
              </w:rPr>
            </w:pPr>
            <w:r>
              <w:rPr>
                <w:rFonts w:eastAsia="Times New Roman" w:cs="Times New Roman"/>
                <w:color w:val="0000FF"/>
                <w:sz w:val="18"/>
                <w:szCs w:val="18"/>
              </w:rPr>
              <w:t>1,100</w:t>
            </w:r>
          </w:p>
        </w:tc>
        <w:tc>
          <w:tcPr>
            <w:tcW w:w="1875" w:type="pct"/>
            <w:tcBorders>
              <w:bottom w:val="single" w:sz="12" w:space="0" w:color="auto"/>
            </w:tcBorders>
          </w:tcPr>
          <w:p w14:paraId="1C688A92" w14:textId="0722D1EB" w:rsidR="00207500" w:rsidRPr="006B0AAA" w:rsidRDefault="004D2356" w:rsidP="00ED7332">
            <w:pPr>
              <w:spacing w:after="0" w:line="240" w:lineRule="auto"/>
              <w:ind w:right="327"/>
              <w:jc w:val="center"/>
              <w:rPr>
                <w:rFonts w:eastAsia="Times New Roman" w:cs="Times New Roman"/>
                <w:color w:val="0000FF"/>
                <w:sz w:val="18"/>
                <w:szCs w:val="18"/>
              </w:rPr>
            </w:pPr>
            <w:r>
              <w:rPr>
                <w:rFonts w:eastAsia="Times New Roman" w:cs="Times New Roman"/>
                <w:color w:val="0000FF"/>
                <w:sz w:val="18"/>
                <w:szCs w:val="18"/>
              </w:rPr>
              <w:t>7.2</w:t>
            </w:r>
            <w:r w:rsidR="05621DC5">
              <w:rPr>
                <w:rFonts w:eastAsia="Times New Roman" w:cs="Times New Roman"/>
                <w:color w:val="0000FF"/>
                <w:sz w:val="18"/>
                <w:szCs w:val="18"/>
              </w:rPr>
              <w:t>%</w:t>
            </w:r>
          </w:p>
        </w:tc>
      </w:tr>
    </w:tbl>
    <w:p w14:paraId="0E9849D9" w14:textId="07604B86" w:rsidR="00207500" w:rsidRPr="007F2E44" w:rsidRDefault="00E2373F" w:rsidP="00207500">
      <w:pPr>
        <w:autoSpaceDE w:val="0"/>
        <w:autoSpaceDN w:val="0"/>
        <w:adjustRightInd w:val="0"/>
        <w:spacing w:after="0" w:line="240" w:lineRule="auto"/>
        <w:rPr>
          <w:rFonts w:eastAsia="Times New Roman" w:cs="Times New Roman"/>
          <w:color w:val="0000FF"/>
          <w:sz w:val="20"/>
          <w:szCs w:val="20"/>
        </w:rPr>
      </w:pPr>
      <w:r>
        <w:rPr>
          <w:rFonts w:eastAsia="Times New Roman" w:cs="Times New Roman"/>
          <w:color w:val="0000FF"/>
          <w:sz w:val="20"/>
          <w:szCs w:val="20"/>
        </w:rPr>
        <w:t>Source</w:t>
      </w:r>
      <w:r w:rsidR="00207500" w:rsidRPr="00FD2D38">
        <w:rPr>
          <w:rFonts w:eastAsia="Times New Roman" w:cs="Times New Roman"/>
          <w:color w:val="0000FF"/>
          <w:sz w:val="20"/>
          <w:szCs w:val="20"/>
        </w:rPr>
        <w:t xml:space="preserve">: </w:t>
      </w:r>
      <w:r w:rsidR="00207500">
        <w:rPr>
          <w:rFonts w:eastAsia="Times New Roman" w:cs="Times New Roman"/>
          <w:color w:val="0000FF"/>
          <w:sz w:val="20"/>
          <w:szCs w:val="20"/>
        </w:rPr>
        <w:t>RTI analysis of Q3, 2018 MDS 3.0 Data</w:t>
      </w:r>
      <w:r w:rsidR="00207500" w:rsidRPr="00FD2D38">
        <w:rPr>
          <w:rFonts w:eastAsia="Times New Roman" w:cs="Times New Roman"/>
          <w:color w:val="0000FF"/>
          <w:sz w:val="20"/>
          <w:szCs w:val="20"/>
        </w:rPr>
        <w:t xml:space="preserve"> (programming refe</w:t>
      </w:r>
      <w:r w:rsidR="00207500">
        <w:rPr>
          <w:rFonts w:eastAsia="Times New Roman" w:cs="Times New Roman"/>
          <w:color w:val="0000FF"/>
          <w:sz w:val="20"/>
          <w:szCs w:val="20"/>
        </w:rPr>
        <w:t>rence:</w:t>
      </w:r>
      <w:r w:rsidR="00687630" w:rsidRPr="00687630">
        <w:t xml:space="preserve"> </w:t>
      </w:r>
      <w:r w:rsidR="00687630" w:rsidRPr="00687630">
        <w:rPr>
          <w:rFonts w:eastAsia="Times New Roman" w:cs="Times New Roman"/>
          <w:color w:val="0000FF"/>
          <w:sz w:val="20"/>
          <w:szCs w:val="20"/>
        </w:rPr>
        <w:t>hf\hf20\hf20_request_31_32.log</w:t>
      </w:r>
      <w:r w:rsidR="00207500" w:rsidRPr="00FD2D38">
        <w:rPr>
          <w:rFonts w:eastAsia="Times New Roman" w:cs="Times New Roman"/>
          <w:color w:val="0000FF"/>
          <w:sz w:val="20"/>
          <w:szCs w:val="20"/>
        </w:rPr>
        <w:t>)</w:t>
      </w:r>
      <w:r w:rsidR="00207500" w:rsidRPr="00FD2D38">
        <w:rPr>
          <w:rFonts w:ascii="Calibri" w:eastAsia="MS Mincho" w:hAnsi="Calibri" w:cs="Calibri"/>
          <w:bCs/>
          <w:color w:val="0000FF"/>
          <w:sz w:val="20"/>
          <w:szCs w:val="20"/>
        </w:rPr>
        <w:t xml:space="preserve"> </w:t>
      </w:r>
    </w:p>
    <w:p w14:paraId="08668933" w14:textId="5CC89D33" w:rsidR="00F4246E" w:rsidRDefault="00F4246E" w:rsidP="00ED7332">
      <w:pPr>
        <w:autoSpaceDE w:val="0"/>
        <w:autoSpaceDN w:val="0"/>
        <w:adjustRightInd w:val="0"/>
        <w:spacing w:before="240" w:after="240" w:line="240" w:lineRule="auto"/>
        <w:ind w:left="720" w:hanging="360"/>
        <w:rPr>
          <w:rFonts w:ascii="Calibri" w:eastAsia="MS Mincho" w:hAnsi="Calibri" w:cs="Calibri"/>
          <w:bCs/>
          <w:color w:val="0000FF"/>
          <w:sz w:val="20"/>
        </w:rPr>
      </w:pPr>
      <w:r w:rsidRPr="00BF74A9">
        <w:rPr>
          <w:rFonts w:ascii="Calibri" w:eastAsia="MS Mincho" w:hAnsi="Calibri" w:cs="Calibri"/>
          <w:bCs/>
          <w:color w:val="0000FF"/>
          <w:sz w:val="20"/>
        </w:rPr>
        <w:t xml:space="preserve">Castle, N., et al. (2017). "Resident and Facility Factors Associated With the Incidence of Urinary Tract Infections Identified in the Nursing Home Minimum Data Set." J Appl </w:t>
      </w:r>
      <w:proofErr w:type="spellStart"/>
      <w:r w:rsidRPr="00BF74A9">
        <w:rPr>
          <w:rFonts w:ascii="Calibri" w:eastAsia="MS Mincho" w:hAnsi="Calibri" w:cs="Calibri"/>
          <w:bCs/>
          <w:color w:val="0000FF"/>
          <w:sz w:val="20"/>
        </w:rPr>
        <w:t>Gerontol</w:t>
      </w:r>
      <w:proofErr w:type="spellEnd"/>
      <w:r w:rsidRPr="00BF74A9">
        <w:rPr>
          <w:rFonts w:ascii="Calibri" w:eastAsia="MS Mincho" w:hAnsi="Calibri" w:cs="Calibri"/>
          <w:bCs/>
          <w:color w:val="0000FF"/>
          <w:sz w:val="20"/>
        </w:rPr>
        <w:t xml:space="preserve"> 36(2): 173-194.</w:t>
      </w:r>
    </w:p>
    <w:p w14:paraId="1743A258" w14:textId="57E6FDC3" w:rsidR="00BD061B" w:rsidRPr="00BF74A9" w:rsidRDefault="00BD061B" w:rsidP="00ED7332">
      <w:pPr>
        <w:autoSpaceDE w:val="0"/>
        <w:autoSpaceDN w:val="0"/>
        <w:adjustRightInd w:val="0"/>
        <w:spacing w:before="240" w:after="240" w:line="240" w:lineRule="auto"/>
        <w:ind w:left="720" w:hanging="360"/>
        <w:rPr>
          <w:rFonts w:ascii="Calibri" w:eastAsia="MS Mincho" w:hAnsi="Calibri" w:cs="Calibri"/>
          <w:bCs/>
          <w:color w:val="0000FF"/>
          <w:sz w:val="20"/>
        </w:rPr>
      </w:pPr>
      <w:r w:rsidRPr="00BD061B">
        <w:rPr>
          <w:rFonts w:ascii="Calibri" w:eastAsia="MS Mincho" w:hAnsi="Calibri" w:cs="Calibri"/>
          <w:bCs/>
          <w:color w:val="0000FF"/>
          <w:sz w:val="20"/>
        </w:rPr>
        <w:t>CMS (2018, August). Blueprint for the CMS Measures Management System. https://www.cms.gov/Medicare/Quality-Initiatives-Patient-Assessment-Instruments/MMS/Downloads/BlueprintVer14.pdf</w:t>
      </w:r>
    </w:p>
    <w:p w14:paraId="7650B0CE" w14:textId="77777777" w:rsidR="001111DD" w:rsidRPr="00BF74A9" w:rsidRDefault="001111DD" w:rsidP="00ED7332">
      <w:pPr>
        <w:autoSpaceDE w:val="0"/>
        <w:autoSpaceDN w:val="0"/>
        <w:adjustRightInd w:val="0"/>
        <w:spacing w:before="240" w:after="240" w:line="240" w:lineRule="auto"/>
        <w:ind w:left="720" w:hanging="360"/>
        <w:rPr>
          <w:rFonts w:ascii="Calibri" w:eastAsia="MS Mincho" w:hAnsi="Calibri" w:cs="Calibri"/>
          <w:bCs/>
          <w:color w:val="0000FF"/>
          <w:sz w:val="20"/>
        </w:rPr>
      </w:pPr>
      <w:proofErr w:type="spellStart"/>
      <w:r w:rsidRPr="00BF74A9">
        <w:rPr>
          <w:rFonts w:ascii="Calibri" w:eastAsia="MS Mincho" w:hAnsi="Calibri" w:cs="Calibri"/>
          <w:bCs/>
          <w:color w:val="0000FF"/>
          <w:sz w:val="20"/>
        </w:rPr>
        <w:t>Gucwa</w:t>
      </w:r>
      <w:proofErr w:type="spellEnd"/>
      <w:r w:rsidRPr="00BF74A9">
        <w:rPr>
          <w:rFonts w:ascii="Calibri" w:eastAsia="MS Mincho" w:hAnsi="Calibri" w:cs="Calibri"/>
          <w:bCs/>
          <w:color w:val="0000FF"/>
          <w:sz w:val="20"/>
        </w:rPr>
        <w:t>, A. L., et al. (2016). "Correlations between quality ratings of skilled nursing facilities and multidrug-resistant urinary tract infections." Am J Infect Control 44(11): 1256-1260.</w:t>
      </w:r>
    </w:p>
    <w:p w14:paraId="13BEB41A" w14:textId="054A8836" w:rsidR="001111DD" w:rsidRPr="00A11604" w:rsidRDefault="001111DD" w:rsidP="00ED7332">
      <w:pPr>
        <w:autoSpaceDE w:val="0"/>
        <w:autoSpaceDN w:val="0"/>
        <w:adjustRightInd w:val="0"/>
        <w:spacing w:before="240" w:after="240" w:line="240" w:lineRule="auto"/>
        <w:ind w:left="720" w:hanging="360"/>
        <w:rPr>
          <w:rFonts w:ascii="Calibri" w:eastAsia="MS Mincho" w:hAnsi="Calibri" w:cs="Calibri"/>
          <w:bCs/>
          <w:color w:val="0000FF"/>
          <w:sz w:val="20"/>
        </w:rPr>
      </w:pPr>
      <w:r w:rsidRPr="00BF74A9">
        <w:rPr>
          <w:rFonts w:ascii="Calibri" w:eastAsia="MS Mincho" w:hAnsi="Calibri" w:cs="Calibri"/>
          <w:bCs/>
          <w:color w:val="0000FF"/>
          <w:sz w:val="20"/>
        </w:rPr>
        <w:t>Hefele</w:t>
      </w:r>
      <w:r w:rsidRPr="00A11604">
        <w:rPr>
          <w:rFonts w:ascii="Calibri" w:eastAsia="MS Mincho" w:hAnsi="Calibri" w:cs="Calibri"/>
          <w:bCs/>
          <w:color w:val="0000FF"/>
          <w:sz w:val="20"/>
        </w:rPr>
        <w:t xml:space="preserve">, J. G., et al. (2017). "Examining Racial and Ethnic Differences in Nursing Home Quality." </w:t>
      </w:r>
      <w:proofErr w:type="spellStart"/>
      <w:r w:rsidRPr="00A11604">
        <w:rPr>
          <w:rFonts w:ascii="Calibri" w:eastAsia="MS Mincho" w:hAnsi="Calibri" w:cs="Calibri"/>
          <w:bCs/>
          <w:color w:val="0000FF"/>
          <w:sz w:val="20"/>
        </w:rPr>
        <w:t>Jt</w:t>
      </w:r>
      <w:proofErr w:type="spellEnd"/>
      <w:r w:rsidRPr="00A11604">
        <w:rPr>
          <w:rFonts w:ascii="Calibri" w:eastAsia="MS Mincho" w:hAnsi="Calibri" w:cs="Calibri"/>
          <w:bCs/>
          <w:color w:val="0000FF"/>
          <w:sz w:val="20"/>
        </w:rPr>
        <w:t xml:space="preserve"> Comm J Qual Patient </w:t>
      </w:r>
      <w:proofErr w:type="spellStart"/>
      <w:r w:rsidRPr="00A11604">
        <w:rPr>
          <w:rFonts w:ascii="Calibri" w:eastAsia="MS Mincho" w:hAnsi="Calibri" w:cs="Calibri"/>
          <w:bCs/>
          <w:color w:val="0000FF"/>
          <w:sz w:val="20"/>
        </w:rPr>
        <w:t>Saf</w:t>
      </w:r>
      <w:proofErr w:type="spellEnd"/>
      <w:r w:rsidRPr="00A11604">
        <w:rPr>
          <w:rFonts w:ascii="Calibri" w:eastAsia="MS Mincho" w:hAnsi="Calibri" w:cs="Calibri"/>
          <w:bCs/>
          <w:color w:val="0000FF"/>
          <w:sz w:val="20"/>
        </w:rPr>
        <w:t xml:space="preserve"> 43(11): 554-564</w:t>
      </w:r>
      <w:r w:rsidR="00F409B1" w:rsidRPr="00A11604">
        <w:rPr>
          <w:rFonts w:ascii="Calibri" w:eastAsia="MS Mincho" w:hAnsi="Calibri" w:cs="Calibri"/>
          <w:bCs/>
          <w:color w:val="0000FF"/>
          <w:sz w:val="20"/>
        </w:rPr>
        <w:t>.</w:t>
      </w:r>
    </w:p>
    <w:p w14:paraId="27295B82" w14:textId="48D1F494" w:rsidR="00731E01" w:rsidRPr="00A11604" w:rsidRDefault="001D3F94" w:rsidP="00731E01">
      <w:pPr>
        <w:pStyle w:val="Response"/>
        <w:spacing w:before="0" w:after="0"/>
      </w:pPr>
      <w:r w:rsidRPr="00A11604">
        <w:rPr>
          <w:b/>
          <w:bCs w:val="0"/>
          <w:color w:val="auto"/>
        </w:rPr>
        <w:t>2b3.4a. What were the statistical results of the analyses used to select risk factors?</w:t>
      </w:r>
    </w:p>
    <w:p w14:paraId="3FE90B80" w14:textId="45A6AD8A" w:rsidR="00731E01" w:rsidRPr="00A11604" w:rsidRDefault="001D3F94" w:rsidP="0014243D">
      <w:pPr>
        <w:pStyle w:val="Response"/>
        <w:ind w:left="360"/>
      </w:pPr>
      <w:r w:rsidRPr="00A11604">
        <w:t>This measure, the long-stay urinary tract infection</w:t>
      </w:r>
      <w:r w:rsidR="00F409B1" w:rsidRPr="00A11604">
        <w:t xml:space="preserve"> measure</w:t>
      </w:r>
      <w:r w:rsidRPr="00A11604">
        <w:t xml:space="preserve"> (NQF #0684), is not currently risk-adjusted. </w:t>
      </w:r>
      <w:r w:rsidR="00F409B1" w:rsidRPr="00A11604">
        <w:t>NQF</w:t>
      </w:r>
      <w:r w:rsidR="00731E01" w:rsidRPr="00A11604">
        <w:t xml:space="preserve"> #0684 Percent of Residents </w:t>
      </w:r>
      <w:proofErr w:type="gramStart"/>
      <w:r w:rsidR="00731E01" w:rsidRPr="00A11604">
        <w:t>With</w:t>
      </w:r>
      <w:proofErr w:type="gramEnd"/>
      <w:r w:rsidR="00731E01" w:rsidRPr="00A11604">
        <w:t xml:space="preserve"> a Urinary Tract Infection (Long Stay) was endorsed by NQF without denominator exclusion and model-based risk adjustment. During the development of the MDS 3.0 measure</w:t>
      </w:r>
      <w:r w:rsidR="00F409B1" w:rsidRPr="00A11604">
        <w:t>,</w:t>
      </w:r>
      <w:r w:rsidR="00731E01" w:rsidRPr="00A11604">
        <w:t xml:space="preserve"> no major conditions were identified that were appropriate for risk adjustment and clearly associated with UTI</w:t>
      </w:r>
      <w:r w:rsidR="006D2BE1" w:rsidRPr="00A11604">
        <w:t>.</w:t>
      </w:r>
    </w:p>
    <w:p w14:paraId="31870920" w14:textId="45339465" w:rsidR="00117A5F" w:rsidRPr="00F409B1" w:rsidRDefault="001D3F94" w:rsidP="0014243D">
      <w:pPr>
        <w:pStyle w:val="Response"/>
        <w:ind w:left="360"/>
        <w:rPr>
          <w:rFonts w:ascii="Calibri" w:eastAsia="MS Mincho" w:hAnsi="Calibri" w:cs="Calibri"/>
          <w:bCs w:val="0"/>
        </w:rPr>
      </w:pPr>
      <w:r w:rsidRPr="00A11604">
        <w:rPr>
          <w:rFonts w:ascii="Calibri" w:eastAsia="MS Mincho" w:hAnsi="Calibri" w:cs="Calibri"/>
          <w:bCs w:val="0"/>
        </w:rPr>
        <w:t>Results of the statistical analyses</w:t>
      </w:r>
      <w:r w:rsidRPr="007B766A">
        <w:rPr>
          <w:rFonts w:ascii="Calibri" w:eastAsia="MS Mincho" w:hAnsi="Calibri" w:cs="Calibri"/>
          <w:bCs w:val="0"/>
        </w:rPr>
        <w:t xml:space="preserve"> to examine social risk factors as potential risk adjustors are detailed in </w:t>
      </w:r>
      <w:r w:rsidR="0067560F" w:rsidRPr="0067560F">
        <w:rPr>
          <w:rFonts w:ascii="Calibri" w:eastAsia="MS Mincho" w:hAnsi="Calibri" w:cs="Calibri"/>
          <w:b/>
        </w:rPr>
        <w:t xml:space="preserve">Section </w:t>
      </w:r>
      <w:r w:rsidRPr="0067560F">
        <w:rPr>
          <w:rFonts w:ascii="Calibri" w:eastAsia="MS Mincho" w:hAnsi="Calibri" w:cs="Calibri"/>
          <w:b/>
        </w:rPr>
        <w:t>2b3.4b</w:t>
      </w:r>
      <w:r w:rsidRPr="007B766A">
        <w:rPr>
          <w:rFonts w:ascii="Calibri" w:eastAsia="MS Mincho" w:hAnsi="Calibri" w:cs="Calibri"/>
          <w:bCs w:val="0"/>
        </w:rPr>
        <w:t>.</w:t>
      </w:r>
    </w:p>
    <w:p w14:paraId="0CABCFF8" w14:textId="4DEC8600" w:rsidR="00001D73"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w:t>
      </w:r>
      <w:r w:rsidR="00E87D6C">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43161E4C" w14:textId="020C4057" w:rsidR="00EB6671" w:rsidRPr="00EB6671" w:rsidRDefault="00060772" w:rsidP="0014243D">
      <w:pPr>
        <w:pStyle w:val="Response"/>
        <w:ind w:left="360"/>
        <w:rPr>
          <w:rFonts w:ascii="Calibri" w:eastAsia="MS Mincho" w:hAnsi="Calibri" w:cs="Calibri"/>
          <w:bCs w:val="0"/>
        </w:rPr>
      </w:pPr>
      <w:r>
        <w:rPr>
          <w:rFonts w:ascii="Calibri" w:eastAsia="MS Mincho" w:hAnsi="Calibri" w:cs="Calibri"/>
          <w:bCs w:val="0"/>
        </w:rPr>
        <w:t xml:space="preserve">For age, the remaining social risk factor with an empirical association with UTIs, </w:t>
      </w:r>
      <w:r w:rsidR="00EB6671" w:rsidRPr="00EB6671">
        <w:rPr>
          <w:rFonts w:ascii="Calibri" w:eastAsia="MS Mincho" w:hAnsi="Calibri" w:cs="Calibri"/>
          <w:bCs w:val="0"/>
        </w:rPr>
        <w:t xml:space="preserve">RTI examined whether there is </w:t>
      </w:r>
      <w:r w:rsidR="00EB6671" w:rsidRPr="00035ED0">
        <w:rPr>
          <w:rFonts w:ascii="Calibri" w:eastAsia="MS Mincho" w:hAnsi="Calibri" w:cs="Calibri"/>
          <w:bCs w:val="0"/>
        </w:rPr>
        <w:t>variation</w:t>
      </w:r>
      <w:r w:rsidR="00EB6671" w:rsidRPr="00EB6671">
        <w:rPr>
          <w:rFonts w:ascii="Calibri" w:eastAsia="MS Mincho" w:hAnsi="Calibri" w:cs="Calibri"/>
          <w:b/>
          <w:bCs w:val="0"/>
        </w:rPr>
        <w:t xml:space="preserve"> </w:t>
      </w:r>
      <w:r w:rsidR="00EB6671" w:rsidRPr="00EB6671">
        <w:rPr>
          <w:rFonts w:ascii="Calibri" w:eastAsia="MS Mincho" w:hAnsi="Calibri" w:cs="Calibri"/>
          <w:bCs w:val="0"/>
        </w:rPr>
        <w:t xml:space="preserve">in the social risk factor among nursing homes (there is; see </w:t>
      </w:r>
      <w:r w:rsidR="00EB6671" w:rsidRPr="009162EA">
        <w:rPr>
          <w:rFonts w:ascii="Calibri" w:eastAsia="MS Mincho" w:hAnsi="Calibri" w:cs="Calibri"/>
          <w:b/>
          <w:bCs w:val="0"/>
          <w:i/>
        </w:rPr>
        <w:t xml:space="preserve">Table </w:t>
      </w:r>
      <w:r w:rsidR="00D429B0" w:rsidRPr="009162EA">
        <w:rPr>
          <w:rFonts w:ascii="Calibri" w:eastAsia="MS Mincho" w:hAnsi="Calibri" w:cs="Calibri"/>
          <w:b/>
          <w:bCs w:val="0"/>
          <w:i/>
        </w:rPr>
        <w:t>6</w:t>
      </w:r>
      <w:r w:rsidR="00EB6671" w:rsidRPr="00EB6671">
        <w:rPr>
          <w:rFonts w:ascii="Calibri" w:eastAsia="MS Mincho" w:hAnsi="Calibri" w:cs="Calibri"/>
          <w:bCs w:val="0"/>
        </w:rPr>
        <w:t xml:space="preserve">), and the </w:t>
      </w:r>
      <w:r w:rsidR="00EB6671" w:rsidRPr="00312EFF">
        <w:rPr>
          <w:rFonts w:ascii="Calibri" w:eastAsia="MS Mincho" w:hAnsi="Calibri" w:cs="Calibri"/>
          <w:bCs w:val="0"/>
        </w:rPr>
        <w:t>potential improvement in</w:t>
      </w:r>
      <w:r w:rsidR="00E857FF">
        <w:rPr>
          <w:rFonts w:ascii="Calibri" w:eastAsia="MS Mincho" w:hAnsi="Calibri" w:cs="Calibri"/>
          <w:bCs w:val="0"/>
        </w:rPr>
        <w:t xml:space="preserve"> the</w:t>
      </w:r>
      <w:r w:rsidR="00EB6671" w:rsidRPr="00312EFF">
        <w:rPr>
          <w:rFonts w:ascii="Calibri" w:eastAsia="MS Mincho" w:hAnsi="Calibri" w:cs="Calibri"/>
          <w:bCs w:val="0"/>
        </w:rPr>
        <w:t xml:space="preserve"> risk model</w:t>
      </w:r>
      <w:r w:rsidR="00EB6671" w:rsidRPr="00EB6671">
        <w:rPr>
          <w:rFonts w:ascii="Calibri" w:eastAsia="MS Mincho" w:hAnsi="Calibri" w:cs="Calibri"/>
          <w:b/>
          <w:bCs w:val="0"/>
        </w:rPr>
        <w:t xml:space="preserve"> </w:t>
      </w:r>
      <w:r w:rsidR="00EB6671" w:rsidRPr="00EB6671">
        <w:rPr>
          <w:rFonts w:ascii="Calibri" w:eastAsia="MS Mincho" w:hAnsi="Calibri" w:cs="Calibri"/>
          <w:bCs w:val="0"/>
        </w:rPr>
        <w:t>if social risk factors are included.</w:t>
      </w:r>
      <w:r w:rsidR="001D3860">
        <w:rPr>
          <w:rFonts w:ascii="Calibri" w:eastAsia="MS Mincho" w:hAnsi="Calibri" w:cs="Calibri"/>
          <w:bCs w:val="0"/>
        </w:rPr>
        <w:t xml:space="preserve"> </w:t>
      </w:r>
    </w:p>
    <w:p w14:paraId="42316AD5" w14:textId="2A34A442" w:rsidR="001D3F94" w:rsidRPr="00430C69" w:rsidRDefault="001D3F94" w:rsidP="00281068">
      <w:pPr>
        <w:jc w:val="center"/>
        <w:rPr>
          <w:b/>
          <w:color w:val="0000FF"/>
        </w:rPr>
      </w:pPr>
      <w:r w:rsidRPr="00281068">
        <w:rPr>
          <w:rFonts w:eastAsia="Times New Roman" w:cs="Times New Roman"/>
          <w:b/>
          <w:color w:val="0000FF"/>
        </w:rPr>
        <w:t xml:space="preserve">Table </w:t>
      </w:r>
      <w:r w:rsidR="002E179F" w:rsidRPr="00281068">
        <w:rPr>
          <w:rFonts w:eastAsia="Times New Roman" w:cs="Times New Roman"/>
          <w:b/>
          <w:color w:val="0000FF"/>
        </w:rPr>
        <w:t>6</w:t>
      </w:r>
      <w:r w:rsidRPr="00281068">
        <w:rPr>
          <w:rFonts w:eastAsia="Times New Roman" w:cs="Times New Roman"/>
          <w:b/>
          <w:color w:val="0000FF"/>
        </w:rPr>
        <w:t>. Distribution of Percentage of Residents with Select Resident Characteristics Across Facilities</w:t>
      </w:r>
      <w:r w:rsidR="00281068">
        <w:rPr>
          <w:rFonts w:eastAsia="Times New Roman" w:cs="Times New Roman"/>
          <w:b/>
          <w:color w:val="0000FF"/>
        </w:rPr>
        <w:t xml:space="preserve"> </w:t>
      </w:r>
      <w:r w:rsidR="0067560F">
        <w:rPr>
          <w:rFonts w:eastAsia="Times New Roman" w:cs="Times New Roman"/>
          <w:b/>
          <w:color w:val="0000FF"/>
        </w:rPr>
        <w:t>(</w:t>
      </w:r>
      <w:r w:rsidR="00281068">
        <w:rPr>
          <w:rFonts w:eastAsia="Times New Roman" w:cs="Times New Roman"/>
          <w:b/>
          <w:color w:val="0000FF"/>
        </w:rPr>
        <w:t>Quarter 3, 2018</w:t>
      </w:r>
      <w:r w:rsidR="0067560F">
        <w:rPr>
          <w:rFonts w:eastAsia="Times New Roman" w:cs="Times New Roman"/>
          <w:b/>
          <w:color w:val="0000FF"/>
        </w:rPr>
        <w:t>)</w:t>
      </w:r>
    </w:p>
    <w:tbl>
      <w:tblPr>
        <w:tblStyle w:val="CMSTable"/>
        <w:tblW w:w="4970" w:type="pct"/>
        <w:tblLook w:val="05E0" w:firstRow="1" w:lastRow="1" w:firstColumn="1" w:lastColumn="1" w:noHBand="0" w:noVBand="1"/>
      </w:tblPr>
      <w:tblGrid>
        <w:gridCol w:w="1718"/>
        <w:gridCol w:w="847"/>
        <w:gridCol w:w="837"/>
        <w:gridCol w:w="737"/>
        <w:gridCol w:w="1035"/>
        <w:gridCol w:w="1035"/>
        <w:gridCol w:w="1035"/>
        <w:gridCol w:w="1035"/>
        <w:gridCol w:w="1025"/>
      </w:tblGrid>
      <w:tr w:rsidR="007C4C56" w:rsidRPr="0014243D" w14:paraId="1235D4EC" w14:textId="77777777" w:rsidTr="00E2379F">
        <w:trPr>
          <w:cnfStyle w:val="100000000000" w:firstRow="1" w:lastRow="0" w:firstColumn="0" w:lastColumn="0" w:oddVBand="0" w:evenVBand="0" w:oddHBand="0" w:evenHBand="0" w:firstRowFirstColumn="0" w:firstRowLastColumn="0" w:lastRowFirstColumn="0" w:lastRowLastColumn="0"/>
          <w:trHeight w:val="648"/>
        </w:trPr>
        <w:tc>
          <w:tcPr>
            <w:tcW w:w="924" w:type="pct"/>
            <w:tcBorders>
              <w:bottom w:val="single" w:sz="4" w:space="0" w:color="auto"/>
            </w:tcBorders>
            <w:vAlign w:val="center"/>
          </w:tcPr>
          <w:p w14:paraId="7CDC409F" w14:textId="77777777" w:rsidR="001D3F94" w:rsidRPr="0014243D" w:rsidRDefault="001D3F94" w:rsidP="00E5513C">
            <w:pPr>
              <w:keepNext/>
              <w:spacing w:before="40" w:after="40"/>
              <w:jc w:val="left"/>
              <w:rPr>
                <w:iCs/>
                <w:snapToGrid w:val="0"/>
                <w:color w:val="0000FF"/>
                <w:sz w:val="18"/>
                <w:szCs w:val="18"/>
              </w:rPr>
            </w:pPr>
            <w:r w:rsidRPr="0014243D">
              <w:rPr>
                <w:iCs/>
                <w:snapToGrid w:val="0"/>
                <w:color w:val="0000FF"/>
                <w:sz w:val="18"/>
                <w:szCs w:val="18"/>
              </w:rPr>
              <w:lastRenderedPageBreak/>
              <w:t>Resident characteristics</w:t>
            </w:r>
          </w:p>
        </w:tc>
        <w:tc>
          <w:tcPr>
            <w:tcW w:w="455" w:type="pct"/>
            <w:tcBorders>
              <w:bottom w:val="single" w:sz="4" w:space="0" w:color="auto"/>
            </w:tcBorders>
            <w:vAlign w:val="center"/>
          </w:tcPr>
          <w:p w14:paraId="28A80C66" w14:textId="77777777" w:rsidR="001D3F94" w:rsidRPr="0014243D" w:rsidRDefault="001D3F94" w:rsidP="00E5513C">
            <w:pPr>
              <w:keepNext/>
              <w:spacing w:before="40" w:after="40"/>
              <w:rPr>
                <w:i/>
                <w:iCs/>
                <w:snapToGrid w:val="0"/>
                <w:color w:val="0000FF"/>
                <w:sz w:val="18"/>
                <w:szCs w:val="18"/>
              </w:rPr>
            </w:pPr>
            <w:r w:rsidRPr="0014243D">
              <w:rPr>
                <w:iCs/>
                <w:snapToGrid w:val="0"/>
                <w:color w:val="0000FF"/>
                <w:sz w:val="18"/>
                <w:szCs w:val="18"/>
              </w:rPr>
              <w:t>Facilities (</w:t>
            </w:r>
            <w:r w:rsidRPr="0014243D">
              <w:rPr>
                <w:i/>
                <w:iCs/>
                <w:snapToGrid w:val="0"/>
                <w:color w:val="0000FF"/>
                <w:sz w:val="18"/>
                <w:szCs w:val="18"/>
              </w:rPr>
              <w:t>k)</w:t>
            </w:r>
          </w:p>
        </w:tc>
        <w:tc>
          <w:tcPr>
            <w:tcW w:w="450" w:type="pct"/>
            <w:tcBorders>
              <w:bottom w:val="single" w:sz="4" w:space="0" w:color="auto"/>
            </w:tcBorders>
            <w:vAlign w:val="center"/>
          </w:tcPr>
          <w:p w14:paraId="51F0699D" w14:textId="77777777" w:rsidR="001D3F94" w:rsidRPr="0014243D" w:rsidRDefault="001D3F94" w:rsidP="00E5513C">
            <w:pPr>
              <w:keepNext/>
              <w:spacing w:before="40" w:after="40"/>
              <w:rPr>
                <w:snapToGrid w:val="0"/>
                <w:color w:val="0000FF"/>
                <w:sz w:val="18"/>
                <w:szCs w:val="18"/>
              </w:rPr>
            </w:pPr>
            <w:r w:rsidRPr="0014243D">
              <w:rPr>
                <w:snapToGrid w:val="0"/>
                <w:color w:val="0000FF"/>
                <w:sz w:val="18"/>
                <w:szCs w:val="18"/>
              </w:rPr>
              <w:t>Mean % of residents</w:t>
            </w:r>
          </w:p>
        </w:tc>
        <w:tc>
          <w:tcPr>
            <w:tcW w:w="396" w:type="pct"/>
            <w:tcBorders>
              <w:bottom w:val="single" w:sz="4" w:space="0" w:color="auto"/>
            </w:tcBorders>
            <w:vAlign w:val="center"/>
          </w:tcPr>
          <w:p w14:paraId="0F108D98" w14:textId="77777777" w:rsidR="001D3F94" w:rsidRPr="0014243D" w:rsidRDefault="001D3F94" w:rsidP="00E5513C">
            <w:pPr>
              <w:keepNext/>
              <w:spacing w:before="40" w:after="40"/>
              <w:rPr>
                <w:snapToGrid w:val="0"/>
                <w:color w:val="0000FF"/>
                <w:sz w:val="18"/>
                <w:szCs w:val="18"/>
              </w:rPr>
            </w:pPr>
            <w:r w:rsidRPr="0014243D">
              <w:rPr>
                <w:snapToGrid w:val="0"/>
                <w:color w:val="0000FF"/>
                <w:sz w:val="18"/>
                <w:szCs w:val="18"/>
              </w:rPr>
              <w:t>Std dev.</w:t>
            </w:r>
          </w:p>
        </w:tc>
        <w:tc>
          <w:tcPr>
            <w:tcW w:w="556" w:type="pct"/>
            <w:tcBorders>
              <w:bottom w:val="single" w:sz="4" w:space="0" w:color="auto"/>
            </w:tcBorders>
            <w:vAlign w:val="center"/>
          </w:tcPr>
          <w:p w14:paraId="0914C6BB" w14:textId="77777777" w:rsidR="001D3F94" w:rsidRPr="0014243D" w:rsidRDefault="001D3F94" w:rsidP="00E5513C">
            <w:pPr>
              <w:keepNext/>
              <w:spacing w:before="40" w:after="40"/>
              <w:rPr>
                <w:snapToGrid w:val="0"/>
                <w:color w:val="0000FF"/>
                <w:sz w:val="18"/>
                <w:szCs w:val="18"/>
              </w:rPr>
            </w:pPr>
            <w:r w:rsidRPr="0014243D">
              <w:rPr>
                <w:snapToGrid w:val="0"/>
                <w:color w:val="0000FF"/>
                <w:sz w:val="18"/>
                <w:szCs w:val="18"/>
              </w:rPr>
              <w:t xml:space="preserve">10th </w:t>
            </w:r>
            <w:r w:rsidRPr="0014243D">
              <w:rPr>
                <w:snapToGrid w:val="0"/>
                <w:color w:val="0000FF"/>
                <w:sz w:val="18"/>
                <w:szCs w:val="18"/>
              </w:rPr>
              <w:br/>
              <w:t>percentile</w:t>
            </w:r>
          </w:p>
        </w:tc>
        <w:tc>
          <w:tcPr>
            <w:tcW w:w="556" w:type="pct"/>
            <w:tcBorders>
              <w:bottom w:val="single" w:sz="4" w:space="0" w:color="auto"/>
            </w:tcBorders>
            <w:vAlign w:val="center"/>
          </w:tcPr>
          <w:p w14:paraId="7D18A47C" w14:textId="77777777" w:rsidR="001D3F94" w:rsidRPr="0014243D" w:rsidRDefault="001D3F94" w:rsidP="00E5513C">
            <w:pPr>
              <w:keepNext/>
              <w:spacing w:before="40" w:after="40"/>
              <w:rPr>
                <w:snapToGrid w:val="0"/>
                <w:color w:val="0000FF"/>
                <w:sz w:val="18"/>
                <w:szCs w:val="18"/>
              </w:rPr>
            </w:pPr>
            <w:r w:rsidRPr="0014243D">
              <w:rPr>
                <w:snapToGrid w:val="0"/>
                <w:color w:val="0000FF"/>
                <w:sz w:val="18"/>
                <w:szCs w:val="18"/>
              </w:rPr>
              <w:t xml:space="preserve">25th </w:t>
            </w:r>
            <w:r w:rsidRPr="0014243D">
              <w:rPr>
                <w:snapToGrid w:val="0"/>
                <w:color w:val="0000FF"/>
                <w:sz w:val="18"/>
                <w:szCs w:val="18"/>
              </w:rPr>
              <w:br/>
              <w:t>percentile</w:t>
            </w:r>
          </w:p>
        </w:tc>
        <w:tc>
          <w:tcPr>
            <w:tcW w:w="556" w:type="pct"/>
            <w:tcBorders>
              <w:bottom w:val="single" w:sz="4" w:space="0" w:color="auto"/>
            </w:tcBorders>
            <w:vAlign w:val="center"/>
          </w:tcPr>
          <w:p w14:paraId="356B1DDC" w14:textId="77777777" w:rsidR="001D3F94" w:rsidRPr="0014243D" w:rsidRDefault="001D3F94" w:rsidP="00E5513C">
            <w:pPr>
              <w:keepNext/>
              <w:spacing w:before="40" w:after="40"/>
              <w:rPr>
                <w:snapToGrid w:val="0"/>
                <w:color w:val="0000FF"/>
                <w:sz w:val="18"/>
                <w:szCs w:val="18"/>
              </w:rPr>
            </w:pPr>
            <w:r w:rsidRPr="0014243D">
              <w:rPr>
                <w:snapToGrid w:val="0"/>
                <w:color w:val="0000FF"/>
                <w:sz w:val="18"/>
                <w:szCs w:val="18"/>
              </w:rPr>
              <w:t xml:space="preserve">50th </w:t>
            </w:r>
            <w:r w:rsidRPr="0014243D">
              <w:rPr>
                <w:snapToGrid w:val="0"/>
                <w:color w:val="0000FF"/>
                <w:sz w:val="18"/>
                <w:szCs w:val="18"/>
              </w:rPr>
              <w:br/>
              <w:t>percentile</w:t>
            </w:r>
          </w:p>
        </w:tc>
        <w:tc>
          <w:tcPr>
            <w:tcW w:w="556" w:type="pct"/>
            <w:tcBorders>
              <w:bottom w:val="single" w:sz="4" w:space="0" w:color="auto"/>
            </w:tcBorders>
            <w:vAlign w:val="center"/>
          </w:tcPr>
          <w:p w14:paraId="696561A7" w14:textId="77777777" w:rsidR="001D3F94" w:rsidRPr="0014243D" w:rsidRDefault="001D3F94" w:rsidP="00E5513C">
            <w:pPr>
              <w:keepNext/>
              <w:spacing w:before="40" w:after="40"/>
              <w:rPr>
                <w:snapToGrid w:val="0"/>
                <w:color w:val="0000FF"/>
                <w:sz w:val="18"/>
                <w:szCs w:val="18"/>
              </w:rPr>
            </w:pPr>
            <w:r w:rsidRPr="0014243D">
              <w:rPr>
                <w:snapToGrid w:val="0"/>
                <w:color w:val="0000FF"/>
                <w:sz w:val="18"/>
                <w:szCs w:val="18"/>
              </w:rPr>
              <w:t xml:space="preserve">75th </w:t>
            </w:r>
            <w:r w:rsidRPr="0014243D">
              <w:rPr>
                <w:snapToGrid w:val="0"/>
                <w:color w:val="0000FF"/>
                <w:sz w:val="18"/>
                <w:szCs w:val="18"/>
              </w:rPr>
              <w:br/>
              <w:t>percentile</w:t>
            </w:r>
          </w:p>
        </w:tc>
        <w:tc>
          <w:tcPr>
            <w:tcW w:w="554" w:type="pct"/>
            <w:tcBorders>
              <w:bottom w:val="single" w:sz="4" w:space="0" w:color="auto"/>
            </w:tcBorders>
            <w:vAlign w:val="center"/>
          </w:tcPr>
          <w:p w14:paraId="7160309C" w14:textId="77777777" w:rsidR="001D3F94" w:rsidRPr="0014243D" w:rsidRDefault="001D3F94" w:rsidP="00E5513C">
            <w:pPr>
              <w:keepNext/>
              <w:spacing w:before="40" w:after="40"/>
              <w:rPr>
                <w:snapToGrid w:val="0"/>
                <w:color w:val="0000FF"/>
                <w:sz w:val="18"/>
                <w:szCs w:val="18"/>
              </w:rPr>
            </w:pPr>
            <w:r w:rsidRPr="0014243D">
              <w:rPr>
                <w:snapToGrid w:val="0"/>
                <w:color w:val="0000FF"/>
                <w:sz w:val="18"/>
                <w:szCs w:val="18"/>
              </w:rPr>
              <w:t xml:space="preserve">90th </w:t>
            </w:r>
            <w:r w:rsidRPr="0014243D">
              <w:rPr>
                <w:snapToGrid w:val="0"/>
                <w:color w:val="0000FF"/>
                <w:sz w:val="18"/>
                <w:szCs w:val="18"/>
              </w:rPr>
              <w:br/>
              <w:t>percentile</w:t>
            </w:r>
          </w:p>
        </w:tc>
      </w:tr>
      <w:tr w:rsidR="007C4C56" w:rsidRPr="0014243D" w14:paraId="65F1938F" w14:textId="77777777" w:rsidTr="00E2379F">
        <w:trPr>
          <w:cnfStyle w:val="010000000000" w:firstRow="0" w:lastRow="1" w:firstColumn="0" w:lastColumn="0" w:oddVBand="0" w:evenVBand="0" w:oddHBand="0" w:evenHBand="0" w:firstRowFirstColumn="0" w:firstRowLastColumn="0" w:lastRowFirstColumn="0" w:lastRowLastColumn="0"/>
          <w:trHeight w:val="242"/>
        </w:trPr>
        <w:tc>
          <w:tcPr>
            <w:tcW w:w="924" w:type="pct"/>
            <w:tcBorders>
              <w:top w:val="single" w:sz="4" w:space="0" w:color="auto"/>
            </w:tcBorders>
          </w:tcPr>
          <w:p w14:paraId="36362C24" w14:textId="77777777" w:rsidR="001D3F94" w:rsidRPr="0014243D" w:rsidRDefault="001D3F94" w:rsidP="001D3F94">
            <w:pPr>
              <w:pStyle w:val="TableText-cent"/>
              <w:jc w:val="left"/>
              <w:rPr>
                <w:color w:val="0000FF"/>
                <w:sz w:val="18"/>
                <w:szCs w:val="18"/>
              </w:rPr>
            </w:pPr>
            <w:r w:rsidRPr="0014243D">
              <w:rPr>
                <w:color w:val="0000FF"/>
                <w:sz w:val="18"/>
                <w:szCs w:val="18"/>
              </w:rPr>
              <w:t>Age ≥ 85</w:t>
            </w:r>
          </w:p>
        </w:tc>
        <w:tc>
          <w:tcPr>
            <w:tcW w:w="455" w:type="pct"/>
            <w:tcBorders>
              <w:top w:val="single" w:sz="4" w:space="0" w:color="auto"/>
            </w:tcBorders>
            <w:vAlign w:val="center"/>
          </w:tcPr>
          <w:p w14:paraId="574822B7" w14:textId="4663D84B" w:rsidR="001D3F94" w:rsidRPr="0014243D" w:rsidRDefault="00640CC5" w:rsidP="00CD73D8">
            <w:pPr>
              <w:pStyle w:val="TableText-cent"/>
              <w:rPr>
                <w:color w:val="0000FF"/>
                <w:sz w:val="18"/>
                <w:szCs w:val="18"/>
              </w:rPr>
            </w:pPr>
            <w:r w:rsidRPr="0014243D">
              <w:rPr>
                <w:color w:val="0000FF"/>
                <w:sz w:val="18"/>
                <w:szCs w:val="18"/>
              </w:rPr>
              <w:t>14</w:t>
            </w:r>
            <w:r w:rsidR="00B2419C" w:rsidRPr="0014243D">
              <w:rPr>
                <w:color w:val="0000FF"/>
                <w:sz w:val="18"/>
                <w:szCs w:val="18"/>
              </w:rPr>
              <w:t>,</w:t>
            </w:r>
            <w:r w:rsidRPr="0014243D">
              <w:rPr>
                <w:color w:val="0000FF"/>
                <w:sz w:val="18"/>
                <w:szCs w:val="18"/>
              </w:rPr>
              <w:t>4</w:t>
            </w:r>
            <w:r w:rsidR="00C21DD5" w:rsidRPr="0014243D">
              <w:rPr>
                <w:color w:val="0000FF"/>
                <w:sz w:val="18"/>
                <w:szCs w:val="18"/>
              </w:rPr>
              <w:t>96</w:t>
            </w:r>
          </w:p>
        </w:tc>
        <w:tc>
          <w:tcPr>
            <w:tcW w:w="450" w:type="pct"/>
            <w:tcBorders>
              <w:top w:val="single" w:sz="4" w:space="0" w:color="auto"/>
            </w:tcBorders>
            <w:vAlign w:val="center"/>
          </w:tcPr>
          <w:p w14:paraId="0568A4D2" w14:textId="7F6D8305" w:rsidR="001D3F94" w:rsidRPr="0014243D" w:rsidRDefault="007772D0" w:rsidP="00CD73D8">
            <w:pPr>
              <w:pStyle w:val="TableText-cent"/>
              <w:rPr>
                <w:color w:val="0000FF"/>
                <w:sz w:val="18"/>
                <w:szCs w:val="18"/>
              </w:rPr>
            </w:pPr>
            <w:r w:rsidRPr="0014243D">
              <w:rPr>
                <w:color w:val="0000FF"/>
                <w:sz w:val="18"/>
                <w:szCs w:val="18"/>
              </w:rPr>
              <w:t>4</w:t>
            </w:r>
            <w:r w:rsidR="00177FEF" w:rsidRPr="0014243D">
              <w:rPr>
                <w:color w:val="0000FF"/>
                <w:sz w:val="18"/>
                <w:szCs w:val="18"/>
              </w:rPr>
              <w:t>0.7</w:t>
            </w:r>
            <w:r w:rsidRPr="0014243D">
              <w:rPr>
                <w:color w:val="0000FF"/>
                <w:sz w:val="18"/>
                <w:szCs w:val="18"/>
              </w:rPr>
              <w:t>%</w:t>
            </w:r>
          </w:p>
        </w:tc>
        <w:tc>
          <w:tcPr>
            <w:tcW w:w="396" w:type="pct"/>
            <w:tcBorders>
              <w:top w:val="single" w:sz="4" w:space="0" w:color="auto"/>
            </w:tcBorders>
            <w:vAlign w:val="center"/>
          </w:tcPr>
          <w:p w14:paraId="1A87B3B4" w14:textId="3244F43E" w:rsidR="001D3F94" w:rsidRPr="0014243D" w:rsidRDefault="007772D0" w:rsidP="00CD73D8">
            <w:pPr>
              <w:pStyle w:val="TableText-cent"/>
              <w:rPr>
                <w:color w:val="0000FF"/>
                <w:sz w:val="18"/>
                <w:szCs w:val="18"/>
              </w:rPr>
            </w:pPr>
            <w:r w:rsidRPr="0014243D">
              <w:rPr>
                <w:color w:val="0000FF"/>
                <w:sz w:val="18"/>
                <w:szCs w:val="18"/>
              </w:rPr>
              <w:t>19.7%</w:t>
            </w:r>
          </w:p>
        </w:tc>
        <w:tc>
          <w:tcPr>
            <w:tcW w:w="556" w:type="pct"/>
            <w:tcBorders>
              <w:top w:val="single" w:sz="4" w:space="0" w:color="auto"/>
            </w:tcBorders>
            <w:vAlign w:val="center"/>
          </w:tcPr>
          <w:p w14:paraId="6305C8B2" w14:textId="2748457D" w:rsidR="001D3F94" w:rsidRPr="0014243D" w:rsidRDefault="007772D0" w:rsidP="00CD73D8">
            <w:pPr>
              <w:pStyle w:val="TableText-cent"/>
              <w:rPr>
                <w:color w:val="0000FF"/>
                <w:sz w:val="18"/>
                <w:szCs w:val="18"/>
              </w:rPr>
            </w:pPr>
            <w:r w:rsidRPr="0014243D">
              <w:rPr>
                <w:color w:val="0000FF"/>
                <w:sz w:val="18"/>
                <w:szCs w:val="18"/>
              </w:rPr>
              <w:t>15.</w:t>
            </w:r>
            <w:r w:rsidR="00177FEF" w:rsidRPr="0014243D">
              <w:rPr>
                <w:color w:val="0000FF"/>
                <w:sz w:val="18"/>
                <w:szCs w:val="18"/>
              </w:rPr>
              <w:t>1</w:t>
            </w:r>
            <w:r w:rsidRPr="0014243D">
              <w:rPr>
                <w:color w:val="0000FF"/>
                <w:sz w:val="18"/>
                <w:szCs w:val="18"/>
              </w:rPr>
              <w:t>%</w:t>
            </w:r>
          </w:p>
        </w:tc>
        <w:tc>
          <w:tcPr>
            <w:tcW w:w="556" w:type="pct"/>
            <w:tcBorders>
              <w:top w:val="single" w:sz="4" w:space="0" w:color="auto"/>
            </w:tcBorders>
            <w:vAlign w:val="center"/>
          </w:tcPr>
          <w:p w14:paraId="6FF1395D" w14:textId="1A9E8AD4" w:rsidR="001D3F94" w:rsidRPr="0014243D" w:rsidRDefault="007772D0" w:rsidP="00CD73D8">
            <w:pPr>
              <w:pStyle w:val="TableText-cent"/>
              <w:rPr>
                <w:color w:val="0000FF"/>
                <w:sz w:val="18"/>
                <w:szCs w:val="18"/>
              </w:rPr>
            </w:pPr>
            <w:r w:rsidRPr="0014243D">
              <w:rPr>
                <w:color w:val="0000FF"/>
                <w:sz w:val="18"/>
                <w:szCs w:val="18"/>
              </w:rPr>
              <w:t>26.</w:t>
            </w:r>
            <w:r w:rsidR="00177FEF" w:rsidRPr="0014243D">
              <w:rPr>
                <w:color w:val="0000FF"/>
                <w:sz w:val="18"/>
                <w:szCs w:val="18"/>
              </w:rPr>
              <w:t>3</w:t>
            </w:r>
            <w:r w:rsidRPr="0014243D">
              <w:rPr>
                <w:color w:val="0000FF"/>
                <w:sz w:val="18"/>
                <w:szCs w:val="18"/>
              </w:rPr>
              <w:t>%</w:t>
            </w:r>
          </w:p>
        </w:tc>
        <w:tc>
          <w:tcPr>
            <w:tcW w:w="556" w:type="pct"/>
            <w:tcBorders>
              <w:top w:val="single" w:sz="4" w:space="0" w:color="auto"/>
            </w:tcBorders>
            <w:vAlign w:val="center"/>
          </w:tcPr>
          <w:p w14:paraId="1432A9C9" w14:textId="4F40A641" w:rsidR="001D3F94" w:rsidRPr="0014243D" w:rsidRDefault="007772D0" w:rsidP="00CD73D8">
            <w:pPr>
              <w:pStyle w:val="TableText-cent"/>
              <w:rPr>
                <w:color w:val="0000FF"/>
                <w:sz w:val="18"/>
                <w:szCs w:val="18"/>
              </w:rPr>
            </w:pPr>
            <w:r w:rsidRPr="0014243D">
              <w:rPr>
                <w:color w:val="0000FF"/>
                <w:sz w:val="18"/>
                <w:szCs w:val="18"/>
              </w:rPr>
              <w:t>40.</w:t>
            </w:r>
            <w:r w:rsidR="00177FEF" w:rsidRPr="0014243D">
              <w:rPr>
                <w:color w:val="0000FF"/>
                <w:sz w:val="18"/>
                <w:szCs w:val="18"/>
              </w:rPr>
              <w:t>0</w:t>
            </w:r>
            <w:r w:rsidRPr="0014243D">
              <w:rPr>
                <w:color w:val="0000FF"/>
                <w:sz w:val="18"/>
                <w:szCs w:val="18"/>
              </w:rPr>
              <w:t>%</w:t>
            </w:r>
          </w:p>
        </w:tc>
        <w:tc>
          <w:tcPr>
            <w:tcW w:w="556" w:type="pct"/>
            <w:tcBorders>
              <w:top w:val="single" w:sz="4" w:space="0" w:color="auto"/>
            </w:tcBorders>
            <w:vAlign w:val="center"/>
          </w:tcPr>
          <w:p w14:paraId="76A84761" w14:textId="7E36F123" w:rsidR="007772D0" w:rsidRPr="0014243D" w:rsidRDefault="007772D0" w:rsidP="00CD73D8">
            <w:pPr>
              <w:pStyle w:val="TableText-cent"/>
              <w:rPr>
                <w:color w:val="0000FF"/>
                <w:sz w:val="18"/>
                <w:szCs w:val="18"/>
              </w:rPr>
            </w:pPr>
            <w:r w:rsidRPr="0014243D">
              <w:rPr>
                <w:color w:val="0000FF"/>
                <w:sz w:val="18"/>
                <w:szCs w:val="18"/>
              </w:rPr>
              <w:t>5</w:t>
            </w:r>
            <w:r w:rsidR="00177FEF" w:rsidRPr="0014243D">
              <w:rPr>
                <w:color w:val="0000FF"/>
                <w:sz w:val="18"/>
                <w:szCs w:val="18"/>
              </w:rPr>
              <w:t>4.7</w:t>
            </w:r>
            <w:r w:rsidRPr="0014243D">
              <w:rPr>
                <w:color w:val="0000FF"/>
                <w:sz w:val="18"/>
                <w:szCs w:val="18"/>
              </w:rPr>
              <w:t>%</w:t>
            </w:r>
          </w:p>
        </w:tc>
        <w:tc>
          <w:tcPr>
            <w:tcW w:w="554" w:type="pct"/>
            <w:tcBorders>
              <w:top w:val="single" w:sz="4" w:space="0" w:color="auto"/>
            </w:tcBorders>
            <w:vAlign w:val="center"/>
          </w:tcPr>
          <w:p w14:paraId="30C73965" w14:textId="1CCDD0A4" w:rsidR="001D3F94" w:rsidRPr="0014243D" w:rsidRDefault="007772D0" w:rsidP="00CD73D8">
            <w:pPr>
              <w:pStyle w:val="TableText-cent"/>
              <w:rPr>
                <w:color w:val="0000FF"/>
                <w:sz w:val="18"/>
                <w:szCs w:val="18"/>
              </w:rPr>
            </w:pPr>
            <w:r w:rsidRPr="0014243D">
              <w:rPr>
                <w:color w:val="0000FF"/>
                <w:sz w:val="18"/>
                <w:szCs w:val="18"/>
              </w:rPr>
              <w:t>67.</w:t>
            </w:r>
            <w:r w:rsidR="00177FEF" w:rsidRPr="0014243D">
              <w:rPr>
                <w:color w:val="0000FF"/>
                <w:sz w:val="18"/>
                <w:szCs w:val="18"/>
              </w:rPr>
              <w:t>4</w:t>
            </w:r>
            <w:r w:rsidRPr="0014243D">
              <w:rPr>
                <w:color w:val="0000FF"/>
                <w:sz w:val="18"/>
                <w:szCs w:val="18"/>
              </w:rPr>
              <w:t>%</w:t>
            </w:r>
          </w:p>
        </w:tc>
      </w:tr>
    </w:tbl>
    <w:p w14:paraId="1E609C9A" w14:textId="2CE16178" w:rsidR="001D3F94" w:rsidRPr="00024B54" w:rsidRDefault="00E2373F" w:rsidP="0014243D">
      <w:pPr>
        <w:autoSpaceDE w:val="0"/>
        <w:autoSpaceDN w:val="0"/>
        <w:adjustRightInd w:val="0"/>
        <w:spacing w:after="240" w:line="240" w:lineRule="auto"/>
        <w:rPr>
          <w:rFonts w:ascii="Calibri" w:eastAsia="MS Mincho" w:hAnsi="Calibri" w:cs="Calibri"/>
          <w:bCs/>
          <w:color w:val="0000FF"/>
          <w:sz w:val="20"/>
          <w:szCs w:val="20"/>
        </w:rPr>
      </w:pPr>
      <w:r>
        <w:rPr>
          <w:rFonts w:eastAsia="Times New Roman" w:cs="Times New Roman"/>
          <w:color w:val="0000FF"/>
          <w:sz w:val="20"/>
          <w:szCs w:val="20"/>
        </w:rPr>
        <w:t>Source</w:t>
      </w:r>
      <w:r w:rsidR="001D3F94" w:rsidRPr="003D41FD">
        <w:rPr>
          <w:rFonts w:eastAsia="Times New Roman" w:cs="Times New Roman"/>
          <w:color w:val="0000FF"/>
          <w:sz w:val="20"/>
          <w:szCs w:val="20"/>
        </w:rPr>
        <w:t>: RTI analysis of MDS 3.0 Data, Q</w:t>
      </w:r>
      <w:r w:rsidR="00C331FA">
        <w:rPr>
          <w:rFonts w:eastAsia="Times New Roman" w:cs="Times New Roman"/>
          <w:color w:val="0000FF"/>
          <w:sz w:val="20"/>
          <w:szCs w:val="20"/>
        </w:rPr>
        <w:t>3</w:t>
      </w:r>
      <w:r w:rsidR="001D3F94" w:rsidRPr="003D41FD">
        <w:rPr>
          <w:rFonts w:eastAsia="Times New Roman" w:cs="Times New Roman"/>
          <w:color w:val="0000FF"/>
          <w:sz w:val="20"/>
          <w:szCs w:val="20"/>
        </w:rPr>
        <w:t xml:space="preserve"> </w:t>
      </w:r>
      <w:r w:rsidR="007177D0" w:rsidRPr="003D41FD">
        <w:rPr>
          <w:rFonts w:eastAsia="Times New Roman" w:cs="Times New Roman"/>
          <w:color w:val="0000FF"/>
          <w:sz w:val="20"/>
          <w:szCs w:val="20"/>
        </w:rPr>
        <w:t xml:space="preserve">2018 </w:t>
      </w:r>
      <w:r w:rsidR="001D3F94" w:rsidRPr="003D41FD">
        <w:rPr>
          <w:rFonts w:eastAsia="Times New Roman" w:cs="Times New Roman"/>
          <w:color w:val="0000FF"/>
          <w:sz w:val="20"/>
          <w:szCs w:val="20"/>
        </w:rPr>
        <w:t xml:space="preserve">(programming reference: </w:t>
      </w:r>
      <w:r w:rsidR="00884F33">
        <w:rPr>
          <w:rFonts w:eastAsia="Times New Roman" w:cs="Times New Roman"/>
          <w:color w:val="0000FF"/>
          <w:sz w:val="20"/>
          <w:szCs w:val="20"/>
        </w:rPr>
        <w:t>KH</w:t>
      </w:r>
      <w:r w:rsidR="00C331FA">
        <w:rPr>
          <w:rFonts w:eastAsia="Times New Roman" w:cs="Times New Roman"/>
          <w:color w:val="0000FF"/>
          <w:sz w:val="20"/>
          <w:szCs w:val="20"/>
        </w:rPr>
        <w:t>42</w:t>
      </w:r>
      <w:r w:rsidR="0032491A" w:rsidRPr="00231383">
        <w:rPr>
          <w:rFonts w:eastAsia="Times New Roman" w:cs="Times New Roman"/>
          <w:color w:val="0000FF"/>
          <w:sz w:val="20"/>
          <w:szCs w:val="20"/>
        </w:rPr>
        <w:t>/hf11_request_684</w:t>
      </w:r>
      <w:r w:rsidR="00C331FA">
        <w:rPr>
          <w:rFonts w:eastAsia="Times New Roman" w:cs="Times New Roman"/>
          <w:color w:val="0000FF"/>
          <w:sz w:val="20"/>
          <w:szCs w:val="20"/>
        </w:rPr>
        <w:t>_30_31</w:t>
      </w:r>
      <w:r w:rsidR="0032491A" w:rsidRPr="00231383">
        <w:rPr>
          <w:rFonts w:eastAsia="Times New Roman" w:cs="Times New Roman"/>
          <w:color w:val="0000FF"/>
          <w:sz w:val="20"/>
          <w:szCs w:val="20"/>
        </w:rPr>
        <w:t>.log</w:t>
      </w:r>
      <w:r w:rsidR="001D3F94" w:rsidRPr="003D41FD">
        <w:rPr>
          <w:rFonts w:eastAsia="Times New Roman" w:cs="Times New Roman"/>
          <w:color w:val="0000FF"/>
          <w:sz w:val="20"/>
          <w:szCs w:val="20"/>
        </w:rPr>
        <w:t>)</w:t>
      </w:r>
      <w:r w:rsidR="001D3F94" w:rsidRPr="00024B54">
        <w:rPr>
          <w:rFonts w:ascii="Calibri" w:eastAsia="MS Mincho" w:hAnsi="Calibri" w:cs="Calibri"/>
          <w:bCs/>
          <w:color w:val="0000FF"/>
          <w:sz w:val="20"/>
          <w:szCs w:val="20"/>
        </w:rPr>
        <w:t xml:space="preserve"> </w:t>
      </w:r>
    </w:p>
    <w:p w14:paraId="65388773" w14:textId="763CCCAF" w:rsidR="000F2FB5" w:rsidRDefault="00CE68E7" w:rsidP="0014243D">
      <w:pPr>
        <w:pStyle w:val="Response"/>
        <w:ind w:left="360"/>
        <w:rPr>
          <w:rFonts w:ascii="Calibri" w:eastAsia="MS Mincho" w:hAnsi="Calibri" w:cs="Calibri"/>
          <w:bCs w:val="0"/>
        </w:rPr>
      </w:pPr>
      <w:r>
        <w:rPr>
          <w:rFonts w:ascii="Calibri" w:eastAsia="MS Mincho" w:hAnsi="Calibri" w:cs="Calibri"/>
          <w:bCs w:val="0"/>
        </w:rPr>
        <w:t>As the analys</w:t>
      </w:r>
      <w:r w:rsidR="00C17E0F">
        <w:rPr>
          <w:rFonts w:ascii="Calibri" w:eastAsia="MS Mincho" w:hAnsi="Calibri" w:cs="Calibri"/>
          <w:bCs w:val="0"/>
        </w:rPr>
        <w:t>is</w:t>
      </w:r>
      <w:r>
        <w:rPr>
          <w:rFonts w:ascii="Calibri" w:eastAsia="MS Mincho" w:hAnsi="Calibri" w:cs="Calibri"/>
          <w:bCs w:val="0"/>
        </w:rPr>
        <w:t xml:space="preserve"> in </w:t>
      </w:r>
      <w:r w:rsidR="000736B9" w:rsidRPr="00630A97">
        <w:rPr>
          <w:rFonts w:ascii="Calibri" w:eastAsia="MS Mincho" w:hAnsi="Calibri" w:cs="Calibri"/>
          <w:b/>
          <w:i/>
          <w:iCs/>
        </w:rPr>
        <w:t xml:space="preserve">Table </w:t>
      </w:r>
      <w:r w:rsidR="00D429B0" w:rsidRPr="00630A97">
        <w:rPr>
          <w:rFonts w:ascii="Calibri" w:eastAsia="MS Mincho" w:hAnsi="Calibri" w:cs="Calibri"/>
          <w:b/>
          <w:i/>
          <w:iCs/>
        </w:rPr>
        <w:t>4</w:t>
      </w:r>
      <w:r w:rsidR="001D3860">
        <w:rPr>
          <w:rFonts w:ascii="Calibri" w:eastAsia="MS Mincho" w:hAnsi="Calibri" w:cs="Calibri"/>
          <w:bCs w:val="0"/>
        </w:rPr>
        <w:t xml:space="preserve"> above</w:t>
      </w:r>
      <w:r w:rsidR="00C17E0F" w:rsidRPr="009162EA">
        <w:rPr>
          <w:rFonts w:ascii="Calibri" w:eastAsia="MS Mincho" w:hAnsi="Calibri" w:cs="Calibri"/>
          <w:bCs w:val="0"/>
        </w:rPr>
        <w:t xml:space="preserve"> </w:t>
      </w:r>
      <w:r>
        <w:rPr>
          <w:rFonts w:ascii="Calibri" w:eastAsia="MS Mincho" w:hAnsi="Calibri" w:cs="Calibri"/>
          <w:bCs w:val="0"/>
        </w:rPr>
        <w:t>indicate</w:t>
      </w:r>
      <w:r w:rsidR="00E857FF">
        <w:rPr>
          <w:rFonts w:ascii="Calibri" w:eastAsia="MS Mincho" w:hAnsi="Calibri" w:cs="Calibri"/>
          <w:bCs w:val="0"/>
        </w:rPr>
        <w:t>s</w:t>
      </w:r>
      <w:r>
        <w:rPr>
          <w:rFonts w:ascii="Calibri" w:eastAsia="MS Mincho" w:hAnsi="Calibri" w:cs="Calibri"/>
          <w:bCs w:val="0"/>
        </w:rPr>
        <w:t>,</w:t>
      </w:r>
      <w:r w:rsidR="00F3630B">
        <w:rPr>
          <w:rFonts w:ascii="Calibri" w:eastAsia="MS Mincho" w:hAnsi="Calibri" w:cs="Calibri"/>
          <w:bCs w:val="0"/>
        </w:rPr>
        <w:t xml:space="preserve"> </w:t>
      </w:r>
      <w:r w:rsidR="003558A3">
        <w:rPr>
          <w:rFonts w:ascii="Calibri" w:eastAsia="MS Mincho" w:hAnsi="Calibri" w:cs="Calibri"/>
        </w:rPr>
        <w:t>a</w:t>
      </w:r>
      <w:r w:rsidR="001D3F94" w:rsidRPr="003D41FD">
        <w:rPr>
          <w:rFonts w:ascii="Calibri" w:eastAsia="MS Mincho" w:hAnsi="Calibri" w:cs="Calibri"/>
        </w:rPr>
        <w:t>ge of 85 years and older was also associated with</w:t>
      </w:r>
      <w:r w:rsidR="004B06A6" w:rsidRPr="003D41FD">
        <w:rPr>
          <w:rFonts w:ascii="Calibri" w:eastAsia="MS Mincho" w:hAnsi="Calibri" w:cs="Calibri"/>
        </w:rPr>
        <w:t xml:space="preserve"> urinary tract infections</w:t>
      </w:r>
      <w:r w:rsidR="000A6C1D">
        <w:rPr>
          <w:rFonts w:ascii="Calibri" w:eastAsia="MS Mincho" w:hAnsi="Calibri" w:cs="Calibri"/>
          <w:bCs w:val="0"/>
        </w:rPr>
        <w:t xml:space="preserve"> and</w:t>
      </w:r>
      <w:r w:rsidR="004B06A6" w:rsidDel="000A6C1D">
        <w:rPr>
          <w:rFonts w:ascii="Calibri" w:eastAsia="MS Mincho" w:hAnsi="Calibri" w:cs="Calibri"/>
        </w:rPr>
        <w:t xml:space="preserve"> </w:t>
      </w:r>
      <w:r w:rsidR="001D3F94" w:rsidRPr="003D41FD">
        <w:rPr>
          <w:rFonts w:ascii="Calibri" w:eastAsia="MS Mincho" w:hAnsi="Calibri" w:cs="Calibri"/>
        </w:rPr>
        <w:t>the difference in the proportion of residents who trigger the numerator by age</w:t>
      </w:r>
      <w:r w:rsidR="000A6C1D">
        <w:rPr>
          <w:rFonts w:ascii="Calibri" w:eastAsia="MS Mincho" w:hAnsi="Calibri" w:cs="Calibri"/>
          <w:bCs w:val="0"/>
        </w:rPr>
        <w:t xml:space="preserve"> group</w:t>
      </w:r>
      <w:r w:rsidR="001D3F94" w:rsidRPr="003D41FD">
        <w:rPr>
          <w:rFonts w:ascii="Calibri" w:eastAsia="MS Mincho" w:hAnsi="Calibri" w:cs="Calibri"/>
        </w:rPr>
        <w:t xml:space="preserve"> </w:t>
      </w:r>
      <w:r w:rsidR="001D3F94" w:rsidRPr="006C1FB8">
        <w:rPr>
          <w:rFonts w:ascii="Calibri" w:eastAsia="MS Mincho" w:hAnsi="Calibri" w:cs="Calibri"/>
        </w:rPr>
        <w:t xml:space="preserve">is </w:t>
      </w:r>
      <w:r w:rsidR="006C1FB8" w:rsidRPr="006C1FB8">
        <w:rPr>
          <w:rFonts w:ascii="Calibri" w:eastAsia="MS Mincho" w:hAnsi="Calibri" w:cs="Calibri"/>
        </w:rPr>
        <w:t>small</w:t>
      </w:r>
      <w:r w:rsidR="001D3F94" w:rsidRPr="006C1FB8">
        <w:rPr>
          <w:rFonts w:ascii="Calibri" w:eastAsia="MS Mincho" w:hAnsi="Calibri" w:cs="Calibri"/>
        </w:rPr>
        <w:t xml:space="preserve"> </w:t>
      </w:r>
      <w:r w:rsidR="006C1FB8">
        <w:rPr>
          <w:rFonts w:ascii="Calibri" w:eastAsia="MS Mincho" w:hAnsi="Calibri" w:cs="Calibri"/>
        </w:rPr>
        <w:t>but</w:t>
      </w:r>
      <w:r w:rsidR="001D3F94" w:rsidRPr="003D41FD">
        <w:rPr>
          <w:rFonts w:ascii="Calibri" w:eastAsia="MS Mincho" w:hAnsi="Calibri" w:cs="Calibri"/>
        </w:rPr>
        <w:t xml:space="preserve"> statistically significant</w:t>
      </w:r>
      <w:r w:rsidR="000A6C1D">
        <w:rPr>
          <w:rFonts w:ascii="Calibri" w:eastAsia="MS Mincho" w:hAnsi="Calibri" w:cs="Calibri"/>
          <w:bCs w:val="0"/>
        </w:rPr>
        <w:t>.</w:t>
      </w:r>
      <w:r w:rsidR="003558A3">
        <w:rPr>
          <w:rFonts w:ascii="Calibri" w:eastAsia="MS Mincho" w:hAnsi="Calibri" w:cs="Calibri"/>
          <w:bCs w:val="0"/>
        </w:rPr>
        <w:t xml:space="preserve"> Coupled with the </w:t>
      </w:r>
      <w:r w:rsidR="00B96C6B">
        <w:rPr>
          <w:rFonts w:ascii="Calibri" w:eastAsia="MS Mincho" w:hAnsi="Calibri" w:cs="Calibri"/>
          <w:bCs w:val="0"/>
        </w:rPr>
        <w:t xml:space="preserve">wide range </w:t>
      </w:r>
      <w:r w:rsidR="00F42324">
        <w:rPr>
          <w:rFonts w:ascii="Calibri" w:eastAsia="MS Mincho" w:hAnsi="Calibri" w:cs="Calibri"/>
          <w:bCs w:val="0"/>
        </w:rPr>
        <w:t>of</w:t>
      </w:r>
      <w:r w:rsidR="00F640BB">
        <w:rPr>
          <w:rFonts w:ascii="Calibri" w:eastAsia="MS Mincho" w:hAnsi="Calibri" w:cs="Calibri"/>
          <w:bCs w:val="0"/>
        </w:rPr>
        <w:t xml:space="preserve"> percentage of</w:t>
      </w:r>
      <w:r w:rsidR="00F42324">
        <w:rPr>
          <w:rFonts w:ascii="Calibri" w:eastAsia="MS Mincho" w:hAnsi="Calibri" w:cs="Calibri"/>
          <w:bCs w:val="0"/>
        </w:rPr>
        <w:t xml:space="preserve"> oldest old</w:t>
      </w:r>
      <w:r w:rsidR="00F640BB">
        <w:rPr>
          <w:rFonts w:ascii="Calibri" w:eastAsia="MS Mincho" w:hAnsi="Calibri" w:cs="Calibri"/>
          <w:bCs w:val="0"/>
        </w:rPr>
        <w:t xml:space="preserve"> residents</w:t>
      </w:r>
      <w:r w:rsidR="00F42324">
        <w:rPr>
          <w:rFonts w:ascii="Calibri" w:eastAsia="MS Mincho" w:hAnsi="Calibri" w:cs="Calibri"/>
          <w:bCs w:val="0"/>
        </w:rPr>
        <w:t>,</w:t>
      </w:r>
      <w:r w:rsidR="000A6C1D">
        <w:rPr>
          <w:rFonts w:ascii="Calibri" w:eastAsia="MS Mincho" w:hAnsi="Calibri" w:cs="Calibri"/>
          <w:bCs w:val="0"/>
        </w:rPr>
        <w:t xml:space="preserve"> </w:t>
      </w:r>
      <w:r w:rsidR="001D3F94" w:rsidRPr="003D41FD">
        <w:rPr>
          <w:rFonts w:ascii="Calibri" w:eastAsia="MS Mincho" w:hAnsi="Calibri" w:cs="Calibri"/>
        </w:rPr>
        <w:t>we further considered age of 85 years and older as a potential risk adjustor for this measure.</w:t>
      </w:r>
      <w:r w:rsidR="00F42324">
        <w:rPr>
          <w:rFonts w:ascii="Calibri" w:eastAsia="MS Mincho" w:hAnsi="Calibri" w:cs="Calibri"/>
        </w:rPr>
        <w:t xml:space="preserve"> We ran </w:t>
      </w:r>
      <w:r w:rsidR="00914ECC">
        <w:rPr>
          <w:rFonts w:ascii="Calibri" w:eastAsia="MS Mincho" w:hAnsi="Calibri" w:cs="Calibri"/>
        </w:rPr>
        <w:t xml:space="preserve">a </w:t>
      </w:r>
      <w:r w:rsidR="00F42324">
        <w:rPr>
          <w:rFonts w:ascii="Calibri" w:eastAsia="MS Mincho" w:hAnsi="Calibri" w:cs="Calibri"/>
        </w:rPr>
        <w:t xml:space="preserve">model risk adjusted for oldest old. </w:t>
      </w:r>
    </w:p>
    <w:p w14:paraId="7B136F1F" w14:textId="054729D3" w:rsidR="001D3F94" w:rsidRPr="003D41FD" w:rsidRDefault="001D3F94" w:rsidP="0014243D">
      <w:pPr>
        <w:pStyle w:val="Response"/>
        <w:ind w:left="360"/>
      </w:pPr>
      <w:r w:rsidRPr="003D41FD">
        <w:rPr>
          <w:rFonts w:ascii="Calibri" w:eastAsia="MS Mincho" w:hAnsi="Calibri" w:cs="Calibri"/>
        </w:rPr>
        <w:t xml:space="preserve">In </w:t>
      </w:r>
      <w:r w:rsidR="0067560F">
        <w:rPr>
          <w:rFonts w:ascii="Calibri" w:eastAsia="MS Mincho" w:hAnsi="Calibri" w:cs="Calibri"/>
        </w:rPr>
        <w:t>the candidate model</w:t>
      </w:r>
      <w:r w:rsidRPr="003D41FD">
        <w:rPr>
          <w:rFonts w:ascii="Calibri" w:eastAsia="MS Mincho" w:hAnsi="Calibri" w:cs="Calibri"/>
        </w:rPr>
        <w:t>, t</w:t>
      </w:r>
      <w:r w:rsidRPr="003D41FD">
        <w:t xml:space="preserve">he odds ratio for oldest old is </w:t>
      </w:r>
      <w:r w:rsidR="00F854A0" w:rsidRPr="003D41FD">
        <w:t>1.1</w:t>
      </w:r>
      <w:r w:rsidR="00EB63D2">
        <w:t>0</w:t>
      </w:r>
      <w:r w:rsidR="00F854A0" w:rsidRPr="003D41FD">
        <w:t xml:space="preserve"> </w:t>
      </w:r>
      <w:r w:rsidRPr="003D41FD">
        <w:t>(95% CI = [</w:t>
      </w:r>
      <w:r w:rsidR="00F854A0" w:rsidRPr="003D41FD">
        <w:t>1.0</w:t>
      </w:r>
      <w:r w:rsidR="00EB63D2">
        <w:t>7</w:t>
      </w:r>
      <w:r w:rsidRPr="003D41FD">
        <w:t xml:space="preserve">, </w:t>
      </w:r>
      <w:r w:rsidR="005677BD" w:rsidRPr="003D41FD">
        <w:t>1.1</w:t>
      </w:r>
      <w:r w:rsidR="00EB63D2">
        <w:t>2</w:t>
      </w:r>
      <w:r w:rsidRPr="003D41FD">
        <w:t>]), and is statistically significant at the 0.05 level</w:t>
      </w:r>
      <w:r w:rsidRPr="00D214F0">
        <w:t>.</w:t>
      </w:r>
      <w:r w:rsidR="00E87D6C">
        <w:t xml:space="preserve"> </w:t>
      </w:r>
      <w:r w:rsidRPr="00D214F0">
        <w:rPr>
          <w:rFonts w:ascii="Calibri" w:eastAsia="MS Mincho" w:hAnsi="Calibri" w:cs="Calibri"/>
          <w:bCs w:val="0"/>
        </w:rPr>
        <w:t>Consistent with previous studies,</w:t>
      </w:r>
      <w:r w:rsidR="005677BD" w:rsidRPr="00DA4AF5">
        <w:rPr>
          <w:rFonts w:ascii="Calibri" w:eastAsia="MS Mincho" w:hAnsi="Calibri" w:cs="Calibri"/>
          <w:bCs w:val="0"/>
        </w:rPr>
        <w:t xml:space="preserve"> </w:t>
      </w:r>
      <w:r w:rsidR="004B06A6" w:rsidRPr="00DA4AF5">
        <w:rPr>
          <w:rFonts w:ascii="Calibri" w:eastAsia="MS Mincho" w:hAnsi="Calibri" w:cs="Calibri"/>
        </w:rPr>
        <w:t>the</w:t>
      </w:r>
      <w:r w:rsidR="004B06A6" w:rsidRPr="003D41FD">
        <w:rPr>
          <w:rFonts w:ascii="Calibri" w:eastAsia="MS Mincho" w:hAnsi="Calibri" w:cs="Calibri"/>
        </w:rPr>
        <w:t xml:space="preserve"> odds of urinary tract infections </w:t>
      </w:r>
      <w:r w:rsidRPr="003D41FD">
        <w:rPr>
          <w:rFonts w:ascii="Calibri" w:eastAsia="MS Mincho" w:hAnsi="Calibri" w:cs="Calibri"/>
        </w:rPr>
        <w:t xml:space="preserve">are </w:t>
      </w:r>
      <w:r w:rsidR="005677BD" w:rsidRPr="003D41FD">
        <w:rPr>
          <w:rFonts w:ascii="Calibri" w:eastAsia="MS Mincho" w:hAnsi="Calibri" w:cs="Calibri"/>
        </w:rPr>
        <w:t>1</w:t>
      </w:r>
      <w:r w:rsidR="0092419D">
        <w:rPr>
          <w:rFonts w:ascii="Calibri" w:eastAsia="MS Mincho" w:hAnsi="Calibri" w:cs="Calibri"/>
        </w:rPr>
        <w:t>0</w:t>
      </w:r>
      <w:r w:rsidRPr="003D41FD">
        <w:rPr>
          <w:rFonts w:ascii="Calibri" w:eastAsia="MS Mincho" w:hAnsi="Calibri" w:cs="Calibri"/>
        </w:rPr>
        <w:t xml:space="preserve">% </w:t>
      </w:r>
      <w:r w:rsidR="005677BD" w:rsidRPr="003D41FD">
        <w:rPr>
          <w:rFonts w:ascii="Calibri" w:eastAsia="MS Mincho" w:hAnsi="Calibri" w:cs="Calibri"/>
        </w:rPr>
        <w:t>higher</w:t>
      </w:r>
      <w:r w:rsidR="005677BD">
        <w:rPr>
          <w:rFonts w:ascii="Calibri" w:eastAsia="MS Mincho" w:hAnsi="Calibri" w:cs="Calibri"/>
          <w:bCs w:val="0"/>
        </w:rPr>
        <w:t xml:space="preserve"> </w:t>
      </w:r>
      <w:r w:rsidRPr="003D41FD">
        <w:rPr>
          <w:rFonts w:ascii="Calibri" w:eastAsia="MS Mincho" w:hAnsi="Calibri" w:cs="Calibri"/>
        </w:rPr>
        <w:t>among residents aged 85 and older, compared to younger residents.</w:t>
      </w:r>
    </w:p>
    <w:p w14:paraId="5F7A2F11" w14:textId="200C4EBC" w:rsidR="001D3F94" w:rsidRPr="007B766A" w:rsidRDefault="00B54669" w:rsidP="0014243D">
      <w:pPr>
        <w:pStyle w:val="Response"/>
        <w:ind w:left="360"/>
        <w:rPr>
          <w:rFonts w:ascii="Calibri" w:eastAsia="MS Mincho" w:hAnsi="Calibri" w:cs="Calibri"/>
          <w:bCs w:val="0"/>
        </w:rPr>
      </w:pPr>
      <w:r>
        <w:rPr>
          <w:iCs/>
        </w:rPr>
        <w:t xml:space="preserve">Additional </w:t>
      </w:r>
      <w:r w:rsidR="00413126">
        <w:rPr>
          <w:iCs/>
        </w:rPr>
        <w:t>information</w:t>
      </w:r>
      <w:r w:rsidR="00927378">
        <w:rPr>
          <w:iCs/>
        </w:rPr>
        <w:t xml:space="preserve"> regarding goodness of fit</w:t>
      </w:r>
      <w:r w:rsidR="00413126">
        <w:rPr>
          <w:iCs/>
        </w:rPr>
        <w:t xml:space="preserve"> for the</w:t>
      </w:r>
      <w:r w:rsidR="00927378">
        <w:rPr>
          <w:iCs/>
        </w:rPr>
        <w:t xml:space="preserve"> logistic regression</w:t>
      </w:r>
      <w:r w:rsidR="00413126">
        <w:rPr>
          <w:iCs/>
        </w:rPr>
        <w:t xml:space="preserve"> model is presented in </w:t>
      </w:r>
      <w:r w:rsidR="00413126" w:rsidRPr="00572184">
        <w:rPr>
          <w:b/>
          <w:i/>
        </w:rPr>
        <w:t xml:space="preserve">Table </w:t>
      </w:r>
      <w:r w:rsidR="002E179F">
        <w:rPr>
          <w:b/>
          <w:i/>
        </w:rPr>
        <w:t>7</w:t>
      </w:r>
      <w:r w:rsidR="00413126">
        <w:rPr>
          <w:iCs/>
        </w:rPr>
        <w:t>.</w:t>
      </w:r>
    </w:p>
    <w:p w14:paraId="56C6F977" w14:textId="02857435" w:rsidR="001D3F94" w:rsidRPr="007B766A" w:rsidRDefault="001D3F94" w:rsidP="001D3F94">
      <w:pPr>
        <w:pStyle w:val="TableTitle"/>
      </w:pPr>
      <w:r>
        <w:t xml:space="preserve">Table </w:t>
      </w:r>
      <w:r w:rsidR="002E179F">
        <w:t>7</w:t>
      </w:r>
      <w:r w:rsidRPr="007B766A">
        <w:t xml:space="preserve">. </w:t>
      </w:r>
      <w:r w:rsidR="00213EBD">
        <w:t xml:space="preserve">Assessment </w:t>
      </w:r>
      <w:r w:rsidRPr="007B766A">
        <w:t xml:space="preserve">of </w:t>
      </w:r>
      <w:r>
        <w:t>M</w:t>
      </w:r>
      <w:r w:rsidRPr="007B766A">
        <w:t xml:space="preserve">odel </w:t>
      </w:r>
      <w:r>
        <w:t>P</w:t>
      </w:r>
      <w:r w:rsidRPr="007B766A">
        <w:t xml:space="preserve">erformance for </w:t>
      </w:r>
      <w:r>
        <w:t>A</w:t>
      </w:r>
      <w:r w:rsidRPr="007B766A">
        <w:t xml:space="preserve">lternate </w:t>
      </w:r>
      <w:r>
        <w:t>R</w:t>
      </w:r>
      <w:r w:rsidRPr="007B766A">
        <w:t xml:space="preserve">isk </w:t>
      </w:r>
      <w:r>
        <w:t>A</w:t>
      </w:r>
      <w:r w:rsidRPr="007B766A">
        <w:t>djustmen</w:t>
      </w:r>
      <w:r>
        <w:t>t Specifications, NQF #</w:t>
      </w:r>
      <w:r w:rsidR="008F5E8F">
        <w:t>0684</w:t>
      </w:r>
      <w:r w:rsidR="00EB2E39">
        <w:t xml:space="preserve"> (Quarter 3, 2018)</w:t>
      </w:r>
    </w:p>
    <w:tbl>
      <w:tblPr>
        <w:tblW w:w="5000" w:type="pct"/>
        <w:jc w:val="center"/>
        <w:tblLayout w:type="fixed"/>
        <w:tblCellMar>
          <w:left w:w="115" w:type="dxa"/>
          <w:right w:w="115" w:type="dxa"/>
        </w:tblCellMar>
        <w:tblLook w:val="04A0" w:firstRow="1" w:lastRow="0" w:firstColumn="1" w:lastColumn="0" w:noHBand="0" w:noVBand="1"/>
      </w:tblPr>
      <w:tblGrid>
        <w:gridCol w:w="1709"/>
        <w:gridCol w:w="1805"/>
        <w:gridCol w:w="1529"/>
        <w:gridCol w:w="1531"/>
        <w:gridCol w:w="1230"/>
        <w:gridCol w:w="1556"/>
      </w:tblGrid>
      <w:tr w:rsidR="001D3F94" w:rsidRPr="00E642AA" w14:paraId="714A836F" w14:textId="77777777" w:rsidTr="00E2379F">
        <w:trPr>
          <w:tblHeader/>
          <w:jc w:val="center"/>
        </w:trPr>
        <w:tc>
          <w:tcPr>
            <w:tcW w:w="913" w:type="pct"/>
            <w:tcBorders>
              <w:top w:val="single" w:sz="12" w:space="0" w:color="auto"/>
              <w:bottom w:val="single" w:sz="4" w:space="0" w:color="auto"/>
            </w:tcBorders>
            <w:shd w:val="clear" w:color="auto" w:fill="auto"/>
            <w:vAlign w:val="center"/>
            <w:hideMark/>
          </w:tcPr>
          <w:p w14:paraId="2A5D3B00" w14:textId="1523571E" w:rsidR="001D3F94" w:rsidRPr="00F14E72" w:rsidRDefault="001D3F94" w:rsidP="00E95999">
            <w:pPr>
              <w:spacing w:before="40" w:after="4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Model Covariates</w:t>
            </w:r>
          </w:p>
        </w:tc>
        <w:tc>
          <w:tcPr>
            <w:tcW w:w="964" w:type="pct"/>
            <w:tcBorders>
              <w:top w:val="single" w:sz="12" w:space="0" w:color="auto"/>
              <w:bottom w:val="single" w:sz="4" w:space="0" w:color="auto"/>
            </w:tcBorders>
            <w:shd w:val="clear" w:color="auto" w:fill="auto"/>
            <w:vAlign w:val="center"/>
            <w:hideMark/>
          </w:tcPr>
          <w:p w14:paraId="55AD47A4" w14:textId="77777777" w:rsidR="001D3F94" w:rsidRPr="00F14E72" w:rsidRDefault="001D3F94" w:rsidP="00E95999">
            <w:pPr>
              <w:spacing w:before="40" w:after="4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Hosmer-</w:t>
            </w:r>
            <w:proofErr w:type="spellStart"/>
            <w:r w:rsidRPr="00F14E72">
              <w:rPr>
                <w:rFonts w:eastAsia="Times New Roman" w:cs="Times New Roman"/>
                <w:color w:val="0000FF"/>
                <w:sz w:val="20"/>
                <w:szCs w:val="20"/>
              </w:rPr>
              <w:t>Lemeshow</w:t>
            </w:r>
            <w:proofErr w:type="spellEnd"/>
            <w:r w:rsidRPr="00F14E72">
              <w:rPr>
                <w:rFonts w:eastAsia="Times New Roman" w:cs="Times New Roman"/>
                <w:color w:val="0000FF"/>
                <w:sz w:val="20"/>
                <w:szCs w:val="20"/>
              </w:rPr>
              <w:t xml:space="preserve"> Chi</w:t>
            </w:r>
            <w:r w:rsidRPr="00F14E72">
              <w:rPr>
                <w:rFonts w:eastAsia="Times New Roman" w:cs="Times New Roman"/>
                <w:color w:val="0000FF"/>
                <w:sz w:val="20"/>
                <w:szCs w:val="20"/>
                <w:vertAlign w:val="superscript"/>
              </w:rPr>
              <w:t>2</w:t>
            </w:r>
            <w:r w:rsidRPr="00F14E72">
              <w:rPr>
                <w:rFonts w:eastAsia="Times New Roman" w:cs="Times New Roman"/>
                <w:color w:val="0000FF"/>
                <w:sz w:val="20"/>
                <w:szCs w:val="20"/>
              </w:rPr>
              <w:t xml:space="preserve">, </w:t>
            </w:r>
            <w:r w:rsidRPr="00F14E72">
              <w:rPr>
                <w:rFonts w:eastAsia="Times New Roman" w:cs="Times New Roman"/>
                <w:i/>
                <w:color w:val="0000FF"/>
                <w:sz w:val="20"/>
                <w:szCs w:val="20"/>
              </w:rPr>
              <w:t>P</w:t>
            </w:r>
            <w:r w:rsidRPr="00F14E72">
              <w:rPr>
                <w:rFonts w:eastAsia="Times New Roman" w:cs="Times New Roman"/>
                <w:color w:val="0000FF"/>
                <w:sz w:val="20"/>
                <w:szCs w:val="20"/>
              </w:rPr>
              <w:t>-value</w:t>
            </w:r>
          </w:p>
        </w:tc>
        <w:tc>
          <w:tcPr>
            <w:tcW w:w="817" w:type="pct"/>
            <w:tcBorders>
              <w:top w:val="single" w:sz="12" w:space="0" w:color="auto"/>
              <w:bottom w:val="single" w:sz="4" w:space="0" w:color="auto"/>
            </w:tcBorders>
            <w:vAlign w:val="center"/>
          </w:tcPr>
          <w:p w14:paraId="73A233D8" w14:textId="77777777" w:rsidR="001D3F94" w:rsidRPr="00F14E72" w:rsidRDefault="001D3F94" w:rsidP="00E95999">
            <w:pPr>
              <w:spacing w:before="40" w:after="4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AIC</w:t>
            </w:r>
          </w:p>
        </w:tc>
        <w:tc>
          <w:tcPr>
            <w:tcW w:w="818" w:type="pct"/>
            <w:tcBorders>
              <w:top w:val="single" w:sz="12" w:space="0" w:color="auto"/>
              <w:bottom w:val="single" w:sz="4" w:space="0" w:color="auto"/>
            </w:tcBorders>
            <w:vAlign w:val="center"/>
          </w:tcPr>
          <w:p w14:paraId="30ABDA6F" w14:textId="77777777" w:rsidR="001D3F94" w:rsidRPr="00F14E72" w:rsidRDefault="001D3F94" w:rsidP="00E95999">
            <w:pPr>
              <w:spacing w:before="40" w:after="4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BIC</w:t>
            </w:r>
          </w:p>
        </w:tc>
        <w:tc>
          <w:tcPr>
            <w:tcW w:w="657" w:type="pct"/>
            <w:tcBorders>
              <w:top w:val="single" w:sz="12" w:space="0" w:color="auto"/>
              <w:bottom w:val="single" w:sz="4" w:space="0" w:color="auto"/>
            </w:tcBorders>
            <w:vAlign w:val="center"/>
          </w:tcPr>
          <w:p w14:paraId="4BE79CA1" w14:textId="77777777" w:rsidR="001D3F94" w:rsidRPr="00F14E72" w:rsidRDefault="001D3F94" w:rsidP="00E95999">
            <w:pPr>
              <w:spacing w:before="40" w:after="40" w:line="240" w:lineRule="auto"/>
              <w:contextualSpacing/>
              <w:jc w:val="center"/>
              <w:rPr>
                <w:rFonts w:eastAsia="Times New Roman" w:cs="Times New Roman"/>
                <w:color w:val="0000FF"/>
                <w:sz w:val="20"/>
                <w:szCs w:val="20"/>
                <w:vertAlign w:val="superscript"/>
              </w:rPr>
            </w:pPr>
            <w:r w:rsidRPr="00F14E72">
              <w:rPr>
                <w:rFonts w:eastAsia="Times New Roman" w:cs="Times New Roman"/>
                <w:color w:val="0000FF"/>
                <w:sz w:val="20"/>
                <w:szCs w:val="20"/>
              </w:rPr>
              <w:t xml:space="preserve">Pseudo </w:t>
            </w:r>
            <w:r w:rsidRPr="00F14E72">
              <w:rPr>
                <w:rFonts w:eastAsia="Times New Roman" w:cs="Times New Roman"/>
                <w:i/>
                <w:color w:val="0000FF"/>
                <w:sz w:val="20"/>
                <w:szCs w:val="20"/>
              </w:rPr>
              <w:t>R</w:t>
            </w:r>
            <w:r w:rsidRPr="00F14E72">
              <w:rPr>
                <w:rFonts w:eastAsia="Times New Roman" w:cs="Times New Roman"/>
                <w:color w:val="0000FF"/>
                <w:sz w:val="20"/>
                <w:szCs w:val="20"/>
                <w:vertAlign w:val="superscript"/>
              </w:rPr>
              <w:t>2</w:t>
            </w:r>
          </w:p>
        </w:tc>
        <w:tc>
          <w:tcPr>
            <w:tcW w:w="831" w:type="pct"/>
            <w:tcBorders>
              <w:top w:val="single" w:sz="12" w:space="0" w:color="auto"/>
              <w:bottom w:val="single" w:sz="4" w:space="0" w:color="auto"/>
            </w:tcBorders>
            <w:vAlign w:val="center"/>
          </w:tcPr>
          <w:p w14:paraId="0F70B132" w14:textId="77777777" w:rsidR="001D3F94" w:rsidRPr="00F14E72" w:rsidRDefault="001D3F94" w:rsidP="00E95999">
            <w:pPr>
              <w:spacing w:before="40" w:after="40" w:line="240" w:lineRule="auto"/>
              <w:contextualSpacing/>
              <w:jc w:val="center"/>
              <w:rPr>
                <w:rFonts w:eastAsia="Times New Roman" w:cs="Times New Roman"/>
                <w:color w:val="0000FF"/>
                <w:sz w:val="20"/>
                <w:szCs w:val="20"/>
              </w:rPr>
            </w:pPr>
            <w:r w:rsidRPr="00F14E72">
              <w:rPr>
                <w:rFonts w:eastAsia="Times New Roman" w:cs="Times New Roman"/>
                <w:color w:val="0000FF"/>
                <w:sz w:val="20"/>
                <w:szCs w:val="20"/>
              </w:rPr>
              <w:t>Log Likelihood</w:t>
            </w:r>
          </w:p>
        </w:tc>
      </w:tr>
      <w:tr w:rsidR="001D3F94" w:rsidRPr="00E642AA" w14:paraId="0CD8EDC1" w14:textId="77777777" w:rsidTr="00E2379F">
        <w:trPr>
          <w:jc w:val="center"/>
        </w:trPr>
        <w:tc>
          <w:tcPr>
            <w:tcW w:w="913" w:type="pct"/>
            <w:tcBorders>
              <w:top w:val="single" w:sz="4" w:space="0" w:color="auto"/>
              <w:bottom w:val="single" w:sz="12" w:space="0" w:color="auto"/>
            </w:tcBorders>
            <w:shd w:val="clear" w:color="auto" w:fill="auto"/>
            <w:hideMark/>
          </w:tcPr>
          <w:p w14:paraId="52A122F9" w14:textId="39B54FF1" w:rsidR="001D3F94" w:rsidRPr="00F14E72" w:rsidRDefault="0067560F" w:rsidP="001D3F94">
            <w:pPr>
              <w:spacing w:before="40" w:after="40" w:line="240" w:lineRule="auto"/>
              <w:rPr>
                <w:rFonts w:eastAsia="Times New Roman" w:cs="Times New Roman"/>
                <w:color w:val="0000FF"/>
                <w:sz w:val="20"/>
                <w:szCs w:val="20"/>
              </w:rPr>
            </w:pPr>
            <w:r>
              <w:rPr>
                <w:rFonts w:eastAsia="Times New Roman" w:cs="Times New Roman"/>
                <w:color w:val="0000FF"/>
                <w:sz w:val="20"/>
                <w:szCs w:val="20"/>
              </w:rPr>
              <w:t xml:space="preserve">Candidate </w:t>
            </w:r>
            <w:r w:rsidR="00EB2E39">
              <w:rPr>
                <w:rFonts w:eastAsia="Times New Roman" w:cs="Times New Roman"/>
                <w:color w:val="0000FF"/>
                <w:sz w:val="20"/>
                <w:szCs w:val="20"/>
              </w:rPr>
              <w:t>m</w:t>
            </w:r>
            <w:r>
              <w:rPr>
                <w:rFonts w:eastAsia="Times New Roman" w:cs="Times New Roman"/>
                <w:color w:val="0000FF"/>
                <w:sz w:val="20"/>
                <w:szCs w:val="20"/>
              </w:rPr>
              <w:t>odel</w:t>
            </w:r>
            <w:r w:rsidR="00EB2E39">
              <w:rPr>
                <w:rFonts w:eastAsia="Times New Roman" w:cs="Times New Roman"/>
                <w:color w:val="0000FF"/>
                <w:sz w:val="20"/>
                <w:szCs w:val="20"/>
              </w:rPr>
              <w:t>: a</w:t>
            </w:r>
            <w:r w:rsidR="00EB2E39" w:rsidRPr="0014243D">
              <w:rPr>
                <w:color w:val="0000FF"/>
                <w:sz w:val="18"/>
                <w:szCs w:val="18"/>
              </w:rPr>
              <w:t>ge ≥ 85</w:t>
            </w:r>
          </w:p>
        </w:tc>
        <w:tc>
          <w:tcPr>
            <w:tcW w:w="964" w:type="pct"/>
            <w:tcBorders>
              <w:top w:val="single" w:sz="4" w:space="0" w:color="auto"/>
              <w:bottom w:val="single" w:sz="12" w:space="0" w:color="auto"/>
            </w:tcBorders>
            <w:shd w:val="clear" w:color="auto" w:fill="auto"/>
            <w:hideMark/>
          </w:tcPr>
          <w:p w14:paraId="0AC788CC" w14:textId="07D1E6DB" w:rsidR="001D3F94" w:rsidRPr="00F14E72" w:rsidRDefault="001D3F94" w:rsidP="00E95999">
            <w:pPr>
              <w:spacing w:before="40" w:after="40" w:line="240" w:lineRule="auto"/>
              <w:jc w:val="center"/>
              <w:rPr>
                <w:rFonts w:eastAsia="Times New Roman" w:cs="Times New Roman"/>
                <w:color w:val="0000FF"/>
                <w:sz w:val="20"/>
                <w:szCs w:val="20"/>
              </w:rPr>
            </w:pPr>
            <w:r w:rsidRPr="00F14E72">
              <w:rPr>
                <w:rFonts w:eastAsia="Times New Roman" w:cs="Times New Roman"/>
                <w:color w:val="0000FF"/>
                <w:sz w:val="20"/>
                <w:szCs w:val="20"/>
              </w:rPr>
              <w:t>--</w:t>
            </w:r>
          </w:p>
        </w:tc>
        <w:tc>
          <w:tcPr>
            <w:tcW w:w="817" w:type="pct"/>
            <w:tcBorders>
              <w:top w:val="single" w:sz="4" w:space="0" w:color="auto"/>
              <w:bottom w:val="single" w:sz="12" w:space="0" w:color="auto"/>
            </w:tcBorders>
          </w:tcPr>
          <w:p w14:paraId="23D7A186" w14:textId="5F113EA7" w:rsidR="001D3F94" w:rsidRPr="00F14E72" w:rsidRDefault="00D665CE" w:rsidP="001D3F94">
            <w:pPr>
              <w:spacing w:before="40" w:after="40" w:line="240" w:lineRule="auto"/>
              <w:rPr>
                <w:rFonts w:eastAsia="Times New Roman" w:cs="Times New Roman"/>
                <w:color w:val="0000FF"/>
                <w:sz w:val="20"/>
                <w:szCs w:val="20"/>
              </w:rPr>
            </w:pPr>
            <w:r>
              <w:rPr>
                <w:rFonts w:eastAsia="Times New Roman" w:cs="Times New Roman"/>
                <w:color w:val="0000FF"/>
                <w:sz w:val="20"/>
                <w:szCs w:val="20"/>
              </w:rPr>
              <w:t xml:space="preserve">260,183.3 </w:t>
            </w:r>
          </w:p>
        </w:tc>
        <w:tc>
          <w:tcPr>
            <w:tcW w:w="818" w:type="pct"/>
            <w:tcBorders>
              <w:top w:val="single" w:sz="4" w:space="0" w:color="auto"/>
              <w:bottom w:val="single" w:sz="12" w:space="0" w:color="auto"/>
            </w:tcBorders>
          </w:tcPr>
          <w:p w14:paraId="225C59FD" w14:textId="339D721F" w:rsidR="001D3F94" w:rsidRPr="00F14E72" w:rsidRDefault="00D665CE" w:rsidP="001D3F94">
            <w:pPr>
              <w:spacing w:before="40" w:after="40" w:line="240" w:lineRule="auto"/>
              <w:rPr>
                <w:rFonts w:eastAsia="Times New Roman" w:cs="Times New Roman"/>
                <w:color w:val="0000FF"/>
                <w:sz w:val="20"/>
                <w:szCs w:val="20"/>
              </w:rPr>
            </w:pPr>
            <w:r>
              <w:rPr>
                <w:rFonts w:eastAsia="Times New Roman" w:cs="Times New Roman"/>
                <w:color w:val="0000FF"/>
                <w:sz w:val="20"/>
                <w:szCs w:val="20"/>
              </w:rPr>
              <w:t xml:space="preserve">260,207.1 </w:t>
            </w:r>
          </w:p>
        </w:tc>
        <w:tc>
          <w:tcPr>
            <w:tcW w:w="657" w:type="pct"/>
            <w:tcBorders>
              <w:top w:val="single" w:sz="4" w:space="0" w:color="auto"/>
              <w:bottom w:val="single" w:sz="12" w:space="0" w:color="auto"/>
            </w:tcBorders>
          </w:tcPr>
          <w:p w14:paraId="4BF4FD40" w14:textId="3A2FE6DB" w:rsidR="001D3F94" w:rsidRPr="00F14E72" w:rsidRDefault="001D3F94" w:rsidP="001D3F94">
            <w:pPr>
              <w:spacing w:before="40" w:after="40" w:line="240" w:lineRule="auto"/>
              <w:rPr>
                <w:rFonts w:eastAsia="Times New Roman" w:cs="Times New Roman"/>
                <w:color w:val="0000FF"/>
                <w:sz w:val="20"/>
                <w:szCs w:val="20"/>
              </w:rPr>
            </w:pPr>
            <w:r w:rsidRPr="00F14E72">
              <w:rPr>
                <w:rFonts w:eastAsia="Times New Roman" w:cs="Times New Roman"/>
                <w:color w:val="0000FF"/>
                <w:sz w:val="20"/>
                <w:szCs w:val="20"/>
              </w:rPr>
              <w:t>0.</w:t>
            </w:r>
            <w:r w:rsidR="0016077C" w:rsidRPr="00F14E72">
              <w:rPr>
                <w:rFonts w:eastAsia="Times New Roman" w:cs="Times New Roman"/>
                <w:color w:val="0000FF"/>
                <w:sz w:val="20"/>
                <w:szCs w:val="20"/>
              </w:rPr>
              <w:t>0</w:t>
            </w:r>
            <w:r w:rsidR="0016077C">
              <w:rPr>
                <w:rFonts w:eastAsia="Times New Roman" w:cs="Times New Roman"/>
                <w:color w:val="0000FF"/>
                <w:sz w:val="20"/>
                <w:szCs w:val="20"/>
              </w:rPr>
              <w:t>00</w:t>
            </w:r>
            <w:r w:rsidR="00D74016">
              <w:rPr>
                <w:rFonts w:eastAsia="Times New Roman" w:cs="Times New Roman"/>
                <w:color w:val="0000FF"/>
                <w:sz w:val="20"/>
                <w:szCs w:val="20"/>
              </w:rPr>
              <w:t>2</w:t>
            </w:r>
          </w:p>
        </w:tc>
        <w:tc>
          <w:tcPr>
            <w:tcW w:w="831" w:type="pct"/>
            <w:tcBorders>
              <w:top w:val="single" w:sz="4" w:space="0" w:color="auto"/>
              <w:bottom w:val="single" w:sz="12" w:space="0" w:color="auto"/>
            </w:tcBorders>
          </w:tcPr>
          <w:p w14:paraId="10A45EE3" w14:textId="1BCD286D" w:rsidR="001D3F94" w:rsidRPr="00F14E72" w:rsidRDefault="00D665CE" w:rsidP="0014243D">
            <w:pPr>
              <w:spacing w:before="40" w:after="40" w:line="240" w:lineRule="auto"/>
              <w:rPr>
                <w:rFonts w:eastAsia="Times New Roman" w:cs="Times New Roman"/>
                <w:color w:val="0000FF"/>
                <w:sz w:val="20"/>
                <w:szCs w:val="20"/>
              </w:rPr>
            </w:pPr>
            <w:r>
              <w:rPr>
                <w:rFonts w:eastAsia="Times New Roman" w:cs="Times New Roman"/>
                <w:color w:val="0000FF"/>
                <w:sz w:val="20"/>
                <w:szCs w:val="20"/>
              </w:rPr>
              <w:t>-130,089.6</w:t>
            </w:r>
          </w:p>
        </w:tc>
      </w:tr>
    </w:tbl>
    <w:p w14:paraId="4E707E33" w14:textId="412A431D" w:rsidR="001D3F94" w:rsidRPr="00D21597" w:rsidRDefault="001D3F94" w:rsidP="001D3F94">
      <w:pPr>
        <w:spacing w:before="40" w:after="40" w:line="240" w:lineRule="auto"/>
        <w:rPr>
          <w:iCs/>
          <w:color w:val="0000FF"/>
          <w:sz w:val="20"/>
          <w:szCs w:val="20"/>
        </w:rPr>
      </w:pPr>
      <w:bookmarkStart w:id="33" w:name="_Hlk502327173"/>
      <w:r w:rsidRPr="00D21597">
        <w:rPr>
          <w:iCs/>
          <w:color w:val="0000FF"/>
          <w:sz w:val="20"/>
          <w:szCs w:val="20"/>
        </w:rPr>
        <w:t>NOTES: “</w:t>
      </w:r>
      <w:r>
        <w:rPr>
          <w:iCs/>
          <w:color w:val="0000FF"/>
          <w:sz w:val="20"/>
          <w:szCs w:val="20"/>
        </w:rPr>
        <w:t xml:space="preserve">-- </w:t>
      </w:r>
      <w:proofErr w:type="gramStart"/>
      <w:r>
        <w:rPr>
          <w:iCs/>
          <w:color w:val="0000FF"/>
          <w:sz w:val="20"/>
          <w:szCs w:val="20"/>
        </w:rPr>
        <w:t xml:space="preserve">“ </w:t>
      </w:r>
      <w:r w:rsidRPr="00AA4F91">
        <w:rPr>
          <w:color w:val="0000FF"/>
          <w:sz w:val="20"/>
          <w:szCs w:val="20"/>
        </w:rPr>
        <w:t>indicates</w:t>
      </w:r>
      <w:proofErr w:type="gramEnd"/>
      <w:r w:rsidRPr="00AA4F91">
        <w:rPr>
          <w:color w:val="0000FF"/>
          <w:sz w:val="20"/>
          <w:szCs w:val="20"/>
        </w:rPr>
        <w:t xml:space="preserve"> </w:t>
      </w:r>
      <w:bookmarkEnd w:id="33"/>
      <w:r w:rsidRPr="00AA4F91">
        <w:rPr>
          <w:color w:val="0000FF"/>
          <w:sz w:val="20"/>
          <w:szCs w:val="20"/>
        </w:rPr>
        <w:t>that the Hosmer-</w:t>
      </w:r>
      <w:proofErr w:type="spellStart"/>
      <w:r w:rsidRPr="00AA4F91">
        <w:rPr>
          <w:color w:val="0000FF"/>
          <w:sz w:val="20"/>
          <w:szCs w:val="20"/>
        </w:rPr>
        <w:t>Lemeshow</w:t>
      </w:r>
      <w:proofErr w:type="spellEnd"/>
      <w:r w:rsidRPr="00AA4F91">
        <w:rPr>
          <w:color w:val="0000FF"/>
          <w:sz w:val="20"/>
          <w:szCs w:val="20"/>
        </w:rPr>
        <w:t xml:space="preserve"> test only has two</w:t>
      </w:r>
      <w:r w:rsidR="00EA181B">
        <w:rPr>
          <w:iCs/>
          <w:color w:val="0000FF"/>
          <w:sz w:val="20"/>
          <w:szCs w:val="20"/>
        </w:rPr>
        <w:t xml:space="preserve"> </w:t>
      </w:r>
      <w:r w:rsidR="00EA181B" w:rsidRPr="00A11604">
        <w:rPr>
          <w:iCs/>
          <w:color w:val="0000FF"/>
          <w:sz w:val="20"/>
          <w:szCs w:val="20"/>
        </w:rPr>
        <w:t>distinct</w:t>
      </w:r>
      <w:r w:rsidRPr="00A11604">
        <w:rPr>
          <w:color w:val="0000FF"/>
          <w:sz w:val="20"/>
          <w:szCs w:val="20"/>
        </w:rPr>
        <w:t xml:space="preserve"> quantiles, and the significance of the test statistic cannot be computed or is misleading, based on other model selection statistics.</w:t>
      </w:r>
      <w:r w:rsidR="00E87D6C">
        <w:rPr>
          <w:iCs/>
          <w:color w:val="0000FF"/>
          <w:sz w:val="20"/>
          <w:szCs w:val="20"/>
        </w:rPr>
        <w:t xml:space="preserve"> </w:t>
      </w:r>
    </w:p>
    <w:p w14:paraId="4CA65320" w14:textId="77777777" w:rsidR="001D3F94" w:rsidRPr="00D21597" w:rsidRDefault="001D3F94" w:rsidP="001D3F94">
      <w:pPr>
        <w:spacing w:before="40" w:after="40" w:line="240" w:lineRule="auto"/>
        <w:rPr>
          <w:rFonts w:eastAsia="Times New Roman" w:cs="Times New Roman"/>
          <w:color w:val="0000FF"/>
          <w:sz w:val="20"/>
          <w:szCs w:val="20"/>
        </w:rPr>
      </w:pPr>
      <w:r w:rsidRPr="00D21597">
        <w:rPr>
          <w:rFonts w:eastAsia="Times New Roman" w:cs="Times New Roman"/>
          <w:color w:val="0000FF"/>
          <w:sz w:val="20"/>
          <w:szCs w:val="20"/>
        </w:rPr>
        <w:t>AIC: Akaike Information Criterion</w:t>
      </w:r>
    </w:p>
    <w:p w14:paraId="23CFE258" w14:textId="77777777" w:rsidR="001D3F94" w:rsidRPr="00D21597" w:rsidRDefault="001D3F94" w:rsidP="001D3F94">
      <w:pPr>
        <w:autoSpaceDE w:val="0"/>
        <w:autoSpaceDN w:val="0"/>
        <w:adjustRightInd w:val="0"/>
        <w:spacing w:after="0" w:line="240" w:lineRule="auto"/>
        <w:rPr>
          <w:rFonts w:eastAsia="Times New Roman" w:cs="Times New Roman"/>
          <w:color w:val="0000FF"/>
          <w:sz w:val="20"/>
          <w:szCs w:val="20"/>
        </w:rPr>
      </w:pPr>
      <w:r w:rsidRPr="00D21597">
        <w:rPr>
          <w:rFonts w:eastAsia="Times New Roman" w:cs="Times New Roman"/>
          <w:color w:val="0000FF"/>
          <w:sz w:val="20"/>
          <w:szCs w:val="20"/>
        </w:rPr>
        <w:t>BIC: Bayesian Information Criterion</w:t>
      </w:r>
    </w:p>
    <w:p w14:paraId="792B1D23" w14:textId="677009E2" w:rsidR="001D3F94" w:rsidRPr="00D21597" w:rsidRDefault="00EB2E39" w:rsidP="001D3F94">
      <w:pPr>
        <w:autoSpaceDE w:val="0"/>
        <w:autoSpaceDN w:val="0"/>
        <w:adjustRightInd w:val="0"/>
        <w:spacing w:after="0" w:line="240" w:lineRule="auto"/>
        <w:rPr>
          <w:rFonts w:eastAsia="Times New Roman" w:cs="Times New Roman"/>
          <w:color w:val="0000FF"/>
          <w:sz w:val="20"/>
          <w:szCs w:val="20"/>
        </w:rPr>
      </w:pPr>
      <w:r>
        <w:rPr>
          <w:rFonts w:eastAsia="Times New Roman" w:cs="Times New Roman"/>
          <w:color w:val="0000FF"/>
          <w:sz w:val="20"/>
          <w:szCs w:val="20"/>
        </w:rPr>
        <w:t>Candidate model</w:t>
      </w:r>
      <w:r w:rsidR="001D3F94" w:rsidRPr="00D21597">
        <w:rPr>
          <w:rFonts w:eastAsia="Times New Roman" w:cs="Times New Roman"/>
          <w:color w:val="0000FF"/>
          <w:sz w:val="20"/>
          <w:szCs w:val="20"/>
        </w:rPr>
        <w:t>: Risk adjusted for oldest old</w:t>
      </w:r>
    </w:p>
    <w:p w14:paraId="008F4093" w14:textId="77777777" w:rsidR="001D0B97" w:rsidRDefault="001D0B97" w:rsidP="001D3F94">
      <w:pPr>
        <w:autoSpaceDE w:val="0"/>
        <w:autoSpaceDN w:val="0"/>
        <w:adjustRightInd w:val="0"/>
        <w:spacing w:after="0" w:line="240" w:lineRule="auto"/>
        <w:rPr>
          <w:rFonts w:eastAsia="Times New Roman" w:cs="Times New Roman"/>
          <w:color w:val="0000FF"/>
          <w:sz w:val="20"/>
          <w:szCs w:val="20"/>
        </w:rPr>
      </w:pPr>
    </w:p>
    <w:p w14:paraId="47408D2D" w14:textId="0744F7BC" w:rsidR="001D3F94" w:rsidRPr="00D21597" w:rsidRDefault="00E2373F" w:rsidP="001D3F94">
      <w:pPr>
        <w:autoSpaceDE w:val="0"/>
        <w:autoSpaceDN w:val="0"/>
        <w:adjustRightInd w:val="0"/>
        <w:spacing w:after="0" w:line="240" w:lineRule="auto"/>
        <w:rPr>
          <w:rFonts w:eastAsia="Times New Roman" w:cs="Times New Roman"/>
          <w:color w:val="0000FF"/>
          <w:sz w:val="20"/>
          <w:szCs w:val="20"/>
        </w:rPr>
      </w:pPr>
      <w:r>
        <w:rPr>
          <w:rFonts w:eastAsia="Times New Roman" w:cs="Times New Roman"/>
          <w:color w:val="0000FF"/>
          <w:sz w:val="20"/>
          <w:szCs w:val="20"/>
        </w:rPr>
        <w:t>Source</w:t>
      </w:r>
      <w:r w:rsidR="001D3F94" w:rsidRPr="00AA4F91">
        <w:rPr>
          <w:rFonts w:eastAsia="Times New Roman" w:cs="Times New Roman"/>
          <w:color w:val="0000FF"/>
          <w:sz w:val="20"/>
          <w:szCs w:val="20"/>
        </w:rPr>
        <w:t>: RTI analysis of MDS 3.0 Data, Q</w:t>
      </w:r>
      <w:r w:rsidR="0039145B">
        <w:rPr>
          <w:rFonts w:eastAsia="Times New Roman" w:cs="Times New Roman"/>
          <w:color w:val="0000FF"/>
          <w:sz w:val="20"/>
          <w:szCs w:val="20"/>
        </w:rPr>
        <w:t>3</w:t>
      </w:r>
      <w:r w:rsidR="00137252" w:rsidRPr="00AA4F91">
        <w:rPr>
          <w:rFonts w:eastAsia="Times New Roman" w:cs="Times New Roman"/>
          <w:color w:val="0000FF"/>
          <w:sz w:val="20"/>
          <w:szCs w:val="20"/>
        </w:rPr>
        <w:t xml:space="preserve">2018 </w:t>
      </w:r>
      <w:r w:rsidR="001D3F94" w:rsidRPr="00AA4F91">
        <w:rPr>
          <w:rFonts w:eastAsia="Times New Roman" w:cs="Times New Roman"/>
          <w:color w:val="0000FF"/>
          <w:sz w:val="20"/>
          <w:szCs w:val="20"/>
        </w:rPr>
        <w:t>(programming reference:</w:t>
      </w:r>
      <w:r w:rsidR="0039145B">
        <w:rPr>
          <w:rFonts w:eastAsia="Times New Roman" w:cs="Times New Roman"/>
          <w:color w:val="0000FF"/>
          <w:sz w:val="20"/>
          <w:szCs w:val="20"/>
        </w:rPr>
        <w:t xml:space="preserve"> KH43/</w:t>
      </w:r>
      <w:r w:rsidR="00031712" w:rsidRPr="00AA4F91">
        <w:rPr>
          <w:rFonts w:eastAsia="Times New Roman" w:cs="Times New Roman"/>
          <w:color w:val="0000FF"/>
          <w:sz w:val="20"/>
          <w:szCs w:val="20"/>
        </w:rPr>
        <w:t>hf</w:t>
      </w:r>
      <w:r w:rsidR="0039145B">
        <w:rPr>
          <w:rFonts w:eastAsia="Times New Roman" w:cs="Times New Roman"/>
          <w:color w:val="0000FF"/>
          <w:sz w:val="20"/>
          <w:szCs w:val="20"/>
        </w:rPr>
        <w:t>1</w:t>
      </w:r>
      <w:r w:rsidR="00D70718">
        <w:rPr>
          <w:rFonts w:eastAsia="Times New Roman" w:cs="Times New Roman"/>
          <w:color w:val="0000FF"/>
          <w:sz w:val="20"/>
          <w:szCs w:val="20"/>
        </w:rPr>
        <w:t>2</w:t>
      </w:r>
      <w:r w:rsidR="001D3F94" w:rsidRPr="00AA4F91">
        <w:rPr>
          <w:rFonts w:eastAsia="Times New Roman" w:cs="Times New Roman"/>
          <w:color w:val="0000FF"/>
          <w:sz w:val="20"/>
          <w:szCs w:val="20"/>
        </w:rPr>
        <w:t>_request_</w:t>
      </w:r>
      <w:r w:rsidR="00031712" w:rsidRPr="00AA4F91" w:rsidDel="00031712">
        <w:rPr>
          <w:rFonts w:eastAsia="Times New Roman" w:cs="Times New Roman"/>
          <w:color w:val="0000FF"/>
          <w:sz w:val="20"/>
          <w:szCs w:val="20"/>
        </w:rPr>
        <w:t xml:space="preserve"> </w:t>
      </w:r>
      <w:r w:rsidR="00031712" w:rsidRPr="00AA4F91">
        <w:rPr>
          <w:rFonts w:eastAsia="Times New Roman" w:cs="Times New Roman"/>
          <w:color w:val="0000FF"/>
          <w:sz w:val="20"/>
          <w:szCs w:val="20"/>
        </w:rPr>
        <w:t>684</w:t>
      </w:r>
      <w:r w:rsidR="0039145B">
        <w:rPr>
          <w:rFonts w:eastAsia="Times New Roman" w:cs="Times New Roman"/>
          <w:color w:val="0000FF"/>
          <w:sz w:val="20"/>
          <w:szCs w:val="20"/>
        </w:rPr>
        <w:t>_30_31</w:t>
      </w:r>
      <w:r w:rsidR="001D3F94" w:rsidRPr="00AA4F91">
        <w:rPr>
          <w:rFonts w:eastAsia="Times New Roman" w:cs="Times New Roman"/>
          <w:color w:val="0000FF"/>
          <w:sz w:val="20"/>
          <w:szCs w:val="20"/>
        </w:rPr>
        <w:t>.log)</w:t>
      </w:r>
    </w:p>
    <w:p w14:paraId="2869FA84" w14:textId="1D199572" w:rsidR="001D3F94" w:rsidRDefault="001D3F94" w:rsidP="0014243D">
      <w:pPr>
        <w:pStyle w:val="Response"/>
        <w:ind w:left="360"/>
        <w:rPr>
          <w:iCs/>
        </w:rPr>
      </w:pPr>
      <w:r w:rsidRPr="007B766A">
        <w:rPr>
          <w:iCs/>
        </w:rPr>
        <w:t xml:space="preserve">We used the c-statistic to examine the discrimination of the statistical risk model, and we used the Akaike Information Criterion (AIC), Bayesian Information Criterion (BIC), pseudo </w:t>
      </w:r>
      <w:r w:rsidRPr="007B766A">
        <w:rPr>
          <w:i/>
          <w:iCs/>
        </w:rPr>
        <w:t>R</w:t>
      </w:r>
      <w:r w:rsidRPr="007B766A">
        <w:rPr>
          <w:iCs/>
          <w:vertAlign w:val="superscript"/>
        </w:rPr>
        <w:t>2</w:t>
      </w:r>
      <w:r w:rsidRPr="007B766A">
        <w:rPr>
          <w:iCs/>
        </w:rPr>
        <w:t>, and log-likelihood to examine the statistical risk model calibration.</w:t>
      </w:r>
      <w:r w:rsidR="00E87D6C">
        <w:rPr>
          <w:iCs/>
        </w:rPr>
        <w:t xml:space="preserve"> </w:t>
      </w:r>
      <w:r w:rsidRPr="007B766A">
        <w:rPr>
          <w:iCs/>
        </w:rPr>
        <w:t>We also used the Hosmer-</w:t>
      </w:r>
      <w:proofErr w:type="spellStart"/>
      <w:r w:rsidRPr="007B766A">
        <w:rPr>
          <w:iCs/>
        </w:rPr>
        <w:t>Lemeshow</w:t>
      </w:r>
      <w:proofErr w:type="spellEnd"/>
      <w:r w:rsidRPr="007B766A">
        <w:rPr>
          <w:iCs/>
        </w:rPr>
        <w:t xml:space="preserve"> test for goodness of fit; however, </w:t>
      </w:r>
      <w:r>
        <w:rPr>
          <w:iCs/>
        </w:rPr>
        <w:t>when</w:t>
      </w:r>
      <w:r w:rsidRPr="007B766A">
        <w:rPr>
          <w:iCs/>
        </w:rPr>
        <w:t xml:space="preserve"> only 1 predictor </w:t>
      </w:r>
      <w:r>
        <w:rPr>
          <w:iCs/>
        </w:rPr>
        <w:t xml:space="preserve">is </w:t>
      </w:r>
      <w:r w:rsidRPr="007B766A">
        <w:rPr>
          <w:iCs/>
        </w:rPr>
        <w:t>in the risk adjustment model, the Hosmer-</w:t>
      </w:r>
      <w:proofErr w:type="spellStart"/>
      <w:r w:rsidRPr="007B766A">
        <w:rPr>
          <w:iCs/>
        </w:rPr>
        <w:t>Lemeshow</w:t>
      </w:r>
      <w:proofErr w:type="spellEnd"/>
      <w:r w:rsidRPr="007B766A">
        <w:rPr>
          <w:iCs/>
        </w:rPr>
        <w:t xml:space="preserve"> test only has two quantiles, and the significance of the test statistic cannot be computed.</w:t>
      </w:r>
      <w:r w:rsidR="00E87D6C">
        <w:rPr>
          <w:iCs/>
        </w:rPr>
        <w:t xml:space="preserve"> </w:t>
      </w:r>
    </w:p>
    <w:p w14:paraId="04BC4F4E" w14:textId="6661A226" w:rsidR="001D3F94" w:rsidRPr="00312EFF" w:rsidRDefault="000F2FB5" w:rsidP="0014243D">
      <w:pPr>
        <w:pStyle w:val="Response"/>
        <w:ind w:left="360"/>
      </w:pPr>
      <w:r w:rsidRPr="00B90B66">
        <w:rPr>
          <w:rFonts w:ascii="Calibri" w:eastAsia="MS Mincho" w:hAnsi="Calibri" w:cs="Calibri"/>
          <w:bCs w:val="0"/>
        </w:rPr>
        <w:t xml:space="preserve">We then </w:t>
      </w:r>
      <w:r w:rsidR="001C0790">
        <w:rPr>
          <w:rFonts w:ascii="Calibri" w:eastAsia="MS Mincho" w:hAnsi="Calibri" w:cs="Calibri"/>
          <w:bCs w:val="0"/>
        </w:rPr>
        <w:t>examined</w:t>
      </w:r>
      <w:r w:rsidR="001C0790" w:rsidRPr="00B90B66">
        <w:rPr>
          <w:rFonts w:ascii="Calibri" w:eastAsia="MS Mincho" w:hAnsi="Calibri" w:cs="Calibri"/>
          <w:bCs w:val="0"/>
        </w:rPr>
        <w:t xml:space="preserve"> </w:t>
      </w:r>
      <w:r w:rsidRPr="00B90B66">
        <w:rPr>
          <w:rFonts w:ascii="Calibri" w:eastAsia="MS Mincho" w:hAnsi="Calibri" w:cs="Calibri"/>
          <w:bCs w:val="0"/>
        </w:rPr>
        <w:t xml:space="preserve">the model fit and calibration for </w:t>
      </w:r>
      <w:r w:rsidR="00245EAE">
        <w:rPr>
          <w:rFonts w:ascii="Calibri" w:eastAsia="MS Mincho" w:hAnsi="Calibri" w:cs="Calibri"/>
          <w:bCs w:val="0"/>
        </w:rPr>
        <w:t>the</w:t>
      </w:r>
      <w:r w:rsidRPr="00B90B66">
        <w:rPr>
          <w:rFonts w:ascii="Calibri" w:eastAsia="MS Mincho" w:hAnsi="Calibri" w:cs="Calibri"/>
          <w:bCs w:val="0"/>
        </w:rPr>
        <w:t xml:space="preserve"> model</w:t>
      </w:r>
      <w:r w:rsidR="00245EAE">
        <w:rPr>
          <w:rFonts w:ascii="Calibri" w:eastAsia="MS Mincho" w:hAnsi="Calibri" w:cs="Calibri"/>
          <w:bCs w:val="0"/>
        </w:rPr>
        <w:t xml:space="preserve"> presented in </w:t>
      </w:r>
      <w:r w:rsidR="00245EAE" w:rsidRPr="00312EFF">
        <w:rPr>
          <w:rFonts w:ascii="Calibri" w:eastAsia="MS Mincho" w:hAnsi="Calibri" w:cs="Calibri"/>
          <w:b/>
          <w:bCs w:val="0"/>
          <w:i/>
        </w:rPr>
        <w:t xml:space="preserve">Table </w:t>
      </w:r>
      <w:r w:rsidR="002E179F">
        <w:rPr>
          <w:rFonts w:ascii="Calibri" w:eastAsia="MS Mincho" w:hAnsi="Calibri" w:cs="Calibri"/>
          <w:b/>
          <w:bCs w:val="0"/>
          <w:i/>
        </w:rPr>
        <w:t>7</w:t>
      </w:r>
      <w:r w:rsidRPr="00893DCA">
        <w:rPr>
          <w:rFonts w:ascii="Calibri" w:eastAsia="MS Mincho" w:hAnsi="Calibri" w:cs="Calibri"/>
          <w:bCs w:val="0"/>
        </w:rPr>
        <w:t>.</w:t>
      </w:r>
      <w:r w:rsidR="00E87D6C">
        <w:rPr>
          <w:rFonts w:ascii="Calibri" w:eastAsia="MS Mincho" w:hAnsi="Calibri" w:cs="Calibri"/>
          <w:bCs w:val="0"/>
        </w:rPr>
        <w:t xml:space="preserve"> </w:t>
      </w:r>
      <w:r w:rsidRPr="00AA4F91">
        <w:rPr>
          <w:rFonts w:ascii="Calibri" w:eastAsia="MS Mincho" w:hAnsi="Calibri" w:cs="Calibri"/>
        </w:rPr>
        <w:t xml:space="preserve">When we risk adjust for </w:t>
      </w:r>
      <w:r w:rsidR="00914ECC">
        <w:rPr>
          <w:rFonts w:ascii="Calibri" w:eastAsia="MS Mincho" w:hAnsi="Calibri" w:cs="Calibri"/>
        </w:rPr>
        <w:t xml:space="preserve">the </w:t>
      </w:r>
      <w:r w:rsidRPr="00AA4F91">
        <w:rPr>
          <w:rFonts w:ascii="Calibri" w:eastAsia="MS Mincho" w:hAnsi="Calibri" w:cs="Calibri"/>
        </w:rPr>
        <w:t>oldest old, the c-statistic</w:t>
      </w:r>
      <w:r w:rsidR="009260C9" w:rsidRPr="00AA4F91">
        <w:rPr>
          <w:rFonts w:ascii="Calibri" w:eastAsia="MS Mincho" w:hAnsi="Calibri" w:cs="Calibri"/>
        </w:rPr>
        <w:t xml:space="preserve"> is 0.51</w:t>
      </w:r>
      <w:r w:rsidRPr="00AA4F91">
        <w:rPr>
          <w:rFonts w:ascii="Calibri" w:eastAsia="MS Mincho" w:hAnsi="Calibri" w:cs="Calibri"/>
        </w:rPr>
        <w:t>.</w:t>
      </w:r>
      <w:r w:rsidR="00A16EFE" w:rsidRPr="00AA4F91">
        <w:rPr>
          <w:rFonts w:ascii="Calibri" w:eastAsia="MS Mincho" w:hAnsi="Calibri" w:cs="Calibri"/>
        </w:rPr>
        <w:t xml:space="preserve"> </w:t>
      </w:r>
      <w:bookmarkStart w:id="34" w:name="_Hlk501536083"/>
      <w:r w:rsidR="001C0790" w:rsidRPr="00312EFF">
        <w:t>This indicates</w:t>
      </w:r>
      <w:r w:rsidR="001D3F94" w:rsidRPr="00312EFF">
        <w:t xml:space="preserve"> weak </w:t>
      </w:r>
      <w:r w:rsidR="00914ECC">
        <w:t xml:space="preserve">model </w:t>
      </w:r>
      <w:r w:rsidR="001D3F94" w:rsidRPr="00312EFF">
        <w:t xml:space="preserve">performance. </w:t>
      </w:r>
    </w:p>
    <w:bookmarkEnd w:id="34"/>
    <w:p w14:paraId="1B1397B6" w14:textId="30EF84DA" w:rsidR="001D3F94" w:rsidRPr="00630A97" w:rsidRDefault="00245850" w:rsidP="0014243D">
      <w:pPr>
        <w:pStyle w:val="Response"/>
        <w:ind w:left="360"/>
        <w:rPr>
          <w:rFonts w:ascii="Calibri" w:eastAsia="MS Mincho" w:hAnsi="Calibri" w:cs="Calibri"/>
          <w:bCs w:val="0"/>
        </w:rPr>
      </w:pPr>
      <w:r w:rsidRPr="00837B6A">
        <w:rPr>
          <w:rFonts w:ascii="Calibri" w:eastAsia="MS Mincho" w:hAnsi="Calibri" w:cs="Calibri"/>
          <w:bCs w:val="0"/>
        </w:rPr>
        <w:t xml:space="preserve">Due to the results of our analyses, which are described </w:t>
      </w:r>
      <w:r w:rsidR="00ED2481">
        <w:rPr>
          <w:rFonts w:ascii="Calibri" w:eastAsia="MS Mincho" w:hAnsi="Calibri" w:cs="Calibri"/>
          <w:bCs w:val="0"/>
        </w:rPr>
        <w:t>above</w:t>
      </w:r>
      <w:r w:rsidRPr="00837B6A">
        <w:rPr>
          <w:rFonts w:ascii="Calibri" w:eastAsia="MS Mincho" w:hAnsi="Calibri" w:cs="Calibri"/>
          <w:bCs w:val="0"/>
        </w:rPr>
        <w:t>, we do not recommend risk adjusting this measure for social risk factors</w:t>
      </w:r>
      <w:r w:rsidR="001C0790">
        <w:rPr>
          <w:rFonts w:ascii="Calibri" w:eastAsia="MS Mincho" w:hAnsi="Calibri" w:cs="Calibri"/>
          <w:bCs w:val="0"/>
        </w:rPr>
        <w:t xml:space="preserve">. </w:t>
      </w:r>
      <w:r w:rsidR="00824190">
        <w:rPr>
          <w:rFonts w:ascii="Calibri" w:eastAsia="MS Mincho" w:hAnsi="Calibri" w:cs="Calibri"/>
          <w:bCs w:val="0"/>
        </w:rPr>
        <w:t>T</w:t>
      </w:r>
      <w:r w:rsidR="001C0790">
        <w:rPr>
          <w:rFonts w:ascii="Calibri" w:eastAsia="MS Mincho" w:hAnsi="Calibri" w:cs="Calibri"/>
          <w:bCs w:val="0"/>
        </w:rPr>
        <w:t>here</w:t>
      </w:r>
      <w:r w:rsidR="0058017E" w:rsidRPr="0073246F">
        <w:rPr>
          <w:rFonts w:ascii="Calibri" w:eastAsia="MS Mincho" w:hAnsi="Calibri" w:cs="Calibri"/>
          <w:bCs w:val="0"/>
        </w:rPr>
        <w:t xml:space="preserve"> is almost no practical improvement in including risk adjustors in the model</w:t>
      </w:r>
      <w:r w:rsidR="00AD1305">
        <w:rPr>
          <w:rFonts w:ascii="Calibri" w:eastAsia="MS Mincho" w:hAnsi="Calibri" w:cs="Calibri"/>
          <w:bCs w:val="0"/>
        </w:rPr>
        <w:t>, and the added complexity would make the measure more difficult to interpret for the public</w:t>
      </w:r>
      <w:r w:rsidR="0058017E" w:rsidRPr="0073246F">
        <w:rPr>
          <w:rFonts w:ascii="Calibri" w:eastAsia="MS Mincho" w:hAnsi="Calibri" w:cs="Calibri"/>
          <w:bCs w:val="0"/>
        </w:rPr>
        <w:t>.</w:t>
      </w:r>
      <w:r w:rsidR="0058017E">
        <w:rPr>
          <w:rFonts w:ascii="Calibri" w:eastAsia="MS Mincho" w:hAnsi="Calibri" w:cs="Calibri"/>
        </w:rPr>
        <w:t xml:space="preserve"> </w:t>
      </w:r>
    </w:p>
    <w:p w14:paraId="0CABCFFA" w14:textId="5F1D568F" w:rsidR="00092566" w:rsidRPr="00A25024" w:rsidRDefault="009C7513" w:rsidP="00092566">
      <w:pPr>
        <w:autoSpaceDE w:val="0"/>
        <w:autoSpaceDN w:val="0"/>
        <w:adjustRightInd w:val="0"/>
        <w:spacing w:after="0" w:line="240" w:lineRule="auto"/>
        <w:rPr>
          <w:rFonts w:cstheme="minorHAnsi"/>
          <w:bCs/>
        </w:rPr>
      </w:pPr>
      <w:r>
        <w:rPr>
          <w:rFonts w:cstheme="minorHAnsi"/>
          <w:b/>
          <w:bCs/>
        </w:rPr>
        <w:lastRenderedPageBreak/>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26780C31" w14:textId="213F7063" w:rsidR="001D0B97" w:rsidRDefault="001D0B97" w:rsidP="0014243D">
      <w:pPr>
        <w:pStyle w:val="Response"/>
        <w:ind w:left="360"/>
        <w:rPr>
          <w:b/>
          <w:bCs w:val="0"/>
        </w:rPr>
      </w:pPr>
      <w:r>
        <w:rPr>
          <w:iCs/>
        </w:rPr>
        <w:t>Not applicable.</w:t>
      </w:r>
      <w:r w:rsidR="00E87D6C">
        <w:rPr>
          <w:iCs/>
        </w:rPr>
        <w:t xml:space="preserve"> </w:t>
      </w:r>
      <w:r>
        <w:rPr>
          <w:iCs/>
        </w:rPr>
        <w:t xml:space="preserve">This </w:t>
      </w:r>
      <w:r w:rsidR="00E82024">
        <w:rPr>
          <w:iCs/>
        </w:rPr>
        <w:t>measure</w:t>
      </w:r>
      <w:r>
        <w:rPr>
          <w:iCs/>
        </w:rPr>
        <w:t xml:space="preserve"> is not risk-adjusted.</w:t>
      </w:r>
    </w:p>
    <w:p w14:paraId="5747C5CA" w14:textId="31F8F3FC" w:rsidR="001D0B97" w:rsidRDefault="00743E46" w:rsidP="00092566">
      <w:pPr>
        <w:autoSpaceDE w:val="0"/>
        <w:autoSpaceDN w:val="0"/>
        <w:adjustRightInd w:val="0"/>
        <w:spacing w:after="0" w:line="240" w:lineRule="auto"/>
        <w:rPr>
          <w:rFonts w:cstheme="minorHAnsi"/>
          <w:b/>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E87D6C">
        <w:rPr>
          <w:rFonts w:cstheme="minorHAnsi"/>
          <w:b/>
          <w:bCs/>
        </w:rPr>
        <w:t xml:space="preserve"> </w:t>
      </w:r>
    </w:p>
    <w:p w14:paraId="0CABCFFD" w14:textId="101E9D24" w:rsidR="00001D73" w:rsidRPr="00001D73" w:rsidRDefault="001D0B97" w:rsidP="0014243D">
      <w:pPr>
        <w:pStyle w:val="Response"/>
        <w:ind w:left="360"/>
        <w:rPr>
          <w:b/>
          <w:bCs w:val="0"/>
        </w:rPr>
      </w:pPr>
      <w:r>
        <w:rPr>
          <w:iCs/>
        </w:rPr>
        <w:t>Not applicable.</w:t>
      </w:r>
      <w:r w:rsidR="00E87D6C">
        <w:rPr>
          <w:iCs/>
        </w:rPr>
        <w:t xml:space="preserve"> </w:t>
      </w:r>
      <w:r>
        <w:rPr>
          <w:iCs/>
        </w:rPr>
        <w:t xml:space="preserve">This </w:t>
      </w:r>
      <w:r w:rsidR="00E82024">
        <w:rPr>
          <w:iCs/>
        </w:rPr>
        <w:t>measure</w:t>
      </w:r>
      <w:r>
        <w:rPr>
          <w:iCs/>
        </w:rPr>
        <w:t xml:space="preserve"> is not risk-adjusted.</w:t>
      </w:r>
    </w:p>
    <w:p w14:paraId="155E560F" w14:textId="78841BC8" w:rsidR="001D0B97" w:rsidRPr="007B766A" w:rsidRDefault="009C7513" w:rsidP="001D0B97">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w:t>
      </w:r>
    </w:p>
    <w:p w14:paraId="0CABCFFE" w14:textId="75491AEE" w:rsidR="00001D73" w:rsidRDefault="001D0B97" w:rsidP="0014243D">
      <w:pPr>
        <w:pStyle w:val="Response"/>
        <w:ind w:left="360"/>
        <w:rPr>
          <w:b/>
          <w:bCs w:val="0"/>
        </w:rPr>
      </w:pPr>
      <w:r>
        <w:rPr>
          <w:iCs/>
        </w:rPr>
        <w:t>Not applicable.</w:t>
      </w:r>
      <w:r w:rsidR="00E87D6C">
        <w:rPr>
          <w:iCs/>
        </w:rPr>
        <w:t xml:space="preserve"> </w:t>
      </w:r>
      <w:r>
        <w:rPr>
          <w:iCs/>
        </w:rPr>
        <w:t xml:space="preserve">This </w:t>
      </w:r>
      <w:r w:rsidR="00E82024">
        <w:rPr>
          <w:iCs/>
        </w:rPr>
        <w:t>measure</w:t>
      </w:r>
      <w:r>
        <w:rPr>
          <w:iCs/>
        </w:rPr>
        <w:t xml:space="preserve"> is not risk-adjusted.</w:t>
      </w:r>
    </w:p>
    <w:p w14:paraId="40B35428" w14:textId="7826BE8E" w:rsidR="001D0B97" w:rsidRPr="007B766A" w:rsidRDefault="009C7513" w:rsidP="001D0B97">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p>
    <w:p w14:paraId="0CABCFFF" w14:textId="40B13696" w:rsidR="00743E46" w:rsidRDefault="001D0B97" w:rsidP="0014243D">
      <w:pPr>
        <w:pStyle w:val="Response"/>
        <w:ind w:left="360"/>
        <w:rPr>
          <w:b/>
        </w:rPr>
      </w:pPr>
      <w:r>
        <w:rPr>
          <w:iCs/>
        </w:rPr>
        <w:t>Not applicable.</w:t>
      </w:r>
      <w:r w:rsidR="00E87D6C">
        <w:rPr>
          <w:iCs/>
        </w:rPr>
        <w:t xml:space="preserve"> </w:t>
      </w:r>
      <w:r>
        <w:rPr>
          <w:iCs/>
        </w:rPr>
        <w:t xml:space="preserve">This </w:t>
      </w:r>
      <w:r w:rsidR="00E82024">
        <w:rPr>
          <w:iCs/>
        </w:rPr>
        <w:t>measure</w:t>
      </w:r>
      <w:r>
        <w:rPr>
          <w:iCs/>
        </w:rPr>
        <w:t xml:space="preserve"> is not risk-adjusted.</w:t>
      </w:r>
    </w:p>
    <w:p w14:paraId="0CABD000" w14:textId="4BFB22A5" w:rsidR="00092566" w:rsidRPr="00A25024" w:rsidRDefault="009C7513" w:rsidP="00092566">
      <w:pPr>
        <w:autoSpaceDE w:val="0"/>
        <w:autoSpaceDN w:val="0"/>
        <w:adjustRightInd w:val="0"/>
        <w:spacing w:after="0" w:line="240" w:lineRule="auto"/>
        <w:rPr>
          <w:rFonts w:cstheme="minorHAnsi"/>
          <w:bCs/>
        </w:rPr>
      </w:pPr>
      <w:bookmarkStart w:id="35" w:name="question2b49"/>
      <w:bookmarkEnd w:id="35"/>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w:t>
      </w:r>
      <w:r w:rsidR="00E87D6C">
        <w:rPr>
          <w:rFonts w:cstheme="minorHAnsi"/>
        </w:rPr>
        <w:t xml:space="preserve"> </w:t>
      </w:r>
    </w:p>
    <w:p w14:paraId="0CABD001" w14:textId="097D6F85" w:rsidR="00092566" w:rsidRPr="0075449F" w:rsidRDefault="00210A38" w:rsidP="0014243D">
      <w:pPr>
        <w:pStyle w:val="Response"/>
        <w:ind w:left="360"/>
      </w:pPr>
      <w:r>
        <w:rPr>
          <w:iCs/>
        </w:rPr>
        <w:t>Not applicable. This measure is not stratified.</w:t>
      </w:r>
    </w:p>
    <w:p w14:paraId="76401DD0" w14:textId="3CB9011D" w:rsidR="00630A97" w:rsidRDefault="009C7513" w:rsidP="00092566">
      <w:pPr>
        <w:autoSpaceDE w:val="0"/>
        <w:autoSpaceDN w:val="0"/>
        <w:adjustRightInd w:val="0"/>
        <w:spacing w:after="0" w:line="240" w:lineRule="auto"/>
        <w:rPr>
          <w:iCs/>
          <w:color w:val="0000FF"/>
        </w:rPr>
      </w:pPr>
      <w:r>
        <w:rPr>
          <w:rFonts w:cstheme="minorHAnsi"/>
          <w:b/>
          <w:bCs/>
        </w:rPr>
        <w:t>2b3</w:t>
      </w:r>
      <w:r w:rsidR="00743E46">
        <w:rPr>
          <w:rFonts w:cstheme="minorHAnsi"/>
          <w:b/>
          <w:bCs/>
        </w:rPr>
        <w:t>.10</w:t>
      </w:r>
      <w:r w:rsidR="00001D73">
        <w:rPr>
          <w:rFonts w:cstheme="minorHAnsi"/>
          <w:b/>
          <w:bCs/>
        </w:rPr>
        <w:t xml:space="preserve">. </w:t>
      </w:r>
      <w:r w:rsidR="00092566" w:rsidRPr="00A25024">
        <w:rPr>
          <w:rFonts w:cstheme="minorHAnsi"/>
          <w:b/>
          <w:bCs/>
        </w:rPr>
        <w:t>What is your interpretation of the results in terms of demonstrating adequacy of controlling for differences in patient characteristics (case mix)?</w:t>
      </w:r>
      <w:r w:rsidR="00092566" w:rsidRPr="00A25024">
        <w:rPr>
          <w:rFonts w:cstheme="minorHAnsi"/>
          <w:bCs/>
        </w:rPr>
        <w:t xml:space="preserve"> (</w:t>
      </w:r>
      <w:r w:rsidR="00092566" w:rsidRPr="00D50C66">
        <w:rPr>
          <w:rFonts w:cstheme="minorHAnsi"/>
          <w:bCs/>
          <w:i/>
        </w:rPr>
        <w:t>i</w:t>
      </w:r>
      <w:r w:rsidR="00092566" w:rsidRPr="00A25024">
        <w:rPr>
          <w:rFonts w:cstheme="minorHAnsi"/>
          <w:bCs/>
          <w:i/>
        </w:rPr>
        <w:t>.e., what do the results mean and what are the norms for the test conducted</w:t>
      </w:r>
      <w:r w:rsidR="00092566" w:rsidRPr="00A25024">
        <w:rPr>
          <w:rFonts w:cstheme="minorHAnsi"/>
          <w:bCs/>
        </w:rPr>
        <w:t>)</w:t>
      </w:r>
    </w:p>
    <w:p w14:paraId="0CABD002" w14:textId="439A6D1F" w:rsidR="00092566" w:rsidRPr="00A25024" w:rsidRDefault="001D0B97" w:rsidP="0014243D">
      <w:pPr>
        <w:pStyle w:val="Response"/>
        <w:ind w:left="360"/>
        <w:rPr>
          <w:bCs w:val="0"/>
        </w:rPr>
      </w:pPr>
      <w:r w:rsidRPr="007B766A">
        <w:rPr>
          <w:iCs/>
        </w:rPr>
        <w:t xml:space="preserve">In summary, our </w:t>
      </w:r>
      <w:r>
        <w:rPr>
          <w:iCs/>
        </w:rPr>
        <w:t>results</w:t>
      </w:r>
      <w:r w:rsidRPr="007B766A">
        <w:rPr>
          <w:iCs/>
        </w:rPr>
        <w:t xml:space="preserve"> </w:t>
      </w:r>
      <w:r w:rsidRPr="00A11604">
        <w:rPr>
          <w:iCs/>
        </w:rPr>
        <w:t xml:space="preserve">demonstrate that </w:t>
      </w:r>
      <w:r w:rsidR="00503E50" w:rsidRPr="00A11604">
        <w:rPr>
          <w:iCs/>
        </w:rPr>
        <w:t>risk adjustm</w:t>
      </w:r>
      <w:r w:rsidR="00503E50">
        <w:rPr>
          <w:iCs/>
        </w:rPr>
        <w:t xml:space="preserve">ent by stratification </w:t>
      </w:r>
      <w:r w:rsidR="00986351">
        <w:rPr>
          <w:iCs/>
        </w:rPr>
        <w:t xml:space="preserve">on gender, race/ethnicity, and Medicaid </w:t>
      </w:r>
      <w:r w:rsidR="00EB2E39">
        <w:rPr>
          <w:iCs/>
        </w:rPr>
        <w:t>eligibility</w:t>
      </w:r>
      <w:r w:rsidR="00986351">
        <w:rPr>
          <w:iCs/>
        </w:rPr>
        <w:t xml:space="preserve"> </w:t>
      </w:r>
      <w:r w:rsidR="00503E50">
        <w:rPr>
          <w:iCs/>
        </w:rPr>
        <w:t>is infeasible,</w:t>
      </w:r>
      <w:r w:rsidR="00F409B1">
        <w:rPr>
          <w:iCs/>
        </w:rPr>
        <w:t xml:space="preserve"> that</w:t>
      </w:r>
      <w:r w:rsidR="00E51F18">
        <w:rPr>
          <w:iCs/>
        </w:rPr>
        <w:t xml:space="preserve"> </w:t>
      </w:r>
      <w:r w:rsidR="009F39F8">
        <w:rPr>
          <w:iCs/>
        </w:rPr>
        <w:t xml:space="preserve">clinical factors lacked empirical </w:t>
      </w:r>
      <w:r w:rsidR="00407B31">
        <w:rPr>
          <w:iCs/>
        </w:rPr>
        <w:t>support for inclusion in risk adjustment</w:t>
      </w:r>
      <w:r w:rsidR="00EB2E39">
        <w:rPr>
          <w:iCs/>
        </w:rPr>
        <w:t xml:space="preserve"> models</w:t>
      </w:r>
      <w:r w:rsidR="00407B31">
        <w:rPr>
          <w:iCs/>
        </w:rPr>
        <w:t>,</w:t>
      </w:r>
      <w:r w:rsidR="00503E50">
        <w:rPr>
          <w:iCs/>
        </w:rPr>
        <w:t xml:space="preserve"> and </w:t>
      </w:r>
      <w:r w:rsidR="008D5518">
        <w:rPr>
          <w:iCs/>
        </w:rPr>
        <w:t xml:space="preserve">that </w:t>
      </w:r>
      <w:r w:rsidRPr="0027332F">
        <w:rPr>
          <w:iCs/>
        </w:rPr>
        <w:t>the risk adjusted model</w:t>
      </w:r>
      <w:r w:rsidR="008D5518">
        <w:rPr>
          <w:iCs/>
        </w:rPr>
        <w:t xml:space="preserve"> t</w:t>
      </w:r>
      <w:r w:rsidR="00EB2E39">
        <w:rPr>
          <w:iCs/>
        </w:rPr>
        <w:t xml:space="preserve">hat </w:t>
      </w:r>
      <w:r w:rsidR="008D5518">
        <w:rPr>
          <w:iCs/>
        </w:rPr>
        <w:t>account</w:t>
      </w:r>
      <w:r w:rsidR="00EB2E39">
        <w:rPr>
          <w:iCs/>
        </w:rPr>
        <w:t>s</w:t>
      </w:r>
      <w:r w:rsidR="008D5518">
        <w:rPr>
          <w:iCs/>
        </w:rPr>
        <w:t xml:space="preserve"> for older age</w:t>
      </w:r>
      <w:r w:rsidRPr="0027332F">
        <w:rPr>
          <w:iCs/>
        </w:rPr>
        <w:t xml:space="preserve"> </w:t>
      </w:r>
      <w:r w:rsidR="00AE6606" w:rsidRPr="0027332F">
        <w:rPr>
          <w:iCs/>
        </w:rPr>
        <w:t>ha</w:t>
      </w:r>
      <w:r w:rsidR="00AE6606">
        <w:rPr>
          <w:iCs/>
        </w:rPr>
        <w:t>s</w:t>
      </w:r>
      <w:r w:rsidR="00AE6606" w:rsidRPr="0027332F">
        <w:rPr>
          <w:iCs/>
        </w:rPr>
        <w:t xml:space="preserve"> </w:t>
      </w:r>
      <w:r w:rsidRPr="0027332F">
        <w:rPr>
          <w:iCs/>
        </w:rPr>
        <w:t>weak</w:t>
      </w:r>
      <w:r w:rsidR="00914ECC">
        <w:rPr>
          <w:iCs/>
        </w:rPr>
        <w:t xml:space="preserve"> model</w:t>
      </w:r>
      <w:r w:rsidRPr="0027332F">
        <w:rPr>
          <w:iCs/>
        </w:rPr>
        <w:t xml:space="preserve"> performance and do</w:t>
      </w:r>
      <w:r w:rsidR="00AE6606">
        <w:rPr>
          <w:iCs/>
        </w:rPr>
        <w:t>es</w:t>
      </w:r>
      <w:r w:rsidRPr="0027332F">
        <w:rPr>
          <w:iCs/>
        </w:rPr>
        <w:t xml:space="preserve"> not have sufficient predictive ability. </w:t>
      </w:r>
      <w:r w:rsidR="004C73C5" w:rsidRPr="0027332F">
        <w:rPr>
          <w:iCs/>
        </w:rPr>
        <w:t>T</w:t>
      </w:r>
      <w:r w:rsidRPr="0027332F">
        <w:rPr>
          <w:iCs/>
        </w:rPr>
        <w:t xml:space="preserve">he c-statistic for </w:t>
      </w:r>
      <w:r w:rsidR="005023CF">
        <w:rPr>
          <w:iCs/>
        </w:rPr>
        <w:t xml:space="preserve">this model is 0.51, which </w:t>
      </w:r>
      <w:r w:rsidR="00AE6606">
        <w:rPr>
          <w:iCs/>
        </w:rPr>
        <w:t>is</w:t>
      </w:r>
      <w:r w:rsidR="004C73C5" w:rsidRPr="0027332F">
        <w:rPr>
          <w:iCs/>
        </w:rPr>
        <w:t xml:space="preserve"> below the threshold for acceptability</w:t>
      </w:r>
      <w:r w:rsidRPr="0027332F">
        <w:rPr>
          <w:iCs/>
        </w:rPr>
        <w:t xml:space="preserve"> (i.e., &gt;0.60)</w:t>
      </w:r>
      <w:r w:rsidR="00AE6606">
        <w:rPr>
          <w:iCs/>
        </w:rPr>
        <w:t>.</w:t>
      </w:r>
      <w:r w:rsidR="00E87D6C">
        <w:rPr>
          <w:iCs/>
        </w:rPr>
        <w:t xml:space="preserve"> </w:t>
      </w:r>
      <w:r w:rsidRPr="0027332F">
        <w:rPr>
          <w:iCs/>
        </w:rPr>
        <w:t xml:space="preserve">Therefore, we conclude that additional risk adjustment for social </w:t>
      </w:r>
      <w:r w:rsidR="00407B31">
        <w:rPr>
          <w:iCs/>
        </w:rPr>
        <w:t xml:space="preserve">or clinical </w:t>
      </w:r>
      <w:r w:rsidRPr="0027332F">
        <w:rPr>
          <w:iCs/>
        </w:rPr>
        <w:t>risk factors offers little practical improvement to the quality measure</w:t>
      </w:r>
      <w:r w:rsidR="00440B5A">
        <w:rPr>
          <w:iCs/>
        </w:rPr>
        <w:t>, and thus do not intend to add a risk adjustment strategy</w:t>
      </w:r>
      <w:r w:rsidRPr="0027332F">
        <w:rPr>
          <w:iCs/>
        </w:rPr>
        <w:t>.</w:t>
      </w:r>
      <w:r>
        <w:rPr>
          <w:iCs/>
        </w:rPr>
        <w:t xml:space="preserve"> </w:t>
      </w: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0CABD005" w14:textId="77777777" w:rsidR="003755CB" w:rsidRDefault="003755CB" w:rsidP="00D61410">
      <w:pPr>
        <w:autoSpaceDE w:val="0"/>
        <w:autoSpaceDN w:val="0"/>
        <w:adjustRightInd w:val="0"/>
        <w:spacing w:after="0" w:line="240" w:lineRule="auto"/>
        <w:rPr>
          <w:rFonts w:cstheme="minorHAnsi"/>
          <w:b/>
          <w:bCs/>
        </w:rPr>
      </w:pP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36" w:name="section2b5"/>
      <w:bookmarkEnd w:id="36"/>
      <w:r>
        <w:rPr>
          <w:rFonts w:cstheme="minorHAnsi"/>
          <w:b/>
          <w:bCs/>
        </w:rPr>
        <w:t>2b4</w:t>
      </w:r>
      <w:r w:rsidR="00D61410" w:rsidRPr="00A25024">
        <w:rPr>
          <w:rFonts w:cstheme="minorHAnsi"/>
          <w:b/>
          <w:bCs/>
        </w:rPr>
        <w:t>. IDENTIFICATION OF STATISTICALLY SIGNIFICANT &amp; MEANINGFUL DIFFERENCES IN PERFORMANCE</w:t>
      </w:r>
    </w:p>
    <w:p w14:paraId="0CABD008" w14:textId="267B5610" w:rsidR="00D61410" w:rsidRPr="00A25024"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p>
    <w:p w14:paraId="5D15A537" w14:textId="6480396F" w:rsidR="00766E4A" w:rsidRDefault="00766E4A" w:rsidP="001A1D42">
      <w:pPr>
        <w:pStyle w:val="Response"/>
        <w:ind w:left="360"/>
      </w:pPr>
      <w:r w:rsidRPr="007D66DE">
        <w:lastRenderedPageBreak/>
        <w:t>Because the computed scores are not estimates but include all residents who meet the measure criteria, in terms of discriminating performance, the computed scores can be</w:t>
      </w:r>
      <w:r>
        <w:t xml:space="preserve"> used to make valid comparisons.</w:t>
      </w:r>
    </w:p>
    <w:p w14:paraId="0CABD009" w14:textId="6844A8EA" w:rsidR="00D61410" w:rsidRPr="00A25024" w:rsidRDefault="00131F03" w:rsidP="001A1D42">
      <w:pPr>
        <w:pStyle w:val="Response"/>
        <w:ind w:left="360"/>
      </w:pPr>
      <w:bookmarkStart w:id="37" w:name="_Hlk15033579"/>
      <w:r w:rsidRPr="00131F03">
        <w:t>To identify meaningful differences in facility performance on NQF #06</w:t>
      </w:r>
      <w:r w:rsidR="008931FE">
        <w:t>84</w:t>
      </w:r>
      <w:r w:rsidRPr="00131F03">
        <w:t>,</w:t>
      </w:r>
      <w:r>
        <w:t xml:space="preserve"> </w:t>
      </w:r>
      <w:bookmarkEnd w:id="37"/>
      <w:r w:rsidR="00766E4A" w:rsidRPr="00906F3D">
        <w:t>RTI described the current variability in the facility-level quality measure scores</w:t>
      </w:r>
      <w:r w:rsidR="008931FE">
        <w:t xml:space="preserve"> </w:t>
      </w:r>
      <w:bookmarkStart w:id="38" w:name="_Hlk15033590"/>
      <w:r w:rsidR="008931FE">
        <w:t xml:space="preserve">(see </w:t>
      </w:r>
      <w:r w:rsidR="008931FE" w:rsidRPr="008E3B1F">
        <w:rPr>
          <w:b/>
          <w:bCs w:val="0"/>
        </w:rPr>
        <w:t>2b</w:t>
      </w:r>
      <w:r w:rsidR="00B52AF5" w:rsidRPr="008E3B1F">
        <w:rPr>
          <w:b/>
          <w:bCs w:val="0"/>
        </w:rPr>
        <w:t>4.</w:t>
      </w:r>
      <w:r w:rsidR="00011288" w:rsidRPr="008E3B1F">
        <w:rPr>
          <w:b/>
          <w:bCs w:val="0"/>
        </w:rPr>
        <w:t>2</w:t>
      </w:r>
      <w:r w:rsidR="00011288">
        <w:t>)</w:t>
      </w:r>
      <w:r w:rsidR="00766E4A" w:rsidRPr="00906F3D">
        <w:t>.</w:t>
      </w:r>
      <w:r w:rsidR="00766E4A">
        <w:t xml:space="preserve"> </w:t>
      </w:r>
      <w:bookmarkEnd w:id="38"/>
      <w:r w:rsidR="00766E4A">
        <w:t>RTI also examined proportions of facilities with scores for this measure that are significantly different from the national facility-level mean, stratified by facility denominator size</w:t>
      </w:r>
      <w:r w:rsidR="00771757">
        <w:t xml:space="preserve"> </w:t>
      </w:r>
      <w:bookmarkStart w:id="39" w:name="_Hlk15033598"/>
      <w:r w:rsidR="00771757">
        <w:t xml:space="preserve">(see </w:t>
      </w:r>
      <w:r w:rsidR="001648A3" w:rsidRPr="008E3B1F">
        <w:rPr>
          <w:b/>
          <w:bCs w:val="0"/>
        </w:rPr>
        <w:t>2b1.3</w:t>
      </w:r>
      <w:r w:rsidR="001648A3">
        <w:t>)</w:t>
      </w:r>
      <w:r w:rsidR="00766E4A">
        <w:t xml:space="preserve">. </w:t>
      </w:r>
      <w:bookmarkEnd w:id="39"/>
      <w:r w:rsidR="00766E4A">
        <w:t xml:space="preserve">For this analysis, statistical significance was determined using 95% confidence intervals: a facility’s quality measure score was significantly different from the national mean if the national mean was not included in the facility’s 95% confidence interval. High-performing facilities should have scores that are significantly below average, and scores of low-performing facilities should be significantly above average. We stratified the analysis by facility </w:t>
      </w:r>
      <w:r w:rsidR="00766E4A" w:rsidRPr="005D3370">
        <w:t>denominator size to examine whether this feature of the measure varies by size.</w:t>
      </w:r>
    </w:p>
    <w:p w14:paraId="0CABD00A" w14:textId="29C17655" w:rsidR="00D61410" w:rsidRDefault="009C7513" w:rsidP="00E95999">
      <w:pPr>
        <w:keepNext/>
        <w:keepLines/>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.2. </w:t>
      </w:r>
      <w:r w:rsidR="00D61410" w:rsidRPr="00A25024">
        <w:rPr>
          <w:rFonts w:cstheme="minorHAnsi"/>
          <w:b/>
          <w:bCs/>
        </w:rPr>
        <w:t xml:space="preserve">What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p>
    <w:p w14:paraId="47C56D00" w14:textId="38A946D6" w:rsidR="00766E4A" w:rsidRPr="00F962D9" w:rsidRDefault="00766E4A" w:rsidP="00E82024">
      <w:pPr>
        <w:pStyle w:val="Response"/>
        <w:spacing w:after="0"/>
        <w:ind w:left="360"/>
        <w:contextualSpacing/>
      </w:pPr>
      <w:bookmarkStart w:id="40" w:name="_Toc306987661"/>
      <w:bookmarkStart w:id="41" w:name="_Toc338834184"/>
      <w:r w:rsidRPr="00FB1A81">
        <w:rPr>
          <w:b/>
          <w:i/>
        </w:rPr>
        <w:t xml:space="preserve">Table </w:t>
      </w:r>
      <w:r w:rsidR="002E179F">
        <w:rPr>
          <w:b/>
          <w:i/>
        </w:rPr>
        <w:t>8</w:t>
      </w:r>
      <w:r w:rsidRPr="00F962D9">
        <w:rPr>
          <w:b/>
          <w:i/>
        </w:rPr>
        <w:t xml:space="preserve"> </w:t>
      </w:r>
      <w:r w:rsidRPr="00F962D9">
        <w:t xml:space="preserve">describes the current variability in the quality </w:t>
      </w:r>
      <w:r w:rsidRPr="00DA4AF5">
        <w:t>measure scores of facilities nationally.</w:t>
      </w:r>
      <w:r w:rsidR="00E87D6C">
        <w:t xml:space="preserve"> </w:t>
      </w:r>
      <w:r w:rsidRPr="00DA4AF5">
        <w:t>We find that the mean facility-level score for this quality measure was 2.</w:t>
      </w:r>
      <w:r w:rsidR="001F0ABA" w:rsidRPr="00DA4AF5">
        <w:t>8</w:t>
      </w:r>
      <w:r w:rsidRPr="00DA4AF5">
        <w:t xml:space="preserve">% in Quarter </w:t>
      </w:r>
      <w:r w:rsidR="007611ED">
        <w:t>3</w:t>
      </w:r>
      <w:r w:rsidRPr="00DA4AF5">
        <w:t>, 201</w:t>
      </w:r>
      <w:r w:rsidR="00DB45E9" w:rsidRPr="00DA4AF5">
        <w:t>8</w:t>
      </w:r>
      <w:r w:rsidRPr="00DA4AF5">
        <w:t xml:space="preserve"> with a median score of 1.</w:t>
      </w:r>
      <w:r w:rsidR="00DB45E9" w:rsidRPr="00DA4AF5">
        <w:t>9</w:t>
      </w:r>
      <w:r w:rsidRPr="00DA4AF5">
        <w:t>%.</w:t>
      </w:r>
      <w:r w:rsidR="00E87D6C">
        <w:t xml:space="preserve"> </w:t>
      </w:r>
      <w:r w:rsidRPr="00DA4AF5">
        <w:t xml:space="preserve">The interquartile range for this measure was </w:t>
      </w:r>
      <w:r w:rsidR="001F0ABA" w:rsidRPr="00DA4AF5">
        <w:t>4.</w:t>
      </w:r>
      <w:r w:rsidR="008D6C8B" w:rsidRPr="00DA4AF5">
        <w:t>2</w:t>
      </w:r>
      <w:r w:rsidRPr="00DA4AF5">
        <w:t>%.</w:t>
      </w:r>
      <w:r w:rsidR="00E87D6C">
        <w:t xml:space="preserve"> </w:t>
      </w:r>
      <w:r w:rsidRPr="00DA4AF5">
        <w:t xml:space="preserve">Among facilities who were eligible to publicly report this measure, </w:t>
      </w:r>
      <w:r w:rsidR="00DA2819" w:rsidRPr="00DA4AF5">
        <w:t>32.</w:t>
      </w:r>
      <w:r w:rsidR="00F5390F">
        <w:t>3</w:t>
      </w:r>
      <w:r w:rsidRPr="00DA4AF5">
        <w:t>% (</w:t>
      </w:r>
      <w:r w:rsidRPr="00DA4AF5">
        <w:rPr>
          <w:i/>
        </w:rPr>
        <w:t xml:space="preserve">k </w:t>
      </w:r>
      <w:r w:rsidRPr="00DA4AF5">
        <w:t xml:space="preserve">= </w:t>
      </w:r>
      <w:r w:rsidR="00115491" w:rsidRPr="00DA4AF5">
        <w:t>1</w:t>
      </w:r>
      <w:r w:rsidRPr="00DA4AF5">
        <w:t>4,</w:t>
      </w:r>
      <w:r w:rsidR="00115491" w:rsidRPr="00DA4AF5">
        <w:t>5</w:t>
      </w:r>
      <w:r w:rsidR="00F5390F">
        <w:t>20</w:t>
      </w:r>
      <w:r w:rsidRPr="00DA4AF5">
        <w:t xml:space="preserve">) had perfect scores of 0%; as shown in </w:t>
      </w:r>
      <w:r w:rsidRPr="00DA4AF5">
        <w:rPr>
          <w:b/>
          <w:i/>
        </w:rPr>
        <w:t xml:space="preserve">Figure </w:t>
      </w:r>
      <w:r w:rsidR="001D63B0">
        <w:rPr>
          <w:b/>
          <w:i/>
        </w:rPr>
        <w:t>1</w:t>
      </w:r>
      <w:r w:rsidRPr="00DA4AF5">
        <w:t xml:space="preserve"> in </w:t>
      </w:r>
      <w:r w:rsidRPr="008E3B1F">
        <w:rPr>
          <w:b/>
          <w:bCs w:val="0"/>
        </w:rPr>
        <w:t>Section 2b1</w:t>
      </w:r>
      <w:r w:rsidRPr="00DA4AF5">
        <w:t xml:space="preserve">, the national mean facility-level score on this measure has decreased over time, suggesting that facilities may have improved in </w:t>
      </w:r>
      <w:r w:rsidR="005813D0" w:rsidRPr="00DA4AF5">
        <w:t xml:space="preserve">practices related to genitourinary care, including prevention of urinary tract infections, </w:t>
      </w:r>
      <w:r w:rsidRPr="00DA4AF5">
        <w:t>after this measure was publicly reported.</w:t>
      </w:r>
    </w:p>
    <w:p w14:paraId="7BF37442" w14:textId="33585953" w:rsidR="00766E4A" w:rsidRPr="00F962D9" w:rsidRDefault="00766E4A" w:rsidP="00766E4A">
      <w:pPr>
        <w:spacing w:after="0" w:line="240" w:lineRule="auto"/>
        <w:contextualSpacing/>
        <w:jc w:val="center"/>
        <w:rPr>
          <w:rFonts w:cstheme="minorHAnsi"/>
          <w:b/>
          <w:bCs/>
          <w:color w:val="0000FF"/>
        </w:rPr>
      </w:pPr>
      <w:r w:rsidRPr="006C2C9D">
        <w:rPr>
          <w:b/>
          <w:bCs/>
        </w:rPr>
        <w:br/>
      </w:r>
      <w:bookmarkEnd w:id="40"/>
      <w:bookmarkEnd w:id="41"/>
      <w:r w:rsidRPr="00F962D9">
        <w:rPr>
          <w:rFonts w:cstheme="minorHAnsi"/>
          <w:b/>
          <w:bCs/>
          <w:color w:val="0000FF"/>
        </w:rPr>
        <w:t xml:space="preserve">Table </w:t>
      </w:r>
      <w:r w:rsidR="002E179F">
        <w:rPr>
          <w:rFonts w:cstheme="minorHAnsi"/>
          <w:b/>
          <w:bCs/>
          <w:color w:val="0000FF"/>
        </w:rPr>
        <w:t>8</w:t>
      </w:r>
      <w:r>
        <w:rPr>
          <w:rFonts w:cstheme="minorHAnsi"/>
          <w:b/>
          <w:bCs/>
          <w:color w:val="0000FF"/>
        </w:rPr>
        <w:t xml:space="preserve">. </w:t>
      </w:r>
      <w:r w:rsidRPr="00F962D9">
        <w:rPr>
          <w:rFonts w:cstheme="minorHAnsi"/>
          <w:b/>
          <w:bCs/>
          <w:color w:val="0000FF"/>
        </w:rPr>
        <w:t xml:space="preserve">National Facility-Level Score Distribution, </w:t>
      </w:r>
      <w:r>
        <w:rPr>
          <w:rFonts w:cstheme="minorHAnsi"/>
          <w:b/>
          <w:bCs/>
          <w:color w:val="0000FF"/>
        </w:rPr>
        <w:t xml:space="preserve">NQF </w:t>
      </w:r>
      <w:r w:rsidRPr="003376EF">
        <w:rPr>
          <w:rFonts w:cstheme="minorHAnsi"/>
          <w:b/>
          <w:bCs/>
          <w:color w:val="0000FF"/>
        </w:rPr>
        <w:t>#068</w:t>
      </w:r>
      <w:r>
        <w:rPr>
          <w:rFonts w:cstheme="minorHAnsi"/>
          <w:b/>
          <w:bCs/>
          <w:color w:val="0000FF"/>
        </w:rPr>
        <w:t>4</w:t>
      </w:r>
      <w:r w:rsidRPr="003376EF">
        <w:rPr>
          <w:rFonts w:cstheme="minorHAnsi"/>
          <w:b/>
          <w:bCs/>
          <w:color w:val="0000FF"/>
        </w:rPr>
        <w:t xml:space="preserve"> </w:t>
      </w:r>
      <w:r w:rsidR="007E3454" w:rsidRPr="007E3454">
        <w:rPr>
          <w:rFonts w:cstheme="minorHAnsi"/>
          <w:b/>
          <w:bCs/>
          <w:color w:val="0000FF"/>
        </w:rPr>
        <w:t>Percent of Residents with a Urinary Tract Infection (Long Stay</w:t>
      </w:r>
      <w:r w:rsidR="007E3454" w:rsidRPr="006919E5">
        <w:rPr>
          <w:rFonts w:cstheme="minorHAnsi"/>
          <w:b/>
          <w:bCs/>
          <w:color w:val="0000FF"/>
        </w:rPr>
        <w:t>)</w:t>
      </w:r>
      <w:r w:rsidR="007E3454" w:rsidRPr="00590F3E">
        <w:rPr>
          <w:rFonts w:cstheme="minorHAnsi"/>
          <w:b/>
          <w:bCs/>
          <w:color w:val="0000FF"/>
        </w:rPr>
        <w:t xml:space="preserve"> </w:t>
      </w:r>
      <w:r w:rsidR="008E3B1F">
        <w:rPr>
          <w:rFonts w:cstheme="minorHAnsi"/>
          <w:b/>
          <w:bCs/>
          <w:color w:val="0000FF"/>
        </w:rPr>
        <w:t>(</w:t>
      </w:r>
      <w:r w:rsidRPr="00FB1A81">
        <w:rPr>
          <w:rFonts w:cstheme="minorHAnsi"/>
          <w:b/>
          <w:color w:val="0000FF"/>
        </w:rPr>
        <w:t xml:space="preserve">Quarter </w:t>
      </w:r>
      <w:r w:rsidR="007611ED">
        <w:rPr>
          <w:rFonts w:cstheme="minorHAnsi"/>
          <w:b/>
          <w:color w:val="0000FF"/>
        </w:rPr>
        <w:t>3</w:t>
      </w:r>
      <w:r w:rsidRPr="00FB1A81">
        <w:rPr>
          <w:rFonts w:cstheme="minorHAnsi"/>
          <w:b/>
          <w:color w:val="0000FF"/>
        </w:rPr>
        <w:t>, 201</w:t>
      </w:r>
      <w:r w:rsidR="00E675F9" w:rsidRPr="00FB1A81">
        <w:rPr>
          <w:rFonts w:cstheme="minorHAnsi"/>
          <w:b/>
          <w:color w:val="0000FF"/>
        </w:rPr>
        <w:t>8</w:t>
      </w:r>
      <w:r w:rsidR="008E3B1F">
        <w:rPr>
          <w:rFonts w:cstheme="minorHAnsi"/>
          <w:b/>
          <w:color w:val="0000FF"/>
        </w:rPr>
        <w:t>)</w:t>
      </w:r>
    </w:p>
    <w:tbl>
      <w:tblPr>
        <w:tblStyle w:val="CMSTable"/>
        <w:tblW w:w="5000" w:type="pct"/>
        <w:tblLook w:val="05E0" w:firstRow="1" w:lastRow="1" w:firstColumn="1" w:lastColumn="1" w:noHBand="0" w:noVBand="1"/>
      </w:tblPr>
      <w:tblGrid>
        <w:gridCol w:w="776"/>
        <w:gridCol w:w="690"/>
        <w:gridCol w:w="642"/>
        <w:gridCol w:w="1018"/>
        <w:gridCol w:w="1018"/>
        <w:gridCol w:w="1018"/>
        <w:gridCol w:w="1018"/>
        <w:gridCol w:w="1018"/>
        <w:gridCol w:w="936"/>
        <w:gridCol w:w="1226"/>
      </w:tblGrid>
      <w:tr w:rsidR="00766E4A" w:rsidRPr="00D07D67" w14:paraId="5824F5D2" w14:textId="77777777" w:rsidTr="0080621A">
        <w:trPr>
          <w:cnfStyle w:val="100000000000" w:firstRow="1" w:lastRow="0" w:firstColumn="0" w:lastColumn="0" w:oddVBand="0" w:evenVBand="0" w:oddHBand="0" w:evenHBand="0" w:firstRowFirstColumn="0" w:firstRowLastColumn="0" w:lastRowFirstColumn="0" w:lastRowLastColumn="0"/>
        </w:trPr>
        <w:tc>
          <w:tcPr>
            <w:tcW w:w="0" w:type="pct"/>
            <w:tcBorders>
              <w:bottom w:val="single" w:sz="4" w:space="0" w:color="auto"/>
            </w:tcBorders>
            <w:vAlign w:val="center"/>
          </w:tcPr>
          <w:p w14:paraId="45C01152" w14:textId="77777777" w:rsidR="00766E4A" w:rsidRPr="00C45C04" w:rsidRDefault="00766E4A" w:rsidP="00E5513C">
            <w:pPr>
              <w:keepNext/>
              <w:spacing w:before="40" w:after="40"/>
              <w:rPr>
                <w:i/>
                <w:iCs/>
                <w:snapToGrid w:val="0"/>
                <w:color w:val="0000FF"/>
                <w:sz w:val="18"/>
                <w:szCs w:val="18"/>
              </w:rPr>
            </w:pPr>
            <w:r w:rsidRPr="00C45C04">
              <w:rPr>
                <w:i/>
                <w:iCs/>
                <w:snapToGrid w:val="0"/>
                <w:color w:val="0000FF"/>
                <w:sz w:val="18"/>
                <w:szCs w:val="18"/>
              </w:rPr>
              <w:t>k</w:t>
            </w:r>
          </w:p>
        </w:tc>
        <w:tc>
          <w:tcPr>
            <w:tcW w:w="0" w:type="pct"/>
            <w:tcBorders>
              <w:bottom w:val="single" w:sz="4" w:space="0" w:color="auto"/>
            </w:tcBorders>
            <w:vAlign w:val="center"/>
          </w:tcPr>
          <w:p w14:paraId="74654EAD" w14:textId="77777777" w:rsidR="00766E4A" w:rsidRPr="00F962D9" w:rsidRDefault="00766E4A" w:rsidP="00E5513C">
            <w:pPr>
              <w:keepNext/>
              <w:spacing w:before="40" w:after="40"/>
              <w:rPr>
                <w:snapToGrid w:val="0"/>
                <w:color w:val="0000FF"/>
                <w:sz w:val="18"/>
                <w:szCs w:val="18"/>
              </w:rPr>
            </w:pPr>
            <w:r w:rsidRPr="00F962D9">
              <w:rPr>
                <w:snapToGrid w:val="0"/>
                <w:color w:val="0000FF"/>
                <w:sz w:val="18"/>
                <w:szCs w:val="18"/>
              </w:rPr>
              <w:t>Mean score</w:t>
            </w:r>
          </w:p>
        </w:tc>
        <w:tc>
          <w:tcPr>
            <w:tcW w:w="0" w:type="pct"/>
            <w:tcBorders>
              <w:bottom w:val="single" w:sz="4" w:space="0" w:color="auto"/>
            </w:tcBorders>
            <w:vAlign w:val="center"/>
          </w:tcPr>
          <w:p w14:paraId="6D884585" w14:textId="77777777" w:rsidR="00766E4A" w:rsidRPr="00F962D9" w:rsidRDefault="00766E4A" w:rsidP="00E5513C">
            <w:pPr>
              <w:keepNext/>
              <w:spacing w:before="40" w:after="40"/>
              <w:rPr>
                <w:snapToGrid w:val="0"/>
                <w:color w:val="0000FF"/>
                <w:sz w:val="18"/>
                <w:szCs w:val="18"/>
              </w:rPr>
            </w:pPr>
            <w:r w:rsidRPr="00F962D9">
              <w:rPr>
                <w:snapToGrid w:val="0"/>
                <w:color w:val="0000FF"/>
                <w:sz w:val="18"/>
                <w:szCs w:val="18"/>
              </w:rPr>
              <w:t>Std dev.</w:t>
            </w:r>
          </w:p>
        </w:tc>
        <w:tc>
          <w:tcPr>
            <w:tcW w:w="0" w:type="pct"/>
            <w:tcBorders>
              <w:bottom w:val="single" w:sz="4" w:space="0" w:color="auto"/>
            </w:tcBorders>
            <w:vAlign w:val="center"/>
          </w:tcPr>
          <w:p w14:paraId="1FDFF721" w14:textId="77777777" w:rsidR="00766E4A" w:rsidRPr="00F962D9" w:rsidRDefault="00766E4A" w:rsidP="00E5513C">
            <w:pPr>
              <w:keepNext/>
              <w:spacing w:before="40" w:after="40"/>
              <w:rPr>
                <w:snapToGrid w:val="0"/>
                <w:color w:val="0000FF"/>
                <w:sz w:val="18"/>
                <w:szCs w:val="18"/>
              </w:rPr>
            </w:pPr>
            <w:r w:rsidRPr="00F962D9">
              <w:rPr>
                <w:snapToGrid w:val="0"/>
                <w:color w:val="0000FF"/>
                <w:sz w:val="18"/>
                <w:szCs w:val="18"/>
              </w:rPr>
              <w:t xml:space="preserve">10th </w:t>
            </w:r>
            <w:r w:rsidRPr="00F962D9">
              <w:rPr>
                <w:snapToGrid w:val="0"/>
                <w:color w:val="0000FF"/>
                <w:sz w:val="18"/>
                <w:szCs w:val="18"/>
              </w:rPr>
              <w:br/>
              <w:t>percentile</w:t>
            </w:r>
          </w:p>
        </w:tc>
        <w:tc>
          <w:tcPr>
            <w:tcW w:w="0" w:type="pct"/>
            <w:tcBorders>
              <w:bottom w:val="single" w:sz="4" w:space="0" w:color="auto"/>
            </w:tcBorders>
            <w:vAlign w:val="center"/>
          </w:tcPr>
          <w:p w14:paraId="6E18718C" w14:textId="77777777" w:rsidR="00766E4A" w:rsidRPr="00F962D9" w:rsidRDefault="00766E4A" w:rsidP="00E5513C">
            <w:pPr>
              <w:keepNext/>
              <w:spacing w:before="40" w:after="40"/>
              <w:rPr>
                <w:snapToGrid w:val="0"/>
                <w:color w:val="0000FF"/>
                <w:sz w:val="18"/>
                <w:szCs w:val="18"/>
              </w:rPr>
            </w:pPr>
            <w:r w:rsidRPr="00F962D9">
              <w:rPr>
                <w:snapToGrid w:val="0"/>
                <w:color w:val="0000FF"/>
                <w:sz w:val="18"/>
                <w:szCs w:val="18"/>
              </w:rPr>
              <w:t xml:space="preserve">25th </w:t>
            </w:r>
            <w:r w:rsidRPr="00F962D9">
              <w:rPr>
                <w:snapToGrid w:val="0"/>
                <w:color w:val="0000FF"/>
                <w:sz w:val="18"/>
                <w:szCs w:val="18"/>
              </w:rPr>
              <w:br/>
              <w:t>percentile</w:t>
            </w:r>
          </w:p>
        </w:tc>
        <w:tc>
          <w:tcPr>
            <w:tcW w:w="0" w:type="pct"/>
            <w:tcBorders>
              <w:bottom w:val="single" w:sz="4" w:space="0" w:color="auto"/>
            </w:tcBorders>
            <w:vAlign w:val="center"/>
          </w:tcPr>
          <w:p w14:paraId="3AC8E96B" w14:textId="77777777" w:rsidR="00766E4A" w:rsidRPr="00F962D9" w:rsidRDefault="00766E4A" w:rsidP="00E5513C">
            <w:pPr>
              <w:keepNext/>
              <w:spacing w:before="40" w:after="40"/>
              <w:rPr>
                <w:snapToGrid w:val="0"/>
                <w:color w:val="0000FF"/>
                <w:sz w:val="18"/>
                <w:szCs w:val="18"/>
              </w:rPr>
            </w:pPr>
            <w:r w:rsidRPr="00F962D9">
              <w:rPr>
                <w:snapToGrid w:val="0"/>
                <w:color w:val="0000FF"/>
                <w:sz w:val="18"/>
                <w:szCs w:val="18"/>
              </w:rPr>
              <w:t xml:space="preserve">50th </w:t>
            </w:r>
            <w:r w:rsidRPr="00F962D9">
              <w:rPr>
                <w:snapToGrid w:val="0"/>
                <w:color w:val="0000FF"/>
                <w:sz w:val="18"/>
                <w:szCs w:val="18"/>
              </w:rPr>
              <w:br/>
              <w:t>percentile</w:t>
            </w:r>
          </w:p>
        </w:tc>
        <w:tc>
          <w:tcPr>
            <w:tcW w:w="0" w:type="pct"/>
            <w:tcBorders>
              <w:bottom w:val="single" w:sz="4" w:space="0" w:color="auto"/>
            </w:tcBorders>
            <w:vAlign w:val="center"/>
          </w:tcPr>
          <w:p w14:paraId="48AF7487" w14:textId="77777777" w:rsidR="00766E4A" w:rsidRPr="00F962D9" w:rsidRDefault="00766E4A" w:rsidP="00E5513C">
            <w:pPr>
              <w:keepNext/>
              <w:spacing w:before="40" w:after="40"/>
              <w:rPr>
                <w:snapToGrid w:val="0"/>
                <w:color w:val="0000FF"/>
                <w:sz w:val="18"/>
                <w:szCs w:val="18"/>
              </w:rPr>
            </w:pPr>
            <w:r w:rsidRPr="00F962D9">
              <w:rPr>
                <w:snapToGrid w:val="0"/>
                <w:color w:val="0000FF"/>
                <w:sz w:val="18"/>
                <w:szCs w:val="18"/>
              </w:rPr>
              <w:t xml:space="preserve">75th </w:t>
            </w:r>
            <w:r w:rsidRPr="00F962D9">
              <w:rPr>
                <w:snapToGrid w:val="0"/>
                <w:color w:val="0000FF"/>
                <w:sz w:val="18"/>
                <w:szCs w:val="18"/>
              </w:rPr>
              <w:br/>
              <w:t>percentile</w:t>
            </w:r>
          </w:p>
        </w:tc>
        <w:tc>
          <w:tcPr>
            <w:tcW w:w="0" w:type="pct"/>
            <w:tcBorders>
              <w:bottom w:val="single" w:sz="4" w:space="0" w:color="auto"/>
            </w:tcBorders>
            <w:vAlign w:val="center"/>
          </w:tcPr>
          <w:p w14:paraId="0E1643E6" w14:textId="77777777" w:rsidR="00766E4A" w:rsidRPr="00F962D9" w:rsidRDefault="00766E4A" w:rsidP="00E5513C">
            <w:pPr>
              <w:keepNext/>
              <w:spacing w:before="40" w:after="40"/>
              <w:rPr>
                <w:snapToGrid w:val="0"/>
                <w:color w:val="0000FF"/>
                <w:sz w:val="18"/>
                <w:szCs w:val="18"/>
              </w:rPr>
            </w:pPr>
            <w:r w:rsidRPr="00F962D9">
              <w:rPr>
                <w:snapToGrid w:val="0"/>
                <w:color w:val="0000FF"/>
                <w:sz w:val="18"/>
                <w:szCs w:val="18"/>
              </w:rPr>
              <w:t xml:space="preserve">90th </w:t>
            </w:r>
            <w:r w:rsidRPr="00F962D9">
              <w:rPr>
                <w:snapToGrid w:val="0"/>
                <w:color w:val="0000FF"/>
                <w:sz w:val="18"/>
                <w:szCs w:val="18"/>
              </w:rPr>
              <w:br/>
              <w:t>percentile</w:t>
            </w:r>
          </w:p>
        </w:tc>
        <w:tc>
          <w:tcPr>
            <w:tcW w:w="0" w:type="pct"/>
            <w:tcBorders>
              <w:bottom w:val="single" w:sz="4" w:space="0" w:color="auto"/>
            </w:tcBorders>
            <w:shd w:val="clear" w:color="auto" w:fill="auto"/>
            <w:vAlign w:val="center"/>
          </w:tcPr>
          <w:p w14:paraId="073794C4" w14:textId="187E4152" w:rsidR="00766E4A" w:rsidRPr="00F962D9" w:rsidRDefault="00766E4A" w:rsidP="00E5513C">
            <w:pPr>
              <w:keepNext/>
              <w:spacing w:before="40" w:after="40"/>
              <w:rPr>
                <w:snapToGrid w:val="0"/>
                <w:color w:val="0000FF"/>
                <w:sz w:val="18"/>
                <w:szCs w:val="18"/>
              </w:rPr>
            </w:pPr>
            <w:r w:rsidRPr="00F962D9">
              <w:rPr>
                <w:snapToGrid w:val="0"/>
                <w:color w:val="0000FF"/>
                <w:sz w:val="18"/>
                <w:szCs w:val="18"/>
              </w:rPr>
              <w:t xml:space="preserve">% of </w:t>
            </w:r>
            <w:r w:rsidRPr="00F962D9">
              <w:rPr>
                <w:snapToGrid w:val="0"/>
                <w:color w:val="0000FF"/>
                <w:sz w:val="18"/>
                <w:szCs w:val="18"/>
              </w:rPr>
              <w:br/>
              <w:t xml:space="preserve">facilities with </w:t>
            </w:r>
            <w:r w:rsidRPr="00F962D9">
              <w:rPr>
                <w:snapToGrid w:val="0"/>
                <w:color w:val="0000FF"/>
                <w:sz w:val="18"/>
                <w:szCs w:val="18"/>
              </w:rPr>
              <w:br/>
              <w:t>“perfect scores”</w:t>
            </w:r>
          </w:p>
        </w:tc>
        <w:tc>
          <w:tcPr>
            <w:tcW w:w="0" w:type="pct"/>
            <w:tcBorders>
              <w:bottom w:val="single" w:sz="4" w:space="0" w:color="auto"/>
            </w:tcBorders>
            <w:vAlign w:val="center"/>
          </w:tcPr>
          <w:p w14:paraId="7A52DE3E" w14:textId="77777777" w:rsidR="00766E4A" w:rsidRPr="00F962D9" w:rsidRDefault="00766E4A" w:rsidP="00E5513C">
            <w:pPr>
              <w:keepNext/>
              <w:spacing w:before="40" w:after="40"/>
              <w:rPr>
                <w:snapToGrid w:val="0"/>
                <w:color w:val="0000FF"/>
                <w:sz w:val="18"/>
                <w:szCs w:val="18"/>
              </w:rPr>
            </w:pPr>
            <w:r w:rsidRPr="00F962D9">
              <w:rPr>
                <w:snapToGrid w:val="0"/>
                <w:color w:val="0000FF"/>
                <w:sz w:val="18"/>
                <w:szCs w:val="18"/>
              </w:rPr>
              <w:t xml:space="preserve">Interquartile </w:t>
            </w:r>
            <w:r w:rsidRPr="00F962D9">
              <w:rPr>
                <w:snapToGrid w:val="0"/>
                <w:color w:val="0000FF"/>
                <w:sz w:val="18"/>
                <w:szCs w:val="18"/>
              </w:rPr>
              <w:br/>
              <w:t>range</w:t>
            </w:r>
          </w:p>
        </w:tc>
      </w:tr>
      <w:tr w:rsidR="00766E4A" w:rsidRPr="00D07D67" w14:paraId="7B05D5D0" w14:textId="77777777" w:rsidTr="0080621A">
        <w:trPr>
          <w:cnfStyle w:val="010000000000" w:firstRow="0" w:lastRow="1" w:firstColumn="0" w:lastColumn="0" w:oddVBand="0" w:evenVBand="0" w:oddHBand="0" w:evenHBand="0" w:firstRowFirstColumn="0" w:firstRowLastColumn="0" w:lastRowFirstColumn="0" w:lastRowLastColumn="0"/>
        </w:trPr>
        <w:tc>
          <w:tcPr>
            <w:tcW w:w="414" w:type="pct"/>
            <w:tcBorders>
              <w:top w:val="single" w:sz="4" w:space="0" w:color="auto"/>
            </w:tcBorders>
          </w:tcPr>
          <w:p w14:paraId="1CF75886" w14:textId="1300A8DC" w:rsidR="00766E4A" w:rsidRPr="00F962D9" w:rsidRDefault="00B10C6C" w:rsidP="00263C7D">
            <w:pPr>
              <w:pStyle w:val="TableText-cent"/>
              <w:jc w:val="left"/>
              <w:rPr>
                <w:color w:val="0000FF"/>
                <w:sz w:val="18"/>
                <w:szCs w:val="18"/>
              </w:rPr>
            </w:pPr>
            <w:r>
              <w:rPr>
                <w:color w:val="0000FF"/>
                <w:sz w:val="18"/>
                <w:szCs w:val="18"/>
              </w:rPr>
              <w:t>14,5</w:t>
            </w:r>
            <w:r w:rsidR="003B5B9D">
              <w:rPr>
                <w:color w:val="0000FF"/>
                <w:sz w:val="18"/>
                <w:szCs w:val="18"/>
              </w:rPr>
              <w:t>20</w:t>
            </w:r>
          </w:p>
        </w:tc>
        <w:tc>
          <w:tcPr>
            <w:tcW w:w="368" w:type="pct"/>
            <w:tcBorders>
              <w:top w:val="single" w:sz="4" w:space="0" w:color="auto"/>
            </w:tcBorders>
          </w:tcPr>
          <w:p w14:paraId="580BE159" w14:textId="1EFF9016" w:rsidR="00766E4A" w:rsidRPr="00F962D9" w:rsidRDefault="00E675F9" w:rsidP="00E62A16">
            <w:pPr>
              <w:pStyle w:val="TableText-cent"/>
              <w:rPr>
                <w:color w:val="0000FF"/>
                <w:sz w:val="18"/>
                <w:szCs w:val="18"/>
              </w:rPr>
            </w:pPr>
            <w:r>
              <w:rPr>
                <w:color w:val="0000FF"/>
                <w:sz w:val="18"/>
                <w:szCs w:val="18"/>
              </w:rPr>
              <w:t>2.8%</w:t>
            </w:r>
          </w:p>
        </w:tc>
        <w:tc>
          <w:tcPr>
            <w:tcW w:w="343" w:type="pct"/>
            <w:tcBorders>
              <w:top w:val="single" w:sz="4" w:space="0" w:color="auto"/>
            </w:tcBorders>
          </w:tcPr>
          <w:p w14:paraId="5AD0F6E9" w14:textId="475B296C" w:rsidR="00766E4A" w:rsidRPr="00F962D9" w:rsidRDefault="00E675F9" w:rsidP="00E62A16">
            <w:pPr>
              <w:pStyle w:val="TableText-cent"/>
              <w:rPr>
                <w:color w:val="0000FF"/>
                <w:sz w:val="18"/>
                <w:szCs w:val="18"/>
              </w:rPr>
            </w:pPr>
            <w:r>
              <w:rPr>
                <w:color w:val="0000FF"/>
                <w:sz w:val="18"/>
                <w:szCs w:val="18"/>
              </w:rPr>
              <w:t>3.4%</w:t>
            </w:r>
          </w:p>
        </w:tc>
        <w:tc>
          <w:tcPr>
            <w:tcW w:w="544" w:type="pct"/>
            <w:tcBorders>
              <w:top w:val="single" w:sz="4" w:space="0" w:color="auto"/>
            </w:tcBorders>
          </w:tcPr>
          <w:p w14:paraId="1D9D31D9" w14:textId="63C887CB" w:rsidR="00766E4A" w:rsidRPr="00F962D9" w:rsidRDefault="00E675F9" w:rsidP="00E62A16">
            <w:pPr>
              <w:pStyle w:val="TableText-cent"/>
              <w:rPr>
                <w:color w:val="0000FF"/>
                <w:sz w:val="18"/>
                <w:szCs w:val="18"/>
              </w:rPr>
            </w:pPr>
            <w:r>
              <w:rPr>
                <w:color w:val="0000FF"/>
                <w:sz w:val="18"/>
                <w:szCs w:val="18"/>
              </w:rPr>
              <w:t>0.0%</w:t>
            </w:r>
          </w:p>
        </w:tc>
        <w:tc>
          <w:tcPr>
            <w:tcW w:w="544" w:type="pct"/>
            <w:tcBorders>
              <w:top w:val="single" w:sz="4" w:space="0" w:color="auto"/>
            </w:tcBorders>
          </w:tcPr>
          <w:p w14:paraId="328E0635" w14:textId="1F0E72C1" w:rsidR="00766E4A" w:rsidRPr="00F962D9" w:rsidRDefault="00E675F9" w:rsidP="00E62A16">
            <w:pPr>
              <w:pStyle w:val="TableText-cent"/>
              <w:rPr>
                <w:color w:val="0000FF"/>
                <w:sz w:val="18"/>
                <w:szCs w:val="18"/>
              </w:rPr>
            </w:pPr>
            <w:r>
              <w:rPr>
                <w:color w:val="0000FF"/>
                <w:sz w:val="18"/>
                <w:szCs w:val="18"/>
              </w:rPr>
              <w:t>0.0%</w:t>
            </w:r>
          </w:p>
        </w:tc>
        <w:tc>
          <w:tcPr>
            <w:tcW w:w="544" w:type="pct"/>
            <w:tcBorders>
              <w:top w:val="single" w:sz="4" w:space="0" w:color="auto"/>
            </w:tcBorders>
          </w:tcPr>
          <w:p w14:paraId="0D90F7D3" w14:textId="08552132" w:rsidR="00766E4A" w:rsidRPr="00F962D9" w:rsidRDefault="00E675F9" w:rsidP="00E62A16">
            <w:pPr>
              <w:pStyle w:val="TableText-cent"/>
              <w:rPr>
                <w:color w:val="0000FF"/>
                <w:sz w:val="18"/>
                <w:szCs w:val="18"/>
              </w:rPr>
            </w:pPr>
            <w:r>
              <w:rPr>
                <w:color w:val="0000FF"/>
                <w:sz w:val="18"/>
                <w:szCs w:val="18"/>
              </w:rPr>
              <w:t>1.9%</w:t>
            </w:r>
          </w:p>
        </w:tc>
        <w:tc>
          <w:tcPr>
            <w:tcW w:w="544" w:type="pct"/>
            <w:tcBorders>
              <w:top w:val="single" w:sz="4" w:space="0" w:color="auto"/>
            </w:tcBorders>
          </w:tcPr>
          <w:p w14:paraId="0D800198" w14:textId="7899ED45" w:rsidR="00766E4A" w:rsidRPr="00F962D9" w:rsidRDefault="00E675F9" w:rsidP="00E62A16">
            <w:pPr>
              <w:pStyle w:val="TableText-cent"/>
              <w:rPr>
                <w:color w:val="0000FF"/>
                <w:sz w:val="18"/>
                <w:szCs w:val="18"/>
              </w:rPr>
            </w:pPr>
            <w:r>
              <w:rPr>
                <w:color w:val="0000FF"/>
                <w:sz w:val="18"/>
                <w:szCs w:val="18"/>
              </w:rPr>
              <w:t>4.</w:t>
            </w:r>
            <w:r w:rsidR="00A76E31">
              <w:rPr>
                <w:color w:val="0000FF"/>
                <w:sz w:val="18"/>
                <w:szCs w:val="18"/>
              </w:rPr>
              <w:t>2</w:t>
            </w:r>
            <w:r>
              <w:rPr>
                <w:color w:val="0000FF"/>
                <w:sz w:val="18"/>
                <w:szCs w:val="18"/>
              </w:rPr>
              <w:t>%</w:t>
            </w:r>
          </w:p>
        </w:tc>
        <w:tc>
          <w:tcPr>
            <w:tcW w:w="544" w:type="pct"/>
            <w:tcBorders>
              <w:top w:val="single" w:sz="4" w:space="0" w:color="auto"/>
            </w:tcBorders>
          </w:tcPr>
          <w:p w14:paraId="02C9D095" w14:textId="1B5AA8A6" w:rsidR="00766E4A" w:rsidRPr="00F962D9" w:rsidRDefault="00E675F9" w:rsidP="00E62A16">
            <w:pPr>
              <w:pStyle w:val="TableText-cent"/>
              <w:rPr>
                <w:color w:val="0000FF"/>
                <w:sz w:val="18"/>
                <w:szCs w:val="18"/>
              </w:rPr>
            </w:pPr>
            <w:r>
              <w:rPr>
                <w:color w:val="0000FF"/>
                <w:sz w:val="18"/>
                <w:szCs w:val="18"/>
              </w:rPr>
              <w:t>7.</w:t>
            </w:r>
            <w:r w:rsidR="00D71255">
              <w:rPr>
                <w:color w:val="0000FF"/>
                <w:sz w:val="18"/>
                <w:szCs w:val="18"/>
              </w:rPr>
              <w:t>2</w:t>
            </w:r>
            <w:r>
              <w:rPr>
                <w:color w:val="0000FF"/>
                <w:sz w:val="18"/>
                <w:szCs w:val="18"/>
              </w:rPr>
              <w:t>%</w:t>
            </w:r>
          </w:p>
        </w:tc>
        <w:tc>
          <w:tcPr>
            <w:tcW w:w="500" w:type="pct"/>
            <w:tcBorders>
              <w:top w:val="single" w:sz="4" w:space="0" w:color="auto"/>
            </w:tcBorders>
          </w:tcPr>
          <w:p w14:paraId="135385A0" w14:textId="0004A44A" w:rsidR="00766E4A" w:rsidRPr="00F962D9" w:rsidRDefault="00DA2819" w:rsidP="00E62A16">
            <w:pPr>
              <w:pStyle w:val="TableText-cent"/>
              <w:rPr>
                <w:color w:val="0000FF"/>
                <w:sz w:val="18"/>
                <w:szCs w:val="18"/>
              </w:rPr>
            </w:pPr>
            <w:r w:rsidRPr="00567C41">
              <w:rPr>
                <w:color w:val="0000FF"/>
                <w:sz w:val="18"/>
                <w:szCs w:val="18"/>
              </w:rPr>
              <w:t>32.</w:t>
            </w:r>
            <w:r w:rsidR="00F5390F">
              <w:rPr>
                <w:color w:val="0000FF"/>
                <w:sz w:val="18"/>
                <w:szCs w:val="18"/>
              </w:rPr>
              <w:t>3</w:t>
            </w:r>
            <w:r w:rsidR="00AE262A" w:rsidRPr="00567C41">
              <w:rPr>
                <w:color w:val="0000FF"/>
                <w:sz w:val="18"/>
                <w:szCs w:val="18"/>
              </w:rPr>
              <w:t>%</w:t>
            </w:r>
          </w:p>
        </w:tc>
        <w:tc>
          <w:tcPr>
            <w:tcW w:w="656" w:type="pct"/>
            <w:tcBorders>
              <w:top w:val="single" w:sz="4" w:space="0" w:color="auto"/>
            </w:tcBorders>
          </w:tcPr>
          <w:p w14:paraId="063A0606" w14:textId="43B689ED" w:rsidR="00766E4A" w:rsidRPr="00F962D9" w:rsidRDefault="002B42CC" w:rsidP="00E62A16">
            <w:pPr>
              <w:pStyle w:val="TableText-cent"/>
              <w:rPr>
                <w:color w:val="0000FF"/>
                <w:sz w:val="18"/>
                <w:szCs w:val="18"/>
              </w:rPr>
            </w:pPr>
            <w:r>
              <w:rPr>
                <w:color w:val="0000FF"/>
                <w:sz w:val="18"/>
                <w:szCs w:val="18"/>
              </w:rPr>
              <w:t>4.</w:t>
            </w:r>
            <w:r w:rsidR="00822F62">
              <w:rPr>
                <w:color w:val="0000FF"/>
                <w:sz w:val="18"/>
                <w:szCs w:val="18"/>
              </w:rPr>
              <w:t>2</w:t>
            </w:r>
            <w:r>
              <w:rPr>
                <w:color w:val="0000FF"/>
                <w:sz w:val="18"/>
                <w:szCs w:val="18"/>
              </w:rPr>
              <w:t>%</w:t>
            </w:r>
          </w:p>
        </w:tc>
      </w:tr>
    </w:tbl>
    <w:p w14:paraId="239F7B4F" w14:textId="77777777" w:rsidR="007E3454" w:rsidRPr="00263C7D" w:rsidRDefault="007E3454" w:rsidP="007E3454">
      <w:pPr>
        <w:pStyle w:val="Response"/>
        <w:rPr>
          <w:sz w:val="20"/>
          <w:szCs w:val="20"/>
        </w:rPr>
      </w:pPr>
      <w:bookmarkStart w:id="42" w:name="_Hlk15033627"/>
      <w:bookmarkStart w:id="43" w:name="_Hlk514678934"/>
      <w:r w:rsidRPr="00263C7D">
        <w:rPr>
          <w:sz w:val="20"/>
          <w:szCs w:val="20"/>
        </w:rPr>
        <w:t xml:space="preserve">NOTES: </w:t>
      </w:r>
      <w:r w:rsidRPr="00263C7D">
        <w:rPr>
          <w:i/>
          <w:sz w:val="20"/>
          <w:szCs w:val="20"/>
        </w:rPr>
        <w:t xml:space="preserve">k </w:t>
      </w:r>
      <w:r w:rsidRPr="00263C7D">
        <w:rPr>
          <w:sz w:val="20"/>
          <w:szCs w:val="20"/>
        </w:rPr>
        <w:t xml:space="preserve">= number of facilities that meet minimum requirements for public reporting this quality measure. </w:t>
      </w:r>
    </w:p>
    <w:bookmarkEnd w:id="42"/>
    <w:p w14:paraId="20177814" w14:textId="74B7F76A" w:rsidR="00766E4A" w:rsidRPr="00A11604" w:rsidRDefault="00E2373F" w:rsidP="00766E4A">
      <w:pPr>
        <w:pStyle w:val="Response"/>
        <w:spacing w:before="0" w:after="0"/>
        <w:rPr>
          <w:rFonts w:eastAsia="Calibri"/>
          <w:sz w:val="20"/>
          <w:szCs w:val="20"/>
        </w:rPr>
      </w:pPr>
      <w:r>
        <w:rPr>
          <w:rFonts w:eastAsia="Calibri"/>
          <w:sz w:val="20"/>
          <w:szCs w:val="20"/>
        </w:rPr>
        <w:t>Source</w:t>
      </w:r>
      <w:r w:rsidR="00766E4A" w:rsidRPr="00263C7D">
        <w:rPr>
          <w:rFonts w:eastAsia="Calibri"/>
          <w:sz w:val="20"/>
          <w:szCs w:val="20"/>
        </w:rPr>
        <w:t xml:space="preserve">: </w:t>
      </w:r>
      <w:r w:rsidR="00766E4A" w:rsidRPr="00A11604">
        <w:rPr>
          <w:rFonts w:eastAsia="Calibri"/>
          <w:sz w:val="20"/>
          <w:szCs w:val="20"/>
        </w:rPr>
        <w:t>RTI analysis of Q</w:t>
      </w:r>
      <w:r w:rsidR="00C20A7A" w:rsidRPr="00A11604">
        <w:rPr>
          <w:rFonts w:eastAsia="Calibri"/>
          <w:sz w:val="20"/>
          <w:szCs w:val="20"/>
        </w:rPr>
        <w:t>3</w:t>
      </w:r>
      <w:r w:rsidR="00766E4A" w:rsidRPr="00A11604">
        <w:rPr>
          <w:rFonts w:eastAsia="Calibri"/>
          <w:sz w:val="20"/>
          <w:szCs w:val="20"/>
        </w:rPr>
        <w:t>, 201</w:t>
      </w:r>
      <w:r w:rsidR="009B4174" w:rsidRPr="00A11604">
        <w:rPr>
          <w:rFonts w:eastAsia="Calibri"/>
          <w:sz w:val="20"/>
          <w:szCs w:val="20"/>
        </w:rPr>
        <w:t>8</w:t>
      </w:r>
      <w:r w:rsidR="00766E4A" w:rsidRPr="00A11604">
        <w:rPr>
          <w:rFonts w:eastAsia="Calibri"/>
          <w:sz w:val="20"/>
          <w:szCs w:val="20"/>
        </w:rPr>
        <w:t xml:space="preserve"> MDS 3.0 data (programming reference:</w:t>
      </w:r>
      <w:r w:rsidR="002A1609" w:rsidRPr="00A11604">
        <w:rPr>
          <w:rFonts w:eastAsia="Calibri"/>
          <w:sz w:val="20"/>
          <w:szCs w:val="20"/>
        </w:rPr>
        <w:t xml:space="preserve"> KH30/</w:t>
      </w:r>
      <w:r w:rsidR="00BF343F" w:rsidRPr="00A11604">
        <w:rPr>
          <w:rFonts w:eastAsia="Calibri"/>
          <w:sz w:val="20"/>
          <w:szCs w:val="20"/>
        </w:rPr>
        <w:t>hf356_request</w:t>
      </w:r>
      <w:r w:rsidR="00353512" w:rsidRPr="00A11604">
        <w:rPr>
          <w:rFonts w:eastAsia="Calibri"/>
          <w:sz w:val="20"/>
          <w:szCs w:val="20"/>
        </w:rPr>
        <w:t>_q3132_</w:t>
      </w:r>
      <w:r w:rsidR="00BF343F" w:rsidRPr="00A11604">
        <w:rPr>
          <w:rFonts w:eastAsia="Calibri"/>
          <w:sz w:val="20"/>
          <w:szCs w:val="20"/>
        </w:rPr>
        <w:t xml:space="preserve">684.log; </w:t>
      </w:r>
      <w:r w:rsidR="00D71255" w:rsidRPr="00A11604">
        <w:rPr>
          <w:rFonts w:eastAsia="Calibri"/>
          <w:sz w:val="20"/>
          <w:szCs w:val="20"/>
        </w:rPr>
        <w:t>KH39/</w:t>
      </w:r>
      <w:r w:rsidR="009B4174" w:rsidRPr="00A11604">
        <w:rPr>
          <w:rFonts w:eastAsia="Calibri"/>
          <w:sz w:val="20"/>
          <w:szCs w:val="20"/>
        </w:rPr>
        <w:t>hf365_request_q3</w:t>
      </w:r>
      <w:r w:rsidR="00D71255" w:rsidRPr="00A11604">
        <w:rPr>
          <w:rFonts w:eastAsia="Calibri"/>
          <w:sz w:val="20"/>
          <w:szCs w:val="20"/>
        </w:rPr>
        <w:t>1</w:t>
      </w:r>
      <w:r w:rsidR="009B4174" w:rsidRPr="00A11604">
        <w:rPr>
          <w:rFonts w:eastAsia="Calibri"/>
          <w:sz w:val="20"/>
          <w:szCs w:val="20"/>
        </w:rPr>
        <w:t>3</w:t>
      </w:r>
      <w:r w:rsidR="00D71255" w:rsidRPr="00A11604">
        <w:rPr>
          <w:rFonts w:eastAsia="Calibri"/>
          <w:sz w:val="20"/>
          <w:szCs w:val="20"/>
        </w:rPr>
        <w:t>2</w:t>
      </w:r>
      <w:r w:rsidR="009B4174" w:rsidRPr="00A11604">
        <w:rPr>
          <w:rFonts w:eastAsia="Calibri"/>
          <w:sz w:val="20"/>
          <w:szCs w:val="20"/>
        </w:rPr>
        <w:t>_684.log</w:t>
      </w:r>
      <w:r w:rsidR="00766E4A" w:rsidRPr="00A11604">
        <w:rPr>
          <w:rFonts w:eastAsia="Calibri"/>
          <w:sz w:val="20"/>
          <w:szCs w:val="20"/>
        </w:rPr>
        <w:t>)</w:t>
      </w:r>
    </w:p>
    <w:bookmarkEnd w:id="43"/>
    <w:p w14:paraId="3F66517C" w14:textId="22D5C445" w:rsidR="00766E4A" w:rsidRDefault="00766E4A" w:rsidP="009853D6">
      <w:pPr>
        <w:pStyle w:val="Response"/>
        <w:ind w:left="360"/>
      </w:pPr>
      <w:r w:rsidRPr="00A11604">
        <w:rPr>
          <w:b/>
          <w:i/>
        </w:rPr>
        <w:t xml:space="preserve">Table </w:t>
      </w:r>
      <w:r w:rsidR="00CF5120" w:rsidRPr="00A11604">
        <w:rPr>
          <w:b/>
          <w:i/>
        </w:rPr>
        <w:t xml:space="preserve">2 </w:t>
      </w:r>
      <w:r w:rsidR="00CF5120" w:rsidRPr="00A11604">
        <w:t>(</w:t>
      </w:r>
      <w:r w:rsidR="008E3B1F" w:rsidRPr="008E3B1F">
        <w:rPr>
          <w:b/>
          <w:bCs w:val="0"/>
        </w:rPr>
        <w:t>S</w:t>
      </w:r>
      <w:r w:rsidR="0049722A" w:rsidRPr="008E3B1F">
        <w:rPr>
          <w:b/>
          <w:bCs w:val="0"/>
        </w:rPr>
        <w:t>ection</w:t>
      </w:r>
      <w:r w:rsidR="0049722A" w:rsidRPr="00A11604">
        <w:t xml:space="preserve"> </w:t>
      </w:r>
      <w:r w:rsidR="0049722A" w:rsidRPr="00A11604">
        <w:rPr>
          <w:b/>
        </w:rPr>
        <w:t>2b1.</w:t>
      </w:r>
      <w:r w:rsidR="00607EF3">
        <w:rPr>
          <w:b/>
        </w:rPr>
        <w:t>3</w:t>
      </w:r>
      <w:r w:rsidR="00CF5120" w:rsidRPr="00A11604">
        <w:t>)</w:t>
      </w:r>
      <w:r w:rsidRPr="00A11604">
        <w:t xml:space="preserve"> shows the proportions of facilities that score statistically significantly higher or lower than the national facility-</w:t>
      </w:r>
      <w:r>
        <w:t xml:space="preserve">level mean in Quarter </w:t>
      </w:r>
      <w:r w:rsidR="007611ED">
        <w:t>3</w:t>
      </w:r>
      <w:r>
        <w:t>, 201</w:t>
      </w:r>
      <w:r w:rsidR="00B02483">
        <w:t>8</w:t>
      </w:r>
      <w:r>
        <w:t xml:space="preserve">. For this analysis, statistical significance was determined using 95% confidence intervals: a facility’s quality measure score was significantly different from the national mean if the national mean was not within the facility’s 95% confidence interval. </w:t>
      </w:r>
    </w:p>
    <w:p w14:paraId="5350E10E" w14:textId="2D7FFC21" w:rsidR="00766E4A" w:rsidRDefault="00766E4A" w:rsidP="009853D6">
      <w:pPr>
        <w:pStyle w:val="Response"/>
        <w:ind w:left="360"/>
      </w:pPr>
      <w:r w:rsidRPr="00BC65E6">
        <w:lastRenderedPageBreak/>
        <w:t xml:space="preserve">Overall, just above </w:t>
      </w:r>
      <w:r w:rsidRPr="00263C7D">
        <w:t>one-third (3</w:t>
      </w:r>
      <w:r w:rsidR="00BC65E6" w:rsidRPr="00263C7D">
        <w:t>9.</w:t>
      </w:r>
      <w:r w:rsidR="0049722A">
        <w:t>5</w:t>
      </w:r>
      <w:r w:rsidRPr="00263C7D">
        <w:t>%) of facilities</w:t>
      </w:r>
      <w:r w:rsidRPr="00BC65E6">
        <w:t xml:space="preserve"> were significantly different from the national mean in </w:t>
      </w:r>
      <w:r w:rsidRPr="00263C7D">
        <w:t xml:space="preserve">Quarter </w:t>
      </w:r>
      <w:r w:rsidR="0049722A">
        <w:t>3</w:t>
      </w:r>
      <w:r w:rsidRPr="00263C7D">
        <w:t>, 201</w:t>
      </w:r>
      <w:r w:rsidR="00BC65E6" w:rsidRPr="00263C7D">
        <w:t>8</w:t>
      </w:r>
      <w:r w:rsidRPr="00263C7D">
        <w:t>, indicating that there are meaningful differences</w:t>
      </w:r>
      <w:r w:rsidRPr="00BC65E6">
        <w:t xml:space="preserve"> in</w:t>
      </w:r>
      <w:r>
        <w:t xml:space="preserve"> facility-level scores for this measure. </w:t>
      </w:r>
      <w:r w:rsidRPr="009C7D47">
        <w:t xml:space="preserve">We also stratified the data by the facility denominator </w:t>
      </w:r>
      <w:r w:rsidRPr="002B75EB">
        <w:t>size to allow us to examine the relationship between facility size and the reliability of facility scores. The proportions of facilities with scores that are significantly different from the national mean vary as a function of the number of residents included in the denominator for this measure; in general, the percentage of facilities which have scores that are statistically significantly different from the mean decreases with the number of residents.</w:t>
      </w:r>
      <w:r w:rsidR="007E3454" w:rsidRPr="007E3454">
        <w:t xml:space="preserve"> </w:t>
      </w:r>
      <w:r w:rsidR="007E3454" w:rsidRPr="00EA5CCD">
        <w:t>Increases in the facility-level sample size lead to reductions in the standard error of facility-level scores, thus, it appears that changes in the reliability of this measure for larger facilities are due to the greater statistical reliability that accompanies increased sample size.</w:t>
      </w:r>
    </w:p>
    <w:p w14:paraId="21F853A2" w14:textId="1FAF0763" w:rsidR="00281068" w:rsidRDefault="00281068" w:rsidP="00281068">
      <w:pPr>
        <w:autoSpaceDE w:val="0"/>
        <w:autoSpaceDN w:val="0"/>
        <w:adjustRightInd w:val="0"/>
        <w:spacing w:after="0" w:line="240" w:lineRule="auto"/>
        <w:rPr>
          <w:rFonts w:cstheme="minorHAnsi"/>
          <w:bCs/>
          <w:color w:val="0000FF"/>
          <w:sz w:val="20"/>
          <w:szCs w:val="20"/>
        </w:rPr>
      </w:pPr>
      <w:r>
        <w:rPr>
          <w:rFonts w:cstheme="minorHAnsi"/>
          <w:bCs/>
          <w:color w:val="0000FF"/>
          <w:sz w:val="20"/>
          <w:szCs w:val="20"/>
        </w:rPr>
        <w:t>Source</w:t>
      </w:r>
      <w:r w:rsidRPr="003A4C02">
        <w:rPr>
          <w:rFonts w:cstheme="minorHAnsi"/>
          <w:bCs/>
          <w:color w:val="0000FF"/>
          <w:sz w:val="20"/>
          <w:szCs w:val="20"/>
        </w:rPr>
        <w:t>: RTI analysis of Q</w:t>
      </w:r>
      <w:r>
        <w:rPr>
          <w:rFonts w:cstheme="minorHAnsi"/>
          <w:bCs/>
          <w:color w:val="0000FF"/>
          <w:sz w:val="20"/>
          <w:szCs w:val="20"/>
        </w:rPr>
        <w:t>3,</w:t>
      </w:r>
      <w:r w:rsidRPr="003A4C02">
        <w:rPr>
          <w:rFonts w:cstheme="minorHAnsi"/>
          <w:bCs/>
          <w:color w:val="0000FF"/>
          <w:sz w:val="20"/>
          <w:szCs w:val="20"/>
        </w:rPr>
        <w:t xml:space="preserve"> 201</w:t>
      </w:r>
      <w:r>
        <w:rPr>
          <w:rFonts w:cstheme="minorHAnsi"/>
          <w:bCs/>
          <w:color w:val="0000FF"/>
          <w:sz w:val="20"/>
          <w:szCs w:val="20"/>
        </w:rPr>
        <w:t>8</w:t>
      </w:r>
      <w:r w:rsidRPr="003A4C02">
        <w:rPr>
          <w:rFonts w:cstheme="minorHAnsi"/>
          <w:bCs/>
          <w:color w:val="0000FF"/>
          <w:sz w:val="20"/>
          <w:szCs w:val="20"/>
        </w:rPr>
        <w:t xml:space="preserve"> MDS 3.0 data (</w:t>
      </w:r>
      <w:r w:rsidRPr="00A11604">
        <w:rPr>
          <w:rFonts w:cstheme="minorHAnsi"/>
          <w:bCs/>
          <w:color w:val="0000FF"/>
          <w:sz w:val="20"/>
          <w:szCs w:val="20"/>
        </w:rPr>
        <w:t xml:space="preserve">programming reference: KH38\hf364_request_q3132_684.log) </w:t>
      </w:r>
    </w:p>
    <w:p w14:paraId="18BB321D" w14:textId="77777777" w:rsidR="00281068" w:rsidRPr="00281068" w:rsidRDefault="00281068" w:rsidP="00281068">
      <w:pPr>
        <w:autoSpaceDE w:val="0"/>
        <w:autoSpaceDN w:val="0"/>
        <w:adjustRightInd w:val="0"/>
        <w:spacing w:after="0" w:line="240" w:lineRule="auto"/>
        <w:rPr>
          <w:rFonts w:cstheme="minorHAnsi"/>
          <w:bCs/>
          <w:color w:val="0000FF"/>
          <w:sz w:val="20"/>
          <w:szCs w:val="20"/>
        </w:rPr>
      </w:pPr>
    </w:p>
    <w:p w14:paraId="0CABD00C" w14:textId="3FA46D89" w:rsidR="00D61410" w:rsidRDefault="009C7513" w:rsidP="00D61410">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5030A2A4" w14:textId="4F75F356" w:rsidR="007E3454" w:rsidRPr="00A25024" w:rsidRDefault="007E3454" w:rsidP="009853D6">
      <w:pPr>
        <w:pStyle w:val="Response"/>
        <w:ind w:left="360"/>
      </w:pPr>
      <w:r w:rsidRPr="00263C7D">
        <w:t>These analyses show that the quality measure score varies enough to make meaningful distinctions between high- and low-quality facilities. Moreover, the quality measure scores vary enough from the national mean that there are meaningful differences in facility-level scores for this measure.</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0CABD010" w14:textId="77777777" w:rsidR="00567D12" w:rsidRPr="00A25024" w:rsidRDefault="00567D12" w:rsidP="00DB3627">
      <w:pPr>
        <w:autoSpaceDE w:val="0"/>
        <w:autoSpaceDN w:val="0"/>
        <w:adjustRightInd w:val="0"/>
        <w:spacing w:after="0" w:line="240" w:lineRule="auto"/>
        <w:rPr>
          <w:rFonts w:cstheme="minorHAnsi"/>
          <w:b/>
          <w:bCs/>
        </w:rPr>
      </w:pPr>
    </w:p>
    <w:p w14:paraId="0CABD011" w14:textId="552BB7F4"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w:t>
      </w:r>
      <w:r w:rsidR="00E87D6C">
        <w:rPr>
          <w:rFonts w:ascii="Calibri-BoldItalic" w:eastAsiaTheme="minorHAnsi" w:hAnsi="Calibri-BoldItalic" w:cs="Calibri-BoldItalic"/>
          <w:b/>
          <w:bCs/>
          <w:i/>
          <w:iCs/>
        </w:rPr>
        <w:t xml:space="preserve"> </w:t>
      </w:r>
      <w:r w:rsidR="00F1412B">
        <w:rPr>
          <w:rFonts w:ascii="Calibri-BoldItalic" w:eastAsiaTheme="minorHAnsi" w:hAnsi="Calibri-BoldItalic" w:cs="Calibri-BoldItalic"/>
          <w:b/>
          <w:bCs/>
          <w:i/>
          <w:iCs/>
        </w:rPr>
        <w:t>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0CABD013" w14:textId="6E1022D5" w:rsidR="000F06B5" w:rsidRPr="009D3882" w:rsidRDefault="009C7513" w:rsidP="00DB3627">
      <w:pPr>
        <w:autoSpaceDE w:val="0"/>
        <w:autoSpaceDN w:val="0"/>
        <w:adjustRightInd w:val="0"/>
        <w:spacing w:after="0" w:line="240" w:lineRule="auto"/>
        <w:rPr>
          <w:rFonts w:cstheme="minorHAnsi"/>
          <w:bCs/>
          <w:sz w:val="14"/>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 xml:space="preserve">) </w:t>
      </w:r>
    </w:p>
    <w:p w14:paraId="0CABD014" w14:textId="220B0566" w:rsidR="000F06B5" w:rsidRDefault="007E3454" w:rsidP="009853D6">
      <w:pPr>
        <w:pStyle w:val="Response"/>
        <w:ind w:left="360"/>
        <w:rPr>
          <w:rFonts w:cs="Calibri"/>
          <w:bCs w:val="0"/>
        </w:rPr>
      </w:pPr>
      <w:r w:rsidRPr="00E972DF">
        <w:rPr>
          <w:rFonts w:cs="Calibri"/>
          <w:bCs w:val="0"/>
        </w:rPr>
        <w:t>Not applicable.</w:t>
      </w:r>
    </w:p>
    <w:p w14:paraId="4DAF1DD8" w14:textId="1D4361FE" w:rsidR="00F409B1" w:rsidRDefault="009C7513" w:rsidP="00E1508F">
      <w:pPr>
        <w:autoSpaceDE w:val="0"/>
        <w:autoSpaceDN w:val="0"/>
        <w:adjustRightInd w:val="0"/>
        <w:spacing w:after="0" w:line="240" w:lineRule="auto"/>
        <w:rPr>
          <w:rFonts w:cs="Calibri"/>
          <w:bCs/>
          <w:color w:val="0000FF"/>
        </w:rPr>
      </w:pPr>
      <w:r>
        <w:rPr>
          <w:rFonts w:cstheme="minorHAnsi"/>
          <w:b/>
          <w:bCs/>
        </w:rPr>
        <w:t>2b5</w:t>
      </w:r>
      <w:r w:rsidR="00E1508F">
        <w:rPr>
          <w:rFonts w:cstheme="minorHAnsi"/>
          <w:b/>
          <w:bCs/>
        </w:rPr>
        <w:t xml:space="preserve">.2.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14:paraId="0CABD016" w14:textId="39780D9D" w:rsidR="00E1508F" w:rsidRDefault="007E3454" w:rsidP="009853D6">
      <w:pPr>
        <w:pStyle w:val="Response"/>
        <w:ind w:left="360"/>
        <w:rPr>
          <w:rFonts w:cs="Calibri"/>
          <w:bCs w:val="0"/>
        </w:rPr>
      </w:pPr>
      <w:r w:rsidRPr="00E972DF">
        <w:rPr>
          <w:rFonts w:cs="Calibri"/>
          <w:bCs w:val="0"/>
        </w:rPr>
        <w:t>Not applicable.</w:t>
      </w:r>
    </w:p>
    <w:p w14:paraId="1D1E29F5" w14:textId="3D130612" w:rsidR="00F409B1" w:rsidRDefault="009C7513" w:rsidP="00DB3627">
      <w:pPr>
        <w:autoSpaceDE w:val="0"/>
        <w:autoSpaceDN w:val="0"/>
        <w:adjustRightInd w:val="0"/>
        <w:spacing w:after="0" w:line="240" w:lineRule="auto"/>
        <w:rPr>
          <w:rFonts w:cs="Calibri"/>
          <w:bCs/>
          <w:color w:val="0000FF"/>
        </w:rPr>
      </w:pPr>
      <w:r>
        <w:rPr>
          <w:rFonts w:cstheme="minorHAnsi"/>
          <w:b/>
          <w:bCs/>
        </w:rPr>
        <w:t>2b5</w:t>
      </w:r>
      <w:r w:rsidR="00E1508F">
        <w:rPr>
          <w:rFonts w:cstheme="minorHAnsi"/>
          <w:b/>
          <w:bCs/>
        </w:rPr>
        <w:t xml:space="preserve">.3. </w:t>
      </w:r>
      <w:r w:rsidR="002B0C3A" w:rsidRPr="00A25024">
        <w:rPr>
          <w:rFonts w:cstheme="minorHAnsi"/>
          <w:b/>
          <w:bCs/>
        </w:rPr>
        <w:t xml:space="preserve">What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.e., what do the results mean and what are the norms for the test conducted</w:t>
      </w:r>
      <w:r w:rsidR="002B0C3A" w:rsidRPr="00A25024">
        <w:rPr>
          <w:rFonts w:cstheme="minorHAnsi"/>
          <w:bCs/>
        </w:rPr>
        <w:t>)</w:t>
      </w:r>
    </w:p>
    <w:p w14:paraId="0CABD017" w14:textId="5218D131" w:rsidR="0079180E" w:rsidRDefault="007E3454" w:rsidP="009853D6">
      <w:pPr>
        <w:pStyle w:val="Response"/>
        <w:ind w:left="360"/>
        <w:rPr>
          <w:bCs w:val="0"/>
        </w:rPr>
      </w:pPr>
      <w:r w:rsidRPr="00E972DF">
        <w:rPr>
          <w:rFonts w:cs="Calibri"/>
          <w:bCs w:val="0"/>
        </w:rPr>
        <w:lastRenderedPageBreak/>
        <w:t>Not applicable.</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0CABD01A" w14:textId="77777777" w:rsidR="008F7E67" w:rsidRDefault="008F7E67" w:rsidP="008F7E67">
      <w:pPr>
        <w:autoSpaceDE w:val="0"/>
        <w:autoSpaceDN w:val="0"/>
        <w:adjustRightInd w:val="0"/>
        <w:spacing w:after="0" w:line="240" w:lineRule="auto"/>
        <w:rPr>
          <w:rFonts w:cstheme="minorHAnsi"/>
          <w:bCs/>
        </w:rPr>
      </w:pPr>
    </w:p>
    <w:p w14:paraId="0CABD01B" w14:textId="7B04FCF6" w:rsidR="008F7E6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p>
    <w:p w14:paraId="57C5CC79" w14:textId="1F6B0FE4" w:rsidR="007E3454" w:rsidRPr="007E3454" w:rsidRDefault="007E3454" w:rsidP="009853D6">
      <w:pPr>
        <w:pStyle w:val="Response"/>
        <w:ind w:left="360"/>
        <w:rPr>
          <w:bCs w:val="0"/>
        </w:rPr>
      </w:pPr>
      <w:r w:rsidRPr="007E3454">
        <w:rPr>
          <w:bCs w:val="0"/>
        </w:rPr>
        <w:t>Missing data represent a potential threat to the validity of a quality measure.</w:t>
      </w:r>
      <w:r w:rsidR="00E87D6C">
        <w:rPr>
          <w:bCs w:val="0"/>
        </w:rPr>
        <w:t xml:space="preserve"> </w:t>
      </w:r>
      <w:r w:rsidRPr="007E3454">
        <w:rPr>
          <w:bCs w:val="0"/>
        </w:rPr>
        <w:t>If patterns indicate that certain types of residents tend to have assessments with missing data in ways that influence the calculation of a quality measure, then that measure may not be capturing outcomes for the intended population.</w:t>
      </w:r>
      <w:r w:rsidR="00E87D6C">
        <w:rPr>
          <w:bCs w:val="0"/>
        </w:rPr>
        <w:t xml:space="preserve"> </w:t>
      </w:r>
      <w:r w:rsidRPr="007E3454">
        <w:rPr>
          <w:bCs w:val="0"/>
        </w:rPr>
        <w:t xml:space="preserve">Furthermore, if missing data rates </w:t>
      </w:r>
      <w:r w:rsidR="004B6018">
        <w:rPr>
          <w:bCs w:val="0"/>
        </w:rPr>
        <w:t xml:space="preserve">vary </w:t>
      </w:r>
      <w:r w:rsidRPr="007E3454">
        <w:rPr>
          <w:bCs w:val="0"/>
        </w:rPr>
        <w:t>systematically</w:t>
      </w:r>
      <w:r w:rsidR="004B6018">
        <w:rPr>
          <w:bCs w:val="0"/>
        </w:rPr>
        <w:t xml:space="preserve"> </w:t>
      </w:r>
      <w:r w:rsidRPr="007E3454">
        <w:rPr>
          <w:bCs w:val="0"/>
        </w:rPr>
        <w:t xml:space="preserve">across facilities, then the ability to compare facilities on the measure may be compromised. We examined the rate of missing data at both resident-level and facility-level as well as possible relationships between missing data and the scores for this measure </w:t>
      </w:r>
    </w:p>
    <w:p w14:paraId="5A42323F" w14:textId="77777777" w:rsidR="007E3454" w:rsidRPr="007E3454" w:rsidRDefault="007E3454" w:rsidP="009853D6">
      <w:pPr>
        <w:pStyle w:val="Response"/>
        <w:ind w:left="360"/>
        <w:rPr>
          <w:bCs w:val="0"/>
        </w:rPr>
      </w:pPr>
      <w:r w:rsidRPr="007E3454">
        <w:rPr>
          <w:bCs w:val="0"/>
        </w:rPr>
        <w:t>RTI analyzed the effects of missing data on this measure in the following ways:</w:t>
      </w:r>
    </w:p>
    <w:p w14:paraId="388E8822" w14:textId="57B074F0" w:rsidR="007E3454" w:rsidRPr="007E3454" w:rsidRDefault="007E3454" w:rsidP="00F91B8A">
      <w:pPr>
        <w:numPr>
          <w:ilvl w:val="0"/>
          <w:numId w:val="12"/>
        </w:numPr>
        <w:autoSpaceDE w:val="0"/>
        <w:autoSpaceDN w:val="0"/>
        <w:adjustRightInd w:val="0"/>
        <w:spacing w:before="240" w:after="240" w:line="240" w:lineRule="auto"/>
        <w:rPr>
          <w:rFonts w:cstheme="minorHAnsi"/>
          <w:bCs/>
          <w:color w:val="0000FF"/>
        </w:rPr>
      </w:pPr>
      <w:r w:rsidRPr="007E3454">
        <w:rPr>
          <w:rFonts w:cstheme="minorHAnsi"/>
          <w:bCs/>
          <w:color w:val="0000FF"/>
        </w:rPr>
        <w:t xml:space="preserve">We report summary statistics for the facility-level distribution of missing data rates for items used in the calculation of the long-stay </w:t>
      </w:r>
      <w:r>
        <w:rPr>
          <w:rFonts w:cstheme="minorHAnsi"/>
          <w:bCs/>
          <w:color w:val="0000FF"/>
        </w:rPr>
        <w:t>urinary tract infection</w:t>
      </w:r>
      <w:r w:rsidRPr="007E3454">
        <w:rPr>
          <w:rFonts w:cstheme="minorHAnsi"/>
          <w:bCs/>
          <w:color w:val="0000FF"/>
        </w:rPr>
        <w:t xml:space="preserve"> measure, both overall and stratified by quality measure score quartile.</w:t>
      </w:r>
      <w:r w:rsidR="00E87D6C">
        <w:rPr>
          <w:rFonts w:cstheme="minorHAnsi"/>
          <w:bCs/>
          <w:color w:val="0000FF"/>
        </w:rPr>
        <w:t xml:space="preserve"> </w:t>
      </w:r>
    </w:p>
    <w:p w14:paraId="0CABD01C" w14:textId="6C20D30D" w:rsidR="008F7E67" w:rsidRPr="00630A97" w:rsidRDefault="007E3454" w:rsidP="00630A97">
      <w:pPr>
        <w:numPr>
          <w:ilvl w:val="0"/>
          <w:numId w:val="12"/>
        </w:numPr>
        <w:autoSpaceDE w:val="0"/>
        <w:autoSpaceDN w:val="0"/>
        <w:adjustRightInd w:val="0"/>
        <w:spacing w:before="240" w:after="240" w:line="240" w:lineRule="auto"/>
        <w:rPr>
          <w:color w:val="0000FF"/>
        </w:rPr>
      </w:pPr>
      <w:r w:rsidRPr="00B861BF">
        <w:rPr>
          <w:color w:val="0000FF"/>
        </w:rPr>
        <w:t>We analyzed whether missing data on the urinary tract item varied systematically by several resident-level characteristics which are associated with urinary tract infection</w:t>
      </w:r>
      <w:r w:rsidR="1778CC82" w:rsidRPr="00F732BA">
        <w:rPr>
          <w:color w:val="0000FF"/>
        </w:rPr>
        <w:t xml:space="preserve">, including gender, </w:t>
      </w:r>
      <w:r w:rsidR="08B7C970" w:rsidRPr="00F732BA">
        <w:rPr>
          <w:color w:val="0000FF"/>
        </w:rPr>
        <w:t xml:space="preserve">age, </w:t>
      </w:r>
      <w:r w:rsidR="00DF652D">
        <w:rPr>
          <w:color w:val="0000FF"/>
        </w:rPr>
        <w:t>race/ethnicity</w:t>
      </w:r>
      <w:r w:rsidR="08B7C970" w:rsidRPr="00F732BA">
        <w:rPr>
          <w:color w:val="0000FF"/>
        </w:rPr>
        <w:t xml:space="preserve">, and </w:t>
      </w:r>
      <w:r w:rsidR="00480F56">
        <w:rPr>
          <w:color w:val="0000FF"/>
        </w:rPr>
        <w:t>M</w:t>
      </w:r>
      <w:r w:rsidR="08B7C970" w:rsidRPr="00F732BA">
        <w:rPr>
          <w:color w:val="0000FF"/>
        </w:rPr>
        <w:t>edicaid eligibility.</w:t>
      </w:r>
    </w:p>
    <w:p w14:paraId="0CABD01D" w14:textId="1DDCAE3E" w:rsidR="008F7E67" w:rsidRPr="009853D6"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6A1659">
        <w:rPr>
          <w:rFonts w:cstheme="minorHAnsi"/>
          <w:bCs/>
        </w:rPr>
        <w:t>(e.g.,</w:t>
      </w:r>
      <w:r w:rsidR="008B604D" w:rsidRPr="006A1659">
        <w:rPr>
          <w:rFonts w:cstheme="minorHAnsi"/>
          <w:b/>
          <w:bCs/>
          <w:i/>
          <w:iCs/>
        </w:rPr>
        <w:t xml:space="preserve"> </w:t>
      </w:r>
      <w:r w:rsidR="00145D4F" w:rsidRPr="006A1659">
        <w:rPr>
          <w:rFonts w:cstheme="minorHAnsi"/>
          <w:bCs/>
          <w:i/>
          <w:iCs/>
        </w:rPr>
        <w:t xml:space="preserve">results of sensitivity analysis of </w:t>
      </w:r>
      <w:r w:rsidR="005560E7" w:rsidRPr="006A1659">
        <w:rPr>
          <w:rFonts w:cstheme="minorHAnsi"/>
          <w:bCs/>
          <w:i/>
          <w:iCs/>
        </w:rPr>
        <w:t xml:space="preserve">the </w:t>
      </w:r>
      <w:r w:rsidR="00145D4F" w:rsidRPr="006A1659">
        <w:rPr>
          <w:rFonts w:cstheme="minorHAnsi"/>
          <w:bCs/>
          <w:i/>
          <w:iCs/>
        </w:rPr>
        <w:t xml:space="preserve">effect of various rules for missing data/nonresponse; </w:t>
      </w:r>
      <w:r w:rsidR="00145D4F" w:rsidRPr="006A1659">
        <w:rPr>
          <w:rFonts w:cstheme="minorHAnsi"/>
          <w:bCs/>
          <w:i/>
          <w:iCs/>
          <w:u w:val="single"/>
        </w:rPr>
        <w:t>if no empirical sensitivity analysis</w:t>
      </w:r>
      <w:r w:rsidR="00145D4F" w:rsidRPr="006A1659">
        <w:rPr>
          <w:rFonts w:cstheme="minorHAnsi"/>
          <w:bCs/>
          <w:i/>
          <w:iCs/>
        </w:rPr>
        <w:t>, identify the approaches for handling missing data that were considered and pros and cons of each</w:t>
      </w:r>
      <w:r w:rsidR="008F7E67" w:rsidRPr="006A1659">
        <w:rPr>
          <w:rFonts w:cstheme="minorHAnsi"/>
          <w:bCs/>
          <w:i/>
          <w:iCs/>
        </w:rPr>
        <w:t>)</w:t>
      </w:r>
    </w:p>
    <w:p w14:paraId="5B221115" w14:textId="2DBBFD68" w:rsidR="00F14E85" w:rsidRDefault="007E3454" w:rsidP="009853D6">
      <w:pPr>
        <w:pStyle w:val="Response"/>
        <w:ind w:left="360"/>
        <w:rPr>
          <w:bCs w:val="0"/>
          <w:color w:val="3333FF"/>
        </w:rPr>
      </w:pPr>
      <w:r w:rsidRPr="00F36E87">
        <w:rPr>
          <w:color w:val="3333FF"/>
        </w:rPr>
        <w:t xml:space="preserve">Among all long-stay residents in Quarter </w:t>
      </w:r>
      <w:r w:rsidR="00E40C97">
        <w:rPr>
          <w:color w:val="3333FF"/>
        </w:rPr>
        <w:t>3</w:t>
      </w:r>
      <w:r w:rsidRPr="00F36E87">
        <w:rPr>
          <w:color w:val="3333FF"/>
        </w:rPr>
        <w:t>, 201</w:t>
      </w:r>
      <w:r w:rsidR="0001475C">
        <w:rPr>
          <w:color w:val="3333FF"/>
        </w:rPr>
        <w:t>8</w:t>
      </w:r>
      <w:r w:rsidRPr="00F36E87">
        <w:rPr>
          <w:color w:val="3333FF"/>
        </w:rPr>
        <w:t xml:space="preserve"> (</w:t>
      </w:r>
      <w:r w:rsidRPr="00F36E87">
        <w:rPr>
          <w:i/>
          <w:color w:val="3333FF"/>
        </w:rPr>
        <w:t>n</w:t>
      </w:r>
      <w:r w:rsidRPr="00F36E87">
        <w:rPr>
          <w:color w:val="3333FF"/>
        </w:rPr>
        <w:t>=</w:t>
      </w:r>
      <w:r w:rsidR="00B93747" w:rsidRPr="00F36E87">
        <w:rPr>
          <w:color w:val="3333FF"/>
        </w:rPr>
        <w:t xml:space="preserve"> 1</w:t>
      </w:r>
      <w:r w:rsidR="003F6362" w:rsidRPr="00F36E87">
        <w:rPr>
          <w:color w:val="3333FF"/>
        </w:rPr>
        <w:t>,</w:t>
      </w:r>
      <w:r w:rsidR="009973E3" w:rsidRPr="009973E3">
        <w:rPr>
          <w:color w:val="3333FF"/>
        </w:rPr>
        <w:t>118,025</w:t>
      </w:r>
      <w:r w:rsidRPr="00F36E87">
        <w:rPr>
          <w:color w:val="3333FF"/>
        </w:rPr>
        <w:t xml:space="preserve">), </w:t>
      </w:r>
      <w:r w:rsidR="003F6362" w:rsidRPr="00F36E87">
        <w:rPr>
          <w:color w:val="3333FF"/>
        </w:rPr>
        <w:t>0.04</w:t>
      </w:r>
      <w:r w:rsidRPr="00F36E87">
        <w:rPr>
          <w:color w:val="3333FF"/>
        </w:rPr>
        <w:t>% (</w:t>
      </w:r>
      <w:r w:rsidRPr="00F36E87">
        <w:rPr>
          <w:i/>
          <w:color w:val="3333FF"/>
        </w:rPr>
        <w:t>n</w:t>
      </w:r>
      <w:r w:rsidRPr="00F36E87">
        <w:rPr>
          <w:color w:val="3333FF"/>
        </w:rPr>
        <w:t>=</w:t>
      </w:r>
      <w:r w:rsidR="00E40C97" w:rsidRPr="00F36E87">
        <w:rPr>
          <w:color w:val="3333FF"/>
        </w:rPr>
        <w:t>4</w:t>
      </w:r>
      <w:r w:rsidR="00E40C97">
        <w:rPr>
          <w:color w:val="3333FF"/>
        </w:rPr>
        <w:t>43</w:t>
      </w:r>
      <w:r w:rsidRPr="00F36E87">
        <w:rPr>
          <w:color w:val="3333FF"/>
        </w:rPr>
        <w:t xml:space="preserve">) had missing data for at least one of the items necessary to calculate the </w:t>
      </w:r>
      <w:r w:rsidR="00C26D99">
        <w:rPr>
          <w:color w:val="3333FF"/>
        </w:rPr>
        <w:t>UTI</w:t>
      </w:r>
      <w:r w:rsidR="00C26D99" w:rsidRPr="00F36E87">
        <w:rPr>
          <w:color w:val="3333FF"/>
        </w:rPr>
        <w:t xml:space="preserve"> </w:t>
      </w:r>
      <w:r w:rsidRPr="00F36E87">
        <w:rPr>
          <w:color w:val="3333FF"/>
        </w:rPr>
        <w:t>measure</w:t>
      </w:r>
      <w:r w:rsidR="00C26D99">
        <w:rPr>
          <w:color w:val="3333FF"/>
        </w:rPr>
        <w:t>.</w:t>
      </w:r>
    </w:p>
    <w:p w14:paraId="351D11DC" w14:textId="69491952" w:rsidR="00F14E85" w:rsidRPr="00F14E85" w:rsidRDefault="00F14E85" w:rsidP="009853D6">
      <w:pPr>
        <w:pStyle w:val="Response"/>
        <w:ind w:left="360"/>
        <w:rPr>
          <w:bCs w:val="0"/>
        </w:rPr>
      </w:pPr>
      <w:r w:rsidRPr="007E3454">
        <w:rPr>
          <w:rFonts w:cs="Arial"/>
          <w:bCs w:val="0"/>
        </w:rPr>
        <w:t xml:space="preserve">In </w:t>
      </w:r>
      <w:r w:rsidRPr="00DA4AF5">
        <w:rPr>
          <w:rFonts w:cs="Arial"/>
          <w:bCs w:val="0"/>
        </w:rPr>
        <w:t>addition, RTI examined the relationship between missing data for items used to calculate this measure by quality measure score quartile.</w:t>
      </w:r>
      <w:r w:rsidR="00E87D6C">
        <w:rPr>
          <w:rFonts w:cs="Arial"/>
          <w:bCs w:val="0"/>
        </w:rPr>
        <w:t xml:space="preserve"> </w:t>
      </w:r>
      <w:r w:rsidRPr="00DA4AF5">
        <w:rPr>
          <w:b/>
          <w:i/>
        </w:rPr>
        <w:t xml:space="preserve">Table </w:t>
      </w:r>
      <w:r w:rsidR="00E930D3">
        <w:rPr>
          <w:b/>
          <w:i/>
        </w:rPr>
        <w:t>9</w:t>
      </w:r>
      <w:r w:rsidRPr="00DA4AF5">
        <w:rPr>
          <w:b/>
          <w:i/>
        </w:rPr>
        <w:t xml:space="preserve"> </w:t>
      </w:r>
      <w:r w:rsidRPr="00DA4AF5">
        <w:t>shows the mean facility-level missing rate for items used to calculate this measure is lowest in the second score quartile, and highest in the worst score quartile, and ranges from 0.01%-0.08%. There is also a significant but weak correlation between missing data and quality measure scores (</w:t>
      </w:r>
      <w:r w:rsidRPr="00DA4AF5">
        <w:rPr>
          <w:i/>
        </w:rPr>
        <w:t>r</w:t>
      </w:r>
      <w:r w:rsidRPr="00DA4AF5">
        <w:t xml:space="preserve"> = 0.</w:t>
      </w:r>
      <w:r w:rsidR="00B92A69" w:rsidRPr="00DA4AF5">
        <w:t>0</w:t>
      </w:r>
      <w:r w:rsidR="00B92A69">
        <w:t>42</w:t>
      </w:r>
      <w:r w:rsidRPr="00DA4AF5">
        <w:t xml:space="preserve">, </w:t>
      </w:r>
      <w:r w:rsidRPr="00DA4AF5">
        <w:rPr>
          <w:i/>
        </w:rPr>
        <w:t>p</w:t>
      </w:r>
      <w:r w:rsidRPr="00DA4AF5">
        <w:t xml:space="preserve"> &lt; 0.001).</w:t>
      </w:r>
    </w:p>
    <w:p w14:paraId="17702A20" w14:textId="2ED09AAA" w:rsidR="007E3454" w:rsidRPr="007E3454" w:rsidRDefault="007E3454" w:rsidP="007E3454">
      <w:pPr>
        <w:keepNext/>
        <w:autoSpaceDE w:val="0"/>
        <w:autoSpaceDN w:val="0"/>
        <w:adjustRightInd w:val="0"/>
        <w:spacing w:after="240" w:line="240" w:lineRule="auto"/>
        <w:contextualSpacing/>
        <w:jc w:val="center"/>
        <w:rPr>
          <w:rFonts w:cstheme="minorHAnsi"/>
          <w:b/>
          <w:bCs/>
          <w:color w:val="0000FF"/>
        </w:rPr>
      </w:pPr>
      <w:r w:rsidRPr="007E3454">
        <w:rPr>
          <w:rFonts w:cstheme="minorHAnsi"/>
          <w:b/>
          <w:bCs/>
          <w:color w:val="0000FF"/>
        </w:rPr>
        <w:t xml:space="preserve">Table </w:t>
      </w:r>
      <w:r w:rsidR="00E930D3">
        <w:rPr>
          <w:rFonts w:cstheme="minorHAnsi"/>
          <w:b/>
          <w:bCs/>
          <w:color w:val="0000FF"/>
        </w:rPr>
        <w:t>9</w:t>
      </w:r>
      <w:r w:rsidRPr="007E3454">
        <w:rPr>
          <w:rFonts w:cstheme="minorHAnsi"/>
          <w:b/>
          <w:bCs/>
          <w:color w:val="0000FF"/>
        </w:rPr>
        <w:t>.</w:t>
      </w:r>
      <w:r w:rsidR="00E87D6C">
        <w:rPr>
          <w:rFonts w:cstheme="minorHAnsi"/>
          <w:b/>
          <w:bCs/>
          <w:color w:val="0000FF"/>
        </w:rPr>
        <w:t xml:space="preserve"> </w:t>
      </w:r>
      <w:r w:rsidRPr="007E3454">
        <w:rPr>
          <w:rFonts w:cstheme="minorHAnsi"/>
          <w:b/>
          <w:bCs/>
          <w:color w:val="0000FF"/>
        </w:rPr>
        <w:t xml:space="preserve">Distribution of Facility-Level Missing Rate by Measure Score Quartile, </w:t>
      </w:r>
      <w:r>
        <w:rPr>
          <w:rFonts w:cstheme="minorHAnsi"/>
          <w:b/>
          <w:bCs/>
          <w:color w:val="0000FF"/>
        </w:rPr>
        <w:t xml:space="preserve">NQF </w:t>
      </w:r>
      <w:r w:rsidRPr="003376EF">
        <w:rPr>
          <w:rFonts w:cstheme="minorHAnsi"/>
          <w:b/>
          <w:bCs/>
          <w:color w:val="0000FF"/>
        </w:rPr>
        <w:t>#068</w:t>
      </w:r>
      <w:r>
        <w:rPr>
          <w:rFonts w:cstheme="minorHAnsi"/>
          <w:b/>
          <w:bCs/>
          <w:color w:val="0000FF"/>
        </w:rPr>
        <w:t>4</w:t>
      </w:r>
      <w:r w:rsidRPr="003376EF">
        <w:rPr>
          <w:rFonts w:cstheme="minorHAnsi"/>
          <w:b/>
          <w:bCs/>
          <w:color w:val="0000FF"/>
        </w:rPr>
        <w:t xml:space="preserve"> </w:t>
      </w:r>
      <w:r w:rsidRPr="007E3454">
        <w:rPr>
          <w:rFonts w:cstheme="minorHAnsi"/>
          <w:b/>
          <w:bCs/>
          <w:color w:val="0000FF"/>
        </w:rPr>
        <w:t>Percent of Residents with a Urinary Tract</w:t>
      </w:r>
      <w:r w:rsidR="008E3B1F">
        <w:rPr>
          <w:rFonts w:cstheme="minorHAnsi"/>
          <w:b/>
          <w:bCs/>
          <w:color w:val="0000FF"/>
        </w:rPr>
        <w:t xml:space="preserve"> Infection (Long Stay) (Quarter 3, 2018)</w:t>
      </w:r>
    </w:p>
    <w:tbl>
      <w:tblPr>
        <w:tblW w:w="5000" w:type="pct"/>
        <w:tblLook w:val="04A0" w:firstRow="1" w:lastRow="0" w:firstColumn="1" w:lastColumn="0" w:noHBand="0" w:noVBand="1"/>
      </w:tblPr>
      <w:tblGrid>
        <w:gridCol w:w="1553"/>
        <w:gridCol w:w="1148"/>
        <w:gridCol w:w="953"/>
        <w:gridCol w:w="949"/>
        <w:gridCol w:w="949"/>
        <w:gridCol w:w="951"/>
        <w:gridCol w:w="951"/>
        <w:gridCol w:w="955"/>
        <w:gridCol w:w="951"/>
      </w:tblGrid>
      <w:tr w:rsidR="007E3454" w:rsidRPr="007E3454" w14:paraId="158558E6" w14:textId="77777777" w:rsidTr="00E62A16">
        <w:trPr>
          <w:trHeight w:val="510"/>
        </w:trPr>
        <w:tc>
          <w:tcPr>
            <w:tcW w:w="830" w:type="pct"/>
            <w:tcBorders>
              <w:top w:val="single" w:sz="12" w:space="0" w:color="auto"/>
              <w:left w:val="nil"/>
              <w:bottom w:val="single" w:sz="8" w:space="0" w:color="auto"/>
              <w:right w:val="nil"/>
            </w:tcBorders>
            <w:shd w:val="clear" w:color="auto" w:fill="auto"/>
            <w:vAlign w:val="center"/>
            <w:hideMark/>
          </w:tcPr>
          <w:p w14:paraId="450CCC6A" w14:textId="77777777" w:rsidR="007E3454" w:rsidRPr="007E3454" w:rsidRDefault="007E3454" w:rsidP="007E3454">
            <w:pPr>
              <w:spacing w:after="0" w:line="240" w:lineRule="auto"/>
              <w:jc w:val="center"/>
              <w:rPr>
                <w:rFonts w:ascii="Calibri" w:eastAsia="Times New Roman" w:hAnsi="Calibri" w:cs="Times New Roman"/>
                <w:b/>
                <w:bCs/>
                <w:color w:val="0000FF"/>
                <w:sz w:val="18"/>
                <w:szCs w:val="18"/>
              </w:rPr>
            </w:pPr>
            <w:r w:rsidRPr="007E3454">
              <w:rPr>
                <w:rFonts w:ascii="Calibri" w:eastAsia="Times New Roman" w:hAnsi="Calibri" w:cs="Times New Roman"/>
                <w:b/>
                <w:bCs/>
                <w:color w:val="0000FF"/>
                <w:sz w:val="18"/>
                <w:szCs w:val="18"/>
              </w:rPr>
              <w:t>Quality Measure Score Quartile</w:t>
            </w:r>
          </w:p>
        </w:tc>
        <w:tc>
          <w:tcPr>
            <w:tcW w:w="613" w:type="pct"/>
            <w:tcBorders>
              <w:top w:val="single" w:sz="12" w:space="0" w:color="auto"/>
              <w:left w:val="nil"/>
              <w:bottom w:val="single" w:sz="8" w:space="0" w:color="auto"/>
              <w:right w:val="nil"/>
            </w:tcBorders>
            <w:shd w:val="clear" w:color="auto" w:fill="auto"/>
            <w:vAlign w:val="center"/>
            <w:hideMark/>
          </w:tcPr>
          <w:p w14:paraId="170AE097" w14:textId="77777777" w:rsidR="007E3454" w:rsidRPr="007E3454" w:rsidRDefault="007E3454" w:rsidP="007E3454">
            <w:pPr>
              <w:spacing w:after="0" w:line="240" w:lineRule="auto"/>
              <w:jc w:val="center"/>
              <w:rPr>
                <w:rFonts w:ascii="Calibri" w:eastAsia="Times New Roman" w:hAnsi="Calibri" w:cs="Times New Roman"/>
                <w:b/>
                <w:bCs/>
                <w:iCs/>
                <w:color w:val="0000FF"/>
                <w:sz w:val="18"/>
                <w:szCs w:val="18"/>
              </w:rPr>
            </w:pPr>
            <w:r w:rsidRPr="007E3454">
              <w:rPr>
                <w:rFonts w:ascii="Calibri" w:eastAsia="Times New Roman" w:hAnsi="Calibri" w:cs="Times New Roman"/>
                <w:b/>
                <w:bCs/>
                <w:iCs/>
                <w:color w:val="0000FF"/>
                <w:sz w:val="18"/>
                <w:szCs w:val="18"/>
              </w:rPr>
              <w:t>Facilities (k)</w:t>
            </w:r>
          </w:p>
        </w:tc>
        <w:tc>
          <w:tcPr>
            <w:tcW w:w="509" w:type="pct"/>
            <w:tcBorders>
              <w:top w:val="single" w:sz="12" w:space="0" w:color="auto"/>
              <w:left w:val="nil"/>
              <w:bottom w:val="single" w:sz="8" w:space="0" w:color="auto"/>
              <w:right w:val="nil"/>
            </w:tcBorders>
            <w:shd w:val="clear" w:color="auto" w:fill="auto"/>
            <w:vAlign w:val="center"/>
            <w:hideMark/>
          </w:tcPr>
          <w:p w14:paraId="1756D1C8" w14:textId="77777777" w:rsidR="007E3454" w:rsidRPr="007E3454" w:rsidRDefault="007E3454" w:rsidP="007E3454">
            <w:pPr>
              <w:spacing w:after="0" w:line="240" w:lineRule="auto"/>
              <w:jc w:val="center"/>
              <w:rPr>
                <w:rFonts w:ascii="Calibri" w:eastAsia="Times New Roman" w:hAnsi="Calibri" w:cs="Times New Roman"/>
                <w:b/>
                <w:bCs/>
                <w:color w:val="0000FF"/>
                <w:sz w:val="18"/>
                <w:szCs w:val="18"/>
              </w:rPr>
            </w:pPr>
            <w:r w:rsidRPr="007E3454">
              <w:rPr>
                <w:rFonts w:ascii="Calibri" w:eastAsia="Times New Roman" w:hAnsi="Calibri" w:cs="Times New Roman"/>
                <w:b/>
                <w:bCs/>
                <w:color w:val="0000FF"/>
                <w:sz w:val="18"/>
                <w:szCs w:val="18"/>
              </w:rPr>
              <w:t xml:space="preserve">Mean </w:t>
            </w:r>
          </w:p>
        </w:tc>
        <w:tc>
          <w:tcPr>
            <w:tcW w:w="507" w:type="pct"/>
            <w:tcBorders>
              <w:top w:val="single" w:sz="12" w:space="0" w:color="auto"/>
              <w:left w:val="nil"/>
              <w:bottom w:val="single" w:sz="8" w:space="0" w:color="auto"/>
              <w:right w:val="nil"/>
            </w:tcBorders>
            <w:shd w:val="clear" w:color="auto" w:fill="auto"/>
            <w:vAlign w:val="center"/>
            <w:hideMark/>
          </w:tcPr>
          <w:p w14:paraId="78BA9FB9" w14:textId="77777777" w:rsidR="007E3454" w:rsidRPr="007E3454" w:rsidRDefault="007E3454" w:rsidP="007E3454">
            <w:pPr>
              <w:spacing w:after="0" w:line="240" w:lineRule="auto"/>
              <w:jc w:val="center"/>
              <w:rPr>
                <w:rFonts w:ascii="Calibri" w:eastAsia="Times New Roman" w:hAnsi="Calibri" w:cs="Times New Roman"/>
                <w:b/>
                <w:bCs/>
                <w:color w:val="0000FF"/>
                <w:sz w:val="18"/>
                <w:szCs w:val="18"/>
              </w:rPr>
            </w:pPr>
            <w:r w:rsidRPr="007E3454">
              <w:rPr>
                <w:rFonts w:ascii="Calibri" w:eastAsia="Times New Roman" w:hAnsi="Calibri" w:cs="Times New Roman"/>
                <w:b/>
                <w:bCs/>
                <w:color w:val="0000FF"/>
                <w:sz w:val="18"/>
                <w:szCs w:val="18"/>
              </w:rPr>
              <w:t>Std dev.</w:t>
            </w:r>
          </w:p>
        </w:tc>
        <w:tc>
          <w:tcPr>
            <w:tcW w:w="507" w:type="pct"/>
            <w:tcBorders>
              <w:top w:val="single" w:sz="12" w:space="0" w:color="auto"/>
              <w:left w:val="nil"/>
              <w:bottom w:val="single" w:sz="8" w:space="0" w:color="auto"/>
              <w:right w:val="nil"/>
            </w:tcBorders>
            <w:shd w:val="clear" w:color="auto" w:fill="auto"/>
            <w:vAlign w:val="center"/>
            <w:hideMark/>
          </w:tcPr>
          <w:p w14:paraId="2A8E73A5" w14:textId="77777777" w:rsidR="007E3454" w:rsidRPr="007E3454" w:rsidRDefault="007E3454" w:rsidP="007E3454">
            <w:pPr>
              <w:spacing w:after="0" w:line="240" w:lineRule="auto"/>
              <w:jc w:val="center"/>
              <w:rPr>
                <w:rFonts w:ascii="Calibri" w:eastAsia="Times New Roman" w:hAnsi="Calibri" w:cs="Times New Roman"/>
                <w:b/>
                <w:bCs/>
                <w:color w:val="0000FF"/>
                <w:sz w:val="18"/>
                <w:szCs w:val="18"/>
              </w:rPr>
            </w:pPr>
            <w:r w:rsidRPr="007E3454">
              <w:rPr>
                <w:rFonts w:ascii="Calibri" w:eastAsia="Times New Roman" w:hAnsi="Calibri" w:cs="Times New Roman"/>
                <w:b/>
                <w:bCs/>
                <w:color w:val="0000FF"/>
                <w:sz w:val="18"/>
                <w:szCs w:val="18"/>
              </w:rPr>
              <w:t>10</w:t>
            </w:r>
            <w:r w:rsidRPr="007E3454">
              <w:rPr>
                <w:rFonts w:ascii="Calibri" w:eastAsia="Times New Roman" w:hAnsi="Calibri" w:cs="Times New Roman"/>
                <w:b/>
                <w:bCs/>
                <w:color w:val="0000FF"/>
                <w:sz w:val="18"/>
                <w:szCs w:val="18"/>
                <w:vertAlign w:val="superscript"/>
              </w:rPr>
              <w:t>th</w:t>
            </w:r>
          </w:p>
        </w:tc>
        <w:tc>
          <w:tcPr>
            <w:tcW w:w="508" w:type="pct"/>
            <w:tcBorders>
              <w:top w:val="single" w:sz="12" w:space="0" w:color="auto"/>
              <w:left w:val="nil"/>
              <w:bottom w:val="single" w:sz="8" w:space="0" w:color="auto"/>
              <w:right w:val="nil"/>
            </w:tcBorders>
            <w:shd w:val="clear" w:color="auto" w:fill="auto"/>
            <w:vAlign w:val="center"/>
            <w:hideMark/>
          </w:tcPr>
          <w:p w14:paraId="35F74919" w14:textId="77777777" w:rsidR="007E3454" w:rsidRPr="007E3454" w:rsidRDefault="007E3454" w:rsidP="007E3454">
            <w:pPr>
              <w:spacing w:after="0" w:line="240" w:lineRule="auto"/>
              <w:jc w:val="center"/>
              <w:rPr>
                <w:rFonts w:ascii="Calibri" w:eastAsia="Times New Roman" w:hAnsi="Calibri" w:cs="Times New Roman"/>
                <w:b/>
                <w:bCs/>
                <w:color w:val="0000FF"/>
                <w:sz w:val="18"/>
                <w:szCs w:val="18"/>
              </w:rPr>
            </w:pPr>
            <w:r w:rsidRPr="007E3454">
              <w:rPr>
                <w:rFonts w:ascii="Calibri" w:eastAsia="Times New Roman" w:hAnsi="Calibri" w:cs="Times New Roman"/>
                <w:b/>
                <w:bCs/>
                <w:color w:val="0000FF"/>
                <w:sz w:val="18"/>
                <w:szCs w:val="18"/>
              </w:rPr>
              <w:t>25</w:t>
            </w:r>
            <w:r w:rsidRPr="007E3454">
              <w:rPr>
                <w:rFonts w:ascii="Calibri" w:eastAsia="Times New Roman" w:hAnsi="Calibri" w:cs="Times New Roman"/>
                <w:b/>
                <w:bCs/>
                <w:color w:val="0000FF"/>
                <w:sz w:val="18"/>
                <w:szCs w:val="18"/>
                <w:vertAlign w:val="superscript"/>
              </w:rPr>
              <w:t>th</w:t>
            </w:r>
          </w:p>
        </w:tc>
        <w:tc>
          <w:tcPr>
            <w:tcW w:w="508" w:type="pct"/>
            <w:tcBorders>
              <w:top w:val="single" w:sz="12" w:space="0" w:color="auto"/>
              <w:left w:val="nil"/>
              <w:bottom w:val="single" w:sz="8" w:space="0" w:color="auto"/>
              <w:right w:val="nil"/>
            </w:tcBorders>
            <w:shd w:val="clear" w:color="auto" w:fill="auto"/>
            <w:vAlign w:val="center"/>
            <w:hideMark/>
          </w:tcPr>
          <w:p w14:paraId="6ABC1AD9" w14:textId="77777777" w:rsidR="007E3454" w:rsidRPr="007E3454" w:rsidRDefault="007E3454" w:rsidP="007E3454">
            <w:pPr>
              <w:spacing w:after="0" w:line="240" w:lineRule="auto"/>
              <w:jc w:val="center"/>
              <w:rPr>
                <w:rFonts w:ascii="Calibri" w:eastAsia="Times New Roman" w:hAnsi="Calibri" w:cs="Times New Roman"/>
                <w:b/>
                <w:bCs/>
                <w:color w:val="0000FF"/>
                <w:sz w:val="18"/>
                <w:szCs w:val="18"/>
              </w:rPr>
            </w:pPr>
            <w:r w:rsidRPr="007E3454">
              <w:rPr>
                <w:rFonts w:ascii="Calibri" w:eastAsia="Times New Roman" w:hAnsi="Calibri" w:cs="Times New Roman"/>
                <w:b/>
                <w:bCs/>
                <w:color w:val="0000FF"/>
                <w:sz w:val="18"/>
                <w:szCs w:val="18"/>
              </w:rPr>
              <w:t>50</w:t>
            </w:r>
            <w:r w:rsidRPr="007E3454">
              <w:rPr>
                <w:rFonts w:ascii="Calibri" w:eastAsia="Times New Roman" w:hAnsi="Calibri" w:cs="Times New Roman"/>
                <w:b/>
                <w:bCs/>
                <w:color w:val="0000FF"/>
                <w:sz w:val="18"/>
                <w:szCs w:val="18"/>
                <w:vertAlign w:val="superscript"/>
              </w:rPr>
              <w:t>th</w:t>
            </w:r>
            <w:r w:rsidRPr="007E3454">
              <w:rPr>
                <w:rFonts w:ascii="Calibri" w:eastAsia="Times New Roman" w:hAnsi="Calibri" w:cs="Times New Roman"/>
                <w:b/>
                <w:bCs/>
                <w:color w:val="0000FF"/>
                <w:sz w:val="18"/>
                <w:szCs w:val="18"/>
              </w:rPr>
              <w:t xml:space="preserve"> </w:t>
            </w:r>
          </w:p>
        </w:tc>
        <w:tc>
          <w:tcPr>
            <w:tcW w:w="510" w:type="pct"/>
            <w:tcBorders>
              <w:top w:val="single" w:sz="12" w:space="0" w:color="auto"/>
              <w:left w:val="nil"/>
              <w:bottom w:val="single" w:sz="8" w:space="0" w:color="auto"/>
              <w:right w:val="nil"/>
            </w:tcBorders>
            <w:shd w:val="clear" w:color="auto" w:fill="auto"/>
            <w:vAlign w:val="center"/>
            <w:hideMark/>
          </w:tcPr>
          <w:p w14:paraId="4D5EDDB5" w14:textId="77777777" w:rsidR="007E3454" w:rsidRPr="007E3454" w:rsidRDefault="007E3454" w:rsidP="007E3454">
            <w:pPr>
              <w:spacing w:after="0" w:line="240" w:lineRule="auto"/>
              <w:jc w:val="center"/>
              <w:rPr>
                <w:rFonts w:ascii="Calibri" w:eastAsia="Times New Roman" w:hAnsi="Calibri" w:cs="Times New Roman"/>
                <w:b/>
                <w:bCs/>
                <w:color w:val="0000FF"/>
                <w:sz w:val="18"/>
                <w:szCs w:val="18"/>
              </w:rPr>
            </w:pPr>
            <w:r w:rsidRPr="007E3454">
              <w:rPr>
                <w:rFonts w:ascii="Calibri" w:eastAsia="Times New Roman" w:hAnsi="Calibri" w:cs="Times New Roman"/>
                <w:b/>
                <w:bCs/>
                <w:color w:val="0000FF"/>
                <w:sz w:val="18"/>
                <w:szCs w:val="18"/>
              </w:rPr>
              <w:t>75</w:t>
            </w:r>
            <w:r w:rsidRPr="007E3454">
              <w:rPr>
                <w:rFonts w:ascii="Calibri" w:eastAsia="Times New Roman" w:hAnsi="Calibri" w:cs="Times New Roman"/>
                <w:b/>
                <w:bCs/>
                <w:color w:val="0000FF"/>
                <w:sz w:val="18"/>
                <w:szCs w:val="18"/>
                <w:vertAlign w:val="superscript"/>
              </w:rPr>
              <w:t>th</w:t>
            </w:r>
            <w:r w:rsidRPr="007E3454">
              <w:rPr>
                <w:rFonts w:ascii="Calibri" w:eastAsia="Times New Roman" w:hAnsi="Calibri" w:cs="Times New Roman"/>
                <w:b/>
                <w:bCs/>
                <w:color w:val="0000FF"/>
                <w:sz w:val="18"/>
                <w:szCs w:val="18"/>
              </w:rPr>
              <w:t xml:space="preserve"> </w:t>
            </w:r>
          </w:p>
        </w:tc>
        <w:tc>
          <w:tcPr>
            <w:tcW w:w="508" w:type="pct"/>
            <w:tcBorders>
              <w:top w:val="single" w:sz="12" w:space="0" w:color="auto"/>
              <w:left w:val="nil"/>
              <w:bottom w:val="single" w:sz="8" w:space="0" w:color="auto"/>
              <w:right w:val="nil"/>
            </w:tcBorders>
            <w:shd w:val="clear" w:color="auto" w:fill="auto"/>
            <w:vAlign w:val="center"/>
            <w:hideMark/>
          </w:tcPr>
          <w:p w14:paraId="4B6C51A7" w14:textId="77777777" w:rsidR="007E3454" w:rsidRPr="007E3454" w:rsidRDefault="007E3454" w:rsidP="007E3454">
            <w:pPr>
              <w:spacing w:after="0" w:line="240" w:lineRule="auto"/>
              <w:jc w:val="center"/>
              <w:rPr>
                <w:rFonts w:ascii="Calibri" w:eastAsia="Times New Roman" w:hAnsi="Calibri" w:cs="Times New Roman"/>
                <w:b/>
                <w:bCs/>
                <w:color w:val="0000FF"/>
                <w:sz w:val="18"/>
                <w:szCs w:val="18"/>
              </w:rPr>
            </w:pPr>
            <w:r w:rsidRPr="007E3454">
              <w:rPr>
                <w:rFonts w:ascii="Calibri" w:eastAsia="Times New Roman" w:hAnsi="Calibri" w:cs="Times New Roman"/>
                <w:b/>
                <w:bCs/>
                <w:color w:val="0000FF"/>
                <w:sz w:val="18"/>
                <w:szCs w:val="18"/>
              </w:rPr>
              <w:t>90</w:t>
            </w:r>
            <w:r w:rsidRPr="007E3454">
              <w:rPr>
                <w:rFonts w:ascii="Calibri" w:eastAsia="Times New Roman" w:hAnsi="Calibri" w:cs="Times New Roman"/>
                <w:b/>
                <w:bCs/>
                <w:color w:val="0000FF"/>
                <w:sz w:val="18"/>
                <w:szCs w:val="18"/>
                <w:vertAlign w:val="superscript"/>
              </w:rPr>
              <w:t>th</w:t>
            </w:r>
          </w:p>
        </w:tc>
      </w:tr>
      <w:tr w:rsidR="007E3454" w:rsidRPr="007E3454" w14:paraId="728F5416" w14:textId="77777777" w:rsidTr="00E5513C">
        <w:trPr>
          <w:trHeight w:val="480"/>
        </w:trPr>
        <w:tc>
          <w:tcPr>
            <w:tcW w:w="830" w:type="pct"/>
            <w:tcBorders>
              <w:top w:val="nil"/>
              <w:left w:val="nil"/>
              <w:bottom w:val="nil"/>
              <w:right w:val="nil"/>
            </w:tcBorders>
            <w:shd w:val="clear" w:color="auto" w:fill="auto"/>
            <w:vAlign w:val="center"/>
            <w:hideMark/>
          </w:tcPr>
          <w:p w14:paraId="37B0323E" w14:textId="77777777" w:rsidR="007E3454" w:rsidRPr="007E3454" w:rsidRDefault="007E3454" w:rsidP="007E3454">
            <w:pPr>
              <w:spacing w:after="0" w:line="240" w:lineRule="auto"/>
              <w:rPr>
                <w:rFonts w:ascii="Calibri" w:eastAsia="Times New Roman" w:hAnsi="Calibri" w:cs="Times New Roman"/>
                <w:color w:val="0000FF"/>
                <w:sz w:val="18"/>
                <w:szCs w:val="18"/>
              </w:rPr>
            </w:pPr>
            <w:r w:rsidRPr="007E3454">
              <w:rPr>
                <w:rFonts w:ascii="Calibri" w:eastAsia="Times New Roman" w:hAnsi="Calibri" w:cs="Times New Roman"/>
                <w:color w:val="0000FF"/>
                <w:sz w:val="18"/>
                <w:szCs w:val="18"/>
              </w:rPr>
              <w:t>0–25 (Best)†</w:t>
            </w:r>
          </w:p>
        </w:tc>
        <w:tc>
          <w:tcPr>
            <w:tcW w:w="613" w:type="pct"/>
            <w:tcBorders>
              <w:top w:val="nil"/>
              <w:left w:val="nil"/>
              <w:bottom w:val="nil"/>
              <w:right w:val="nil"/>
            </w:tcBorders>
            <w:shd w:val="clear" w:color="auto" w:fill="auto"/>
            <w:vAlign w:val="center"/>
          </w:tcPr>
          <w:p w14:paraId="7D844152" w14:textId="1E95E559" w:rsidR="007E3454" w:rsidRPr="007E3454" w:rsidRDefault="008B18BC"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4,690</w:t>
            </w:r>
          </w:p>
        </w:tc>
        <w:tc>
          <w:tcPr>
            <w:tcW w:w="509" w:type="pct"/>
            <w:tcBorders>
              <w:top w:val="nil"/>
              <w:left w:val="nil"/>
              <w:bottom w:val="nil"/>
              <w:right w:val="nil"/>
            </w:tcBorders>
            <w:shd w:val="clear" w:color="auto" w:fill="auto"/>
            <w:vAlign w:val="center"/>
          </w:tcPr>
          <w:p w14:paraId="55CAEDF5" w14:textId="038C3C7E" w:rsidR="007E3454" w:rsidRPr="007E3454" w:rsidRDefault="00FB5DB5"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 xml:space="preserve"> 0.03%</w:t>
            </w:r>
          </w:p>
        </w:tc>
        <w:tc>
          <w:tcPr>
            <w:tcW w:w="507" w:type="pct"/>
            <w:tcBorders>
              <w:top w:val="nil"/>
              <w:left w:val="nil"/>
              <w:bottom w:val="nil"/>
              <w:right w:val="nil"/>
            </w:tcBorders>
            <w:shd w:val="clear" w:color="auto" w:fill="auto"/>
            <w:vAlign w:val="center"/>
          </w:tcPr>
          <w:p w14:paraId="6517C3EB" w14:textId="5D9B7C1F" w:rsidR="007E3454" w:rsidRPr="007E3454" w:rsidRDefault="00FB5DB5"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 xml:space="preserve"> </w:t>
            </w:r>
            <w:r w:rsidR="00957E16">
              <w:rPr>
                <w:rFonts w:ascii="Calibri" w:eastAsia="Times New Roman" w:hAnsi="Calibri" w:cs="Times New Roman"/>
                <w:color w:val="0000FF"/>
                <w:sz w:val="18"/>
                <w:szCs w:val="18"/>
              </w:rPr>
              <w:t>0.</w:t>
            </w:r>
            <w:r w:rsidR="00D6747D">
              <w:rPr>
                <w:rFonts w:ascii="Calibri" w:eastAsia="Times New Roman" w:hAnsi="Calibri" w:cs="Times New Roman"/>
                <w:color w:val="0000FF"/>
                <w:sz w:val="18"/>
                <w:szCs w:val="18"/>
              </w:rPr>
              <w:t>68</w:t>
            </w:r>
            <w:r w:rsidR="00957E16">
              <w:rPr>
                <w:rFonts w:ascii="Calibri" w:eastAsia="Times New Roman" w:hAnsi="Calibri" w:cs="Times New Roman"/>
                <w:color w:val="0000FF"/>
                <w:sz w:val="18"/>
                <w:szCs w:val="18"/>
              </w:rPr>
              <w:t>%</w:t>
            </w:r>
          </w:p>
        </w:tc>
        <w:tc>
          <w:tcPr>
            <w:tcW w:w="507" w:type="pct"/>
            <w:tcBorders>
              <w:top w:val="nil"/>
              <w:left w:val="nil"/>
              <w:bottom w:val="nil"/>
              <w:right w:val="nil"/>
            </w:tcBorders>
            <w:shd w:val="clear" w:color="auto" w:fill="auto"/>
            <w:vAlign w:val="center"/>
          </w:tcPr>
          <w:p w14:paraId="5BC3E822" w14:textId="51E23EB9" w:rsidR="007E3454" w:rsidRPr="007E3454" w:rsidRDefault="00B43406"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08" w:type="pct"/>
            <w:tcBorders>
              <w:top w:val="nil"/>
              <w:left w:val="nil"/>
              <w:bottom w:val="nil"/>
              <w:right w:val="nil"/>
            </w:tcBorders>
            <w:shd w:val="clear" w:color="auto" w:fill="auto"/>
            <w:vAlign w:val="center"/>
          </w:tcPr>
          <w:p w14:paraId="05AD516C" w14:textId="6F8D252F" w:rsidR="007E3454" w:rsidRPr="007E3454" w:rsidRDefault="00B43406"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08" w:type="pct"/>
            <w:tcBorders>
              <w:top w:val="nil"/>
              <w:left w:val="nil"/>
              <w:bottom w:val="nil"/>
              <w:right w:val="nil"/>
            </w:tcBorders>
            <w:shd w:val="clear" w:color="auto" w:fill="auto"/>
            <w:vAlign w:val="center"/>
          </w:tcPr>
          <w:p w14:paraId="65195361" w14:textId="14D85E15" w:rsidR="007E3454" w:rsidRPr="007E3454" w:rsidRDefault="00B43406"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10" w:type="pct"/>
            <w:tcBorders>
              <w:top w:val="nil"/>
              <w:left w:val="nil"/>
              <w:bottom w:val="nil"/>
              <w:right w:val="nil"/>
            </w:tcBorders>
            <w:shd w:val="clear" w:color="auto" w:fill="auto"/>
            <w:vAlign w:val="center"/>
          </w:tcPr>
          <w:p w14:paraId="17A0A474" w14:textId="4B9E1595" w:rsidR="007E3454" w:rsidRPr="007E3454" w:rsidRDefault="00B43406"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08" w:type="pct"/>
            <w:tcBorders>
              <w:top w:val="nil"/>
              <w:left w:val="nil"/>
              <w:bottom w:val="nil"/>
              <w:right w:val="nil"/>
            </w:tcBorders>
            <w:shd w:val="clear" w:color="auto" w:fill="auto"/>
            <w:vAlign w:val="center"/>
          </w:tcPr>
          <w:p w14:paraId="08D1C56B" w14:textId="0AAED9B0" w:rsidR="007E3454" w:rsidRPr="007E3454" w:rsidRDefault="00B43406"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r>
      <w:tr w:rsidR="007E3454" w:rsidRPr="007E3454" w14:paraId="7ECA76D0" w14:textId="77777777" w:rsidTr="00E5513C">
        <w:trPr>
          <w:trHeight w:val="300"/>
        </w:trPr>
        <w:tc>
          <w:tcPr>
            <w:tcW w:w="830" w:type="pct"/>
            <w:tcBorders>
              <w:top w:val="nil"/>
              <w:left w:val="nil"/>
              <w:bottom w:val="nil"/>
              <w:right w:val="nil"/>
            </w:tcBorders>
            <w:shd w:val="clear" w:color="auto" w:fill="auto"/>
            <w:vAlign w:val="center"/>
            <w:hideMark/>
          </w:tcPr>
          <w:p w14:paraId="7F99D55C" w14:textId="77777777" w:rsidR="007E3454" w:rsidRPr="007E3454" w:rsidRDefault="007E3454" w:rsidP="007E3454">
            <w:pPr>
              <w:spacing w:after="0" w:line="240" w:lineRule="auto"/>
              <w:rPr>
                <w:rFonts w:ascii="Calibri" w:eastAsia="Times New Roman" w:hAnsi="Calibri" w:cs="Times New Roman"/>
                <w:color w:val="0000FF"/>
                <w:sz w:val="18"/>
                <w:szCs w:val="18"/>
              </w:rPr>
            </w:pPr>
            <w:r w:rsidRPr="007E3454">
              <w:rPr>
                <w:rFonts w:ascii="Calibri" w:eastAsia="Times New Roman" w:hAnsi="Calibri" w:cs="Times New Roman"/>
                <w:color w:val="0000FF"/>
                <w:sz w:val="18"/>
                <w:szCs w:val="18"/>
              </w:rPr>
              <w:lastRenderedPageBreak/>
              <w:t>26–50</w:t>
            </w:r>
          </w:p>
        </w:tc>
        <w:tc>
          <w:tcPr>
            <w:tcW w:w="613" w:type="pct"/>
            <w:tcBorders>
              <w:top w:val="nil"/>
              <w:left w:val="nil"/>
              <w:bottom w:val="nil"/>
              <w:right w:val="nil"/>
            </w:tcBorders>
            <w:shd w:val="clear" w:color="auto" w:fill="auto"/>
            <w:vAlign w:val="center"/>
          </w:tcPr>
          <w:p w14:paraId="4B9B36E9" w14:textId="30F5AA92" w:rsidR="007E3454" w:rsidRPr="007E3454" w:rsidRDefault="008B18BC"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2,622</w:t>
            </w:r>
          </w:p>
        </w:tc>
        <w:tc>
          <w:tcPr>
            <w:tcW w:w="509" w:type="pct"/>
            <w:tcBorders>
              <w:top w:val="nil"/>
              <w:left w:val="nil"/>
              <w:bottom w:val="nil"/>
              <w:right w:val="nil"/>
            </w:tcBorders>
            <w:shd w:val="clear" w:color="auto" w:fill="auto"/>
            <w:vAlign w:val="center"/>
          </w:tcPr>
          <w:p w14:paraId="1C9678AA" w14:textId="5C4F22D6" w:rsidR="007E3454" w:rsidRPr="007E3454" w:rsidRDefault="00957E16"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 xml:space="preserve"> 0.01%</w:t>
            </w:r>
          </w:p>
        </w:tc>
        <w:tc>
          <w:tcPr>
            <w:tcW w:w="507" w:type="pct"/>
            <w:tcBorders>
              <w:top w:val="nil"/>
              <w:left w:val="nil"/>
              <w:bottom w:val="nil"/>
              <w:right w:val="nil"/>
            </w:tcBorders>
            <w:shd w:val="clear" w:color="auto" w:fill="auto"/>
            <w:vAlign w:val="center"/>
          </w:tcPr>
          <w:p w14:paraId="539FDA70" w14:textId="5B9D7FCD" w:rsidR="007E3454" w:rsidRPr="007E3454" w:rsidRDefault="00957E16"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 xml:space="preserve"> 0.</w:t>
            </w:r>
            <w:r w:rsidR="00D6747D">
              <w:rPr>
                <w:rFonts w:ascii="Calibri" w:eastAsia="Times New Roman" w:hAnsi="Calibri" w:cs="Times New Roman"/>
                <w:color w:val="0000FF"/>
                <w:sz w:val="18"/>
                <w:szCs w:val="18"/>
              </w:rPr>
              <w:t>20</w:t>
            </w:r>
            <w:r>
              <w:rPr>
                <w:rFonts w:ascii="Calibri" w:eastAsia="Times New Roman" w:hAnsi="Calibri" w:cs="Times New Roman"/>
                <w:color w:val="0000FF"/>
                <w:sz w:val="18"/>
                <w:szCs w:val="18"/>
              </w:rPr>
              <w:t>%</w:t>
            </w:r>
          </w:p>
        </w:tc>
        <w:tc>
          <w:tcPr>
            <w:tcW w:w="507" w:type="pct"/>
            <w:tcBorders>
              <w:top w:val="nil"/>
              <w:left w:val="nil"/>
              <w:bottom w:val="nil"/>
              <w:right w:val="nil"/>
            </w:tcBorders>
            <w:shd w:val="clear" w:color="auto" w:fill="auto"/>
            <w:vAlign w:val="center"/>
          </w:tcPr>
          <w:p w14:paraId="368BDBDF" w14:textId="77C61478" w:rsidR="007E3454" w:rsidRPr="007E3454" w:rsidRDefault="00B43406"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08" w:type="pct"/>
            <w:tcBorders>
              <w:top w:val="nil"/>
              <w:left w:val="nil"/>
              <w:bottom w:val="nil"/>
              <w:right w:val="nil"/>
            </w:tcBorders>
            <w:shd w:val="clear" w:color="auto" w:fill="auto"/>
            <w:vAlign w:val="center"/>
          </w:tcPr>
          <w:p w14:paraId="2E7EC40B" w14:textId="4DD86A77" w:rsidR="007E3454" w:rsidRPr="007E3454" w:rsidRDefault="00B43406" w:rsidP="004D2FFB">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08" w:type="pct"/>
            <w:tcBorders>
              <w:top w:val="nil"/>
              <w:left w:val="nil"/>
              <w:bottom w:val="nil"/>
              <w:right w:val="nil"/>
            </w:tcBorders>
            <w:shd w:val="clear" w:color="auto" w:fill="auto"/>
            <w:vAlign w:val="center"/>
          </w:tcPr>
          <w:p w14:paraId="50339F27" w14:textId="02794468" w:rsidR="007E3454" w:rsidRPr="007E3454" w:rsidRDefault="00B43406"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10" w:type="pct"/>
            <w:tcBorders>
              <w:top w:val="nil"/>
              <w:left w:val="nil"/>
              <w:bottom w:val="nil"/>
              <w:right w:val="nil"/>
            </w:tcBorders>
            <w:shd w:val="clear" w:color="auto" w:fill="auto"/>
            <w:vAlign w:val="center"/>
          </w:tcPr>
          <w:p w14:paraId="676D8E1B" w14:textId="0141EFD9" w:rsidR="007E3454" w:rsidRPr="007E3454" w:rsidRDefault="00B43406"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08" w:type="pct"/>
            <w:tcBorders>
              <w:top w:val="nil"/>
              <w:left w:val="nil"/>
              <w:bottom w:val="nil"/>
              <w:right w:val="nil"/>
            </w:tcBorders>
            <w:shd w:val="clear" w:color="auto" w:fill="auto"/>
            <w:vAlign w:val="center"/>
          </w:tcPr>
          <w:p w14:paraId="70F19412" w14:textId="599B15CD" w:rsidR="007E3454" w:rsidRPr="007E3454" w:rsidRDefault="00B43406"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r>
      <w:tr w:rsidR="007E3454" w:rsidRPr="007E3454" w14:paraId="1EC49793" w14:textId="77777777" w:rsidTr="00E5513C">
        <w:trPr>
          <w:trHeight w:val="300"/>
        </w:trPr>
        <w:tc>
          <w:tcPr>
            <w:tcW w:w="830" w:type="pct"/>
            <w:tcBorders>
              <w:top w:val="nil"/>
              <w:left w:val="nil"/>
              <w:bottom w:val="nil"/>
              <w:right w:val="nil"/>
            </w:tcBorders>
            <w:shd w:val="clear" w:color="auto" w:fill="auto"/>
            <w:vAlign w:val="center"/>
            <w:hideMark/>
          </w:tcPr>
          <w:p w14:paraId="383D0891" w14:textId="77777777" w:rsidR="007E3454" w:rsidRPr="007E3454" w:rsidRDefault="007E3454" w:rsidP="007E3454">
            <w:pPr>
              <w:spacing w:after="0" w:line="240" w:lineRule="auto"/>
              <w:rPr>
                <w:rFonts w:ascii="Calibri" w:eastAsia="Times New Roman" w:hAnsi="Calibri" w:cs="Times New Roman"/>
                <w:color w:val="0000FF"/>
                <w:sz w:val="18"/>
                <w:szCs w:val="18"/>
              </w:rPr>
            </w:pPr>
            <w:r w:rsidRPr="007E3454">
              <w:rPr>
                <w:rFonts w:ascii="Calibri" w:eastAsia="Times New Roman" w:hAnsi="Calibri" w:cs="Times New Roman"/>
                <w:color w:val="0000FF"/>
                <w:sz w:val="18"/>
                <w:szCs w:val="18"/>
              </w:rPr>
              <w:t>51–75</w:t>
            </w:r>
          </w:p>
        </w:tc>
        <w:tc>
          <w:tcPr>
            <w:tcW w:w="613" w:type="pct"/>
            <w:tcBorders>
              <w:top w:val="nil"/>
              <w:left w:val="nil"/>
              <w:bottom w:val="nil"/>
              <w:right w:val="nil"/>
            </w:tcBorders>
            <w:shd w:val="clear" w:color="auto" w:fill="auto"/>
            <w:vAlign w:val="center"/>
          </w:tcPr>
          <w:p w14:paraId="187E7806" w14:textId="443CB05E" w:rsidR="007E3454" w:rsidRPr="007E3454" w:rsidRDefault="00286AD9"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3,614</w:t>
            </w:r>
          </w:p>
        </w:tc>
        <w:tc>
          <w:tcPr>
            <w:tcW w:w="509" w:type="pct"/>
            <w:tcBorders>
              <w:top w:val="nil"/>
              <w:left w:val="nil"/>
              <w:bottom w:val="nil"/>
              <w:right w:val="nil"/>
            </w:tcBorders>
            <w:shd w:val="clear" w:color="auto" w:fill="auto"/>
            <w:vAlign w:val="center"/>
          </w:tcPr>
          <w:p w14:paraId="46CF2D62" w14:textId="6746D845" w:rsidR="007E3454" w:rsidRPr="007E3454" w:rsidRDefault="00B84789"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 xml:space="preserve"> 0.</w:t>
            </w:r>
            <w:r w:rsidR="00FF53FA">
              <w:rPr>
                <w:rFonts w:ascii="Calibri" w:eastAsia="Times New Roman" w:hAnsi="Calibri" w:cs="Times New Roman"/>
                <w:color w:val="0000FF"/>
                <w:sz w:val="18"/>
                <w:szCs w:val="18"/>
              </w:rPr>
              <w:t>05</w:t>
            </w:r>
            <w:r>
              <w:rPr>
                <w:rFonts w:ascii="Calibri" w:eastAsia="Times New Roman" w:hAnsi="Calibri" w:cs="Times New Roman"/>
                <w:color w:val="0000FF"/>
                <w:sz w:val="18"/>
                <w:szCs w:val="18"/>
              </w:rPr>
              <w:t>%</w:t>
            </w:r>
          </w:p>
        </w:tc>
        <w:tc>
          <w:tcPr>
            <w:tcW w:w="507" w:type="pct"/>
            <w:tcBorders>
              <w:top w:val="nil"/>
              <w:left w:val="nil"/>
              <w:bottom w:val="nil"/>
              <w:right w:val="nil"/>
            </w:tcBorders>
            <w:shd w:val="clear" w:color="auto" w:fill="auto"/>
            <w:vAlign w:val="center"/>
          </w:tcPr>
          <w:p w14:paraId="150CF314" w14:textId="23E3ABE8" w:rsidR="007E3454" w:rsidRPr="007E3454" w:rsidRDefault="00B84789"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 xml:space="preserve"> 0.</w:t>
            </w:r>
            <w:r w:rsidR="009B13E4">
              <w:rPr>
                <w:rFonts w:ascii="Calibri" w:eastAsia="Times New Roman" w:hAnsi="Calibri" w:cs="Times New Roman"/>
                <w:color w:val="0000FF"/>
                <w:sz w:val="18"/>
                <w:szCs w:val="18"/>
              </w:rPr>
              <w:t>65</w:t>
            </w:r>
            <w:r>
              <w:rPr>
                <w:rFonts w:ascii="Calibri" w:eastAsia="Times New Roman" w:hAnsi="Calibri" w:cs="Times New Roman"/>
                <w:color w:val="0000FF"/>
                <w:sz w:val="18"/>
                <w:szCs w:val="18"/>
              </w:rPr>
              <w:t>%</w:t>
            </w:r>
          </w:p>
        </w:tc>
        <w:tc>
          <w:tcPr>
            <w:tcW w:w="507" w:type="pct"/>
            <w:tcBorders>
              <w:top w:val="nil"/>
              <w:left w:val="nil"/>
              <w:bottom w:val="nil"/>
              <w:right w:val="nil"/>
            </w:tcBorders>
            <w:shd w:val="clear" w:color="auto" w:fill="auto"/>
            <w:vAlign w:val="center"/>
          </w:tcPr>
          <w:p w14:paraId="2CD5FE04" w14:textId="3EB90D72" w:rsidR="007E3454" w:rsidRPr="007E3454" w:rsidRDefault="004D2FFB"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08" w:type="pct"/>
            <w:tcBorders>
              <w:top w:val="nil"/>
              <w:left w:val="nil"/>
              <w:bottom w:val="nil"/>
              <w:right w:val="nil"/>
            </w:tcBorders>
            <w:shd w:val="clear" w:color="auto" w:fill="auto"/>
            <w:vAlign w:val="center"/>
          </w:tcPr>
          <w:p w14:paraId="287E9853" w14:textId="5C459FDC" w:rsidR="007E3454" w:rsidRPr="007E3454" w:rsidRDefault="004D2FFB"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08" w:type="pct"/>
            <w:tcBorders>
              <w:top w:val="nil"/>
              <w:left w:val="nil"/>
              <w:bottom w:val="nil"/>
              <w:right w:val="nil"/>
            </w:tcBorders>
            <w:shd w:val="clear" w:color="auto" w:fill="auto"/>
            <w:vAlign w:val="center"/>
          </w:tcPr>
          <w:p w14:paraId="1BA67CD3" w14:textId="7612A5C4" w:rsidR="007E3454" w:rsidRPr="007E3454" w:rsidRDefault="004D2FFB"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10" w:type="pct"/>
            <w:tcBorders>
              <w:top w:val="nil"/>
              <w:left w:val="nil"/>
              <w:bottom w:val="nil"/>
              <w:right w:val="nil"/>
            </w:tcBorders>
            <w:shd w:val="clear" w:color="auto" w:fill="auto"/>
            <w:vAlign w:val="center"/>
          </w:tcPr>
          <w:p w14:paraId="5D0F67DE" w14:textId="446E5128" w:rsidR="007E3454" w:rsidRPr="007E3454" w:rsidRDefault="004D2FFB"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08" w:type="pct"/>
            <w:tcBorders>
              <w:top w:val="nil"/>
              <w:left w:val="nil"/>
              <w:bottom w:val="nil"/>
              <w:right w:val="nil"/>
            </w:tcBorders>
            <w:shd w:val="clear" w:color="auto" w:fill="auto"/>
            <w:vAlign w:val="center"/>
          </w:tcPr>
          <w:p w14:paraId="331098D9" w14:textId="572C363C" w:rsidR="007E3454" w:rsidRPr="007E3454" w:rsidRDefault="004D2FFB"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r>
      <w:tr w:rsidR="007E3454" w:rsidRPr="007E3454" w14:paraId="2885EB9F" w14:textId="77777777" w:rsidTr="00E5513C">
        <w:trPr>
          <w:trHeight w:val="495"/>
        </w:trPr>
        <w:tc>
          <w:tcPr>
            <w:tcW w:w="830" w:type="pct"/>
            <w:tcBorders>
              <w:top w:val="nil"/>
              <w:left w:val="nil"/>
              <w:bottom w:val="single" w:sz="8" w:space="0" w:color="auto"/>
              <w:right w:val="nil"/>
            </w:tcBorders>
            <w:shd w:val="clear" w:color="auto" w:fill="auto"/>
            <w:vAlign w:val="center"/>
            <w:hideMark/>
          </w:tcPr>
          <w:p w14:paraId="76F7949A" w14:textId="77777777" w:rsidR="007E3454" w:rsidRPr="007E3454" w:rsidRDefault="007E3454" w:rsidP="007E3454">
            <w:pPr>
              <w:spacing w:after="0" w:line="240" w:lineRule="auto"/>
              <w:rPr>
                <w:rFonts w:ascii="Calibri" w:eastAsia="Times New Roman" w:hAnsi="Calibri" w:cs="Times New Roman"/>
                <w:color w:val="0000FF"/>
                <w:sz w:val="18"/>
                <w:szCs w:val="18"/>
              </w:rPr>
            </w:pPr>
            <w:r w:rsidRPr="007E3454">
              <w:rPr>
                <w:rFonts w:ascii="Calibri" w:eastAsia="Times New Roman" w:hAnsi="Calibri" w:cs="Times New Roman"/>
                <w:color w:val="0000FF"/>
                <w:sz w:val="18"/>
                <w:szCs w:val="18"/>
              </w:rPr>
              <w:t>76–100 (Worst)†</w:t>
            </w:r>
          </w:p>
        </w:tc>
        <w:tc>
          <w:tcPr>
            <w:tcW w:w="613" w:type="pct"/>
            <w:tcBorders>
              <w:top w:val="nil"/>
              <w:left w:val="nil"/>
              <w:bottom w:val="single" w:sz="8" w:space="0" w:color="auto"/>
              <w:right w:val="nil"/>
            </w:tcBorders>
            <w:shd w:val="clear" w:color="auto" w:fill="auto"/>
            <w:vAlign w:val="center"/>
          </w:tcPr>
          <w:p w14:paraId="130CCC9D" w14:textId="704698C7" w:rsidR="007E3454" w:rsidRPr="007E3454" w:rsidRDefault="00286AD9"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3,594</w:t>
            </w:r>
          </w:p>
        </w:tc>
        <w:tc>
          <w:tcPr>
            <w:tcW w:w="509" w:type="pct"/>
            <w:tcBorders>
              <w:top w:val="nil"/>
              <w:left w:val="nil"/>
              <w:bottom w:val="single" w:sz="8" w:space="0" w:color="auto"/>
              <w:right w:val="nil"/>
            </w:tcBorders>
            <w:shd w:val="clear" w:color="auto" w:fill="auto"/>
            <w:vAlign w:val="center"/>
          </w:tcPr>
          <w:p w14:paraId="6D124F77" w14:textId="06FE417C" w:rsidR="007E3454" w:rsidRPr="004B37BF" w:rsidRDefault="006E0F03" w:rsidP="007E3454">
            <w:pPr>
              <w:spacing w:after="0" w:line="240" w:lineRule="auto"/>
              <w:jc w:val="center"/>
              <w:rPr>
                <w:rFonts w:ascii="Calibri" w:eastAsia="Times New Roman" w:hAnsi="Calibri" w:cs="Times New Roman"/>
                <w:color w:val="0000FF"/>
                <w:sz w:val="18"/>
                <w:szCs w:val="18"/>
              </w:rPr>
            </w:pPr>
            <w:r w:rsidRPr="004B37BF">
              <w:rPr>
                <w:rFonts w:ascii="Calibri" w:eastAsia="Times New Roman" w:hAnsi="Calibri" w:cs="Times New Roman"/>
                <w:color w:val="0000FF"/>
                <w:sz w:val="18"/>
                <w:szCs w:val="18"/>
              </w:rPr>
              <w:t>0.08%</w:t>
            </w:r>
          </w:p>
        </w:tc>
        <w:tc>
          <w:tcPr>
            <w:tcW w:w="507" w:type="pct"/>
            <w:tcBorders>
              <w:top w:val="nil"/>
              <w:left w:val="nil"/>
              <w:bottom w:val="single" w:sz="8" w:space="0" w:color="auto"/>
              <w:right w:val="nil"/>
            </w:tcBorders>
            <w:shd w:val="clear" w:color="auto" w:fill="auto"/>
            <w:vAlign w:val="center"/>
          </w:tcPr>
          <w:p w14:paraId="727F7D6A" w14:textId="5F5FFEA8" w:rsidR="007E3454" w:rsidRPr="004B37BF" w:rsidRDefault="006E0F03" w:rsidP="007E3454">
            <w:pPr>
              <w:spacing w:after="0" w:line="240" w:lineRule="auto"/>
              <w:jc w:val="center"/>
              <w:rPr>
                <w:rFonts w:ascii="Calibri" w:eastAsia="Times New Roman" w:hAnsi="Calibri" w:cs="Times New Roman"/>
                <w:color w:val="0000FF"/>
                <w:sz w:val="18"/>
                <w:szCs w:val="18"/>
              </w:rPr>
            </w:pPr>
            <w:r w:rsidRPr="004B37BF">
              <w:rPr>
                <w:rFonts w:ascii="Calibri" w:eastAsia="Times New Roman" w:hAnsi="Calibri" w:cs="Times New Roman"/>
                <w:color w:val="0000FF"/>
                <w:sz w:val="18"/>
                <w:szCs w:val="18"/>
              </w:rPr>
              <w:t>0.</w:t>
            </w:r>
            <w:r w:rsidR="00E35ED3" w:rsidRPr="004B37BF">
              <w:rPr>
                <w:rFonts w:ascii="Calibri" w:eastAsia="Times New Roman" w:hAnsi="Calibri" w:cs="Times New Roman"/>
                <w:color w:val="0000FF"/>
                <w:sz w:val="18"/>
                <w:szCs w:val="18"/>
              </w:rPr>
              <w:t>92</w:t>
            </w:r>
            <w:r w:rsidR="00E35ED3" w:rsidRPr="004B37BF" w:rsidDel="00E35ED3">
              <w:rPr>
                <w:rFonts w:ascii="Calibri" w:eastAsia="Times New Roman" w:hAnsi="Calibri" w:cs="Times New Roman"/>
                <w:color w:val="0000FF"/>
                <w:sz w:val="18"/>
                <w:szCs w:val="18"/>
              </w:rPr>
              <w:t xml:space="preserve"> </w:t>
            </w:r>
            <w:r w:rsidR="00F31B47" w:rsidRPr="004B37BF">
              <w:rPr>
                <w:rFonts w:ascii="Calibri" w:eastAsia="Times New Roman" w:hAnsi="Calibri" w:cs="Times New Roman"/>
                <w:color w:val="0000FF"/>
                <w:sz w:val="18"/>
                <w:szCs w:val="18"/>
              </w:rPr>
              <w:t>%</w:t>
            </w:r>
          </w:p>
        </w:tc>
        <w:tc>
          <w:tcPr>
            <w:tcW w:w="507" w:type="pct"/>
            <w:tcBorders>
              <w:top w:val="nil"/>
              <w:left w:val="nil"/>
              <w:bottom w:val="single" w:sz="8" w:space="0" w:color="auto"/>
              <w:right w:val="nil"/>
            </w:tcBorders>
            <w:shd w:val="clear" w:color="auto" w:fill="auto"/>
            <w:vAlign w:val="center"/>
          </w:tcPr>
          <w:p w14:paraId="1FFB4F02" w14:textId="2B7EF085" w:rsidR="007E3454" w:rsidRPr="007E3454" w:rsidRDefault="004D2FFB"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08" w:type="pct"/>
            <w:tcBorders>
              <w:top w:val="nil"/>
              <w:left w:val="nil"/>
              <w:bottom w:val="single" w:sz="8" w:space="0" w:color="auto"/>
              <w:right w:val="nil"/>
            </w:tcBorders>
            <w:shd w:val="clear" w:color="auto" w:fill="auto"/>
            <w:vAlign w:val="center"/>
          </w:tcPr>
          <w:p w14:paraId="0712D12D" w14:textId="3FDDDD42" w:rsidR="007E3454" w:rsidRPr="007E3454" w:rsidRDefault="004D2FFB"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08" w:type="pct"/>
            <w:tcBorders>
              <w:top w:val="nil"/>
              <w:left w:val="nil"/>
              <w:bottom w:val="single" w:sz="8" w:space="0" w:color="auto"/>
              <w:right w:val="nil"/>
            </w:tcBorders>
            <w:shd w:val="clear" w:color="auto" w:fill="auto"/>
            <w:vAlign w:val="center"/>
          </w:tcPr>
          <w:p w14:paraId="77EF6FD4" w14:textId="3D7DF6A2" w:rsidR="007E3454" w:rsidRPr="007E3454" w:rsidRDefault="004D2FFB"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10" w:type="pct"/>
            <w:tcBorders>
              <w:top w:val="nil"/>
              <w:left w:val="nil"/>
              <w:bottom w:val="single" w:sz="8" w:space="0" w:color="auto"/>
              <w:right w:val="nil"/>
            </w:tcBorders>
            <w:shd w:val="clear" w:color="auto" w:fill="auto"/>
            <w:vAlign w:val="center"/>
          </w:tcPr>
          <w:p w14:paraId="37A218F8" w14:textId="246B6D89" w:rsidR="007E3454" w:rsidRPr="007E3454" w:rsidRDefault="004D2FFB"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c>
          <w:tcPr>
            <w:tcW w:w="508" w:type="pct"/>
            <w:tcBorders>
              <w:top w:val="nil"/>
              <w:left w:val="nil"/>
              <w:bottom w:val="single" w:sz="8" w:space="0" w:color="auto"/>
              <w:right w:val="nil"/>
            </w:tcBorders>
            <w:shd w:val="clear" w:color="auto" w:fill="auto"/>
            <w:vAlign w:val="center"/>
          </w:tcPr>
          <w:p w14:paraId="60A4ACCC" w14:textId="4855DB97" w:rsidR="007E3454" w:rsidRPr="007E3454" w:rsidRDefault="004D2FFB"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w:t>
            </w:r>
          </w:p>
        </w:tc>
      </w:tr>
      <w:tr w:rsidR="007E3454" w:rsidRPr="007E3454" w14:paraId="485222DE" w14:textId="77777777" w:rsidTr="00E5513C">
        <w:trPr>
          <w:trHeight w:val="315"/>
        </w:trPr>
        <w:tc>
          <w:tcPr>
            <w:tcW w:w="830" w:type="pct"/>
            <w:tcBorders>
              <w:top w:val="nil"/>
              <w:left w:val="nil"/>
              <w:bottom w:val="single" w:sz="12" w:space="0" w:color="auto"/>
              <w:right w:val="nil"/>
            </w:tcBorders>
            <w:shd w:val="clear" w:color="auto" w:fill="auto"/>
            <w:vAlign w:val="center"/>
            <w:hideMark/>
          </w:tcPr>
          <w:p w14:paraId="34AD009D" w14:textId="77777777" w:rsidR="007E3454" w:rsidRPr="007E3454" w:rsidRDefault="007E3454" w:rsidP="007E3454">
            <w:pPr>
              <w:spacing w:after="0" w:line="240" w:lineRule="auto"/>
              <w:rPr>
                <w:rFonts w:ascii="Calibri" w:eastAsia="Times New Roman" w:hAnsi="Calibri" w:cs="Times New Roman"/>
                <w:color w:val="0000FF"/>
                <w:sz w:val="18"/>
                <w:szCs w:val="18"/>
              </w:rPr>
            </w:pPr>
            <w:r w:rsidRPr="007E3454">
              <w:rPr>
                <w:rFonts w:ascii="Calibri" w:eastAsia="Times New Roman" w:hAnsi="Calibri" w:cs="Times New Roman"/>
                <w:color w:val="0000FF"/>
                <w:sz w:val="18"/>
                <w:szCs w:val="18"/>
              </w:rPr>
              <w:t>Total</w:t>
            </w:r>
          </w:p>
        </w:tc>
        <w:tc>
          <w:tcPr>
            <w:tcW w:w="613" w:type="pct"/>
            <w:tcBorders>
              <w:top w:val="nil"/>
              <w:left w:val="nil"/>
              <w:bottom w:val="single" w:sz="12" w:space="0" w:color="auto"/>
              <w:right w:val="nil"/>
            </w:tcBorders>
            <w:shd w:val="clear" w:color="auto" w:fill="auto"/>
            <w:vAlign w:val="center"/>
          </w:tcPr>
          <w:p w14:paraId="6BFD564F" w14:textId="00B95052" w:rsidR="007E3454" w:rsidRPr="007E3454" w:rsidRDefault="00582A77"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14,5</w:t>
            </w:r>
            <w:r w:rsidR="000848CC">
              <w:rPr>
                <w:rFonts w:ascii="Calibri" w:eastAsia="Times New Roman" w:hAnsi="Calibri" w:cs="Times New Roman"/>
                <w:color w:val="0000FF"/>
                <w:sz w:val="18"/>
                <w:szCs w:val="18"/>
              </w:rPr>
              <w:t>20</w:t>
            </w:r>
          </w:p>
        </w:tc>
        <w:tc>
          <w:tcPr>
            <w:tcW w:w="509" w:type="pct"/>
            <w:tcBorders>
              <w:top w:val="nil"/>
              <w:left w:val="nil"/>
              <w:bottom w:val="single" w:sz="12" w:space="0" w:color="auto"/>
              <w:right w:val="nil"/>
            </w:tcBorders>
            <w:shd w:val="clear" w:color="auto" w:fill="auto"/>
            <w:vAlign w:val="center"/>
          </w:tcPr>
          <w:p w14:paraId="70E4F547" w14:textId="3B1A91F0" w:rsidR="007E3454" w:rsidRPr="004B37BF" w:rsidRDefault="00D63F63" w:rsidP="007E3454">
            <w:pPr>
              <w:spacing w:after="0" w:line="240" w:lineRule="auto"/>
              <w:jc w:val="center"/>
              <w:rPr>
                <w:rFonts w:ascii="Calibri" w:eastAsia="Times New Roman" w:hAnsi="Calibri" w:cs="Times New Roman"/>
                <w:color w:val="0000FF"/>
                <w:sz w:val="18"/>
                <w:szCs w:val="18"/>
              </w:rPr>
            </w:pPr>
            <w:r w:rsidRPr="004B37BF">
              <w:rPr>
                <w:rFonts w:ascii="Calibri" w:eastAsia="Times New Roman" w:hAnsi="Calibri" w:cs="Times New Roman"/>
                <w:color w:val="0000FF"/>
                <w:sz w:val="18"/>
                <w:szCs w:val="18"/>
              </w:rPr>
              <w:t>0.0</w:t>
            </w:r>
            <w:r w:rsidR="005F32A2" w:rsidRPr="004B37BF">
              <w:rPr>
                <w:rFonts w:ascii="Calibri" w:eastAsia="Times New Roman" w:hAnsi="Calibri" w:cs="Times New Roman"/>
                <w:color w:val="0000FF"/>
                <w:sz w:val="18"/>
                <w:szCs w:val="18"/>
              </w:rPr>
              <w:t>5</w:t>
            </w:r>
            <w:r w:rsidR="0016424F" w:rsidRPr="004B37BF">
              <w:rPr>
                <w:rFonts w:ascii="Calibri" w:eastAsia="Times New Roman" w:hAnsi="Calibri" w:cs="Times New Roman"/>
                <w:color w:val="0000FF"/>
                <w:sz w:val="18"/>
                <w:szCs w:val="18"/>
              </w:rPr>
              <w:t>%</w:t>
            </w:r>
          </w:p>
        </w:tc>
        <w:tc>
          <w:tcPr>
            <w:tcW w:w="507" w:type="pct"/>
            <w:tcBorders>
              <w:top w:val="nil"/>
              <w:left w:val="nil"/>
              <w:bottom w:val="single" w:sz="12" w:space="0" w:color="auto"/>
              <w:right w:val="nil"/>
            </w:tcBorders>
            <w:shd w:val="clear" w:color="auto" w:fill="auto"/>
            <w:vAlign w:val="center"/>
          </w:tcPr>
          <w:p w14:paraId="1AA2AA3E" w14:textId="055D68C0" w:rsidR="007E3454" w:rsidRPr="004B37BF" w:rsidRDefault="0016424F" w:rsidP="007E3454">
            <w:pPr>
              <w:spacing w:after="0" w:line="240" w:lineRule="auto"/>
              <w:jc w:val="center"/>
              <w:rPr>
                <w:rFonts w:ascii="Calibri" w:eastAsia="Times New Roman" w:hAnsi="Calibri" w:cs="Times New Roman"/>
                <w:color w:val="0000FF"/>
                <w:sz w:val="18"/>
                <w:szCs w:val="18"/>
              </w:rPr>
            </w:pPr>
            <w:r w:rsidRPr="004B37BF">
              <w:rPr>
                <w:rFonts w:ascii="Calibri" w:eastAsia="Times New Roman" w:hAnsi="Calibri" w:cs="Times New Roman"/>
                <w:color w:val="0000FF"/>
                <w:sz w:val="18"/>
                <w:szCs w:val="18"/>
              </w:rPr>
              <w:t>0.6</w:t>
            </w:r>
            <w:r w:rsidR="000E6AF5" w:rsidRPr="004B37BF">
              <w:rPr>
                <w:rFonts w:ascii="Calibri" w:eastAsia="Times New Roman" w:hAnsi="Calibri" w:cs="Times New Roman"/>
                <w:color w:val="0000FF"/>
                <w:sz w:val="18"/>
                <w:szCs w:val="18"/>
              </w:rPr>
              <w:t>9</w:t>
            </w:r>
            <w:r w:rsidR="009B410E" w:rsidRPr="004B37BF">
              <w:rPr>
                <w:rFonts w:ascii="Calibri" w:eastAsia="Times New Roman" w:hAnsi="Calibri" w:cs="Times New Roman"/>
                <w:color w:val="0000FF"/>
                <w:sz w:val="18"/>
                <w:szCs w:val="18"/>
              </w:rPr>
              <w:t>%</w:t>
            </w:r>
          </w:p>
        </w:tc>
        <w:tc>
          <w:tcPr>
            <w:tcW w:w="507" w:type="pct"/>
            <w:tcBorders>
              <w:top w:val="nil"/>
              <w:left w:val="nil"/>
              <w:bottom w:val="single" w:sz="12" w:space="0" w:color="auto"/>
              <w:right w:val="nil"/>
            </w:tcBorders>
            <w:shd w:val="clear" w:color="auto" w:fill="auto"/>
            <w:vAlign w:val="center"/>
          </w:tcPr>
          <w:p w14:paraId="6D69D354" w14:textId="0A841A8C" w:rsidR="007E3454" w:rsidRPr="007E3454" w:rsidRDefault="00AD6D53"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0.0</w:t>
            </w:r>
          </w:p>
        </w:tc>
        <w:tc>
          <w:tcPr>
            <w:tcW w:w="508" w:type="pct"/>
            <w:tcBorders>
              <w:top w:val="nil"/>
              <w:left w:val="nil"/>
              <w:bottom w:val="single" w:sz="12" w:space="0" w:color="auto"/>
              <w:right w:val="nil"/>
            </w:tcBorders>
            <w:shd w:val="clear" w:color="auto" w:fill="auto"/>
            <w:vAlign w:val="center"/>
          </w:tcPr>
          <w:p w14:paraId="0FDD304F" w14:textId="007D0EFE" w:rsidR="007E3454" w:rsidRPr="007E3454" w:rsidRDefault="00AD6D53"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0.0</w:t>
            </w:r>
          </w:p>
        </w:tc>
        <w:tc>
          <w:tcPr>
            <w:tcW w:w="508" w:type="pct"/>
            <w:tcBorders>
              <w:top w:val="nil"/>
              <w:left w:val="nil"/>
              <w:bottom w:val="single" w:sz="12" w:space="0" w:color="auto"/>
              <w:right w:val="nil"/>
            </w:tcBorders>
            <w:shd w:val="clear" w:color="auto" w:fill="auto"/>
            <w:vAlign w:val="center"/>
          </w:tcPr>
          <w:p w14:paraId="339304AA" w14:textId="09451E05" w:rsidR="007E3454" w:rsidRPr="007E3454" w:rsidRDefault="00AD6D53"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0.0</w:t>
            </w:r>
          </w:p>
        </w:tc>
        <w:tc>
          <w:tcPr>
            <w:tcW w:w="510" w:type="pct"/>
            <w:tcBorders>
              <w:top w:val="nil"/>
              <w:left w:val="nil"/>
              <w:bottom w:val="single" w:sz="12" w:space="0" w:color="auto"/>
              <w:right w:val="nil"/>
            </w:tcBorders>
            <w:shd w:val="clear" w:color="auto" w:fill="auto"/>
            <w:vAlign w:val="center"/>
          </w:tcPr>
          <w:p w14:paraId="2A26CFEA" w14:textId="58082655" w:rsidR="007E3454" w:rsidRPr="007E3454" w:rsidRDefault="006D4427"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0.0</w:t>
            </w:r>
          </w:p>
        </w:tc>
        <w:tc>
          <w:tcPr>
            <w:tcW w:w="508" w:type="pct"/>
            <w:tcBorders>
              <w:top w:val="nil"/>
              <w:left w:val="nil"/>
              <w:bottom w:val="single" w:sz="12" w:space="0" w:color="auto"/>
              <w:right w:val="nil"/>
            </w:tcBorders>
            <w:shd w:val="clear" w:color="auto" w:fill="auto"/>
            <w:vAlign w:val="center"/>
          </w:tcPr>
          <w:p w14:paraId="2E031BE6" w14:textId="621C6ECE" w:rsidR="007E3454" w:rsidRPr="007E3454" w:rsidRDefault="006D4427" w:rsidP="007E3454">
            <w:pPr>
              <w:spacing w:after="0" w:line="240" w:lineRule="auto"/>
              <w:jc w:val="center"/>
              <w:rPr>
                <w:rFonts w:ascii="Calibri" w:eastAsia="Times New Roman" w:hAnsi="Calibri" w:cs="Times New Roman"/>
                <w:color w:val="0000FF"/>
                <w:sz w:val="18"/>
                <w:szCs w:val="18"/>
              </w:rPr>
            </w:pPr>
            <w:r>
              <w:rPr>
                <w:rFonts w:ascii="Calibri" w:eastAsia="Times New Roman" w:hAnsi="Calibri" w:cs="Times New Roman"/>
                <w:color w:val="0000FF"/>
                <w:sz w:val="18"/>
                <w:szCs w:val="18"/>
              </w:rPr>
              <w:t>0.0</w:t>
            </w:r>
          </w:p>
        </w:tc>
      </w:tr>
    </w:tbl>
    <w:p w14:paraId="1BA93392" w14:textId="7C6E6754" w:rsidR="007E3454" w:rsidRPr="00263C7D" w:rsidRDefault="00E2373F" w:rsidP="007E3454">
      <w:pPr>
        <w:autoSpaceDE w:val="0"/>
        <w:autoSpaceDN w:val="0"/>
        <w:adjustRightInd w:val="0"/>
        <w:spacing w:after="0" w:line="240" w:lineRule="auto"/>
        <w:rPr>
          <w:rFonts w:cstheme="minorHAnsi"/>
          <w:color w:val="0000FF"/>
        </w:rPr>
      </w:pPr>
      <w:r>
        <w:rPr>
          <w:rFonts w:eastAsia="Calibri" w:cstheme="minorHAnsi"/>
          <w:color w:val="0000FF"/>
          <w:sz w:val="20"/>
          <w:szCs w:val="20"/>
        </w:rPr>
        <w:t>Source</w:t>
      </w:r>
      <w:r w:rsidR="007E3454" w:rsidRPr="00263C7D">
        <w:rPr>
          <w:rFonts w:eastAsia="Calibri" w:cstheme="minorHAnsi"/>
          <w:color w:val="0000FF"/>
          <w:sz w:val="20"/>
          <w:szCs w:val="20"/>
        </w:rPr>
        <w:t xml:space="preserve">: RTI analysis of </w:t>
      </w:r>
      <w:r w:rsidR="00E844AB" w:rsidRPr="00263C7D">
        <w:rPr>
          <w:rFonts w:eastAsia="Calibri" w:cstheme="minorHAnsi"/>
          <w:color w:val="0000FF"/>
          <w:sz w:val="20"/>
          <w:szCs w:val="20"/>
        </w:rPr>
        <w:t>Q</w:t>
      </w:r>
      <w:r w:rsidR="00E844AB">
        <w:rPr>
          <w:rFonts w:eastAsia="Calibri" w:cstheme="minorHAnsi"/>
          <w:color w:val="0000FF"/>
          <w:sz w:val="20"/>
          <w:szCs w:val="20"/>
        </w:rPr>
        <w:t>3</w:t>
      </w:r>
      <w:r w:rsidR="007E3454" w:rsidRPr="00263C7D">
        <w:rPr>
          <w:rFonts w:eastAsia="Calibri" w:cstheme="minorHAnsi"/>
          <w:color w:val="0000FF"/>
          <w:sz w:val="20"/>
          <w:szCs w:val="20"/>
        </w:rPr>
        <w:t>, 201</w:t>
      </w:r>
      <w:r w:rsidR="002104FB" w:rsidRPr="00263C7D">
        <w:rPr>
          <w:rFonts w:eastAsia="Calibri" w:cstheme="minorHAnsi"/>
          <w:color w:val="0000FF"/>
          <w:sz w:val="20"/>
          <w:szCs w:val="20"/>
        </w:rPr>
        <w:t>8</w:t>
      </w:r>
      <w:r w:rsidR="007E3454" w:rsidRPr="00263C7D">
        <w:rPr>
          <w:rFonts w:eastAsia="Calibri" w:cstheme="minorHAnsi"/>
          <w:color w:val="0000FF"/>
          <w:sz w:val="20"/>
          <w:szCs w:val="20"/>
        </w:rPr>
        <w:t xml:space="preserve"> MDS 3.0 data (programming reference</w:t>
      </w:r>
      <w:r w:rsidR="00E844AB" w:rsidRPr="00E844AB">
        <w:rPr>
          <w:rFonts w:eastAsia="Calibri" w:cstheme="minorHAnsi"/>
          <w:bCs/>
          <w:color w:val="0000FF"/>
          <w:sz w:val="20"/>
          <w:szCs w:val="20"/>
        </w:rPr>
        <w:t>kh29_47\hf361_request_q3132_684.log</w:t>
      </w:r>
      <w:r w:rsidR="007E3454" w:rsidRPr="00263C7D">
        <w:rPr>
          <w:rFonts w:eastAsia="Calibri" w:cstheme="minorHAnsi"/>
          <w:color w:val="0000FF"/>
          <w:sz w:val="20"/>
          <w:szCs w:val="20"/>
        </w:rPr>
        <w:t>)</w:t>
      </w:r>
    </w:p>
    <w:p w14:paraId="7C36A5A5" w14:textId="4C568412" w:rsidR="007E3454" w:rsidRPr="00E703BD" w:rsidRDefault="007E3454" w:rsidP="009853D6">
      <w:pPr>
        <w:pStyle w:val="Response"/>
        <w:ind w:left="360"/>
        <w:rPr>
          <w:bCs w:val="0"/>
          <w:highlight w:val="yellow"/>
        </w:rPr>
      </w:pPr>
      <w:r w:rsidRPr="007E3454">
        <w:rPr>
          <w:bCs w:val="0"/>
        </w:rPr>
        <w:t xml:space="preserve">Our analysis showed that the average missing data rate across facilities </w:t>
      </w:r>
      <w:r w:rsidRPr="00DA4AF5">
        <w:rPr>
          <w:bCs w:val="0"/>
        </w:rPr>
        <w:t xml:space="preserve">was </w:t>
      </w:r>
      <w:r w:rsidRPr="00DA4AF5">
        <w:t>0.0</w:t>
      </w:r>
      <w:r w:rsidR="008A5EC7">
        <w:t>5</w:t>
      </w:r>
      <w:r w:rsidRPr="00DA4AF5">
        <w:t>4%</w:t>
      </w:r>
      <w:r w:rsidRPr="00DA4AF5">
        <w:rPr>
          <w:bCs w:val="0"/>
        </w:rPr>
        <w:t xml:space="preserve"> (shown in the “Total” row of </w:t>
      </w:r>
      <w:r w:rsidRPr="00DA4AF5">
        <w:rPr>
          <w:b/>
          <w:bCs w:val="0"/>
          <w:i/>
        </w:rPr>
        <w:t>Table</w:t>
      </w:r>
      <w:r w:rsidR="0001475C">
        <w:rPr>
          <w:b/>
          <w:bCs w:val="0"/>
          <w:i/>
        </w:rPr>
        <w:t xml:space="preserve"> </w:t>
      </w:r>
      <w:r w:rsidR="001957E6">
        <w:rPr>
          <w:b/>
          <w:bCs w:val="0"/>
          <w:i/>
        </w:rPr>
        <w:t>9</w:t>
      </w:r>
      <w:r w:rsidRPr="00DA4AF5">
        <w:rPr>
          <w:bCs w:val="0"/>
        </w:rPr>
        <w:t>) on items used to construct this measure.</w:t>
      </w:r>
      <w:r w:rsidR="00E87D6C">
        <w:rPr>
          <w:bCs w:val="0"/>
        </w:rPr>
        <w:t xml:space="preserve"> </w:t>
      </w:r>
      <w:r w:rsidR="005C1B36" w:rsidRPr="00DA4AF5">
        <w:t xml:space="preserve">Fewer </w:t>
      </w:r>
      <w:r w:rsidRPr="00DA4AF5">
        <w:t>than 10% of facilities</w:t>
      </w:r>
      <w:r w:rsidRPr="00263C7D">
        <w:t xml:space="preserve"> had any missing data at all on items used to construct this measure.</w:t>
      </w:r>
    </w:p>
    <w:p w14:paraId="2002BE6C" w14:textId="23F67898" w:rsidR="007E3454" w:rsidRPr="00F14E85" w:rsidRDefault="007E3454" w:rsidP="009853D6">
      <w:pPr>
        <w:pStyle w:val="Response"/>
        <w:ind w:left="360"/>
      </w:pPr>
      <w:r w:rsidRPr="00DA4AF5">
        <w:rPr>
          <w:bCs w:val="0"/>
        </w:rPr>
        <w:t>This analysis addresses the potential concern that</w:t>
      </w:r>
      <w:r w:rsidRPr="007E3454">
        <w:rPr>
          <w:bCs w:val="0"/>
        </w:rPr>
        <w:t xml:space="preserve"> missing data in the items us</w:t>
      </w:r>
      <w:r w:rsidRPr="00DE2F30">
        <w:t xml:space="preserve">ed to construct this QM would lead to under-reporting </w:t>
      </w:r>
      <w:r w:rsidR="008D1533" w:rsidRPr="002E4C42">
        <w:t>urinary tract infection</w:t>
      </w:r>
      <w:r w:rsidRPr="002E4C42">
        <w:t>, resulting in lower (better) scores on this measure.</w:t>
      </w:r>
      <w:r w:rsidR="00E87D6C">
        <w:t xml:space="preserve"> </w:t>
      </w:r>
      <w:r w:rsidRPr="00263C7D">
        <w:t>Our analysis demonstrated that this does not appear to be an issue for this measure.</w:t>
      </w:r>
      <w:r w:rsidR="00E87D6C">
        <w:rPr>
          <w:bCs w:val="0"/>
        </w:rPr>
        <w:t xml:space="preserve"> </w:t>
      </w:r>
      <w:r w:rsidR="008D1533" w:rsidRPr="00DE2F30">
        <w:t xml:space="preserve">The </w:t>
      </w:r>
      <w:r w:rsidR="008D1533" w:rsidRPr="00263C7D">
        <w:t xml:space="preserve">positive relationship between missing rate and percentage of residents who </w:t>
      </w:r>
      <w:r w:rsidR="002E4C42" w:rsidRPr="00263C7D">
        <w:t xml:space="preserve">have a urinary tract infection </w:t>
      </w:r>
      <w:r w:rsidR="008D1533" w:rsidRPr="00263C7D">
        <w:t xml:space="preserve">suggests that facilities with </w:t>
      </w:r>
      <w:r w:rsidR="00F7798C">
        <w:t>higher rates of urinary tract infections</w:t>
      </w:r>
      <w:r w:rsidR="008D1533" w:rsidRPr="00263C7D">
        <w:t xml:space="preserve"> may not do well in </w:t>
      </w:r>
      <w:r w:rsidR="00F7798C">
        <w:t>providing care related to genitourinary conditions or in preventing UTIs</w:t>
      </w:r>
      <w:r w:rsidR="005C1B36" w:rsidRPr="00263C7D">
        <w:t>.</w:t>
      </w:r>
      <w:r w:rsidR="008D1533" w:rsidRPr="00EA5CCD">
        <w:t xml:space="preserve"> </w:t>
      </w:r>
    </w:p>
    <w:p w14:paraId="24500735" w14:textId="6753DD39" w:rsidR="007E3454" w:rsidRPr="007E3454" w:rsidRDefault="007E3454" w:rsidP="009853D6">
      <w:pPr>
        <w:pStyle w:val="Response"/>
        <w:ind w:left="360"/>
        <w:rPr>
          <w:bCs w:val="0"/>
        </w:rPr>
      </w:pPr>
      <w:r w:rsidRPr="007E3454">
        <w:rPr>
          <w:b/>
          <w:bCs w:val="0"/>
          <w:i/>
          <w:iCs/>
        </w:rPr>
        <w:t xml:space="preserve">Table </w:t>
      </w:r>
      <w:r w:rsidR="001957E6">
        <w:rPr>
          <w:b/>
          <w:bCs w:val="0"/>
          <w:i/>
          <w:iCs/>
        </w:rPr>
        <w:t>10</w:t>
      </w:r>
      <w:r w:rsidR="002B0480">
        <w:rPr>
          <w:b/>
          <w:bCs w:val="0"/>
          <w:i/>
          <w:iCs/>
        </w:rPr>
        <w:t xml:space="preserve"> </w:t>
      </w:r>
      <w:r w:rsidRPr="007E3454">
        <w:rPr>
          <w:bCs w:val="0"/>
        </w:rPr>
        <w:t xml:space="preserve">summarizes the results of RTI’s analysis of whether missing data varied across selected resident characteristics related to </w:t>
      </w:r>
      <w:r w:rsidR="008D1533">
        <w:rPr>
          <w:bCs w:val="0"/>
        </w:rPr>
        <w:t>urinary tract infection</w:t>
      </w:r>
      <w:r w:rsidRPr="007E3454">
        <w:rPr>
          <w:bCs w:val="0"/>
        </w:rPr>
        <w:t xml:space="preserve">. Specifically, we analyzed whether missing data varied systematically on the following characteristics: </w:t>
      </w:r>
      <w:r w:rsidR="004B6018">
        <w:rPr>
          <w:bCs w:val="0"/>
        </w:rPr>
        <w:t>race</w:t>
      </w:r>
      <w:r w:rsidR="00CD7733">
        <w:rPr>
          <w:bCs w:val="0"/>
        </w:rPr>
        <w:t>/ethnicity</w:t>
      </w:r>
      <w:r w:rsidR="004B6018">
        <w:rPr>
          <w:bCs w:val="0"/>
        </w:rPr>
        <w:t>,</w:t>
      </w:r>
      <w:r w:rsidR="00CD7733" w:rsidRPr="00CD7733">
        <w:rPr>
          <w:bCs w:val="0"/>
        </w:rPr>
        <w:t xml:space="preserve"> </w:t>
      </w:r>
      <w:r w:rsidRPr="007E3454">
        <w:rPr>
          <w:bCs w:val="0"/>
        </w:rPr>
        <w:t>age greater than or equal to 85, gender</w:t>
      </w:r>
      <w:bookmarkStart w:id="44" w:name="_Hlk502328282"/>
      <w:r w:rsidR="006C7CDE">
        <w:rPr>
          <w:bCs w:val="0"/>
        </w:rPr>
        <w:t>,</w:t>
      </w:r>
      <w:r w:rsidR="008D1533">
        <w:rPr>
          <w:bCs w:val="0"/>
        </w:rPr>
        <w:t xml:space="preserve"> and </w:t>
      </w:r>
      <w:r w:rsidR="00CD7733" w:rsidRPr="007E3454">
        <w:rPr>
          <w:bCs w:val="0"/>
        </w:rPr>
        <w:t xml:space="preserve">Medicaid eligibility, </w:t>
      </w:r>
      <w:r w:rsidRPr="007E3454">
        <w:rPr>
          <w:rFonts w:ascii="Calibri" w:eastAsia="MS Mincho" w:hAnsi="Calibri" w:cs="Calibri"/>
          <w:bCs w:val="0"/>
        </w:rPr>
        <w:t>and used Chi-Squared tests to determine whether these differences were statistically significant</w:t>
      </w:r>
      <w:r w:rsidRPr="007E3454">
        <w:rPr>
          <w:bCs w:val="0"/>
        </w:rPr>
        <w:t>.</w:t>
      </w:r>
      <w:bookmarkEnd w:id="44"/>
    </w:p>
    <w:p w14:paraId="2D314B28" w14:textId="63E9970F" w:rsidR="007E3454" w:rsidRPr="009853D6" w:rsidRDefault="007E3454" w:rsidP="009853D6">
      <w:pPr>
        <w:pStyle w:val="TableTitle"/>
      </w:pPr>
      <w:r w:rsidRPr="009853D6">
        <w:t xml:space="preserve">Table </w:t>
      </w:r>
      <w:r w:rsidR="001957E6" w:rsidRPr="009853D6">
        <w:t>10</w:t>
      </w:r>
      <w:r w:rsidRPr="009853D6">
        <w:t xml:space="preserve">. Frequency of Missing Data by Select Resident Characteristics Among Long-Stay Residents, </w:t>
      </w:r>
      <w:r w:rsidR="008D1533" w:rsidRPr="009853D6">
        <w:t>NQF #0684 Percent of Residents with a Urinary Tract</w:t>
      </w:r>
      <w:r w:rsidR="00607EF3">
        <w:t xml:space="preserve"> Infection</w:t>
      </w:r>
      <w:r w:rsidR="008D1533" w:rsidRPr="009853D6">
        <w:t xml:space="preserve"> </w:t>
      </w:r>
      <w:r w:rsidRPr="009853D6">
        <w:t>(Long Stay)</w:t>
      </w:r>
      <w:r w:rsidR="008E3B1F">
        <w:t xml:space="preserve"> (Quarter 3, 2018)</w:t>
      </w:r>
    </w:p>
    <w:tbl>
      <w:tblPr>
        <w:tblStyle w:val="TableGrid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0"/>
        <w:gridCol w:w="2356"/>
        <w:gridCol w:w="1886"/>
        <w:gridCol w:w="1518"/>
      </w:tblGrid>
      <w:tr w:rsidR="007E3454" w:rsidRPr="00E5513C" w14:paraId="543D39E9" w14:textId="77777777" w:rsidTr="00E2379F">
        <w:trPr>
          <w:jc w:val="center"/>
        </w:trPr>
        <w:tc>
          <w:tcPr>
            <w:tcW w:w="3600" w:type="dxa"/>
            <w:tcBorders>
              <w:top w:val="single" w:sz="12" w:space="0" w:color="auto"/>
              <w:bottom w:val="single" w:sz="4" w:space="0" w:color="auto"/>
            </w:tcBorders>
            <w:vAlign w:val="center"/>
          </w:tcPr>
          <w:p w14:paraId="0DE079AF" w14:textId="7C5394CA" w:rsidR="007E3454" w:rsidRPr="00E5513C" w:rsidRDefault="0093252C" w:rsidP="00E5513C">
            <w:pPr>
              <w:autoSpaceDE w:val="0"/>
              <w:autoSpaceDN w:val="0"/>
              <w:adjustRightInd w:val="0"/>
              <w:rPr>
                <w:rFonts w:cstheme="minorHAnsi"/>
                <w:bCs/>
                <w:sz w:val="20"/>
              </w:rPr>
            </w:pPr>
            <w:r w:rsidRPr="00E5513C">
              <w:rPr>
                <w:rFonts w:ascii="Calibri" w:eastAsia="Times New Roman" w:hAnsi="Calibri" w:cs="Times New Roman"/>
                <w:bCs/>
                <w:color w:val="0000FF"/>
                <w:sz w:val="20"/>
                <w:szCs w:val="18"/>
              </w:rPr>
              <w:t>Risk Factor</w:t>
            </w:r>
          </w:p>
        </w:tc>
        <w:tc>
          <w:tcPr>
            <w:tcW w:w="2356" w:type="dxa"/>
            <w:tcBorders>
              <w:top w:val="single" w:sz="12" w:space="0" w:color="auto"/>
              <w:bottom w:val="single" w:sz="4" w:space="0" w:color="auto"/>
            </w:tcBorders>
            <w:vAlign w:val="center"/>
          </w:tcPr>
          <w:p w14:paraId="77A8EC76" w14:textId="77777777" w:rsidR="007E3454" w:rsidRPr="00E5513C" w:rsidRDefault="007E3454" w:rsidP="00E5513C">
            <w:pPr>
              <w:autoSpaceDE w:val="0"/>
              <w:autoSpaceDN w:val="0"/>
              <w:adjustRightInd w:val="0"/>
              <w:jc w:val="center"/>
              <w:rPr>
                <w:rFonts w:ascii="Calibri" w:eastAsia="Times New Roman" w:hAnsi="Calibri" w:cs="Times New Roman"/>
                <w:bCs/>
                <w:color w:val="0000FF"/>
                <w:sz w:val="20"/>
                <w:szCs w:val="18"/>
              </w:rPr>
            </w:pPr>
            <w:r w:rsidRPr="00E5513C">
              <w:rPr>
                <w:rFonts w:ascii="Calibri" w:eastAsia="Times New Roman" w:hAnsi="Calibri" w:cs="Times New Roman"/>
                <w:bCs/>
                <w:color w:val="0000FF"/>
                <w:sz w:val="20"/>
                <w:szCs w:val="18"/>
              </w:rPr>
              <w:t>Percent of Residents (%)</w:t>
            </w:r>
          </w:p>
        </w:tc>
        <w:tc>
          <w:tcPr>
            <w:tcW w:w="1886" w:type="dxa"/>
            <w:tcBorders>
              <w:top w:val="single" w:sz="12" w:space="0" w:color="auto"/>
              <w:bottom w:val="single" w:sz="4" w:space="0" w:color="auto"/>
            </w:tcBorders>
            <w:vAlign w:val="center"/>
          </w:tcPr>
          <w:p w14:paraId="26846C6C" w14:textId="77777777" w:rsidR="007E3454" w:rsidRPr="00E5513C" w:rsidRDefault="007E3454" w:rsidP="00E5513C">
            <w:pPr>
              <w:autoSpaceDE w:val="0"/>
              <w:autoSpaceDN w:val="0"/>
              <w:adjustRightInd w:val="0"/>
              <w:jc w:val="center"/>
              <w:rPr>
                <w:rFonts w:ascii="Calibri" w:eastAsia="Times New Roman" w:hAnsi="Calibri" w:cs="Times New Roman"/>
                <w:bCs/>
                <w:color w:val="0000FF"/>
                <w:sz w:val="20"/>
                <w:szCs w:val="18"/>
              </w:rPr>
            </w:pPr>
            <w:r w:rsidRPr="00E5513C">
              <w:rPr>
                <w:rFonts w:ascii="Calibri" w:eastAsia="Times New Roman" w:hAnsi="Calibri" w:cs="Times New Roman"/>
                <w:bCs/>
                <w:color w:val="0000FF"/>
                <w:sz w:val="20"/>
                <w:szCs w:val="18"/>
              </w:rPr>
              <w:t>Frequency of Residents (n)</w:t>
            </w:r>
          </w:p>
        </w:tc>
        <w:tc>
          <w:tcPr>
            <w:tcW w:w="1518" w:type="dxa"/>
            <w:tcBorders>
              <w:top w:val="single" w:sz="12" w:space="0" w:color="auto"/>
              <w:bottom w:val="single" w:sz="4" w:space="0" w:color="auto"/>
            </w:tcBorders>
            <w:vAlign w:val="center"/>
          </w:tcPr>
          <w:p w14:paraId="414020F5" w14:textId="77777777" w:rsidR="007E3454" w:rsidRPr="00E5513C" w:rsidRDefault="007E3454" w:rsidP="00E5513C">
            <w:pPr>
              <w:autoSpaceDE w:val="0"/>
              <w:autoSpaceDN w:val="0"/>
              <w:adjustRightInd w:val="0"/>
              <w:jc w:val="center"/>
              <w:rPr>
                <w:rFonts w:eastAsia="Times New Roman" w:cs="Times New Roman"/>
                <w:bCs/>
                <w:color w:val="0000FF"/>
                <w:sz w:val="20"/>
                <w:szCs w:val="18"/>
              </w:rPr>
            </w:pPr>
            <w:r w:rsidRPr="00E5513C">
              <w:rPr>
                <w:rFonts w:eastAsia="Times New Roman" w:cs="Times New Roman"/>
                <w:bCs/>
                <w:color w:val="0000FF"/>
                <w:sz w:val="20"/>
                <w:szCs w:val="18"/>
              </w:rPr>
              <w:t>Pearson chi</w:t>
            </w:r>
            <w:r w:rsidRPr="00E5513C">
              <w:rPr>
                <w:rFonts w:eastAsia="Times New Roman" w:cs="Times New Roman"/>
                <w:bCs/>
                <w:color w:val="0000FF"/>
                <w:sz w:val="20"/>
                <w:szCs w:val="18"/>
                <w:vertAlign w:val="superscript"/>
              </w:rPr>
              <w:t>2</w:t>
            </w:r>
            <w:r w:rsidRPr="00E5513C">
              <w:rPr>
                <w:rFonts w:eastAsia="Times New Roman" w:cs="Times New Roman"/>
                <w:bCs/>
                <w:color w:val="0000FF"/>
                <w:sz w:val="20"/>
                <w:szCs w:val="18"/>
              </w:rPr>
              <w:t xml:space="preserve"> P-value</w:t>
            </w:r>
          </w:p>
        </w:tc>
      </w:tr>
      <w:tr w:rsidR="000852C7" w:rsidRPr="007E3454" w14:paraId="0D763F8A" w14:textId="77777777" w:rsidTr="00F409B1">
        <w:trPr>
          <w:jc w:val="center"/>
        </w:trPr>
        <w:tc>
          <w:tcPr>
            <w:tcW w:w="3600" w:type="dxa"/>
            <w:tcBorders>
              <w:top w:val="single" w:sz="4" w:space="0" w:color="auto"/>
            </w:tcBorders>
          </w:tcPr>
          <w:p w14:paraId="273392E1" w14:textId="563ABDE5" w:rsidR="000852C7" w:rsidRPr="007E3454" w:rsidRDefault="000852C7" w:rsidP="000852C7">
            <w:pPr>
              <w:autoSpaceDE w:val="0"/>
              <w:autoSpaceDN w:val="0"/>
              <w:adjustRightInd w:val="0"/>
              <w:rPr>
                <w:rFonts w:cstheme="minorHAnsi"/>
                <w:b/>
                <w:bCs/>
                <w:color w:val="3333FF"/>
                <w:sz w:val="20"/>
              </w:rPr>
            </w:pPr>
            <w:r w:rsidRPr="00BB7709">
              <w:rPr>
                <w:rFonts w:cstheme="minorHAnsi"/>
                <w:b/>
                <w:bCs/>
                <w:color w:val="3333FF"/>
                <w:sz w:val="20"/>
              </w:rPr>
              <w:t>Race</w:t>
            </w:r>
            <w:r>
              <w:rPr>
                <w:rFonts w:cstheme="minorHAnsi"/>
                <w:b/>
                <w:bCs/>
                <w:color w:val="3333FF"/>
                <w:sz w:val="20"/>
              </w:rPr>
              <w:t>/Ethnicity</w:t>
            </w:r>
          </w:p>
        </w:tc>
        <w:tc>
          <w:tcPr>
            <w:tcW w:w="2356" w:type="dxa"/>
            <w:tcBorders>
              <w:top w:val="single" w:sz="4" w:space="0" w:color="auto"/>
            </w:tcBorders>
          </w:tcPr>
          <w:p w14:paraId="00968F38" w14:textId="77777777" w:rsidR="000852C7" w:rsidRPr="007E3454" w:rsidRDefault="000852C7" w:rsidP="000852C7">
            <w:pPr>
              <w:autoSpaceDE w:val="0"/>
              <w:autoSpaceDN w:val="0"/>
              <w:adjustRightInd w:val="0"/>
              <w:jc w:val="center"/>
              <w:rPr>
                <w:rFonts w:eastAsia="Times New Roman" w:cs="Times New Roman"/>
                <w:color w:val="3333FF"/>
                <w:sz w:val="20"/>
                <w:szCs w:val="18"/>
              </w:rPr>
            </w:pPr>
          </w:p>
        </w:tc>
        <w:tc>
          <w:tcPr>
            <w:tcW w:w="1886" w:type="dxa"/>
            <w:tcBorders>
              <w:top w:val="single" w:sz="4" w:space="0" w:color="auto"/>
            </w:tcBorders>
          </w:tcPr>
          <w:p w14:paraId="2B0103C7" w14:textId="77777777" w:rsidR="000852C7" w:rsidRPr="007E3454" w:rsidRDefault="000852C7" w:rsidP="000852C7">
            <w:pPr>
              <w:autoSpaceDE w:val="0"/>
              <w:autoSpaceDN w:val="0"/>
              <w:adjustRightInd w:val="0"/>
              <w:jc w:val="center"/>
              <w:rPr>
                <w:rFonts w:eastAsia="Times New Roman" w:cs="Times New Roman"/>
                <w:color w:val="3333FF"/>
                <w:sz w:val="20"/>
                <w:szCs w:val="18"/>
              </w:rPr>
            </w:pPr>
          </w:p>
        </w:tc>
        <w:tc>
          <w:tcPr>
            <w:tcW w:w="1518" w:type="dxa"/>
            <w:tcBorders>
              <w:top w:val="single" w:sz="4" w:space="0" w:color="auto"/>
            </w:tcBorders>
          </w:tcPr>
          <w:p w14:paraId="60FAB81E" w14:textId="77777777" w:rsidR="000852C7" w:rsidRPr="007E3454" w:rsidRDefault="000852C7" w:rsidP="000852C7">
            <w:pPr>
              <w:autoSpaceDE w:val="0"/>
              <w:autoSpaceDN w:val="0"/>
              <w:adjustRightInd w:val="0"/>
              <w:jc w:val="center"/>
              <w:rPr>
                <w:rFonts w:eastAsia="Times New Roman" w:cs="Times New Roman"/>
                <w:color w:val="3333FF"/>
                <w:sz w:val="20"/>
                <w:szCs w:val="18"/>
              </w:rPr>
            </w:pPr>
          </w:p>
        </w:tc>
      </w:tr>
      <w:tr w:rsidR="000852C7" w:rsidRPr="007E3454" w14:paraId="00889067" w14:textId="77777777" w:rsidTr="00F409B1">
        <w:trPr>
          <w:jc w:val="center"/>
        </w:trPr>
        <w:tc>
          <w:tcPr>
            <w:tcW w:w="3600" w:type="dxa"/>
          </w:tcPr>
          <w:p w14:paraId="73F2A13D" w14:textId="2693D6F4" w:rsidR="000852C7" w:rsidRPr="007E3454" w:rsidRDefault="000852C7" w:rsidP="006A1659">
            <w:pPr>
              <w:autoSpaceDE w:val="0"/>
              <w:autoSpaceDN w:val="0"/>
              <w:adjustRightInd w:val="0"/>
              <w:ind w:left="720"/>
              <w:rPr>
                <w:rFonts w:cstheme="minorHAnsi"/>
                <w:b/>
                <w:bCs/>
                <w:color w:val="3333FF"/>
                <w:sz w:val="20"/>
              </w:rPr>
            </w:pPr>
            <w:r>
              <w:rPr>
                <w:rFonts w:cstheme="minorHAnsi"/>
                <w:bCs/>
                <w:color w:val="3333FF"/>
                <w:sz w:val="20"/>
              </w:rPr>
              <w:t>Non-Hispanic White</w:t>
            </w:r>
          </w:p>
        </w:tc>
        <w:tc>
          <w:tcPr>
            <w:tcW w:w="2356" w:type="dxa"/>
          </w:tcPr>
          <w:p w14:paraId="2E9E7021" w14:textId="10AA238A" w:rsidR="000852C7" w:rsidRPr="007E3454" w:rsidRDefault="000852C7" w:rsidP="000852C7">
            <w:pPr>
              <w:autoSpaceDE w:val="0"/>
              <w:autoSpaceDN w:val="0"/>
              <w:adjustRightInd w:val="0"/>
              <w:jc w:val="center"/>
              <w:rPr>
                <w:rFonts w:eastAsia="Times New Roman" w:cs="Times New Roman"/>
                <w:color w:val="3333FF"/>
                <w:sz w:val="20"/>
                <w:szCs w:val="18"/>
              </w:rPr>
            </w:pPr>
            <w:r>
              <w:rPr>
                <w:rFonts w:cstheme="minorHAnsi"/>
                <w:bCs/>
                <w:color w:val="3333FF"/>
                <w:sz w:val="20"/>
              </w:rPr>
              <w:t>0.04%</w:t>
            </w:r>
          </w:p>
        </w:tc>
        <w:tc>
          <w:tcPr>
            <w:tcW w:w="1886" w:type="dxa"/>
          </w:tcPr>
          <w:p w14:paraId="0F4074A3" w14:textId="6A2210E4" w:rsidR="000852C7" w:rsidRPr="007E3454" w:rsidRDefault="000852C7" w:rsidP="000852C7">
            <w:pPr>
              <w:autoSpaceDE w:val="0"/>
              <w:autoSpaceDN w:val="0"/>
              <w:adjustRightInd w:val="0"/>
              <w:jc w:val="center"/>
              <w:rPr>
                <w:rFonts w:eastAsia="Times New Roman" w:cs="Times New Roman"/>
                <w:color w:val="3333FF"/>
                <w:sz w:val="20"/>
                <w:szCs w:val="18"/>
              </w:rPr>
            </w:pPr>
            <w:r>
              <w:rPr>
                <w:rFonts w:cstheme="minorHAnsi"/>
                <w:bCs/>
                <w:color w:val="3333FF"/>
                <w:sz w:val="20"/>
              </w:rPr>
              <w:t>329</w:t>
            </w:r>
          </w:p>
        </w:tc>
        <w:tc>
          <w:tcPr>
            <w:tcW w:w="1518" w:type="dxa"/>
            <w:vMerge w:val="restart"/>
          </w:tcPr>
          <w:p w14:paraId="3E208484" w14:textId="7030688E" w:rsidR="000852C7" w:rsidRPr="007E3454" w:rsidRDefault="000852C7" w:rsidP="000852C7">
            <w:pPr>
              <w:autoSpaceDE w:val="0"/>
              <w:autoSpaceDN w:val="0"/>
              <w:adjustRightInd w:val="0"/>
              <w:jc w:val="center"/>
              <w:rPr>
                <w:rFonts w:eastAsia="Times New Roman" w:cs="Times New Roman"/>
                <w:color w:val="3333FF"/>
                <w:sz w:val="20"/>
                <w:szCs w:val="18"/>
              </w:rPr>
            </w:pPr>
            <w:r>
              <w:rPr>
                <w:rFonts w:cstheme="minorHAnsi"/>
                <w:bCs/>
                <w:color w:val="3333FF"/>
                <w:sz w:val="20"/>
              </w:rPr>
              <w:t>0.258</w:t>
            </w:r>
          </w:p>
        </w:tc>
      </w:tr>
      <w:tr w:rsidR="000852C7" w:rsidRPr="007E3454" w14:paraId="2577396C" w14:textId="77777777" w:rsidTr="00F409B1">
        <w:trPr>
          <w:jc w:val="center"/>
        </w:trPr>
        <w:tc>
          <w:tcPr>
            <w:tcW w:w="3600" w:type="dxa"/>
          </w:tcPr>
          <w:p w14:paraId="0BEDFACF" w14:textId="37EED7AA" w:rsidR="000852C7" w:rsidRPr="007E3454" w:rsidRDefault="000852C7" w:rsidP="006A1659">
            <w:pPr>
              <w:autoSpaceDE w:val="0"/>
              <w:autoSpaceDN w:val="0"/>
              <w:adjustRightInd w:val="0"/>
              <w:ind w:left="720"/>
              <w:rPr>
                <w:rFonts w:cstheme="minorHAnsi"/>
                <w:b/>
                <w:bCs/>
                <w:color w:val="3333FF"/>
                <w:sz w:val="20"/>
              </w:rPr>
            </w:pPr>
            <w:r>
              <w:rPr>
                <w:rFonts w:cstheme="minorHAnsi"/>
                <w:bCs/>
                <w:color w:val="3333FF"/>
                <w:sz w:val="20"/>
              </w:rPr>
              <w:t>Non-White/Multi-racial</w:t>
            </w:r>
          </w:p>
        </w:tc>
        <w:tc>
          <w:tcPr>
            <w:tcW w:w="2356" w:type="dxa"/>
          </w:tcPr>
          <w:p w14:paraId="43BB96AA" w14:textId="60D4709E" w:rsidR="000852C7" w:rsidRPr="007E3454" w:rsidRDefault="000852C7" w:rsidP="000852C7">
            <w:pPr>
              <w:autoSpaceDE w:val="0"/>
              <w:autoSpaceDN w:val="0"/>
              <w:adjustRightInd w:val="0"/>
              <w:jc w:val="center"/>
              <w:rPr>
                <w:rFonts w:eastAsia="Times New Roman" w:cs="Times New Roman"/>
                <w:color w:val="3333FF"/>
                <w:sz w:val="20"/>
                <w:szCs w:val="18"/>
              </w:rPr>
            </w:pPr>
            <w:r>
              <w:rPr>
                <w:rFonts w:cstheme="minorHAnsi"/>
                <w:bCs/>
                <w:color w:val="3333FF"/>
                <w:sz w:val="20"/>
              </w:rPr>
              <w:t>0.04%</w:t>
            </w:r>
          </w:p>
        </w:tc>
        <w:tc>
          <w:tcPr>
            <w:tcW w:w="1886" w:type="dxa"/>
          </w:tcPr>
          <w:p w14:paraId="0E8FCBD5" w14:textId="50F151C3" w:rsidR="000852C7" w:rsidRPr="007E3454" w:rsidRDefault="000852C7" w:rsidP="000852C7">
            <w:pPr>
              <w:autoSpaceDE w:val="0"/>
              <w:autoSpaceDN w:val="0"/>
              <w:adjustRightInd w:val="0"/>
              <w:jc w:val="center"/>
              <w:rPr>
                <w:rFonts w:eastAsia="Times New Roman" w:cs="Times New Roman"/>
                <w:color w:val="3333FF"/>
                <w:sz w:val="20"/>
                <w:szCs w:val="18"/>
              </w:rPr>
            </w:pPr>
            <w:r>
              <w:rPr>
                <w:rFonts w:cstheme="minorHAnsi"/>
                <w:bCs/>
                <w:color w:val="3333FF"/>
                <w:sz w:val="20"/>
              </w:rPr>
              <w:t>47</w:t>
            </w:r>
          </w:p>
        </w:tc>
        <w:tc>
          <w:tcPr>
            <w:tcW w:w="1518" w:type="dxa"/>
            <w:vMerge/>
          </w:tcPr>
          <w:p w14:paraId="3D8B5636" w14:textId="77777777" w:rsidR="000852C7" w:rsidRPr="007E3454" w:rsidRDefault="000852C7" w:rsidP="000852C7">
            <w:pPr>
              <w:autoSpaceDE w:val="0"/>
              <w:autoSpaceDN w:val="0"/>
              <w:adjustRightInd w:val="0"/>
              <w:jc w:val="center"/>
              <w:rPr>
                <w:rFonts w:eastAsia="Times New Roman" w:cs="Times New Roman"/>
                <w:color w:val="3333FF"/>
                <w:sz w:val="20"/>
                <w:szCs w:val="18"/>
              </w:rPr>
            </w:pPr>
          </w:p>
        </w:tc>
      </w:tr>
      <w:tr w:rsidR="000852C7" w:rsidRPr="007E3454" w14:paraId="6FAC7BCC" w14:textId="77777777" w:rsidTr="00F409B1">
        <w:trPr>
          <w:jc w:val="center"/>
        </w:trPr>
        <w:tc>
          <w:tcPr>
            <w:tcW w:w="3600" w:type="dxa"/>
          </w:tcPr>
          <w:p w14:paraId="348EE959" w14:textId="69947BAC" w:rsidR="000852C7" w:rsidRPr="007E3454" w:rsidRDefault="000852C7" w:rsidP="000852C7">
            <w:pPr>
              <w:autoSpaceDE w:val="0"/>
              <w:autoSpaceDN w:val="0"/>
              <w:adjustRightInd w:val="0"/>
              <w:rPr>
                <w:rFonts w:cstheme="minorHAnsi"/>
                <w:b/>
                <w:bCs/>
                <w:color w:val="3333FF"/>
                <w:sz w:val="20"/>
              </w:rPr>
            </w:pPr>
            <w:r w:rsidRPr="007E3454">
              <w:rPr>
                <w:rFonts w:cstheme="minorHAnsi"/>
                <w:b/>
                <w:bCs/>
                <w:color w:val="3333FF"/>
                <w:sz w:val="20"/>
              </w:rPr>
              <w:t xml:space="preserve">Age </w:t>
            </w:r>
          </w:p>
        </w:tc>
        <w:tc>
          <w:tcPr>
            <w:tcW w:w="5760" w:type="dxa"/>
            <w:gridSpan w:val="3"/>
          </w:tcPr>
          <w:p w14:paraId="699AB8B2" w14:textId="77777777" w:rsidR="000852C7" w:rsidRPr="007E3454" w:rsidRDefault="000852C7" w:rsidP="000852C7">
            <w:pPr>
              <w:autoSpaceDE w:val="0"/>
              <w:autoSpaceDN w:val="0"/>
              <w:adjustRightInd w:val="0"/>
              <w:rPr>
                <w:rFonts w:cstheme="minorHAnsi"/>
                <w:bCs/>
                <w:color w:val="3333FF"/>
                <w:sz w:val="20"/>
              </w:rPr>
            </w:pPr>
          </w:p>
        </w:tc>
      </w:tr>
      <w:tr w:rsidR="000852C7" w:rsidRPr="007E3454" w14:paraId="6980AF0D" w14:textId="77777777" w:rsidTr="00F409B1">
        <w:trPr>
          <w:jc w:val="center"/>
        </w:trPr>
        <w:tc>
          <w:tcPr>
            <w:tcW w:w="3600" w:type="dxa"/>
          </w:tcPr>
          <w:p w14:paraId="471639F8" w14:textId="77777777" w:rsidR="000852C7" w:rsidRPr="007E3454" w:rsidRDefault="000852C7" w:rsidP="006A1659">
            <w:pPr>
              <w:autoSpaceDE w:val="0"/>
              <w:autoSpaceDN w:val="0"/>
              <w:adjustRightInd w:val="0"/>
              <w:ind w:left="720"/>
              <w:rPr>
                <w:rFonts w:cstheme="minorHAnsi"/>
                <w:bCs/>
                <w:color w:val="3333FF"/>
                <w:sz w:val="20"/>
              </w:rPr>
            </w:pPr>
            <w:r w:rsidRPr="007E3454">
              <w:rPr>
                <w:rFonts w:cstheme="minorHAnsi"/>
                <w:bCs/>
                <w:color w:val="3333FF"/>
                <w:sz w:val="20"/>
              </w:rPr>
              <w:t>Age ≥ 85</w:t>
            </w:r>
          </w:p>
        </w:tc>
        <w:tc>
          <w:tcPr>
            <w:tcW w:w="2356" w:type="dxa"/>
          </w:tcPr>
          <w:p w14:paraId="3ABAB87C" w14:textId="66739627" w:rsidR="000852C7" w:rsidRPr="007E3454" w:rsidRDefault="000852C7" w:rsidP="000852C7">
            <w:pPr>
              <w:autoSpaceDE w:val="0"/>
              <w:autoSpaceDN w:val="0"/>
              <w:adjustRightInd w:val="0"/>
              <w:jc w:val="center"/>
              <w:rPr>
                <w:rFonts w:cstheme="minorHAnsi"/>
                <w:bCs/>
                <w:color w:val="3333FF"/>
                <w:sz w:val="20"/>
              </w:rPr>
            </w:pPr>
            <w:r w:rsidRPr="008440D1">
              <w:rPr>
                <w:rFonts w:cstheme="minorHAnsi"/>
                <w:bCs/>
                <w:color w:val="3333FF"/>
                <w:sz w:val="20"/>
              </w:rPr>
              <w:t>0.0</w:t>
            </w:r>
            <w:r>
              <w:rPr>
                <w:rFonts w:cstheme="minorHAnsi"/>
                <w:bCs/>
                <w:color w:val="3333FF"/>
                <w:sz w:val="20"/>
              </w:rPr>
              <w:t>4%</w:t>
            </w:r>
          </w:p>
        </w:tc>
        <w:tc>
          <w:tcPr>
            <w:tcW w:w="1886" w:type="dxa"/>
          </w:tcPr>
          <w:p w14:paraId="28443B46" w14:textId="7B544C54" w:rsidR="000852C7" w:rsidRPr="007E3454" w:rsidRDefault="000852C7" w:rsidP="000852C7">
            <w:pPr>
              <w:autoSpaceDE w:val="0"/>
              <w:autoSpaceDN w:val="0"/>
              <w:adjustRightInd w:val="0"/>
              <w:jc w:val="center"/>
              <w:rPr>
                <w:rFonts w:cstheme="minorHAnsi"/>
                <w:bCs/>
                <w:color w:val="3333FF"/>
                <w:sz w:val="20"/>
              </w:rPr>
            </w:pPr>
            <w:r>
              <w:rPr>
                <w:rFonts w:cstheme="minorHAnsi"/>
                <w:bCs/>
                <w:color w:val="3333FF"/>
                <w:sz w:val="20"/>
              </w:rPr>
              <w:t>254</w:t>
            </w:r>
          </w:p>
        </w:tc>
        <w:tc>
          <w:tcPr>
            <w:tcW w:w="1518" w:type="dxa"/>
            <w:vMerge w:val="restart"/>
          </w:tcPr>
          <w:p w14:paraId="5CA2B82E" w14:textId="01D6131E" w:rsidR="000852C7" w:rsidRPr="007E3454" w:rsidRDefault="000852C7" w:rsidP="000852C7">
            <w:pPr>
              <w:autoSpaceDE w:val="0"/>
              <w:autoSpaceDN w:val="0"/>
              <w:adjustRightInd w:val="0"/>
              <w:jc w:val="center"/>
              <w:rPr>
                <w:rFonts w:cstheme="minorHAnsi"/>
                <w:bCs/>
                <w:color w:val="3333FF"/>
                <w:sz w:val="20"/>
              </w:rPr>
            </w:pPr>
            <w:r>
              <w:rPr>
                <w:rFonts w:cstheme="minorHAnsi"/>
                <w:bCs/>
                <w:color w:val="3333FF"/>
                <w:sz w:val="20"/>
              </w:rPr>
              <w:t>0.268</w:t>
            </w:r>
          </w:p>
        </w:tc>
      </w:tr>
      <w:tr w:rsidR="000852C7" w:rsidRPr="007E3454" w14:paraId="136C57F3" w14:textId="77777777" w:rsidTr="00F409B1">
        <w:trPr>
          <w:jc w:val="center"/>
        </w:trPr>
        <w:tc>
          <w:tcPr>
            <w:tcW w:w="3600" w:type="dxa"/>
          </w:tcPr>
          <w:p w14:paraId="08C8669C" w14:textId="77777777" w:rsidR="000852C7" w:rsidRPr="007E3454" w:rsidRDefault="000852C7" w:rsidP="006A1659">
            <w:pPr>
              <w:autoSpaceDE w:val="0"/>
              <w:autoSpaceDN w:val="0"/>
              <w:adjustRightInd w:val="0"/>
              <w:ind w:left="720"/>
              <w:rPr>
                <w:rFonts w:cstheme="minorHAnsi"/>
                <w:bCs/>
                <w:color w:val="3333FF"/>
                <w:sz w:val="20"/>
              </w:rPr>
            </w:pPr>
            <w:r w:rsidRPr="007E3454">
              <w:rPr>
                <w:rFonts w:cstheme="minorHAnsi"/>
                <w:bCs/>
                <w:color w:val="3333FF"/>
                <w:sz w:val="20"/>
              </w:rPr>
              <w:t>Age &lt; 85</w:t>
            </w:r>
          </w:p>
        </w:tc>
        <w:tc>
          <w:tcPr>
            <w:tcW w:w="2356" w:type="dxa"/>
          </w:tcPr>
          <w:p w14:paraId="0B151CD5" w14:textId="0CA8285D" w:rsidR="000852C7" w:rsidRPr="007E3454" w:rsidRDefault="000852C7" w:rsidP="000852C7">
            <w:pPr>
              <w:autoSpaceDE w:val="0"/>
              <w:autoSpaceDN w:val="0"/>
              <w:adjustRightInd w:val="0"/>
              <w:jc w:val="center"/>
              <w:rPr>
                <w:rFonts w:cstheme="minorHAnsi"/>
                <w:bCs/>
                <w:color w:val="3333FF"/>
                <w:sz w:val="20"/>
              </w:rPr>
            </w:pPr>
            <w:r w:rsidRPr="00CA2AFC">
              <w:rPr>
                <w:rFonts w:cstheme="minorHAnsi"/>
                <w:bCs/>
                <w:color w:val="3333FF"/>
                <w:sz w:val="20"/>
              </w:rPr>
              <w:t>0.0</w:t>
            </w:r>
            <w:r>
              <w:rPr>
                <w:rFonts w:cstheme="minorHAnsi"/>
                <w:bCs/>
                <w:color w:val="3333FF"/>
                <w:sz w:val="20"/>
              </w:rPr>
              <w:t>4%</w:t>
            </w:r>
          </w:p>
        </w:tc>
        <w:tc>
          <w:tcPr>
            <w:tcW w:w="1886" w:type="dxa"/>
          </w:tcPr>
          <w:p w14:paraId="43FFC6A9" w14:textId="562F2A60" w:rsidR="000852C7" w:rsidRPr="007E3454" w:rsidRDefault="000852C7" w:rsidP="000852C7">
            <w:pPr>
              <w:autoSpaceDE w:val="0"/>
              <w:autoSpaceDN w:val="0"/>
              <w:adjustRightInd w:val="0"/>
              <w:jc w:val="center"/>
              <w:rPr>
                <w:rFonts w:cstheme="minorHAnsi"/>
                <w:bCs/>
                <w:color w:val="3333FF"/>
                <w:sz w:val="20"/>
              </w:rPr>
            </w:pPr>
            <w:r>
              <w:rPr>
                <w:rFonts w:cstheme="minorHAnsi"/>
                <w:bCs/>
                <w:color w:val="3333FF"/>
                <w:sz w:val="20"/>
              </w:rPr>
              <w:t>181</w:t>
            </w:r>
            <w:r w:rsidRPr="00CA2AFC">
              <w:rPr>
                <w:rFonts w:cstheme="minorHAnsi"/>
                <w:bCs/>
                <w:color w:val="3333FF"/>
                <w:sz w:val="20"/>
              </w:rPr>
              <w:t xml:space="preserve"> </w:t>
            </w:r>
          </w:p>
        </w:tc>
        <w:tc>
          <w:tcPr>
            <w:tcW w:w="1518" w:type="dxa"/>
            <w:vMerge/>
          </w:tcPr>
          <w:p w14:paraId="46750C79" w14:textId="77777777" w:rsidR="000852C7" w:rsidRPr="007E3454" w:rsidRDefault="000852C7" w:rsidP="000852C7">
            <w:pPr>
              <w:autoSpaceDE w:val="0"/>
              <w:autoSpaceDN w:val="0"/>
              <w:adjustRightInd w:val="0"/>
              <w:rPr>
                <w:rFonts w:cstheme="minorHAnsi"/>
                <w:bCs/>
                <w:color w:val="3333FF"/>
                <w:sz w:val="20"/>
              </w:rPr>
            </w:pPr>
          </w:p>
        </w:tc>
      </w:tr>
      <w:tr w:rsidR="000852C7" w:rsidRPr="007E3454" w14:paraId="4F9EF2FD" w14:textId="77777777" w:rsidTr="00F409B1">
        <w:trPr>
          <w:jc w:val="center"/>
        </w:trPr>
        <w:tc>
          <w:tcPr>
            <w:tcW w:w="3600" w:type="dxa"/>
          </w:tcPr>
          <w:p w14:paraId="3E76BE86" w14:textId="5AD8E567" w:rsidR="000852C7" w:rsidRPr="007E3454" w:rsidRDefault="000852C7" w:rsidP="000852C7">
            <w:pPr>
              <w:autoSpaceDE w:val="0"/>
              <w:autoSpaceDN w:val="0"/>
              <w:adjustRightInd w:val="0"/>
              <w:rPr>
                <w:rFonts w:cstheme="minorHAnsi"/>
                <w:b/>
                <w:bCs/>
                <w:color w:val="3333FF"/>
                <w:sz w:val="20"/>
              </w:rPr>
            </w:pPr>
            <w:r>
              <w:rPr>
                <w:rFonts w:cstheme="minorHAnsi"/>
                <w:b/>
                <w:bCs/>
                <w:color w:val="3333FF"/>
                <w:sz w:val="20"/>
              </w:rPr>
              <w:t>Gender</w:t>
            </w:r>
          </w:p>
        </w:tc>
        <w:tc>
          <w:tcPr>
            <w:tcW w:w="5760" w:type="dxa"/>
            <w:gridSpan w:val="3"/>
          </w:tcPr>
          <w:p w14:paraId="6C77EBD3" w14:textId="77777777" w:rsidR="000852C7" w:rsidRPr="007E3454" w:rsidRDefault="000852C7" w:rsidP="000852C7">
            <w:pPr>
              <w:autoSpaceDE w:val="0"/>
              <w:autoSpaceDN w:val="0"/>
              <w:adjustRightInd w:val="0"/>
              <w:rPr>
                <w:rFonts w:cstheme="minorHAnsi"/>
                <w:bCs/>
                <w:color w:val="3333FF"/>
                <w:sz w:val="20"/>
              </w:rPr>
            </w:pPr>
          </w:p>
        </w:tc>
      </w:tr>
      <w:tr w:rsidR="000852C7" w:rsidRPr="007E3454" w14:paraId="072C75EE" w14:textId="77777777" w:rsidTr="00F409B1">
        <w:trPr>
          <w:jc w:val="center"/>
        </w:trPr>
        <w:tc>
          <w:tcPr>
            <w:tcW w:w="3600" w:type="dxa"/>
          </w:tcPr>
          <w:p w14:paraId="1FDCBF23" w14:textId="77777777" w:rsidR="000852C7" w:rsidRPr="007E3454" w:rsidRDefault="000852C7" w:rsidP="006A1659">
            <w:pPr>
              <w:autoSpaceDE w:val="0"/>
              <w:autoSpaceDN w:val="0"/>
              <w:adjustRightInd w:val="0"/>
              <w:ind w:left="720"/>
              <w:rPr>
                <w:rFonts w:cstheme="minorHAnsi"/>
                <w:bCs/>
                <w:color w:val="3333FF"/>
                <w:sz w:val="20"/>
              </w:rPr>
            </w:pPr>
            <w:r w:rsidRPr="007E3454">
              <w:rPr>
                <w:rFonts w:cstheme="minorHAnsi"/>
                <w:bCs/>
                <w:color w:val="3333FF"/>
                <w:sz w:val="20"/>
              </w:rPr>
              <w:t>Male</w:t>
            </w:r>
          </w:p>
        </w:tc>
        <w:tc>
          <w:tcPr>
            <w:tcW w:w="2356" w:type="dxa"/>
          </w:tcPr>
          <w:p w14:paraId="729D526A" w14:textId="69FA0111" w:rsidR="000852C7" w:rsidRPr="007E3454" w:rsidRDefault="000852C7" w:rsidP="000852C7">
            <w:pPr>
              <w:autoSpaceDE w:val="0"/>
              <w:autoSpaceDN w:val="0"/>
              <w:adjustRightInd w:val="0"/>
              <w:jc w:val="center"/>
              <w:rPr>
                <w:rFonts w:cstheme="minorHAnsi"/>
                <w:bCs/>
                <w:color w:val="3333FF"/>
                <w:sz w:val="20"/>
              </w:rPr>
            </w:pPr>
            <w:r>
              <w:rPr>
                <w:rFonts w:cstheme="minorHAnsi"/>
                <w:bCs/>
                <w:color w:val="3333FF"/>
                <w:sz w:val="20"/>
              </w:rPr>
              <w:t>0.04%</w:t>
            </w:r>
          </w:p>
        </w:tc>
        <w:tc>
          <w:tcPr>
            <w:tcW w:w="1886" w:type="dxa"/>
          </w:tcPr>
          <w:p w14:paraId="186FAF43" w14:textId="52177304" w:rsidR="000852C7" w:rsidRPr="007E3454" w:rsidRDefault="000852C7" w:rsidP="000852C7">
            <w:pPr>
              <w:autoSpaceDE w:val="0"/>
              <w:autoSpaceDN w:val="0"/>
              <w:adjustRightInd w:val="0"/>
              <w:jc w:val="center"/>
              <w:rPr>
                <w:rFonts w:cstheme="minorHAnsi"/>
                <w:bCs/>
                <w:color w:val="3333FF"/>
                <w:sz w:val="20"/>
              </w:rPr>
            </w:pPr>
            <w:r>
              <w:rPr>
                <w:rFonts w:cstheme="minorHAnsi"/>
                <w:bCs/>
                <w:color w:val="3333FF"/>
                <w:sz w:val="20"/>
              </w:rPr>
              <w:t>139</w:t>
            </w:r>
          </w:p>
        </w:tc>
        <w:tc>
          <w:tcPr>
            <w:tcW w:w="1518" w:type="dxa"/>
            <w:vMerge w:val="restart"/>
          </w:tcPr>
          <w:p w14:paraId="0FA34F78" w14:textId="68A439B1" w:rsidR="000852C7" w:rsidRPr="007E3454" w:rsidRDefault="000852C7" w:rsidP="000852C7">
            <w:pPr>
              <w:autoSpaceDE w:val="0"/>
              <w:autoSpaceDN w:val="0"/>
              <w:adjustRightInd w:val="0"/>
              <w:jc w:val="center"/>
              <w:rPr>
                <w:rFonts w:cstheme="minorHAnsi"/>
                <w:bCs/>
                <w:color w:val="3333FF"/>
                <w:sz w:val="20"/>
              </w:rPr>
            </w:pPr>
            <w:r>
              <w:rPr>
                <w:rFonts w:cstheme="minorHAnsi"/>
                <w:bCs/>
                <w:color w:val="3333FF"/>
                <w:sz w:val="20"/>
              </w:rPr>
              <w:t>0.121</w:t>
            </w:r>
          </w:p>
        </w:tc>
      </w:tr>
      <w:tr w:rsidR="000852C7" w:rsidRPr="007E3454" w14:paraId="458F39E0" w14:textId="77777777" w:rsidTr="00F409B1">
        <w:trPr>
          <w:jc w:val="center"/>
        </w:trPr>
        <w:tc>
          <w:tcPr>
            <w:tcW w:w="3600" w:type="dxa"/>
          </w:tcPr>
          <w:p w14:paraId="4FB4DBF0" w14:textId="77777777" w:rsidR="000852C7" w:rsidRPr="007E3454" w:rsidRDefault="000852C7" w:rsidP="006A1659">
            <w:pPr>
              <w:autoSpaceDE w:val="0"/>
              <w:autoSpaceDN w:val="0"/>
              <w:adjustRightInd w:val="0"/>
              <w:ind w:left="720"/>
              <w:rPr>
                <w:rFonts w:cstheme="minorHAnsi"/>
                <w:bCs/>
                <w:color w:val="3333FF"/>
                <w:sz w:val="20"/>
              </w:rPr>
            </w:pPr>
            <w:r w:rsidRPr="007E3454">
              <w:rPr>
                <w:rFonts w:cstheme="minorHAnsi"/>
                <w:bCs/>
                <w:color w:val="3333FF"/>
                <w:sz w:val="20"/>
              </w:rPr>
              <w:t>Female</w:t>
            </w:r>
          </w:p>
        </w:tc>
        <w:tc>
          <w:tcPr>
            <w:tcW w:w="2356" w:type="dxa"/>
          </w:tcPr>
          <w:p w14:paraId="68667408" w14:textId="1A00E7DC" w:rsidR="000852C7" w:rsidRPr="007E3454" w:rsidRDefault="000852C7" w:rsidP="000852C7">
            <w:pPr>
              <w:autoSpaceDE w:val="0"/>
              <w:autoSpaceDN w:val="0"/>
              <w:adjustRightInd w:val="0"/>
              <w:jc w:val="center"/>
              <w:rPr>
                <w:rFonts w:cstheme="minorHAnsi"/>
                <w:bCs/>
                <w:color w:val="3333FF"/>
                <w:sz w:val="20"/>
              </w:rPr>
            </w:pPr>
            <w:r>
              <w:rPr>
                <w:rFonts w:cstheme="minorHAnsi"/>
                <w:bCs/>
                <w:color w:val="3333FF"/>
                <w:sz w:val="20"/>
              </w:rPr>
              <w:t>0.04%</w:t>
            </w:r>
          </w:p>
        </w:tc>
        <w:tc>
          <w:tcPr>
            <w:tcW w:w="1886" w:type="dxa"/>
          </w:tcPr>
          <w:p w14:paraId="3D7E3BAF" w14:textId="7F4621F3" w:rsidR="000852C7" w:rsidRPr="007E3454" w:rsidRDefault="000852C7" w:rsidP="000852C7">
            <w:pPr>
              <w:autoSpaceDE w:val="0"/>
              <w:autoSpaceDN w:val="0"/>
              <w:adjustRightInd w:val="0"/>
              <w:jc w:val="center"/>
              <w:rPr>
                <w:rFonts w:cstheme="minorHAnsi"/>
                <w:bCs/>
                <w:color w:val="3333FF"/>
                <w:sz w:val="20"/>
              </w:rPr>
            </w:pPr>
            <w:r>
              <w:rPr>
                <w:rFonts w:cstheme="minorHAnsi"/>
                <w:bCs/>
                <w:color w:val="3333FF"/>
                <w:sz w:val="20"/>
              </w:rPr>
              <w:t>296</w:t>
            </w:r>
          </w:p>
        </w:tc>
        <w:tc>
          <w:tcPr>
            <w:tcW w:w="1518" w:type="dxa"/>
            <w:vMerge/>
          </w:tcPr>
          <w:p w14:paraId="2EC48E2E" w14:textId="77777777" w:rsidR="000852C7" w:rsidRPr="007E3454" w:rsidRDefault="000852C7" w:rsidP="000852C7">
            <w:pPr>
              <w:autoSpaceDE w:val="0"/>
              <w:autoSpaceDN w:val="0"/>
              <w:adjustRightInd w:val="0"/>
              <w:rPr>
                <w:rFonts w:cstheme="minorHAnsi"/>
                <w:bCs/>
                <w:color w:val="3333FF"/>
                <w:sz w:val="20"/>
              </w:rPr>
            </w:pPr>
          </w:p>
        </w:tc>
      </w:tr>
      <w:tr w:rsidR="000852C7" w:rsidRPr="007E3454" w14:paraId="78D7DC78" w14:textId="77777777" w:rsidTr="00F409B1">
        <w:trPr>
          <w:jc w:val="center"/>
        </w:trPr>
        <w:tc>
          <w:tcPr>
            <w:tcW w:w="3600" w:type="dxa"/>
          </w:tcPr>
          <w:p w14:paraId="645FD62A" w14:textId="617E8FC2" w:rsidR="000852C7" w:rsidRPr="00BB7709" w:rsidRDefault="000852C7" w:rsidP="000852C7">
            <w:pPr>
              <w:autoSpaceDE w:val="0"/>
              <w:autoSpaceDN w:val="0"/>
              <w:adjustRightInd w:val="0"/>
              <w:rPr>
                <w:rFonts w:cstheme="minorHAnsi"/>
                <w:b/>
                <w:bCs/>
                <w:color w:val="3333FF"/>
                <w:sz w:val="20"/>
              </w:rPr>
            </w:pPr>
            <w:r w:rsidRPr="007E3454">
              <w:rPr>
                <w:rFonts w:cstheme="minorHAnsi"/>
                <w:b/>
                <w:bCs/>
                <w:color w:val="3333FF"/>
                <w:sz w:val="20"/>
              </w:rPr>
              <w:t>Medicaid Eligibility</w:t>
            </w:r>
          </w:p>
        </w:tc>
        <w:tc>
          <w:tcPr>
            <w:tcW w:w="2356" w:type="dxa"/>
          </w:tcPr>
          <w:p w14:paraId="4BA7F84D" w14:textId="77777777" w:rsidR="000852C7" w:rsidRDefault="000852C7" w:rsidP="000852C7">
            <w:pPr>
              <w:autoSpaceDE w:val="0"/>
              <w:autoSpaceDN w:val="0"/>
              <w:adjustRightInd w:val="0"/>
              <w:jc w:val="center"/>
              <w:rPr>
                <w:rFonts w:cstheme="minorHAnsi"/>
                <w:bCs/>
                <w:color w:val="3333FF"/>
                <w:sz w:val="20"/>
              </w:rPr>
            </w:pPr>
          </w:p>
        </w:tc>
        <w:tc>
          <w:tcPr>
            <w:tcW w:w="1886" w:type="dxa"/>
          </w:tcPr>
          <w:p w14:paraId="05ED8329" w14:textId="77777777" w:rsidR="000852C7" w:rsidRDefault="000852C7" w:rsidP="000852C7">
            <w:pPr>
              <w:autoSpaceDE w:val="0"/>
              <w:autoSpaceDN w:val="0"/>
              <w:adjustRightInd w:val="0"/>
              <w:jc w:val="center"/>
              <w:rPr>
                <w:rFonts w:cstheme="minorHAnsi"/>
                <w:bCs/>
                <w:color w:val="3333FF"/>
                <w:sz w:val="20"/>
              </w:rPr>
            </w:pPr>
          </w:p>
        </w:tc>
        <w:tc>
          <w:tcPr>
            <w:tcW w:w="1518" w:type="dxa"/>
          </w:tcPr>
          <w:p w14:paraId="03CD5F90" w14:textId="77777777" w:rsidR="000852C7" w:rsidRPr="007E3454" w:rsidRDefault="000852C7" w:rsidP="000852C7">
            <w:pPr>
              <w:autoSpaceDE w:val="0"/>
              <w:autoSpaceDN w:val="0"/>
              <w:adjustRightInd w:val="0"/>
              <w:rPr>
                <w:rFonts w:cstheme="minorHAnsi"/>
                <w:bCs/>
                <w:color w:val="3333FF"/>
                <w:sz w:val="20"/>
              </w:rPr>
            </w:pPr>
          </w:p>
        </w:tc>
      </w:tr>
      <w:tr w:rsidR="000852C7" w:rsidRPr="007E3454" w14:paraId="543F8BFF" w14:textId="77777777" w:rsidTr="00F409B1">
        <w:trPr>
          <w:jc w:val="center"/>
        </w:trPr>
        <w:tc>
          <w:tcPr>
            <w:tcW w:w="3600" w:type="dxa"/>
          </w:tcPr>
          <w:p w14:paraId="1A3F1828" w14:textId="4F5DE8DE" w:rsidR="000852C7" w:rsidRPr="007E3454" w:rsidRDefault="000852C7" w:rsidP="006A1659">
            <w:pPr>
              <w:autoSpaceDE w:val="0"/>
              <w:autoSpaceDN w:val="0"/>
              <w:adjustRightInd w:val="0"/>
              <w:ind w:left="720"/>
              <w:rPr>
                <w:rFonts w:cstheme="minorHAnsi"/>
                <w:bCs/>
                <w:color w:val="3333FF"/>
                <w:sz w:val="20"/>
              </w:rPr>
            </w:pPr>
            <w:r>
              <w:rPr>
                <w:rFonts w:cstheme="minorHAnsi"/>
                <w:bCs/>
                <w:color w:val="3333FF"/>
                <w:sz w:val="20"/>
              </w:rPr>
              <w:t>Medicaid</w:t>
            </w:r>
          </w:p>
        </w:tc>
        <w:tc>
          <w:tcPr>
            <w:tcW w:w="2356" w:type="dxa"/>
          </w:tcPr>
          <w:p w14:paraId="018E7CD1" w14:textId="5673793B" w:rsidR="000852C7" w:rsidRDefault="000852C7" w:rsidP="000852C7">
            <w:pPr>
              <w:autoSpaceDE w:val="0"/>
              <w:autoSpaceDN w:val="0"/>
              <w:adjustRightInd w:val="0"/>
              <w:jc w:val="center"/>
              <w:rPr>
                <w:rFonts w:cstheme="minorHAnsi"/>
                <w:bCs/>
                <w:color w:val="3333FF"/>
                <w:sz w:val="20"/>
              </w:rPr>
            </w:pPr>
            <w:r>
              <w:rPr>
                <w:rFonts w:cstheme="minorHAnsi"/>
                <w:bCs/>
                <w:color w:val="3333FF"/>
                <w:sz w:val="20"/>
              </w:rPr>
              <w:t>0.04%</w:t>
            </w:r>
          </w:p>
        </w:tc>
        <w:tc>
          <w:tcPr>
            <w:tcW w:w="1886" w:type="dxa"/>
          </w:tcPr>
          <w:p w14:paraId="52571FF0" w14:textId="26FEBBB4" w:rsidR="000852C7" w:rsidRDefault="000852C7" w:rsidP="000852C7">
            <w:pPr>
              <w:autoSpaceDE w:val="0"/>
              <w:autoSpaceDN w:val="0"/>
              <w:adjustRightInd w:val="0"/>
              <w:jc w:val="center"/>
              <w:rPr>
                <w:rFonts w:cstheme="minorHAnsi"/>
                <w:bCs/>
                <w:color w:val="3333FF"/>
                <w:sz w:val="20"/>
              </w:rPr>
            </w:pPr>
            <w:r>
              <w:rPr>
                <w:rFonts w:cstheme="minorHAnsi"/>
                <w:bCs/>
                <w:color w:val="3333FF"/>
                <w:sz w:val="20"/>
              </w:rPr>
              <w:t>329</w:t>
            </w:r>
          </w:p>
        </w:tc>
        <w:tc>
          <w:tcPr>
            <w:tcW w:w="1518" w:type="dxa"/>
            <w:vMerge w:val="restart"/>
            <w:tcBorders>
              <w:bottom w:val="single" w:sz="4" w:space="0" w:color="auto"/>
            </w:tcBorders>
          </w:tcPr>
          <w:p w14:paraId="73711500" w14:textId="3C9E0FA4" w:rsidR="000852C7" w:rsidRPr="007E3454" w:rsidRDefault="000852C7" w:rsidP="00517C1E">
            <w:pPr>
              <w:autoSpaceDE w:val="0"/>
              <w:autoSpaceDN w:val="0"/>
              <w:adjustRightInd w:val="0"/>
              <w:jc w:val="center"/>
              <w:rPr>
                <w:rFonts w:cstheme="minorHAnsi"/>
                <w:bCs/>
                <w:color w:val="3333FF"/>
                <w:sz w:val="20"/>
              </w:rPr>
            </w:pPr>
            <w:r>
              <w:rPr>
                <w:rFonts w:cstheme="minorHAnsi"/>
                <w:bCs/>
                <w:color w:val="3333FF"/>
                <w:sz w:val="20"/>
              </w:rPr>
              <w:t>0.611</w:t>
            </w:r>
          </w:p>
        </w:tc>
      </w:tr>
      <w:tr w:rsidR="000852C7" w:rsidRPr="007E3454" w14:paraId="5D27E086" w14:textId="77777777" w:rsidTr="00E2379F">
        <w:trPr>
          <w:jc w:val="center"/>
        </w:trPr>
        <w:tc>
          <w:tcPr>
            <w:tcW w:w="3600" w:type="dxa"/>
            <w:tcBorders>
              <w:bottom w:val="single" w:sz="12" w:space="0" w:color="auto"/>
            </w:tcBorders>
          </w:tcPr>
          <w:p w14:paraId="52F26B9F" w14:textId="60BB77A5" w:rsidR="000852C7" w:rsidRPr="007E3454" w:rsidRDefault="000852C7" w:rsidP="006A1659">
            <w:pPr>
              <w:autoSpaceDE w:val="0"/>
              <w:autoSpaceDN w:val="0"/>
              <w:adjustRightInd w:val="0"/>
              <w:ind w:left="720"/>
              <w:rPr>
                <w:rFonts w:cstheme="minorHAnsi"/>
                <w:bCs/>
                <w:color w:val="3333FF"/>
                <w:sz w:val="20"/>
              </w:rPr>
            </w:pPr>
            <w:r>
              <w:rPr>
                <w:rFonts w:cstheme="minorHAnsi"/>
                <w:bCs/>
                <w:color w:val="3333FF"/>
                <w:sz w:val="20"/>
              </w:rPr>
              <w:t>Non-Medicaid</w:t>
            </w:r>
          </w:p>
        </w:tc>
        <w:tc>
          <w:tcPr>
            <w:tcW w:w="2356" w:type="dxa"/>
            <w:tcBorders>
              <w:bottom w:val="single" w:sz="12" w:space="0" w:color="auto"/>
            </w:tcBorders>
          </w:tcPr>
          <w:p w14:paraId="39179A9D" w14:textId="1573B81E" w:rsidR="000852C7" w:rsidRDefault="000852C7" w:rsidP="000852C7">
            <w:pPr>
              <w:autoSpaceDE w:val="0"/>
              <w:autoSpaceDN w:val="0"/>
              <w:adjustRightInd w:val="0"/>
              <w:jc w:val="center"/>
              <w:rPr>
                <w:rFonts w:cstheme="minorHAnsi"/>
                <w:bCs/>
                <w:color w:val="3333FF"/>
                <w:sz w:val="20"/>
              </w:rPr>
            </w:pPr>
            <w:r>
              <w:rPr>
                <w:rFonts w:cstheme="minorHAnsi"/>
                <w:bCs/>
                <w:color w:val="3333FF"/>
                <w:sz w:val="20"/>
              </w:rPr>
              <w:t>0.04%</w:t>
            </w:r>
          </w:p>
        </w:tc>
        <w:tc>
          <w:tcPr>
            <w:tcW w:w="1886" w:type="dxa"/>
            <w:tcBorders>
              <w:bottom w:val="single" w:sz="12" w:space="0" w:color="auto"/>
            </w:tcBorders>
          </w:tcPr>
          <w:p w14:paraId="5993496F" w14:textId="136B1491" w:rsidR="000852C7" w:rsidRDefault="000852C7" w:rsidP="000852C7">
            <w:pPr>
              <w:autoSpaceDE w:val="0"/>
              <w:autoSpaceDN w:val="0"/>
              <w:adjustRightInd w:val="0"/>
              <w:jc w:val="center"/>
              <w:rPr>
                <w:rFonts w:cstheme="minorHAnsi"/>
                <w:bCs/>
                <w:color w:val="3333FF"/>
                <w:sz w:val="20"/>
              </w:rPr>
            </w:pPr>
            <w:r>
              <w:rPr>
                <w:rFonts w:cstheme="minorHAnsi"/>
                <w:bCs/>
                <w:color w:val="3333FF"/>
                <w:sz w:val="20"/>
              </w:rPr>
              <w:t>47</w:t>
            </w:r>
          </w:p>
        </w:tc>
        <w:tc>
          <w:tcPr>
            <w:tcW w:w="1518" w:type="dxa"/>
            <w:vMerge/>
            <w:tcBorders>
              <w:bottom w:val="single" w:sz="12" w:space="0" w:color="auto"/>
            </w:tcBorders>
          </w:tcPr>
          <w:p w14:paraId="0274FD59" w14:textId="77777777" w:rsidR="000852C7" w:rsidRPr="007E3454" w:rsidRDefault="000852C7" w:rsidP="000852C7">
            <w:pPr>
              <w:autoSpaceDE w:val="0"/>
              <w:autoSpaceDN w:val="0"/>
              <w:adjustRightInd w:val="0"/>
              <w:rPr>
                <w:rFonts w:cstheme="minorHAnsi"/>
                <w:bCs/>
                <w:color w:val="3333FF"/>
                <w:sz w:val="20"/>
              </w:rPr>
            </w:pPr>
          </w:p>
        </w:tc>
      </w:tr>
    </w:tbl>
    <w:p w14:paraId="37A83971" w14:textId="2D207AD1" w:rsidR="007E3454" w:rsidRDefault="007E3454" w:rsidP="007E3454">
      <w:pPr>
        <w:autoSpaceDE w:val="0"/>
        <w:autoSpaceDN w:val="0"/>
        <w:adjustRightInd w:val="0"/>
        <w:spacing w:after="0" w:line="240" w:lineRule="auto"/>
        <w:rPr>
          <w:rFonts w:cstheme="minorHAnsi"/>
          <w:bCs/>
          <w:i/>
          <w:color w:val="3333FF"/>
          <w:sz w:val="18"/>
        </w:rPr>
      </w:pPr>
      <w:r w:rsidRPr="007E3454">
        <w:rPr>
          <w:rFonts w:cstheme="minorHAnsi"/>
          <w:bCs/>
          <w:color w:val="3333FF"/>
        </w:rPr>
        <w:t xml:space="preserve"> </w:t>
      </w:r>
      <w:r w:rsidRPr="007E3454">
        <w:rPr>
          <w:rFonts w:cstheme="minorHAnsi"/>
          <w:bCs/>
          <w:color w:val="3333FF"/>
          <w:sz w:val="18"/>
        </w:rPr>
        <w:t>*</w:t>
      </w:r>
      <w:r w:rsidR="00275425">
        <w:rPr>
          <w:rFonts w:cstheme="minorHAnsi"/>
          <w:bCs/>
          <w:i/>
          <w:color w:val="3333FF"/>
          <w:sz w:val="18"/>
        </w:rPr>
        <w:t>p&lt;0.05</w:t>
      </w:r>
    </w:p>
    <w:p w14:paraId="212B093E" w14:textId="4ACE3FE8" w:rsidR="007E3454" w:rsidRPr="007E3454" w:rsidRDefault="00E2373F" w:rsidP="007E3454">
      <w:pPr>
        <w:autoSpaceDE w:val="0"/>
        <w:autoSpaceDN w:val="0"/>
        <w:adjustRightInd w:val="0"/>
        <w:spacing w:after="0" w:line="240" w:lineRule="auto"/>
        <w:rPr>
          <w:rFonts w:eastAsia="Calibri" w:cstheme="minorHAnsi"/>
          <w:bCs/>
          <w:color w:val="0000FF"/>
          <w:sz w:val="20"/>
          <w:szCs w:val="20"/>
        </w:rPr>
      </w:pPr>
      <w:r>
        <w:rPr>
          <w:rFonts w:cstheme="minorHAnsi"/>
          <w:color w:val="0000FF"/>
          <w:sz w:val="20"/>
          <w:szCs w:val="20"/>
        </w:rPr>
        <w:t>Source</w:t>
      </w:r>
      <w:r w:rsidR="007E3454" w:rsidRPr="00F36E87">
        <w:rPr>
          <w:rFonts w:cstheme="minorHAnsi"/>
          <w:color w:val="0000FF"/>
          <w:sz w:val="20"/>
          <w:szCs w:val="20"/>
        </w:rPr>
        <w:t xml:space="preserve">: </w:t>
      </w:r>
      <w:r w:rsidR="007E3454" w:rsidRPr="00F36E87">
        <w:rPr>
          <w:rFonts w:eastAsia="Calibri" w:cstheme="minorHAnsi"/>
          <w:color w:val="0000FF"/>
          <w:sz w:val="20"/>
          <w:szCs w:val="20"/>
        </w:rPr>
        <w:t xml:space="preserve">RTI analysis of </w:t>
      </w:r>
      <w:r w:rsidR="00A36FF0" w:rsidRPr="00F36E87">
        <w:rPr>
          <w:rFonts w:eastAsia="Calibri" w:cstheme="minorHAnsi"/>
          <w:color w:val="0000FF"/>
          <w:sz w:val="20"/>
          <w:szCs w:val="20"/>
        </w:rPr>
        <w:t>Q</w:t>
      </w:r>
      <w:r w:rsidR="00A36FF0">
        <w:rPr>
          <w:rFonts w:eastAsia="Calibri" w:cstheme="minorHAnsi"/>
          <w:color w:val="0000FF"/>
          <w:sz w:val="20"/>
          <w:szCs w:val="20"/>
        </w:rPr>
        <w:t>3</w:t>
      </w:r>
      <w:r w:rsidR="007E3454" w:rsidRPr="00F36E87">
        <w:rPr>
          <w:rFonts w:eastAsia="Calibri" w:cstheme="minorHAnsi"/>
          <w:color w:val="0000FF"/>
          <w:sz w:val="20"/>
          <w:szCs w:val="20"/>
        </w:rPr>
        <w:t xml:space="preserve">, </w:t>
      </w:r>
      <w:r w:rsidR="00AC7DE1" w:rsidRPr="00F36E87">
        <w:rPr>
          <w:rFonts w:eastAsia="Calibri" w:cstheme="minorHAnsi"/>
          <w:color w:val="0000FF"/>
          <w:sz w:val="20"/>
          <w:szCs w:val="20"/>
        </w:rPr>
        <w:t xml:space="preserve">2018 </w:t>
      </w:r>
      <w:r w:rsidR="007E3454" w:rsidRPr="00F36E87">
        <w:rPr>
          <w:rFonts w:eastAsia="Calibri" w:cstheme="minorHAnsi"/>
          <w:color w:val="0000FF"/>
          <w:sz w:val="20"/>
          <w:szCs w:val="20"/>
        </w:rPr>
        <w:t>MDS 3.0 data (programming reference</w:t>
      </w:r>
      <w:r w:rsidR="00077C20" w:rsidRPr="00077C20">
        <w:t xml:space="preserve"> </w:t>
      </w:r>
      <w:r w:rsidR="00077C20" w:rsidRPr="00077C20">
        <w:rPr>
          <w:rFonts w:eastAsia="Calibri" w:cstheme="minorHAnsi"/>
          <w:color w:val="0000FF"/>
          <w:sz w:val="20"/>
          <w:szCs w:val="20"/>
        </w:rPr>
        <w:t>kh29_47\hf16_request_684_31_32.log</w:t>
      </w:r>
      <w:r w:rsidR="007E3454" w:rsidRPr="00F36E87">
        <w:rPr>
          <w:rFonts w:eastAsia="Calibri" w:cstheme="minorHAnsi"/>
          <w:color w:val="0000FF"/>
          <w:sz w:val="20"/>
          <w:szCs w:val="20"/>
        </w:rPr>
        <w:t>)</w:t>
      </w:r>
    </w:p>
    <w:p w14:paraId="3F2711E9" w14:textId="41D58485" w:rsidR="007E3454" w:rsidRPr="00DA4AF5" w:rsidRDefault="007E3454" w:rsidP="006A1659">
      <w:pPr>
        <w:autoSpaceDE w:val="0"/>
        <w:autoSpaceDN w:val="0"/>
        <w:adjustRightInd w:val="0"/>
        <w:spacing w:before="240" w:after="240" w:line="240" w:lineRule="auto"/>
        <w:ind w:left="360"/>
        <w:rPr>
          <w:rFonts w:ascii="Calibri" w:eastAsia="MS Mincho" w:hAnsi="Calibri" w:cs="Calibri"/>
          <w:bCs/>
          <w:color w:val="0000FF"/>
        </w:rPr>
      </w:pPr>
      <w:r w:rsidRPr="007E3454">
        <w:rPr>
          <w:rFonts w:ascii="Calibri" w:eastAsia="MS Mincho" w:hAnsi="Calibri" w:cs="Calibri"/>
          <w:b/>
          <w:bCs/>
          <w:i/>
          <w:color w:val="0000FF"/>
        </w:rPr>
        <w:t xml:space="preserve">Table </w:t>
      </w:r>
      <w:r w:rsidR="001957E6">
        <w:rPr>
          <w:rFonts w:ascii="Calibri" w:eastAsia="MS Mincho" w:hAnsi="Calibri" w:cs="Calibri"/>
          <w:b/>
          <w:bCs/>
          <w:i/>
          <w:color w:val="0000FF"/>
        </w:rPr>
        <w:t>10</w:t>
      </w:r>
      <w:r w:rsidRPr="007E3454">
        <w:rPr>
          <w:rFonts w:ascii="Calibri" w:eastAsia="MS Mincho" w:hAnsi="Calibri" w:cs="Calibri"/>
          <w:b/>
          <w:bCs/>
          <w:i/>
          <w:color w:val="0000FF"/>
        </w:rPr>
        <w:t xml:space="preserve"> </w:t>
      </w:r>
      <w:r w:rsidRPr="007E3454">
        <w:rPr>
          <w:rFonts w:ascii="Calibri" w:eastAsia="MS Mincho" w:hAnsi="Calibri" w:cs="Calibri"/>
          <w:bCs/>
          <w:color w:val="0000FF"/>
        </w:rPr>
        <w:t>shows that differences in missing data by</w:t>
      </w:r>
      <w:r w:rsidR="00420DFA">
        <w:rPr>
          <w:rFonts w:ascii="Calibri" w:eastAsia="MS Mincho" w:hAnsi="Calibri" w:cs="Calibri"/>
          <w:bCs/>
          <w:color w:val="0000FF"/>
        </w:rPr>
        <w:t xml:space="preserve"> race/ethnicity, age,</w:t>
      </w:r>
      <w:r w:rsidRPr="007E3454">
        <w:rPr>
          <w:rFonts w:ascii="Calibri" w:eastAsia="MS Mincho" w:hAnsi="Calibri" w:cs="Calibri"/>
          <w:bCs/>
          <w:color w:val="0000FF"/>
        </w:rPr>
        <w:t xml:space="preserve"> </w:t>
      </w:r>
      <w:r w:rsidR="00B83C51" w:rsidRPr="00DA4AF5">
        <w:rPr>
          <w:rFonts w:ascii="Calibri" w:eastAsia="MS Mincho" w:hAnsi="Calibri" w:cs="Calibri"/>
          <w:bCs/>
          <w:color w:val="0000FF"/>
        </w:rPr>
        <w:t>gender</w:t>
      </w:r>
      <w:r w:rsidR="004016E7">
        <w:rPr>
          <w:rFonts w:ascii="Calibri" w:eastAsia="MS Mincho" w:hAnsi="Calibri" w:cs="Calibri"/>
          <w:bCs/>
          <w:color w:val="0000FF"/>
        </w:rPr>
        <w:t>,</w:t>
      </w:r>
      <w:r w:rsidR="00420DFA">
        <w:rPr>
          <w:rFonts w:ascii="Calibri" w:eastAsia="MS Mincho" w:hAnsi="Calibri" w:cs="Calibri"/>
          <w:bCs/>
          <w:color w:val="0000FF"/>
        </w:rPr>
        <w:t xml:space="preserve"> and</w:t>
      </w:r>
      <w:r w:rsidR="004016E7">
        <w:rPr>
          <w:rFonts w:ascii="Calibri" w:eastAsia="MS Mincho" w:hAnsi="Calibri" w:cs="Calibri"/>
          <w:bCs/>
          <w:color w:val="0000FF"/>
        </w:rPr>
        <w:t xml:space="preserve"> Medicaid eligibility</w:t>
      </w:r>
      <w:r w:rsidR="008F2B73">
        <w:rPr>
          <w:rFonts w:ascii="Calibri" w:eastAsia="MS Mincho" w:hAnsi="Calibri" w:cs="Calibri"/>
          <w:bCs/>
          <w:color w:val="0000FF"/>
        </w:rPr>
        <w:t>,</w:t>
      </w:r>
      <w:r w:rsidR="004016E7">
        <w:rPr>
          <w:rFonts w:ascii="Calibri" w:eastAsia="MS Mincho" w:hAnsi="Calibri" w:cs="Calibri"/>
          <w:bCs/>
          <w:color w:val="0000FF"/>
        </w:rPr>
        <w:t xml:space="preserve"> </w:t>
      </w:r>
      <w:r w:rsidR="00B83C51" w:rsidRPr="00DA4AF5">
        <w:rPr>
          <w:rFonts w:ascii="Calibri" w:eastAsia="MS Mincho" w:hAnsi="Calibri" w:cs="Calibri"/>
          <w:bCs/>
          <w:color w:val="0000FF"/>
        </w:rPr>
        <w:t>were not statistically significant (p</w:t>
      </w:r>
      <w:r w:rsidR="00225933" w:rsidRPr="00DA4AF5">
        <w:rPr>
          <w:rFonts w:ascii="Calibri" w:eastAsia="MS Mincho" w:hAnsi="Calibri" w:cs="Calibri"/>
          <w:bCs/>
          <w:color w:val="0000FF"/>
        </w:rPr>
        <w:t>&gt;</w:t>
      </w:r>
      <w:r w:rsidR="00B83C51" w:rsidRPr="00DA4AF5">
        <w:rPr>
          <w:rFonts w:ascii="Calibri" w:eastAsia="MS Mincho" w:hAnsi="Calibri" w:cs="Calibri"/>
          <w:bCs/>
          <w:color w:val="0000FF"/>
        </w:rPr>
        <w:t>0.05).</w:t>
      </w:r>
      <w:r w:rsidRPr="00DA4AF5">
        <w:rPr>
          <w:rFonts w:ascii="Calibri" w:eastAsia="MS Mincho" w:hAnsi="Calibri" w:cs="Calibri"/>
          <w:bCs/>
          <w:color w:val="0000FF"/>
        </w:rPr>
        <w:t xml:space="preserve"> </w:t>
      </w:r>
      <w:r w:rsidR="00631FD1" w:rsidRPr="00DA4AF5">
        <w:rPr>
          <w:rFonts w:ascii="Calibri" w:eastAsia="MS Mincho" w:hAnsi="Calibri" w:cs="Calibri"/>
          <w:bCs/>
          <w:color w:val="0000FF"/>
        </w:rPr>
        <w:t xml:space="preserve">Across all </w:t>
      </w:r>
      <w:r w:rsidR="00885C32" w:rsidRPr="00DA4AF5">
        <w:rPr>
          <w:rFonts w:ascii="Calibri" w:eastAsia="MS Mincho" w:hAnsi="Calibri" w:cs="Calibri"/>
          <w:bCs/>
          <w:color w:val="0000FF"/>
        </w:rPr>
        <w:t>individual characteristics</w:t>
      </w:r>
      <w:r w:rsidRPr="00DA4AF5">
        <w:rPr>
          <w:rFonts w:ascii="Calibri" w:eastAsia="MS Mincho" w:hAnsi="Calibri" w:cs="Calibri"/>
          <w:bCs/>
          <w:color w:val="0000FF"/>
        </w:rPr>
        <w:t xml:space="preserve">, rates of missing data </w:t>
      </w:r>
      <w:r w:rsidRPr="00DA4AF5">
        <w:rPr>
          <w:rFonts w:ascii="Calibri" w:eastAsia="MS Mincho" w:hAnsi="Calibri" w:cs="Calibri"/>
          <w:color w:val="0000FF"/>
        </w:rPr>
        <w:t xml:space="preserve">were </w:t>
      </w:r>
      <w:r w:rsidR="00CE05A9">
        <w:rPr>
          <w:rFonts w:ascii="Calibri" w:eastAsia="MS Mincho" w:hAnsi="Calibri" w:cs="Calibri"/>
          <w:color w:val="0000FF"/>
        </w:rPr>
        <w:t>nearly identical</w:t>
      </w:r>
      <w:r w:rsidRPr="00DA4AF5">
        <w:rPr>
          <w:rFonts w:ascii="Calibri" w:eastAsia="MS Mincho" w:hAnsi="Calibri" w:cs="Calibri"/>
          <w:color w:val="0000FF"/>
        </w:rPr>
        <w:t xml:space="preserve"> among individuals</w:t>
      </w:r>
      <w:r w:rsidR="00885C32" w:rsidRPr="00DA4AF5">
        <w:rPr>
          <w:rFonts w:ascii="Calibri" w:eastAsia="MS Mincho" w:hAnsi="Calibri" w:cs="Calibri"/>
          <w:color w:val="0000FF"/>
        </w:rPr>
        <w:t>,</w:t>
      </w:r>
      <w:r w:rsidR="00D43DA4" w:rsidRPr="00DA4AF5">
        <w:rPr>
          <w:rFonts w:ascii="Calibri" w:eastAsia="MS Mincho" w:hAnsi="Calibri" w:cs="Calibri"/>
          <w:color w:val="0000FF"/>
        </w:rPr>
        <w:t xml:space="preserve"> with </w:t>
      </w:r>
      <w:r w:rsidR="00CE05A9">
        <w:rPr>
          <w:rFonts w:ascii="Calibri" w:eastAsia="MS Mincho" w:hAnsi="Calibri" w:cs="Calibri"/>
          <w:color w:val="0000FF"/>
        </w:rPr>
        <w:t xml:space="preserve">no difference in percentage of missing </w:t>
      </w:r>
      <w:r w:rsidR="007D78C9">
        <w:rPr>
          <w:rFonts w:ascii="Calibri" w:eastAsia="MS Mincho" w:hAnsi="Calibri" w:cs="Calibri"/>
          <w:color w:val="0000FF"/>
        </w:rPr>
        <w:t>data.</w:t>
      </w:r>
    </w:p>
    <w:p w14:paraId="0CABD01F" w14:textId="1851BD9F" w:rsidR="008B604D" w:rsidRPr="00DA4AF5" w:rsidRDefault="009C7513">
      <w:pPr>
        <w:autoSpaceDE w:val="0"/>
        <w:autoSpaceDN w:val="0"/>
        <w:adjustRightInd w:val="0"/>
        <w:spacing w:after="0" w:line="240" w:lineRule="auto"/>
        <w:rPr>
          <w:rFonts w:cstheme="minorHAnsi"/>
          <w:bCs/>
        </w:rPr>
      </w:pPr>
      <w:r w:rsidRPr="00DA4AF5">
        <w:rPr>
          <w:rFonts w:cstheme="minorHAnsi"/>
          <w:b/>
          <w:bCs/>
        </w:rPr>
        <w:lastRenderedPageBreak/>
        <w:t>2b6</w:t>
      </w:r>
      <w:r w:rsidR="008F7E67" w:rsidRPr="00DA4AF5">
        <w:rPr>
          <w:rFonts w:cstheme="minorHAnsi"/>
          <w:b/>
          <w:bCs/>
        </w:rPr>
        <w:t>.3. What is your interpretation of the results in terms of demonstrating</w:t>
      </w:r>
      <w:r w:rsidR="00771B2A" w:rsidRPr="00DA4AF5">
        <w:rPr>
          <w:rFonts w:cstheme="minorHAnsi"/>
          <w:b/>
          <w:bCs/>
        </w:rPr>
        <w:t xml:space="preserve"> that </w:t>
      </w:r>
      <w:r w:rsidR="00771B2A" w:rsidRPr="00DA4AF5">
        <w:rPr>
          <w:rFonts w:ascii="Calibri" w:eastAsia="Calibri" w:hAnsi="Calibri" w:cs="Calibri"/>
          <w:b/>
        </w:rPr>
        <w:t>performance results are not biased</w:t>
      </w:r>
      <w:r w:rsidR="00771B2A" w:rsidRPr="00DA4AF5">
        <w:rPr>
          <w:rFonts w:ascii="Calibri" w:eastAsia="Calibri" w:hAnsi="Calibri" w:cs="Calibri"/>
        </w:rPr>
        <w:t xml:space="preserve"> due to systematic missing data (or differences between responders and </w:t>
      </w:r>
      <w:proofErr w:type="spellStart"/>
      <w:r w:rsidR="00771B2A" w:rsidRPr="00DA4AF5">
        <w:rPr>
          <w:rFonts w:ascii="Calibri" w:eastAsia="Calibri" w:hAnsi="Calibri" w:cs="Calibri"/>
        </w:rPr>
        <w:t>nonresponders</w:t>
      </w:r>
      <w:proofErr w:type="spellEnd"/>
      <w:r w:rsidR="00771B2A" w:rsidRPr="00DA4AF5">
        <w:rPr>
          <w:rFonts w:ascii="Calibri" w:eastAsia="Calibri" w:hAnsi="Calibri" w:cs="Calibri"/>
        </w:rPr>
        <w:t>) and how the specified handling of missing data minimizes bias</w:t>
      </w:r>
      <w:r w:rsidR="008F7E67" w:rsidRPr="00DA4AF5">
        <w:rPr>
          <w:rFonts w:cstheme="minorHAnsi"/>
          <w:b/>
          <w:bCs/>
        </w:rPr>
        <w:t>?</w:t>
      </w:r>
      <w:r w:rsidR="008F7E67" w:rsidRPr="00DA4AF5">
        <w:rPr>
          <w:rFonts w:cstheme="minorHAnsi"/>
          <w:bCs/>
        </w:rPr>
        <w:t xml:space="preserve"> (i</w:t>
      </w:r>
      <w:r w:rsidR="008F7E67" w:rsidRPr="00DA4AF5">
        <w:rPr>
          <w:rFonts w:cstheme="minorHAnsi"/>
          <w:bCs/>
          <w:i/>
        </w:rPr>
        <w:t xml:space="preserve">.e., what do the results mean </w:t>
      </w:r>
      <w:r w:rsidR="00145D4F" w:rsidRPr="00DA4AF5">
        <w:rPr>
          <w:rFonts w:cstheme="minorHAnsi"/>
          <w:bCs/>
          <w:i/>
        </w:rPr>
        <w:t xml:space="preserve">in terms of supporting the selected approach for missing data </w:t>
      </w:r>
      <w:r w:rsidR="008F7E67" w:rsidRPr="00DA4AF5">
        <w:rPr>
          <w:rFonts w:cstheme="minorHAnsi"/>
          <w:bCs/>
          <w:i/>
        </w:rPr>
        <w:t>and what are the norms for the test conducted</w:t>
      </w:r>
      <w:r w:rsidR="00145D4F" w:rsidRPr="00DA4AF5">
        <w:rPr>
          <w:rFonts w:cstheme="minorHAnsi"/>
          <w:bCs/>
          <w:i/>
        </w:rPr>
        <w:t xml:space="preserve">; </w:t>
      </w:r>
      <w:r w:rsidR="00145D4F" w:rsidRPr="00DA4AF5">
        <w:rPr>
          <w:rFonts w:cstheme="minorHAnsi"/>
          <w:bCs/>
          <w:i/>
          <w:u w:val="single"/>
        </w:rPr>
        <w:t>if no empirical analysis</w:t>
      </w:r>
      <w:r w:rsidR="00145D4F" w:rsidRPr="00DA4AF5">
        <w:rPr>
          <w:rFonts w:cstheme="minorHAnsi"/>
          <w:bCs/>
          <w:i/>
        </w:rPr>
        <w:t>, provide rationale for the selected approach for missing data</w:t>
      </w:r>
      <w:r w:rsidR="008F7E67" w:rsidRPr="00DA4AF5">
        <w:rPr>
          <w:rFonts w:cstheme="minorHAnsi"/>
          <w:bCs/>
        </w:rPr>
        <w:t>)</w:t>
      </w:r>
    </w:p>
    <w:p w14:paraId="0CABD020" w14:textId="613FDD0F" w:rsidR="00BA053B" w:rsidRPr="00A90B85" w:rsidRDefault="008D1533" w:rsidP="006A1659">
      <w:pPr>
        <w:autoSpaceDE w:val="0"/>
        <w:autoSpaceDN w:val="0"/>
        <w:adjustRightInd w:val="0"/>
        <w:spacing w:before="240" w:after="240" w:line="240" w:lineRule="auto"/>
        <w:ind w:left="360"/>
        <w:rPr>
          <w:rFonts w:cstheme="minorHAnsi"/>
          <w:color w:val="0000FF"/>
        </w:rPr>
      </w:pPr>
      <w:r w:rsidRPr="00DA4AF5">
        <w:rPr>
          <w:rFonts w:cstheme="minorHAnsi"/>
          <w:bCs/>
          <w:color w:val="0000FF"/>
        </w:rPr>
        <w:t xml:space="preserve">The </w:t>
      </w:r>
      <w:r w:rsidR="006D119D" w:rsidRPr="00DA4AF5">
        <w:rPr>
          <w:rFonts w:cstheme="minorHAnsi"/>
          <w:bCs/>
          <w:color w:val="0000FF"/>
        </w:rPr>
        <w:t>overall</w:t>
      </w:r>
      <w:r w:rsidRPr="00DA4AF5">
        <w:rPr>
          <w:rFonts w:cstheme="minorHAnsi"/>
          <w:bCs/>
          <w:color w:val="0000FF"/>
        </w:rPr>
        <w:t xml:space="preserve"> missing data rate for this measure was </w:t>
      </w:r>
      <w:r w:rsidRPr="00DA4AF5">
        <w:rPr>
          <w:rFonts w:cstheme="minorHAnsi"/>
          <w:color w:val="0000FF"/>
        </w:rPr>
        <w:t>quite low (0.0</w:t>
      </w:r>
      <w:r w:rsidR="006033B5">
        <w:rPr>
          <w:rFonts w:cstheme="minorHAnsi"/>
          <w:color w:val="0000FF"/>
        </w:rPr>
        <w:t>5</w:t>
      </w:r>
      <w:r w:rsidRPr="00DA4AF5">
        <w:rPr>
          <w:rFonts w:cstheme="minorHAnsi"/>
          <w:color w:val="0000FF"/>
        </w:rPr>
        <w:t>4%), and at least 90% o</w:t>
      </w:r>
      <w:r w:rsidRPr="00DA4AF5">
        <w:rPr>
          <w:rFonts w:cstheme="minorHAnsi"/>
          <w:bCs/>
          <w:color w:val="0000FF"/>
        </w:rPr>
        <w:t>f facilities were not missing data on the urinary tract</w:t>
      </w:r>
      <w:r w:rsidR="00796359" w:rsidRPr="00DA4AF5">
        <w:rPr>
          <w:rFonts w:cstheme="minorHAnsi"/>
          <w:bCs/>
          <w:color w:val="0000FF"/>
        </w:rPr>
        <w:t xml:space="preserve"> item</w:t>
      </w:r>
      <w:r w:rsidRPr="00DA4AF5">
        <w:rPr>
          <w:rFonts w:cstheme="minorHAnsi"/>
          <w:bCs/>
          <w:color w:val="0000FF"/>
        </w:rPr>
        <w:t xml:space="preserve">. Rates of missing data on </w:t>
      </w:r>
      <w:r w:rsidR="00796359" w:rsidRPr="00DA4AF5">
        <w:rPr>
          <w:rFonts w:cstheme="minorHAnsi"/>
          <w:bCs/>
          <w:color w:val="0000FF"/>
        </w:rPr>
        <w:t xml:space="preserve">the </w:t>
      </w:r>
      <w:r w:rsidRPr="00DA4AF5">
        <w:rPr>
          <w:rFonts w:cstheme="minorHAnsi"/>
          <w:bCs/>
          <w:color w:val="0000FF"/>
        </w:rPr>
        <w:t>item used to construct this QM are very similar among individuals with selected characteristics related to urinary tract infection.</w:t>
      </w:r>
      <w:r w:rsidR="00E87D6C">
        <w:rPr>
          <w:rFonts w:cstheme="minorHAnsi"/>
          <w:bCs/>
          <w:color w:val="0000FF"/>
        </w:rPr>
        <w:t xml:space="preserve"> </w:t>
      </w:r>
      <w:r w:rsidRPr="00DA4AF5">
        <w:rPr>
          <w:rFonts w:cstheme="minorHAnsi"/>
          <w:bCs/>
          <w:color w:val="0000FF"/>
        </w:rPr>
        <w:t>Missing data is only weakly correlated with scores for this QM.</w:t>
      </w:r>
      <w:r w:rsidR="00E87D6C">
        <w:rPr>
          <w:rFonts w:cstheme="minorHAnsi"/>
          <w:bCs/>
          <w:color w:val="0000FF"/>
        </w:rPr>
        <w:t xml:space="preserve"> </w:t>
      </w:r>
      <w:r w:rsidRPr="00DA4AF5">
        <w:rPr>
          <w:rFonts w:cstheme="minorHAnsi"/>
          <w:bCs/>
          <w:color w:val="0000FF"/>
        </w:rPr>
        <w:t>Overall, missing data</w:t>
      </w:r>
      <w:r w:rsidRPr="006C5269">
        <w:rPr>
          <w:rFonts w:cstheme="minorHAnsi"/>
          <w:bCs/>
          <w:color w:val="0000FF"/>
        </w:rPr>
        <w:t xml:space="preserve"> do not present a threat to this measure’s validity.</w:t>
      </w:r>
    </w:p>
    <w:sectPr w:rsidR="00BA053B" w:rsidRPr="00A90B85" w:rsidSect="004B0864">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D9E87E" w14:textId="77777777" w:rsidR="001763D2" w:rsidRDefault="001763D2" w:rsidP="005C73CA">
      <w:pPr>
        <w:spacing w:after="0" w:line="240" w:lineRule="auto"/>
      </w:pPr>
      <w:r>
        <w:separator/>
      </w:r>
    </w:p>
  </w:endnote>
  <w:endnote w:type="continuationSeparator" w:id="0">
    <w:p w14:paraId="3066FAC2" w14:textId="77777777" w:rsidR="001763D2" w:rsidRDefault="001763D2" w:rsidP="005C73CA">
      <w:pPr>
        <w:spacing w:after="0" w:line="240" w:lineRule="auto"/>
      </w:pPr>
      <w:r>
        <w:continuationSeparator/>
      </w:r>
    </w:p>
  </w:endnote>
  <w:endnote w:type="continuationNotice" w:id="1">
    <w:p w14:paraId="4082D2B1" w14:textId="77777777" w:rsidR="001763D2" w:rsidRDefault="001763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1F3DC0E8" w:rsidR="001763D2" w:rsidRDefault="001763D2">
    <w:pPr>
      <w:pStyle w:val="Footer"/>
    </w:pPr>
    <w:r>
      <w:t>Version 7.1 9/6/2017</w:t>
    </w:r>
    <w:r>
      <w:ptab w:relativeTo="margin" w:alignment="right" w:leader="none"/>
    </w:r>
    <w:r>
      <w:fldChar w:fldCharType="begin"/>
    </w:r>
    <w:r>
      <w:instrText xml:space="preserve"> PAGE   \* MERGEFORMAT </w:instrText>
    </w:r>
    <w:r>
      <w:fldChar w:fldCharType="separate"/>
    </w:r>
    <w:r>
      <w:rPr>
        <w:noProof/>
      </w:rPr>
      <w:t>19</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5D21A" w14:textId="77777777" w:rsidR="001763D2" w:rsidRDefault="001763D2" w:rsidP="005C73CA">
      <w:pPr>
        <w:spacing w:after="0" w:line="240" w:lineRule="auto"/>
      </w:pPr>
      <w:r>
        <w:separator/>
      </w:r>
    </w:p>
  </w:footnote>
  <w:footnote w:type="continuationSeparator" w:id="0">
    <w:p w14:paraId="52E6783F" w14:textId="77777777" w:rsidR="001763D2" w:rsidRDefault="001763D2" w:rsidP="005C73CA">
      <w:pPr>
        <w:spacing w:after="0" w:line="240" w:lineRule="auto"/>
      </w:pPr>
      <w:r>
        <w:continuationSeparator/>
      </w:r>
    </w:p>
  </w:footnote>
  <w:footnote w:type="continuationNotice" w:id="1">
    <w:p w14:paraId="06C12BA2" w14:textId="77777777" w:rsidR="001763D2" w:rsidRDefault="001763D2">
      <w:pPr>
        <w:spacing w:after="0" w:line="240" w:lineRule="auto"/>
      </w:pPr>
    </w:p>
  </w:footnote>
  <w:footnote w:id="2">
    <w:p w14:paraId="0AECCDA0" w14:textId="0AB59838" w:rsidR="001763D2" w:rsidRDefault="001763D2">
      <w:pPr>
        <w:pStyle w:val="FootnoteText"/>
      </w:pPr>
      <w:r>
        <w:rPr>
          <w:rStyle w:val="FootnoteReference"/>
        </w:rPr>
        <w:footnoteRef/>
      </w:r>
      <w:r>
        <w:t xml:space="preserve"> </w:t>
      </w:r>
      <w:r w:rsidRPr="00201D81">
        <w:rPr>
          <w:rFonts w:asciiTheme="minorHAnsi" w:hAnsiTheme="minorHAnsi" w:cstheme="minorHAnsi"/>
          <w:color w:val="0000FF"/>
        </w:rPr>
        <w:t xml:space="preserve">To </w:t>
      </w:r>
      <w:r>
        <w:rPr>
          <w:rFonts w:asciiTheme="minorHAnsi" w:hAnsiTheme="minorHAnsi" w:cstheme="minorHAnsi"/>
          <w:color w:val="0000FF"/>
        </w:rPr>
        <w:t>analyze</w:t>
      </w:r>
      <w:r w:rsidRPr="00201D81">
        <w:rPr>
          <w:rFonts w:asciiTheme="minorHAnsi" w:hAnsiTheme="minorHAnsi" w:cstheme="minorHAnsi"/>
          <w:color w:val="0000FF"/>
        </w:rPr>
        <w:t xml:space="preserve"> the change in facility</w:t>
      </w:r>
      <w:r>
        <w:rPr>
          <w:rFonts w:asciiTheme="minorHAnsi" w:hAnsiTheme="minorHAnsi" w:cstheme="minorHAnsi"/>
          <w:color w:val="0000FF"/>
        </w:rPr>
        <w:t xml:space="preserve"> performance </w:t>
      </w:r>
      <w:r w:rsidRPr="00201D81">
        <w:rPr>
          <w:rFonts w:asciiTheme="minorHAnsi" w:hAnsiTheme="minorHAnsi" w:cstheme="minorHAnsi"/>
          <w:color w:val="0000FF"/>
        </w:rPr>
        <w:t>from one quarter to the next, MDS 3.0 data from Q</w:t>
      </w:r>
      <w:r>
        <w:rPr>
          <w:rFonts w:asciiTheme="minorHAnsi" w:hAnsiTheme="minorHAnsi" w:cstheme="minorHAnsi"/>
          <w:color w:val="0000FF"/>
        </w:rPr>
        <w:t>uarter 2,</w:t>
      </w:r>
      <w:r w:rsidRPr="00201D81">
        <w:rPr>
          <w:rFonts w:asciiTheme="minorHAnsi" w:hAnsiTheme="minorHAnsi" w:cstheme="minorHAnsi"/>
          <w:color w:val="0000FF"/>
        </w:rPr>
        <w:t xml:space="preserve"> 201</w:t>
      </w:r>
      <w:r>
        <w:rPr>
          <w:rFonts w:asciiTheme="minorHAnsi" w:hAnsiTheme="minorHAnsi" w:cstheme="minorHAnsi"/>
          <w:color w:val="0000FF"/>
        </w:rPr>
        <w:t>8</w:t>
      </w:r>
      <w:r w:rsidRPr="00201D81">
        <w:rPr>
          <w:rFonts w:asciiTheme="minorHAnsi" w:hAnsiTheme="minorHAnsi" w:cstheme="minorHAnsi"/>
          <w:color w:val="0000FF"/>
        </w:rPr>
        <w:t xml:space="preserve"> </w:t>
      </w:r>
      <w:r>
        <w:rPr>
          <w:rFonts w:asciiTheme="minorHAnsi" w:hAnsiTheme="minorHAnsi" w:cstheme="minorHAnsi"/>
          <w:color w:val="0000FF"/>
        </w:rPr>
        <w:t>and Quarter 3, 2018 were</w:t>
      </w:r>
      <w:r w:rsidRPr="00201D81">
        <w:rPr>
          <w:rFonts w:asciiTheme="minorHAnsi" w:hAnsiTheme="minorHAnsi" w:cstheme="minorHAnsi"/>
          <w:color w:val="0000FF"/>
        </w:rPr>
        <w:t xml:space="preserve"> used. </w:t>
      </w:r>
      <w:r>
        <w:rPr>
          <w:rFonts w:asciiTheme="minorHAnsi" w:hAnsiTheme="minorHAnsi" w:cstheme="minorHAnsi"/>
          <w:color w:val="0000FF"/>
        </w:rPr>
        <w:t xml:space="preserve">For these analyses, the sample includes facilities </w:t>
      </w:r>
      <w:r w:rsidRPr="00201D81">
        <w:rPr>
          <w:rFonts w:asciiTheme="minorHAnsi" w:hAnsiTheme="minorHAnsi" w:cstheme="minorHAnsi"/>
          <w:color w:val="0000FF"/>
        </w:rPr>
        <w:t xml:space="preserve">that had </w:t>
      </w:r>
      <w:r>
        <w:rPr>
          <w:rFonts w:asciiTheme="minorHAnsi" w:hAnsiTheme="minorHAnsi" w:cstheme="minorHAnsi"/>
          <w:color w:val="0000FF"/>
        </w:rPr>
        <w:t xml:space="preserve">a reportable </w:t>
      </w:r>
      <w:r w:rsidRPr="00201D81">
        <w:rPr>
          <w:rFonts w:asciiTheme="minorHAnsi" w:hAnsiTheme="minorHAnsi" w:cstheme="minorHAnsi"/>
          <w:color w:val="0000FF"/>
        </w:rPr>
        <w:t xml:space="preserve">score </w:t>
      </w:r>
      <w:r>
        <w:rPr>
          <w:rFonts w:asciiTheme="minorHAnsi" w:hAnsiTheme="minorHAnsi" w:cstheme="minorHAnsi"/>
          <w:color w:val="0000FF"/>
        </w:rPr>
        <w:t xml:space="preserve">(minimum denominator ≥ 20 residents) </w:t>
      </w:r>
      <w:r w:rsidRPr="00201D81">
        <w:rPr>
          <w:rFonts w:asciiTheme="minorHAnsi" w:hAnsiTheme="minorHAnsi" w:cstheme="minorHAnsi"/>
          <w:color w:val="0000FF"/>
        </w:rPr>
        <w:t>for the measure</w:t>
      </w:r>
      <w:r>
        <w:rPr>
          <w:rFonts w:asciiTheme="minorHAnsi" w:hAnsiTheme="minorHAnsi" w:cstheme="minorHAnsi"/>
          <w:color w:val="0000FF"/>
        </w:rPr>
        <w:t xml:space="preserve"> in both quarters.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1763D2" w:rsidRPr="00105D8B" w:rsidRDefault="001763D2"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B852914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FD293C"/>
    <w:multiLevelType w:val="hybridMultilevel"/>
    <w:tmpl w:val="4636D5BA"/>
    <w:lvl w:ilvl="0" w:tplc="74B6FCEA">
      <w:start w:val="1"/>
      <w:numFmt w:val="decimal"/>
      <w:lvlText w:val="%1."/>
      <w:lvlJc w:val="left"/>
      <w:pPr>
        <w:ind w:left="720" w:hanging="360"/>
      </w:pPr>
      <w:rPr>
        <w:rFonts w:eastAsiaTheme="minorEastAsia"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4D3F97"/>
    <w:multiLevelType w:val="hybridMultilevel"/>
    <w:tmpl w:val="42B47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3C6BD1"/>
    <w:multiLevelType w:val="multilevel"/>
    <w:tmpl w:val="20D6172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0E5F7957"/>
    <w:multiLevelType w:val="multilevel"/>
    <w:tmpl w:val="80108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09A5B08"/>
    <w:multiLevelType w:val="hybridMultilevel"/>
    <w:tmpl w:val="1C568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050385"/>
    <w:multiLevelType w:val="hybridMultilevel"/>
    <w:tmpl w:val="F3302C96"/>
    <w:lvl w:ilvl="0" w:tplc="DC904276">
      <w:start w:val="1"/>
      <w:numFmt w:val="bullet"/>
      <w:lvlText w:val="–"/>
      <w:lvlJc w:val="left"/>
      <w:pPr>
        <w:ind w:left="720" w:hanging="360"/>
      </w:pPr>
      <w:rPr>
        <w:rFonts w:ascii="Times New Roman" w:hAnsi="Times New Roman" w:cs="Times New Roman"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8A169BE"/>
    <w:multiLevelType w:val="multilevel"/>
    <w:tmpl w:val="C1C68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9F271B0"/>
    <w:multiLevelType w:val="hybridMultilevel"/>
    <w:tmpl w:val="49BC479A"/>
    <w:lvl w:ilvl="0" w:tplc="430EE34A">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0" w15:restartNumberingAfterBreak="0">
    <w:nsid w:val="2A716FDA"/>
    <w:multiLevelType w:val="hybridMultilevel"/>
    <w:tmpl w:val="EDFA41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321914"/>
    <w:multiLevelType w:val="multilevel"/>
    <w:tmpl w:val="6F3EFE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2DEC620B"/>
    <w:multiLevelType w:val="hybridMultilevel"/>
    <w:tmpl w:val="FBC44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B36A84"/>
    <w:multiLevelType w:val="multilevel"/>
    <w:tmpl w:val="325C4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588517D"/>
    <w:multiLevelType w:val="hybridMultilevel"/>
    <w:tmpl w:val="23C241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376410"/>
    <w:multiLevelType w:val="hybridMultilevel"/>
    <w:tmpl w:val="0BC4A7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C29388B"/>
    <w:multiLevelType w:val="hybridMultilevel"/>
    <w:tmpl w:val="05E816A2"/>
    <w:lvl w:ilvl="0" w:tplc="BB40119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C9C7659"/>
    <w:multiLevelType w:val="multilevel"/>
    <w:tmpl w:val="1310B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F460F46"/>
    <w:multiLevelType w:val="hybridMultilevel"/>
    <w:tmpl w:val="FBC44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C2D9D"/>
    <w:multiLevelType w:val="hybridMultilevel"/>
    <w:tmpl w:val="8A94DFC6"/>
    <w:lvl w:ilvl="0" w:tplc="F9B6546E">
      <w:start w:val="1"/>
      <w:numFmt w:val="decimal"/>
      <w:lvlText w:val="%1."/>
      <w:lvlJc w:val="left"/>
      <w:pPr>
        <w:ind w:left="720" w:hanging="360"/>
      </w:pPr>
      <w:rPr>
        <w:rFonts w:ascii="Calibri" w:eastAsia="MS Mincho" w:hAnsi="Calibri" w:cs="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032480"/>
    <w:multiLevelType w:val="hybridMultilevel"/>
    <w:tmpl w:val="792A9C52"/>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51308F"/>
    <w:multiLevelType w:val="hybridMultilevel"/>
    <w:tmpl w:val="2E306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CE310A"/>
    <w:multiLevelType w:val="hybridMultilevel"/>
    <w:tmpl w:val="FBC44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6113F01"/>
    <w:multiLevelType w:val="multilevel"/>
    <w:tmpl w:val="8F6CB89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4" w15:restartNumberingAfterBreak="0">
    <w:nsid w:val="471B15B1"/>
    <w:multiLevelType w:val="hybridMultilevel"/>
    <w:tmpl w:val="B57E420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7C2940"/>
    <w:multiLevelType w:val="hybridMultilevel"/>
    <w:tmpl w:val="FA2CE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F52F63"/>
    <w:multiLevelType w:val="multilevel"/>
    <w:tmpl w:val="5A26DFD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D464DDD"/>
    <w:multiLevelType w:val="hybridMultilevel"/>
    <w:tmpl w:val="9796D1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DA404C"/>
    <w:multiLevelType w:val="multilevel"/>
    <w:tmpl w:val="C408E4D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15:restartNumberingAfterBreak="0">
    <w:nsid w:val="52F41178"/>
    <w:multiLevelType w:val="hybridMultilevel"/>
    <w:tmpl w:val="A9827B4A"/>
    <w:lvl w:ilvl="0" w:tplc="076AE5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0A5AE9"/>
    <w:multiLevelType w:val="hybridMultilevel"/>
    <w:tmpl w:val="A10E0DA6"/>
    <w:lvl w:ilvl="0" w:tplc="CADE4702">
      <w:start w:val="1"/>
      <w:numFmt w:val="decimal"/>
      <w:lvlText w:val="%1."/>
      <w:lvlJc w:val="left"/>
      <w:pPr>
        <w:ind w:left="720" w:hanging="360"/>
      </w:pPr>
      <w:rPr>
        <w:rFonts w:cstheme="minorBid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063761"/>
    <w:multiLevelType w:val="hybridMultilevel"/>
    <w:tmpl w:val="792A9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2D0BDE"/>
    <w:multiLevelType w:val="multilevel"/>
    <w:tmpl w:val="FACCF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6E124A"/>
    <w:multiLevelType w:val="multilevel"/>
    <w:tmpl w:val="B86ED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18C7E45"/>
    <w:multiLevelType w:val="hybridMultilevel"/>
    <w:tmpl w:val="E8966AFC"/>
    <w:lvl w:ilvl="0" w:tplc="6EBA7390">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F83575"/>
    <w:multiLevelType w:val="hybridMultilevel"/>
    <w:tmpl w:val="A880CE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731249"/>
    <w:multiLevelType w:val="hybridMultilevel"/>
    <w:tmpl w:val="4104B6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6C149DF"/>
    <w:multiLevelType w:val="hybridMultilevel"/>
    <w:tmpl w:val="5F500B76"/>
    <w:lvl w:ilvl="0" w:tplc="193C6F14">
      <w:start w:val="1"/>
      <w:numFmt w:val="decimal"/>
      <w:pStyle w:val="ListNumber2"/>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DEB1523"/>
    <w:multiLevelType w:val="hybridMultilevel"/>
    <w:tmpl w:val="42B47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523302"/>
    <w:multiLevelType w:val="hybridMultilevel"/>
    <w:tmpl w:val="E4E854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D67585"/>
    <w:multiLevelType w:val="hybridMultilevel"/>
    <w:tmpl w:val="69AA03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EC0A2E"/>
    <w:multiLevelType w:val="hybridMultilevel"/>
    <w:tmpl w:val="7C8445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7715416E"/>
    <w:multiLevelType w:val="hybridMultilevel"/>
    <w:tmpl w:val="C76E6434"/>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452AD1"/>
    <w:multiLevelType w:val="hybridMultilevel"/>
    <w:tmpl w:val="A36E6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E3A4765"/>
    <w:multiLevelType w:val="multilevel"/>
    <w:tmpl w:val="603C714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3"/>
  </w:num>
  <w:num w:numId="2">
    <w:abstractNumId w:val="38"/>
  </w:num>
  <w:num w:numId="3">
    <w:abstractNumId w:val="34"/>
  </w:num>
  <w:num w:numId="4">
    <w:abstractNumId w:val="42"/>
  </w:num>
  <w:num w:numId="5">
    <w:abstractNumId w:val="2"/>
  </w:num>
  <w:num w:numId="6">
    <w:abstractNumId w:val="31"/>
  </w:num>
  <w:num w:numId="7">
    <w:abstractNumId w:val="20"/>
  </w:num>
  <w:num w:numId="8">
    <w:abstractNumId w:val="7"/>
  </w:num>
  <w:num w:numId="9">
    <w:abstractNumId w:val="9"/>
  </w:num>
  <w:num w:numId="10">
    <w:abstractNumId w:val="24"/>
  </w:num>
  <w:num w:numId="11">
    <w:abstractNumId w:val="29"/>
  </w:num>
  <w:num w:numId="12">
    <w:abstractNumId w:val="16"/>
  </w:num>
  <w:num w:numId="13">
    <w:abstractNumId w:val="0"/>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2"/>
  </w:num>
  <w:num w:numId="17">
    <w:abstractNumId w:val="44"/>
  </w:num>
  <w:num w:numId="18">
    <w:abstractNumId w:val="1"/>
  </w:num>
  <w:num w:numId="19">
    <w:abstractNumId w:val="40"/>
  </w:num>
  <w:num w:numId="20">
    <w:abstractNumId w:val="25"/>
  </w:num>
  <w:num w:numId="21">
    <w:abstractNumId w:val="22"/>
  </w:num>
  <w:num w:numId="22">
    <w:abstractNumId w:val="39"/>
  </w:num>
  <w:num w:numId="23">
    <w:abstractNumId w:val="18"/>
  </w:num>
  <w:num w:numId="24">
    <w:abstractNumId w:val="30"/>
  </w:num>
  <w:num w:numId="25">
    <w:abstractNumId w:val="19"/>
  </w:num>
  <w:num w:numId="26">
    <w:abstractNumId w:val="35"/>
  </w:num>
  <w:num w:numId="27">
    <w:abstractNumId w:val="14"/>
  </w:num>
  <w:num w:numId="28">
    <w:abstractNumId w:val="26"/>
  </w:num>
  <w:num w:numId="29">
    <w:abstractNumId w:val="43"/>
  </w:num>
  <w:num w:numId="30">
    <w:abstractNumId w:val="32"/>
  </w:num>
  <w:num w:numId="31">
    <w:abstractNumId w:val="15"/>
  </w:num>
  <w:num w:numId="32">
    <w:abstractNumId w:val="36"/>
  </w:num>
  <w:num w:numId="33">
    <w:abstractNumId w:val="10"/>
  </w:num>
  <w:num w:numId="34">
    <w:abstractNumId w:val="5"/>
  </w:num>
  <w:num w:numId="35">
    <w:abstractNumId w:val="45"/>
  </w:num>
  <w:num w:numId="36">
    <w:abstractNumId w:val="8"/>
  </w:num>
  <w:num w:numId="37">
    <w:abstractNumId w:val="28"/>
  </w:num>
  <w:num w:numId="38">
    <w:abstractNumId w:val="17"/>
  </w:num>
  <w:num w:numId="39">
    <w:abstractNumId w:val="4"/>
  </w:num>
  <w:num w:numId="40">
    <w:abstractNumId w:val="33"/>
  </w:num>
  <w:num w:numId="41">
    <w:abstractNumId w:val="23"/>
  </w:num>
  <w:num w:numId="42">
    <w:abstractNumId w:val="13"/>
  </w:num>
  <w:num w:numId="43">
    <w:abstractNumId w:val="11"/>
  </w:num>
  <w:num w:numId="44">
    <w:abstractNumId w:val="6"/>
  </w:num>
  <w:num w:numId="45">
    <w:abstractNumId w:val="21"/>
  </w:num>
  <w:num w:numId="46">
    <w:abstractNumId w:val="4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01A8"/>
    <w:rsid w:val="000006E9"/>
    <w:rsid w:val="00001D73"/>
    <w:rsid w:val="000021EC"/>
    <w:rsid w:val="00002C6E"/>
    <w:rsid w:val="00002D52"/>
    <w:rsid w:val="00003356"/>
    <w:rsid w:val="00003469"/>
    <w:rsid w:val="00004663"/>
    <w:rsid w:val="000053C8"/>
    <w:rsid w:val="0000554D"/>
    <w:rsid w:val="000058D7"/>
    <w:rsid w:val="00005CDB"/>
    <w:rsid w:val="00006A0B"/>
    <w:rsid w:val="0001094F"/>
    <w:rsid w:val="00010959"/>
    <w:rsid w:val="00010F6B"/>
    <w:rsid w:val="00011288"/>
    <w:rsid w:val="00012CA1"/>
    <w:rsid w:val="000136D5"/>
    <w:rsid w:val="00013884"/>
    <w:rsid w:val="0001406D"/>
    <w:rsid w:val="0001475C"/>
    <w:rsid w:val="0001734A"/>
    <w:rsid w:val="000175D4"/>
    <w:rsid w:val="00020323"/>
    <w:rsid w:val="00020425"/>
    <w:rsid w:val="00020C27"/>
    <w:rsid w:val="00021059"/>
    <w:rsid w:val="00021170"/>
    <w:rsid w:val="0002128B"/>
    <w:rsid w:val="000212B2"/>
    <w:rsid w:val="000216FC"/>
    <w:rsid w:val="000217A7"/>
    <w:rsid w:val="00021B93"/>
    <w:rsid w:val="0002278A"/>
    <w:rsid w:val="000241A2"/>
    <w:rsid w:val="0002444E"/>
    <w:rsid w:val="00024595"/>
    <w:rsid w:val="00024DFD"/>
    <w:rsid w:val="00024EB8"/>
    <w:rsid w:val="0002686B"/>
    <w:rsid w:val="00026C3D"/>
    <w:rsid w:val="00026EB9"/>
    <w:rsid w:val="000270CD"/>
    <w:rsid w:val="00027386"/>
    <w:rsid w:val="000276BE"/>
    <w:rsid w:val="00027A32"/>
    <w:rsid w:val="00027AB8"/>
    <w:rsid w:val="00027DB6"/>
    <w:rsid w:val="000303C8"/>
    <w:rsid w:val="000309DD"/>
    <w:rsid w:val="00031372"/>
    <w:rsid w:val="00031414"/>
    <w:rsid w:val="00031712"/>
    <w:rsid w:val="00031A7E"/>
    <w:rsid w:val="00032109"/>
    <w:rsid w:val="00033038"/>
    <w:rsid w:val="00033D63"/>
    <w:rsid w:val="0003436F"/>
    <w:rsid w:val="00034D27"/>
    <w:rsid w:val="0003599C"/>
    <w:rsid w:val="00035ED0"/>
    <w:rsid w:val="00037369"/>
    <w:rsid w:val="00037B63"/>
    <w:rsid w:val="00037C86"/>
    <w:rsid w:val="00037FC2"/>
    <w:rsid w:val="000402B3"/>
    <w:rsid w:val="000414E8"/>
    <w:rsid w:val="000417FF"/>
    <w:rsid w:val="00043941"/>
    <w:rsid w:val="000440F8"/>
    <w:rsid w:val="00045043"/>
    <w:rsid w:val="0004533A"/>
    <w:rsid w:val="0004540A"/>
    <w:rsid w:val="0004593A"/>
    <w:rsid w:val="00046780"/>
    <w:rsid w:val="00046DFC"/>
    <w:rsid w:val="00047439"/>
    <w:rsid w:val="0004789D"/>
    <w:rsid w:val="00050333"/>
    <w:rsid w:val="00050A3E"/>
    <w:rsid w:val="000510E6"/>
    <w:rsid w:val="00051605"/>
    <w:rsid w:val="00051DB7"/>
    <w:rsid w:val="00052747"/>
    <w:rsid w:val="000527FA"/>
    <w:rsid w:val="0005291D"/>
    <w:rsid w:val="00052A6F"/>
    <w:rsid w:val="00052B72"/>
    <w:rsid w:val="00052E57"/>
    <w:rsid w:val="00052FA6"/>
    <w:rsid w:val="00053F02"/>
    <w:rsid w:val="00055BC8"/>
    <w:rsid w:val="00055E52"/>
    <w:rsid w:val="0005612B"/>
    <w:rsid w:val="00056271"/>
    <w:rsid w:val="0005652C"/>
    <w:rsid w:val="000568B8"/>
    <w:rsid w:val="000569F6"/>
    <w:rsid w:val="000574AB"/>
    <w:rsid w:val="00057F46"/>
    <w:rsid w:val="00060559"/>
    <w:rsid w:val="00060772"/>
    <w:rsid w:val="0006147A"/>
    <w:rsid w:val="00061A79"/>
    <w:rsid w:val="00061AE4"/>
    <w:rsid w:val="0006234F"/>
    <w:rsid w:val="000623A3"/>
    <w:rsid w:val="00062B1D"/>
    <w:rsid w:val="00065BB5"/>
    <w:rsid w:val="00066041"/>
    <w:rsid w:val="0006618B"/>
    <w:rsid w:val="00066436"/>
    <w:rsid w:val="00066A52"/>
    <w:rsid w:val="00066AC4"/>
    <w:rsid w:val="00070026"/>
    <w:rsid w:val="000708B9"/>
    <w:rsid w:val="000719D3"/>
    <w:rsid w:val="00071B14"/>
    <w:rsid w:val="00073392"/>
    <w:rsid w:val="000736AA"/>
    <w:rsid w:val="000736B9"/>
    <w:rsid w:val="00073AFB"/>
    <w:rsid w:val="00073DF0"/>
    <w:rsid w:val="00073E95"/>
    <w:rsid w:val="0007533F"/>
    <w:rsid w:val="00076634"/>
    <w:rsid w:val="00076D37"/>
    <w:rsid w:val="000775F8"/>
    <w:rsid w:val="00077728"/>
    <w:rsid w:val="0007775D"/>
    <w:rsid w:val="000779E8"/>
    <w:rsid w:val="00077C20"/>
    <w:rsid w:val="00080CF7"/>
    <w:rsid w:val="000826E7"/>
    <w:rsid w:val="00082A9F"/>
    <w:rsid w:val="00083309"/>
    <w:rsid w:val="00083DE5"/>
    <w:rsid w:val="000848CC"/>
    <w:rsid w:val="000851B2"/>
    <w:rsid w:val="000852C7"/>
    <w:rsid w:val="00087E68"/>
    <w:rsid w:val="00090C33"/>
    <w:rsid w:val="00090E1F"/>
    <w:rsid w:val="00091392"/>
    <w:rsid w:val="00092566"/>
    <w:rsid w:val="00092E4C"/>
    <w:rsid w:val="000945FC"/>
    <w:rsid w:val="000968F8"/>
    <w:rsid w:val="00097012"/>
    <w:rsid w:val="0009703F"/>
    <w:rsid w:val="00097504"/>
    <w:rsid w:val="000975AE"/>
    <w:rsid w:val="00097DC2"/>
    <w:rsid w:val="000A00C1"/>
    <w:rsid w:val="000A06C2"/>
    <w:rsid w:val="000A0880"/>
    <w:rsid w:val="000A144B"/>
    <w:rsid w:val="000A1FEC"/>
    <w:rsid w:val="000A5368"/>
    <w:rsid w:val="000A539D"/>
    <w:rsid w:val="000A545D"/>
    <w:rsid w:val="000A6C1D"/>
    <w:rsid w:val="000A76BE"/>
    <w:rsid w:val="000B00D3"/>
    <w:rsid w:val="000B032A"/>
    <w:rsid w:val="000B04BF"/>
    <w:rsid w:val="000B0647"/>
    <w:rsid w:val="000B0CF2"/>
    <w:rsid w:val="000B1927"/>
    <w:rsid w:val="000B2362"/>
    <w:rsid w:val="000B2A44"/>
    <w:rsid w:val="000B2DF7"/>
    <w:rsid w:val="000B2F5A"/>
    <w:rsid w:val="000B3880"/>
    <w:rsid w:val="000B54D0"/>
    <w:rsid w:val="000B562F"/>
    <w:rsid w:val="000B6455"/>
    <w:rsid w:val="000B78D2"/>
    <w:rsid w:val="000B7D57"/>
    <w:rsid w:val="000B7F3D"/>
    <w:rsid w:val="000C036D"/>
    <w:rsid w:val="000C0C03"/>
    <w:rsid w:val="000C0FF8"/>
    <w:rsid w:val="000C15F3"/>
    <w:rsid w:val="000C2E83"/>
    <w:rsid w:val="000C2FE8"/>
    <w:rsid w:val="000C366D"/>
    <w:rsid w:val="000C3C8C"/>
    <w:rsid w:val="000C3F41"/>
    <w:rsid w:val="000C4E04"/>
    <w:rsid w:val="000C4F66"/>
    <w:rsid w:val="000C5800"/>
    <w:rsid w:val="000C59BB"/>
    <w:rsid w:val="000C61E3"/>
    <w:rsid w:val="000D037B"/>
    <w:rsid w:val="000D0A8D"/>
    <w:rsid w:val="000D0ADE"/>
    <w:rsid w:val="000D1E2A"/>
    <w:rsid w:val="000D1FCC"/>
    <w:rsid w:val="000D2722"/>
    <w:rsid w:val="000D2AD6"/>
    <w:rsid w:val="000D36CA"/>
    <w:rsid w:val="000D3E45"/>
    <w:rsid w:val="000D3E63"/>
    <w:rsid w:val="000D57BE"/>
    <w:rsid w:val="000D5B4E"/>
    <w:rsid w:val="000D5BE7"/>
    <w:rsid w:val="000D632C"/>
    <w:rsid w:val="000D6DBA"/>
    <w:rsid w:val="000D736B"/>
    <w:rsid w:val="000D7948"/>
    <w:rsid w:val="000D7C84"/>
    <w:rsid w:val="000E05CD"/>
    <w:rsid w:val="000E0AE6"/>
    <w:rsid w:val="000E1258"/>
    <w:rsid w:val="000E12CE"/>
    <w:rsid w:val="000E17FB"/>
    <w:rsid w:val="000E19D9"/>
    <w:rsid w:val="000E1AE9"/>
    <w:rsid w:val="000E2FD7"/>
    <w:rsid w:val="000E356D"/>
    <w:rsid w:val="000E44D2"/>
    <w:rsid w:val="000E4E13"/>
    <w:rsid w:val="000E4FEB"/>
    <w:rsid w:val="000E5735"/>
    <w:rsid w:val="000E6AF5"/>
    <w:rsid w:val="000E78F6"/>
    <w:rsid w:val="000F034A"/>
    <w:rsid w:val="000F06B5"/>
    <w:rsid w:val="000F06D8"/>
    <w:rsid w:val="000F07F7"/>
    <w:rsid w:val="000F0FF3"/>
    <w:rsid w:val="000F1B7A"/>
    <w:rsid w:val="000F2FB5"/>
    <w:rsid w:val="000F39E9"/>
    <w:rsid w:val="000F3D54"/>
    <w:rsid w:val="000F3D9D"/>
    <w:rsid w:val="000F4378"/>
    <w:rsid w:val="000F5E77"/>
    <w:rsid w:val="000F699E"/>
    <w:rsid w:val="000F7A96"/>
    <w:rsid w:val="000F7F47"/>
    <w:rsid w:val="00101571"/>
    <w:rsid w:val="001017D9"/>
    <w:rsid w:val="00102168"/>
    <w:rsid w:val="00104B45"/>
    <w:rsid w:val="00105796"/>
    <w:rsid w:val="001059E8"/>
    <w:rsid w:val="00105C72"/>
    <w:rsid w:val="00105D8B"/>
    <w:rsid w:val="00105E22"/>
    <w:rsid w:val="0010646C"/>
    <w:rsid w:val="001065C7"/>
    <w:rsid w:val="00110776"/>
    <w:rsid w:val="00110E68"/>
    <w:rsid w:val="001111DD"/>
    <w:rsid w:val="00112AC3"/>
    <w:rsid w:val="00112E16"/>
    <w:rsid w:val="00112EC6"/>
    <w:rsid w:val="001131C9"/>
    <w:rsid w:val="0011342F"/>
    <w:rsid w:val="001134AF"/>
    <w:rsid w:val="001134BC"/>
    <w:rsid w:val="00113A9B"/>
    <w:rsid w:val="00113ABD"/>
    <w:rsid w:val="00115491"/>
    <w:rsid w:val="00116874"/>
    <w:rsid w:val="0011706A"/>
    <w:rsid w:val="00117A5F"/>
    <w:rsid w:val="00117A95"/>
    <w:rsid w:val="00117D96"/>
    <w:rsid w:val="001202E9"/>
    <w:rsid w:val="001207D1"/>
    <w:rsid w:val="0012189D"/>
    <w:rsid w:val="00122670"/>
    <w:rsid w:val="001235A7"/>
    <w:rsid w:val="00123A62"/>
    <w:rsid w:val="001241E6"/>
    <w:rsid w:val="0012454F"/>
    <w:rsid w:val="00125273"/>
    <w:rsid w:val="0012575E"/>
    <w:rsid w:val="001262BA"/>
    <w:rsid w:val="0012759F"/>
    <w:rsid w:val="00127C06"/>
    <w:rsid w:val="00130706"/>
    <w:rsid w:val="0013073E"/>
    <w:rsid w:val="00131AAC"/>
    <w:rsid w:val="00131F03"/>
    <w:rsid w:val="00132173"/>
    <w:rsid w:val="0013505E"/>
    <w:rsid w:val="0013614F"/>
    <w:rsid w:val="00136533"/>
    <w:rsid w:val="001368CE"/>
    <w:rsid w:val="0013704E"/>
    <w:rsid w:val="00137143"/>
    <w:rsid w:val="00137252"/>
    <w:rsid w:val="001379DD"/>
    <w:rsid w:val="00140344"/>
    <w:rsid w:val="001406B2"/>
    <w:rsid w:val="00140F32"/>
    <w:rsid w:val="001418B3"/>
    <w:rsid w:val="0014243D"/>
    <w:rsid w:val="001426BB"/>
    <w:rsid w:val="00142DA7"/>
    <w:rsid w:val="00142E31"/>
    <w:rsid w:val="00145149"/>
    <w:rsid w:val="00145AC8"/>
    <w:rsid w:val="00145D4F"/>
    <w:rsid w:val="00146823"/>
    <w:rsid w:val="00146BBE"/>
    <w:rsid w:val="00147303"/>
    <w:rsid w:val="0014773C"/>
    <w:rsid w:val="00147BEB"/>
    <w:rsid w:val="0015061B"/>
    <w:rsid w:val="001508E0"/>
    <w:rsid w:val="00150916"/>
    <w:rsid w:val="00150E63"/>
    <w:rsid w:val="00151B8A"/>
    <w:rsid w:val="00151E68"/>
    <w:rsid w:val="00152062"/>
    <w:rsid w:val="00156225"/>
    <w:rsid w:val="00156501"/>
    <w:rsid w:val="0015741D"/>
    <w:rsid w:val="001579E5"/>
    <w:rsid w:val="00157E89"/>
    <w:rsid w:val="0016077C"/>
    <w:rsid w:val="001610CB"/>
    <w:rsid w:val="001619EC"/>
    <w:rsid w:val="00161D4C"/>
    <w:rsid w:val="001622AF"/>
    <w:rsid w:val="00162BB7"/>
    <w:rsid w:val="00163284"/>
    <w:rsid w:val="0016329A"/>
    <w:rsid w:val="00163505"/>
    <w:rsid w:val="00163743"/>
    <w:rsid w:val="001640F2"/>
    <w:rsid w:val="0016424F"/>
    <w:rsid w:val="001642E7"/>
    <w:rsid w:val="001648A3"/>
    <w:rsid w:val="0016492A"/>
    <w:rsid w:val="00165F0C"/>
    <w:rsid w:val="00166903"/>
    <w:rsid w:val="00166B71"/>
    <w:rsid w:val="0016714A"/>
    <w:rsid w:val="0016773E"/>
    <w:rsid w:val="00167C51"/>
    <w:rsid w:val="0017317D"/>
    <w:rsid w:val="00173811"/>
    <w:rsid w:val="00174EDC"/>
    <w:rsid w:val="00176150"/>
    <w:rsid w:val="001763D2"/>
    <w:rsid w:val="00176700"/>
    <w:rsid w:val="0017696D"/>
    <w:rsid w:val="00177894"/>
    <w:rsid w:val="00177F39"/>
    <w:rsid w:val="00177FEF"/>
    <w:rsid w:val="00180372"/>
    <w:rsid w:val="001803DA"/>
    <w:rsid w:val="00180C79"/>
    <w:rsid w:val="00180C7C"/>
    <w:rsid w:val="001810C5"/>
    <w:rsid w:val="00182E04"/>
    <w:rsid w:val="001841F7"/>
    <w:rsid w:val="001848FC"/>
    <w:rsid w:val="001850BF"/>
    <w:rsid w:val="001855FD"/>
    <w:rsid w:val="00185902"/>
    <w:rsid w:val="00185999"/>
    <w:rsid w:val="00185E24"/>
    <w:rsid w:val="001865A8"/>
    <w:rsid w:val="00187BB9"/>
    <w:rsid w:val="00190153"/>
    <w:rsid w:val="00190412"/>
    <w:rsid w:val="001904B8"/>
    <w:rsid w:val="00190E56"/>
    <w:rsid w:val="001923CE"/>
    <w:rsid w:val="00192987"/>
    <w:rsid w:val="0019298A"/>
    <w:rsid w:val="00193F21"/>
    <w:rsid w:val="00194410"/>
    <w:rsid w:val="001946DD"/>
    <w:rsid w:val="00194C05"/>
    <w:rsid w:val="001957E6"/>
    <w:rsid w:val="00196835"/>
    <w:rsid w:val="00196880"/>
    <w:rsid w:val="00196921"/>
    <w:rsid w:val="001969C5"/>
    <w:rsid w:val="001969DA"/>
    <w:rsid w:val="001973E8"/>
    <w:rsid w:val="001979C4"/>
    <w:rsid w:val="00197C69"/>
    <w:rsid w:val="00197C98"/>
    <w:rsid w:val="00197D84"/>
    <w:rsid w:val="001A0993"/>
    <w:rsid w:val="001A0B07"/>
    <w:rsid w:val="001A0F4E"/>
    <w:rsid w:val="001A11AB"/>
    <w:rsid w:val="001A1AB3"/>
    <w:rsid w:val="001A1D42"/>
    <w:rsid w:val="001A2AC1"/>
    <w:rsid w:val="001A2B6A"/>
    <w:rsid w:val="001A2EF5"/>
    <w:rsid w:val="001A3439"/>
    <w:rsid w:val="001A432C"/>
    <w:rsid w:val="001A5070"/>
    <w:rsid w:val="001A51EB"/>
    <w:rsid w:val="001A6CDD"/>
    <w:rsid w:val="001B042D"/>
    <w:rsid w:val="001B0B8F"/>
    <w:rsid w:val="001B0CD1"/>
    <w:rsid w:val="001B0E2E"/>
    <w:rsid w:val="001B2A3D"/>
    <w:rsid w:val="001B5737"/>
    <w:rsid w:val="001B64C6"/>
    <w:rsid w:val="001B6739"/>
    <w:rsid w:val="001B7091"/>
    <w:rsid w:val="001C01A1"/>
    <w:rsid w:val="001C0790"/>
    <w:rsid w:val="001C0DE6"/>
    <w:rsid w:val="001C12EE"/>
    <w:rsid w:val="001C1402"/>
    <w:rsid w:val="001C16DA"/>
    <w:rsid w:val="001C256D"/>
    <w:rsid w:val="001C38AD"/>
    <w:rsid w:val="001C474A"/>
    <w:rsid w:val="001C4C36"/>
    <w:rsid w:val="001C5BF0"/>
    <w:rsid w:val="001C5D9B"/>
    <w:rsid w:val="001C60AE"/>
    <w:rsid w:val="001C60D4"/>
    <w:rsid w:val="001C675B"/>
    <w:rsid w:val="001C7B02"/>
    <w:rsid w:val="001D0523"/>
    <w:rsid w:val="001D0B97"/>
    <w:rsid w:val="001D0D30"/>
    <w:rsid w:val="001D152B"/>
    <w:rsid w:val="001D1716"/>
    <w:rsid w:val="001D1F0C"/>
    <w:rsid w:val="001D213C"/>
    <w:rsid w:val="001D215C"/>
    <w:rsid w:val="001D2227"/>
    <w:rsid w:val="001D28F0"/>
    <w:rsid w:val="001D324E"/>
    <w:rsid w:val="001D3605"/>
    <w:rsid w:val="001D3860"/>
    <w:rsid w:val="001D3F94"/>
    <w:rsid w:val="001D47D7"/>
    <w:rsid w:val="001D5090"/>
    <w:rsid w:val="001D526F"/>
    <w:rsid w:val="001D5627"/>
    <w:rsid w:val="001D5B85"/>
    <w:rsid w:val="001D5B94"/>
    <w:rsid w:val="001D5E8E"/>
    <w:rsid w:val="001D5FDA"/>
    <w:rsid w:val="001D63B0"/>
    <w:rsid w:val="001D6EBF"/>
    <w:rsid w:val="001E0560"/>
    <w:rsid w:val="001E064C"/>
    <w:rsid w:val="001E0D43"/>
    <w:rsid w:val="001E13D6"/>
    <w:rsid w:val="001E2468"/>
    <w:rsid w:val="001E3420"/>
    <w:rsid w:val="001E34C7"/>
    <w:rsid w:val="001E3CF4"/>
    <w:rsid w:val="001E4CD7"/>
    <w:rsid w:val="001E4DD4"/>
    <w:rsid w:val="001E69DC"/>
    <w:rsid w:val="001E7F87"/>
    <w:rsid w:val="001F06C3"/>
    <w:rsid w:val="001F0ABA"/>
    <w:rsid w:val="001F12FC"/>
    <w:rsid w:val="001F1460"/>
    <w:rsid w:val="001F169D"/>
    <w:rsid w:val="001F1DA1"/>
    <w:rsid w:val="001F318F"/>
    <w:rsid w:val="001F324F"/>
    <w:rsid w:val="001F3A63"/>
    <w:rsid w:val="001F4E79"/>
    <w:rsid w:val="001F56B1"/>
    <w:rsid w:val="001F65BD"/>
    <w:rsid w:val="001F6F93"/>
    <w:rsid w:val="001F7A20"/>
    <w:rsid w:val="002011D5"/>
    <w:rsid w:val="00201802"/>
    <w:rsid w:val="00201E2C"/>
    <w:rsid w:val="00202D49"/>
    <w:rsid w:val="00203C6A"/>
    <w:rsid w:val="00203D73"/>
    <w:rsid w:val="00204221"/>
    <w:rsid w:val="00206985"/>
    <w:rsid w:val="00207500"/>
    <w:rsid w:val="00210414"/>
    <w:rsid w:val="002104FB"/>
    <w:rsid w:val="0021054A"/>
    <w:rsid w:val="00210A38"/>
    <w:rsid w:val="0021195A"/>
    <w:rsid w:val="0021299E"/>
    <w:rsid w:val="00213383"/>
    <w:rsid w:val="0021382A"/>
    <w:rsid w:val="00213EBD"/>
    <w:rsid w:val="00214845"/>
    <w:rsid w:val="00214B5C"/>
    <w:rsid w:val="00215452"/>
    <w:rsid w:val="0021782A"/>
    <w:rsid w:val="00217CEC"/>
    <w:rsid w:val="00220250"/>
    <w:rsid w:val="0022085C"/>
    <w:rsid w:val="00220927"/>
    <w:rsid w:val="00221830"/>
    <w:rsid w:val="00221AB6"/>
    <w:rsid w:val="00222444"/>
    <w:rsid w:val="00222567"/>
    <w:rsid w:val="00223173"/>
    <w:rsid w:val="0022428A"/>
    <w:rsid w:val="0022488A"/>
    <w:rsid w:val="00224E97"/>
    <w:rsid w:val="00225716"/>
    <w:rsid w:val="00225933"/>
    <w:rsid w:val="00226512"/>
    <w:rsid w:val="00226734"/>
    <w:rsid w:val="0022691B"/>
    <w:rsid w:val="00230E02"/>
    <w:rsid w:val="00231383"/>
    <w:rsid w:val="00231B2F"/>
    <w:rsid w:val="00232163"/>
    <w:rsid w:val="00232807"/>
    <w:rsid w:val="002339DD"/>
    <w:rsid w:val="00233F50"/>
    <w:rsid w:val="002351D0"/>
    <w:rsid w:val="00235A7E"/>
    <w:rsid w:val="00235F61"/>
    <w:rsid w:val="00236484"/>
    <w:rsid w:val="00236566"/>
    <w:rsid w:val="0023681D"/>
    <w:rsid w:val="00236E0C"/>
    <w:rsid w:val="002372A2"/>
    <w:rsid w:val="002376F8"/>
    <w:rsid w:val="002378FC"/>
    <w:rsid w:val="00237DD2"/>
    <w:rsid w:val="00240036"/>
    <w:rsid w:val="002408E4"/>
    <w:rsid w:val="002410EB"/>
    <w:rsid w:val="002411F4"/>
    <w:rsid w:val="00241591"/>
    <w:rsid w:val="00241A71"/>
    <w:rsid w:val="0024269F"/>
    <w:rsid w:val="00242B5E"/>
    <w:rsid w:val="00243CCF"/>
    <w:rsid w:val="00244701"/>
    <w:rsid w:val="0024556A"/>
    <w:rsid w:val="0024560F"/>
    <w:rsid w:val="00245710"/>
    <w:rsid w:val="00245850"/>
    <w:rsid w:val="00245D4F"/>
    <w:rsid w:val="00245E1A"/>
    <w:rsid w:val="00245EAE"/>
    <w:rsid w:val="00250B4F"/>
    <w:rsid w:val="00250D7E"/>
    <w:rsid w:val="00251160"/>
    <w:rsid w:val="002514E1"/>
    <w:rsid w:val="002519BB"/>
    <w:rsid w:val="0025229D"/>
    <w:rsid w:val="00252E18"/>
    <w:rsid w:val="0025478B"/>
    <w:rsid w:val="00255226"/>
    <w:rsid w:val="00256505"/>
    <w:rsid w:val="0025762F"/>
    <w:rsid w:val="002579A4"/>
    <w:rsid w:val="002605F4"/>
    <w:rsid w:val="00260A4E"/>
    <w:rsid w:val="00260D69"/>
    <w:rsid w:val="0026103F"/>
    <w:rsid w:val="0026196A"/>
    <w:rsid w:val="0026265C"/>
    <w:rsid w:val="0026291B"/>
    <w:rsid w:val="002635D4"/>
    <w:rsid w:val="002639A8"/>
    <w:rsid w:val="00263C7D"/>
    <w:rsid w:val="002644F2"/>
    <w:rsid w:val="002649DE"/>
    <w:rsid w:val="002658AE"/>
    <w:rsid w:val="00265CF9"/>
    <w:rsid w:val="00266336"/>
    <w:rsid w:val="00270584"/>
    <w:rsid w:val="0027071E"/>
    <w:rsid w:val="002712D3"/>
    <w:rsid w:val="00272C14"/>
    <w:rsid w:val="0027332F"/>
    <w:rsid w:val="00274582"/>
    <w:rsid w:val="00274809"/>
    <w:rsid w:val="00275185"/>
    <w:rsid w:val="00275425"/>
    <w:rsid w:val="00275563"/>
    <w:rsid w:val="00275A4F"/>
    <w:rsid w:val="00275ECE"/>
    <w:rsid w:val="00276246"/>
    <w:rsid w:val="0027672F"/>
    <w:rsid w:val="00276DA5"/>
    <w:rsid w:val="00277418"/>
    <w:rsid w:val="00277967"/>
    <w:rsid w:val="00280003"/>
    <w:rsid w:val="00281068"/>
    <w:rsid w:val="0028114D"/>
    <w:rsid w:val="00281873"/>
    <w:rsid w:val="00281AA8"/>
    <w:rsid w:val="0028406C"/>
    <w:rsid w:val="002843BF"/>
    <w:rsid w:val="00284423"/>
    <w:rsid w:val="00286AD9"/>
    <w:rsid w:val="00287649"/>
    <w:rsid w:val="0028788F"/>
    <w:rsid w:val="00287E84"/>
    <w:rsid w:val="00290387"/>
    <w:rsid w:val="002906EB"/>
    <w:rsid w:val="002915CE"/>
    <w:rsid w:val="00291997"/>
    <w:rsid w:val="00291F26"/>
    <w:rsid w:val="00292615"/>
    <w:rsid w:val="002926A3"/>
    <w:rsid w:val="0029286C"/>
    <w:rsid w:val="00292AC6"/>
    <w:rsid w:val="0029300E"/>
    <w:rsid w:val="00293904"/>
    <w:rsid w:val="00293A8A"/>
    <w:rsid w:val="00294E64"/>
    <w:rsid w:val="0029540D"/>
    <w:rsid w:val="00296B06"/>
    <w:rsid w:val="002A080B"/>
    <w:rsid w:val="002A1609"/>
    <w:rsid w:val="002A1E1D"/>
    <w:rsid w:val="002A25E9"/>
    <w:rsid w:val="002A2BA4"/>
    <w:rsid w:val="002A39CC"/>
    <w:rsid w:val="002A3E59"/>
    <w:rsid w:val="002A450B"/>
    <w:rsid w:val="002A4B23"/>
    <w:rsid w:val="002A688E"/>
    <w:rsid w:val="002A6972"/>
    <w:rsid w:val="002A7EAA"/>
    <w:rsid w:val="002B013B"/>
    <w:rsid w:val="002B01B0"/>
    <w:rsid w:val="002B0480"/>
    <w:rsid w:val="002B0C3A"/>
    <w:rsid w:val="002B2116"/>
    <w:rsid w:val="002B2732"/>
    <w:rsid w:val="002B2D9B"/>
    <w:rsid w:val="002B36A1"/>
    <w:rsid w:val="002B3740"/>
    <w:rsid w:val="002B42CC"/>
    <w:rsid w:val="002B4474"/>
    <w:rsid w:val="002B4DCC"/>
    <w:rsid w:val="002B5016"/>
    <w:rsid w:val="002B57E6"/>
    <w:rsid w:val="002B742C"/>
    <w:rsid w:val="002B76B4"/>
    <w:rsid w:val="002B7F4D"/>
    <w:rsid w:val="002C080E"/>
    <w:rsid w:val="002C0C06"/>
    <w:rsid w:val="002C1319"/>
    <w:rsid w:val="002C1F7C"/>
    <w:rsid w:val="002C285C"/>
    <w:rsid w:val="002C3534"/>
    <w:rsid w:val="002C444A"/>
    <w:rsid w:val="002C4F62"/>
    <w:rsid w:val="002C58B9"/>
    <w:rsid w:val="002C5A98"/>
    <w:rsid w:val="002C785F"/>
    <w:rsid w:val="002C7BE4"/>
    <w:rsid w:val="002D1061"/>
    <w:rsid w:val="002D417D"/>
    <w:rsid w:val="002D423F"/>
    <w:rsid w:val="002D42DD"/>
    <w:rsid w:val="002D46F1"/>
    <w:rsid w:val="002D4799"/>
    <w:rsid w:val="002D4B5C"/>
    <w:rsid w:val="002D5E5D"/>
    <w:rsid w:val="002D5F6D"/>
    <w:rsid w:val="002D74A4"/>
    <w:rsid w:val="002E0A21"/>
    <w:rsid w:val="002E0CA8"/>
    <w:rsid w:val="002E1113"/>
    <w:rsid w:val="002E14A6"/>
    <w:rsid w:val="002E179F"/>
    <w:rsid w:val="002E24E8"/>
    <w:rsid w:val="002E29C7"/>
    <w:rsid w:val="002E489A"/>
    <w:rsid w:val="002E4C42"/>
    <w:rsid w:val="002E4EFC"/>
    <w:rsid w:val="002E4F14"/>
    <w:rsid w:val="002E52E2"/>
    <w:rsid w:val="002E5572"/>
    <w:rsid w:val="002E5DB7"/>
    <w:rsid w:val="002E6533"/>
    <w:rsid w:val="002E69FC"/>
    <w:rsid w:val="002E7247"/>
    <w:rsid w:val="002E76FD"/>
    <w:rsid w:val="002E78A0"/>
    <w:rsid w:val="002E7A8C"/>
    <w:rsid w:val="002E7EF2"/>
    <w:rsid w:val="002F0379"/>
    <w:rsid w:val="002F0490"/>
    <w:rsid w:val="002F04DE"/>
    <w:rsid w:val="002F0599"/>
    <w:rsid w:val="002F078E"/>
    <w:rsid w:val="002F08F9"/>
    <w:rsid w:val="002F12D8"/>
    <w:rsid w:val="002F2642"/>
    <w:rsid w:val="002F2687"/>
    <w:rsid w:val="002F2C83"/>
    <w:rsid w:val="002F3F2A"/>
    <w:rsid w:val="002F48E1"/>
    <w:rsid w:val="002F491E"/>
    <w:rsid w:val="002F494A"/>
    <w:rsid w:val="002F4F3B"/>
    <w:rsid w:val="002F68BF"/>
    <w:rsid w:val="002F6E9B"/>
    <w:rsid w:val="002F7277"/>
    <w:rsid w:val="002F79F3"/>
    <w:rsid w:val="0030024C"/>
    <w:rsid w:val="00300F61"/>
    <w:rsid w:val="00300F82"/>
    <w:rsid w:val="00301360"/>
    <w:rsid w:val="00303924"/>
    <w:rsid w:val="00304C86"/>
    <w:rsid w:val="003059EB"/>
    <w:rsid w:val="00305F50"/>
    <w:rsid w:val="00306457"/>
    <w:rsid w:val="003067A8"/>
    <w:rsid w:val="00306962"/>
    <w:rsid w:val="00306EA6"/>
    <w:rsid w:val="00306EF0"/>
    <w:rsid w:val="0031044E"/>
    <w:rsid w:val="003116AC"/>
    <w:rsid w:val="00312707"/>
    <w:rsid w:val="00312EFF"/>
    <w:rsid w:val="003130A2"/>
    <w:rsid w:val="0031319D"/>
    <w:rsid w:val="003133F4"/>
    <w:rsid w:val="0031382C"/>
    <w:rsid w:val="00313F44"/>
    <w:rsid w:val="003141B9"/>
    <w:rsid w:val="003142CD"/>
    <w:rsid w:val="003145A5"/>
    <w:rsid w:val="00315567"/>
    <w:rsid w:val="003163FF"/>
    <w:rsid w:val="003203D3"/>
    <w:rsid w:val="00322BFF"/>
    <w:rsid w:val="0032348C"/>
    <w:rsid w:val="003237B4"/>
    <w:rsid w:val="0032383A"/>
    <w:rsid w:val="00323D2D"/>
    <w:rsid w:val="0032491A"/>
    <w:rsid w:val="00324C9E"/>
    <w:rsid w:val="00325661"/>
    <w:rsid w:val="00325C1E"/>
    <w:rsid w:val="00326027"/>
    <w:rsid w:val="003261FD"/>
    <w:rsid w:val="00326B6E"/>
    <w:rsid w:val="00327C77"/>
    <w:rsid w:val="00330142"/>
    <w:rsid w:val="00330144"/>
    <w:rsid w:val="0033081E"/>
    <w:rsid w:val="00331525"/>
    <w:rsid w:val="003315D1"/>
    <w:rsid w:val="00331771"/>
    <w:rsid w:val="00331EAA"/>
    <w:rsid w:val="0033240A"/>
    <w:rsid w:val="00332B2A"/>
    <w:rsid w:val="003330ED"/>
    <w:rsid w:val="00333C79"/>
    <w:rsid w:val="00334329"/>
    <w:rsid w:val="00335B89"/>
    <w:rsid w:val="00335EE7"/>
    <w:rsid w:val="00335F0B"/>
    <w:rsid w:val="00335F59"/>
    <w:rsid w:val="003365C5"/>
    <w:rsid w:val="003370BC"/>
    <w:rsid w:val="0034004B"/>
    <w:rsid w:val="003405FA"/>
    <w:rsid w:val="00340711"/>
    <w:rsid w:val="003410AA"/>
    <w:rsid w:val="0034164B"/>
    <w:rsid w:val="00341E05"/>
    <w:rsid w:val="0034284B"/>
    <w:rsid w:val="00342FFE"/>
    <w:rsid w:val="00343CCF"/>
    <w:rsid w:val="00344BF4"/>
    <w:rsid w:val="00344DF8"/>
    <w:rsid w:val="003451CC"/>
    <w:rsid w:val="003457DB"/>
    <w:rsid w:val="00345CBA"/>
    <w:rsid w:val="00346245"/>
    <w:rsid w:val="00347EC6"/>
    <w:rsid w:val="00350339"/>
    <w:rsid w:val="00350944"/>
    <w:rsid w:val="003515C2"/>
    <w:rsid w:val="003515FA"/>
    <w:rsid w:val="0035203A"/>
    <w:rsid w:val="00352354"/>
    <w:rsid w:val="00352681"/>
    <w:rsid w:val="00353512"/>
    <w:rsid w:val="003558A3"/>
    <w:rsid w:val="00355EAC"/>
    <w:rsid w:val="00356267"/>
    <w:rsid w:val="00356BAD"/>
    <w:rsid w:val="00357A0E"/>
    <w:rsid w:val="00360589"/>
    <w:rsid w:val="003605B4"/>
    <w:rsid w:val="003606C0"/>
    <w:rsid w:val="00360BE4"/>
    <w:rsid w:val="00361711"/>
    <w:rsid w:val="00362425"/>
    <w:rsid w:val="003627AC"/>
    <w:rsid w:val="003627B0"/>
    <w:rsid w:val="003640FA"/>
    <w:rsid w:val="003668D9"/>
    <w:rsid w:val="00366914"/>
    <w:rsid w:val="00366F24"/>
    <w:rsid w:val="00367141"/>
    <w:rsid w:val="00370C4A"/>
    <w:rsid w:val="00371484"/>
    <w:rsid w:val="00371BDE"/>
    <w:rsid w:val="00372FE3"/>
    <w:rsid w:val="00373CD3"/>
    <w:rsid w:val="003741BB"/>
    <w:rsid w:val="003748D4"/>
    <w:rsid w:val="00374DE2"/>
    <w:rsid w:val="003755CB"/>
    <w:rsid w:val="00375AEF"/>
    <w:rsid w:val="003815AE"/>
    <w:rsid w:val="00381692"/>
    <w:rsid w:val="003817CA"/>
    <w:rsid w:val="00381C70"/>
    <w:rsid w:val="00381EC5"/>
    <w:rsid w:val="0038235D"/>
    <w:rsid w:val="00382E75"/>
    <w:rsid w:val="00383074"/>
    <w:rsid w:val="00383462"/>
    <w:rsid w:val="00383F85"/>
    <w:rsid w:val="0038458E"/>
    <w:rsid w:val="00384712"/>
    <w:rsid w:val="00384B73"/>
    <w:rsid w:val="003854AB"/>
    <w:rsid w:val="0038597C"/>
    <w:rsid w:val="003864A5"/>
    <w:rsid w:val="00387BA1"/>
    <w:rsid w:val="00387DD6"/>
    <w:rsid w:val="00387F27"/>
    <w:rsid w:val="00387F5F"/>
    <w:rsid w:val="003900B8"/>
    <w:rsid w:val="00390540"/>
    <w:rsid w:val="0039084A"/>
    <w:rsid w:val="00390996"/>
    <w:rsid w:val="00390D75"/>
    <w:rsid w:val="00390F58"/>
    <w:rsid w:val="0039145B"/>
    <w:rsid w:val="0039161B"/>
    <w:rsid w:val="00392EF9"/>
    <w:rsid w:val="00393F12"/>
    <w:rsid w:val="0039413F"/>
    <w:rsid w:val="00394637"/>
    <w:rsid w:val="00394646"/>
    <w:rsid w:val="00395038"/>
    <w:rsid w:val="00396F53"/>
    <w:rsid w:val="00397AE6"/>
    <w:rsid w:val="00397AEB"/>
    <w:rsid w:val="003A11A8"/>
    <w:rsid w:val="003A1F78"/>
    <w:rsid w:val="003A306C"/>
    <w:rsid w:val="003A4294"/>
    <w:rsid w:val="003A4C02"/>
    <w:rsid w:val="003A4FDA"/>
    <w:rsid w:val="003A69D4"/>
    <w:rsid w:val="003A7A64"/>
    <w:rsid w:val="003A7DE7"/>
    <w:rsid w:val="003B0195"/>
    <w:rsid w:val="003B03FC"/>
    <w:rsid w:val="003B1006"/>
    <w:rsid w:val="003B100A"/>
    <w:rsid w:val="003B1456"/>
    <w:rsid w:val="003B1563"/>
    <w:rsid w:val="003B1976"/>
    <w:rsid w:val="003B2264"/>
    <w:rsid w:val="003B2807"/>
    <w:rsid w:val="003B371A"/>
    <w:rsid w:val="003B3B59"/>
    <w:rsid w:val="003B44B9"/>
    <w:rsid w:val="003B4EC9"/>
    <w:rsid w:val="003B57A3"/>
    <w:rsid w:val="003B5B9D"/>
    <w:rsid w:val="003B5E28"/>
    <w:rsid w:val="003B7EBE"/>
    <w:rsid w:val="003C048C"/>
    <w:rsid w:val="003C057C"/>
    <w:rsid w:val="003C0C29"/>
    <w:rsid w:val="003C0ECA"/>
    <w:rsid w:val="003C0FB4"/>
    <w:rsid w:val="003C1081"/>
    <w:rsid w:val="003C218B"/>
    <w:rsid w:val="003C3891"/>
    <w:rsid w:val="003C3EE4"/>
    <w:rsid w:val="003C412B"/>
    <w:rsid w:val="003C4BC9"/>
    <w:rsid w:val="003C4C6C"/>
    <w:rsid w:val="003C582E"/>
    <w:rsid w:val="003C5C15"/>
    <w:rsid w:val="003C5F11"/>
    <w:rsid w:val="003C5FF2"/>
    <w:rsid w:val="003C611F"/>
    <w:rsid w:val="003C7D6C"/>
    <w:rsid w:val="003D0B06"/>
    <w:rsid w:val="003D1711"/>
    <w:rsid w:val="003D199F"/>
    <w:rsid w:val="003D1C1A"/>
    <w:rsid w:val="003D294B"/>
    <w:rsid w:val="003D38D1"/>
    <w:rsid w:val="003D3913"/>
    <w:rsid w:val="003D41FD"/>
    <w:rsid w:val="003D569D"/>
    <w:rsid w:val="003D56C4"/>
    <w:rsid w:val="003D5AF9"/>
    <w:rsid w:val="003D5FE4"/>
    <w:rsid w:val="003D6401"/>
    <w:rsid w:val="003D7536"/>
    <w:rsid w:val="003E0493"/>
    <w:rsid w:val="003E0888"/>
    <w:rsid w:val="003E09E5"/>
    <w:rsid w:val="003E0A4E"/>
    <w:rsid w:val="003E0BBB"/>
    <w:rsid w:val="003E0BC4"/>
    <w:rsid w:val="003E1114"/>
    <w:rsid w:val="003E1863"/>
    <w:rsid w:val="003E1D46"/>
    <w:rsid w:val="003E1F47"/>
    <w:rsid w:val="003E2D3A"/>
    <w:rsid w:val="003E2EC8"/>
    <w:rsid w:val="003E4DA3"/>
    <w:rsid w:val="003E532B"/>
    <w:rsid w:val="003E701C"/>
    <w:rsid w:val="003F0309"/>
    <w:rsid w:val="003F0DF6"/>
    <w:rsid w:val="003F1534"/>
    <w:rsid w:val="003F177E"/>
    <w:rsid w:val="003F1833"/>
    <w:rsid w:val="003F20D5"/>
    <w:rsid w:val="003F3606"/>
    <w:rsid w:val="003F546E"/>
    <w:rsid w:val="003F5850"/>
    <w:rsid w:val="003F5DFE"/>
    <w:rsid w:val="003F6362"/>
    <w:rsid w:val="003F6C63"/>
    <w:rsid w:val="003F6D60"/>
    <w:rsid w:val="003F74BB"/>
    <w:rsid w:val="00400385"/>
    <w:rsid w:val="00400F1F"/>
    <w:rsid w:val="004016E7"/>
    <w:rsid w:val="004017D6"/>
    <w:rsid w:val="004018DD"/>
    <w:rsid w:val="00401A82"/>
    <w:rsid w:val="00401B86"/>
    <w:rsid w:val="004025D5"/>
    <w:rsid w:val="00402DC3"/>
    <w:rsid w:val="00403711"/>
    <w:rsid w:val="004041E9"/>
    <w:rsid w:val="00404859"/>
    <w:rsid w:val="0040538A"/>
    <w:rsid w:val="00405E13"/>
    <w:rsid w:val="0040676B"/>
    <w:rsid w:val="00406D62"/>
    <w:rsid w:val="00407B31"/>
    <w:rsid w:val="004103AD"/>
    <w:rsid w:val="00411840"/>
    <w:rsid w:val="0041310E"/>
    <w:rsid w:val="00413126"/>
    <w:rsid w:val="00414AB0"/>
    <w:rsid w:val="0041606D"/>
    <w:rsid w:val="00416962"/>
    <w:rsid w:val="00416BE5"/>
    <w:rsid w:val="00417081"/>
    <w:rsid w:val="004172B6"/>
    <w:rsid w:val="004206A8"/>
    <w:rsid w:val="004206FD"/>
    <w:rsid w:val="00420A1C"/>
    <w:rsid w:val="00420DFA"/>
    <w:rsid w:val="0042273F"/>
    <w:rsid w:val="00422F9E"/>
    <w:rsid w:val="00423204"/>
    <w:rsid w:val="004250CF"/>
    <w:rsid w:val="004252EE"/>
    <w:rsid w:val="004255C7"/>
    <w:rsid w:val="00425B25"/>
    <w:rsid w:val="00426C56"/>
    <w:rsid w:val="00430C69"/>
    <w:rsid w:val="00431188"/>
    <w:rsid w:val="00431225"/>
    <w:rsid w:val="00432658"/>
    <w:rsid w:val="004348CC"/>
    <w:rsid w:val="00435E41"/>
    <w:rsid w:val="00436686"/>
    <w:rsid w:val="0043734E"/>
    <w:rsid w:val="00437846"/>
    <w:rsid w:val="004402FB"/>
    <w:rsid w:val="00440B5A"/>
    <w:rsid w:val="00440D91"/>
    <w:rsid w:val="00441425"/>
    <w:rsid w:val="00441BD3"/>
    <w:rsid w:val="004430D0"/>
    <w:rsid w:val="00443D90"/>
    <w:rsid w:val="00444144"/>
    <w:rsid w:val="00444E4E"/>
    <w:rsid w:val="00445167"/>
    <w:rsid w:val="00445785"/>
    <w:rsid w:val="00445FCA"/>
    <w:rsid w:val="00447F01"/>
    <w:rsid w:val="00450653"/>
    <w:rsid w:val="004507DF"/>
    <w:rsid w:val="004507FB"/>
    <w:rsid w:val="00450C58"/>
    <w:rsid w:val="0045124A"/>
    <w:rsid w:val="00452B3E"/>
    <w:rsid w:val="004535EC"/>
    <w:rsid w:val="004537AE"/>
    <w:rsid w:val="00453A5A"/>
    <w:rsid w:val="00454435"/>
    <w:rsid w:val="00454C46"/>
    <w:rsid w:val="004552CF"/>
    <w:rsid w:val="00455432"/>
    <w:rsid w:val="0045756E"/>
    <w:rsid w:val="00457A6D"/>
    <w:rsid w:val="00461529"/>
    <w:rsid w:val="00462098"/>
    <w:rsid w:val="00463C51"/>
    <w:rsid w:val="00463E2A"/>
    <w:rsid w:val="0046401F"/>
    <w:rsid w:val="004647D3"/>
    <w:rsid w:val="00464A08"/>
    <w:rsid w:val="00464B4B"/>
    <w:rsid w:val="00464C1F"/>
    <w:rsid w:val="00465147"/>
    <w:rsid w:val="0046519A"/>
    <w:rsid w:val="004658FF"/>
    <w:rsid w:val="00466092"/>
    <w:rsid w:val="00466E14"/>
    <w:rsid w:val="00467E07"/>
    <w:rsid w:val="00470283"/>
    <w:rsid w:val="004705AF"/>
    <w:rsid w:val="00470809"/>
    <w:rsid w:val="00470DE0"/>
    <w:rsid w:val="00472DA0"/>
    <w:rsid w:val="00472E0F"/>
    <w:rsid w:val="00472E21"/>
    <w:rsid w:val="00473355"/>
    <w:rsid w:val="0047384E"/>
    <w:rsid w:val="00473A9E"/>
    <w:rsid w:val="00474911"/>
    <w:rsid w:val="00474ED7"/>
    <w:rsid w:val="00475391"/>
    <w:rsid w:val="00475472"/>
    <w:rsid w:val="004756E1"/>
    <w:rsid w:val="004765F3"/>
    <w:rsid w:val="00477174"/>
    <w:rsid w:val="00477885"/>
    <w:rsid w:val="0048008A"/>
    <w:rsid w:val="00480A7D"/>
    <w:rsid w:val="00480E59"/>
    <w:rsid w:val="00480F56"/>
    <w:rsid w:val="00481A20"/>
    <w:rsid w:val="00482E9D"/>
    <w:rsid w:val="00483A78"/>
    <w:rsid w:val="00483E94"/>
    <w:rsid w:val="00484120"/>
    <w:rsid w:val="00484DE8"/>
    <w:rsid w:val="004853A0"/>
    <w:rsid w:val="00485946"/>
    <w:rsid w:val="00485D7B"/>
    <w:rsid w:val="0048730E"/>
    <w:rsid w:val="00487B2F"/>
    <w:rsid w:val="004900BB"/>
    <w:rsid w:val="0049047D"/>
    <w:rsid w:val="00491512"/>
    <w:rsid w:val="004942DE"/>
    <w:rsid w:val="00494D97"/>
    <w:rsid w:val="004957C4"/>
    <w:rsid w:val="004965B7"/>
    <w:rsid w:val="00496B5F"/>
    <w:rsid w:val="0049722A"/>
    <w:rsid w:val="00497934"/>
    <w:rsid w:val="00497B41"/>
    <w:rsid w:val="00497D50"/>
    <w:rsid w:val="004A11A0"/>
    <w:rsid w:val="004A1264"/>
    <w:rsid w:val="004A2E10"/>
    <w:rsid w:val="004A2EF0"/>
    <w:rsid w:val="004A318C"/>
    <w:rsid w:val="004A51C7"/>
    <w:rsid w:val="004B02E8"/>
    <w:rsid w:val="004B06A6"/>
    <w:rsid w:val="004B0864"/>
    <w:rsid w:val="004B09CD"/>
    <w:rsid w:val="004B10EE"/>
    <w:rsid w:val="004B155F"/>
    <w:rsid w:val="004B17FF"/>
    <w:rsid w:val="004B1BA0"/>
    <w:rsid w:val="004B2B69"/>
    <w:rsid w:val="004B37BF"/>
    <w:rsid w:val="004B3ED1"/>
    <w:rsid w:val="004B4951"/>
    <w:rsid w:val="004B50C0"/>
    <w:rsid w:val="004B6018"/>
    <w:rsid w:val="004B6CEE"/>
    <w:rsid w:val="004B6EF3"/>
    <w:rsid w:val="004B7308"/>
    <w:rsid w:val="004B7D11"/>
    <w:rsid w:val="004C199E"/>
    <w:rsid w:val="004C2443"/>
    <w:rsid w:val="004C28D9"/>
    <w:rsid w:val="004C2D3B"/>
    <w:rsid w:val="004C2EB2"/>
    <w:rsid w:val="004C3513"/>
    <w:rsid w:val="004C3578"/>
    <w:rsid w:val="004C360D"/>
    <w:rsid w:val="004C3719"/>
    <w:rsid w:val="004C498F"/>
    <w:rsid w:val="004C5373"/>
    <w:rsid w:val="004C5831"/>
    <w:rsid w:val="004C5D29"/>
    <w:rsid w:val="004C6325"/>
    <w:rsid w:val="004C681A"/>
    <w:rsid w:val="004C68ED"/>
    <w:rsid w:val="004C73C5"/>
    <w:rsid w:val="004D034F"/>
    <w:rsid w:val="004D0C26"/>
    <w:rsid w:val="004D2356"/>
    <w:rsid w:val="004D2C57"/>
    <w:rsid w:val="004D2EAE"/>
    <w:rsid w:val="004D2FFB"/>
    <w:rsid w:val="004D3EB7"/>
    <w:rsid w:val="004D3FD3"/>
    <w:rsid w:val="004D3FE7"/>
    <w:rsid w:val="004D4D8A"/>
    <w:rsid w:val="004D4EB1"/>
    <w:rsid w:val="004D4F42"/>
    <w:rsid w:val="004D62EF"/>
    <w:rsid w:val="004D7600"/>
    <w:rsid w:val="004D78E5"/>
    <w:rsid w:val="004D79B4"/>
    <w:rsid w:val="004E048C"/>
    <w:rsid w:val="004E142E"/>
    <w:rsid w:val="004E2D52"/>
    <w:rsid w:val="004E5325"/>
    <w:rsid w:val="004E6066"/>
    <w:rsid w:val="004E61D8"/>
    <w:rsid w:val="004E6634"/>
    <w:rsid w:val="004F085F"/>
    <w:rsid w:val="004F0E5E"/>
    <w:rsid w:val="004F1083"/>
    <w:rsid w:val="004F1253"/>
    <w:rsid w:val="004F13D0"/>
    <w:rsid w:val="004F2E1F"/>
    <w:rsid w:val="004F2E28"/>
    <w:rsid w:val="004F3C4D"/>
    <w:rsid w:val="004F54A5"/>
    <w:rsid w:val="004F559E"/>
    <w:rsid w:val="004F5C56"/>
    <w:rsid w:val="004F6574"/>
    <w:rsid w:val="004F68EE"/>
    <w:rsid w:val="004F6ADD"/>
    <w:rsid w:val="00500A30"/>
    <w:rsid w:val="00500E52"/>
    <w:rsid w:val="00501D5B"/>
    <w:rsid w:val="005023CF"/>
    <w:rsid w:val="00502602"/>
    <w:rsid w:val="00502AAB"/>
    <w:rsid w:val="00502E5E"/>
    <w:rsid w:val="0050335C"/>
    <w:rsid w:val="005038D5"/>
    <w:rsid w:val="00503E50"/>
    <w:rsid w:val="00503E5E"/>
    <w:rsid w:val="00504DCB"/>
    <w:rsid w:val="00505789"/>
    <w:rsid w:val="00506BEB"/>
    <w:rsid w:val="00506C1B"/>
    <w:rsid w:val="00507796"/>
    <w:rsid w:val="00507A08"/>
    <w:rsid w:val="005104AC"/>
    <w:rsid w:val="00510E2B"/>
    <w:rsid w:val="00511BA4"/>
    <w:rsid w:val="0051229C"/>
    <w:rsid w:val="0051286E"/>
    <w:rsid w:val="005141BB"/>
    <w:rsid w:val="00514649"/>
    <w:rsid w:val="005149E7"/>
    <w:rsid w:val="005156E5"/>
    <w:rsid w:val="00516184"/>
    <w:rsid w:val="005166AE"/>
    <w:rsid w:val="0051740B"/>
    <w:rsid w:val="005178A9"/>
    <w:rsid w:val="00517C1E"/>
    <w:rsid w:val="00521636"/>
    <w:rsid w:val="005227C6"/>
    <w:rsid w:val="00522EE8"/>
    <w:rsid w:val="005231BC"/>
    <w:rsid w:val="005232D6"/>
    <w:rsid w:val="0052428D"/>
    <w:rsid w:val="00526978"/>
    <w:rsid w:val="005304A8"/>
    <w:rsid w:val="00530577"/>
    <w:rsid w:val="00530726"/>
    <w:rsid w:val="00530C4F"/>
    <w:rsid w:val="00531572"/>
    <w:rsid w:val="00531623"/>
    <w:rsid w:val="00531924"/>
    <w:rsid w:val="00531FDD"/>
    <w:rsid w:val="005333CC"/>
    <w:rsid w:val="00533597"/>
    <w:rsid w:val="00534E91"/>
    <w:rsid w:val="005363F1"/>
    <w:rsid w:val="0053719F"/>
    <w:rsid w:val="005372F9"/>
    <w:rsid w:val="00537C1B"/>
    <w:rsid w:val="0054000E"/>
    <w:rsid w:val="005411F4"/>
    <w:rsid w:val="00541392"/>
    <w:rsid w:val="005415C6"/>
    <w:rsid w:val="005416CA"/>
    <w:rsid w:val="00541E0F"/>
    <w:rsid w:val="00542203"/>
    <w:rsid w:val="005423A7"/>
    <w:rsid w:val="00542EFA"/>
    <w:rsid w:val="00543089"/>
    <w:rsid w:val="0054362C"/>
    <w:rsid w:val="00544E71"/>
    <w:rsid w:val="005456E1"/>
    <w:rsid w:val="00545B88"/>
    <w:rsid w:val="0054618B"/>
    <w:rsid w:val="00546AE4"/>
    <w:rsid w:val="00547799"/>
    <w:rsid w:val="00547BB4"/>
    <w:rsid w:val="0055007C"/>
    <w:rsid w:val="00550835"/>
    <w:rsid w:val="005509FA"/>
    <w:rsid w:val="0055114D"/>
    <w:rsid w:val="005525C6"/>
    <w:rsid w:val="00552831"/>
    <w:rsid w:val="00552E09"/>
    <w:rsid w:val="005538B1"/>
    <w:rsid w:val="0055402C"/>
    <w:rsid w:val="00554126"/>
    <w:rsid w:val="005547E7"/>
    <w:rsid w:val="00554922"/>
    <w:rsid w:val="00554D97"/>
    <w:rsid w:val="00555282"/>
    <w:rsid w:val="005560E7"/>
    <w:rsid w:val="0055670D"/>
    <w:rsid w:val="005575D5"/>
    <w:rsid w:val="00561109"/>
    <w:rsid w:val="005612CC"/>
    <w:rsid w:val="0056248D"/>
    <w:rsid w:val="00563029"/>
    <w:rsid w:val="00563633"/>
    <w:rsid w:val="005636BF"/>
    <w:rsid w:val="00564D97"/>
    <w:rsid w:val="005652CE"/>
    <w:rsid w:val="005657A7"/>
    <w:rsid w:val="00565946"/>
    <w:rsid w:val="00566200"/>
    <w:rsid w:val="0056664D"/>
    <w:rsid w:val="00567150"/>
    <w:rsid w:val="005677BD"/>
    <w:rsid w:val="00567BEB"/>
    <w:rsid w:val="00567C41"/>
    <w:rsid w:val="00567D12"/>
    <w:rsid w:val="00570135"/>
    <w:rsid w:val="005705CE"/>
    <w:rsid w:val="00570675"/>
    <w:rsid w:val="005711C0"/>
    <w:rsid w:val="00571641"/>
    <w:rsid w:val="00571B6C"/>
    <w:rsid w:val="00571CB7"/>
    <w:rsid w:val="00572012"/>
    <w:rsid w:val="00572184"/>
    <w:rsid w:val="005722F4"/>
    <w:rsid w:val="00572AA1"/>
    <w:rsid w:val="00572BC7"/>
    <w:rsid w:val="0057310A"/>
    <w:rsid w:val="00573248"/>
    <w:rsid w:val="0057406B"/>
    <w:rsid w:val="00574EED"/>
    <w:rsid w:val="00574FA4"/>
    <w:rsid w:val="005751EC"/>
    <w:rsid w:val="00575A85"/>
    <w:rsid w:val="00576062"/>
    <w:rsid w:val="00576B51"/>
    <w:rsid w:val="00576D59"/>
    <w:rsid w:val="00576EB3"/>
    <w:rsid w:val="00577A24"/>
    <w:rsid w:val="0058017E"/>
    <w:rsid w:val="005804EA"/>
    <w:rsid w:val="005809C5"/>
    <w:rsid w:val="00580A15"/>
    <w:rsid w:val="00581283"/>
    <w:rsid w:val="005813D0"/>
    <w:rsid w:val="00581548"/>
    <w:rsid w:val="00581905"/>
    <w:rsid w:val="00581B5D"/>
    <w:rsid w:val="00581E6B"/>
    <w:rsid w:val="0058217A"/>
    <w:rsid w:val="005821BD"/>
    <w:rsid w:val="0058294F"/>
    <w:rsid w:val="00582A77"/>
    <w:rsid w:val="005836E2"/>
    <w:rsid w:val="00583CC0"/>
    <w:rsid w:val="00584668"/>
    <w:rsid w:val="005846B1"/>
    <w:rsid w:val="00584EA1"/>
    <w:rsid w:val="00585003"/>
    <w:rsid w:val="0058505F"/>
    <w:rsid w:val="0058586F"/>
    <w:rsid w:val="00585F66"/>
    <w:rsid w:val="00586ADB"/>
    <w:rsid w:val="00586B22"/>
    <w:rsid w:val="005872B5"/>
    <w:rsid w:val="00590F3E"/>
    <w:rsid w:val="00591AFC"/>
    <w:rsid w:val="00592518"/>
    <w:rsid w:val="00593109"/>
    <w:rsid w:val="005940A1"/>
    <w:rsid w:val="005941BE"/>
    <w:rsid w:val="0059559F"/>
    <w:rsid w:val="0059667C"/>
    <w:rsid w:val="005969D6"/>
    <w:rsid w:val="005976F5"/>
    <w:rsid w:val="00597833"/>
    <w:rsid w:val="00597961"/>
    <w:rsid w:val="00597FCE"/>
    <w:rsid w:val="005A0D71"/>
    <w:rsid w:val="005A1070"/>
    <w:rsid w:val="005A3232"/>
    <w:rsid w:val="005A3D8E"/>
    <w:rsid w:val="005A43D4"/>
    <w:rsid w:val="005A49FF"/>
    <w:rsid w:val="005A560A"/>
    <w:rsid w:val="005A6026"/>
    <w:rsid w:val="005A6241"/>
    <w:rsid w:val="005A7634"/>
    <w:rsid w:val="005A76C3"/>
    <w:rsid w:val="005A7CAB"/>
    <w:rsid w:val="005A7CD5"/>
    <w:rsid w:val="005B00A6"/>
    <w:rsid w:val="005B02F3"/>
    <w:rsid w:val="005B0688"/>
    <w:rsid w:val="005B071A"/>
    <w:rsid w:val="005B1FAE"/>
    <w:rsid w:val="005B2B76"/>
    <w:rsid w:val="005B3F36"/>
    <w:rsid w:val="005B45FD"/>
    <w:rsid w:val="005B4644"/>
    <w:rsid w:val="005B4E82"/>
    <w:rsid w:val="005B6837"/>
    <w:rsid w:val="005B6F04"/>
    <w:rsid w:val="005B7495"/>
    <w:rsid w:val="005B7FDD"/>
    <w:rsid w:val="005C0447"/>
    <w:rsid w:val="005C094D"/>
    <w:rsid w:val="005C1B36"/>
    <w:rsid w:val="005C3651"/>
    <w:rsid w:val="005C3C38"/>
    <w:rsid w:val="005C41FA"/>
    <w:rsid w:val="005C43A4"/>
    <w:rsid w:val="005C443B"/>
    <w:rsid w:val="005C597D"/>
    <w:rsid w:val="005C5C0D"/>
    <w:rsid w:val="005C679E"/>
    <w:rsid w:val="005C687B"/>
    <w:rsid w:val="005C739F"/>
    <w:rsid w:val="005C73CA"/>
    <w:rsid w:val="005D29F0"/>
    <w:rsid w:val="005D2E3F"/>
    <w:rsid w:val="005D3C89"/>
    <w:rsid w:val="005D4567"/>
    <w:rsid w:val="005D4768"/>
    <w:rsid w:val="005D4F7D"/>
    <w:rsid w:val="005D5DF4"/>
    <w:rsid w:val="005D692D"/>
    <w:rsid w:val="005D6EE0"/>
    <w:rsid w:val="005D719E"/>
    <w:rsid w:val="005E05B6"/>
    <w:rsid w:val="005E068F"/>
    <w:rsid w:val="005E15E7"/>
    <w:rsid w:val="005E1821"/>
    <w:rsid w:val="005E2B72"/>
    <w:rsid w:val="005E2BC6"/>
    <w:rsid w:val="005E2CAB"/>
    <w:rsid w:val="005E2EFA"/>
    <w:rsid w:val="005E3673"/>
    <w:rsid w:val="005E3AF9"/>
    <w:rsid w:val="005E3F25"/>
    <w:rsid w:val="005E429E"/>
    <w:rsid w:val="005E5F1B"/>
    <w:rsid w:val="005E6196"/>
    <w:rsid w:val="005E6AF0"/>
    <w:rsid w:val="005E6FFE"/>
    <w:rsid w:val="005E7EA4"/>
    <w:rsid w:val="005E7EEE"/>
    <w:rsid w:val="005F17D2"/>
    <w:rsid w:val="005F2401"/>
    <w:rsid w:val="005F32A2"/>
    <w:rsid w:val="005F50BB"/>
    <w:rsid w:val="005F56B1"/>
    <w:rsid w:val="005F5E32"/>
    <w:rsid w:val="005F6188"/>
    <w:rsid w:val="00601ED4"/>
    <w:rsid w:val="00602AFE"/>
    <w:rsid w:val="00602F2D"/>
    <w:rsid w:val="006030BC"/>
    <w:rsid w:val="006031F9"/>
    <w:rsid w:val="006033B5"/>
    <w:rsid w:val="00603630"/>
    <w:rsid w:val="006036E0"/>
    <w:rsid w:val="00604DEF"/>
    <w:rsid w:val="0060573A"/>
    <w:rsid w:val="00606F07"/>
    <w:rsid w:val="006070DE"/>
    <w:rsid w:val="00607687"/>
    <w:rsid w:val="00607690"/>
    <w:rsid w:val="00607C22"/>
    <w:rsid w:val="00607EF3"/>
    <w:rsid w:val="00611CD5"/>
    <w:rsid w:val="006123CD"/>
    <w:rsid w:val="00612866"/>
    <w:rsid w:val="006135DF"/>
    <w:rsid w:val="006137FD"/>
    <w:rsid w:val="00613F2D"/>
    <w:rsid w:val="006141BE"/>
    <w:rsid w:val="00615022"/>
    <w:rsid w:val="006156A0"/>
    <w:rsid w:val="00615773"/>
    <w:rsid w:val="00615D45"/>
    <w:rsid w:val="00616EB5"/>
    <w:rsid w:val="00617314"/>
    <w:rsid w:val="00617BD7"/>
    <w:rsid w:val="00620022"/>
    <w:rsid w:val="00620C6E"/>
    <w:rsid w:val="00620D52"/>
    <w:rsid w:val="00621341"/>
    <w:rsid w:val="006222D6"/>
    <w:rsid w:val="006222D8"/>
    <w:rsid w:val="00623852"/>
    <w:rsid w:val="00623ED9"/>
    <w:rsid w:val="00625729"/>
    <w:rsid w:val="006258E9"/>
    <w:rsid w:val="00625C9A"/>
    <w:rsid w:val="006269D4"/>
    <w:rsid w:val="006271AB"/>
    <w:rsid w:val="0062777D"/>
    <w:rsid w:val="00630A97"/>
    <w:rsid w:val="00631FD1"/>
    <w:rsid w:val="006327D8"/>
    <w:rsid w:val="006328CF"/>
    <w:rsid w:val="00632A0F"/>
    <w:rsid w:val="00632FBA"/>
    <w:rsid w:val="00634C14"/>
    <w:rsid w:val="006350DE"/>
    <w:rsid w:val="00635577"/>
    <w:rsid w:val="00636846"/>
    <w:rsid w:val="00637833"/>
    <w:rsid w:val="006405BA"/>
    <w:rsid w:val="0064070A"/>
    <w:rsid w:val="00640CC5"/>
    <w:rsid w:val="00640E58"/>
    <w:rsid w:val="00641449"/>
    <w:rsid w:val="0064151C"/>
    <w:rsid w:val="00641B6E"/>
    <w:rsid w:val="00641DA3"/>
    <w:rsid w:val="006434AE"/>
    <w:rsid w:val="00643A01"/>
    <w:rsid w:val="00644559"/>
    <w:rsid w:val="006461E5"/>
    <w:rsid w:val="0064691C"/>
    <w:rsid w:val="00646CB6"/>
    <w:rsid w:val="00647018"/>
    <w:rsid w:val="006476F7"/>
    <w:rsid w:val="0064781B"/>
    <w:rsid w:val="00647C30"/>
    <w:rsid w:val="0065092E"/>
    <w:rsid w:val="006519CB"/>
    <w:rsid w:val="00651D3E"/>
    <w:rsid w:val="00651D44"/>
    <w:rsid w:val="00651E08"/>
    <w:rsid w:val="00653529"/>
    <w:rsid w:val="00653F29"/>
    <w:rsid w:val="0065428B"/>
    <w:rsid w:val="00654D5C"/>
    <w:rsid w:val="00655713"/>
    <w:rsid w:val="006574D2"/>
    <w:rsid w:val="00657677"/>
    <w:rsid w:val="00663262"/>
    <w:rsid w:val="00663563"/>
    <w:rsid w:val="00665A60"/>
    <w:rsid w:val="006662FC"/>
    <w:rsid w:val="006666EE"/>
    <w:rsid w:val="00666CEE"/>
    <w:rsid w:val="006676D4"/>
    <w:rsid w:val="00667AD9"/>
    <w:rsid w:val="00667DB3"/>
    <w:rsid w:val="00670773"/>
    <w:rsid w:val="0067079F"/>
    <w:rsid w:val="00671630"/>
    <w:rsid w:val="00671FB8"/>
    <w:rsid w:val="00672083"/>
    <w:rsid w:val="00672319"/>
    <w:rsid w:val="00673ACE"/>
    <w:rsid w:val="006742A0"/>
    <w:rsid w:val="00675535"/>
    <w:rsid w:val="0067560F"/>
    <w:rsid w:val="00676220"/>
    <w:rsid w:val="006762EE"/>
    <w:rsid w:val="00676C7E"/>
    <w:rsid w:val="00676C9B"/>
    <w:rsid w:val="00680259"/>
    <w:rsid w:val="00681119"/>
    <w:rsid w:val="00681359"/>
    <w:rsid w:val="00681461"/>
    <w:rsid w:val="00685911"/>
    <w:rsid w:val="0068688C"/>
    <w:rsid w:val="0068741A"/>
    <w:rsid w:val="00687630"/>
    <w:rsid w:val="00687694"/>
    <w:rsid w:val="00687EB9"/>
    <w:rsid w:val="0069157C"/>
    <w:rsid w:val="006919E5"/>
    <w:rsid w:val="00691A1A"/>
    <w:rsid w:val="00691A78"/>
    <w:rsid w:val="00691B70"/>
    <w:rsid w:val="0069286A"/>
    <w:rsid w:val="00692CD6"/>
    <w:rsid w:val="006958B0"/>
    <w:rsid w:val="00696262"/>
    <w:rsid w:val="00696320"/>
    <w:rsid w:val="006A0045"/>
    <w:rsid w:val="006A0927"/>
    <w:rsid w:val="006A0B14"/>
    <w:rsid w:val="006A1659"/>
    <w:rsid w:val="006A185F"/>
    <w:rsid w:val="006A2346"/>
    <w:rsid w:val="006A3019"/>
    <w:rsid w:val="006A3AE5"/>
    <w:rsid w:val="006A41F6"/>
    <w:rsid w:val="006A60B8"/>
    <w:rsid w:val="006A6B3B"/>
    <w:rsid w:val="006A6E77"/>
    <w:rsid w:val="006A7895"/>
    <w:rsid w:val="006A7B30"/>
    <w:rsid w:val="006B0F52"/>
    <w:rsid w:val="006B109B"/>
    <w:rsid w:val="006B15CD"/>
    <w:rsid w:val="006B21BC"/>
    <w:rsid w:val="006B342B"/>
    <w:rsid w:val="006B3D58"/>
    <w:rsid w:val="006B4B23"/>
    <w:rsid w:val="006B4D75"/>
    <w:rsid w:val="006B4EA5"/>
    <w:rsid w:val="006B55B0"/>
    <w:rsid w:val="006B6E1F"/>
    <w:rsid w:val="006B7AD6"/>
    <w:rsid w:val="006B7D8A"/>
    <w:rsid w:val="006C1FB8"/>
    <w:rsid w:val="006C2382"/>
    <w:rsid w:val="006C2643"/>
    <w:rsid w:val="006C32A4"/>
    <w:rsid w:val="006C33AF"/>
    <w:rsid w:val="006C3406"/>
    <w:rsid w:val="006C3A4F"/>
    <w:rsid w:val="006C3D52"/>
    <w:rsid w:val="006C4845"/>
    <w:rsid w:val="006C5269"/>
    <w:rsid w:val="006C53D6"/>
    <w:rsid w:val="006C7392"/>
    <w:rsid w:val="006C7A68"/>
    <w:rsid w:val="006C7CDE"/>
    <w:rsid w:val="006C7D3C"/>
    <w:rsid w:val="006D0833"/>
    <w:rsid w:val="006D08C2"/>
    <w:rsid w:val="006D119D"/>
    <w:rsid w:val="006D12E9"/>
    <w:rsid w:val="006D17A3"/>
    <w:rsid w:val="006D205A"/>
    <w:rsid w:val="006D2504"/>
    <w:rsid w:val="006D2A84"/>
    <w:rsid w:val="006D2BE1"/>
    <w:rsid w:val="006D2E76"/>
    <w:rsid w:val="006D4427"/>
    <w:rsid w:val="006D4ADC"/>
    <w:rsid w:val="006D5CC5"/>
    <w:rsid w:val="006D617A"/>
    <w:rsid w:val="006D6355"/>
    <w:rsid w:val="006D6B8A"/>
    <w:rsid w:val="006D6BC1"/>
    <w:rsid w:val="006D6D20"/>
    <w:rsid w:val="006D7467"/>
    <w:rsid w:val="006D7D34"/>
    <w:rsid w:val="006D7DE4"/>
    <w:rsid w:val="006E081F"/>
    <w:rsid w:val="006E09C7"/>
    <w:rsid w:val="006E0D38"/>
    <w:rsid w:val="006E0F03"/>
    <w:rsid w:val="006E1625"/>
    <w:rsid w:val="006E1676"/>
    <w:rsid w:val="006E1D6A"/>
    <w:rsid w:val="006E2BFC"/>
    <w:rsid w:val="006E3098"/>
    <w:rsid w:val="006E3764"/>
    <w:rsid w:val="006E3D7B"/>
    <w:rsid w:val="006E4BFF"/>
    <w:rsid w:val="006E51B3"/>
    <w:rsid w:val="006E5C57"/>
    <w:rsid w:val="006E6BF5"/>
    <w:rsid w:val="006F0E38"/>
    <w:rsid w:val="006F22A5"/>
    <w:rsid w:val="006F36CC"/>
    <w:rsid w:val="006F3CE6"/>
    <w:rsid w:val="006F5C98"/>
    <w:rsid w:val="006F5F8D"/>
    <w:rsid w:val="006F61C0"/>
    <w:rsid w:val="007011D5"/>
    <w:rsid w:val="00701649"/>
    <w:rsid w:val="0070173C"/>
    <w:rsid w:val="00701832"/>
    <w:rsid w:val="00701C4C"/>
    <w:rsid w:val="00702C73"/>
    <w:rsid w:val="00703109"/>
    <w:rsid w:val="007032DC"/>
    <w:rsid w:val="00703B20"/>
    <w:rsid w:val="0070468E"/>
    <w:rsid w:val="00704897"/>
    <w:rsid w:val="00705385"/>
    <w:rsid w:val="00705FE1"/>
    <w:rsid w:val="00710D8C"/>
    <w:rsid w:val="00710EF0"/>
    <w:rsid w:val="0071143B"/>
    <w:rsid w:val="007115D0"/>
    <w:rsid w:val="007119BA"/>
    <w:rsid w:val="00713394"/>
    <w:rsid w:val="007135BF"/>
    <w:rsid w:val="00714583"/>
    <w:rsid w:val="007145EF"/>
    <w:rsid w:val="00714700"/>
    <w:rsid w:val="00714A23"/>
    <w:rsid w:val="00715C2D"/>
    <w:rsid w:val="007160B6"/>
    <w:rsid w:val="00716185"/>
    <w:rsid w:val="0071671C"/>
    <w:rsid w:val="007175C4"/>
    <w:rsid w:val="007177D0"/>
    <w:rsid w:val="007212FC"/>
    <w:rsid w:val="00721754"/>
    <w:rsid w:val="007221B8"/>
    <w:rsid w:val="0072354E"/>
    <w:rsid w:val="00724468"/>
    <w:rsid w:val="00724677"/>
    <w:rsid w:val="00724DB7"/>
    <w:rsid w:val="00725AC2"/>
    <w:rsid w:val="0072636B"/>
    <w:rsid w:val="00730082"/>
    <w:rsid w:val="00730819"/>
    <w:rsid w:val="00731C1C"/>
    <w:rsid w:val="00731E01"/>
    <w:rsid w:val="00731E47"/>
    <w:rsid w:val="00731E59"/>
    <w:rsid w:val="0073221D"/>
    <w:rsid w:val="0073246F"/>
    <w:rsid w:val="00732733"/>
    <w:rsid w:val="00732880"/>
    <w:rsid w:val="00733C01"/>
    <w:rsid w:val="007344DF"/>
    <w:rsid w:val="007353C1"/>
    <w:rsid w:val="0073558C"/>
    <w:rsid w:val="00735644"/>
    <w:rsid w:val="007366D3"/>
    <w:rsid w:val="00741282"/>
    <w:rsid w:val="007416B9"/>
    <w:rsid w:val="007422FD"/>
    <w:rsid w:val="00742C00"/>
    <w:rsid w:val="00742DBA"/>
    <w:rsid w:val="00743333"/>
    <w:rsid w:val="00743C17"/>
    <w:rsid w:val="00743E46"/>
    <w:rsid w:val="0074414D"/>
    <w:rsid w:val="0074463A"/>
    <w:rsid w:val="00744B29"/>
    <w:rsid w:val="00744CD4"/>
    <w:rsid w:val="00744F11"/>
    <w:rsid w:val="00745007"/>
    <w:rsid w:val="00745692"/>
    <w:rsid w:val="00745C90"/>
    <w:rsid w:val="00747293"/>
    <w:rsid w:val="0074732C"/>
    <w:rsid w:val="00747BF9"/>
    <w:rsid w:val="00747C45"/>
    <w:rsid w:val="00747F98"/>
    <w:rsid w:val="007509BD"/>
    <w:rsid w:val="007514FD"/>
    <w:rsid w:val="0075211C"/>
    <w:rsid w:val="00752353"/>
    <w:rsid w:val="00752DA7"/>
    <w:rsid w:val="0075346C"/>
    <w:rsid w:val="0075352C"/>
    <w:rsid w:val="00753541"/>
    <w:rsid w:val="00753CAD"/>
    <w:rsid w:val="00753DDE"/>
    <w:rsid w:val="0075449F"/>
    <w:rsid w:val="007548C1"/>
    <w:rsid w:val="00754B8F"/>
    <w:rsid w:val="007560E7"/>
    <w:rsid w:val="00756FDB"/>
    <w:rsid w:val="00757167"/>
    <w:rsid w:val="00757408"/>
    <w:rsid w:val="00757C63"/>
    <w:rsid w:val="0076068F"/>
    <w:rsid w:val="00760B7F"/>
    <w:rsid w:val="00760CF2"/>
    <w:rsid w:val="007611ED"/>
    <w:rsid w:val="007615E7"/>
    <w:rsid w:val="007618AB"/>
    <w:rsid w:val="00761B35"/>
    <w:rsid w:val="007621EB"/>
    <w:rsid w:val="007628BA"/>
    <w:rsid w:val="007629B6"/>
    <w:rsid w:val="007635FA"/>
    <w:rsid w:val="00763FFE"/>
    <w:rsid w:val="0076413C"/>
    <w:rsid w:val="007645A2"/>
    <w:rsid w:val="00764D5E"/>
    <w:rsid w:val="00764EEE"/>
    <w:rsid w:val="00765726"/>
    <w:rsid w:val="00765CF1"/>
    <w:rsid w:val="00766485"/>
    <w:rsid w:val="007665BF"/>
    <w:rsid w:val="00766E4A"/>
    <w:rsid w:val="007670DE"/>
    <w:rsid w:val="00767210"/>
    <w:rsid w:val="007672BE"/>
    <w:rsid w:val="00767314"/>
    <w:rsid w:val="00767470"/>
    <w:rsid w:val="007674E4"/>
    <w:rsid w:val="007678AF"/>
    <w:rsid w:val="0077023A"/>
    <w:rsid w:val="007702F7"/>
    <w:rsid w:val="00770512"/>
    <w:rsid w:val="007707A2"/>
    <w:rsid w:val="00771418"/>
    <w:rsid w:val="007714C8"/>
    <w:rsid w:val="00771757"/>
    <w:rsid w:val="00771B2A"/>
    <w:rsid w:val="007725CA"/>
    <w:rsid w:val="00772909"/>
    <w:rsid w:val="00772DAD"/>
    <w:rsid w:val="0077490D"/>
    <w:rsid w:val="00775564"/>
    <w:rsid w:val="007757CE"/>
    <w:rsid w:val="00775800"/>
    <w:rsid w:val="00776A25"/>
    <w:rsid w:val="007772D0"/>
    <w:rsid w:val="0077747E"/>
    <w:rsid w:val="007779FB"/>
    <w:rsid w:val="0078023E"/>
    <w:rsid w:val="007809C6"/>
    <w:rsid w:val="00781A50"/>
    <w:rsid w:val="00781FEE"/>
    <w:rsid w:val="0078229C"/>
    <w:rsid w:val="007841E4"/>
    <w:rsid w:val="0078716E"/>
    <w:rsid w:val="00787DCF"/>
    <w:rsid w:val="00787E7C"/>
    <w:rsid w:val="0079180E"/>
    <w:rsid w:val="0079244A"/>
    <w:rsid w:val="007924B8"/>
    <w:rsid w:val="00792BE3"/>
    <w:rsid w:val="00792EC5"/>
    <w:rsid w:val="00793372"/>
    <w:rsid w:val="00793974"/>
    <w:rsid w:val="00793F28"/>
    <w:rsid w:val="0079401F"/>
    <w:rsid w:val="007950CC"/>
    <w:rsid w:val="0079538B"/>
    <w:rsid w:val="007961B8"/>
    <w:rsid w:val="00796359"/>
    <w:rsid w:val="0079685D"/>
    <w:rsid w:val="00796A02"/>
    <w:rsid w:val="00796E9A"/>
    <w:rsid w:val="00797624"/>
    <w:rsid w:val="007A0655"/>
    <w:rsid w:val="007A0F2D"/>
    <w:rsid w:val="007A1867"/>
    <w:rsid w:val="007A25F0"/>
    <w:rsid w:val="007A26D9"/>
    <w:rsid w:val="007A3CA3"/>
    <w:rsid w:val="007A3E2E"/>
    <w:rsid w:val="007A434E"/>
    <w:rsid w:val="007A4828"/>
    <w:rsid w:val="007A51E3"/>
    <w:rsid w:val="007A6A15"/>
    <w:rsid w:val="007A6E92"/>
    <w:rsid w:val="007A75C4"/>
    <w:rsid w:val="007B093D"/>
    <w:rsid w:val="007B1B25"/>
    <w:rsid w:val="007B1B35"/>
    <w:rsid w:val="007B1C3C"/>
    <w:rsid w:val="007B2069"/>
    <w:rsid w:val="007B222F"/>
    <w:rsid w:val="007B28BC"/>
    <w:rsid w:val="007B2B29"/>
    <w:rsid w:val="007B3C75"/>
    <w:rsid w:val="007B4BC6"/>
    <w:rsid w:val="007B5040"/>
    <w:rsid w:val="007B5482"/>
    <w:rsid w:val="007B6039"/>
    <w:rsid w:val="007C026D"/>
    <w:rsid w:val="007C04A1"/>
    <w:rsid w:val="007C219D"/>
    <w:rsid w:val="007C21FA"/>
    <w:rsid w:val="007C26CD"/>
    <w:rsid w:val="007C2904"/>
    <w:rsid w:val="007C3907"/>
    <w:rsid w:val="007C3F07"/>
    <w:rsid w:val="007C426C"/>
    <w:rsid w:val="007C4C56"/>
    <w:rsid w:val="007C5E9E"/>
    <w:rsid w:val="007C6DF8"/>
    <w:rsid w:val="007C71D2"/>
    <w:rsid w:val="007D02B6"/>
    <w:rsid w:val="007D048E"/>
    <w:rsid w:val="007D05E9"/>
    <w:rsid w:val="007D0968"/>
    <w:rsid w:val="007D0CF9"/>
    <w:rsid w:val="007D13B1"/>
    <w:rsid w:val="007D17EE"/>
    <w:rsid w:val="007D20CF"/>
    <w:rsid w:val="007D25C4"/>
    <w:rsid w:val="007D36C3"/>
    <w:rsid w:val="007D37EC"/>
    <w:rsid w:val="007D3DEC"/>
    <w:rsid w:val="007D4351"/>
    <w:rsid w:val="007D564E"/>
    <w:rsid w:val="007D7019"/>
    <w:rsid w:val="007D7076"/>
    <w:rsid w:val="007D7144"/>
    <w:rsid w:val="007D78C9"/>
    <w:rsid w:val="007D7939"/>
    <w:rsid w:val="007D7C74"/>
    <w:rsid w:val="007E056C"/>
    <w:rsid w:val="007E1394"/>
    <w:rsid w:val="007E13E7"/>
    <w:rsid w:val="007E18DB"/>
    <w:rsid w:val="007E3354"/>
    <w:rsid w:val="007E3417"/>
    <w:rsid w:val="007E3454"/>
    <w:rsid w:val="007E36D5"/>
    <w:rsid w:val="007E551F"/>
    <w:rsid w:val="007E5CDB"/>
    <w:rsid w:val="007E69CA"/>
    <w:rsid w:val="007E6CB5"/>
    <w:rsid w:val="007E6F1C"/>
    <w:rsid w:val="007E71FC"/>
    <w:rsid w:val="007F02E0"/>
    <w:rsid w:val="007F0B57"/>
    <w:rsid w:val="007F2B28"/>
    <w:rsid w:val="007F2F90"/>
    <w:rsid w:val="007F331F"/>
    <w:rsid w:val="007F3626"/>
    <w:rsid w:val="007F3648"/>
    <w:rsid w:val="007F380F"/>
    <w:rsid w:val="007F3A03"/>
    <w:rsid w:val="007F3A78"/>
    <w:rsid w:val="007F3CDE"/>
    <w:rsid w:val="007F405A"/>
    <w:rsid w:val="007F592A"/>
    <w:rsid w:val="007F5A6D"/>
    <w:rsid w:val="007F62E2"/>
    <w:rsid w:val="007F68D6"/>
    <w:rsid w:val="007F7329"/>
    <w:rsid w:val="007F78DD"/>
    <w:rsid w:val="0080044D"/>
    <w:rsid w:val="00801CC5"/>
    <w:rsid w:val="008027BC"/>
    <w:rsid w:val="00802B10"/>
    <w:rsid w:val="00802E28"/>
    <w:rsid w:val="00803070"/>
    <w:rsid w:val="008040D7"/>
    <w:rsid w:val="0080480B"/>
    <w:rsid w:val="00804C69"/>
    <w:rsid w:val="00805217"/>
    <w:rsid w:val="0080621A"/>
    <w:rsid w:val="008063AB"/>
    <w:rsid w:val="0080711D"/>
    <w:rsid w:val="00807269"/>
    <w:rsid w:val="00807B5B"/>
    <w:rsid w:val="00810570"/>
    <w:rsid w:val="00811A91"/>
    <w:rsid w:val="0081201E"/>
    <w:rsid w:val="00812217"/>
    <w:rsid w:val="00812348"/>
    <w:rsid w:val="008136D8"/>
    <w:rsid w:val="00813B95"/>
    <w:rsid w:val="00813DE1"/>
    <w:rsid w:val="00814074"/>
    <w:rsid w:val="00814EBE"/>
    <w:rsid w:val="00814FEB"/>
    <w:rsid w:val="008153EB"/>
    <w:rsid w:val="008154FF"/>
    <w:rsid w:val="008155CD"/>
    <w:rsid w:val="00815896"/>
    <w:rsid w:val="00815B25"/>
    <w:rsid w:val="00816D0F"/>
    <w:rsid w:val="00816DF7"/>
    <w:rsid w:val="00817027"/>
    <w:rsid w:val="00817325"/>
    <w:rsid w:val="00820158"/>
    <w:rsid w:val="00820304"/>
    <w:rsid w:val="00820B4F"/>
    <w:rsid w:val="00821303"/>
    <w:rsid w:val="0082176C"/>
    <w:rsid w:val="00821A3D"/>
    <w:rsid w:val="00821D14"/>
    <w:rsid w:val="008223E9"/>
    <w:rsid w:val="0082250C"/>
    <w:rsid w:val="0082271A"/>
    <w:rsid w:val="00822ABE"/>
    <w:rsid w:val="00822F62"/>
    <w:rsid w:val="008231C4"/>
    <w:rsid w:val="00823B1C"/>
    <w:rsid w:val="00824190"/>
    <w:rsid w:val="00825FCD"/>
    <w:rsid w:val="00826220"/>
    <w:rsid w:val="008266B8"/>
    <w:rsid w:val="00826B06"/>
    <w:rsid w:val="00830D77"/>
    <w:rsid w:val="00831B4A"/>
    <w:rsid w:val="00833325"/>
    <w:rsid w:val="00834D06"/>
    <w:rsid w:val="00834FEE"/>
    <w:rsid w:val="00836135"/>
    <w:rsid w:val="00837391"/>
    <w:rsid w:val="00837B6A"/>
    <w:rsid w:val="00837E7E"/>
    <w:rsid w:val="00840A41"/>
    <w:rsid w:val="00840B37"/>
    <w:rsid w:val="008411A0"/>
    <w:rsid w:val="008411B1"/>
    <w:rsid w:val="00841DB8"/>
    <w:rsid w:val="0084273B"/>
    <w:rsid w:val="00842F3C"/>
    <w:rsid w:val="00843A31"/>
    <w:rsid w:val="00843DB8"/>
    <w:rsid w:val="008440D1"/>
    <w:rsid w:val="00844376"/>
    <w:rsid w:val="008445BA"/>
    <w:rsid w:val="00844E31"/>
    <w:rsid w:val="00845338"/>
    <w:rsid w:val="00845820"/>
    <w:rsid w:val="00847AB9"/>
    <w:rsid w:val="00847DE7"/>
    <w:rsid w:val="00850415"/>
    <w:rsid w:val="008505D1"/>
    <w:rsid w:val="00850B04"/>
    <w:rsid w:val="00850DF1"/>
    <w:rsid w:val="00850F10"/>
    <w:rsid w:val="00851154"/>
    <w:rsid w:val="00853322"/>
    <w:rsid w:val="00854E08"/>
    <w:rsid w:val="00855158"/>
    <w:rsid w:val="00855E11"/>
    <w:rsid w:val="00856826"/>
    <w:rsid w:val="00857EE8"/>
    <w:rsid w:val="00860C87"/>
    <w:rsid w:val="00860CAD"/>
    <w:rsid w:val="008633CC"/>
    <w:rsid w:val="0086464B"/>
    <w:rsid w:val="008647FC"/>
    <w:rsid w:val="00864B93"/>
    <w:rsid w:val="00864CA8"/>
    <w:rsid w:val="008657BC"/>
    <w:rsid w:val="00865E2D"/>
    <w:rsid w:val="008667FC"/>
    <w:rsid w:val="008668DE"/>
    <w:rsid w:val="00866919"/>
    <w:rsid w:val="00866F81"/>
    <w:rsid w:val="008673B2"/>
    <w:rsid w:val="008673C0"/>
    <w:rsid w:val="008679D3"/>
    <w:rsid w:val="008706F1"/>
    <w:rsid w:val="00870E6C"/>
    <w:rsid w:val="00870F35"/>
    <w:rsid w:val="0087127B"/>
    <w:rsid w:val="00871EC6"/>
    <w:rsid w:val="008727BE"/>
    <w:rsid w:val="00873CE1"/>
    <w:rsid w:val="008742FB"/>
    <w:rsid w:val="0087446A"/>
    <w:rsid w:val="00875374"/>
    <w:rsid w:val="0087546B"/>
    <w:rsid w:val="00875846"/>
    <w:rsid w:val="00876097"/>
    <w:rsid w:val="00876169"/>
    <w:rsid w:val="00876492"/>
    <w:rsid w:val="00877301"/>
    <w:rsid w:val="008775E9"/>
    <w:rsid w:val="0088038D"/>
    <w:rsid w:val="008808BD"/>
    <w:rsid w:val="00881AC5"/>
    <w:rsid w:val="00881CD9"/>
    <w:rsid w:val="0088278E"/>
    <w:rsid w:val="0088279B"/>
    <w:rsid w:val="0088376A"/>
    <w:rsid w:val="00884486"/>
    <w:rsid w:val="00884F33"/>
    <w:rsid w:val="00885C32"/>
    <w:rsid w:val="008863B4"/>
    <w:rsid w:val="008863C1"/>
    <w:rsid w:val="00886A78"/>
    <w:rsid w:val="00886F66"/>
    <w:rsid w:val="008871A9"/>
    <w:rsid w:val="00887769"/>
    <w:rsid w:val="008913D3"/>
    <w:rsid w:val="00891512"/>
    <w:rsid w:val="008916BA"/>
    <w:rsid w:val="00891B38"/>
    <w:rsid w:val="00892176"/>
    <w:rsid w:val="00892E19"/>
    <w:rsid w:val="008931FE"/>
    <w:rsid w:val="00893230"/>
    <w:rsid w:val="0089337E"/>
    <w:rsid w:val="00893DCA"/>
    <w:rsid w:val="00895915"/>
    <w:rsid w:val="00896D38"/>
    <w:rsid w:val="008974E6"/>
    <w:rsid w:val="008A0586"/>
    <w:rsid w:val="008A075F"/>
    <w:rsid w:val="008A1DB7"/>
    <w:rsid w:val="008A1EB2"/>
    <w:rsid w:val="008A2A07"/>
    <w:rsid w:val="008A3026"/>
    <w:rsid w:val="008A3166"/>
    <w:rsid w:val="008A339C"/>
    <w:rsid w:val="008A37D1"/>
    <w:rsid w:val="008A39D0"/>
    <w:rsid w:val="008A403A"/>
    <w:rsid w:val="008A4C13"/>
    <w:rsid w:val="008A4DDB"/>
    <w:rsid w:val="008A5562"/>
    <w:rsid w:val="008A5E13"/>
    <w:rsid w:val="008A5EC7"/>
    <w:rsid w:val="008A5F2C"/>
    <w:rsid w:val="008A5FF9"/>
    <w:rsid w:val="008A6AF0"/>
    <w:rsid w:val="008A6DC3"/>
    <w:rsid w:val="008A7323"/>
    <w:rsid w:val="008B092C"/>
    <w:rsid w:val="008B18B2"/>
    <w:rsid w:val="008B18BC"/>
    <w:rsid w:val="008B18C4"/>
    <w:rsid w:val="008B2788"/>
    <w:rsid w:val="008B493B"/>
    <w:rsid w:val="008B604D"/>
    <w:rsid w:val="008B6DE7"/>
    <w:rsid w:val="008B7003"/>
    <w:rsid w:val="008B77DA"/>
    <w:rsid w:val="008C13D5"/>
    <w:rsid w:val="008C1765"/>
    <w:rsid w:val="008C1D10"/>
    <w:rsid w:val="008C222E"/>
    <w:rsid w:val="008C22C5"/>
    <w:rsid w:val="008C2414"/>
    <w:rsid w:val="008C2F56"/>
    <w:rsid w:val="008C3272"/>
    <w:rsid w:val="008C4CE9"/>
    <w:rsid w:val="008C54A9"/>
    <w:rsid w:val="008C6E16"/>
    <w:rsid w:val="008C77C1"/>
    <w:rsid w:val="008C7A9B"/>
    <w:rsid w:val="008D020A"/>
    <w:rsid w:val="008D10B7"/>
    <w:rsid w:val="008D1533"/>
    <w:rsid w:val="008D21F6"/>
    <w:rsid w:val="008D2581"/>
    <w:rsid w:val="008D2F7B"/>
    <w:rsid w:val="008D3089"/>
    <w:rsid w:val="008D4957"/>
    <w:rsid w:val="008D49F7"/>
    <w:rsid w:val="008D515B"/>
    <w:rsid w:val="008D5518"/>
    <w:rsid w:val="008D593D"/>
    <w:rsid w:val="008D63FC"/>
    <w:rsid w:val="008D68FB"/>
    <w:rsid w:val="008D6C8B"/>
    <w:rsid w:val="008E00D1"/>
    <w:rsid w:val="008E0D69"/>
    <w:rsid w:val="008E1C60"/>
    <w:rsid w:val="008E1D9A"/>
    <w:rsid w:val="008E2216"/>
    <w:rsid w:val="008E2E5F"/>
    <w:rsid w:val="008E358F"/>
    <w:rsid w:val="008E3B1F"/>
    <w:rsid w:val="008E443B"/>
    <w:rsid w:val="008E4AEC"/>
    <w:rsid w:val="008E5702"/>
    <w:rsid w:val="008E59F5"/>
    <w:rsid w:val="008E67C3"/>
    <w:rsid w:val="008E7756"/>
    <w:rsid w:val="008F053B"/>
    <w:rsid w:val="008F0C28"/>
    <w:rsid w:val="008F0FA4"/>
    <w:rsid w:val="008F14AA"/>
    <w:rsid w:val="008F201C"/>
    <w:rsid w:val="008F21A4"/>
    <w:rsid w:val="008F2694"/>
    <w:rsid w:val="008F28CB"/>
    <w:rsid w:val="008F2A31"/>
    <w:rsid w:val="008F2B73"/>
    <w:rsid w:val="008F3CA1"/>
    <w:rsid w:val="008F44C7"/>
    <w:rsid w:val="008F56C1"/>
    <w:rsid w:val="008F589F"/>
    <w:rsid w:val="008F5E8F"/>
    <w:rsid w:val="008F6420"/>
    <w:rsid w:val="008F74B0"/>
    <w:rsid w:val="008F76A9"/>
    <w:rsid w:val="008F7E1C"/>
    <w:rsid w:val="008F7E67"/>
    <w:rsid w:val="0090037B"/>
    <w:rsid w:val="00900656"/>
    <w:rsid w:val="00900BAA"/>
    <w:rsid w:val="00900DB9"/>
    <w:rsid w:val="00900DBF"/>
    <w:rsid w:val="00900FDC"/>
    <w:rsid w:val="009011AA"/>
    <w:rsid w:val="00901AD7"/>
    <w:rsid w:val="009021FC"/>
    <w:rsid w:val="009026A2"/>
    <w:rsid w:val="00902DFB"/>
    <w:rsid w:val="00904120"/>
    <w:rsid w:val="009048B9"/>
    <w:rsid w:val="00904E91"/>
    <w:rsid w:val="00905D7C"/>
    <w:rsid w:val="009060D2"/>
    <w:rsid w:val="0090682D"/>
    <w:rsid w:val="00907038"/>
    <w:rsid w:val="009077FD"/>
    <w:rsid w:val="00907CA6"/>
    <w:rsid w:val="009102B9"/>
    <w:rsid w:val="00910B61"/>
    <w:rsid w:val="00910E12"/>
    <w:rsid w:val="00911603"/>
    <w:rsid w:val="009118B0"/>
    <w:rsid w:val="00911D2D"/>
    <w:rsid w:val="009129C1"/>
    <w:rsid w:val="00913571"/>
    <w:rsid w:val="00913751"/>
    <w:rsid w:val="00914D7F"/>
    <w:rsid w:val="00914ECC"/>
    <w:rsid w:val="00915886"/>
    <w:rsid w:val="00915F6C"/>
    <w:rsid w:val="00916031"/>
    <w:rsid w:val="00916055"/>
    <w:rsid w:val="009162EA"/>
    <w:rsid w:val="009170F1"/>
    <w:rsid w:val="009214DC"/>
    <w:rsid w:val="00923C0B"/>
    <w:rsid w:val="00923D0B"/>
    <w:rsid w:val="0092419D"/>
    <w:rsid w:val="009243B5"/>
    <w:rsid w:val="009247B8"/>
    <w:rsid w:val="0092515A"/>
    <w:rsid w:val="00925DC2"/>
    <w:rsid w:val="00925F1F"/>
    <w:rsid w:val="009260C9"/>
    <w:rsid w:val="00926513"/>
    <w:rsid w:val="00927027"/>
    <w:rsid w:val="00927378"/>
    <w:rsid w:val="009273E9"/>
    <w:rsid w:val="009318D2"/>
    <w:rsid w:val="00931911"/>
    <w:rsid w:val="009319D7"/>
    <w:rsid w:val="0093252C"/>
    <w:rsid w:val="00932B9F"/>
    <w:rsid w:val="00933201"/>
    <w:rsid w:val="0093346E"/>
    <w:rsid w:val="009344BA"/>
    <w:rsid w:val="009351A3"/>
    <w:rsid w:val="00935A90"/>
    <w:rsid w:val="00936415"/>
    <w:rsid w:val="00936D1F"/>
    <w:rsid w:val="00937334"/>
    <w:rsid w:val="009378EB"/>
    <w:rsid w:val="0094106B"/>
    <w:rsid w:val="00941181"/>
    <w:rsid w:val="0094143B"/>
    <w:rsid w:val="00942208"/>
    <w:rsid w:val="00943C85"/>
    <w:rsid w:val="00944A38"/>
    <w:rsid w:val="00944D37"/>
    <w:rsid w:val="0094590F"/>
    <w:rsid w:val="00945D0B"/>
    <w:rsid w:val="00946E61"/>
    <w:rsid w:val="00947F78"/>
    <w:rsid w:val="00950011"/>
    <w:rsid w:val="009526BF"/>
    <w:rsid w:val="00952B31"/>
    <w:rsid w:val="00953234"/>
    <w:rsid w:val="009533D3"/>
    <w:rsid w:val="00953A2E"/>
    <w:rsid w:val="00954C66"/>
    <w:rsid w:val="00954EA3"/>
    <w:rsid w:val="009561D6"/>
    <w:rsid w:val="00956235"/>
    <w:rsid w:val="00956E8A"/>
    <w:rsid w:val="00957AC9"/>
    <w:rsid w:val="00957E16"/>
    <w:rsid w:val="009604A4"/>
    <w:rsid w:val="0096175C"/>
    <w:rsid w:val="00961833"/>
    <w:rsid w:val="00961EAF"/>
    <w:rsid w:val="0096278F"/>
    <w:rsid w:val="009629AD"/>
    <w:rsid w:val="0096438F"/>
    <w:rsid w:val="009643D9"/>
    <w:rsid w:val="00965C78"/>
    <w:rsid w:val="00965E3B"/>
    <w:rsid w:val="00967459"/>
    <w:rsid w:val="00967510"/>
    <w:rsid w:val="009675A2"/>
    <w:rsid w:val="009676F6"/>
    <w:rsid w:val="00967871"/>
    <w:rsid w:val="00967E22"/>
    <w:rsid w:val="009704B5"/>
    <w:rsid w:val="00970AC0"/>
    <w:rsid w:val="00971703"/>
    <w:rsid w:val="009726E1"/>
    <w:rsid w:val="0097270A"/>
    <w:rsid w:val="00972A04"/>
    <w:rsid w:val="00972EFD"/>
    <w:rsid w:val="00974665"/>
    <w:rsid w:val="009749A7"/>
    <w:rsid w:val="00974FEE"/>
    <w:rsid w:val="00975C2D"/>
    <w:rsid w:val="009760A5"/>
    <w:rsid w:val="009764BC"/>
    <w:rsid w:val="00976578"/>
    <w:rsid w:val="00977591"/>
    <w:rsid w:val="00980E75"/>
    <w:rsid w:val="00981F65"/>
    <w:rsid w:val="00982131"/>
    <w:rsid w:val="009822D4"/>
    <w:rsid w:val="00982B07"/>
    <w:rsid w:val="00983644"/>
    <w:rsid w:val="0098509A"/>
    <w:rsid w:val="009853D6"/>
    <w:rsid w:val="009857F7"/>
    <w:rsid w:val="0098633A"/>
    <w:rsid w:val="00986351"/>
    <w:rsid w:val="009868EF"/>
    <w:rsid w:val="00986AD3"/>
    <w:rsid w:val="00987242"/>
    <w:rsid w:val="00987DCE"/>
    <w:rsid w:val="009910DD"/>
    <w:rsid w:val="00991555"/>
    <w:rsid w:val="00992A28"/>
    <w:rsid w:val="00992CB7"/>
    <w:rsid w:val="00993C75"/>
    <w:rsid w:val="00993CBA"/>
    <w:rsid w:val="00994BE0"/>
    <w:rsid w:val="0099545D"/>
    <w:rsid w:val="0099578C"/>
    <w:rsid w:val="00996006"/>
    <w:rsid w:val="00996D32"/>
    <w:rsid w:val="009973E3"/>
    <w:rsid w:val="00997BEE"/>
    <w:rsid w:val="009A08D5"/>
    <w:rsid w:val="009A1804"/>
    <w:rsid w:val="009A1DC6"/>
    <w:rsid w:val="009A25B1"/>
    <w:rsid w:val="009A2FD2"/>
    <w:rsid w:val="009A40E3"/>
    <w:rsid w:val="009A4608"/>
    <w:rsid w:val="009A49E8"/>
    <w:rsid w:val="009A613C"/>
    <w:rsid w:val="009A61E5"/>
    <w:rsid w:val="009A6A57"/>
    <w:rsid w:val="009A70BF"/>
    <w:rsid w:val="009B0B80"/>
    <w:rsid w:val="009B13E4"/>
    <w:rsid w:val="009B1514"/>
    <w:rsid w:val="009B1A15"/>
    <w:rsid w:val="009B1D1E"/>
    <w:rsid w:val="009B21AB"/>
    <w:rsid w:val="009B2339"/>
    <w:rsid w:val="009B2AE1"/>
    <w:rsid w:val="009B2D5A"/>
    <w:rsid w:val="009B353E"/>
    <w:rsid w:val="009B35E3"/>
    <w:rsid w:val="009B410E"/>
    <w:rsid w:val="009B4174"/>
    <w:rsid w:val="009B472F"/>
    <w:rsid w:val="009B65E4"/>
    <w:rsid w:val="009B69CE"/>
    <w:rsid w:val="009B6ADC"/>
    <w:rsid w:val="009B7385"/>
    <w:rsid w:val="009B7A31"/>
    <w:rsid w:val="009C0852"/>
    <w:rsid w:val="009C0C1D"/>
    <w:rsid w:val="009C13CA"/>
    <w:rsid w:val="009C19AC"/>
    <w:rsid w:val="009C2959"/>
    <w:rsid w:val="009C32C6"/>
    <w:rsid w:val="009C33D1"/>
    <w:rsid w:val="009C3913"/>
    <w:rsid w:val="009C3A83"/>
    <w:rsid w:val="009C57E3"/>
    <w:rsid w:val="009C5BD2"/>
    <w:rsid w:val="009C5C1B"/>
    <w:rsid w:val="009C5CBA"/>
    <w:rsid w:val="009C665F"/>
    <w:rsid w:val="009C6B6F"/>
    <w:rsid w:val="009C7513"/>
    <w:rsid w:val="009C7D49"/>
    <w:rsid w:val="009D00AB"/>
    <w:rsid w:val="009D00E6"/>
    <w:rsid w:val="009D1239"/>
    <w:rsid w:val="009D2BF3"/>
    <w:rsid w:val="009D2E8B"/>
    <w:rsid w:val="009D316F"/>
    <w:rsid w:val="009D321E"/>
    <w:rsid w:val="009D3882"/>
    <w:rsid w:val="009D3A64"/>
    <w:rsid w:val="009D3BCF"/>
    <w:rsid w:val="009D4A7A"/>
    <w:rsid w:val="009D4B30"/>
    <w:rsid w:val="009D579D"/>
    <w:rsid w:val="009D5AB0"/>
    <w:rsid w:val="009D5DC3"/>
    <w:rsid w:val="009D6D1E"/>
    <w:rsid w:val="009D7611"/>
    <w:rsid w:val="009D7E38"/>
    <w:rsid w:val="009E0115"/>
    <w:rsid w:val="009E087E"/>
    <w:rsid w:val="009E095B"/>
    <w:rsid w:val="009E0F70"/>
    <w:rsid w:val="009E1846"/>
    <w:rsid w:val="009E19FA"/>
    <w:rsid w:val="009E1AA7"/>
    <w:rsid w:val="009E1CE7"/>
    <w:rsid w:val="009E23F8"/>
    <w:rsid w:val="009E2594"/>
    <w:rsid w:val="009E2A37"/>
    <w:rsid w:val="009E2DF9"/>
    <w:rsid w:val="009E3251"/>
    <w:rsid w:val="009E49BE"/>
    <w:rsid w:val="009E4EE1"/>
    <w:rsid w:val="009E50F4"/>
    <w:rsid w:val="009E5F47"/>
    <w:rsid w:val="009E64D5"/>
    <w:rsid w:val="009E6F49"/>
    <w:rsid w:val="009E72DC"/>
    <w:rsid w:val="009E78FF"/>
    <w:rsid w:val="009E7D94"/>
    <w:rsid w:val="009E7F4A"/>
    <w:rsid w:val="009F0777"/>
    <w:rsid w:val="009F08BB"/>
    <w:rsid w:val="009F3442"/>
    <w:rsid w:val="009F39F8"/>
    <w:rsid w:val="009F3E57"/>
    <w:rsid w:val="009F4533"/>
    <w:rsid w:val="009F4E91"/>
    <w:rsid w:val="009F520F"/>
    <w:rsid w:val="009F6666"/>
    <w:rsid w:val="009F67CD"/>
    <w:rsid w:val="009F6C2A"/>
    <w:rsid w:val="009F6E04"/>
    <w:rsid w:val="009F70DE"/>
    <w:rsid w:val="009F73AB"/>
    <w:rsid w:val="009F7780"/>
    <w:rsid w:val="009F7AE5"/>
    <w:rsid w:val="009F7F6C"/>
    <w:rsid w:val="00A00552"/>
    <w:rsid w:val="00A00619"/>
    <w:rsid w:val="00A0065F"/>
    <w:rsid w:val="00A01494"/>
    <w:rsid w:val="00A01611"/>
    <w:rsid w:val="00A01FE5"/>
    <w:rsid w:val="00A02F39"/>
    <w:rsid w:val="00A06080"/>
    <w:rsid w:val="00A07C6E"/>
    <w:rsid w:val="00A11604"/>
    <w:rsid w:val="00A1169A"/>
    <w:rsid w:val="00A118A2"/>
    <w:rsid w:val="00A119AF"/>
    <w:rsid w:val="00A119B7"/>
    <w:rsid w:val="00A12DBB"/>
    <w:rsid w:val="00A13021"/>
    <w:rsid w:val="00A13321"/>
    <w:rsid w:val="00A13B96"/>
    <w:rsid w:val="00A14178"/>
    <w:rsid w:val="00A146FE"/>
    <w:rsid w:val="00A14A9A"/>
    <w:rsid w:val="00A15639"/>
    <w:rsid w:val="00A15B4F"/>
    <w:rsid w:val="00A160AF"/>
    <w:rsid w:val="00A16191"/>
    <w:rsid w:val="00A16EFE"/>
    <w:rsid w:val="00A17823"/>
    <w:rsid w:val="00A17D73"/>
    <w:rsid w:val="00A22264"/>
    <w:rsid w:val="00A22FA9"/>
    <w:rsid w:val="00A23299"/>
    <w:rsid w:val="00A23690"/>
    <w:rsid w:val="00A2459A"/>
    <w:rsid w:val="00A25024"/>
    <w:rsid w:val="00A25B6A"/>
    <w:rsid w:val="00A25BF0"/>
    <w:rsid w:val="00A25F11"/>
    <w:rsid w:val="00A25F3A"/>
    <w:rsid w:val="00A26ADC"/>
    <w:rsid w:val="00A303BE"/>
    <w:rsid w:val="00A3095B"/>
    <w:rsid w:val="00A318D1"/>
    <w:rsid w:val="00A3274C"/>
    <w:rsid w:val="00A328D3"/>
    <w:rsid w:val="00A34B58"/>
    <w:rsid w:val="00A35A72"/>
    <w:rsid w:val="00A35F8F"/>
    <w:rsid w:val="00A362D9"/>
    <w:rsid w:val="00A36FF0"/>
    <w:rsid w:val="00A3719D"/>
    <w:rsid w:val="00A3763F"/>
    <w:rsid w:val="00A41377"/>
    <w:rsid w:val="00A415EC"/>
    <w:rsid w:val="00A4187A"/>
    <w:rsid w:val="00A4263D"/>
    <w:rsid w:val="00A42E5C"/>
    <w:rsid w:val="00A448EE"/>
    <w:rsid w:val="00A44B77"/>
    <w:rsid w:val="00A44E20"/>
    <w:rsid w:val="00A44E26"/>
    <w:rsid w:val="00A45591"/>
    <w:rsid w:val="00A4564E"/>
    <w:rsid w:val="00A45965"/>
    <w:rsid w:val="00A464B3"/>
    <w:rsid w:val="00A509B8"/>
    <w:rsid w:val="00A51387"/>
    <w:rsid w:val="00A52AB9"/>
    <w:rsid w:val="00A54A11"/>
    <w:rsid w:val="00A558A4"/>
    <w:rsid w:val="00A560AF"/>
    <w:rsid w:val="00A56135"/>
    <w:rsid w:val="00A57527"/>
    <w:rsid w:val="00A57A27"/>
    <w:rsid w:val="00A57A64"/>
    <w:rsid w:val="00A57D43"/>
    <w:rsid w:val="00A6210B"/>
    <w:rsid w:val="00A62651"/>
    <w:rsid w:val="00A62AA5"/>
    <w:rsid w:val="00A635E3"/>
    <w:rsid w:val="00A64EBF"/>
    <w:rsid w:val="00A6505A"/>
    <w:rsid w:val="00A65D95"/>
    <w:rsid w:val="00A66225"/>
    <w:rsid w:val="00A70297"/>
    <w:rsid w:val="00A71200"/>
    <w:rsid w:val="00A71448"/>
    <w:rsid w:val="00A7155B"/>
    <w:rsid w:val="00A71618"/>
    <w:rsid w:val="00A71BA7"/>
    <w:rsid w:val="00A72E65"/>
    <w:rsid w:val="00A7323A"/>
    <w:rsid w:val="00A73750"/>
    <w:rsid w:val="00A73C5D"/>
    <w:rsid w:val="00A742A7"/>
    <w:rsid w:val="00A753A5"/>
    <w:rsid w:val="00A76E31"/>
    <w:rsid w:val="00A77ED4"/>
    <w:rsid w:val="00A80300"/>
    <w:rsid w:val="00A812F4"/>
    <w:rsid w:val="00A82203"/>
    <w:rsid w:val="00A830E0"/>
    <w:rsid w:val="00A831B4"/>
    <w:rsid w:val="00A83C1C"/>
    <w:rsid w:val="00A8446D"/>
    <w:rsid w:val="00A84B9C"/>
    <w:rsid w:val="00A84C22"/>
    <w:rsid w:val="00A84EDC"/>
    <w:rsid w:val="00A85781"/>
    <w:rsid w:val="00A874DF"/>
    <w:rsid w:val="00A87937"/>
    <w:rsid w:val="00A87A1A"/>
    <w:rsid w:val="00A87EF2"/>
    <w:rsid w:val="00A900EB"/>
    <w:rsid w:val="00A90B85"/>
    <w:rsid w:val="00A916E7"/>
    <w:rsid w:val="00A916E9"/>
    <w:rsid w:val="00A91EF1"/>
    <w:rsid w:val="00A91F48"/>
    <w:rsid w:val="00A934D0"/>
    <w:rsid w:val="00A93DF6"/>
    <w:rsid w:val="00A94240"/>
    <w:rsid w:val="00A94633"/>
    <w:rsid w:val="00A954EB"/>
    <w:rsid w:val="00A9580D"/>
    <w:rsid w:val="00A95A89"/>
    <w:rsid w:val="00A95C06"/>
    <w:rsid w:val="00A96897"/>
    <w:rsid w:val="00A96CC1"/>
    <w:rsid w:val="00A973AB"/>
    <w:rsid w:val="00A97798"/>
    <w:rsid w:val="00A9796E"/>
    <w:rsid w:val="00A97C11"/>
    <w:rsid w:val="00A97C32"/>
    <w:rsid w:val="00AA0393"/>
    <w:rsid w:val="00AA03A0"/>
    <w:rsid w:val="00AA139D"/>
    <w:rsid w:val="00AA162B"/>
    <w:rsid w:val="00AA1DFB"/>
    <w:rsid w:val="00AA1FEA"/>
    <w:rsid w:val="00AA3C31"/>
    <w:rsid w:val="00AA4F3D"/>
    <w:rsid w:val="00AA4F91"/>
    <w:rsid w:val="00AA5213"/>
    <w:rsid w:val="00AA65A6"/>
    <w:rsid w:val="00AA7061"/>
    <w:rsid w:val="00AA73C7"/>
    <w:rsid w:val="00AA7D1F"/>
    <w:rsid w:val="00AB0E5D"/>
    <w:rsid w:val="00AB1845"/>
    <w:rsid w:val="00AB21C9"/>
    <w:rsid w:val="00AB2220"/>
    <w:rsid w:val="00AB2DF6"/>
    <w:rsid w:val="00AB3228"/>
    <w:rsid w:val="00AB400F"/>
    <w:rsid w:val="00AB4082"/>
    <w:rsid w:val="00AB4AC1"/>
    <w:rsid w:val="00AB4CD1"/>
    <w:rsid w:val="00AB525E"/>
    <w:rsid w:val="00AB62A9"/>
    <w:rsid w:val="00AB6B97"/>
    <w:rsid w:val="00AB6ED1"/>
    <w:rsid w:val="00AB746D"/>
    <w:rsid w:val="00AC0110"/>
    <w:rsid w:val="00AC02AE"/>
    <w:rsid w:val="00AC0FDD"/>
    <w:rsid w:val="00AC14D8"/>
    <w:rsid w:val="00AC1898"/>
    <w:rsid w:val="00AC1D8E"/>
    <w:rsid w:val="00AC200C"/>
    <w:rsid w:val="00AC25DC"/>
    <w:rsid w:val="00AC48FA"/>
    <w:rsid w:val="00AC4CA9"/>
    <w:rsid w:val="00AC5C90"/>
    <w:rsid w:val="00AC606A"/>
    <w:rsid w:val="00AC6B33"/>
    <w:rsid w:val="00AC6C42"/>
    <w:rsid w:val="00AC729A"/>
    <w:rsid w:val="00AC741A"/>
    <w:rsid w:val="00AC745D"/>
    <w:rsid w:val="00AC7DE1"/>
    <w:rsid w:val="00AD0115"/>
    <w:rsid w:val="00AD0240"/>
    <w:rsid w:val="00AD02C1"/>
    <w:rsid w:val="00AD1305"/>
    <w:rsid w:val="00AD2A62"/>
    <w:rsid w:val="00AD2F7B"/>
    <w:rsid w:val="00AD301D"/>
    <w:rsid w:val="00AD3126"/>
    <w:rsid w:val="00AD321E"/>
    <w:rsid w:val="00AD3D74"/>
    <w:rsid w:val="00AD3E77"/>
    <w:rsid w:val="00AD3EE3"/>
    <w:rsid w:val="00AD4137"/>
    <w:rsid w:val="00AD4F54"/>
    <w:rsid w:val="00AD5247"/>
    <w:rsid w:val="00AD5258"/>
    <w:rsid w:val="00AD5909"/>
    <w:rsid w:val="00AD5979"/>
    <w:rsid w:val="00AD5B50"/>
    <w:rsid w:val="00AD6B57"/>
    <w:rsid w:val="00AD6D53"/>
    <w:rsid w:val="00AD73D1"/>
    <w:rsid w:val="00AD7626"/>
    <w:rsid w:val="00AD7853"/>
    <w:rsid w:val="00AD7890"/>
    <w:rsid w:val="00AE04D6"/>
    <w:rsid w:val="00AE0CD0"/>
    <w:rsid w:val="00AE15CB"/>
    <w:rsid w:val="00AE19B1"/>
    <w:rsid w:val="00AE1A11"/>
    <w:rsid w:val="00AE2139"/>
    <w:rsid w:val="00AE262A"/>
    <w:rsid w:val="00AE2717"/>
    <w:rsid w:val="00AE2C4A"/>
    <w:rsid w:val="00AE3803"/>
    <w:rsid w:val="00AE39D0"/>
    <w:rsid w:val="00AE52AD"/>
    <w:rsid w:val="00AE5D0B"/>
    <w:rsid w:val="00AE6606"/>
    <w:rsid w:val="00AE7096"/>
    <w:rsid w:val="00AF0BE8"/>
    <w:rsid w:val="00AF0E16"/>
    <w:rsid w:val="00AF178E"/>
    <w:rsid w:val="00AF20DF"/>
    <w:rsid w:val="00AF2427"/>
    <w:rsid w:val="00AF2D68"/>
    <w:rsid w:val="00AF312C"/>
    <w:rsid w:val="00AF3F00"/>
    <w:rsid w:val="00AF50A8"/>
    <w:rsid w:val="00AF567F"/>
    <w:rsid w:val="00AF63A3"/>
    <w:rsid w:val="00AF64B7"/>
    <w:rsid w:val="00AF6E43"/>
    <w:rsid w:val="00AF767E"/>
    <w:rsid w:val="00AF7C5F"/>
    <w:rsid w:val="00B0176C"/>
    <w:rsid w:val="00B01DAB"/>
    <w:rsid w:val="00B02483"/>
    <w:rsid w:val="00B0342F"/>
    <w:rsid w:val="00B037BA"/>
    <w:rsid w:val="00B0398D"/>
    <w:rsid w:val="00B053EF"/>
    <w:rsid w:val="00B06670"/>
    <w:rsid w:val="00B077EA"/>
    <w:rsid w:val="00B10C6C"/>
    <w:rsid w:val="00B134A1"/>
    <w:rsid w:val="00B13D0A"/>
    <w:rsid w:val="00B14262"/>
    <w:rsid w:val="00B147F3"/>
    <w:rsid w:val="00B158D3"/>
    <w:rsid w:val="00B1620E"/>
    <w:rsid w:val="00B16C9A"/>
    <w:rsid w:val="00B16CEA"/>
    <w:rsid w:val="00B17C4B"/>
    <w:rsid w:val="00B17FCD"/>
    <w:rsid w:val="00B20139"/>
    <w:rsid w:val="00B209AE"/>
    <w:rsid w:val="00B218DA"/>
    <w:rsid w:val="00B21DB7"/>
    <w:rsid w:val="00B220EC"/>
    <w:rsid w:val="00B2261B"/>
    <w:rsid w:val="00B23A27"/>
    <w:rsid w:val="00B23B61"/>
    <w:rsid w:val="00B2419C"/>
    <w:rsid w:val="00B27956"/>
    <w:rsid w:val="00B30B5B"/>
    <w:rsid w:val="00B30BE5"/>
    <w:rsid w:val="00B3375F"/>
    <w:rsid w:val="00B33860"/>
    <w:rsid w:val="00B342FA"/>
    <w:rsid w:val="00B346B2"/>
    <w:rsid w:val="00B346B5"/>
    <w:rsid w:val="00B35366"/>
    <w:rsid w:val="00B356F9"/>
    <w:rsid w:val="00B3666B"/>
    <w:rsid w:val="00B3784F"/>
    <w:rsid w:val="00B4115D"/>
    <w:rsid w:val="00B414E6"/>
    <w:rsid w:val="00B421C3"/>
    <w:rsid w:val="00B42330"/>
    <w:rsid w:val="00B428A3"/>
    <w:rsid w:val="00B4326A"/>
    <w:rsid w:val="00B43406"/>
    <w:rsid w:val="00B44FFF"/>
    <w:rsid w:val="00B45D36"/>
    <w:rsid w:val="00B46BC2"/>
    <w:rsid w:val="00B50B17"/>
    <w:rsid w:val="00B511C5"/>
    <w:rsid w:val="00B519F6"/>
    <w:rsid w:val="00B51DD7"/>
    <w:rsid w:val="00B52614"/>
    <w:rsid w:val="00B52AF5"/>
    <w:rsid w:val="00B52B7C"/>
    <w:rsid w:val="00B53E8B"/>
    <w:rsid w:val="00B54669"/>
    <w:rsid w:val="00B54BDC"/>
    <w:rsid w:val="00B55007"/>
    <w:rsid w:val="00B5628D"/>
    <w:rsid w:val="00B57690"/>
    <w:rsid w:val="00B577CD"/>
    <w:rsid w:val="00B57ECA"/>
    <w:rsid w:val="00B57FE1"/>
    <w:rsid w:val="00B60986"/>
    <w:rsid w:val="00B60DD6"/>
    <w:rsid w:val="00B6148E"/>
    <w:rsid w:val="00B63381"/>
    <w:rsid w:val="00B637EE"/>
    <w:rsid w:val="00B6426C"/>
    <w:rsid w:val="00B64694"/>
    <w:rsid w:val="00B650D7"/>
    <w:rsid w:val="00B65498"/>
    <w:rsid w:val="00B65C5C"/>
    <w:rsid w:val="00B661F1"/>
    <w:rsid w:val="00B66B66"/>
    <w:rsid w:val="00B677B8"/>
    <w:rsid w:val="00B67BB8"/>
    <w:rsid w:val="00B67C73"/>
    <w:rsid w:val="00B70336"/>
    <w:rsid w:val="00B70D1F"/>
    <w:rsid w:val="00B70FB2"/>
    <w:rsid w:val="00B71798"/>
    <w:rsid w:val="00B71FA3"/>
    <w:rsid w:val="00B727D4"/>
    <w:rsid w:val="00B747DD"/>
    <w:rsid w:val="00B76012"/>
    <w:rsid w:val="00B76451"/>
    <w:rsid w:val="00B76D77"/>
    <w:rsid w:val="00B774D2"/>
    <w:rsid w:val="00B8015A"/>
    <w:rsid w:val="00B8046E"/>
    <w:rsid w:val="00B806D3"/>
    <w:rsid w:val="00B8097D"/>
    <w:rsid w:val="00B80EA5"/>
    <w:rsid w:val="00B80FEB"/>
    <w:rsid w:val="00B812F1"/>
    <w:rsid w:val="00B82647"/>
    <w:rsid w:val="00B82A57"/>
    <w:rsid w:val="00B82D79"/>
    <w:rsid w:val="00B83687"/>
    <w:rsid w:val="00B83C51"/>
    <w:rsid w:val="00B83D73"/>
    <w:rsid w:val="00B84789"/>
    <w:rsid w:val="00B84A8E"/>
    <w:rsid w:val="00B84BE3"/>
    <w:rsid w:val="00B861BF"/>
    <w:rsid w:val="00B86C61"/>
    <w:rsid w:val="00B86EEE"/>
    <w:rsid w:val="00B876E9"/>
    <w:rsid w:val="00B87D81"/>
    <w:rsid w:val="00B87DB6"/>
    <w:rsid w:val="00B90157"/>
    <w:rsid w:val="00B90666"/>
    <w:rsid w:val="00B906BD"/>
    <w:rsid w:val="00B90964"/>
    <w:rsid w:val="00B90B66"/>
    <w:rsid w:val="00B91271"/>
    <w:rsid w:val="00B91423"/>
    <w:rsid w:val="00B922C5"/>
    <w:rsid w:val="00B926AF"/>
    <w:rsid w:val="00B92A69"/>
    <w:rsid w:val="00B9301B"/>
    <w:rsid w:val="00B936F2"/>
    <w:rsid w:val="00B93747"/>
    <w:rsid w:val="00B937A6"/>
    <w:rsid w:val="00B947DD"/>
    <w:rsid w:val="00B94CB5"/>
    <w:rsid w:val="00B951FF"/>
    <w:rsid w:val="00B9539C"/>
    <w:rsid w:val="00B95852"/>
    <w:rsid w:val="00B966BA"/>
    <w:rsid w:val="00B96C6B"/>
    <w:rsid w:val="00B9766E"/>
    <w:rsid w:val="00BA053B"/>
    <w:rsid w:val="00BA0A71"/>
    <w:rsid w:val="00BA11D3"/>
    <w:rsid w:val="00BA2109"/>
    <w:rsid w:val="00BA2CD4"/>
    <w:rsid w:val="00BA2F17"/>
    <w:rsid w:val="00BA36E2"/>
    <w:rsid w:val="00BA3ADB"/>
    <w:rsid w:val="00BA52E7"/>
    <w:rsid w:val="00BA552A"/>
    <w:rsid w:val="00BA557A"/>
    <w:rsid w:val="00BA6B34"/>
    <w:rsid w:val="00BA737B"/>
    <w:rsid w:val="00BB0B2C"/>
    <w:rsid w:val="00BB1782"/>
    <w:rsid w:val="00BB2BAF"/>
    <w:rsid w:val="00BB311C"/>
    <w:rsid w:val="00BB3465"/>
    <w:rsid w:val="00BB35AE"/>
    <w:rsid w:val="00BB40E5"/>
    <w:rsid w:val="00BB4EA7"/>
    <w:rsid w:val="00BB6ABC"/>
    <w:rsid w:val="00BB6B70"/>
    <w:rsid w:val="00BB7709"/>
    <w:rsid w:val="00BB7AF0"/>
    <w:rsid w:val="00BC03A1"/>
    <w:rsid w:val="00BC0D25"/>
    <w:rsid w:val="00BC16ED"/>
    <w:rsid w:val="00BC2BE4"/>
    <w:rsid w:val="00BC3782"/>
    <w:rsid w:val="00BC3D5A"/>
    <w:rsid w:val="00BC3F8C"/>
    <w:rsid w:val="00BC5A9B"/>
    <w:rsid w:val="00BC617A"/>
    <w:rsid w:val="00BC65E6"/>
    <w:rsid w:val="00BC695E"/>
    <w:rsid w:val="00BC70F2"/>
    <w:rsid w:val="00BC79AF"/>
    <w:rsid w:val="00BD061B"/>
    <w:rsid w:val="00BD154C"/>
    <w:rsid w:val="00BD1989"/>
    <w:rsid w:val="00BD2505"/>
    <w:rsid w:val="00BD26DF"/>
    <w:rsid w:val="00BD3852"/>
    <w:rsid w:val="00BD3943"/>
    <w:rsid w:val="00BD3DF8"/>
    <w:rsid w:val="00BD48B4"/>
    <w:rsid w:val="00BD4ACB"/>
    <w:rsid w:val="00BD4B70"/>
    <w:rsid w:val="00BD50A0"/>
    <w:rsid w:val="00BD524F"/>
    <w:rsid w:val="00BD52B5"/>
    <w:rsid w:val="00BD5AEB"/>
    <w:rsid w:val="00BD66E7"/>
    <w:rsid w:val="00BD686D"/>
    <w:rsid w:val="00BD68AF"/>
    <w:rsid w:val="00BD6D5D"/>
    <w:rsid w:val="00BD7F21"/>
    <w:rsid w:val="00BE00BE"/>
    <w:rsid w:val="00BE0554"/>
    <w:rsid w:val="00BE1876"/>
    <w:rsid w:val="00BE194F"/>
    <w:rsid w:val="00BE1B8C"/>
    <w:rsid w:val="00BE2976"/>
    <w:rsid w:val="00BE2CEE"/>
    <w:rsid w:val="00BE31C5"/>
    <w:rsid w:val="00BE3F42"/>
    <w:rsid w:val="00BE4E92"/>
    <w:rsid w:val="00BE56C3"/>
    <w:rsid w:val="00BE592D"/>
    <w:rsid w:val="00BE5B1D"/>
    <w:rsid w:val="00BE5E53"/>
    <w:rsid w:val="00BE6AF2"/>
    <w:rsid w:val="00BE6F5F"/>
    <w:rsid w:val="00BF0358"/>
    <w:rsid w:val="00BF07E0"/>
    <w:rsid w:val="00BF10A9"/>
    <w:rsid w:val="00BF15B7"/>
    <w:rsid w:val="00BF22F1"/>
    <w:rsid w:val="00BF2346"/>
    <w:rsid w:val="00BF24A9"/>
    <w:rsid w:val="00BF343F"/>
    <w:rsid w:val="00BF3A65"/>
    <w:rsid w:val="00BF48AC"/>
    <w:rsid w:val="00BF4947"/>
    <w:rsid w:val="00BF52B0"/>
    <w:rsid w:val="00BF5697"/>
    <w:rsid w:val="00BF5F6C"/>
    <w:rsid w:val="00BF74A9"/>
    <w:rsid w:val="00BF7B57"/>
    <w:rsid w:val="00C013CB"/>
    <w:rsid w:val="00C0162B"/>
    <w:rsid w:val="00C01DF1"/>
    <w:rsid w:val="00C024BA"/>
    <w:rsid w:val="00C02BD7"/>
    <w:rsid w:val="00C03734"/>
    <w:rsid w:val="00C03833"/>
    <w:rsid w:val="00C03981"/>
    <w:rsid w:val="00C03AB1"/>
    <w:rsid w:val="00C03DC1"/>
    <w:rsid w:val="00C0406B"/>
    <w:rsid w:val="00C04646"/>
    <w:rsid w:val="00C04B31"/>
    <w:rsid w:val="00C05542"/>
    <w:rsid w:val="00C05CF5"/>
    <w:rsid w:val="00C06DF6"/>
    <w:rsid w:val="00C06F33"/>
    <w:rsid w:val="00C06FBF"/>
    <w:rsid w:val="00C1063B"/>
    <w:rsid w:val="00C10FAD"/>
    <w:rsid w:val="00C121A3"/>
    <w:rsid w:val="00C12C19"/>
    <w:rsid w:val="00C149B2"/>
    <w:rsid w:val="00C14B3D"/>
    <w:rsid w:val="00C14CCC"/>
    <w:rsid w:val="00C16629"/>
    <w:rsid w:val="00C1695E"/>
    <w:rsid w:val="00C16A14"/>
    <w:rsid w:val="00C16EB9"/>
    <w:rsid w:val="00C17516"/>
    <w:rsid w:val="00C17E0F"/>
    <w:rsid w:val="00C20A7A"/>
    <w:rsid w:val="00C213E6"/>
    <w:rsid w:val="00C21C41"/>
    <w:rsid w:val="00C21DD5"/>
    <w:rsid w:val="00C22051"/>
    <w:rsid w:val="00C222EF"/>
    <w:rsid w:val="00C22C1C"/>
    <w:rsid w:val="00C22D13"/>
    <w:rsid w:val="00C231BC"/>
    <w:rsid w:val="00C236BC"/>
    <w:rsid w:val="00C238CA"/>
    <w:rsid w:val="00C23EF1"/>
    <w:rsid w:val="00C24CCF"/>
    <w:rsid w:val="00C250BD"/>
    <w:rsid w:val="00C26D2B"/>
    <w:rsid w:val="00C26D99"/>
    <w:rsid w:val="00C272FB"/>
    <w:rsid w:val="00C3008C"/>
    <w:rsid w:val="00C30547"/>
    <w:rsid w:val="00C305D9"/>
    <w:rsid w:val="00C31D4A"/>
    <w:rsid w:val="00C32618"/>
    <w:rsid w:val="00C32D3B"/>
    <w:rsid w:val="00C331FA"/>
    <w:rsid w:val="00C336C7"/>
    <w:rsid w:val="00C33F2E"/>
    <w:rsid w:val="00C34353"/>
    <w:rsid w:val="00C34421"/>
    <w:rsid w:val="00C34936"/>
    <w:rsid w:val="00C34C14"/>
    <w:rsid w:val="00C34D0D"/>
    <w:rsid w:val="00C355B9"/>
    <w:rsid w:val="00C37204"/>
    <w:rsid w:val="00C379DC"/>
    <w:rsid w:val="00C37EF1"/>
    <w:rsid w:val="00C37FA7"/>
    <w:rsid w:val="00C401C4"/>
    <w:rsid w:val="00C4023D"/>
    <w:rsid w:val="00C4048E"/>
    <w:rsid w:val="00C40D4E"/>
    <w:rsid w:val="00C41680"/>
    <w:rsid w:val="00C420BE"/>
    <w:rsid w:val="00C42271"/>
    <w:rsid w:val="00C422F4"/>
    <w:rsid w:val="00C42C07"/>
    <w:rsid w:val="00C43A85"/>
    <w:rsid w:val="00C44009"/>
    <w:rsid w:val="00C443E7"/>
    <w:rsid w:val="00C44F3D"/>
    <w:rsid w:val="00C45271"/>
    <w:rsid w:val="00C51135"/>
    <w:rsid w:val="00C52346"/>
    <w:rsid w:val="00C523D0"/>
    <w:rsid w:val="00C528EE"/>
    <w:rsid w:val="00C53266"/>
    <w:rsid w:val="00C5395A"/>
    <w:rsid w:val="00C542B3"/>
    <w:rsid w:val="00C54D90"/>
    <w:rsid w:val="00C54FC8"/>
    <w:rsid w:val="00C55A13"/>
    <w:rsid w:val="00C55AC6"/>
    <w:rsid w:val="00C5762A"/>
    <w:rsid w:val="00C57879"/>
    <w:rsid w:val="00C603C2"/>
    <w:rsid w:val="00C60A25"/>
    <w:rsid w:val="00C60D16"/>
    <w:rsid w:val="00C61A4B"/>
    <w:rsid w:val="00C61C89"/>
    <w:rsid w:val="00C6265F"/>
    <w:rsid w:val="00C62680"/>
    <w:rsid w:val="00C6364B"/>
    <w:rsid w:val="00C63965"/>
    <w:rsid w:val="00C64187"/>
    <w:rsid w:val="00C64A1B"/>
    <w:rsid w:val="00C64BF2"/>
    <w:rsid w:val="00C65D96"/>
    <w:rsid w:val="00C66037"/>
    <w:rsid w:val="00C6653D"/>
    <w:rsid w:val="00C67246"/>
    <w:rsid w:val="00C67534"/>
    <w:rsid w:val="00C67EEF"/>
    <w:rsid w:val="00C708EC"/>
    <w:rsid w:val="00C71E1F"/>
    <w:rsid w:val="00C7219D"/>
    <w:rsid w:val="00C721BD"/>
    <w:rsid w:val="00C72557"/>
    <w:rsid w:val="00C751AB"/>
    <w:rsid w:val="00C75284"/>
    <w:rsid w:val="00C75FF7"/>
    <w:rsid w:val="00C765C5"/>
    <w:rsid w:val="00C76846"/>
    <w:rsid w:val="00C775CE"/>
    <w:rsid w:val="00C77942"/>
    <w:rsid w:val="00C77F0D"/>
    <w:rsid w:val="00C77FBD"/>
    <w:rsid w:val="00C8220F"/>
    <w:rsid w:val="00C82479"/>
    <w:rsid w:val="00C83B5B"/>
    <w:rsid w:val="00C84533"/>
    <w:rsid w:val="00C84B84"/>
    <w:rsid w:val="00C867C9"/>
    <w:rsid w:val="00C867F0"/>
    <w:rsid w:val="00C86C7B"/>
    <w:rsid w:val="00C86D73"/>
    <w:rsid w:val="00C8725A"/>
    <w:rsid w:val="00C87D95"/>
    <w:rsid w:val="00C91B71"/>
    <w:rsid w:val="00C91EFA"/>
    <w:rsid w:val="00C922D0"/>
    <w:rsid w:val="00C93257"/>
    <w:rsid w:val="00C93B1F"/>
    <w:rsid w:val="00C94252"/>
    <w:rsid w:val="00C94421"/>
    <w:rsid w:val="00C95627"/>
    <w:rsid w:val="00C95651"/>
    <w:rsid w:val="00C965AE"/>
    <w:rsid w:val="00C96E3F"/>
    <w:rsid w:val="00C9795C"/>
    <w:rsid w:val="00C97CAC"/>
    <w:rsid w:val="00CA06D8"/>
    <w:rsid w:val="00CA1596"/>
    <w:rsid w:val="00CA1E5A"/>
    <w:rsid w:val="00CA2AFC"/>
    <w:rsid w:val="00CA2D0B"/>
    <w:rsid w:val="00CA318C"/>
    <w:rsid w:val="00CA345A"/>
    <w:rsid w:val="00CA5C82"/>
    <w:rsid w:val="00CA5F30"/>
    <w:rsid w:val="00CA5FFC"/>
    <w:rsid w:val="00CA678B"/>
    <w:rsid w:val="00CA6DC1"/>
    <w:rsid w:val="00CA71CD"/>
    <w:rsid w:val="00CA7C34"/>
    <w:rsid w:val="00CB15D9"/>
    <w:rsid w:val="00CB18A7"/>
    <w:rsid w:val="00CB26FC"/>
    <w:rsid w:val="00CB39D3"/>
    <w:rsid w:val="00CB414A"/>
    <w:rsid w:val="00CB42FE"/>
    <w:rsid w:val="00CB434C"/>
    <w:rsid w:val="00CB4360"/>
    <w:rsid w:val="00CB49FF"/>
    <w:rsid w:val="00CB52E7"/>
    <w:rsid w:val="00CB688B"/>
    <w:rsid w:val="00CB762A"/>
    <w:rsid w:val="00CB7A09"/>
    <w:rsid w:val="00CC02CF"/>
    <w:rsid w:val="00CC07E3"/>
    <w:rsid w:val="00CC086A"/>
    <w:rsid w:val="00CC0BD5"/>
    <w:rsid w:val="00CC1FDB"/>
    <w:rsid w:val="00CC268C"/>
    <w:rsid w:val="00CC273E"/>
    <w:rsid w:val="00CC4DB4"/>
    <w:rsid w:val="00CC5642"/>
    <w:rsid w:val="00CC59AF"/>
    <w:rsid w:val="00CC5BA7"/>
    <w:rsid w:val="00CC62DD"/>
    <w:rsid w:val="00CC6769"/>
    <w:rsid w:val="00CC6842"/>
    <w:rsid w:val="00CC6B29"/>
    <w:rsid w:val="00CD0E24"/>
    <w:rsid w:val="00CD0F66"/>
    <w:rsid w:val="00CD1FA8"/>
    <w:rsid w:val="00CD364B"/>
    <w:rsid w:val="00CD3726"/>
    <w:rsid w:val="00CD424D"/>
    <w:rsid w:val="00CD52AA"/>
    <w:rsid w:val="00CD61FA"/>
    <w:rsid w:val="00CD673B"/>
    <w:rsid w:val="00CD6ECA"/>
    <w:rsid w:val="00CD73D8"/>
    <w:rsid w:val="00CD7733"/>
    <w:rsid w:val="00CD7A67"/>
    <w:rsid w:val="00CD7C7A"/>
    <w:rsid w:val="00CE05A9"/>
    <w:rsid w:val="00CE0E28"/>
    <w:rsid w:val="00CE225C"/>
    <w:rsid w:val="00CE2392"/>
    <w:rsid w:val="00CE23B8"/>
    <w:rsid w:val="00CE284E"/>
    <w:rsid w:val="00CE3968"/>
    <w:rsid w:val="00CE4C07"/>
    <w:rsid w:val="00CE50D7"/>
    <w:rsid w:val="00CE524B"/>
    <w:rsid w:val="00CE68E7"/>
    <w:rsid w:val="00CE7527"/>
    <w:rsid w:val="00CE7D10"/>
    <w:rsid w:val="00CF02D8"/>
    <w:rsid w:val="00CF0439"/>
    <w:rsid w:val="00CF0539"/>
    <w:rsid w:val="00CF081F"/>
    <w:rsid w:val="00CF22C5"/>
    <w:rsid w:val="00CF24FC"/>
    <w:rsid w:val="00CF4CBE"/>
    <w:rsid w:val="00CF5120"/>
    <w:rsid w:val="00CF5809"/>
    <w:rsid w:val="00CF6B89"/>
    <w:rsid w:val="00CF701B"/>
    <w:rsid w:val="00CF75D1"/>
    <w:rsid w:val="00CF771B"/>
    <w:rsid w:val="00D0021C"/>
    <w:rsid w:val="00D00344"/>
    <w:rsid w:val="00D01206"/>
    <w:rsid w:val="00D01CE7"/>
    <w:rsid w:val="00D02F73"/>
    <w:rsid w:val="00D03952"/>
    <w:rsid w:val="00D056D3"/>
    <w:rsid w:val="00D06844"/>
    <w:rsid w:val="00D06BAA"/>
    <w:rsid w:val="00D06F8E"/>
    <w:rsid w:val="00D0703A"/>
    <w:rsid w:val="00D070A8"/>
    <w:rsid w:val="00D072B0"/>
    <w:rsid w:val="00D07305"/>
    <w:rsid w:val="00D07F75"/>
    <w:rsid w:val="00D122AF"/>
    <w:rsid w:val="00D127D3"/>
    <w:rsid w:val="00D12B62"/>
    <w:rsid w:val="00D12B9B"/>
    <w:rsid w:val="00D13365"/>
    <w:rsid w:val="00D13FEF"/>
    <w:rsid w:val="00D14718"/>
    <w:rsid w:val="00D153B4"/>
    <w:rsid w:val="00D1543F"/>
    <w:rsid w:val="00D158C2"/>
    <w:rsid w:val="00D158CA"/>
    <w:rsid w:val="00D160C7"/>
    <w:rsid w:val="00D162A6"/>
    <w:rsid w:val="00D1754D"/>
    <w:rsid w:val="00D177FE"/>
    <w:rsid w:val="00D17D3A"/>
    <w:rsid w:val="00D17D43"/>
    <w:rsid w:val="00D17E0F"/>
    <w:rsid w:val="00D2004B"/>
    <w:rsid w:val="00D214F0"/>
    <w:rsid w:val="00D21870"/>
    <w:rsid w:val="00D2223F"/>
    <w:rsid w:val="00D2247A"/>
    <w:rsid w:val="00D22535"/>
    <w:rsid w:val="00D225E2"/>
    <w:rsid w:val="00D22967"/>
    <w:rsid w:val="00D2393C"/>
    <w:rsid w:val="00D24D55"/>
    <w:rsid w:val="00D254D1"/>
    <w:rsid w:val="00D25646"/>
    <w:rsid w:val="00D2673D"/>
    <w:rsid w:val="00D26C9A"/>
    <w:rsid w:val="00D274A4"/>
    <w:rsid w:val="00D27580"/>
    <w:rsid w:val="00D277AF"/>
    <w:rsid w:val="00D30FF1"/>
    <w:rsid w:val="00D31163"/>
    <w:rsid w:val="00D3124F"/>
    <w:rsid w:val="00D31525"/>
    <w:rsid w:val="00D31E41"/>
    <w:rsid w:val="00D320B1"/>
    <w:rsid w:val="00D32424"/>
    <w:rsid w:val="00D3330D"/>
    <w:rsid w:val="00D33AFD"/>
    <w:rsid w:val="00D342A0"/>
    <w:rsid w:val="00D35809"/>
    <w:rsid w:val="00D36489"/>
    <w:rsid w:val="00D369E9"/>
    <w:rsid w:val="00D4119F"/>
    <w:rsid w:val="00D4155E"/>
    <w:rsid w:val="00D41BFA"/>
    <w:rsid w:val="00D42195"/>
    <w:rsid w:val="00D429B0"/>
    <w:rsid w:val="00D43349"/>
    <w:rsid w:val="00D43C8F"/>
    <w:rsid w:val="00D43DA4"/>
    <w:rsid w:val="00D46692"/>
    <w:rsid w:val="00D46F0D"/>
    <w:rsid w:val="00D4796F"/>
    <w:rsid w:val="00D47A6E"/>
    <w:rsid w:val="00D50274"/>
    <w:rsid w:val="00D50704"/>
    <w:rsid w:val="00D50C66"/>
    <w:rsid w:val="00D51012"/>
    <w:rsid w:val="00D5144D"/>
    <w:rsid w:val="00D52B54"/>
    <w:rsid w:val="00D531CC"/>
    <w:rsid w:val="00D537F4"/>
    <w:rsid w:val="00D53A92"/>
    <w:rsid w:val="00D53BD1"/>
    <w:rsid w:val="00D53E8E"/>
    <w:rsid w:val="00D54218"/>
    <w:rsid w:val="00D5461D"/>
    <w:rsid w:val="00D5485A"/>
    <w:rsid w:val="00D55846"/>
    <w:rsid w:val="00D5751D"/>
    <w:rsid w:val="00D5760A"/>
    <w:rsid w:val="00D60B40"/>
    <w:rsid w:val="00D61410"/>
    <w:rsid w:val="00D6220D"/>
    <w:rsid w:val="00D627E9"/>
    <w:rsid w:val="00D629BE"/>
    <w:rsid w:val="00D62CAD"/>
    <w:rsid w:val="00D62ED6"/>
    <w:rsid w:val="00D633E0"/>
    <w:rsid w:val="00D6360B"/>
    <w:rsid w:val="00D63F63"/>
    <w:rsid w:val="00D64ABE"/>
    <w:rsid w:val="00D64B97"/>
    <w:rsid w:val="00D65D48"/>
    <w:rsid w:val="00D665CE"/>
    <w:rsid w:val="00D666F1"/>
    <w:rsid w:val="00D66F65"/>
    <w:rsid w:val="00D67407"/>
    <w:rsid w:val="00D6747D"/>
    <w:rsid w:val="00D67762"/>
    <w:rsid w:val="00D67EB5"/>
    <w:rsid w:val="00D70718"/>
    <w:rsid w:val="00D709CA"/>
    <w:rsid w:val="00D709D3"/>
    <w:rsid w:val="00D70C73"/>
    <w:rsid w:val="00D71255"/>
    <w:rsid w:val="00D723E7"/>
    <w:rsid w:val="00D7394A"/>
    <w:rsid w:val="00D73BD6"/>
    <w:rsid w:val="00D74016"/>
    <w:rsid w:val="00D74FBC"/>
    <w:rsid w:val="00D7538E"/>
    <w:rsid w:val="00D7540D"/>
    <w:rsid w:val="00D75EA4"/>
    <w:rsid w:val="00D76B09"/>
    <w:rsid w:val="00D7761A"/>
    <w:rsid w:val="00D8051A"/>
    <w:rsid w:val="00D80787"/>
    <w:rsid w:val="00D8181D"/>
    <w:rsid w:val="00D819A6"/>
    <w:rsid w:val="00D81F82"/>
    <w:rsid w:val="00D827E8"/>
    <w:rsid w:val="00D828AE"/>
    <w:rsid w:val="00D82BAE"/>
    <w:rsid w:val="00D82C1C"/>
    <w:rsid w:val="00D8387F"/>
    <w:rsid w:val="00D83ED2"/>
    <w:rsid w:val="00D843C4"/>
    <w:rsid w:val="00D848A8"/>
    <w:rsid w:val="00D84D15"/>
    <w:rsid w:val="00D8588A"/>
    <w:rsid w:val="00D86003"/>
    <w:rsid w:val="00D8625E"/>
    <w:rsid w:val="00D87B0E"/>
    <w:rsid w:val="00D90FDC"/>
    <w:rsid w:val="00D9152D"/>
    <w:rsid w:val="00D92A86"/>
    <w:rsid w:val="00D92DC4"/>
    <w:rsid w:val="00D930A6"/>
    <w:rsid w:val="00D93127"/>
    <w:rsid w:val="00D93BAB"/>
    <w:rsid w:val="00D93CA9"/>
    <w:rsid w:val="00D93FE2"/>
    <w:rsid w:val="00D95A61"/>
    <w:rsid w:val="00D9612B"/>
    <w:rsid w:val="00D968D8"/>
    <w:rsid w:val="00D97310"/>
    <w:rsid w:val="00D9771F"/>
    <w:rsid w:val="00D979E5"/>
    <w:rsid w:val="00DA0A07"/>
    <w:rsid w:val="00DA0C16"/>
    <w:rsid w:val="00DA0C28"/>
    <w:rsid w:val="00DA1429"/>
    <w:rsid w:val="00DA18F0"/>
    <w:rsid w:val="00DA2640"/>
    <w:rsid w:val="00DA2819"/>
    <w:rsid w:val="00DA2AC3"/>
    <w:rsid w:val="00DA3BC9"/>
    <w:rsid w:val="00DA3EFD"/>
    <w:rsid w:val="00DA48B5"/>
    <w:rsid w:val="00DA4AF5"/>
    <w:rsid w:val="00DA4B8B"/>
    <w:rsid w:val="00DA4BA3"/>
    <w:rsid w:val="00DA4CD9"/>
    <w:rsid w:val="00DA5029"/>
    <w:rsid w:val="00DA505A"/>
    <w:rsid w:val="00DA563D"/>
    <w:rsid w:val="00DA5E75"/>
    <w:rsid w:val="00DA6831"/>
    <w:rsid w:val="00DA7277"/>
    <w:rsid w:val="00DA74C1"/>
    <w:rsid w:val="00DB15F9"/>
    <w:rsid w:val="00DB191F"/>
    <w:rsid w:val="00DB19E0"/>
    <w:rsid w:val="00DB1B5E"/>
    <w:rsid w:val="00DB1BB4"/>
    <w:rsid w:val="00DB3627"/>
    <w:rsid w:val="00DB3DC8"/>
    <w:rsid w:val="00DB45E9"/>
    <w:rsid w:val="00DB467B"/>
    <w:rsid w:val="00DB4724"/>
    <w:rsid w:val="00DB498B"/>
    <w:rsid w:val="00DB4CD5"/>
    <w:rsid w:val="00DB59A9"/>
    <w:rsid w:val="00DB613A"/>
    <w:rsid w:val="00DB6543"/>
    <w:rsid w:val="00DB67AC"/>
    <w:rsid w:val="00DB6944"/>
    <w:rsid w:val="00DB6B58"/>
    <w:rsid w:val="00DB6D10"/>
    <w:rsid w:val="00DB7151"/>
    <w:rsid w:val="00DB7489"/>
    <w:rsid w:val="00DB7C93"/>
    <w:rsid w:val="00DB7F3F"/>
    <w:rsid w:val="00DC0069"/>
    <w:rsid w:val="00DC0EE2"/>
    <w:rsid w:val="00DC295B"/>
    <w:rsid w:val="00DC36D5"/>
    <w:rsid w:val="00DC3C2C"/>
    <w:rsid w:val="00DC4746"/>
    <w:rsid w:val="00DC510A"/>
    <w:rsid w:val="00DC59FF"/>
    <w:rsid w:val="00DC606D"/>
    <w:rsid w:val="00DC615F"/>
    <w:rsid w:val="00DC6493"/>
    <w:rsid w:val="00DC66B4"/>
    <w:rsid w:val="00DC6AA2"/>
    <w:rsid w:val="00DC7905"/>
    <w:rsid w:val="00DC7C19"/>
    <w:rsid w:val="00DD0C06"/>
    <w:rsid w:val="00DD10BB"/>
    <w:rsid w:val="00DD1BCF"/>
    <w:rsid w:val="00DD2DBC"/>
    <w:rsid w:val="00DD340C"/>
    <w:rsid w:val="00DD453E"/>
    <w:rsid w:val="00DD4B06"/>
    <w:rsid w:val="00DD5109"/>
    <w:rsid w:val="00DD5C03"/>
    <w:rsid w:val="00DD6111"/>
    <w:rsid w:val="00DD61F9"/>
    <w:rsid w:val="00DD66E3"/>
    <w:rsid w:val="00DD6B2A"/>
    <w:rsid w:val="00DD6DCE"/>
    <w:rsid w:val="00DE03A6"/>
    <w:rsid w:val="00DE0961"/>
    <w:rsid w:val="00DE1905"/>
    <w:rsid w:val="00DE1A33"/>
    <w:rsid w:val="00DE1B95"/>
    <w:rsid w:val="00DE2319"/>
    <w:rsid w:val="00DE27E8"/>
    <w:rsid w:val="00DE2F30"/>
    <w:rsid w:val="00DE31E5"/>
    <w:rsid w:val="00DE3C1B"/>
    <w:rsid w:val="00DE4DAF"/>
    <w:rsid w:val="00DE6072"/>
    <w:rsid w:val="00DE6640"/>
    <w:rsid w:val="00DE67C3"/>
    <w:rsid w:val="00DE6A9A"/>
    <w:rsid w:val="00DE7149"/>
    <w:rsid w:val="00DE7300"/>
    <w:rsid w:val="00DE7C26"/>
    <w:rsid w:val="00DF01F0"/>
    <w:rsid w:val="00DF02F4"/>
    <w:rsid w:val="00DF0442"/>
    <w:rsid w:val="00DF04DE"/>
    <w:rsid w:val="00DF078A"/>
    <w:rsid w:val="00DF0842"/>
    <w:rsid w:val="00DF11DC"/>
    <w:rsid w:val="00DF1551"/>
    <w:rsid w:val="00DF2A52"/>
    <w:rsid w:val="00DF2E51"/>
    <w:rsid w:val="00DF334E"/>
    <w:rsid w:val="00DF3D15"/>
    <w:rsid w:val="00DF3D8E"/>
    <w:rsid w:val="00DF404A"/>
    <w:rsid w:val="00DF4667"/>
    <w:rsid w:val="00DF4FB9"/>
    <w:rsid w:val="00DF595F"/>
    <w:rsid w:val="00DF5A90"/>
    <w:rsid w:val="00DF5B77"/>
    <w:rsid w:val="00DF652D"/>
    <w:rsid w:val="00DF6CCD"/>
    <w:rsid w:val="00DF6F91"/>
    <w:rsid w:val="00DF7102"/>
    <w:rsid w:val="00DF7EB3"/>
    <w:rsid w:val="00E00FFD"/>
    <w:rsid w:val="00E023F6"/>
    <w:rsid w:val="00E0241F"/>
    <w:rsid w:val="00E0314C"/>
    <w:rsid w:val="00E03264"/>
    <w:rsid w:val="00E05233"/>
    <w:rsid w:val="00E05C43"/>
    <w:rsid w:val="00E060B5"/>
    <w:rsid w:val="00E063E8"/>
    <w:rsid w:val="00E07B6C"/>
    <w:rsid w:val="00E111B7"/>
    <w:rsid w:val="00E11850"/>
    <w:rsid w:val="00E1246D"/>
    <w:rsid w:val="00E1248A"/>
    <w:rsid w:val="00E12493"/>
    <w:rsid w:val="00E12857"/>
    <w:rsid w:val="00E12B54"/>
    <w:rsid w:val="00E145F9"/>
    <w:rsid w:val="00E14646"/>
    <w:rsid w:val="00E14D05"/>
    <w:rsid w:val="00E14FC2"/>
    <w:rsid w:val="00E1508F"/>
    <w:rsid w:val="00E15170"/>
    <w:rsid w:val="00E15B41"/>
    <w:rsid w:val="00E16D9D"/>
    <w:rsid w:val="00E17287"/>
    <w:rsid w:val="00E1781C"/>
    <w:rsid w:val="00E17C93"/>
    <w:rsid w:val="00E2058B"/>
    <w:rsid w:val="00E215C4"/>
    <w:rsid w:val="00E21910"/>
    <w:rsid w:val="00E228CD"/>
    <w:rsid w:val="00E22CE6"/>
    <w:rsid w:val="00E2373F"/>
    <w:rsid w:val="00E2379F"/>
    <w:rsid w:val="00E2418B"/>
    <w:rsid w:val="00E25A70"/>
    <w:rsid w:val="00E25E85"/>
    <w:rsid w:val="00E261DF"/>
    <w:rsid w:val="00E26C01"/>
    <w:rsid w:val="00E27240"/>
    <w:rsid w:val="00E27EDD"/>
    <w:rsid w:val="00E30584"/>
    <w:rsid w:val="00E310B9"/>
    <w:rsid w:val="00E31DAC"/>
    <w:rsid w:val="00E32565"/>
    <w:rsid w:val="00E32785"/>
    <w:rsid w:val="00E32DDD"/>
    <w:rsid w:val="00E33E38"/>
    <w:rsid w:val="00E35ED3"/>
    <w:rsid w:val="00E35F96"/>
    <w:rsid w:val="00E35FA2"/>
    <w:rsid w:val="00E3635D"/>
    <w:rsid w:val="00E37E1B"/>
    <w:rsid w:val="00E40C97"/>
    <w:rsid w:val="00E410F0"/>
    <w:rsid w:val="00E417D8"/>
    <w:rsid w:val="00E42215"/>
    <w:rsid w:val="00E44341"/>
    <w:rsid w:val="00E443FD"/>
    <w:rsid w:val="00E44CDF"/>
    <w:rsid w:val="00E4514D"/>
    <w:rsid w:val="00E45877"/>
    <w:rsid w:val="00E46532"/>
    <w:rsid w:val="00E46AAC"/>
    <w:rsid w:val="00E4718F"/>
    <w:rsid w:val="00E47C10"/>
    <w:rsid w:val="00E50780"/>
    <w:rsid w:val="00E50848"/>
    <w:rsid w:val="00E5101C"/>
    <w:rsid w:val="00E51C16"/>
    <w:rsid w:val="00E51F18"/>
    <w:rsid w:val="00E5335F"/>
    <w:rsid w:val="00E53445"/>
    <w:rsid w:val="00E53452"/>
    <w:rsid w:val="00E53945"/>
    <w:rsid w:val="00E541A1"/>
    <w:rsid w:val="00E54558"/>
    <w:rsid w:val="00E549CA"/>
    <w:rsid w:val="00E54C74"/>
    <w:rsid w:val="00E5513C"/>
    <w:rsid w:val="00E558E8"/>
    <w:rsid w:val="00E562C0"/>
    <w:rsid w:val="00E565FD"/>
    <w:rsid w:val="00E56704"/>
    <w:rsid w:val="00E57FAF"/>
    <w:rsid w:val="00E60514"/>
    <w:rsid w:val="00E618E0"/>
    <w:rsid w:val="00E61AC9"/>
    <w:rsid w:val="00E62903"/>
    <w:rsid w:val="00E6298F"/>
    <w:rsid w:val="00E62A16"/>
    <w:rsid w:val="00E63482"/>
    <w:rsid w:val="00E63748"/>
    <w:rsid w:val="00E64271"/>
    <w:rsid w:val="00E65530"/>
    <w:rsid w:val="00E666B5"/>
    <w:rsid w:val="00E672D6"/>
    <w:rsid w:val="00E675F9"/>
    <w:rsid w:val="00E679AB"/>
    <w:rsid w:val="00E67F67"/>
    <w:rsid w:val="00E703BD"/>
    <w:rsid w:val="00E7066F"/>
    <w:rsid w:val="00E706C0"/>
    <w:rsid w:val="00E710F8"/>
    <w:rsid w:val="00E71AC7"/>
    <w:rsid w:val="00E71B3A"/>
    <w:rsid w:val="00E72477"/>
    <w:rsid w:val="00E735F7"/>
    <w:rsid w:val="00E7446A"/>
    <w:rsid w:val="00E7479A"/>
    <w:rsid w:val="00E75970"/>
    <w:rsid w:val="00E76024"/>
    <w:rsid w:val="00E7705C"/>
    <w:rsid w:val="00E77067"/>
    <w:rsid w:val="00E80051"/>
    <w:rsid w:val="00E8024D"/>
    <w:rsid w:val="00E808D9"/>
    <w:rsid w:val="00E815B3"/>
    <w:rsid w:val="00E82024"/>
    <w:rsid w:val="00E82AEA"/>
    <w:rsid w:val="00E835C8"/>
    <w:rsid w:val="00E83961"/>
    <w:rsid w:val="00E83AA5"/>
    <w:rsid w:val="00E844AB"/>
    <w:rsid w:val="00E8560C"/>
    <w:rsid w:val="00E856A2"/>
    <w:rsid w:val="00E857FF"/>
    <w:rsid w:val="00E85BE1"/>
    <w:rsid w:val="00E85E81"/>
    <w:rsid w:val="00E86167"/>
    <w:rsid w:val="00E86245"/>
    <w:rsid w:val="00E86E01"/>
    <w:rsid w:val="00E87636"/>
    <w:rsid w:val="00E87A82"/>
    <w:rsid w:val="00E87D6C"/>
    <w:rsid w:val="00E90527"/>
    <w:rsid w:val="00E90904"/>
    <w:rsid w:val="00E9098B"/>
    <w:rsid w:val="00E90B45"/>
    <w:rsid w:val="00E90B7C"/>
    <w:rsid w:val="00E92112"/>
    <w:rsid w:val="00E924DF"/>
    <w:rsid w:val="00E930D3"/>
    <w:rsid w:val="00E93FE4"/>
    <w:rsid w:val="00E94892"/>
    <w:rsid w:val="00E94A03"/>
    <w:rsid w:val="00E94EA1"/>
    <w:rsid w:val="00E95999"/>
    <w:rsid w:val="00E95D0B"/>
    <w:rsid w:val="00E967AD"/>
    <w:rsid w:val="00E96884"/>
    <w:rsid w:val="00E9695E"/>
    <w:rsid w:val="00E96ED1"/>
    <w:rsid w:val="00E974F6"/>
    <w:rsid w:val="00E9788F"/>
    <w:rsid w:val="00E97E62"/>
    <w:rsid w:val="00EA0D5C"/>
    <w:rsid w:val="00EA11A6"/>
    <w:rsid w:val="00EA181B"/>
    <w:rsid w:val="00EA1E9F"/>
    <w:rsid w:val="00EA20C4"/>
    <w:rsid w:val="00EA2569"/>
    <w:rsid w:val="00EA4A9B"/>
    <w:rsid w:val="00EA5435"/>
    <w:rsid w:val="00EA545D"/>
    <w:rsid w:val="00EA5A78"/>
    <w:rsid w:val="00EA5F47"/>
    <w:rsid w:val="00EA6BC9"/>
    <w:rsid w:val="00EA7B14"/>
    <w:rsid w:val="00EA7CDA"/>
    <w:rsid w:val="00EB02CB"/>
    <w:rsid w:val="00EB0AB9"/>
    <w:rsid w:val="00EB0F58"/>
    <w:rsid w:val="00EB1048"/>
    <w:rsid w:val="00EB2E39"/>
    <w:rsid w:val="00EB35D7"/>
    <w:rsid w:val="00EB3D66"/>
    <w:rsid w:val="00EB40C9"/>
    <w:rsid w:val="00EB455E"/>
    <w:rsid w:val="00EB60E3"/>
    <w:rsid w:val="00EB63D2"/>
    <w:rsid w:val="00EB6671"/>
    <w:rsid w:val="00EB6F9D"/>
    <w:rsid w:val="00EC0810"/>
    <w:rsid w:val="00EC2577"/>
    <w:rsid w:val="00EC39B7"/>
    <w:rsid w:val="00EC3FEA"/>
    <w:rsid w:val="00EC4F6C"/>
    <w:rsid w:val="00EC526F"/>
    <w:rsid w:val="00EC6C08"/>
    <w:rsid w:val="00EC79DE"/>
    <w:rsid w:val="00EC7EC4"/>
    <w:rsid w:val="00EC7ECD"/>
    <w:rsid w:val="00ED014B"/>
    <w:rsid w:val="00ED07A0"/>
    <w:rsid w:val="00ED1942"/>
    <w:rsid w:val="00ED2481"/>
    <w:rsid w:val="00ED3AF5"/>
    <w:rsid w:val="00ED42A2"/>
    <w:rsid w:val="00ED46C1"/>
    <w:rsid w:val="00ED4ACE"/>
    <w:rsid w:val="00ED4D49"/>
    <w:rsid w:val="00ED4D54"/>
    <w:rsid w:val="00ED4FFC"/>
    <w:rsid w:val="00ED5216"/>
    <w:rsid w:val="00ED5E1A"/>
    <w:rsid w:val="00ED6795"/>
    <w:rsid w:val="00ED6A55"/>
    <w:rsid w:val="00ED7332"/>
    <w:rsid w:val="00EE05AC"/>
    <w:rsid w:val="00EE06A6"/>
    <w:rsid w:val="00EE1603"/>
    <w:rsid w:val="00EE1D8B"/>
    <w:rsid w:val="00EE1FBF"/>
    <w:rsid w:val="00EE22DD"/>
    <w:rsid w:val="00EE2D99"/>
    <w:rsid w:val="00EE3BD0"/>
    <w:rsid w:val="00EE4D35"/>
    <w:rsid w:val="00EE58E2"/>
    <w:rsid w:val="00EE5E1E"/>
    <w:rsid w:val="00EE60CE"/>
    <w:rsid w:val="00EE6428"/>
    <w:rsid w:val="00EF03BB"/>
    <w:rsid w:val="00EF0B4E"/>
    <w:rsid w:val="00EF0C4F"/>
    <w:rsid w:val="00EF1842"/>
    <w:rsid w:val="00EF2938"/>
    <w:rsid w:val="00EF2AF9"/>
    <w:rsid w:val="00EF2DA7"/>
    <w:rsid w:val="00EF35D0"/>
    <w:rsid w:val="00EF38B5"/>
    <w:rsid w:val="00EF523D"/>
    <w:rsid w:val="00EF652A"/>
    <w:rsid w:val="00EF7003"/>
    <w:rsid w:val="00EF7589"/>
    <w:rsid w:val="00EF7722"/>
    <w:rsid w:val="00F000B7"/>
    <w:rsid w:val="00F009E1"/>
    <w:rsid w:val="00F0119F"/>
    <w:rsid w:val="00F022E6"/>
    <w:rsid w:val="00F02B16"/>
    <w:rsid w:val="00F02F5F"/>
    <w:rsid w:val="00F04862"/>
    <w:rsid w:val="00F048EE"/>
    <w:rsid w:val="00F04CA8"/>
    <w:rsid w:val="00F06060"/>
    <w:rsid w:val="00F060BF"/>
    <w:rsid w:val="00F06F6C"/>
    <w:rsid w:val="00F07047"/>
    <w:rsid w:val="00F07B1C"/>
    <w:rsid w:val="00F1260E"/>
    <w:rsid w:val="00F1412B"/>
    <w:rsid w:val="00F14E85"/>
    <w:rsid w:val="00F15478"/>
    <w:rsid w:val="00F15A2D"/>
    <w:rsid w:val="00F15B75"/>
    <w:rsid w:val="00F15B8D"/>
    <w:rsid w:val="00F15BFA"/>
    <w:rsid w:val="00F16EE0"/>
    <w:rsid w:val="00F177EE"/>
    <w:rsid w:val="00F17851"/>
    <w:rsid w:val="00F20150"/>
    <w:rsid w:val="00F20763"/>
    <w:rsid w:val="00F20F87"/>
    <w:rsid w:val="00F222D4"/>
    <w:rsid w:val="00F225D8"/>
    <w:rsid w:val="00F22BA8"/>
    <w:rsid w:val="00F232D8"/>
    <w:rsid w:val="00F24686"/>
    <w:rsid w:val="00F27333"/>
    <w:rsid w:val="00F30BC3"/>
    <w:rsid w:val="00F311C6"/>
    <w:rsid w:val="00F31533"/>
    <w:rsid w:val="00F31B47"/>
    <w:rsid w:val="00F31ED4"/>
    <w:rsid w:val="00F31FBF"/>
    <w:rsid w:val="00F32C25"/>
    <w:rsid w:val="00F3351E"/>
    <w:rsid w:val="00F33607"/>
    <w:rsid w:val="00F34FAB"/>
    <w:rsid w:val="00F3630B"/>
    <w:rsid w:val="00F36E87"/>
    <w:rsid w:val="00F371E8"/>
    <w:rsid w:val="00F409B1"/>
    <w:rsid w:val="00F40A2D"/>
    <w:rsid w:val="00F40A4E"/>
    <w:rsid w:val="00F413FC"/>
    <w:rsid w:val="00F42324"/>
    <w:rsid w:val="00F4246E"/>
    <w:rsid w:val="00F425A8"/>
    <w:rsid w:val="00F42DE5"/>
    <w:rsid w:val="00F435AA"/>
    <w:rsid w:val="00F450DB"/>
    <w:rsid w:val="00F4696A"/>
    <w:rsid w:val="00F46A54"/>
    <w:rsid w:val="00F474F9"/>
    <w:rsid w:val="00F47935"/>
    <w:rsid w:val="00F47937"/>
    <w:rsid w:val="00F50BE6"/>
    <w:rsid w:val="00F50FF3"/>
    <w:rsid w:val="00F51113"/>
    <w:rsid w:val="00F53290"/>
    <w:rsid w:val="00F5390F"/>
    <w:rsid w:val="00F5410D"/>
    <w:rsid w:val="00F5479E"/>
    <w:rsid w:val="00F5634B"/>
    <w:rsid w:val="00F56947"/>
    <w:rsid w:val="00F5695C"/>
    <w:rsid w:val="00F5738A"/>
    <w:rsid w:val="00F576E1"/>
    <w:rsid w:val="00F579C6"/>
    <w:rsid w:val="00F57BEA"/>
    <w:rsid w:val="00F600DD"/>
    <w:rsid w:val="00F60438"/>
    <w:rsid w:val="00F604A7"/>
    <w:rsid w:val="00F60B31"/>
    <w:rsid w:val="00F61178"/>
    <w:rsid w:val="00F612D4"/>
    <w:rsid w:val="00F6140B"/>
    <w:rsid w:val="00F614AE"/>
    <w:rsid w:val="00F61EB5"/>
    <w:rsid w:val="00F6203A"/>
    <w:rsid w:val="00F640BB"/>
    <w:rsid w:val="00F64140"/>
    <w:rsid w:val="00F65E58"/>
    <w:rsid w:val="00F666EE"/>
    <w:rsid w:val="00F66AE6"/>
    <w:rsid w:val="00F66EDD"/>
    <w:rsid w:val="00F702F7"/>
    <w:rsid w:val="00F704DF"/>
    <w:rsid w:val="00F71106"/>
    <w:rsid w:val="00F732BA"/>
    <w:rsid w:val="00F73644"/>
    <w:rsid w:val="00F7380E"/>
    <w:rsid w:val="00F7389E"/>
    <w:rsid w:val="00F73E9C"/>
    <w:rsid w:val="00F7449E"/>
    <w:rsid w:val="00F74B5A"/>
    <w:rsid w:val="00F7697E"/>
    <w:rsid w:val="00F771F2"/>
    <w:rsid w:val="00F772C1"/>
    <w:rsid w:val="00F77569"/>
    <w:rsid w:val="00F7798C"/>
    <w:rsid w:val="00F77E24"/>
    <w:rsid w:val="00F77F1D"/>
    <w:rsid w:val="00F81395"/>
    <w:rsid w:val="00F81C8D"/>
    <w:rsid w:val="00F82808"/>
    <w:rsid w:val="00F83428"/>
    <w:rsid w:val="00F8452B"/>
    <w:rsid w:val="00F851C7"/>
    <w:rsid w:val="00F854A0"/>
    <w:rsid w:val="00F858BD"/>
    <w:rsid w:val="00F85D08"/>
    <w:rsid w:val="00F86072"/>
    <w:rsid w:val="00F87224"/>
    <w:rsid w:val="00F8777B"/>
    <w:rsid w:val="00F87CCB"/>
    <w:rsid w:val="00F9013F"/>
    <w:rsid w:val="00F90753"/>
    <w:rsid w:val="00F90FBB"/>
    <w:rsid w:val="00F916B1"/>
    <w:rsid w:val="00F918CE"/>
    <w:rsid w:val="00F91B8A"/>
    <w:rsid w:val="00F91C97"/>
    <w:rsid w:val="00F925D9"/>
    <w:rsid w:val="00F929E6"/>
    <w:rsid w:val="00F92B38"/>
    <w:rsid w:val="00F934FA"/>
    <w:rsid w:val="00F93B67"/>
    <w:rsid w:val="00F94047"/>
    <w:rsid w:val="00F94501"/>
    <w:rsid w:val="00F951FA"/>
    <w:rsid w:val="00F9554F"/>
    <w:rsid w:val="00F97C38"/>
    <w:rsid w:val="00F97C9E"/>
    <w:rsid w:val="00F97D6B"/>
    <w:rsid w:val="00FA0755"/>
    <w:rsid w:val="00FA08DD"/>
    <w:rsid w:val="00FA0F0B"/>
    <w:rsid w:val="00FA19AC"/>
    <w:rsid w:val="00FA3A82"/>
    <w:rsid w:val="00FA47A8"/>
    <w:rsid w:val="00FA48C7"/>
    <w:rsid w:val="00FA4EF4"/>
    <w:rsid w:val="00FA62C7"/>
    <w:rsid w:val="00FA7138"/>
    <w:rsid w:val="00FB1A81"/>
    <w:rsid w:val="00FB1C6B"/>
    <w:rsid w:val="00FB1D1E"/>
    <w:rsid w:val="00FB2CE1"/>
    <w:rsid w:val="00FB3C30"/>
    <w:rsid w:val="00FB3F41"/>
    <w:rsid w:val="00FB4023"/>
    <w:rsid w:val="00FB48CD"/>
    <w:rsid w:val="00FB4F5C"/>
    <w:rsid w:val="00FB5123"/>
    <w:rsid w:val="00FB51FB"/>
    <w:rsid w:val="00FB5DB5"/>
    <w:rsid w:val="00FB6452"/>
    <w:rsid w:val="00FB6709"/>
    <w:rsid w:val="00FB6CBC"/>
    <w:rsid w:val="00FB6CEF"/>
    <w:rsid w:val="00FB6E77"/>
    <w:rsid w:val="00FB73C1"/>
    <w:rsid w:val="00FB7AEB"/>
    <w:rsid w:val="00FC0816"/>
    <w:rsid w:val="00FC0D7F"/>
    <w:rsid w:val="00FC26C1"/>
    <w:rsid w:val="00FC2D50"/>
    <w:rsid w:val="00FC2F3C"/>
    <w:rsid w:val="00FC38B9"/>
    <w:rsid w:val="00FC7942"/>
    <w:rsid w:val="00FC797D"/>
    <w:rsid w:val="00FC7BF2"/>
    <w:rsid w:val="00FC7FBF"/>
    <w:rsid w:val="00FD018A"/>
    <w:rsid w:val="00FD03BC"/>
    <w:rsid w:val="00FD0F67"/>
    <w:rsid w:val="00FD10AD"/>
    <w:rsid w:val="00FD17C5"/>
    <w:rsid w:val="00FD1B66"/>
    <w:rsid w:val="00FD231A"/>
    <w:rsid w:val="00FD2A92"/>
    <w:rsid w:val="00FD2B92"/>
    <w:rsid w:val="00FD2F89"/>
    <w:rsid w:val="00FD2FF5"/>
    <w:rsid w:val="00FD58AD"/>
    <w:rsid w:val="00FD5CC3"/>
    <w:rsid w:val="00FD632A"/>
    <w:rsid w:val="00FD6DCE"/>
    <w:rsid w:val="00FD6FAA"/>
    <w:rsid w:val="00FD7244"/>
    <w:rsid w:val="00FD7A5D"/>
    <w:rsid w:val="00FE067A"/>
    <w:rsid w:val="00FE0AD3"/>
    <w:rsid w:val="00FE1F66"/>
    <w:rsid w:val="00FE27C6"/>
    <w:rsid w:val="00FE299E"/>
    <w:rsid w:val="00FE3351"/>
    <w:rsid w:val="00FE3AF2"/>
    <w:rsid w:val="00FE4611"/>
    <w:rsid w:val="00FE4673"/>
    <w:rsid w:val="00FE4B18"/>
    <w:rsid w:val="00FE61D6"/>
    <w:rsid w:val="00FE6BF4"/>
    <w:rsid w:val="00FE7BE4"/>
    <w:rsid w:val="00FF13BF"/>
    <w:rsid w:val="00FF186B"/>
    <w:rsid w:val="00FF21B8"/>
    <w:rsid w:val="00FF2364"/>
    <w:rsid w:val="00FF2E2E"/>
    <w:rsid w:val="00FF4A6C"/>
    <w:rsid w:val="00FF4BE7"/>
    <w:rsid w:val="00FF51CF"/>
    <w:rsid w:val="00FF53FA"/>
    <w:rsid w:val="00FF5C83"/>
    <w:rsid w:val="00FF60CB"/>
    <w:rsid w:val="00FF6ED6"/>
    <w:rsid w:val="00FF7464"/>
    <w:rsid w:val="00FF7D40"/>
    <w:rsid w:val="00FF7D56"/>
    <w:rsid w:val="022DB685"/>
    <w:rsid w:val="05621DC5"/>
    <w:rsid w:val="08B7C970"/>
    <w:rsid w:val="0A2B77D4"/>
    <w:rsid w:val="1637ED4F"/>
    <w:rsid w:val="1778CC82"/>
    <w:rsid w:val="25B35640"/>
    <w:rsid w:val="27959021"/>
    <w:rsid w:val="293E6EF0"/>
    <w:rsid w:val="2A68E29B"/>
    <w:rsid w:val="3967B2A1"/>
    <w:rsid w:val="39BE2F22"/>
    <w:rsid w:val="3D85CBB5"/>
    <w:rsid w:val="42458212"/>
    <w:rsid w:val="4267D974"/>
    <w:rsid w:val="47F1DECC"/>
    <w:rsid w:val="48FFCD0A"/>
    <w:rsid w:val="51A8B053"/>
    <w:rsid w:val="52E07FC8"/>
    <w:rsid w:val="5C4BCE71"/>
    <w:rsid w:val="60AE1B02"/>
    <w:rsid w:val="7F12F8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0CABCF53"/>
  <w15:docId w15:val="{26B52C98-0D80-430E-936F-B01E7EF68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Response">
    <w:name w:val="Response"/>
    <w:basedOn w:val="Normal"/>
    <w:link w:val="ResponseChar"/>
    <w:qFormat/>
    <w:rsid w:val="000001A8"/>
    <w:pPr>
      <w:autoSpaceDE w:val="0"/>
      <w:autoSpaceDN w:val="0"/>
      <w:adjustRightInd w:val="0"/>
      <w:spacing w:before="240" w:after="240" w:line="240" w:lineRule="auto"/>
    </w:pPr>
    <w:rPr>
      <w:rFonts w:cstheme="minorHAnsi"/>
      <w:bCs/>
      <w:color w:val="0000FF"/>
    </w:rPr>
  </w:style>
  <w:style w:type="character" w:customStyle="1" w:styleId="areply">
    <w:name w:val="areply"/>
    <w:basedOn w:val="DefaultParagraphFont"/>
    <w:uiPriority w:val="1"/>
    <w:qFormat/>
    <w:rsid w:val="000001A8"/>
  </w:style>
  <w:style w:type="paragraph" w:customStyle="1" w:styleId="TableTitle">
    <w:name w:val="TableTitle"/>
    <w:basedOn w:val="Response"/>
    <w:qFormat/>
    <w:rsid w:val="00E93FE4"/>
    <w:pPr>
      <w:keepNext/>
      <w:spacing w:before="0"/>
      <w:contextualSpacing/>
      <w:jc w:val="center"/>
    </w:pPr>
    <w:rPr>
      <w:b/>
    </w:rPr>
  </w:style>
  <w:style w:type="paragraph" w:customStyle="1" w:styleId="FigureTitle">
    <w:name w:val="FigureTitle"/>
    <w:basedOn w:val="TableTitle"/>
    <w:qFormat/>
    <w:rsid w:val="00E21910"/>
  </w:style>
  <w:style w:type="paragraph" w:customStyle="1" w:styleId="TableText">
    <w:name w:val="Table Text"/>
    <w:basedOn w:val="Normal"/>
    <w:qFormat/>
    <w:rsid w:val="00110E68"/>
    <w:pPr>
      <w:keepNext/>
      <w:spacing w:after="0" w:line="240" w:lineRule="auto"/>
    </w:pPr>
    <w:rPr>
      <w:rFonts w:ascii="Calibri" w:eastAsia="Times New Roman" w:hAnsi="Calibri" w:cs="Times New Roman"/>
      <w:sz w:val="20"/>
      <w:szCs w:val="20"/>
    </w:rPr>
  </w:style>
  <w:style w:type="paragraph" w:customStyle="1" w:styleId="TableHeaders">
    <w:name w:val="Table Headers"/>
    <w:basedOn w:val="Normal"/>
    <w:qFormat/>
    <w:rsid w:val="00110E68"/>
    <w:pPr>
      <w:keepNext/>
      <w:spacing w:before="20" w:after="20" w:line="240" w:lineRule="exact"/>
      <w:jc w:val="center"/>
    </w:pPr>
    <w:rPr>
      <w:rFonts w:eastAsia="Times New Roman" w:cs="Times New Roman"/>
      <w:snapToGrid w:val="0"/>
    </w:rPr>
  </w:style>
  <w:style w:type="table" w:customStyle="1" w:styleId="CMSTable">
    <w:name w:val="CMS_Table"/>
    <w:basedOn w:val="TableNormal"/>
    <w:uiPriority w:val="99"/>
    <w:rsid w:val="00110E68"/>
    <w:pPr>
      <w:spacing w:after="0" w:line="240" w:lineRule="auto"/>
    </w:pPr>
    <w:rPr>
      <w:rFonts w:ascii="Calibri" w:eastAsia="Times New Roman" w:hAnsi="Calibri" w:cs="Times New Roman"/>
      <w:sz w:val="20"/>
      <w:szCs w:val="20"/>
    </w:rPr>
    <w:tblPr>
      <w:tblBorders>
        <w:top w:val="single" w:sz="12" w:space="0" w:color="auto"/>
      </w:tblBorders>
      <w:tblCellMar>
        <w:left w:w="43" w:type="dxa"/>
        <w:right w:w="43" w:type="dxa"/>
      </w:tblCellMar>
    </w:tblPr>
    <w:tblStylePr w:type="firstRow">
      <w:pPr>
        <w:jc w:val="center"/>
      </w:pPr>
      <w:tblPr/>
      <w:tcPr>
        <w:tcBorders>
          <w:top w:val="single" w:sz="12" w:space="0" w:color="auto"/>
          <w:bottom w:val="single" w:sz="6" w:space="0" w:color="auto"/>
        </w:tcBorders>
        <w:vAlign w:val="bottom"/>
      </w:tcPr>
    </w:tblStylePr>
    <w:tblStylePr w:type="lastRow">
      <w:tblPr/>
      <w:tcPr>
        <w:tcBorders>
          <w:bottom w:val="single" w:sz="12" w:space="0" w:color="auto"/>
        </w:tcBorders>
      </w:tcPr>
    </w:tblStylePr>
  </w:style>
  <w:style w:type="paragraph" w:styleId="ListBullet2">
    <w:name w:val="List Bullet 2"/>
    <w:basedOn w:val="ListParagraph"/>
    <w:uiPriority w:val="99"/>
    <w:unhideWhenUsed/>
    <w:rsid w:val="00BD66E7"/>
    <w:pPr>
      <w:autoSpaceDE w:val="0"/>
      <w:autoSpaceDN w:val="0"/>
      <w:adjustRightInd w:val="0"/>
      <w:spacing w:before="240" w:after="120" w:line="240" w:lineRule="auto"/>
      <w:ind w:left="0"/>
    </w:pPr>
    <w:rPr>
      <w:rFonts w:ascii="Calibri" w:eastAsia="MS Mincho" w:hAnsi="Calibri" w:cs="Calibri"/>
      <w:bCs/>
      <w:color w:val="0000FF"/>
    </w:rPr>
  </w:style>
  <w:style w:type="paragraph" w:styleId="BodyText">
    <w:name w:val="Body Text"/>
    <w:basedOn w:val="Normal"/>
    <w:link w:val="BodyTextChar"/>
    <w:uiPriority w:val="99"/>
    <w:unhideWhenUsed/>
    <w:rsid w:val="00A119B7"/>
    <w:pPr>
      <w:spacing w:after="120"/>
    </w:pPr>
  </w:style>
  <w:style w:type="character" w:customStyle="1" w:styleId="BodyTextChar">
    <w:name w:val="Body Text Char"/>
    <w:basedOn w:val="DefaultParagraphFont"/>
    <w:link w:val="BodyText"/>
    <w:uiPriority w:val="99"/>
    <w:rsid w:val="00A119B7"/>
  </w:style>
  <w:style w:type="paragraph" w:customStyle="1" w:styleId="TableText-cent">
    <w:name w:val="Table Text-cent"/>
    <w:basedOn w:val="TableText"/>
    <w:qFormat/>
    <w:rsid w:val="001D3F94"/>
    <w:pPr>
      <w:jc w:val="center"/>
    </w:pPr>
  </w:style>
  <w:style w:type="table" w:customStyle="1" w:styleId="TableGrid1">
    <w:name w:val="Table Grid1"/>
    <w:basedOn w:val="TableNormal"/>
    <w:next w:val="TableGrid"/>
    <w:uiPriority w:val="59"/>
    <w:rsid w:val="007E3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8D1533"/>
    <w:pPr>
      <w:numPr>
        <w:numId w:val="13"/>
      </w:numPr>
      <w:contextualSpacing/>
    </w:pPr>
  </w:style>
  <w:style w:type="paragraph" w:customStyle="1" w:styleId="bulletblue1">
    <w:name w:val="bullet_blue1"/>
    <w:basedOn w:val="ListBullet"/>
    <w:qFormat/>
    <w:rsid w:val="008D1533"/>
    <w:pPr>
      <w:tabs>
        <w:tab w:val="clear" w:pos="360"/>
      </w:tabs>
      <w:spacing w:line="240" w:lineRule="auto"/>
      <w:ind w:left="907"/>
    </w:pPr>
    <w:rPr>
      <w:color w:val="0000FF"/>
    </w:rPr>
  </w:style>
  <w:style w:type="character" w:customStyle="1" w:styleId="UnresolvedMention1">
    <w:name w:val="Unresolved Mention1"/>
    <w:basedOn w:val="DefaultParagraphFont"/>
    <w:uiPriority w:val="99"/>
    <w:semiHidden/>
    <w:unhideWhenUsed/>
    <w:rsid w:val="007C026D"/>
    <w:rPr>
      <w:color w:val="605E5C"/>
      <w:shd w:val="clear" w:color="auto" w:fill="E1DFDD"/>
    </w:rPr>
  </w:style>
  <w:style w:type="character" w:customStyle="1" w:styleId="normaltextrun">
    <w:name w:val="normaltextrun"/>
    <w:basedOn w:val="DefaultParagraphFont"/>
    <w:rsid w:val="002B013B"/>
  </w:style>
  <w:style w:type="paragraph" w:styleId="ListNumber2">
    <w:name w:val="List Number 2"/>
    <w:basedOn w:val="ListParagraph"/>
    <w:uiPriority w:val="99"/>
    <w:unhideWhenUsed/>
    <w:rsid w:val="00F918CE"/>
    <w:pPr>
      <w:numPr>
        <w:numId w:val="14"/>
      </w:numPr>
      <w:tabs>
        <w:tab w:val="num" w:pos="360"/>
      </w:tabs>
      <w:spacing w:before="120" w:after="120"/>
    </w:pPr>
    <w:rPr>
      <w:color w:val="0000FF"/>
    </w:rPr>
  </w:style>
  <w:style w:type="character" w:customStyle="1" w:styleId="findhit">
    <w:name w:val="findhit"/>
    <w:basedOn w:val="DefaultParagraphFont"/>
    <w:rsid w:val="009B2AE1"/>
  </w:style>
  <w:style w:type="character" w:customStyle="1" w:styleId="spellingerror">
    <w:name w:val="spellingerror"/>
    <w:basedOn w:val="DefaultParagraphFont"/>
    <w:rsid w:val="009B2AE1"/>
  </w:style>
  <w:style w:type="paragraph" w:customStyle="1" w:styleId="paragraph">
    <w:name w:val="paragraph"/>
    <w:basedOn w:val="Normal"/>
    <w:rsid w:val="001A2B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1A2B6A"/>
  </w:style>
  <w:style w:type="paragraph" w:customStyle="1" w:styleId="xmsonormal">
    <w:name w:val="x_msonormal"/>
    <w:basedOn w:val="Normal"/>
    <w:rsid w:val="007A1867"/>
    <w:pPr>
      <w:spacing w:before="100" w:beforeAutospacing="1" w:after="100" w:afterAutospacing="1" w:line="240" w:lineRule="auto"/>
    </w:pPr>
    <w:rPr>
      <w:rFonts w:ascii="Calibri" w:eastAsiaTheme="minorHAnsi" w:hAnsi="Calibri" w:cs="Times New Roman"/>
    </w:rPr>
  </w:style>
  <w:style w:type="character" w:customStyle="1" w:styleId="ResponseChar">
    <w:name w:val="Response Char"/>
    <w:basedOn w:val="DefaultParagraphFont"/>
    <w:link w:val="Response"/>
    <w:rsid w:val="001619EC"/>
    <w:rPr>
      <w:rFonts w:cstheme="minorHAnsi"/>
      <w:bCs/>
      <w:color w:val="0000FF"/>
    </w:rPr>
  </w:style>
  <w:style w:type="character" w:customStyle="1" w:styleId="UnresolvedMention2">
    <w:name w:val="Unresolved Mention2"/>
    <w:basedOn w:val="DefaultParagraphFont"/>
    <w:uiPriority w:val="99"/>
    <w:semiHidden/>
    <w:unhideWhenUsed/>
    <w:rsid w:val="00C87D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606128">
      <w:bodyDiv w:val="1"/>
      <w:marLeft w:val="0"/>
      <w:marRight w:val="0"/>
      <w:marTop w:val="0"/>
      <w:marBottom w:val="0"/>
      <w:divBdr>
        <w:top w:val="none" w:sz="0" w:space="0" w:color="auto"/>
        <w:left w:val="none" w:sz="0" w:space="0" w:color="auto"/>
        <w:bottom w:val="none" w:sz="0" w:space="0" w:color="auto"/>
        <w:right w:val="none" w:sz="0" w:space="0" w:color="auto"/>
      </w:divBdr>
    </w:div>
    <w:div w:id="165753124">
      <w:bodyDiv w:val="1"/>
      <w:marLeft w:val="0"/>
      <w:marRight w:val="0"/>
      <w:marTop w:val="0"/>
      <w:marBottom w:val="0"/>
      <w:divBdr>
        <w:top w:val="none" w:sz="0" w:space="0" w:color="auto"/>
        <w:left w:val="none" w:sz="0" w:space="0" w:color="auto"/>
        <w:bottom w:val="none" w:sz="0" w:space="0" w:color="auto"/>
        <w:right w:val="none" w:sz="0" w:space="0" w:color="auto"/>
      </w:divBdr>
    </w:div>
    <w:div w:id="170992674">
      <w:bodyDiv w:val="1"/>
      <w:marLeft w:val="0"/>
      <w:marRight w:val="0"/>
      <w:marTop w:val="0"/>
      <w:marBottom w:val="0"/>
      <w:divBdr>
        <w:top w:val="none" w:sz="0" w:space="0" w:color="auto"/>
        <w:left w:val="none" w:sz="0" w:space="0" w:color="auto"/>
        <w:bottom w:val="none" w:sz="0" w:space="0" w:color="auto"/>
        <w:right w:val="none" w:sz="0" w:space="0" w:color="auto"/>
      </w:divBdr>
    </w:div>
    <w:div w:id="188952997">
      <w:bodyDiv w:val="1"/>
      <w:marLeft w:val="0"/>
      <w:marRight w:val="0"/>
      <w:marTop w:val="0"/>
      <w:marBottom w:val="0"/>
      <w:divBdr>
        <w:top w:val="none" w:sz="0" w:space="0" w:color="auto"/>
        <w:left w:val="none" w:sz="0" w:space="0" w:color="auto"/>
        <w:bottom w:val="none" w:sz="0" w:space="0" w:color="auto"/>
        <w:right w:val="none" w:sz="0" w:space="0" w:color="auto"/>
      </w:divBdr>
    </w:div>
    <w:div w:id="208497804">
      <w:bodyDiv w:val="1"/>
      <w:marLeft w:val="0"/>
      <w:marRight w:val="0"/>
      <w:marTop w:val="0"/>
      <w:marBottom w:val="0"/>
      <w:divBdr>
        <w:top w:val="none" w:sz="0" w:space="0" w:color="auto"/>
        <w:left w:val="none" w:sz="0" w:space="0" w:color="auto"/>
        <w:bottom w:val="none" w:sz="0" w:space="0" w:color="auto"/>
        <w:right w:val="none" w:sz="0" w:space="0" w:color="auto"/>
      </w:divBdr>
    </w:div>
    <w:div w:id="266354633">
      <w:bodyDiv w:val="1"/>
      <w:marLeft w:val="0"/>
      <w:marRight w:val="0"/>
      <w:marTop w:val="0"/>
      <w:marBottom w:val="0"/>
      <w:divBdr>
        <w:top w:val="none" w:sz="0" w:space="0" w:color="auto"/>
        <w:left w:val="none" w:sz="0" w:space="0" w:color="auto"/>
        <w:bottom w:val="none" w:sz="0" w:space="0" w:color="auto"/>
        <w:right w:val="none" w:sz="0" w:space="0" w:color="auto"/>
      </w:divBdr>
    </w:div>
    <w:div w:id="318771353">
      <w:bodyDiv w:val="1"/>
      <w:marLeft w:val="0"/>
      <w:marRight w:val="0"/>
      <w:marTop w:val="0"/>
      <w:marBottom w:val="0"/>
      <w:divBdr>
        <w:top w:val="none" w:sz="0" w:space="0" w:color="auto"/>
        <w:left w:val="none" w:sz="0" w:space="0" w:color="auto"/>
        <w:bottom w:val="none" w:sz="0" w:space="0" w:color="auto"/>
        <w:right w:val="none" w:sz="0" w:space="0" w:color="auto"/>
      </w:divBdr>
    </w:div>
    <w:div w:id="344792892">
      <w:bodyDiv w:val="1"/>
      <w:marLeft w:val="0"/>
      <w:marRight w:val="0"/>
      <w:marTop w:val="0"/>
      <w:marBottom w:val="0"/>
      <w:divBdr>
        <w:top w:val="none" w:sz="0" w:space="0" w:color="auto"/>
        <w:left w:val="none" w:sz="0" w:space="0" w:color="auto"/>
        <w:bottom w:val="none" w:sz="0" w:space="0" w:color="auto"/>
        <w:right w:val="none" w:sz="0" w:space="0" w:color="auto"/>
      </w:divBdr>
    </w:div>
    <w:div w:id="416439444">
      <w:bodyDiv w:val="1"/>
      <w:marLeft w:val="0"/>
      <w:marRight w:val="0"/>
      <w:marTop w:val="0"/>
      <w:marBottom w:val="0"/>
      <w:divBdr>
        <w:top w:val="none" w:sz="0" w:space="0" w:color="auto"/>
        <w:left w:val="none" w:sz="0" w:space="0" w:color="auto"/>
        <w:bottom w:val="none" w:sz="0" w:space="0" w:color="auto"/>
        <w:right w:val="none" w:sz="0" w:space="0" w:color="auto"/>
      </w:divBdr>
    </w:div>
    <w:div w:id="448816132">
      <w:bodyDiv w:val="1"/>
      <w:marLeft w:val="0"/>
      <w:marRight w:val="0"/>
      <w:marTop w:val="0"/>
      <w:marBottom w:val="0"/>
      <w:divBdr>
        <w:top w:val="none" w:sz="0" w:space="0" w:color="auto"/>
        <w:left w:val="none" w:sz="0" w:space="0" w:color="auto"/>
        <w:bottom w:val="none" w:sz="0" w:space="0" w:color="auto"/>
        <w:right w:val="none" w:sz="0" w:space="0" w:color="auto"/>
      </w:divBdr>
    </w:div>
    <w:div w:id="479271421">
      <w:bodyDiv w:val="1"/>
      <w:marLeft w:val="0"/>
      <w:marRight w:val="0"/>
      <w:marTop w:val="0"/>
      <w:marBottom w:val="0"/>
      <w:divBdr>
        <w:top w:val="none" w:sz="0" w:space="0" w:color="auto"/>
        <w:left w:val="none" w:sz="0" w:space="0" w:color="auto"/>
        <w:bottom w:val="none" w:sz="0" w:space="0" w:color="auto"/>
        <w:right w:val="none" w:sz="0" w:space="0" w:color="auto"/>
      </w:divBdr>
      <w:divsChild>
        <w:div w:id="719133923">
          <w:marLeft w:val="0"/>
          <w:marRight w:val="0"/>
          <w:marTop w:val="0"/>
          <w:marBottom w:val="0"/>
          <w:divBdr>
            <w:top w:val="none" w:sz="0" w:space="0" w:color="auto"/>
            <w:left w:val="none" w:sz="0" w:space="0" w:color="auto"/>
            <w:bottom w:val="none" w:sz="0" w:space="0" w:color="auto"/>
            <w:right w:val="none" w:sz="0" w:space="0" w:color="auto"/>
          </w:divBdr>
        </w:div>
        <w:div w:id="847601665">
          <w:marLeft w:val="0"/>
          <w:marRight w:val="0"/>
          <w:marTop w:val="0"/>
          <w:marBottom w:val="0"/>
          <w:divBdr>
            <w:top w:val="none" w:sz="0" w:space="0" w:color="auto"/>
            <w:left w:val="none" w:sz="0" w:space="0" w:color="auto"/>
            <w:bottom w:val="none" w:sz="0" w:space="0" w:color="auto"/>
            <w:right w:val="none" w:sz="0" w:space="0" w:color="auto"/>
          </w:divBdr>
        </w:div>
      </w:divsChild>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60990213">
      <w:bodyDiv w:val="1"/>
      <w:marLeft w:val="0"/>
      <w:marRight w:val="0"/>
      <w:marTop w:val="0"/>
      <w:marBottom w:val="0"/>
      <w:divBdr>
        <w:top w:val="none" w:sz="0" w:space="0" w:color="auto"/>
        <w:left w:val="none" w:sz="0" w:space="0" w:color="auto"/>
        <w:bottom w:val="none" w:sz="0" w:space="0" w:color="auto"/>
        <w:right w:val="none" w:sz="0" w:space="0" w:color="auto"/>
      </w:divBdr>
      <w:divsChild>
        <w:div w:id="1313295822">
          <w:marLeft w:val="0"/>
          <w:marRight w:val="0"/>
          <w:marTop w:val="0"/>
          <w:marBottom w:val="0"/>
          <w:divBdr>
            <w:top w:val="none" w:sz="0" w:space="0" w:color="auto"/>
            <w:left w:val="none" w:sz="0" w:space="0" w:color="auto"/>
            <w:bottom w:val="none" w:sz="0" w:space="0" w:color="auto"/>
            <w:right w:val="none" w:sz="0" w:space="0" w:color="auto"/>
          </w:divBdr>
        </w:div>
        <w:div w:id="1706710847">
          <w:marLeft w:val="0"/>
          <w:marRight w:val="0"/>
          <w:marTop w:val="0"/>
          <w:marBottom w:val="0"/>
          <w:divBdr>
            <w:top w:val="none" w:sz="0" w:space="0" w:color="auto"/>
            <w:left w:val="none" w:sz="0" w:space="0" w:color="auto"/>
            <w:bottom w:val="none" w:sz="0" w:space="0" w:color="auto"/>
            <w:right w:val="none" w:sz="0" w:space="0" w:color="auto"/>
          </w:divBdr>
        </w:div>
        <w:div w:id="1915771182">
          <w:marLeft w:val="0"/>
          <w:marRight w:val="0"/>
          <w:marTop w:val="0"/>
          <w:marBottom w:val="0"/>
          <w:divBdr>
            <w:top w:val="none" w:sz="0" w:space="0" w:color="auto"/>
            <w:left w:val="none" w:sz="0" w:space="0" w:color="auto"/>
            <w:bottom w:val="none" w:sz="0" w:space="0" w:color="auto"/>
            <w:right w:val="none" w:sz="0" w:space="0" w:color="auto"/>
          </w:divBdr>
        </w:div>
        <w:div w:id="1046635542">
          <w:marLeft w:val="0"/>
          <w:marRight w:val="0"/>
          <w:marTop w:val="0"/>
          <w:marBottom w:val="0"/>
          <w:divBdr>
            <w:top w:val="none" w:sz="0" w:space="0" w:color="auto"/>
            <w:left w:val="none" w:sz="0" w:space="0" w:color="auto"/>
            <w:bottom w:val="none" w:sz="0" w:space="0" w:color="auto"/>
            <w:right w:val="none" w:sz="0" w:space="0" w:color="auto"/>
          </w:divBdr>
        </w:div>
        <w:div w:id="1598518420">
          <w:marLeft w:val="0"/>
          <w:marRight w:val="0"/>
          <w:marTop w:val="0"/>
          <w:marBottom w:val="0"/>
          <w:divBdr>
            <w:top w:val="none" w:sz="0" w:space="0" w:color="auto"/>
            <w:left w:val="none" w:sz="0" w:space="0" w:color="auto"/>
            <w:bottom w:val="none" w:sz="0" w:space="0" w:color="auto"/>
            <w:right w:val="none" w:sz="0" w:space="0" w:color="auto"/>
          </w:divBdr>
        </w:div>
        <w:div w:id="1533150217">
          <w:marLeft w:val="0"/>
          <w:marRight w:val="0"/>
          <w:marTop w:val="0"/>
          <w:marBottom w:val="0"/>
          <w:divBdr>
            <w:top w:val="none" w:sz="0" w:space="0" w:color="auto"/>
            <w:left w:val="none" w:sz="0" w:space="0" w:color="auto"/>
            <w:bottom w:val="none" w:sz="0" w:space="0" w:color="auto"/>
            <w:right w:val="none" w:sz="0" w:space="0" w:color="auto"/>
          </w:divBdr>
        </w:div>
        <w:div w:id="1396395585">
          <w:marLeft w:val="0"/>
          <w:marRight w:val="0"/>
          <w:marTop w:val="0"/>
          <w:marBottom w:val="0"/>
          <w:divBdr>
            <w:top w:val="none" w:sz="0" w:space="0" w:color="auto"/>
            <w:left w:val="none" w:sz="0" w:space="0" w:color="auto"/>
            <w:bottom w:val="none" w:sz="0" w:space="0" w:color="auto"/>
            <w:right w:val="none" w:sz="0" w:space="0" w:color="auto"/>
          </w:divBdr>
        </w:div>
        <w:div w:id="754478316">
          <w:marLeft w:val="0"/>
          <w:marRight w:val="0"/>
          <w:marTop w:val="0"/>
          <w:marBottom w:val="0"/>
          <w:divBdr>
            <w:top w:val="none" w:sz="0" w:space="0" w:color="auto"/>
            <w:left w:val="none" w:sz="0" w:space="0" w:color="auto"/>
            <w:bottom w:val="none" w:sz="0" w:space="0" w:color="auto"/>
            <w:right w:val="none" w:sz="0" w:space="0" w:color="auto"/>
          </w:divBdr>
        </w:div>
        <w:div w:id="985862673">
          <w:marLeft w:val="0"/>
          <w:marRight w:val="0"/>
          <w:marTop w:val="0"/>
          <w:marBottom w:val="0"/>
          <w:divBdr>
            <w:top w:val="none" w:sz="0" w:space="0" w:color="auto"/>
            <w:left w:val="none" w:sz="0" w:space="0" w:color="auto"/>
            <w:bottom w:val="none" w:sz="0" w:space="0" w:color="auto"/>
            <w:right w:val="none" w:sz="0" w:space="0" w:color="auto"/>
          </w:divBdr>
        </w:div>
        <w:div w:id="802582036">
          <w:marLeft w:val="0"/>
          <w:marRight w:val="0"/>
          <w:marTop w:val="0"/>
          <w:marBottom w:val="0"/>
          <w:divBdr>
            <w:top w:val="none" w:sz="0" w:space="0" w:color="auto"/>
            <w:left w:val="none" w:sz="0" w:space="0" w:color="auto"/>
            <w:bottom w:val="none" w:sz="0" w:space="0" w:color="auto"/>
            <w:right w:val="none" w:sz="0" w:space="0" w:color="auto"/>
          </w:divBdr>
        </w:div>
      </w:divsChild>
    </w:div>
    <w:div w:id="568149129">
      <w:bodyDiv w:val="1"/>
      <w:marLeft w:val="0"/>
      <w:marRight w:val="0"/>
      <w:marTop w:val="0"/>
      <w:marBottom w:val="0"/>
      <w:divBdr>
        <w:top w:val="none" w:sz="0" w:space="0" w:color="auto"/>
        <w:left w:val="none" w:sz="0" w:space="0" w:color="auto"/>
        <w:bottom w:val="none" w:sz="0" w:space="0" w:color="auto"/>
        <w:right w:val="none" w:sz="0" w:space="0" w:color="auto"/>
      </w:divBdr>
    </w:div>
    <w:div w:id="730008701">
      <w:bodyDiv w:val="1"/>
      <w:marLeft w:val="0"/>
      <w:marRight w:val="0"/>
      <w:marTop w:val="0"/>
      <w:marBottom w:val="0"/>
      <w:divBdr>
        <w:top w:val="none" w:sz="0" w:space="0" w:color="auto"/>
        <w:left w:val="none" w:sz="0" w:space="0" w:color="auto"/>
        <w:bottom w:val="none" w:sz="0" w:space="0" w:color="auto"/>
        <w:right w:val="none" w:sz="0" w:space="0" w:color="auto"/>
      </w:divBdr>
      <w:divsChild>
        <w:div w:id="1647279607">
          <w:marLeft w:val="0"/>
          <w:marRight w:val="0"/>
          <w:marTop w:val="0"/>
          <w:marBottom w:val="0"/>
          <w:divBdr>
            <w:top w:val="none" w:sz="0" w:space="0" w:color="auto"/>
            <w:left w:val="none" w:sz="0" w:space="0" w:color="auto"/>
            <w:bottom w:val="none" w:sz="0" w:space="0" w:color="auto"/>
            <w:right w:val="none" w:sz="0" w:space="0" w:color="auto"/>
          </w:divBdr>
          <w:divsChild>
            <w:div w:id="1385789444">
              <w:marLeft w:val="0"/>
              <w:marRight w:val="0"/>
              <w:marTop w:val="0"/>
              <w:marBottom w:val="0"/>
              <w:divBdr>
                <w:top w:val="none" w:sz="0" w:space="0" w:color="auto"/>
                <w:left w:val="none" w:sz="0" w:space="0" w:color="auto"/>
                <w:bottom w:val="none" w:sz="0" w:space="0" w:color="auto"/>
                <w:right w:val="none" w:sz="0" w:space="0" w:color="auto"/>
              </w:divBdr>
              <w:divsChild>
                <w:div w:id="1239830119">
                  <w:marLeft w:val="0"/>
                  <w:marRight w:val="0"/>
                  <w:marTop w:val="0"/>
                  <w:marBottom w:val="0"/>
                  <w:divBdr>
                    <w:top w:val="none" w:sz="0" w:space="0" w:color="auto"/>
                    <w:left w:val="none" w:sz="0" w:space="0" w:color="auto"/>
                    <w:bottom w:val="none" w:sz="0" w:space="0" w:color="auto"/>
                    <w:right w:val="none" w:sz="0" w:space="0" w:color="auto"/>
                  </w:divBdr>
                  <w:divsChild>
                    <w:div w:id="1734625077">
                      <w:marLeft w:val="0"/>
                      <w:marRight w:val="0"/>
                      <w:marTop w:val="0"/>
                      <w:marBottom w:val="0"/>
                      <w:divBdr>
                        <w:top w:val="none" w:sz="0" w:space="0" w:color="auto"/>
                        <w:left w:val="none" w:sz="0" w:space="0" w:color="auto"/>
                        <w:bottom w:val="none" w:sz="0" w:space="0" w:color="auto"/>
                        <w:right w:val="none" w:sz="0" w:space="0" w:color="auto"/>
                      </w:divBdr>
                      <w:divsChild>
                        <w:div w:id="348721025">
                          <w:marLeft w:val="0"/>
                          <w:marRight w:val="0"/>
                          <w:marTop w:val="0"/>
                          <w:marBottom w:val="0"/>
                          <w:divBdr>
                            <w:top w:val="none" w:sz="0" w:space="0" w:color="auto"/>
                            <w:left w:val="none" w:sz="0" w:space="0" w:color="auto"/>
                            <w:bottom w:val="none" w:sz="0" w:space="0" w:color="auto"/>
                            <w:right w:val="none" w:sz="0" w:space="0" w:color="auto"/>
                          </w:divBdr>
                          <w:divsChild>
                            <w:div w:id="1663585122">
                              <w:marLeft w:val="0"/>
                              <w:marRight w:val="0"/>
                              <w:marTop w:val="0"/>
                              <w:marBottom w:val="0"/>
                              <w:divBdr>
                                <w:top w:val="none" w:sz="0" w:space="0" w:color="auto"/>
                                <w:left w:val="none" w:sz="0" w:space="0" w:color="auto"/>
                                <w:bottom w:val="none" w:sz="0" w:space="0" w:color="auto"/>
                                <w:right w:val="none" w:sz="0" w:space="0" w:color="auto"/>
                              </w:divBdr>
                              <w:divsChild>
                                <w:div w:id="1733459275">
                                  <w:marLeft w:val="0"/>
                                  <w:marRight w:val="0"/>
                                  <w:marTop w:val="0"/>
                                  <w:marBottom w:val="0"/>
                                  <w:divBdr>
                                    <w:top w:val="none" w:sz="0" w:space="0" w:color="auto"/>
                                    <w:left w:val="none" w:sz="0" w:space="0" w:color="auto"/>
                                    <w:bottom w:val="none" w:sz="0" w:space="0" w:color="auto"/>
                                    <w:right w:val="none" w:sz="0" w:space="0" w:color="auto"/>
                                  </w:divBdr>
                                  <w:divsChild>
                                    <w:div w:id="1171412417">
                                      <w:marLeft w:val="0"/>
                                      <w:marRight w:val="0"/>
                                      <w:marTop w:val="0"/>
                                      <w:marBottom w:val="0"/>
                                      <w:divBdr>
                                        <w:top w:val="none" w:sz="0" w:space="0" w:color="auto"/>
                                        <w:left w:val="none" w:sz="0" w:space="0" w:color="auto"/>
                                        <w:bottom w:val="none" w:sz="0" w:space="0" w:color="auto"/>
                                        <w:right w:val="none" w:sz="0" w:space="0" w:color="auto"/>
                                      </w:divBdr>
                                      <w:divsChild>
                                        <w:div w:id="899369197">
                                          <w:marLeft w:val="0"/>
                                          <w:marRight w:val="0"/>
                                          <w:marTop w:val="0"/>
                                          <w:marBottom w:val="0"/>
                                          <w:divBdr>
                                            <w:top w:val="none" w:sz="0" w:space="0" w:color="auto"/>
                                            <w:left w:val="none" w:sz="0" w:space="0" w:color="auto"/>
                                            <w:bottom w:val="none" w:sz="0" w:space="0" w:color="auto"/>
                                            <w:right w:val="none" w:sz="0" w:space="0" w:color="auto"/>
                                          </w:divBdr>
                                          <w:divsChild>
                                            <w:div w:id="589583010">
                                              <w:marLeft w:val="0"/>
                                              <w:marRight w:val="0"/>
                                              <w:marTop w:val="0"/>
                                              <w:marBottom w:val="0"/>
                                              <w:divBdr>
                                                <w:top w:val="none" w:sz="0" w:space="0" w:color="auto"/>
                                                <w:left w:val="none" w:sz="0" w:space="0" w:color="auto"/>
                                                <w:bottom w:val="none" w:sz="0" w:space="0" w:color="auto"/>
                                                <w:right w:val="none" w:sz="0" w:space="0" w:color="auto"/>
                                              </w:divBdr>
                                              <w:divsChild>
                                                <w:div w:id="1251280787">
                                                  <w:marLeft w:val="0"/>
                                                  <w:marRight w:val="0"/>
                                                  <w:marTop w:val="0"/>
                                                  <w:marBottom w:val="0"/>
                                                  <w:divBdr>
                                                    <w:top w:val="none" w:sz="0" w:space="0" w:color="auto"/>
                                                    <w:left w:val="none" w:sz="0" w:space="0" w:color="auto"/>
                                                    <w:bottom w:val="none" w:sz="0" w:space="0" w:color="auto"/>
                                                    <w:right w:val="none" w:sz="0" w:space="0" w:color="auto"/>
                                                  </w:divBdr>
                                                  <w:divsChild>
                                                    <w:div w:id="529802314">
                                                      <w:marLeft w:val="0"/>
                                                      <w:marRight w:val="0"/>
                                                      <w:marTop w:val="0"/>
                                                      <w:marBottom w:val="0"/>
                                                      <w:divBdr>
                                                        <w:top w:val="none" w:sz="0" w:space="0" w:color="auto"/>
                                                        <w:left w:val="none" w:sz="0" w:space="0" w:color="auto"/>
                                                        <w:bottom w:val="none" w:sz="0" w:space="0" w:color="auto"/>
                                                        <w:right w:val="none" w:sz="0" w:space="0" w:color="auto"/>
                                                      </w:divBdr>
                                                      <w:divsChild>
                                                        <w:div w:id="1563249306">
                                                          <w:marLeft w:val="0"/>
                                                          <w:marRight w:val="0"/>
                                                          <w:marTop w:val="0"/>
                                                          <w:marBottom w:val="0"/>
                                                          <w:divBdr>
                                                            <w:top w:val="none" w:sz="0" w:space="0" w:color="auto"/>
                                                            <w:left w:val="none" w:sz="0" w:space="0" w:color="auto"/>
                                                            <w:bottom w:val="none" w:sz="0" w:space="0" w:color="auto"/>
                                                            <w:right w:val="none" w:sz="0" w:space="0" w:color="auto"/>
                                                          </w:divBdr>
                                                          <w:divsChild>
                                                            <w:div w:id="1220366671">
                                                              <w:marLeft w:val="0"/>
                                                              <w:marRight w:val="0"/>
                                                              <w:marTop w:val="0"/>
                                                              <w:marBottom w:val="0"/>
                                                              <w:divBdr>
                                                                <w:top w:val="none" w:sz="0" w:space="0" w:color="auto"/>
                                                                <w:left w:val="none" w:sz="0" w:space="0" w:color="auto"/>
                                                                <w:bottom w:val="none" w:sz="0" w:space="0" w:color="auto"/>
                                                                <w:right w:val="none" w:sz="0" w:space="0" w:color="auto"/>
                                                              </w:divBdr>
                                                              <w:divsChild>
                                                                <w:div w:id="1364670923">
                                                                  <w:marLeft w:val="0"/>
                                                                  <w:marRight w:val="0"/>
                                                                  <w:marTop w:val="0"/>
                                                                  <w:marBottom w:val="0"/>
                                                                  <w:divBdr>
                                                                    <w:top w:val="none" w:sz="0" w:space="0" w:color="auto"/>
                                                                    <w:left w:val="none" w:sz="0" w:space="0" w:color="auto"/>
                                                                    <w:bottom w:val="none" w:sz="0" w:space="0" w:color="auto"/>
                                                                    <w:right w:val="none" w:sz="0" w:space="0" w:color="auto"/>
                                                                  </w:divBdr>
                                                                  <w:divsChild>
                                                                    <w:div w:id="353116124">
                                                                      <w:marLeft w:val="0"/>
                                                                      <w:marRight w:val="0"/>
                                                                      <w:marTop w:val="0"/>
                                                                      <w:marBottom w:val="0"/>
                                                                      <w:divBdr>
                                                                        <w:top w:val="none" w:sz="0" w:space="0" w:color="auto"/>
                                                                        <w:left w:val="none" w:sz="0" w:space="0" w:color="auto"/>
                                                                        <w:bottom w:val="none" w:sz="0" w:space="0" w:color="auto"/>
                                                                        <w:right w:val="none" w:sz="0" w:space="0" w:color="auto"/>
                                                                      </w:divBdr>
                                                                      <w:divsChild>
                                                                        <w:div w:id="976105566">
                                                                          <w:marLeft w:val="0"/>
                                                                          <w:marRight w:val="0"/>
                                                                          <w:marTop w:val="0"/>
                                                                          <w:marBottom w:val="0"/>
                                                                          <w:divBdr>
                                                                            <w:top w:val="none" w:sz="0" w:space="0" w:color="auto"/>
                                                                            <w:left w:val="none" w:sz="0" w:space="0" w:color="auto"/>
                                                                            <w:bottom w:val="none" w:sz="0" w:space="0" w:color="auto"/>
                                                                            <w:right w:val="none" w:sz="0" w:space="0" w:color="auto"/>
                                                                          </w:divBdr>
                                                                          <w:divsChild>
                                                                            <w:div w:id="803427726">
                                                                              <w:marLeft w:val="0"/>
                                                                              <w:marRight w:val="0"/>
                                                                              <w:marTop w:val="0"/>
                                                                              <w:marBottom w:val="0"/>
                                                                              <w:divBdr>
                                                                                <w:top w:val="none" w:sz="0" w:space="0" w:color="auto"/>
                                                                                <w:left w:val="none" w:sz="0" w:space="0" w:color="auto"/>
                                                                                <w:bottom w:val="none" w:sz="0" w:space="0" w:color="auto"/>
                                                                                <w:right w:val="none" w:sz="0" w:space="0" w:color="auto"/>
                                                                              </w:divBdr>
                                                                              <w:divsChild>
                                                                                <w:div w:id="12650855">
                                                                                  <w:marLeft w:val="0"/>
                                                                                  <w:marRight w:val="0"/>
                                                                                  <w:marTop w:val="0"/>
                                                                                  <w:marBottom w:val="0"/>
                                                                                  <w:divBdr>
                                                                                    <w:top w:val="none" w:sz="0" w:space="0" w:color="auto"/>
                                                                                    <w:left w:val="none" w:sz="0" w:space="0" w:color="auto"/>
                                                                                    <w:bottom w:val="none" w:sz="0" w:space="0" w:color="auto"/>
                                                                                    <w:right w:val="none" w:sz="0" w:space="0" w:color="auto"/>
                                                                                  </w:divBdr>
                                                                                  <w:divsChild>
                                                                                    <w:div w:id="1818567422">
                                                                                      <w:marLeft w:val="0"/>
                                                                                      <w:marRight w:val="0"/>
                                                                                      <w:marTop w:val="0"/>
                                                                                      <w:marBottom w:val="0"/>
                                                                                      <w:divBdr>
                                                                                        <w:top w:val="none" w:sz="0" w:space="0" w:color="auto"/>
                                                                                        <w:left w:val="none" w:sz="0" w:space="0" w:color="auto"/>
                                                                                        <w:bottom w:val="none" w:sz="0" w:space="0" w:color="auto"/>
                                                                                        <w:right w:val="none" w:sz="0" w:space="0" w:color="auto"/>
                                                                                      </w:divBdr>
                                                                                      <w:divsChild>
                                                                                        <w:div w:id="367150224">
                                                                                          <w:marLeft w:val="0"/>
                                                                                          <w:marRight w:val="0"/>
                                                                                          <w:marTop w:val="0"/>
                                                                                          <w:marBottom w:val="0"/>
                                                                                          <w:divBdr>
                                                                                            <w:top w:val="none" w:sz="0" w:space="0" w:color="auto"/>
                                                                                            <w:left w:val="none" w:sz="0" w:space="0" w:color="auto"/>
                                                                                            <w:bottom w:val="none" w:sz="0" w:space="0" w:color="auto"/>
                                                                                            <w:right w:val="none" w:sz="0" w:space="0" w:color="auto"/>
                                                                                          </w:divBdr>
                                                                                          <w:divsChild>
                                                                                            <w:div w:id="1119641757">
                                                                                              <w:marLeft w:val="0"/>
                                                                                              <w:marRight w:val="0"/>
                                                                                              <w:marTop w:val="0"/>
                                                                                              <w:marBottom w:val="0"/>
                                                                                              <w:divBdr>
                                                                                                <w:top w:val="none" w:sz="0" w:space="0" w:color="auto"/>
                                                                                                <w:left w:val="none" w:sz="0" w:space="0" w:color="auto"/>
                                                                                                <w:bottom w:val="none" w:sz="0" w:space="0" w:color="auto"/>
                                                                                                <w:right w:val="none" w:sz="0" w:space="0" w:color="auto"/>
                                                                                              </w:divBdr>
                                                                                              <w:divsChild>
                                                                                                <w:div w:id="1705129489">
                                                                                                  <w:marLeft w:val="0"/>
                                                                                                  <w:marRight w:val="0"/>
                                                                                                  <w:marTop w:val="0"/>
                                                                                                  <w:marBottom w:val="0"/>
                                                                                                  <w:divBdr>
                                                                                                    <w:top w:val="none" w:sz="0" w:space="0" w:color="auto"/>
                                                                                                    <w:left w:val="none" w:sz="0" w:space="0" w:color="auto"/>
                                                                                                    <w:bottom w:val="none" w:sz="0" w:space="0" w:color="auto"/>
                                                                                                    <w:right w:val="none" w:sz="0" w:space="0" w:color="auto"/>
                                                                                                  </w:divBdr>
                                                                                                  <w:divsChild>
                                                                                                    <w:div w:id="1687517095">
                                                                                                      <w:marLeft w:val="0"/>
                                                                                                      <w:marRight w:val="0"/>
                                                                                                      <w:marTop w:val="0"/>
                                                                                                      <w:marBottom w:val="0"/>
                                                                                                      <w:divBdr>
                                                                                                        <w:top w:val="none" w:sz="0" w:space="0" w:color="auto"/>
                                                                                                        <w:left w:val="none" w:sz="0" w:space="0" w:color="auto"/>
                                                                                                        <w:bottom w:val="none" w:sz="0" w:space="0" w:color="auto"/>
                                                                                                        <w:right w:val="none" w:sz="0" w:space="0" w:color="auto"/>
                                                                                                      </w:divBdr>
                                                                                                      <w:divsChild>
                                                                                                        <w:div w:id="1634940050">
                                                                                                          <w:marLeft w:val="0"/>
                                                                                                          <w:marRight w:val="0"/>
                                                                                                          <w:marTop w:val="0"/>
                                                                                                          <w:marBottom w:val="0"/>
                                                                                                          <w:divBdr>
                                                                                                            <w:top w:val="none" w:sz="0" w:space="0" w:color="auto"/>
                                                                                                            <w:left w:val="none" w:sz="0" w:space="0" w:color="auto"/>
                                                                                                            <w:bottom w:val="none" w:sz="0" w:space="0" w:color="auto"/>
                                                                                                            <w:right w:val="none" w:sz="0" w:space="0" w:color="auto"/>
                                                                                                          </w:divBdr>
                                                                                                          <w:divsChild>
                                                                                                            <w:div w:id="156671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4813437">
      <w:bodyDiv w:val="1"/>
      <w:marLeft w:val="0"/>
      <w:marRight w:val="0"/>
      <w:marTop w:val="0"/>
      <w:marBottom w:val="0"/>
      <w:divBdr>
        <w:top w:val="none" w:sz="0" w:space="0" w:color="auto"/>
        <w:left w:val="none" w:sz="0" w:space="0" w:color="auto"/>
        <w:bottom w:val="none" w:sz="0" w:space="0" w:color="auto"/>
        <w:right w:val="none" w:sz="0" w:space="0" w:color="auto"/>
      </w:divBdr>
    </w:div>
    <w:div w:id="790975335">
      <w:bodyDiv w:val="1"/>
      <w:marLeft w:val="0"/>
      <w:marRight w:val="0"/>
      <w:marTop w:val="0"/>
      <w:marBottom w:val="0"/>
      <w:divBdr>
        <w:top w:val="none" w:sz="0" w:space="0" w:color="auto"/>
        <w:left w:val="none" w:sz="0" w:space="0" w:color="auto"/>
        <w:bottom w:val="none" w:sz="0" w:space="0" w:color="auto"/>
        <w:right w:val="none" w:sz="0" w:space="0" w:color="auto"/>
      </w:divBdr>
    </w:div>
    <w:div w:id="867916273">
      <w:bodyDiv w:val="1"/>
      <w:marLeft w:val="0"/>
      <w:marRight w:val="0"/>
      <w:marTop w:val="0"/>
      <w:marBottom w:val="0"/>
      <w:divBdr>
        <w:top w:val="none" w:sz="0" w:space="0" w:color="auto"/>
        <w:left w:val="none" w:sz="0" w:space="0" w:color="auto"/>
        <w:bottom w:val="none" w:sz="0" w:space="0" w:color="auto"/>
        <w:right w:val="none" w:sz="0" w:space="0" w:color="auto"/>
      </w:divBdr>
    </w:div>
    <w:div w:id="910585091">
      <w:bodyDiv w:val="1"/>
      <w:marLeft w:val="0"/>
      <w:marRight w:val="0"/>
      <w:marTop w:val="0"/>
      <w:marBottom w:val="0"/>
      <w:divBdr>
        <w:top w:val="none" w:sz="0" w:space="0" w:color="auto"/>
        <w:left w:val="none" w:sz="0" w:space="0" w:color="auto"/>
        <w:bottom w:val="none" w:sz="0" w:space="0" w:color="auto"/>
        <w:right w:val="none" w:sz="0" w:space="0" w:color="auto"/>
      </w:divBdr>
    </w:div>
    <w:div w:id="945305176">
      <w:bodyDiv w:val="1"/>
      <w:marLeft w:val="0"/>
      <w:marRight w:val="0"/>
      <w:marTop w:val="0"/>
      <w:marBottom w:val="0"/>
      <w:divBdr>
        <w:top w:val="none" w:sz="0" w:space="0" w:color="auto"/>
        <w:left w:val="none" w:sz="0" w:space="0" w:color="auto"/>
        <w:bottom w:val="none" w:sz="0" w:space="0" w:color="auto"/>
        <w:right w:val="none" w:sz="0" w:space="0" w:color="auto"/>
      </w:divBdr>
    </w:div>
    <w:div w:id="950742904">
      <w:bodyDiv w:val="1"/>
      <w:marLeft w:val="0"/>
      <w:marRight w:val="0"/>
      <w:marTop w:val="0"/>
      <w:marBottom w:val="0"/>
      <w:divBdr>
        <w:top w:val="none" w:sz="0" w:space="0" w:color="auto"/>
        <w:left w:val="none" w:sz="0" w:space="0" w:color="auto"/>
        <w:bottom w:val="none" w:sz="0" w:space="0" w:color="auto"/>
        <w:right w:val="none" w:sz="0" w:space="0" w:color="auto"/>
      </w:divBdr>
    </w:div>
    <w:div w:id="996611453">
      <w:bodyDiv w:val="1"/>
      <w:marLeft w:val="0"/>
      <w:marRight w:val="0"/>
      <w:marTop w:val="0"/>
      <w:marBottom w:val="0"/>
      <w:divBdr>
        <w:top w:val="none" w:sz="0" w:space="0" w:color="auto"/>
        <w:left w:val="none" w:sz="0" w:space="0" w:color="auto"/>
        <w:bottom w:val="none" w:sz="0" w:space="0" w:color="auto"/>
        <w:right w:val="none" w:sz="0" w:space="0" w:color="auto"/>
      </w:divBdr>
    </w:div>
    <w:div w:id="1155950880">
      <w:bodyDiv w:val="1"/>
      <w:marLeft w:val="0"/>
      <w:marRight w:val="0"/>
      <w:marTop w:val="0"/>
      <w:marBottom w:val="0"/>
      <w:divBdr>
        <w:top w:val="none" w:sz="0" w:space="0" w:color="auto"/>
        <w:left w:val="none" w:sz="0" w:space="0" w:color="auto"/>
        <w:bottom w:val="none" w:sz="0" w:space="0" w:color="auto"/>
        <w:right w:val="none" w:sz="0" w:space="0" w:color="auto"/>
      </w:divBdr>
    </w:div>
    <w:div w:id="1161776920">
      <w:bodyDiv w:val="1"/>
      <w:marLeft w:val="0"/>
      <w:marRight w:val="0"/>
      <w:marTop w:val="0"/>
      <w:marBottom w:val="0"/>
      <w:divBdr>
        <w:top w:val="none" w:sz="0" w:space="0" w:color="auto"/>
        <w:left w:val="none" w:sz="0" w:space="0" w:color="auto"/>
        <w:bottom w:val="none" w:sz="0" w:space="0" w:color="auto"/>
        <w:right w:val="none" w:sz="0" w:space="0" w:color="auto"/>
      </w:divBdr>
    </w:div>
    <w:div w:id="1181431188">
      <w:bodyDiv w:val="1"/>
      <w:marLeft w:val="0"/>
      <w:marRight w:val="0"/>
      <w:marTop w:val="0"/>
      <w:marBottom w:val="0"/>
      <w:divBdr>
        <w:top w:val="none" w:sz="0" w:space="0" w:color="auto"/>
        <w:left w:val="none" w:sz="0" w:space="0" w:color="auto"/>
        <w:bottom w:val="none" w:sz="0" w:space="0" w:color="auto"/>
        <w:right w:val="none" w:sz="0" w:space="0" w:color="auto"/>
      </w:divBdr>
    </w:div>
    <w:div w:id="1202791106">
      <w:bodyDiv w:val="1"/>
      <w:marLeft w:val="0"/>
      <w:marRight w:val="0"/>
      <w:marTop w:val="0"/>
      <w:marBottom w:val="0"/>
      <w:divBdr>
        <w:top w:val="none" w:sz="0" w:space="0" w:color="auto"/>
        <w:left w:val="none" w:sz="0" w:space="0" w:color="auto"/>
        <w:bottom w:val="none" w:sz="0" w:space="0" w:color="auto"/>
        <w:right w:val="none" w:sz="0" w:space="0" w:color="auto"/>
      </w:divBdr>
    </w:div>
    <w:div w:id="1226643813">
      <w:bodyDiv w:val="1"/>
      <w:marLeft w:val="0"/>
      <w:marRight w:val="0"/>
      <w:marTop w:val="0"/>
      <w:marBottom w:val="0"/>
      <w:divBdr>
        <w:top w:val="none" w:sz="0" w:space="0" w:color="auto"/>
        <w:left w:val="none" w:sz="0" w:space="0" w:color="auto"/>
        <w:bottom w:val="none" w:sz="0" w:space="0" w:color="auto"/>
        <w:right w:val="none" w:sz="0" w:space="0" w:color="auto"/>
      </w:divBdr>
    </w:div>
    <w:div w:id="1248269307">
      <w:bodyDiv w:val="1"/>
      <w:marLeft w:val="0"/>
      <w:marRight w:val="0"/>
      <w:marTop w:val="0"/>
      <w:marBottom w:val="0"/>
      <w:divBdr>
        <w:top w:val="none" w:sz="0" w:space="0" w:color="auto"/>
        <w:left w:val="none" w:sz="0" w:space="0" w:color="auto"/>
        <w:bottom w:val="none" w:sz="0" w:space="0" w:color="auto"/>
        <w:right w:val="none" w:sz="0" w:space="0" w:color="auto"/>
      </w:divBdr>
    </w:div>
    <w:div w:id="1420758097">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81800210">
      <w:bodyDiv w:val="1"/>
      <w:marLeft w:val="0"/>
      <w:marRight w:val="0"/>
      <w:marTop w:val="0"/>
      <w:marBottom w:val="0"/>
      <w:divBdr>
        <w:top w:val="none" w:sz="0" w:space="0" w:color="auto"/>
        <w:left w:val="none" w:sz="0" w:space="0" w:color="auto"/>
        <w:bottom w:val="none" w:sz="0" w:space="0" w:color="auto"/>
        <w:right w:val="none" w:sz="0" w:space="0" w:color="auto"/>
      </w:divBdr>
    </w:div>
    <w:div w:id="1506087784">
      <w:bodyDiv w:val="1"/>
      <w:marLeft w:val="0"/>
      <w:marRight w:val="0"/>
      <w:marTop w:val="0"/>
      <w:marBottom w:val="0"/>
      <w:divBdr>
        <w:top w:val="none" w:sz="0" w:space="0" w:color="auto"/>
        <w:left w:val="none" w:sz="0" w:space="0" w:color="auto"/>
        <w:bottom w:val="none" w:sz="0" w:space="0" w:color="auto"/>
        <w:right w:val="none" w:sz="0" w:space="0" w:color="auto"/>
      </w:divBdr>
    </w:div>
    <w:div w:id="1584799717">
      <w:bodyDiv w:val="1"/>
      <w:marLeft w:val="0"/>
      <w:marRight w:val="0"/>
      <w:marTop w:val="0"/>
      <w:marBottom w:val="0"/>
      <w:divBdr>
        <w:top w:val="none" w:sz="0" w:space="0" w:color="auto"/>
        <w:left w:val="none" w:sz="0" w:space="0" w:color="auto"/>
        <w:bottom w:val="none" w:sz="0" w:space="0" w:color="auto"/>
        <w:right w:val="none" w:sz="0" w:space="0" w:color="auto"/>
      </w:divBdr>
    </w:div>
    <w:div w:id="1639677012">
      <w:bodyDiv w:val="1"/>
      <w:marLeft w:val="0"/>
      <w:marRight w:val="0"/>
      <w:marTop w:val="0"/>
      <w:marBottom w:val="0"/>
      <w:divBdr>
        <w:top w:val="none" w:sz="0" w:space="0" w:color="auto"/>
        <w:left w:val="none" w:sz="0" w:space="0" w:color="auto"/>
        <w:bottom w:val="none" w:sz="0" w:space="0" w:color="auto"/>
        <w:right w:val="none" w:sz="0" w:space="0" w:color="auto"/>
      </w:divBdr>
    </w:div>
    <w:div w:id="1780101601">
      <w:bodyDiv w:val="1"/>
      <w:marLeft w:val="0"/>
      <w:marRight w:val="0"/>
      <w:marTop w:val="0"/>
      <w:marBottom w:val="0"/>
      <w:divBdr>
        <w:top w:val="none" w:sz="0" w:space="0" w:color="auto"/>
        <w:left w:val="none" w:sz="0" w:space="0" w:color="auto"/>
        <w:bottom w:val="none" w:sz="0" w:space="0" w:color="auto"/>
        <w:right w:val="none" w:sz="0" w:space="0" w:color="auto"/>
      </w:divBdr>
    </w:div>
    <w:div w:id="1790706826">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1865634176">
      <w:bodyDiv w:val="1"/>
      <w:marLeft w:val="0"/>
      <w:marRight w:val="0"/>
      <w:marTop w:val="0"/>
      <w:marBottom w:val="0"/>
      <w:divBdr>
        <w:top w:val="none" w:sz="0" w:space="0" w:color="auto"/>
        <w:left w:val="none" w:sz="0" w:space="0" w:color="auto"/>
        <w:bottom w:val="none" w:sz="0" w:space="0" w:color="auto"/>
        <w:right w:val="none" w:sz="0" w:space="0" w:color="auto"/>
      </w:divBdr>
    </w:div>
    <w:div w:id="1874264926">
      <w:bodyDiv w:val="1"/>
      <w:marLeft w:val="0"/>
      <w:marRight w:val="0"/>
      <w:marTop w:val="0"/>
      <w:marBottom w:val="0"/>
      <w:divBdr>
        <w:top w:val="none" w:sz="0" w:space="0" w:color="auto"/>
        <w:left w:val="none" w:sz="0" w:space="0" w:color="auto"/>
        <w:bottom w:val="none" w:sz="0" w:space="0" w:color="auto"/>
        <w:right w:val="none" w:sz="0" w:space="0" w:color="auto"/>
      </w:divBdr>
    </w:div>
    <w:div w:id="1875918987">
      <w:bodyDiv w:val="1"/>
      <w:marLeft w:val="0"/>
      <w:marRight w:val="0"/>
      <w:marTop w:val="0"/>
      <w:marBottom w:val="0"/>
      <w:divBdr>
        <w:top w:val="none" w:sz="0" w:space="0" w:color="auto"/>
        <w:left w:val="none" w:sz="0" w:space="0" w:color="auto"/>
        <w:bottom w:val="none" w:sz="0" w:space="0" w:color="auto"/>
        <w:right w:val="none" w:sz="0" w:space="0" w:color="auto"/>
      </w:divBdr>
    </w:div>
    <w:div w:id="2042512955">
      <w:bodyDiv w:val="1"/>
      <w:marLeft w:val="0"/>
      <w:marRight w:val="0"/>
      <w:marTop w:val="0"/>
      <w:marBottom w:val="0"/>
      <w:divBdr>
        <w:top w:val="none" w:sz="0" w:space="0" w:color="auto"/>
        <w:left w:val="none" w:sz="0" w:space="0" w:color="auto"/>
        <w:bottom w:val="none" w:sz="0" w:space="0" w:color="auto"/>
        <w:right w:val="none" w:sz="0" w:space="0" w:color="auto"/>
      </w:divBdr>
    </w:div>
    <w:div w:id="210098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ms.hhs.gov/NursingHomeQualityInits/Downloads/MDS30FinalReport.pdf" TargetMode="External"/><Relationship Id="rId18" Type="http://schemas.openxmlformats.org/officeDocument/2006/relationships/chart" Target="charts/chart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qualityforum.org/Publications/2017/07/Social_Risk_Trial_Final_Report.aspx" TargetMode="External"/><Relationship Id="rId7" Type="http://schemas.openxmlformats.org/officeDocument/2006/relationships/settings" Target="settings.xml"/><Relationship Id="rId12" Type="http://schemas.openxmlformats.org/officeDocument/2006/relationships/hyperlink" Target="http://www.cms.hhs.gov/NursingHomeQualityInits/Downloads/MDS30FinalReport.pdf" TargetMode="External"/><Relationship Id="rId17" Type="http://schemas.openxmlformats.org/officeDocument/2006/relationships/hyperlink" Target="http://www.cms.hhs.gov/NursingHomeQualityInits/Downloads/MDS30FinalReport.pdf"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www.cms.hhs.gov/NursingHomeQualityInits/Downloads/MDS30FinalReport.pdf" TargetMode="External"/><Relationship Id="rId20" Type="http://schemas.openxmlformats.org/officeDocument/2006/relationships/hyperlink" Target="https://downloads.cms.gov/files/1-MDS-30-RAI-Manual-v1-16-October-1-2018.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cms.hhs.gov/NursingHomeQualityInits/Downloads/MDS30FinalReport.pdf"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hart" Target="charts/chart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hhs.gov/NursingHomeQualityInits/Downloads/MDS30FinalReport.pdf" TargetMode="External"/><Relationship Id="rId22"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Sheet1!$B$1</c:f>
              <c:strCache>
                <c:ptCount val="1"/>
                <c:pt idx="0">
                  <c:v>Mean</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dLbls>
            <c:dLbl>
              <c:idx val="1"/>
              <c:delete val="1"/>
              <c:extLst>
                <c:ext xmlns:c15="http://schemas.microsoft.com/office/drawing/2012/chart" uri="{CE6537A1-D6FC-4f65-9D91-7224C49458BB}"/>
                <c:ext xmlns:c16="http://schemas.microsoft.com/office/drawing/2014/chart" uri="{C3380CC4-5D6E-409C-BE32-E72D297353CC}">
                  <c16:uniqueId val="{00000000-70CC-4CA4-93E2-C403B90CC9CA}"/>
                </c:ext>
              </c:extLst>
            </c:dLbl>
            <c:dLbl>
              <c:idx val="2"/>
              <c:delete val="1"/>
              <c:extLst>
                <c:ext xmlns:c15="http://schemas.microsoft.com/office/drawing/2012/chart" uri="{CE6537A1-D6FC-4f65-9D91-7224C49458BB}"/>
                <c:ext xmlns:c16="http://schemas.microsoft.com/office/drawing/2014/chart" uri="{C3380CC4-5D6E-409C-BE32-E72D297353CC}">
                  <c16:uniqueId val="{00000001-70CC-4CA4-93E2-C403B90CC9CA}"/>
                </c:ext>
              </c:extLst>
            </c:dLbl>
            <c:dLbl>
              <c:idx val="3"/>
              <c:delete val="1"/>
              <c:extLst>
                <c:ext xmlns:c15="http://schemas.microsoft.com/office/drawing/2012/chart" uri="{CE6537A1-D6FC-4f65-9D91-7224C49458BB}"/>
                <c:ext xmlns:c16="http://schemas.microsoft.com/office/drawing/2014/chart" uri="{C3380CC4-5D6E-409C-BE32-E72D297353CC}">
                  <c16:uniqueId val="{00000002-70CC-4CA4-93E2-C403B90CC9CA}"/>
                </c:ext>
              </c:extLst>
            </c:dLbl>
            <c:dLbl>
              <c:idx val="4"/>
              <c:delete val="1"/>
              <c:extLst>
                <c:ext xmlns:c15="http://schemas.microsoft.com/office/drawing/2012/chart" uri="{CE6537A1-D6FC-4f65-9D91-7224C49458BB}"/>
                <c:ext xmlns:c16="http://schemas.microsoft.com/office/drawing/2014/chart" uri="{C3380CC4-5D6E-409C-BE32-E72D297353CC}">
                  <c16:uniqueId val="{00000003-70CC-4CA4-93E2-C403B90CC9CA}"/>
                </c:ext>
              </c:extLst>
            </c:dLbl>
            <c:dLbl>
              <c:idx val="5"/>
              <c:delete val="1"/>
              <c:extLst>
                <c:ext xmlns:c15="http://schemas.microsoft.com/office/drawing/2012/chart" uri="{CE6537A1-D6FC-4f65-9D91-7224C49458BB}"/>
                <c:ext xmlns:c16="http://schemas.microsoft.com/office/drawing/2014/chart" uri="{C3380CC4-5D6E-409C-BE32-E72D297353CC}">
                  <c16:uniqueId val="{00000004-70CC-4CA4-93E2-C403B90CC9CA}"/>
                </c:ext>
              </c:extLst>
            </c:dLbl>
            <c:dLbl>
              <c:idx val="6"/>
              <c:delete val="1"/>
              <c:extLst>
                <c:ext xmlns:c15="http://schemas.microsoft.com/office/drawing/2012/chart" uri="{CE6537A1-D6FC-4f65-9D91-7224C49458BB}"/>
                <c:ext xmlns:c16="http://schemas.microsoft.com/office/drawing/2014/chart" uri="{C3380CC4-5D6E-409C-BE32-E72D297353CC}">
                  <c16:uniqueId val="{00000005-70CC-4CA4-93E2-C403B90CC9CA}"/>
                </c:ext>
              </c:extLst>
            </c:dLbl>
            <c:dLbl>
              <c:idx val="7"/>
              <c:delete val="1"/>
              <c:extLst>
                <c:ext xmlns:c15="http://schemas.microsoft.com/office/drawing/2012/chart" uri="{CE6537A1-D6FC-4f65-9D91-7224C49458BB}"/>
                <c:ext xmlns:c16="http://schemas.microsoft.com/office/drawing/2014/chart" uri="{C3380CC4-5D6E-409C-BE32-E72D297353CC}">
                  <c16:uniqueId val="{00000006-70CC-4CA4-93E2-C403B90CC9CA}"/>
                </c:ext>
              </c:extLst>
            </c:dLbl>
            <c:dLbl>
              <c:idx val="8"/>
              <c:delete val="1"/>
              <c:extLst>
                <c:ext xmlns:c15="http://schemas.microsoft.com/office/drawing/2012/chart" uri="{CE6537A1-D6FC-4f65-9D91-7224C49458BB}"/>
                <c:ext xmlns:c16="http://schemas.microsoft.com/office/drawing/2014/chart" uri="{C3380CC4-5D6E-409C-BE32-E72D297353CC}">
                  <c16:uniqueId val="{00000007-70CC-4CA4-93E2-C403B90CC9CA}"/>
                </c:ext>
              </c:extLst>
            </c:dLbl>
            <c:dLbl>
              <c:idx val="9"/>
              <c:delete val="1"/>
              <c:extLst>
                <c:ext xmlns:c15="http://schemas.microsoft.com/office/drawing/2012/chart" uri="{CE6537A1-D6FC-4f65-9D91-7224C49458BB}"/>
                <c:ext xmlns:c16="http://schemas.microsoft.com/office/drawing/2014/chart" uri="{C3380CC4-5D6E-409C-BE32-E72D297353CC}">
                  <c16:uniqueId val="{00000008-70CC-4CA4-93E2-C403B90CC9CA}"/>
                </c:ext>
              </c:extLst>
            </c:dLbl>
            <c:dLbl>
              <c:idx val="10"/>
              <c:delete val="1"/>
              <c:extLst>
                <c:ext xmlns:c15="http://schemas.microsoft.com/office/drawing/2012/chart" uri="{CE6537A1-D6FC-4f65-9D91-7224C49458BB}"/>
                <c:ext xmlns:c16="http://schemas.microsoft.com/office/drawing/2014/chart" uri="{C3380CC4-5D6E-409C-BE32-E72D297353CC}">
                  <c16:uniqueId val="{00000009-70CC-4CA4-93E2-C403B90CC9CA}"/>
                </c:ext>
              </c:extLst>
            </c:dLbl>
            <c:dLbl>
              <c:idx val="11"/>
              <c:delete val="1"/>
              <c:extLst>
                <c:ext xmlns:c15="http://schemas.microsoft.com/office/drawing/2012/chart" uri="{CE6537A1-D6FC-4f65-9D91-7224C49458BB}"/>
                <c:ext xmlns:c16="http://schemas.microsoft.com/office/drawing/2014/chart" uri="{C3380CC4-5D6E-409C-BE32-E72D297353CC}">
                  <c16:uniqueId val="{0000000A-70CC-4CA4-93E2-C403B90CC9CA}"/>
                </c:ext>
              </c:extLst>
            </c:dLbl>
            <c:dLbl>
              <c:idx val="12"/>
              <c:delete val="1"/>
              <c:extLst>
                <c:ext xmlns:c15="http://schemas.microsoft.com/office/drawing/2012/chart" uri="{CE6537A1-D6FC-4f65-9D91-7224C49458BB}"/>
                <c:ext xmlns:c16="http://schemas.microsoft.com/office/drawing/2014/chart" uri="{C3380CC4-5D6E-409C-BE32-E72D297353CC}">
                  <c16:uniqueId val="{0000000B-70CC-4CA4-93E2-C403B90CC9CA}"/>
                </c:ext>
              </c:extLst>
            </c:dLbl>
            <c:dLbl>
              <c:idx val="13"/>
              <c:delete val="1"/>
              <c:extLst>
                <c:ext xmlns:c15="http://schemas.microsoft.com/office/drawing/2012/chart" uri="{CE6537A1-D6FC-4f65-9D91-7224C49458BB}"/>
                <c:ext xmlns:c16="http://schemas.microsoft.com/office/drawing/2014/chart" uri="{C3380CC4-5D6E-409C-BE32-E72D297353CC}">
                  <c16:uniqueId val="{0000000C-70CC-4CA4-93E2-C403B90CC9CA}"/>
                </c:ext>
              </c:extLst>
            </c:dLbl>
            <c:dLbl>
              <c:idx val="14"/>
              <c:delete val="1"/>
              <c:extLst>
                <c:ext xmlns:c15="http://schemas.microsoft.com/office/drawing/2012/chart" uri="{CE6537A1-D6FC-4f65-9D91-7224C49458BB}"/>
                <c:ext xmlns:c16="http://schemas.microsoft.com/office/drawing/2014/chart" uri="{C3380CC4-5D6E-409C-BE32-E72D297353CC}">
                  <c16:uniqueId val="{0000000D-70CC-4CA4-93E2-C403B90CC9CA}"/>
                </c:ext>
              </c:extLst>
            </c:dLbl>
            <c:dLbl>
              <c:idx val="15"/>
              <c:delete val="1"/>
              <c:extLst>
                <c:ext xmlns:c15="http://schemas.microsoft.com/office/drawing/2012/chart" uri="{CE6537A1-D6FC-4f65-9D91-7224C49458BB}"/>
                <c:ext xmlns:c16="http://schemas.microsoft.com/office/drawing/2014/chart" uri="{C3380CC4-5D6E-409C-BE32-E72D297353CC}">
                  <c16:uniqueId val="{0000000E-70CC-4CA4-93E2-C403B90CC9CA}"/>
                </c:ext>
              </c:extLst>
            </c:dLbl>
            <c:dLbl>
              <c:idx val="16"/>
              <c:delete val="1"/>
              <c:extLst>
                <c:ext xmlns:c15="http://schemas.microsoft.com/office/drawing/2012/chart" uri="{CE6537A1-D6FC-4f65-9D91-7224C49458BB}"/>
                <c:ext xmlns:c16="http://schemas.microsoft.com/office/drawing/2014/chart" uri="{C3380CC4-5D6E-409C-BE32-E72D297353CC}">
                  <c16:uniqueId val="{0000000F-70CC-4CA4-93E2-C403B90CC9CA}"/>
                </c:ext>
              </c:extLst>
            </c:dLbl>
            <c:dLbl>
              <c:idx val="17"/>
              <c:delete val="1"/>
              <c:extLst>
                <c:ext xmlns:c15="http://schemas.microsoft.com/office/drawing/2012/chart" uri="{CE6537A1-D6FC-4f65-9D91-7224C49458BB}"/>
                <c:ext xmlns:c16="http://schemas.microsoft.com/office/drawing/2014/chart" uri="{C3380CC4-5D6E-409C-BE32-E72D297353CC}">
                  <c16:uniqueId val="{00000010-70CC-4CA4-93E2-C403B90CC9CA}"/>
                </c:ext>
              </c:extLst>
            </c:dLbl>
            <c:dLbl>
              <c:idx val="18"/>
              <c:delete val="1"/>
              <c:extLst>
                <c:ext xmlns:c15="http://schemas.microsoft.com/office/drawing/2012/chart" uri="{CE6537A1-D6FC-4f65-9D91-7224C49458BB}"/>
                <c:ext xmlns:c16="http://schemas.microsoft.com/office/drawing/2014/chart" uri="{C3380CC4-5D6E-409C-BE32-E72D297353CC}">
                  <c16:uniqueId val="{00000011-70CC-4CA4-93E2-C403B90CC9CA}"/>
                </c:ext>
              </c:extLst>
            </c:dLbl>
            <c:dLbl>
              <c:idx val="19"/>
              <c:delete val="1"/>
              <c:extLst>
                <c:ext xmlns:c15="http://schemas.microsoft.com/office/drawing/2012/chart" uri="{CE6537A1-D6FC-4f65-9D91-7224C49458BB}"/>
                <c:ext xmlns:c16="http://schemas.microsoft.com/office/drawing/2014/chart" uri="{C3380CC4-5D6E-409C-BE32-E72D297353CC}">
                  <c16:uniqueId val="{00000012-70CC-4CA4-93E2-C403B90CC9CA}"/>
                </c:ext>
              </c:extLst>
            </c:dLbl>
            <c:dLbl>
              <c:idx val="20"/>
              <c:delete val="1"/>
              <c:extLst>
                <c:ext xmlns:c15="http://schemas.microsoft.com/office/drawing/2012/chart" uri="{CE6537A1-D6FC-4f65-9D91-7224C49458BB}"/>
                <c:ext xmlns:c16="http://schemas.microsoft.com/office/drawing/2014/chart" uri="{C3380CC4-5D6E-409C-BE32-E72D297353CC}">
                  <c16:uniqueId val="{00000013-70CC-4CA4-93E2-C403B90CC9CA}"/>
                </c:ext>
              </c:extLst>
            </c:dLbl>
            <c:dLbl>
              <c:idx val="21"/>
              <c:delete val="1"/>
              <c:extLst>
                <c:ext xmlns:c15="http://schemas.microsoft.com/office/drawing/2012/chart" uri="{CE6537A1-D6FC-4f65-9D91-7224C49458BB}"/>
                <c:ext xmlns:c16="http://schemas.microsoft.com/office/drawing/2014/chart" uri="{C3380CC4-5D6E-409C-BE32-E72D297353CC}">
                  <c16:uniqueId val="{00000014-70CC-4CA4-93E2-C403B90CC9CA}"/>
                </c:ext>
              </c:extLst>
            </c:dLbl>
            <c:dLbl>
              <c:idx val="22"/>
              <c:delete val="1"/>
              <c:extLst>
                <c:ext xmlns:c15="http://schemas.microsoft.com/office/drawing/2012/chart" uri="{CE6537A1-D6FC-4f65-9D91-7224C49458BB}"/>
                <c:ext xmlns:c16="http://schemas.microsoft.com/office/drawing/2014/chart" uri="{C3380CC4-5D6E-409C-BE32-E72D297353CC}">
                  <c16:uniqueId val="{00000015-70CC-4CA4-93E2-C403B90CC9CA}"/>
                </c:ext>
              </c:extLst>
            </c:dLbl>
            <c:dLbl>
              <c:idx val="23"/>
              <c:delete val="1"/>
              <c:extLst>
                <c:ext xmlns:c15="http://schemas.microsoft.com/office/drawing/2012/chart" uri="{CE6537A1-D6FC-4f65-9D91-7224C49458BB}"/>
                <c:ext xmlns:c16="http://schemas.microsoft.com/office/drawing/2014/chart" uri="{C3380CC4-5D6E-409C-BE32-E72D297353CC}">
                  <c16:uniqueId val="{00000016-70CC-4CA4-93E2-C403B90CC9CA}"/>
                </c:ext>
              </c:extLst>
            </c:dLbl>
            <c:dLbl>
              <c:idx val="24"/>
              <c:delete val="1"/>
              <c:extLst>
                <c:ext xmlns:c15="http://schemas.microsoft.com/office/drawing/2012/chart" uri="{CE6537A1-D6FC-4f65-9D91-7224C49458BB}"/>
                <c:ext xmlns:c16="http://schemas.microsoft.com/office/drawing/2014/chart" uri="{C3380CC4-5D6E-409C-BE32-E72D297353CC}">
                  <c16:uniqueId val="{00000017-70CC-4CA4-93E2-C403B90CC9CA}"/>
                </c:ext>
              </c:extLst>
            </c:dLbl>
            <c:dLbl>
              <c:idx val="25"/>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50000"/>
                          <a:lumOff val="50000"/>
                        </a:schemeClr>
                      </a:solidFill>
                      <a:latin typeface="+mn-lt"/>
                      <a:ea typeface="+mn-ea"/>
                      <a:cs typeface="+mn-cs"/>
                    </a:defRPr>
                  </a:pPr>
                  <a:endParaRPr lang="en-US"/>
                </a:p>
              </c:txPr>
              <c:dLblPos val="t"/>
              <c:showLegendKey val="0"/>
              <c:showVal val="1"/>
              <c:showCatName val="0"/>
              <c:showSerName val="0"/>
              <c:showPercent val="0"/>
              <c:showBubbleSize val="0"/>
              <c:extLst>
                <c:ext xmlns:c16="http://schemas.microsoft.com/office/drawing/2014/chart" uri="{C3380CC4-5D6E-409C-BE32-E72D297353CC}">
                  <c16:uniqueId val="{00000000-F8A5-45FF-B1A8-C95385B77CD1}"/>
                </c:ext>
              </c:extLst>
            </c:dLbl>
            <c:dLbl>
              <c:idx val="26"/>
              <c:layout>
                <c:manualLayout>
                  <c:x val="-3.304780827630191E-2"/>
                  <c:y val="-8.1425593504992025E-2"/>
                </c:manualLayout>
              </c:layout>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50000"/>
                          <a:lumOff val="50000"/>
                        </a:schemeClr>
                      </a:solidFill>
                      <a:latin typeface="+mn-lt"/>
                      <a:ea typeface="+mn-ea"/>
                      <a:cs typeface="+mn-cs"/>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154-461B-82A4-6C93E756FD22}"/>
                </c:ext>
              </c:extLst>
            </c:dLbl>
            <c:dLbl>
              <c:idx val="27"/>
              <c:spPr>
                <a:noFill/>
                <a:ln>
                  <a:noFill/>
                </a:ln>
                <a:effectLst/>
              </c:spPr>
              <c:txPr>
                <a:bodyPr rot="0" spcFirstLastPara="1" vertOverflow="ellipsis" vert="horz" wrap="square" lIns="38100" tIns="19050" rIns="38100" bIns="19050" anchor="ctr" anchorCtr="1">
                  <a:noAutofit/>
                </a:bodyPr>
                <a:lstStyle/>
                <a:p>
                  <a:pPr>
                    <a:defRPr sz="700" b="0" i="0" u="none" strike="noStrike" kern="1200" baseline="0">
                      <a:solidFill>
                        <a:schemeClr val="tx1">
                          <a:lumMod val="50000"/>
                          <a:lumOff val="50000"/>
                        </a:schemeClr>
                      </a:solidFill>
                      <a:latin typeface="+mn-lt"/>
                      <a:ea typeface="+mn-ea"/>
                      <a:cs typeface="+mn-cs"/>
                    </a:defRPr>
                  </a:pPr>
                  <a:endParaRPr lang="en-US"/>
                </a:p>
              </c:txPr>
              <c:dLblPos val="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2154-461B-82A4-6C93E756FD22}"/>
                </c:ext>
              </c:extLst>
            </c:dLbl>
            <c:dLbl>
              <c:idx val="28"/>
              <c:layout>
                <c:manualLayout>
                  <c:x val="-3.304780827630191E-2"/>
                  <c:y val="-0.10714906617380222"/>
                </c:manualLayout>
              </c:layout>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50000"/>
                          <a:lumOff val="50000"/>
                        </a:schemeClr>
                      </a:solidFill>
                      <a:latin typeface="+mn-lt"/>
                      <a:ea typeface="+mn-ea"/>
                      <a:cs typeface="+mn-cs"/>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154-461B-82A4-6C93E756FD22}"/>
                </c:ext>
              </c:extLst>
            </c:dLbl>
            <c:dLbl>
              <c:idx val="29"/>
              <c:layout>
                <c:manualLayout>
                  <c:x val="-3.3094578131004651E-2"/>
                  <c:y val="-7.6195154062333931E-2"/>
                </c:manualLayout>
              </c:layout>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50000"/>
                          <a:lumOff val="50000"/>
                        </a:schemeClr>
                      </a:solidFill>
                      <a:latin typeface="+mn-lt"/>
                      <a:ea typeface="+mn-ea"/>
                      <a:cs typeface="+mn-cs"/>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8A5-45FF-B1A8-C95385B77CD1}"/>
                </c:ext>
              </c:extLst>
            </c:dLbl>
            <c:dLbl>
              <c:idx val="30"/>
              <c:layout>
                <c:manualLayout>
                  <c:x val="-1.2724344036434698E-2"/>
                  <c:y val="-5.9046172283126988E-2"/>
                </c:manualLayout>
              </c:layout>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50000"/>
                          <a:lumOff val="50000"/>
                        </a:schemeClr>
                      </a:solidFill>
                      <a:latin typeface="+mn-lt"/>
                      <a:ea typeface="+mn-ea"/>
                      <a:cs typeface="+mn-cs"/>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8A5-45FF-B1A8-C95385B77CD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Sheet1!$A$2:$A$32</c:f>
              <c:strCache>
                <c:ptCount val="31"/>
                <c:pt idx="0">
                  <c:v>Q1 2011</c:v>
                </c:pt>
                <c:pt idx="1">
                  <c:v>Q2 2011</c:v>
                </c:pt>
                <c:pt idx="2">
                  <c:v>Q3 2011</c:v>
                </c:pt>
                <c:pt idx="3">
                  <c:v>Q4 2011</c:v>
                </c:pt>
                <c:pt idx="4">
                  <c:v>Q1 2012</c:v>
                </c:pt>
                <c:pt idx="5">
                  <c:v>Q2 2012</c:v>
                </c:pt>
                <c:pt idx="6">
                  <c:v>Q3 2012</c:v>
                </c:pt>
                <c:pt idx="7">
                  <c:v>Q4 2012</c:v>
                </c:pt>
                <c:pt idx="8">
                  <c:v>Q1 2013</c:v>
                </c:pt>
                <c:pt idx="9">
                  <c:v>Q2 2013</c:v>
                </c:pt>
                <c:pt idx="10">
                  <c:v>Q3 2013</c:v>
                </c:pt>
                <c:pt idx="11">
                  <c:v>Q4 2013</c:v>
                </c:pt>
                <c:pt idx="12">
                  <c:v>Q1 2014</c:v>
                </c:pt>
                <c:pt idx="13">
                  <c:v>Q2 2014</c:v>
                </c:pt>
                <c:pt idx="14">
                  <c:v>Q3 2014</c:v>
                </c:pt>
                <c:pt idx="15">
                  <c:v>Q4 2014</c:v>
                </c:pt>
                <c:pt idx="16">
                  <c:v>Q1 2015</c:v>
                </c:pt>
                <c:pt idx="17">
                  <c:v>Q2 2015</c:v>
                </c:pt>
                <c:pt idx="18">
                  <c:v>Q3 2015</c:v>
                </c:pt>
                <c:pt idx="19">
                  <c:v>Q4 2015</c:v>
                </c:pt>
                <c:pt idx="20">
                  <c:v>Q1 2016</c:v>
                </c:pt>
                <c:pt idx="21">
                  <c:v>Q2 2016</c:v>
                </c:pt>
                <c:pt idx="22">
                  <c:v>Q3 2016</c:v>
                </c:pt>
                <c:pt idx="23">
                  <c:v>Q4 2016</c:v>
                </c:pt>
                <c:pt idx="24">
                  <c:v>Q1 2017</c:v>
                </c:pt>
                <c:pt idx="25">
                  <c:v>Q2 2017</c:v>
                </c:pt>
                <c:pt idx="26">
                  <c:v>Q3 2017</c:v>
                </c:pt>
                <c:pt idx="27">
                  <c:v>Q4 2017</c:v>
                </c:pt>
                <c:pt idx="28">
                  <c:v>Q1 2018</c:v>
                </c:pt>
                <c:pt idx="29">
                  <c:v>Q2 2018</c:v>
                </c:pt>
                <c:pt idx="30">
                  <c:v>Q3 2018</c:v>
                </c:pt>
              </c:strCache>
            </c:strRef>
          </c:cat>
          <c:val>
            <c:numRef>
              <c:f>Sheet1!$B$2:$B$32</c:f>
              <c:numCache>
                <c:formatCode>0.0%</c:formatCode>
                <c:ptCount val="31"/>
                <c:pt idx="0">
                  <c:v>7.4999999999999997E-2</c:v>
                </c:pt>
                <c:pt idx="1">
                  <c:v>7.6999999999999999E-2</c:v>
                </c:pt>
                <c:pt idx="2">
                  <c:v>7.9000000000000001E-2</c:v>
                </c:pt>
                <c:pt idx="3">
                  <c:v>7.8E-2</c:v>
                </c:pt>
                <c:pt idx="4">
                  <c:v>7.5999999999999998E-2</c:v>
                </c:pt>
                <c:pt idx="5">
                  <c:v>7.2999999999999995E-2</c:v>
                </c:pt>
                <c:pt idx="6">
                  <c:v>7.1999999999999995E-2</c:v>
                </c:pt>
                <c:pt idx="7">
                  <c:v>6.8000000000000005E-2</c:v>
                </c:pt>
                <c:pt idx="8">
                  <c:v>6.5000000000000002E-2</c:v>
                </c:pt>
                <c:pt idx="9">
                  <c:v>6.3E-2</c:v>
                </c:pt>
                <c:pt idx="10">
                  <c:v>6.3E-2</c:v>
                </c:pt>
                <c:pt idx="11">
                  <c:v>0.06</c:v>
                </c:pt>
                <c:pt idx="12">
                  <c:v>5.7000000000000002E-2</c:v>
                </c:pt>
                <c:pt idx="13">
                  <c:v>5.6000000000000001E-2</c:v>
                </c:pt>
                <c:pt idx="14">
                  <c:v>5.7000000000000002E-2</c:v>
                </c:pt>
                <c:pt idx="15">
                  <c:v>5.5E-2</c:v>
                </c:pt>
                <c:pt idx="16">
                  <c:v>5.2999999999999999E-2</c:v>
                </c:pt>
                <c:pt idx="17">
                  <c:v>0.05</c:v>
                </c:pt>
                <c:pt idx="18">
                  <c:v>4.9000000000000002E-2</c:v>
                </c:pt>
                <c:pt idx="19">
                  <c:v>4.5999999999999999E-2</c:v>
                </c:pt>
                <c:pt idx="20">
                  <c:v>4.3999999999999997E-2</c:v>
                </c:pt>
                <c:pt idx="21">
                  <c:v>4.2000000000000003E-2</c:v>
                </c:pt>
                <c:pt idx="22">
                  <c:v>4.1000000000000002E-2</c:v>
                </c:pt>
                <c:pt idx="23">
                  <c:v>3.7999999999999999E-2</c:v>
                </c:pt>
                <c:pt idx="24">
                  <c:v>3.6999999999999998E-2</c:v>
                </c:pt>
                <c:pt idx="25">
                  <c:v>3.5000000000000003E-2</c:v>
                </c:pt>
                <c:pt idx="26">
                  <c:v>3.4000000000000002E-2</c:v>
                </c:pt>
                <c:pt idx="27">
                  <c:v>2.9000000000000001E-2</c:v>
                </c:pt>
                <c:pt idx="28">
                  <c:v>2.9000000000000001E-2</c:v>
                </c:pt>
                <c:pt idx="29">
                  <c:v>2.8000000000000001E-2</c:v>
                </c:pt>
                <c:pt idx="30">
                  <c:v>2.8000000000000001E-2</c:v>
                </c:pt>
              </c:numCache>
            </c:numRef>
          </c:val>
          <c:smooth val="0"/>
          <c:extLst>
            <c:ext xmlns:c16="http://schemas.microsoft.com/office/drawing/2014/chart" uri="{C3380CC4-5D6E-409C-BE32-E72D297353CC}">
              <c16:uniqueId val="{00000018-70CC-4CA4-93E2-C403B90CC9CA}"/>
            </c:ext>
          </c:extLst>
        </c:ser>
        <c:ser>
          <c:idx val="1"/>
          <c:order val="1"/>
          <c:tx>
            <c:strRef>
              <c:f>Sheet1!$C$1</c:f>
              <c:strCache>
                <c:ptCount val="1"/>
                <c:pt idx="0">
                  <c:v>Median</c:v>
                </c:pt>
              </c:strCache>
            </c:strRef>
          </c:tx>
          <c:spPr>
            <a:ln w="22225" cap="rnd">
              <a:solidFill>
                <a:schemeClr val="accent2"/>
              </a:solidFill>
              <a:round/>
            </a:ln>
            <a:effectLst/>
          </c:spPr>
          <c:marker>
            <c:symbol val="square"/>
            <c:size val="6"/>
            <c:spPr>
              <a:solidFill>
                <a:schemeClr val="accent2"/>
              </a:solidFill>
              <a:ln w="9525">
                <a:solidFill>
                  <a:schemeClr val="accent2"/>
                </a:solidFill>
                <a:round/>
              </a:ln>
              <a:effectLst/>
            </c:spPr>
          </c:marker>
          <c:dLbls>
            <c:dLbl>
              <c:idx val="0"/>
              <c:layout>
                <c:manualLayout>
                  <c:x val="-3.1369354692732374E-2"/>
                  <c:y val="-3.76687289088863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9-70CC-4CA4-93E2-C403B90CC9CA}"/>
                </c:ext>
              </c:extLst>
            </c:dLbl>
            <c:dLbl>
              <c:idx val="1"/>
              <c:delete val="1"/>
              <c:extLst>
                <c:ext xmlns:c15="http://schemas.microsoft.com/office/drawing/2012/chart" uri="{CE6537A1-D6FC-4f65-9D91-7224C49458BB}"/>
                <c:ext xmlns:c16="http://schemas.microsoft.com/office/drawing/2014/chart" uri="{C3380CC4-5D6E-409C-BE32-E72D297353CC}">
                  <c16:uniqueId val="{0000001A-70CC-4CA4-93E2-C403B90CC9CA}"/>
                </c:ext>
              </c:extLst>
            </c:dLbl>
            <c:dLbl>
              <c:idx val="2"/>
              <c:delete val="1"/>
              <c:extLst>
                <c:ext xmlns:c15="http://schemas.microsoft.com/office/drawing/2012/chart" uri="{CE6537A1-D6FC-4f65-9D91-7224C49458BB}"/>
                <c:ext xmlns:c16="http://schemas.microsoft.com/office/drawing/2014/chart" uri="{C3380CC4-5D6E-409C-BE32-E72D297353CC}">
                  <c16:uniqueId val="{0000001B-70CC-4CA4-93E2-C403B90CC9CA}"/>
                </c:ext>
              </c:extLst>
            </c:dLbl>
            <c:dLbl>
              <c:idx val="3"/>
              <c:delete val="1"/>
              <c:extLst>
                <c:ext xmlns:c15="http://schemas.microsoft.com/office/drawing/2012/chart" uri="{CE6537A1-D6FC-4f65-9D91-7224C49458BB}"/>
                <c:ext xmlns:c16="http://schemas.microsoft.com/office/drawing/2014/chart" uri="{C3380CC4-5D6E-409C-BE32-E72D297353CC}">
                  <c16:uniqueId val="{0000001C-70CC-4CA4-93E2-C403B90CC9CA}"/>
                </c:ext>
              </c:extLst>
            </c:dLbl>
            <c:dLbl>
              <c:idx val="4"/>
              <c:delete val="1"/>
              <c:extLst>
                <c:ext xmlns:c15="http://schemas.microsoft.com/office/drawing/2012/chart" uri="{CE6537A1-D6FC-4f65-9D91-7224C49458BB}"/>
                <c:ext xmlns:c16="http://schemas.microsoft.com/office/drawing/2014/chart" uri="{C3380CC4-5D6E-409C-BE32-E72D297353CC}">
                  <c16:uniqueId val="{0000001D-70CC-4CA4-93E2-C403B90CC9CA}"/>
                </c:ext>
              </c:extLst>
            </c:dLbl>
            <c:dLbl>
              <c:idx val="5"/>
              <c:delete val="1"/>
              <c:extLst>
                <c:ext xmlns:c15="http://schemas.microsoft.com/office/drawing/2012/chart" uri="{CE6537A1-D6FC-4f65-9D91-7224C49458BB}"/>
                <c:ext xmlns:c16="http://schemas.microsoft.com/office/drawing/2014/chart" uri="{C3380CC4-5D6E-409C-BE32-E72D297353CC}">
                  <c16:uniqueId val="{0000001E-70CC-4CA4-93E2-C403B90CC9CA}"/>
                </c:ext>
              </c:extLst>
            </c:dLbl>
            <c:dLbl>
              <c:idx val="6"/>
              <c:delete val="1"/>
              <c:extLst>
                <c:ext xmlns:c15="http://schemas.microsoft.com/office/drawing/2012/chart" uri="{CE6537A1-D6FC-4f65-9D91-7224C49458BB}"/>
                <c:ext xmlns:c16="http://schemas.microsoft.com/office/drawing/2014/chart" uri="{C3380CC4-5D6E-409C-BE32-E72D297353CC}">
                  <c16:uniqueId val="{0000001F-70CC-4CA4-93E2-C403B90CC9CA}"/>
                </c:ext>
              </c:extLst>
            </c:dLbl>
            <c:dLbl>
              <c:idx val="7"/>
              <c:delete val="1"/>
              <c:extLst>
                <c:ext xmlns:c15="http://schemas.microsoft.com/office/drawing/2012/chart" uri="{CE6537A1-D6FC-4f65-9D91-7224C49458BB}"/>
                <c:ext xmlns:c16="http://schemas.microsoft.com/office/drawing/2014/chart" uri="{C3380CC4-5D6E-409C-BE32-E72D297353CC}">
                  <c16:uniqueId val="{00000020-70CC-4CA4-93E2-C403B90CC9CA}"/>
                </c:ext>
              </c:extLst>
            </c:dLbl>
            <c:dLbl>
              <c:idx val="8"/>
              <c:delete val="1"/>
              <c:extLst>
                <c:ext xmlns:c15="http://schemas.microsoft.com/office/drawing/2012/chart" uri="{CE6537A1-D6FC-4f65-9D91-7224C49458BB}"/>
                <c:ext xmlns:c16="http://schemas.microsoft.com/office/drawing/2014/chart" uri="{C3380CC4-5D6E-409C-BE32-E72D297353CC}">
                  <c16:uniqueId val="{00000021-70CC-4CA4-93E2-C403B90CC9CA}"/>
                </c:ext>
              </c:extLst>
            </c:dLbl>
            <c:dLbl>
              <c:idx val="9"/>
              <c:delete val="1"/>
              <c:extLst>
                <c:ext xmlns:c15="http://schemas.microsoft.com/office/drawing/2012/chart" uri="{CE6537A1-D6FC-4f65-9D91-7224C49458BB}"/>
                <c:ext xmlns:c16="http://schemas.microsoft.com/office/drawing/2014/chart" uri="{C3380CC4-5D6E-409C-BE32-E72D297353CC}">
                  <c16:uniqueId val="{00000022-70CC-4CA4-93E2-C403B90CC9CA}"/>
                </c:ext>
              </c:extLst>
            </c:dLbl>
            <c:dLbl>
              <c:idx val="10"/>
              <c:delete val="1"/>
              <c:extLst>
                <c:ext xmlns:c15="http://schemas.microsoft.com/office/drawing/2012/chart" uri="{CE6537A1-D6FC-4f65-9D91-7224C49458BB}"/>
                <c:ext xmlns:c16="http://schemas.microsoft.com/office/drawing/2014/chart" uri="{C3380CC4-5D6E-409C-BE32-E72D297353CC}">
                  <c16:uniqueId val="{00000023-70CC-4CA4-93E2-C403B90CC9CA}"/>
                </c:ext>
              </c:extLst>
            </c:dLbl>
            <c:dLbl>
              <c:idx val="11"/>
              <c:delete val="1"/>
              <c:extLst>
                <c:ext xmlns:c15="http://schemas.microsoft.com/office/drawing/2012/chart" uri="{CE6537A1-D6FC-4f65-9D91-7224C49458BB}"/>
                <c:ext xmlns:c16="http://schemas.microsoft.com/office/drawing/2014/chart" uri="{C3380CC4-5D6E-409C-BE32-E72D297353CC}">
                  <c16:uniqueId val="{00000024-70CC-4CA4-93E2-C403B90CC9CA}"/>
                </c:ext>
              </c:extLst>
            </c:dLbl>
            <c:dLbl>
              <c:idx val="12"/>
              <c:delete val="1"/>
              <c:extLst>
                <c:ext xmlns:c15="http://schemas.microsoft.com/office/drawing/2012/chart" uri="{CE6537A1-D6FC-4f65-9D91-7224C49458BB}"/>
                <c:ext xmlns:c16="http://schemas.microsoft.com/office/drawing/2014/chart" uri="{C3380CC4-5D6E-409C-BE32-E72D297353CC}">
                  <c16:uniqueId val="{00000025-70CC-4CA4-93E2-C403B90CC9CA}"/>
                </c:ext>
              </c:extLst>
            </c:dLbl>
            <c:dLbl>
              <c:idx val="13"/>
              <c:delete val="1"/>
              <c:extLst>
                <c:ext xmlns:c15="http://schemas.microsoft.com/office/drawing/2012/chart" uri="{CE6537A1-D6FC-4f65-9D91-7224C49458BB}"/>
                <c:ext xmlns:c16="http://schemas.microsoft.com/office/drawing/2014/chart" uri="{C3380CC4-5D6E-409C-BE32-E72D297353CC}">
                  <c16:uniqueId val="{00000026-70CC-4CA4-93E2-C403B90CC9CA}"/>
                </c:ext>
              </c:extLst>
            </c:dLbl>
            <c:dLbl>
              <c:idx val="14"/>
              <c:delete val="1"/>
              <c:extLst>
                <c:ext xmlns:c15="http://schemas.microsoft.com/office/drawing/2012/chart" uri="{CE6537A1-D6FC-4f65-9D91-7224C49458BB}"/>
                <c:ext xmlns:c16="http://schemas.microsoft.com/office/drawing/2014/chart" uri="{C3380CC4-5D6E-409C-BE32-E72D297353CC}">
                  <c16:uniqueId val="{00000027-70CC-4CA4-93E2-C403B90CC9CA}"/>
                </c:ext>
              </c:extLst>
            </c:dLbl>
            <c:dLbl>
              <c:idx val="15"/>
              <c:delete val="1"/>
              <c:extLst>
                <c:ext xmlns:c15="http://schemas.microsoft.com/office/drawing/2012/chart" uri="{CE6537A1-D6FC-4f65-9D91-7224C49458BB}"/>
                <c:ext xmlns:c16="http://schemas.microsoft.com/office/drawing/2014/chart" uri="{C3380CC4-5D6E-409C-BE32-E72D297353CC}">
                  <c16:uniqueId val="{00000028-70CC-4CA4-93E2-C403B90CC9CA}"/>
                </c:ext>
              </c:extLst>
            </c:dLbl>
            <c:dLbl>
              <c:idx val="16"/>
              <c:delete val="1"/>
              <c:extLst>
                <c:ext xmlns:c15="http://schemas.microsoft.com/office/drawing/2012/chart" uri="{CE6537A1-D6FC-4f65-9D91-7224C49458BB}"/>
                <c:ext xmlns:c16="http://schemas.microsoft.com/office/drawing/2014/chart" uri="{C3380CC4-5D6E-409C-BE32-E72D297353CC}">
                  <c16:uniqueId val="{00000029-70CC-4CA4-93E2-C403B90CC9CA}"/>
                </c:ext>
              </c:extLst>
            </c:dLbl>
            <c:dLbl>
              <c:idx val="17"/>
              <c:delete val="1"/>
              <c:extLst>
                <c:ext xmlns:c15="http://schemas.microsoft.com/office/drawing/2012/chart" uri="{CE6537A1-D6FC-4f65-9D91-7224C49458BB}"/>
                <c:ext xmlns:c16="http://schemas.microsoft.com/office/drawing/2014/chart" uri="{C3380CC4-5D6E-409C-BE32-E72D297353CC}">
                  <c16:uniqueId val="{0000002A-70CC-4CA4-93E2-C403B90CC9CA}"/>
                </c:ext>
              </c:extLst>
            </c:dLbl>
            <c:dLbl>
              <c:idx val="18"/>
              <c:delete val="1"/>
              <c:extLst>
                <c:ext xmlns:c15="http://schemas.microsoft.com/office/drawing/2012/chart" uri="{CE6537A1-D6FC-4f65-9D91-7224C49458BB}"/>
                <c:ext xmlns:c16="http://schemas.microsoft.com/office/drawing/2014/chart" uri="{C3380CC4-5D6E-409C-BE32-E72D297353CC}">
                  <c16:uniqueId val="{0000002B-70CC-4CA4-93E2-C403B90CC9CA}"/>
                </c:ext>
              </c:extLst>
            </c:dLbl>
            <c:dLbl>
              <c:idx val="19"/>
              <c:delete val="1"/>
              <c:extLst>
                <c:ext xmlns:c15="http://schemas.microsoft.com/office/drawing/2012/chart" uri="{CE6537A1-D6FC-4f65-9D91-7224C49458BB}"/>
                <c:ext xmlns:c16="http://schemas.microsoft.com/office/drawing/2014/chart" uri="{C3380CC4-5D6E-409C-BE32-E72D297353CC}">
                  <c16:uniqueId val="{0000002C-70CC-4CA4-93E2-C403B90CC9CA}"/>
                </c:ext>
              </c:extLst>
            </c:dLbl>
            <c:dLbl>
              <c:idx val="20"/>
              <c:delete val="1"/>
              <c:extLst>
                <c:ext xmlns:c15="http://schemas.microsoft.com/office/drawing/2012/chart" uri="{CE6537A1-D6FC-4f65-9D91-7224C49458BB}"/>
                <c:ext xmlns:c16="http://schemas.microsoft.com/office/drawing/2014/chart" uri="{C3380CC4-5D6E-409C-BE32-E72D297353CC}">
                  <c16:uniqueId val="{0000002D-70CC-4CA4-93E2-C403B90CC9CA}"/>
                </c:ext>
              </c:extLst>
            </c:dLbl>
            <c:dLbl>
              <c:idx val="21"/>
              <c:delete val="1"/>
              <c:extLst>
                <c:ext xmlns:c15="http://schemas.microsoft.com/office/drawing/2012/chart" uri="{CE6537A1-D6FC-4f65-9D91-7224C49458BB}"/>
                <c:ext xmlns:c16="http://schemas.microsoft.com/office/drawing/2014/chart" uri="{C3380CC4-5D6E-409C-BE32-E72D297353CC}">
                  <c16:uniqueId val="{0000002E-70CC-4CA4-93E2-C403B90CC9CA}"/>
                </c:ext>
              </c:extLst>
            </c:dLbl>
            <c:dLbl>
              <c:idx val="22"/>
              <c:delete val="1"/>
              <c:extLst>
                <c:ext xmlns:c15="http://schemas.microsoft.com/office/drawing/2012/chart" uri="{CE6537A1-D6FC-4f65-9D91-7224C49458BB}"/>
                <c:ext xmlns:c16="http://schemas.microsoft.com/office/drawing/2014/chart" uri="{C3380CC4-5D6E-409C-BE32-E72D297353CC}">
                  <c16:uniqueId val="{0000002F-70CC-4CA4-93E2-C403B90CC9CA}"/>
                </c:ext>
              </c:extLst>
            </c:dLbl>
            <c:dLbl>
              <c:idx val="23"/>
              <c:delete val="1"/>
              <c:extLst>
                <c:ext xmlns:c15="http://schemas.microsoft.com/office/drawing/2012/chart" uri="{CE6537A1-D6FC-4f65-9D91-7224C49458BB}"/>
                <c:ext xmlns:c16="http://schemas.microsoft.com/office/drawing/2014/chart" uri="{C3380CC4-5D6E-409C-BE32-E72D297353CC}">
                  <c16:uniqueId val="{00000030-70CC-4CA4-93E2-C403B90CC9CA}"/>
                </c:ext>
              </c:extLst>
            </c:dLbl>
            <c:dLbl>
              <c:idx val="24"/>
              <c:delete val="1"/>
              <c:extLst>
                <c:ext xmlns:c15="http://schemas.microsoft.com/office/drawing/2012/chart" uri="{CE6537A1-D6FC-4f65-9D91-7224C49458BB}"/>
                <c:ext xmlns:c16="http://schemas.microsoft.com/office/drawing/2014/chart" uri="{C3380CC4-5D6E-409C-BE32-E72D297353CC}">
                  <c16:uniqueId val="{00000031-70CC-4CA4-93E2-C403B90CC9CA}"/>
                </c:ext>
              </c:extLst>
            </c:dLbl>
            <c:dLbl>
              <c:idx val="25"/>
              <c:layout>
                <c:manualLayout>
                  <c:x val="-4.3432024267994536E-2"/>
                  <c:y val="5.1479015283861222E-2"/>
                </c:manualLayout>
              </c:layout>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50000"/>
                          <a:lumOff val="50000"/>
                        </a:schemeClr>
                      </a:solidFill>
                      <a:latin typeface="+mn-lt"/>
                      <a:ea typeface="+mn-ea"/>
                      <a:cs typeface="+mn-cs"/>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8A5-45FF-B1A8-C95385B77CD1}"/>
                </c:ext>
              </c:extLst>
            </c:dLbl>
            <c:dLbl>
              <c:idx val="26"/>
              <c:layout>
                <c:manualLayout>
                  <c:x val="-4.3432024267994689E-2"/>
                  <c:y val="7.2915242507869724E-2"/>
                </c:manualLayout>
              </c:layout>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50000"/>
                          <a:lumOff val="50000"/>
                        </a:schemeClr>
                      </a:solidFill>
                      <a:latin typeface="+mn-lt"/>
                      <a:ea typeface="+mn-ea"/>
                      <a:cs typeface="+mn-cs"/>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8A5-45FF-B1A8-C95385B77CD1}"/>
                </c:ext>
              </c:extLst>
            </c:dLbl>
            <c:dLbl>
              <c:idx val="27"/>
              <c:layout>
                <c:manualLayout>
                  <c:x val="-3.7201494672979112E-2"/>
                  <c:y val="7.2915242507869724E-2"/>
                </c:manualLayout>
              </c:layout>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50000"/>
                          <a:lumOff val="50000"/>
                        </a:schemeClr>
                      </a:solidFill>
                      <a:latin typeface="+mn-lt"/>
                      <a:ea typeface="+mn-ea"/>
                      <a:cs typeface="+mn-cs"/>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8A5-45FF-B1A8-C95385B77CD1}"/>
                </c:ext>
              </c:extLst>
            </c:dLbl>
            <c:dLbl>
              <c:idx val="28"/>
              <c:layout>
                <c:manualLayout>
                  <c:x val="-3.5124651474640438E-2"/>
                  <c:y val="7.7202487952671511E-2"/>
                </c:manualLayout>
              </c:layout>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50000"/>
                          <a:lumOff val="50000"/>
                        </a:schemeClr>
                      </a:solidFill>
                      <a:latin typeface="+mn-lt"/>
                      <a:ea typeface="+mn-ea"/>
                      <a:cs typeface="+mn-cs"/>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8A5-45FF-B1A8-C95385B77CD1}"/>
                </c:ext>
              </c:extLst>
            </c:dLbl>
            <c:dLbl>
              <c:idx val="29"/>
              <c:layout>
                <c:manualLayout>
                  <c:x val="-3.0970965077963385E-2"/>
                  <c:y val="7.7202487952671511E-2"/>
                </c:manualLayout>
              </c:layout>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50000"/>
                          <a:lumOff val="50000"/>
                        </a:schemeClr>
                      </a:solidFill>
                      <a:latin typeface="+mn-lt"/>
                      <a:ea typeface="+mn-ea"/>
                      <a:cs typeface="+mn-cs"/>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F8A5-45FF-B1A8-C95385B77CD1}"/>
                </c:ext>
              </c:extLst>
            </c:dLbl>
            <c:dLbl>
              <c:idx val="30"/>
              <c:layout>
                <c:manualLayout>
                  <c:x val="-2.3868978994449645E-3"/>
                  <c:y val="6.8627997063068075E-2"/>
                </c:manualLayout>
              </c:layout>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50000"/>
                          <a:lumOff val="50000"/>
                        </a:schemeClr>
                      </a:solidFill>
                      <a:latin typeface="+mn-lt"/>
                      <a:ea typeface="+mn-ea"/>
                      <a:cs typeface="+mn-cs"/>
                    </a:defRPr>
                  </a:pPr>
                  <a:endParaRPr lang="en-US"/>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8A5-45FF-B1A8-C95385B77CD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50000"/>
                        <a:lumOff val="50000"/>
                      </a:schemeClr>
                    </a:solidFill>
                    <a:latin typeface="+mn-lt"/>
                    <a:ea typeface="+mn-ea"/>
                    <a:cs typeface="+mn-cs"/>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Sheet1!$A$2:$A$32</c:f>
              <c:strCache>
                <c:ptCount val="31"/>
                <c:pt idx="0">
                  <c:v>Q1 2011</c:v>
                </c:pt>
                <c:pt idx="1">
                  <c:v>Q2 2011</c:v>
                </c:pt>
                <c:pt idx="2">
                  <c:v>Q3 2011</c:v>
                </c:pt>
                <c:pt idx="3">
                  <c:v>Q4 2011</c:v>
                </c:pt>
                <c:pt idx="4">
                  <c:v>Q1 2012</c:v>
                </c:pt>
                <c:pt idx="5">
                  <c:v>Q2 2012</c:v>
                </c:pt>
                <c:pt idx="6">
                  <c:v>Q3 2012</c:v>
                </c:pt>
                <c:pt idx="7">
                  <c:v>Q4 2012</c:v>
                </c:pt>
                <c:pt idx="8">
                  <c:v>Q1 2013</c:v>
                </c:pt>
                <c:pt idx="9">
                  <c:v>Q2 2013</c:v>
                </c:pt>
                <c:pt idx="10">
                  <c:v>Q3 2013</c:v>
                </c:pt>
                <c:pt idx="11">
                  <c:v>Q4 2013</c:v>
                </c:pt>
                <c:pt idx="12">
                  <c:v>Q1 2014</c:v>
                </c:pt>
                <c:pt idx="13">
                  <c:v>Q2 2014</c:v>
                </c:pt>
                <c:pt idx="14">
                  <c:v>Q3 2014</c:v>
                </c:pt>
                <c:pt idx="15">
                  <c:v>Q4 2014</c:v>
                </c:pt>
                <c:pt idx="16">
                  <c:v>Q1 2015</c:v>
                </c:pt>
                <c:pt idx="17">
                  <c:v>Q2 2015</c:v>
                </c:pt>
                <c:pt idx="18">
                  <c:v>Q3 2015</c:v>
                </c:pt>
                <c:pt idx="19">
                  <c:v>Q4 2015</c:v>
                </c:pt>
                <c:pt idx="20">
                  <c:v>Q1 2016</c:v>
                </c:pt>
                <c:pt idx="21">
                  <c:v>Q2 2016</c:v>
                </c:pt>
                <c:pt idx="22">
                  <c:v>Q3 2016</c:v>
                </c:pt>
                <c:pt idx="23">
                  <c:v>Q4 2016</c:v>
                </c:pt>
                <c:pt idx="24">
                  <c:v>Q1 2017</c:v>
                </c:pt>
                <c:pt idx="25">
                  <c:v>Q2 2017</c:v>
                </c:pt>
                <c:pt idx="26">
                  <c:v>Q3 2017</c:v>
                </c:pt>
                <c:pt idx="27">
                  <c:v>Q4 2017</c:v>
                </c:pt>
                <c:pt idx="28">
                  <c:v>Q1 2018</c:v>
                </c:pt>
                <c:pt idx="29">
                  <c:v>Q2 2018</c:v>
                </c:pt>
                <c:pt idx="30">
                  <c:v>Q3 2018</c:v>
                </c:pt>
              </c:strCache>
            </c:strRef>
          </c:cat>
          <c:val>
            <c:numRef>
              <c:f>Sheet1!$C$2:$C$32</c:f>
              <c:numCache>
                <c:formatCode>0.0%</c:formatCode>
                <c:ptCount val="31"/>
                <c:pt idx="0">
                  <c:v>6.5000000000000002E-2</c:v>
                </c:pt>
                <c:pt idx="1">
                  <c:v>6.7000000000000004E-2</c:v>
                </c:pt>
                <c:pt idx="2">
                  <c:v>7.0000000000000007E-2</c:v>
                </c:pt>
                <c:pt idx="3">
                  <c:v>6.8000000000000005E-2</c:v>
                </c:pt>
                <c:pt idx="4">
                  <c:v>6.7000000000000004E-2</c:v>
                </c:pt>
                <c:pt idx="5">
                  <c:v>6.3E-2</c:v>
                </c:pt>
                <c:pt idx="6">
                  <c:v>6.3E-2</c:v>
                </c:pt>
                <c:pt idx="7">
                  <c:v>5.8000000000000003E-2</c:v>
                </c:pt>
                <c:pt idx="8">
                  <c:v>5.6000000000000001E-2</c:v>
                </c:pt>
                <c:pt idx="9">
                  <c:v>5.2999999999999999E-2</c:v>
                </c:pt>
                <c:pt idx="10">
                  <c:v>5.2999999999999999E-2</c:v>
                </c:pt>
                <c:pt idx="11">
                  <c:v>0.05</c:v>
                </c:pt>
                <c:pt idx="12">
                  <c:v>4.7E-2</c:v>
                </c:pt>
                <c:pt idx="13">
                  <c:v>4.4999999999999998E-2</c:v>
                </c:pt>
                <c:pt idx="14">
                  <c:v>4.4999999999999998E-2</c:v>
                </c:pt>
                <c:pt idx="15">
                  <c:v>4.3999999999999997E-2</c:v>
                </c:pt>
                <c:pt idx="16">
                  <c:v>4.2999999999999997E-2</c:v>
                </c:pt>
                <c:pt idx="17">
                  <c:v>0.04</c:v>
                </c:pt>
                <c:pt idx="18">
                  <c:v>3.9E-2</c:v>
                </c:pt>
                <c:pt idx="19">
                  <c:v>3.5999999999999997E-2</c:v>
                </c:pt>
                <c:pt idx="20">
                  <c:v>3.4000000000000002E-2</c:v>
                </c:pt>
                <c:pt idx="21">
                  <c:v>3.2000000000000001E-2</c:v>
                </c:pt>
                <c:pt idx="22">
                  <c:v>3.1E-2</c:v>
                </c:pt>
                <c:pt idx="23">
                  <c:v>2.9000000000000001E-2</c:v>
                </c:pt>
                <c:pt idx="24">
                  <c:v>2.7E-2</c:v>
                </c:pt>
                <c:pt idx="25">
                  <c:v>2.5000000000000001E-2</c:v>
                </c:pt>
                <c:pt idx="26">
                  <c:v>2.4E-2</c:v>
                </c:pt>
                <c:pt idx="27">
                  <c:v>0.02</c:v>
                </c:pt>
                <c:pt idx="28">
                  <c:v>1.9E-2</c:v>
                </c:pt>
                <c:pt idx="29">
                  <c:v>1.9E-2</c:v>
                </c:pt>
                <c:pt idx="30">
                  <c:v>1.9E-2</c:v>
                </c:pt>
              </c:numCache>
            </c:numRef>
          </c:val>
          <c:smooth val="0"/>
          <c:extLst>
            <c:ext xmlns:c16="http://schemas.microsoft.com/office/drawing/2014/chart" uri="{C3380CC4-5D6E-409C-BE32-E72D297353CC}">
              <c16:uniqueId val="{00000032-70CC-4CA4-93E2-C403B90CC9CA}"/>
            </c:ext>
          </c:extLst>
        </c:ser>
        <c:dLbls>
          <c:dLblPos val="t"/>
          <c:showLegendKey val="0"/>
          <c:showVal val="1"/>
          <c:showCatName val="0"/>
          <c:showSerName val="0"/>
          <c:showPercent val="0"/>
          <c:showBubbleSize val="0"/>
        </c:dLbls>
        <c:marker val="1"/>
        <c:smooth val="0"/>
        <c:axId val="433127888"/>
        <c:axId val="433126320"/>
      </c:lineChart>
      <c:catAx>
        <c:axId val="4331278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en-US"/>
          </a:p>
        </c:txPr>
        <c:crossAx val="433126320"/>
        <c:crosses val="autoZero"/>
        <c:auto val="1"/>
        <c:lblAlgn val="ctr"/>
        <c:lblOffset val="100"/>
        <c:noMultiLvlLbl val="0"/>
      </c:catAx>
      <c:valAx>
        <c:axId val="433126320"/>
        <c:scaling>
          <c:orientation val="minMax"/>
        </c:scaling>
        <c:delete val="0"/>
        <c:axPos val="l"/>
        <c:numFmt formatCode="0.0%"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3127888"/>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Percentage of Facilities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Within 1 Decile</c:v>
                </c:pt>
                <c:pt idx="1">
                  <c:v>Between 1 &amp; 2 Deciles</c:v>
                </c:pt>
                <c:pt idx="2">
                  <c:v>Between 2 &amp; 3 Deciles</c:v>
                </c:pt>
                <c:pt idx="3">
                  <c:v>More than 3 Deciles</c:v>
                </c:pt>
              </c:strCache>
            </c:strRef>
          </c:cat>
          <c:val>
            <c:numRef>
              <c:f>Sheet1!$B$2:$B$5</c:f>
              <c:numCache>
                <c:formatCode>0.00%</c:formatCode>
                <c:ptCount val="4"/>
                <c:pt idx="0">
                  <c:v>0.48509999999999998</c:v>
                </c:pt>
                <c:pt idx="1">
                  <c:v>0.1206</c:v>
                </c:pt>
                <c:pt idx="2">
                  <c:v>0.1104</c:v>
                </c:pt>
                <c:pt idx="3">
                  <c:v>0.28389999999999999</c:v>
                </c:pt>
              </c:numCache>
            </c:numRef>
          </c:val>
          <c:extLst>
            <c:ext xmlns:c16="http://schemas.microsoft.com/office/drawing/2014/chart" uri="{C3380CC4-5D6E-409C-BE32-E72D297353CC}">
              <c16:uniqueId val="{00000000-0925-401E-B852-B565EC2873C6}"/>
            </c:ext>
          </c:extLst>
        </c:ser>
        <c:dLbls>
          <c:dLblPos val="outEnd"/>
          <c:showLegendKey val="0"/>
          <c:showVal val="1"/>
          <c:showCatName val="0"/>
          <c:showSerName val="0"/>
          <c:showPercent val="0"/>
          <c:showBubbleSize val="0"/>
        </c:dLbls>
        <c:gapWidth val="219"/>
        <c:overlap val="-27"/>
        <c:axId val="433128672"/>
        <c:axId val="433129064"/>
      </c:barChart>
      <c:catAx>
        <c:axId val="433128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3129064"/>
        <c:crosses val="autoZero"/>
        <c:auto val="1"/>
        <c:lblAlgn val="ctr"/>
        <c:lblOffset val="100"/>
        <c:noMultiLvlLbl val="0"/>
      </c:catAx>
      <c:valAx>
        <c:axId val="433129064"/>
        <c:scaling>
          <c:orientation val="minMax"/>
          <c:max val="1"/>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3128672"/>
        <c:crosses val="autoZero"/>
        <c:crossBetween val="between"/>
        <c:minorUnit val="0.1"/>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DBF6A90D5B3F4A83B02FC5367A8AE399"/>
        <w:category>
          <w:name w:val="General"/>
          <w:gallery w:val="placeholder"/>
        </w:category>
        <w:types>
          <w:type w:val="bbPlcHdr"/>
        </w:types>
        <w:behaviors>
          <w:behavior w:val="content"/>
        </w:behaviors>
        <w:guid w:val="{09A2C613-F64F-43E0-A34F-059C1314A9B7}"/>
      </w:docPartPr>
      <w:docPartBody>
        <w:p w:rsidR="00B934B5" w:rsidRDefault="004B28AE" w:rsidP="004B28AE">
          <w:pPr>
            <w:pStyle w:val="DBF6A90D5B3F4A83B02FC5367A8AE399"/>
          </w:pPr>
          <w:r w:rsidRPr="00A25024">
            <w:rPr>
              <w:rStyle w:val="PlaceholderText"/>
              <w:rFonts w:cstheme="minorHAnsi"/>
              <w:color w:val="A6A6A6" w:themeColor="background1" w:themeShade="A6"/>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0451E9"/>
    <w:rsid w:val="00094E25"/>
    <w:rsid w:val="000C0410"/>
    <w:rsid w:val="00127222"/>
    <w:rsid w:val="00167DB5"/>
    <w:rsid w:val="001736D7"/>
    <w:rsid w:val="001835C2"/>
    <w:rsid w:val="00190AF4"/>
    <w:rsid w:val="001A1EE8"/>
    <w:rsid w:val="001B6F6D"/>
    <w:rsid w:val="001C5260"/>
    <w:rsid w:val="00222E31"/>
    <w:rsid w:val="00223FA3"/>
    <w:rsid w:val="002676ED"/>
    <w:rsid w:val="002773A8"/>
    <w:rsid w:val="00296F9D"/>
    <w:rsid w:val="002A288F"/>
    <w:rsid w:val="002C65A7"/>
    <w:rsid w:val="002D5DDC"/>
    <w:rsid w:val="002F052A"/>
    <w:rsid w:val="00350176"/>
    <w:rsid w:val="003840F0"/>
    <w:rsid w:val="00437537"/>
    <w:rsid w:val="00470A55"/>
    <w:rsid w:val="004B28AE"/>
    <w:rsid w:val="004D785E"/>
    <w:rsid w:val="004F0264"/>
    <w:rsid w:val="00513FC9"/>
    <w:rsid w:val="0053654E"/>
    <w:rsid w:val="00590600"/>
    <w:rsid w:val="005C2557"/>
    <w:rsid w:val="00605A66"/>
    <w:rsid w:val="00610196"/>
    <w:rsid w:val="00632A7E"/>
    <w:rsid w:val="00632AB6"/>
    <w:rsid w:val="0065479A"/>
    <w:rsid w:val="006614BF"/>
    <w:rsid w:val="00686D2F"/>
    <w:rsid w:val="006F29E6"/>
    <w:rsid w:val="00700ADA"/>
    <w:rsid w:val="00730B33"/>
    <w:rsid w:val="00754432"/>
    <w:rsid w:val="00772B2A"/>
    <w:rsid w:val="007910FC"/>
    <w:rsid w:val="007C672A"/>
    <w:rsid w:val="007D4368"/>
    <w:rsid w:val="00822666"/>
    <w:rsid w:val="00823ECC"/>
    <w:rsid w:val="00826796"/>
    <w:rsid w:val="008402CD"/>
    <w:rsid w:val="00840EE8"/>
    <w:rsid w:val="00852454"/>
    <w:rsid w:val="00866C97"/>
    <w:rsid w:val="008F49E0"/>
    <w:rsid w:val="009017AE"/>
    <w:rsid w:val="00990BA3"/>
    <w:rsid w:val="009C542D"/>
    <w:rsid w:val="009C5569"/>
    <w:rsid w:val="009D6D46"/>
    <w:rsid w:val="009F1583"/>
    <w:rsid w:val="00A01A18"/>
    <w:rsid w:val="00A424B5"/>
    <w:rsid w:val="00A5054C"/>
    <w:rsid w:val="00A53B72"/>
    <w:rsid w:val="00A60AAB"/>
    <w:rsid w:val="00A62B5B"/>
    <w:rsid w:val="00A8003F"/>
    <w:rsid w:val="00A922AB"/>
    <w:rsid w:val="00A95183"/>
    <w:rsid w:val="00AB4AF7"/>
    <w:rsid w:val="00AC4015"/>
    <w:rsid w:val="00AD7C4F"/>
    <w:rsid w:val="00AE7BC5"/>
    <w:rsid w:val="00B05395"/>
    <w:rsid w:val="00B445F5"/>
    <w:rsid w:val="00B917E2"/>
    <w:rsid w:val="00B92455"/>
    <w:rsid w:val="00B934B5"/>
    <w:rsid w:val="00BD40CB"/>
    <w:rsid w:val="00C362A2"/>
    <w:rsid w:val="00C87DCD"/>
    <w:rsid w:val="00C90121"/>
    <w:rsid w:val="00C96E73"/>
    <w:rsid w:val="00CA1FE8"/>
    <w:rsid w:val="00CA344F"/>
    <w:rsid w:val="00CA660C"/>
    <w:rsid w:val="00CB7761"/>
    <w:rsid w:val="00CC2BF7"/>
    <w:rsid w:val="00CE7F5E"/>
    <w:rsid w:val="00D1676E"/>
    <w:rsid w:val="00D22856"/>
    <w:rsid w:val="00D27D27"/>
    <w:rsid w:val="00D64A43"/>
    <w:rsid w:val="00D94098"/>
    <w:rsid w:val="00DC0246"/>
    <w:rsid w:val="00DD747B"/>
    <w:rsid w:val="00DE637F"/>
    <w:rsid w:val="00E055FA"/>
    <w:rsid w:val="00E64490"/>
    <w:rsid w:val="00E6518A"/>
    <w:rsid w:val="00E80E71"/>
    <w:rsid w:val="00E91BFD"/>
    <w:rsid w:val="00EA1483"/>
    <w:rsid w:val="00EC2E9B"/>
    <w:rsid w:val="00EE2659"/>
    <w:rsid w:val="00F540AB"/>
    <w:rsid w:val="00F71F56"/>
    <w:rsid w:val="00F915BA"/>
    <w:rsid w:val="00FB0E77"/>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28AE"/>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2BC71C4EF8F94F29B18083B0B44956DA">
    <w:name w:val="2BC71C4EF8F94F29B18083B0B44956DA"/>
    <w:rsid w:val="00EE2659"/>
    <w:pPr>
      <w:spacing w:after="160" w:line="259" w:lineRule="auto"/>
    </w:pPr>
  </w:style>
  <w:style w:type="paragraph" w:customStyle="1" w:styleId="89C120AB85484B27B80839347DAAA5E8">
    <w:name w:val="89C120AB85484B27B80839347DAAA5E8"/>
    <w:rsid w:val="00A922AB"/>
    <w:pPr>
      <w:spacing w:after="160" w:line="259" w:lineRule="auto"/>
    </w:pPr>
  </w:style>
  <w:style w:type="paragraph" w:customStyle="1" w:styleId="2E65A6C295AC43E688843BDB5899A842">
    <w:name w:val="2E65A6C295AC43E688843BDB5899A842"/>
    <w:rsid w:val="00A922AB"/>
    <w:pPr>
      <w:spacing w:after="160" w:line="259" w:lineRule="auto"/>
    </w:pPr>
  </w:style>
  <w:style w:type="paragraph" w:customStyle="1" w:styleId="DBF6A90D5B3F4A83B02FC5367A8AE399">
    <w:name w:val="DBF6A90D5B3F4A83B02FC5367A8AE399"/>
    <w:rsid w:val="004B28A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D6B7BAE999DC4499F8E34D968BFA7B" ma:contentTypeVersion="7" ma:contentTypeDescription="Create a new document." ma:contentTypeScope="" ma:versionID="2e9e68050e63a1d07bd20bd9668a03c6">
  <xsd:schema xmlns:xsd="http://www.w3.org/2001/XMLSchema" xmlns:xs="http://www.w3.org/2001/XMLSchema" xmlns:p="http://schemas.microsoft.com/office/2006/metadata/properties" xmlns:ns2="092b8501-4b24-428c-8ca3-87f49c001613" xmlns:ns3="d3374b7a-0e30-4526-a9ec-88cd1d622ddf" targetNamespace="http://schemas.microsoft.com/office/2006/metadata/properties" ma:root="true" ma:fieldsID="6d8c2e9c27f264c32be755d58aa6562d" ns2:_="" ns3:_="">
    <xsd:import namespace="092b8501-4b24-428c-8ca3-87f49c001613"/>
    <xsd:import namespace="d3374b7a-0e30-4526-a9ec-88cd1d622dd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_Flow_SignoffStatus"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2b8501-4b24-428c-8ca3-87f49c00161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374b7a-0e30-4526-a9ec-88cd1d622dd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_Flow_SignoffStatus" ma:index="12" nillable="true" ma:displayName="Sign-off status" ma:internalName="_x0024_Resources_x003a_core_x002c_Signoff_Status_x003b_">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d3374b7a-0e30-4526-a9ec-88cd1d622dd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86A466A0-C416-4C1D-85B3-C25A0635CE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2b8501-4b24-428c-8ca3-87f49c001613"/>
    <ds:schemaRef ds:uri="d3374b7a-0e30-4526-a9ec-88cd1d622d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http://purl.org/dc/elements/1.1/"/>
    <ds:schemaRef ds:uri="http://schemas.microsoft.com/office/2006/metadata/properties"/>
    <ds:schemaRef ds:uri="http://purl.org/dc/terms/"/>
    <ds:schemaRef ds:uri="092b8501-4b24-428c-8ca3-87f49c001613"/>
    <ds:schemaRef ds:uri="http://schemas.microsoft.com/office/2006/documentManagement/types"/>
    <ds:schemaRef ds:uri="http://schemas.microsoft.com/office/infopath/2007/PartnerControls"/>
    <ds:schemaRef ds:uri="http://schemas.openxmlformats.org/package/2006/metadata/core-properties"/>
    <ds:schemaRef ds:uri="d3374b7a-0e30-4526-a9ec-88cd1d622ddf"/>
    <ds:schemaRef ds:uri="http://www.w3.org/XML/1998/namespace"/>
    <ds:schemaRef ds:uri="http://purl.org/dc/dcmitype/"/>
  </ds:schemaRefs>
</ds:datastoreItem>
</file>

<file path=customXml/itemProps4.xml><?xml version="1.0" encoding="utf-8"?>
<ds:datastoreItem xmlns:ds="http://schemas.openxmlformats.org/officeDocument/2006/customXml" ds:itemID="{15BD5C8C-842C-4B95-998A-863F69535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30</Pages>
  <Words>12918</Words>
  <Characters>73636</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86382</CharactersWithSpaces>
  <SharedDoc>false</SharedDoc>
  <HLinks>
    <vt:vector size="108" baseType="variant">
      <vt:variant>
        <vt:i4>5898249</vt:i4>
      </vt:variant>
      <vt:variant>
        <vt:i4>51</vt:i4>
      </vt:variant>
      <vt:variant>
        <vt:i4>0</vt:i4>
      </vt:variant>
      <vt:variant>
        <vt:i4>5</vt:i4>
      </vt:variant>
      <vt:variant>
        <vt:lpwstr/>
      </vt:variant>
      <vt:variant>
        <vt:lpwstr>question2b49</vt:lpwstr>
      </vt:variant>
      <vt:variant>
        <vt:i4>4063284</vt:i4>
      </vt:variant>
      <vt:variant>
        <vt:i4>48</vt:i4>
      </vt:variant>
      <vt:variant>
        <vt:i4>0</vt:i4>
      </vt:variant>
      <vt:variant>
        <vt:i4>5</vt:i4>
      </vt:variant>
      <vt:variant>
        <vt:lpwstr>https://www.qualityforum.org/Publications/2017/07/Social_Risk_Trial_Final_Report.aspx</vt:lpwstr>
      </vt:variant>
      <vt:variant>
        <vt:lpwstr/>
      </vt:variant>
      <vt:variant>
        <vt:i4>7929973</vt:i4>
      </vt:variant>
      <vt:variant>
        <vt:i4>45</vt:i4>
      </vt:variant>
      <vt:variant>
        <vt:i4>0</vt:i4>
      </vt:variant>
      <vt:variant>
        <vt:i4>5</vt:i4>
      </vt:variant>
      <vt:variant>
        <vt:lpwstr/>
      </vt:variant>
      <vt:variant>
        <vt:lpwstr>section2b5</vt:lpwstr>
      </vt:variant>
      <vt:variant>
        <vt:i4>7864437</vt:i4>
      </vt:variant>
      <vt:variant>
        <vt:i4>42</vt:i4>
      </vt:variant>
      <vt:variant>
        <vt:i4>0</vt:i4>
      </vt:variant>
      <vt:variant>
        <vt:i4>5</vt:i4>
      </vt:variant>
      <vt:variant>
        <vt:lpwstr/>
      </vt:variant>
      <vt:variant>
        <vt:lpwstr>section2b4</vt:lpwstr>
      </vt:variant>
      <vt:variant>
        <vt:i4>4587605</vt:i4>
      </vt:variant>
      <vt:variant>
        <vt:i4>39</vt:i4>
      </vt:variant>
      <vt:variant>
        <vt:i4>0</vt:i4>
      </vt:variant>
      <vt:variant>
        <vt:i4>5</vt:i4>
      </vt:variant>
      <vt:variant>
        <vt:lpwstr>http://www.cms.hhs.gov/NursingHomeQualityInits/Downloads/MDS30FinalReport.pdf</vt:lpwstr>
      </vt:variant>
      <vt:variant>
        <vt:lpwstr/>
      </vt:variant>
      <vt:variant>
        <vt:i4>4587605</vt:i4>
      </vt:variant>
      <vt:variant>
        <vt:i4>36</vt:i4>
      </vt:variant>
      <vt:variant>
        <vt:i4>0</vt:i4>
      </vt:variant>
      <vt:variant>
        <vt:i4>5</vt:i4>
      </vt:variant>
      <vt:variant>
        <vt:lpwstr>http://www.cms.hhs.gov/NursingHomeQualityInits/Downloads/MDS30FinalReport.pdf</vt:lpwstr>
      </vt:variant>
      <vt:variant>
        <vt:lpwstr/>
      </vt:variant>
      <vt:variant>
        <vt:i4>4587605</vt:i4>
      </vt:variant>
      <vt:variant>
        <vt:i4>33</vt:i4>
      </vt:variant>
      <vt:variant>
        <vt:i4>0</vt:i4>
      </vt:variant>
      <vt:variant>
        <vt:i4>5</vt:i4>
      </vt:variant>
      <vt:variant>
        <vt:lpwstr>http://www.cms.hhs.gov/NursingHomeQualityInits/Downloads/MDS30FinalReport.pdf</vt:lpwstr>
      </vt:variant>
      <vt:variant>
        <vt:lpwstr/>
      </vt:variant>
      <vt:variant>
        <vt:i4>4587605</vt:i4>
      </vt:variant>
      <vt:variant>
        <vt:i4>30</vt:i4>
      </vt:variant>
      <vt:variant>
        <vt:i4>0</vt:i4>
      </vt:variant>
      <vt:variant>
        <vt:i4>5</vt:i4>
      </vt:variant>
      <vt:variant>
        <vt:lpwstr>http://www.cms.hhs.gov/NursingHomeQualityInits/Downloads/MDS30FinalReport.pdf</vt:lpwstr>
      </vt:variant>
      <vt:variant>
        <vt:lpwstr/>
      </vt:variant>
      <vt:variant>
        <vt:i4>4587605</vt:i4>
      </vt:variant>
      <vt:variant>
        <vt:i4>27</vt:i4>
      </vt:variant>
      <vt:variant>
        <vt:i4>0</vt:i4>
      </vt:variant>
      <vt:variant>
        <vt:i4>5</vt:i4>
      </vt:variant>
      <vt:variant>
        <vt:lpwstr>http://www.cms.hhs.gov/NursingHomeQualityInits/Downloads/MDS30FinalReport.pdf</vt:lpwstr>
      </vt:variant>
      <vt:variant>
        <vt:lpwstr/>
      </vt:variant>
      <vt:variant>
        <vt:i4>4587605</vt:i4>
      </vt:variant>
      <vt:variant>
        <vt:i4>24</vt:i4>
      </vt:variant>
      <vt:variant>
        <vt:i4>0</vt:i4>
      </vt:variant>
      <vt:variant>
        <vt:i4>5</vt:i4>
      </vt:variant>
      <vt:variant>
        <vt:lpwstr>http://www.cms.hhs.gov/NursingHomeQualityInits/Downloads/MDS30FinalReport.pdf</vt:lpwstr>
      </vt:variant>
      <vt:variant>
        <vt:lpwstr/>
      </vt:variant>
      <vt:variant>
        <vt:i4>3932203</vt:i4>
      </vt:variant>
      <vt:variant>
        <vt:i4>21</vt:i4>
      </vt:variant>
      <vt:variant>
        <vt:i4>0</vt:i4>
      </vt:variant>
      <vt:variant>
        <vt:i4>5</vt:i4>
      </vt:variant>
      <vt:variant>
        <vt:lpwstr/>
      </vt:variant>
      <vt:variant>
        <vt:lpwstr>Note16</vt:lpwstr>
      </vt:variant>
      <vt:variant>
        <vt:i4>4128811</vt:i4>
      </vt:variant>
      <vt:variant>
        <vt:i4>18</vt:i4>
      </vt:variant>
      <vt:variant>
        <vt:i4>0</vt:i4>
      </vt:variant>
      <vt:variant>
        <vt:i4>5</vt:i4>
      </vt:variant>
      <vt:variant>
        <vt:lpwstr/>
      </vt:variant>
      <vt:variant>
        <vt:lpwstr>Note15</vt:lpwstr>
      </vt:variant>
      <vt:variant>
        <vt:i4>4063275</vt:i4>
      </vt:variant>
      <vt:variant>
        <vt:i4>15</vt:i4>
      </vt:variant>
      <vt:variant>
        <vt:i4>0</vt:i4>
      </vt:variant>
      <vt:variant>
        <vt:i4>5</vt:i4>
      </vt:variant>
      <vt:variant>
        <vt:lpwstr/>
      </vt:variant>
      <vt:variant>
        <vt:lpwstr>Note14</vt:lpwstr>
      </vt:variant>
      <vt:variant>
        <vt:i4>3735595</vt:i4>
      </vt:variant>
      <vt:variant>
        <vt:i4>12</vt:i4>
      </vt:variant>
      <vt:variant>
        <vt:i4>0</vt:i4>
      </vt:variant>
      <vt:variant>
        <vt:i4>5</vt:i4>
      </vt:variant>
      <vt:variant>
        <vt:lpwstr/>
      </vt:variant>
      <vt:variant>
        <vt:lpwstr>Note13</vt:lpwstr>
      </vt:variant>
      <vt:variant>
        <vt:i4>3670059</vt:i4>
      </vt:variant>
      <vt:variant>
        <vt:i4>9</vt:i4>
      </vt:variant>
      <vt:variant>
        <vt:i4>0</vt:i4>
      </vt:variant>
      <vt:variant>
        <vt:i4>5</vt:i4>
      </vt:variant>
      <vt:variant>
        <vt:lpwstr/>
      </vt:variant>
      <vt:variant>
        <vt:lpwstr>Note12</vt:lpwstr>
      </vt:variant>
      <vt:variant>
        <vt:i4>3866667</vt:i4>
      </vt:variant>
      <vt:variant>
        <vt:i4>6</vt:i4>
      </vt:variant>
      <vt:variant>
        <vt:i4>0</vt:i4>
      </vt:variant>
      <vt:variant>
        <vt:i4>5</vt:i4>
      </vt:variant>
      <vt:variant>
        <vt:lpwstr/>
      </vt:variant>
      <vt:variant>
        <vt:lpwstr>Note11</vt:lpwstr>
      </vt:variant>
      <vt:variant>
        <vt:i4>3801131</vt:i4>
      </vt:variant>
      <vt:variant>
        <vt:i4>3</vt:i4>
      </vt:variant>
      <vt:variant>
        <vt:i4>0</vt:i4>
      </vt:variant>
      <vt:variant>
        <vt:i4>5</vt:i4>
      </vt:variant>
      <vt:variant>
        <vt:lpwstr/>
      </vt:variant>
      <vt:variant>
        <vt:lpwstr>Note10</vt:lpwstr>
      </vt:variant>
      <vt:variant>
        <vt:i4>5177423</vt:i4>
      </vt:variant>
      <vt:variant>
        <vt:i4>0</vt:i4>
      </vt:variant>
      <vt:variant>
        <vt:i4>0</vt:i4>
      </vt:variant>
      <vt:variant>
        <vt:i4>5</vt:i4>
      </vt:variant>
      <vt:variant>
        <vt:lpwstr>http://www.qualityforum.org/Measuring_Performance/Submitting_Standards.aspx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
  <dc:creator>Reva Winkler</dc:creator>
  <cp:keywords/>
  <cp:lastModifiedBy>Campbell, Lauren</cp:lastModifiedBy>
  <cp:revision>5</cp:revision>
  <cp:lastPrinted>2019-03-13T10:35:00Z</cp:lastPrinted>
  <dcterms:created xsi:type="dcterms:W3CDTF">2019-07-26T19:36:00Z</dcterms:created>
  <dcterms:modified xsi:type="dcterms:W3CDTF">2019-07-26T20:43:00Z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0x01010007D6B7BAE999DC4499F8E34D968BFA7B</vt:lpwstr>
  </property>
  <property fmtid="{D5CDD505-2E9C-101B-9397-08002B2CF9AE}" pid="3" name="_NewReviewCycle">
    <vt:lpwstr/>
  </property>
  <property fmtid="{D5CDD505-2E9C-101B-9397-08002B2CF9AE}" pid="4" name="AuthorIds_UIVersion_57344">
    <vt:lpwstr>46</vt:lpwstr>
  </property>
</Properties>
</file>