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2b2-2b6)</w:t>
      </w:r>
    </w:p>
    <w:p w:rsidR="00927027" w:rsidRDefault="00927027" w:rsidP="00105D8B">
      <w:pPr>
        <w:contextualSpacing/>
        <w:rPr>
          <w:rFonts w:cstheme="minorHAnsi"/>
          <w:b/>
          <w:noProof/>
        </w:rPr>
      </w:pPr>
    </w:p>
    <w:p w:rsidR="00105D8B" w:rsidRPr="00A25024" w:rsidRDefault="00105D8B" w:rsidP="00C87691">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50739119"/>
              <w:placeholder>
                <w:docPart w:val="932C21E931C344F7961CD6C98EB6224E"/>
              </w:placeholder>
            </w:sdtPr>
            <w:sdtEndPr>
              <w:rPr>
                <w:rStyle w:val="DefaultParagraphFont"/>
                <w:noProof/>
                <w:color w:val="auto"/>
              </w:rPr>
            </w:sdtEndPr>
            <w:sdtContent>
              <w:r w:rsidR="00C87691" w:rsidRPr="00DA3531">
                <w:rPr>
                  <w:rStyle w:val="Style2"/>
                  <w:rFonts w:eastAsiaTheme="minorHAnsi" w:cstheme="minorHAnsi"/>
                </w:rPr>
                <w:t>Percent of Residents with a Urinary Tract Infection (long stay)</w:t>
              </w:r>
              <w:r w:rsidR="00C87691">
                <w:rPr>
                  <w:rFonts w:ascii="Cambria" w:eastAsia="Trebuchet MS" w:hAnsi="Cambria" w:cs="Trebuchet MS"/>
                  <w:sz w:val="20"/>
                  <w:szCs w:val="20"/>
                </w:rPr>
                <w:t xml:space="preserve"> </w:t>
              </w:r>
            </w:sdtContent>
          </w:sdt>
          <w:r w:rsidR="00C87691">
            <w:rPr>
              <w:noProof/>
            </w:rPr>
            <w:t xml:space="preserve"> </w:t>
          </w:r>
        </w:sdtContent>
      </w:sdt>
    </w:p>
    <w:p w:rsidR="005C73CA" w:rsidRDefault="00105D8B" w:rsidP="00C87691">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17T00:00:00Z">
            <w:dateFormat w:val="M/d/yyyy"/>
            <w:lid w:val="en-US"/>
            <w:storeMappedDataAs w:val="dateTime"/>
            <w:calendar w:val="gregorian"/>
          </w:date>
        </w:sdtPr>
        <w:sdtEndPr>
          <w:rPr>
            <w:rStyle w:val="DefaultParagraphFont"/>
            <w:noProof/>
            <w:color w:val="auto"/>
            <w:u w:val="none"/>
          </w:rPr>
        </w:sdtEndPr>
        <w:sdtContent>
          <w:r w:rsidR="00C87691">
            <w:rPr>
              <w:rStyle w:val="Style2"/>
              <w:rFonts w:cstheme="minorHAnsi"/>
            </w:rPr>
            <w:t>1/17/2014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878"/>
        <w:gridCol w:w="4698"/>
      </w:tblGrid>
      <w:tr w:rsidR="00CD364B" w:rsidRPr="00B82A57" w:rsidTr="000B3880">
        <w:trPr>
          <w:jc w:val="center"/>
        </w:trPr>
        <w:tc>
          <w:tcPr>
            <w:tcW w:w="2547" w:type="pct"/>
          </w:tcPr>
          <w:p w:rsidR="00CD364B" w:rsidRPr="00B82A57" w:rsidRDefault="00AD0FAB"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AD0FAB" w:rsidP="004130EB">
            <w:pPr>
              <w:autoSpaceDE w:val="0"/>
              <w:autoSpaceDN w:val="0"/>
              <w:adjustRightInd w:val="0"/>
              <w:rPr>
                <w:rFonts w:cstheme="minorHAnsi"/>
                <w:bCs/>
              </w:rPr>
            </w:pPr>
            <w:sdt>
              <w:sdtPr>
                <w:rPr>
                  <w:rFonts w:cstheme="minorHAnsi"/>
                  <w:bCs/>
                  <w:color w:val="0000FF"/>
                </w:rPr>
                <w:id w:val="40960739"/>
              </w:sdtPr>
              <w:sdtContent>
                <w:sdt>
                  <w:sdtPr>
                    <w:rPr>
                      <w:rFonts w:cstheme="minorHAnsi"/>
                      <w:bCs/>
                      <w:color w:val="0000FF"/>
                    </w:rPr>
                    <w:id w:val="296056382"/>
                  </w:sdtPr>
                  <w:sdtContent>
                    <w:r w:rsidR="004130EB">
                      <w:rPr>
                        <w:rFonts w:ascii="MS Gothic" w:eastAsia="MS Gothic" w:cstheme="minorHAnsi"/>
                        <w:bCs/>
                        <w:color w:val="0000FF"/>
                      </w:rPr>
                      <w:t>X</w:t>
                    </w:r>
                  </w:sdtContent>
                </w:sdt>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AD0FAB"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AD0FAB" w:rsidP="00CD364B">
            <w:pPr>
              <w:autoSpaceDE w:val="0"/>
              <w:autoSpaceDN w:val="0"/>
              <w:adjustRightInd w:val="0"/>
              <w:rPr>
                <w:rFonts w:cstheme="minorHAnsi"/>
                <w:bCs/>
              </w:rPr>
            </w:pPr>
            <w:sdt>
              <w:sdtPr>
                <w:rPr>
                  <w:rFonts w:cstheme="minorHAnsi"/>
                  <w:bCs/>
                  <w:color w:val="0000FF"/>
                </w:rPr>
                <w:id w:val="-1952933063"/>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AD0FAB" w:rsidP="00CD364B">
            <w:pPr>
              <w:autoSpaceDE w:val="0"/>
              <w:autoSpaceDN w:val="0"/>
              <w:adjustRightInd w:val="0"/>
              <w:rPr>
                <w:rFonts w:cstheme="minorHAnsi"/>
                <w:bCs/>
              </w:rPr>
            </w:pPr>
            <w:sdt>
              <w:sdtPr>
                <w:rPr>
                  <w:rFonts w:cstheme="minorHAnsi"/>
                  <w:bCs/>
                  <w:color w:val="0000FF"/>
                </w:rPr>
                <w:id w:val="1581719781"/>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AD0FAB"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C613CB">
            <w:pPr>
              <w:pStyle w:val="ListParagraph"/>
              <w:numPr>
                <w:ilvl w:val="0"/>
                <w:numId w:val="1"/>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C613CB">
            <w:pPr>
              <w:pStyle w:val="ListParagraph"/>
              <w:numPr>
                <w:ilvl w:val="0"/>
                <w:numId w:val="1"/>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C613CB">
            <w:pPr>
              <w:pStyle w:val="ListParagraph"/>
              <w:numPr>
                <w:ilvl w:val="0"/>
                <w:numId w:val="1"/>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C613CB">
            <w:pPr>
              <w:pStyle w:val="ListParagraph"/>
              <w:numPr>
                <w:ilvl w:val="0"/>
                <w:numId w:val="1"/>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E96884">
              <w:rPr>
                <w:rFonts w:cstheme="minorHAnsi"/>
                <w:noProof/>
              </w:rPr>
              <w:t>.</w:t>
            </w:r>
          </w:p>
          <w:p w:rsidR="00702C73" w:rsidRPr="008F589F" w:rsidRDefault="00702C73" w:rsidP="00C613CB">
            <w:pPr>
              <w:pStyle w:val="ListParagraph"/>
              <w:numPr>
                <w:ilvl w:val="0"/>
                <w:numId w:val="1"/>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C613CB">
            <w:pPr>
              <w:pStyle w:val="ListParagraph"/>
              <w:numPr>
                <w:ilvl w:val="0"/>
                <w:numId w:val="1"/>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C613CB">
            <w:pPr>
              <w:pStyle w:val="ListParagraph"/>
              <w:numPr>
                <w:ilvl w:val="0"/>
                <w:numId w:val="1"/>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C613CB">
            <w:pPr>
              <w:pStyle w:val="ListParagraph"/>
              <w:numPr>
                <w:ilvl w:val="0"/>
                <w:numId w:val="1"/>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tblPr>
      <w:tblGrid>
        <w:gridCol w:w="10534"/>
      </w:tblGrid>
      <w:tr w:rsidR="00BC0D25" w:rsidRPr="004853A0" w:rsidTr="00145149">
        <w:trPr>
          <w:jc w:val="center"/>
        </w:trPr>
        <w:tc>
          <w:tcPr>
            <w:tcW w:w="9576" w:type="dxa"/>
          </w:tcPr>
          <w:p w:rsidR="00B53E8B" w:rsidRPr="004853A0" w:rsidRDefault="00B53E8B" w:rsidP="00702C73">
            <w:pPr>
              <w:rPr>
                <w:rFonts w:cstheme="minorHAnsi"/>
                <w:b/>
                <w:bCs/>
              </w:rPr>
            </w:pPr>
            <w:r w:rsidRPr="004853A0">
              <w:rPr>
                <w:b/>
                <w:bCs/>
                <w:u w:val="single"/>
              </w:rPr>
              <w:t>Note</w:t>
            </w:r>
            <w:r w:rsidRPr="004853A0">
              <w:rPr>
                <w:b/>
                <w:bCs/>
              </w:rPr>
              <w:t>: The information provided in this form is intended to aid the Steering Committee and other stakeholders in understanding to what degree the testing results for this measure meet NQF’s evaluation criteria</w:t>
            </w:r>
            <w:r w:rsidR="000E78F6" w:rsidRPr="004853A0">
              <w:rPr>
                <w:b/>
                <w:bCs/>
              </w:rPr>
              <w:t xml:space="preserve"> for testing</w:t>
            </w:r>
            <w:r w:rsidRPr="004853A0">
              <w:rPr>
                <w:b/>
                <w:bCs/>
              </w:rPr>
              <w:t>.</w:t>
            </w:r>
          </w:p>
          <w:p w:rsidR="00B53E8B" w:rsidRPr="004853A0" w:rsidRDefault="00B53E8B" w:rsidP="00702C73">
            <w:pPr>
              <w:rPr>
                <w:rFonts w:cstheme="minorHAnsi"/>
                <w:b/>
                <w:bCs/>
              </w:rPr>
            </w:pPr>
          </w:p>
          <w:p w:rsidR="00BC0D25" w:rsidRPr="004853A0" w:rsidRDefault="00145149" w:rsidP="00702C73">
            <w:pPr>
              <w:rPr>
                <w:rFonts w:cstheme="minorHAnsi"/>
                <w:bCs/>
                <w:iCs/>
              </w:rPr>
            </w:pPr>
            <w:r w:rsidRPr="004853A0">
              <w:rPr>
                <w:rFonts w:cstheme="minorHAnsi"/>
                <w:b/>
                <w:bCs/>
              </w:rPr>
              <w:t>2a2.</w:t>
            </w:r>
            <w:r w:rsidRPr="004853A0">
              <w:rPr>
                <w:rFonts w:cstheme="minorHAnsi"/>
              </w:rPr>
              <w:t xml:space="preserve"> </w:t>
            </w:r>
            <w:r w:rsidRPr="004853A0">
              <w:rPr>
                <w:rFonts w:cstheme="minorHAnsi"/>
                <w:b/>
              </w:rPr>
              <w:t>Reliability testing</w:t>
            </w:r>
            <w:r w:rsidRPr="004853A0">
              <w:rPr>
                <w:rFonts w:cstheme="minorHAnsi"/>
              </w:rPr>
              <w:t xml:space="preserve"> </w:t>
            </w:r>
            <w:hyperlink w:anchor="Note10" w:history="1">
              <w:r w:rsidRPr="004853A0">
                <w:rPr>
                  <w:rStyle w:val="Hyperlink"/>
                  <w:rFonts w:cstheme="minorHAnsi"/>
                  <w:b/>
                  <w:vertAlign w:val="superscript"/>
                </w:rPr>
                <w:t>10</w:t>
              </w:r>
            </w:hyperlink>
            <w:r w:rsidRPr="004853A0">
              <w:rPr>
                <w:rFonts w:cstheme="minorHAnsi"/>
              </w:rPr>
              <w:t xml:space="preserve"> demonstrates the measure data elements are repeatable, producing the same results a high proportion of the time when assessed </w:t>
            </w:r>
            <w:r w:rsidRPr="004853A0">
              <w:rPr>
                <w:rFonts w:cstheme="minorHAnsi"/>
                <w:bCs/>
                <w:iCs/>
              </w:rPr>
              <w:t xml:space="preserve">in the same population in the same time period </w:t>
            </w:r>
            <w:r w:rsidRPr="004853A0">
              <w:rPr>
                <w:rFonts w:cstheme="minorHAnsi"/>
              </w:rPr>
              <w:t>and/or that the measure score is precise</w:t>
            </w:r>
            <w:r w:rsidRPr="004853A0">
              <w:rPr>
                <w:rFonts w:cstheme="minorHAnsi"/>
                <w:bCs/>
                <w:iCs/>
              </w:rPr>
              <w:t>.</w:t>
            </w:r>
          </w:p>
          <w:p w:rsidR="00145149" w:rsidRPr="004853A0" w:rsidRDefault="00145149" w:rsidP="00145149">
            <w:pPr>
              <w:autoSpaceDE w:val="0"/>
              <w:autoSpaceDN w:val="0"/>
              <w:adjustRightInd w:val="0"/>
              <w:rPr>
                <w:rFonts w:cstheme="minorHAnsi"/>
                <w:b/>
                <w:iCs/>
              </w:rPr>
            </w:pPr>
          </w:p>
          <w:p w:rsidR="00145149" w:rsidRPr="004853A0" w:rsidRDefault="00145149" w:rsidP="00145149">
            <w:pPr>
              <w:autoSpaceDE w:val="0"/>
              <w:autoSpaceDN w:val="0"/>
              <w:adjustRightInd w:val="0"/>
              <w:rPr>
                <w:rFonts w:cstheme="minorHAnsi"/>
              </w:rPr>
            </w:pPr>
            <w:r w:rsidRPr="004853A0">
              <w:rPr>
                <w:rFonts w:cstheme="minorHAnsi"/>
                <w:b/>
                <w:iCs/>
              </w:rPr>
              <w:t>2b2.</w:t>
            </w:r>
            <w:r w:rsidRPr="004853A0">
              <w:rPr>
                <w:rFonts w:cstheme="minorHAnsi"/>
                <w:bCs/>
                <w:iCs/>
              </w:rPr>
              <w:t xml:space="preserve"> </w:t>
            </w:r>
            <w:r w:rsidRPr="004853A0">
              <w:rPr>
                <w:rFonts w:cstheme="minorHAnsi"/>
                <w:b/>
                <w:bCs/>
                <w:iCs/>
              </w:rPr>
              <w:t>Validity testing</w:t>
            </w:r>
            <w:r w:rsidRPr="004853A0">
              <w:rPr>
                <w:rFonts w:cstheme="minorHAnsi"/>
                <w:bCs/>
                <w:iCs/>
              </w:rPr>
              <w:t xml:space="preserve"> </w:t>
            </w:r>
            <w:hyperlink w:anchor="Note11" w:history="1">
              <w:r w:rsidRPr="004853A0">
                <w:rPr>
                  <w:rStyle w:val="Hyperlink"/>
                  <w:rFonts w:cstheme="minorHAnsi"/>
                  <w:b/>
                  <w:vertAlign w:val="superscript"/>
                </w:rPr>
                <w:t>11</w:t>
              </w:r>
            </w:hyperlink>
            <w:r w:rsidRPr="004853A0">
              <w:rPr>
                <w:rFonts w:cstheme="minorHAnsi"/>
                <w:bCs/>
                <w:iCs/>
              </w:rPr>
              <w:t xml:space="preserve"> demonstrates that the measure data elements are correct and/or the </w:t>
            </w:r>
            <w:r w:rsidRPr="004853A0">
              <w:rPr>
                <w:rFonts w:cstheme="minorHAnsi"/>
              </w:rPr>
              <w:t>measure score correctly reflects the quality of care provided, adequately identifying differences in quality</w:t>
            </w:r>
            <w:r w:rsidRPr="004853A0">
              <w:rPr>
                <w:rFonts w:cstheme="minorHAnsi"/>
                <w:color w:val="0000FF"/>
              </w:rPr>
              <w:t xml:space="preserve">.  </w:t>
            </w:r>
          </w:p>
          <w:p w:rsidR="00145149" w:rsidRPr="004853A0" w:rsidRDefault="00145149" w:rsidP="00145149">
            <w:pPr>
              <w:rPr>
                <w:rFonts w:cstheme="minorHAnsi"/>
              </w:rPr>
            </w:pPr>
            <w:bookmarkStart w:id="0" w:name="_Toc256067249"/>
          </w:p>
          <w:p w:rsidR="00145149" w:rsidRPr="004853A0" w:rsidRDefault="00145149" w:rsidP="00145149">
            <w:pPr>
              <w:rPr>
                <w:rFonts w:cstheme="minorHAnsi"/>
              </w:rPr>
            </w:pPr>
            <w:r w:rsidRPr="004853A0">
              <w:rPr>
                <w:rFonts w:cstheme="minorHAnsi"/>
                <w:b/>
                <w:bCs/>
              </w:rPr>
              <w:t>2b3.</w:t>
            </w:r>
            <w:r w:rsidRPr="004853A0">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4853A0">
                <w:rPr>
                  <w:rStyle w:val="Hyperlink"/>
                  <w:rFonts w:cstheme="minorHAnsi"/>
                  <w:b/>
                  <w:vertAlign w:val="superscript"/>
                </w:rPr>
                <w:t>12</w:t>
              </w:r>
            </w:hyperlink>
          </w:p>
          <w:p w:rsidR="00145149" w:rsidRPr="004853A0" w:rsidRDefault="00145149" w:rsidP="00145149">
            <w:pPr>
              <w:rPr>
                <w:rFonts w:cstheme="minorHAnsi"/>
                <w:b/>
              </w:rPr>
            </w:pPr>
            <w:r w:rsidRPr="004853A0">
              <w:rPr>
                <w:rFonts w:cstheme="minorHAnsi"/>
                <w:b/>
              </w:rPr>
              <w:t xml:space="preserve">AND </w:t>
            </w:r>
          </w:p>
          <w:p w:rsidR="00145149" w:rsidRPr="004853A0" w:rsidRDefault="00145149" w:rsidP="00145149">
            <w:pPr>
              <w:rPr>
                <w:rFonts w:cstheme="minorHAnsi"/>
              </w:rPr>
            </w:pPr>
            <w:r w:rsidRPr="004853A0">
              <w:rPr>
                <w:rFonts w:cstheme="minorHAnsi"/>
              </w:rPr>
              <w:t xml:space="preserve">If patient preference (e.g., informed </w:t>
            </w:r>
            <w:proofErr w:type="spellStart"/>
            <w:r w:rsidRPr="004853A0">
              <w:rPr>
                <w:rFonts w:cstheme="minorHAnsi"/>
              </w:rPr>
              <w:t>decisionmaking</w:t>
            </w:r>
            <w:proofErr w:type="spellEnd"/>
            <w:r w:rsidRPr="004853A0">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4853A0">
                <w:rPr>
                  <w:rStyle w:val="Hyperlink"/>
                  <w:rFonts w:cstheme="minorHAnsi"/>
                  <w:b/>
                  <w:vertAlign w:val="superscript"/>
                </w:rPr>
                <w:t>13</w:t>
              </w:r>
            </w:hyperlink>
          </w:p>
          <w:p w:rsidR="00145149" w:rsidRPr="004853A0" w:rsidRDefault="00145149" w:rsidP="00145149">
            <w:pPr>
              <w:rPr>
                <w:rFonts w:cstheme="minorHAnsi"/>
                <w:b/>
                <w:bCs/>
              </w:rPr>
            </w:pPr>
          </w:p>
          <w:p w:rsidR="00145149" w:rsidRPr="004853A0" w:rsidRDefault="00145149" w:rsidP="00145149">
            <w:pPr>
              <w:rPr>
                <w:rFonts w:cstheme="minorHAnsi"/>
              </w:rPr>
            </w:pPr>
            <w:bookmarkStart w:id="1" w:name="_Toc256067250"/>
            <w:r w:rsidRPr="004853A0">
              <w:rPr>
                <w:rFonts w:cstheme="minorHAnsi"/>
                <w:b/>
                <w:bCs/>
              </w:rPr>
              <w:t>2b4.</w:t>
            </w:r>
            <w:r w:rsidRPr="004853A0">
              <w:rPr>
                <w:rFonts w:cstheme="minorHAnsi"/>
              </w:rPr>
              <w:t xml:space="preserve"> </w:t>
            </w:r>
            <w:r w:rsidRPr="004853A0">
              <w:rPr>
                <w:rFonts w:cstheme="minorHAnsi"/>
                <w:b/>
              </w:rPr>
              <w:t>For outcome measures and other measures when indicated</w:t>
            </w:r>
            <w:r w:rsidRPr="004853A0">
              <w:rPr>
                <w:rFonts w:cstheme="minorHAnsi"/>
              </w:rPr>
              <w:t xml:space="preserve"> (e.g., resource use): </w:t>
            </w:r>
          </w:p>
          <w:p w:rsidR="00145149" w:rsidRPr="004853A0" w:rsidRDefault="00145149" w:rsidP="00C613CB">
            <w:pPr>
              <w:numPr>
                <w:ilvl w:val="0"/>
                <w:numId w:val="2"/>
              </w:numPr>
              <w:ind w:left="0" w:firstLine="0"/>
              <w:rPr>
                <w:rFonts w:cstheme="minorHAnsi"/>
              </w:rPr>
            </w:pPr>
            <w:r w:rsidRPr="004853A0">
              <w:rPr>
                <w:rFonts w:cstheme="minorHAnsi"/>
                <w:b/>
              </w:rPr>
              <w:t>an evidence-based risk-adjustment strategy</w:t>
            </w:r>
            <w:r w:rsidRPr="004853A0">
              <w:rPr>
                <w:rFonts w:cstheme="minorHAnsi"/>
              </w:rPr>
              <w:t xml:space="preserve"> (e.g., risk models, risk stratification) is specified; is based on patient factors that influence the measured outcome (but not factors related to disparities in care or the quality of care) </w:t>
            </w:r>
            <w:r w:rsidRPr="004853A0">
              <w:rPr>
                <w:rFonts w:cstheme="minorHAnsi"/>
              </w:rPr>
              <w:lastRenderedPageBreak/>
              <w:t xml:space="preserve">and are present at start of care; </w:t>
            </w:r>
            <w:hyperlink w:anchor="Note14" w:history="1">
              <w:r w:rsidRPr="004853A0">
                <w:rPr>
                  <w:rStyle w:val="Hyperlink"/>
                  <w:rFonts w:cstheme="minorHAnsi"/>
                  <w:b/>
                  <w:vertAlign w:val="superscript"/>
                </w:rPr>
                <w:t>14</w:t>
              </w:r>
            </w:hyperlink>
            <w:r w:rsidRPr="004853A0">
              <w:rPr>
                <w:rFonts w:cstheme="minorHAnsi"/>
                <w:b/>
                <w:vertAlign w:val="superscript"/>
              </w:rPr>
              <w:t>,</w:t>
            </w:r>
            <w:hyperlink w:anchor="Note15" w:history="1">
              <w:r w:rsidRPr="004853A0">
                <w:rPr>
                  <w:rStyle w:val="Hyperlink"/>
                  <w:rFonts w:cstheme="minorHAnsi"/>
                  <w:b/>
                  <w:vertAlign w:val="superscript"/>
                </w:rPr>
                <w:t>15</w:t>
              </w:r>
            </w:hyperlink>
            <w:r w:rsidRPr="004853A0">
              <w:rPr>
                <w:rFonts w:cstheme="minorHAnsi"/>
              </w:rPr>
              <w:t xml:space="preserve"> and has demonstrated adequate discrimination and calibration</w:t>
            </w:r>
          </w:p>
          <w:p w:rsidR="00145149" w:rsidRPr="004853A0" w:rsidRDefault="00145149" w:rsidP="00145149">
            <w:pPr>
              <w:rPr>
                <w:rFonts w:cstheme="minorHAnsi"/>
                <w:b/>
              </w:rPr>
            </w:pPr>
            <w:r w:rsidRPr="004853A0">
              <w:rPr>
                <w:rFonts w:cstheme="minorHAnsi"/>
                <w:b/>
              </w:rPr>
              <w:t>OR</w:t>
            </w:r>
          </w:p>
          <w:p w:rsidR="00145149" w:rsidRPr="004853A0" w:rsidRDefault="00145149" w:rsidP="00C613CB">
            <w:pPr>
              <w:numPr>
                <w:ilvl w:val="0"/>
                <w:numId w:val="2"/>
              </w:numPr>
              <w:ind w:left="0" w:firstLine="0"/>
              <w:rPr>
                <w:rFonts w:cstheme="minorHAnsi"/>
              </w:rPr>
            </w:pPr>
            <w:proofErr w:type="gramStart"/>
            <w:r w:rsidRPr="004853A0">
              <w:rPr>
                <w:rFonts w:cstheme="minorHAnsi"/>
              </w:rPr>
              <w:t>rationale/data</w:t>
            </w:r>
            <w:proofErr w:type="gramEnd"/>
            <w:r w:rsidRPr="004853A0">
              <w:rPr>
                <w:rFonts w:cstheme="minorHAnsi"/>
              </w:rPr>
              <w:t xml:space="preserve"> support no risk adjustment/ stratification. </w:t>
            </w:r>
          </w:p>
          <w:p w:rsidR="00145149" w:rsidRPr="004853A0" w:rsidRDefault="00145149" w:rsidP="00145149">
            <w:pPr>
              <w:rPr>
                <w:rFonts w:cstheme="minorHAnsi"/>
                <w:b/>
                <w:bCs/>
              </w:rPr>
            </w:pPr>
          </w:p>
          <w:bookmarkEnd w:id="1"/>
          <w:p w:rsidR="00145149" w:rsidRPr="004853A0" w:rsidRDefault="00145149" w:rsidP="00145149">
            <w:pPr>
              <w:rPr>
                <w:rFonts w:cstheme="minorHAnsi"/>
              </w:rPr>
            </w:pPr>
            <w:r w:rsidRPr="004853A0">
              <w:rPr>
                <w:rFonts w:cstheme="minorHAnsi"/>
                <w:b/>
                <w:bCs/>
              </w:rPr>
              <w:t>2b5.</w:t>
            </w:r>
            <w:r w:rsidRPr="004853A0">
              <w:rPr>
                <w:rFonts w:cstheme="minorHAnsi"/>
              </w:rPr>
              <w:t xml:space="preserve"> Data analysis of computed measure scores demonstrates that methods for scoring and analysis of the specified measure allow for </w:t>
            </w:r>
            <w:r w:rsidRPr="004853A0">
              <w:rPr>
                <w:rFonts w:cstheme="minorHAnsi"/>
                <w:b/>
              </w:rPr>
              <w:t>identification of statistically significant and practically/clinically meaningful</w:t>
            </w:r>
            <w:r w:rsidRPr="004853A0">
              <w:rPr>
                <w:rFonts w:cstheme="minorHAnsi"/>
              </w:rPr>
              <w:t xml:space="preserve"> </w:t>
            </w:r>
            <w:hyperlink w:anchor="Note16" w:history="1">
              <w:r w:rsidRPr="004853A0">
                <w:rPr>
                  <w:rStyle w:val="Hyperlink"/>
                  <w:rFonts w:cstheme="minorHAnsi"/>
                  <w:b/>
                  <w:vertAlign w:val="superscript"/>
                </w:rPr>
                <w:t>16</w:t>
              </w:r>
            </w:hyperlink>
            <w:r w:rsidRPr="004853A0">
              <w:rPr>
                <w:rFonts w:cstheme="minorHAnsi"/>
              </w:rPr>
              <w:t xml:space="preserve"> </w:t>
            </w:r>
            <w:r w:rsidRPr="004853A0">
              <w:rPr>
                <w:rFonts w:cstheme="minorHAnsi"/>
                <w:b/>
              </w:rPr>
              <w:t>differences in performance</w:t>
            </w:r>
            <w:r w:rsidRPr="004853A0">
              <w:rPr>
                <w:rFonts w:cstheme="minorHAnsi"/>
              </w:rPr>
              <w:t>;</w:t>
            </w:r>
          </w:p>
          <w:p w:rsidR="00145149" w:rsidRPr="004853A0" w:rsidRDefault="00145149" w:rsidP="00145149">
            <w:pPr>
              <w:rPr>
                <w:rFonts w:cstheme="minorHAnsi"/>
              </w:rPr>
            </w:pPr>
            <w:r w:rsidRPr="004853A0">
              <w:rPr>
                <w:rFonts w:cstheme="minorHAnsi"/>
                <w:b/>
              </w:rPr>
              <w:t>OR</w:t>
            </w:r>
          </w:p>
          <w:p w:rsidR="00145149" w:rsidRPr="004853A0" w:rsidRDefault="00145149" w:rsidP="00145149">
            <w:pPr>
              <w:rPr>
                <w:rFonts w:cstheme="minorHAnsi"/>
              </w:rPr>
            </w:pPr>
            <w:proofErr w:type="gramStart"/>
            <w:r w:rsidRPr="004853A0">
              <w:rPr>
                <w:rFonts w:cstheme="minorHAnsi"/>
              </w:rPr>
              <w:t>there</w:t>
            </w:r>
            <w:proofErr w:type="gramEnd"/>
            <w:r w:rsidRPr="004853A0">
              <w:rPr>
                <w:rFonts w:cstheme="minorHAnsi"/>
              </w:rPr>
              <w:t xml:space="preserve"> is evidence of overall less-than-optimal performance. </w:t>
            </w:r>
          </w:p>
          <w:p w:rsidR="00145149" w:rsidRPr="004853A0" w:rsidRDefault="00145149" w:rsidP="00145149">
            <w:pPr>
              <w:rPr>
                <w:rFonts w:cstheme="minorHAnsi"/>
                <w:b/>
                <w:bCs/>
              </w:rPr>
            </w:pPr>
          </w:p>
          <w:p w:rsidR="00145149" w:rsidRPr="004853A0" w:rsidRDefault="00145149" w:rsidP="00145149">
            <w:pPr>
              <w:rPr>
                <w:rFonts w:cstheme="minorHAnsi"/>
              </w:rPr>
            </w:pPr>
            <w:r w:rsidRPr="004853A0">
              <w:rPr>
                <w:rFonts w:cstheme="minorHAnsi"/>
                <w:b/>
                <w:bCs/>
              </w:rPr>
              <w:t>2b6.</w:t>
            </w:r>
            <w:r w:rsidRPr="004853A0">
              <w:rPr>
                <w:rFonts w:cstheme="minorHAnsi"/>
              </w:rPr>
              <w:t xml:space="preserve"> </w:t>
            </w:r>
            <w:r w:rsidRPr="004853A0">
              <w:rPr>
                <w:rFonts w:cstheme="minorHAnsi"/>
                <w:b/>
              </w:rPr>
              <w:t>If multiple data sources/methods are specified, there is demonstration they produce comparable results</w:t>
            </w:r>
            <w:r w:rsidRPr="004853A0">
              <w:rPr>
                <w:rFonts w:cstheme="minorHAnsi"/>
              </w:rPr>
              <w:t>.</w:t>
            </w:r>
          </w:p>
          <w:bookmarkEnd w:id="0"/>
          <w:p w:rsidR="00145149" w:rsidRPr="004853A0" w:rsidRDefault="00145149" w:rsidP="00145149">
            <w:pPr>
              <w:rPr>
                <w:rFonts w:cstheme="minorHAnsi"/>
                <w:b/>
                <w:bCs/>
              </w:rPr>
            </w:pPr>
          </w:p>
          <w:p w:rsidR="00145149" w:rsidRPr="004853A0" w:rsidRDefault="00145149" w:rsidP="00145149">
            <w:pPr>
              <w:autoSpaceDE w:val="0"/>
              <w:autoSpaceDN w:val="0"/>
              <w:adjustRightInd w:val="0"/>
              <w:rPr>
                <w:rFonts w:cstheme="minorHAnsi"/>
                <w:b/>
                <w:bCs/>
                <w:iCs/>
              </w:rPr>
            </w:pPr>
            <w:r w:rsidRPr="004853A0">
              <w:rPr>
                <w:rFonts w:cstheme="minorHAnsi"/>
                <w:b/>
                <w:bCs/>
                <w:iCs/>
              </w:rPr>
              <w:t>Notes</w:t>
            </w:r>
          </w:p>
          <w:p w:rsidR="00145149" w:rsidRPr="004853A0" w:rsidRDefault="00145149" w:rsidP="00145149">
            <w:pPr>
              <w:autoSpaceDE w:val="0"/>
              <w:autoSpaceDN w:val="0"/>
              <w:adjustRightInd w:val="0"/>
              <w:rPr>
                <w:rFonts w:cstheme="minorHAnsi"/>
              </w:rPr>
            </w:pPr>
            <w:bookmarkStart w:id="2" w:name="Note8"/>
            <w:bookmarkStart w:id="3" w:name="Note9"/>
            <w:bookmarkStart w:id="4" w:name="Note10"/>
            <w:bookmarkEnd w:id="2"/>
            <w:bookmarkEnd w:id="3"/>
            <w:bookmarkEnd w:id="4"/>
            <w:r w:rsidRPr="004853A0">
              <w:rPr>
                <w:rFonts w:cstheme="minorHAnsi"/>
                <w:b/>
              </w:rPr>
              <w:t>10.</w:t>
            </w:r>
            <w:r w:rsidRPr="004853A0">
              <w:rPr>
                <w:rFonts w:cstheme="minorHAnsi"/>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4853A0" w:rsidRDefault="00145149" w:rsidP="00145149">
            <w:pPr>
              <w:rPr>
                <w:rFonts w:cstheme="minorHAnsi"/>
              </w:rPr>
            </w:pPr>
            <w:bookmarkStart w:id="5" w:name="Note11"/>
            <w:bookmarkEnd w:id="5"/>
            <w:r w:rsidRPr="004853A0">
              <w:rPr>
                <w:rFonts w:cstheme="minorHAnsi"/>
                <w:b/>
              </w:rPr>
              <w:t>11.</w:t>
            </w:r>
            <w:r w:rsidRPr="004853A0">
              <w:rPr>
                <w:rFonts w:cstheme="minorHAnsi"/>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4853A0" w:rsidRDefault="00145149" w:rsidP="00145149">
            <w:pPr>
              <w:pStyle w:val="FootnoteText"/>
              <w:rPr>
                <w:rFonts w:asciiTheme="minorHAnsi" w:hAnsiTheme="minorHAnsi" w:cstheme="minorHAnsi"/>
                <w:sz w:val="22"/>
                <w:szCs w:val="22"/>
              </w:rPr>
            </w:pPr>
            <w:bookmarkStart w:id="6" w:name="Note12"/>
            <w:bookmarkEnd w:id="6"/>
            <w:r w:rsidRPr="004853A0">
              <w:rPr>
                <w:rFonts w:asciiTheme="minorHAnsi" w:hAnsiTheme="minorHAnsi" w:cstheme="minorHAnsi"/>
                <w:b/>
                <w:sz w:val="22"/>
                <w:szCs w:val="22"/>
              </w:rPr>
              <w:t>12.</w:t>
            </w:r>
            <w:r w:rsidRPr="004853A0">
              <w:rPr>
                <w:rFonts w:asciiTheme="minorHAnsi" w:hAnsiTheme="minorHAnsi" w:cstheme="minorHAnsi"/>
                <w:sz w:val="22"/>
                <w:szCs w:val="22"/>
              </w:rPr>
              <w:t xml:space="preserve"> Examples of evidence that </w:t>
            </w:r>
            <w:proofErr w:type="gramStart"/>
            <w:r w:rsidRPr="004853A0">
              <w:rPr>
                <w:rFonts w:asciiTheme="minorHAnsi" w:hAnsiTheme="minorHAnsi" w:cstheme="minorHAnsi"/>
                <w:sz w:val="22"/>
                <w:szCs w:val="22"/>
              </w:rPr>
              <w:t>an exclusion</w:t>
            </w:r>
            <w:proofErr w:type="gramEnd"/>
            <w:r w:rsidRPr="004853A0">
              <w:rPr>
                <w:rFonts w:asciiTheme="minorHAnsi" w:hAnsiTheme="minorHAnsi" w:cstheme="minorHAnsi"/>
                <w:sz w:val="22"/>
                <w:szCs w:val="22"/>
              </w:rPr>
              <w:t xml:space="preserve"> distorts measure results include, but are not limited to: frequency of occurrence, variability of exclusions across providers, and sensitivity analyses with and without the exclusion.  </w:t>
            </w:r>
          </w:p>
          <w:p w:rsidR="00145149" w:rsidRPr="004853A0" w:rsidRDefault="00145149" w:rsidP="00145149">
            <w:pPr>
              <w:autoSpaceDE w:val="0"/>
              <w:autoSpaceDN w:val="0"/>
              <w:adjustRightInd w:val="0"/>
              <w:rPr>
                <w:rFonts w:cstheme="minorHAnsi"/>
                <w:b/>
              </w:rPr>
            </w:pPr>
            <w:bookmarkStart w:id="7" w:name="Note13"/>
            <w:bookmarkEnd w:id="7"/>
            <w:r w:rsidRPr="004853A0">
              <w:rPr>
                <w:rFonts w:cstheme="minorHAnsi"/>
                <w:b/>
              </w:rPr>
              <w:t>13.</w:t>
            </w:r>
            <w:r w:rsidRPr="004853A0">
              <w:rPr>
                <w:rFonts w:cstheme="minorHAnsi"/>
              </w:rPr>
              <w:t xml:space="preserve"> Patient preference is not a clinical exception to eligibility and can be influenced by provider interventions.</w:t>
            </w:r>
          </w:p>
          <w:p w:rsidR="00145149" w:rsidRPr="004853A0" w:rsidRDefault="00145149" w:rsidP="00145149">
            <w:pPr>
              <w:pStyle w:val="FootnoteText"/>
              <w:rPr>
                <w:rFonts w:asciiTheme="minorHAnsi" w:hAnsiTheme="minorHAnsi" w:cstheme="minorHAnsi"/>
                <w:sz w:val="22"/>
                <w:szCs w:val="22"/>
              </w:rPr>
            </w:pPr>
            <w:bookmarkStart w:id="8" w:name="Note14"/>
            <w:bookmarkEnd w:id="8"/>
            <w:r w:rsidRPr="004853A0">
              <w:rPr>
                <w:rFonts w:asciiTheme="minorHAnsi" w:hAnsiTheme="minorHAnsi" w:cstheme="minorHAnsi"/>
                <w:b/>
                <w:sz w:val="22"/>
                <w:szCs w:val="22"/>
              </w:rPr>
              <w:t xml:space="preserve">14. </w:t>
            </w:r>
            <w:r w:rsidRPr="004853A0">
              <w:rPr>
                <w:rFonts w:asciiTheme="minorHAnsi" w:hAnsiTheme="minorHAnsi" w:cstheme="minorHAnsi"/>
                <w:sz w:val="22"/>
                <w:szCs w:val="22"/>
              </w:rPr>
              <w:t>Risk factors that influence outcomes should not be specified as exclusions.</w:t>
            </w:r>
          </w:p>
          <w:p w:rsidR="00145149" w:rsidRPr="004853A0" w:rsidRDefault="00145149" w:rsidP="00145149">
            <w:pPr>
              <w:rPr>
                <w:rFonts w:cstheme="minorHAnsi"/>
                <w:b/>
                <w:bCs/>
              </w:rPr>
            </w:pPr>
            <w:bookmarkStart w:id="9" w:name="Note15"/>
            <w:bookmarkEnd w:id="9"/>
            <w:r w:rsidRPr="004853A0">
              <w:rPr>
                <w:rFonts w:cstheme="minorHAnsi"/>
                <w:b/>
              </w:rPr>
              <w:t>15.</w:t>
            </w:r>
            <w:r w:rsidRPr="004853A0">
              <w:rPr>
                <w:rFonts w:cstheme="minorHAnsi"/>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4853A0" w:rsidRDefault="00145149" w:rsidP="00145149">
            <w:pPr>
              <w:rPr>
                <w:rFonts w:cstheme="minorHAnsi"/>
                <w:noProof/>
              </w:rPr>
            </w:pPr>
            <w:bookmarkStart w:id="10" w:name="Note16"/>
            <w:bookmarkEnd w:id="10"/>
            <w:r w:rsidRPr="004853A0">
              <w:rPr>
                <w:rFonts w:cstheme="minorHAnsi"/>
                <w:b/>
              </w:rPr>
              <w:t>16.</w:t>
            </w:r>
            <w:r w:rsidRPr="004853A0">
              <w:rPr>
                <w:rFonts w:cstheme="minorHAnsi"/>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6676D4" w:rsidRDefault="006676D4">
      <w:pPr>
        <w:rPr>
          <w:rFonts w:cstheme="minorHAnsi"/>
          <w:b/>
          <w:noProof/>
        </w:rPr>
      </w:pPr>
      <w:r>
        <w:rPr>
          <w:rFonts w:cstheme="minorHAnsi"/>
          <w:b/>
          <w:noProof/>
        </w:rPr>
        <w:br w:type="page"/>
      </w:r>
    </w:p>
    <w:p w:rsidR="00E27240" w:rsidRPr="00956B62" w:rsidRDefault="002B5016" w:rsidP="00956B62">
      <w:pPr>
        <w:pStyle w:val="Heading1"/>
      </w:pPr>
      <w:r w:rsidRPr="00956B62">
        <w:lastRenderedPageBreak/>
        <w:t xml:space="preserve">1. </w:t>
      </w:r>
      <w:r w:rsidR="00021170" w:rsidRPr="00956B62">
        <w:t>DATA/SAMPLE USED FOR ALL TESTING</w:t>
      </w:r>
      <w:r w:rsidR="006327D8" w:rsidRPr="00956B62">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839233565"/>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9891706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AD0FAB" w:rsidP="00040B82">
            <w:pPr>
              <w:autoSpaceDE w:val="0"/>
              <w:autoSpaceDN w:val="0"/>
              <w:adjustRightInd w:val="0"/>
              <w:rPr>
                <w:rFonts w:cstheme="minorHAnsi"/>
                <w:bCs/>
              </w:rPr>
            </w:pPr>
            <w:sdt>
              <w:sdtPr>
                <w:rPr>
                  <w:rFonts w:cstheme="minorHAnsi"/>
                  <w:bCs/>
                  <w:color w:val="0000FF"/>
                </w:rPr>
                <w:id w:val="560149406"/>
              </w:sdtPr>
              <w:sdtContent>
                <w:sdt>
                  <w:sdtPr>
                    <w:rPr>
                      <w:rFonts w:cstheme="minorHAnsi"/>
                      <w:bCs/>
                      <w:color w:val="0000FF"/>
                    </w:rPr>
                    <w:id w:val="296056297"/>
                  </w:sdt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AD0FAB" w:rsidP="001E1B8C">
            <w:pPr>
              <w:autoSpaceDE w:val="0"/>
              <w:autoSpaceDN w:val="0"/>
              <w:adjustRightInd w:val="0"/>
              <w:rPr>
                <w:rFonts w:cstheme="minorHAnsi"/>
                <w:bCs/>
              </w:rPr>
            </w:pPr>
            <w:sdt>
              <w:sdtPr>
                <w:rPr>
                  <w:rFonts w:cstheme="minorHAnsi"/>
                  <w:bCs/>
                  <w:color w:val="0000FF"/>
                </w:rPr>
                <w:id w:val="-387195507"/>
              </w:sdtPr>
              <w:sdtContent>
                <w:sdt>
                  <w:sdtPr>
                    <w:rPr>
                      <w:rFonts w:cstheme="minorHAnsi"/>
                      <w:bCs/>
                      <w:color w:val="0000FF"/>
                    </w:rPr>
                    <w:id w:val="296056298"/>
                  </w:sdtPr>
                  <w:sdtContent>
                    <w:r w:rsidR="00040B82" w:rsidRPr="006574D2">
                      <w:rPr>
                        <w:rFonts w:ascii="MS Gothic" w:eastAsia="MS Gothic" w:cstheme="minorHAnsi" w:hint="eastAsia"/>
                        <w:bCs/>
                        <w:color w:val="0000FF"/>
                      </w:rPr>
                      <w:t>☐</w:t>
                    </w:r>
                  </w:sdtContent>
                </w:sdt>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112134217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359203911"/>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AD0FAB"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AD0FAB"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proofErr w:type="spellStart"/>
            <w:r w:rsidR="00A01494" w:rsidRPr="00A01494">
              <w:rPr>
                <w:rFonts w:cstheme="minorHAnsi"/>
                <w:bCs/>
              </w:rPr>
              <w:t>eMeasure</w:t>
            </w:r>
            <w:proofErr w:type="spellEnd"/>
            <w:r w:rsidR="00A01494" w:rsidRPr="00A01494">
              <w:rPr>
                <w:rFonts w:cstheme="minorHAnsi"/>
                <w:bCs/>
              </w:rPr>
              <w:t xml:space="preserv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AD0FAB" w:rsidP="0045444B">
            <w:pPr>
              <w:autoSpaceDE w:val="0"/>
              <w:autoSpaceDN w:val="0"/>
              <w:adjustRightInd w:val="0"/>
              <w:rPr>
                <w:rFonts w:cstheme="minorHAnsi"/>
                <w:bCs/>
              </w:rPr>
            </w:pPr>
            <w:sdt>
              <w:sdtPr>
                <w:rPr>
                  <w:rFonts w:cstheme="minorHAnsi"/>
                  <w:bCs/>
                  <w:color w:val="0000FF"/>
                </w:rPr>
                <w:id w:val="1316375390"/>
              </w:sdtPr>
              <w:sdtContent>
                <w:r w:rsidR="00E41C6E">
                  <w:rPr>
                    <w:rFonts w:cstheme="minorHAnsi"/>
                    <w:bCs/>
                    <w:color w:val="0000FF"/>
                  </w:rPr>
                  <w:t>X</w:t>
                </w:r>
              </w:sdtContent>
            </w:sdt>
            <w:r w:rsidR="00B82A57">
              <w:rPr>
                <w:rFonts w:cstheme="minorHAnsi"/>
                <w:bCs/>
              </w:rPr>
              <w:t xml:space="preserve"> </w:t>
            </w:r>
            <w:r w:rsidR="00A01494" w:rsidRPr="00A01494">
              <w:rPr>
                <w:rFonts w:cstheme="minorHAnsi"/>
                <w:bCs/>
              </w:rPr>
              <w:t xml:space="preserve">other:  </w:t>
            </w:r>
            <w:sdt>
              <w:sdtPr>
                <w:rPr>
                  <w:rStyle w:val="Style1"/>
                </w:rPr>
                <w:id w:val="1834251992"/>
                <w:text/>
              </w:sdtPr>
              <w:sdtEndPr>
                <w:rPr>
                  <w:rStyle w:val="DefaultParagraphFont"/>
                  <w:rFonts w:cstheme="minorHAnsi"/>
                  <w:bCs/>
                  <w:color w:val="auto"/>
                </w:rPr>
              </w:sdtEndPr>
              <w:sdtContent>
                <w:r w:rsidR="00E41C6E">
                  <w:rPr>
                    <w:rStyle w:val="Style1"/>
                  </w:rPr>
                  <w:t>nursing home M</w:t>
                </w:r>
                <w:r w:rsidR="0045444B">
                  <w:rPr>
                    <w:rStyle w:val="Style1"/>
                  </w:rPr>
                  <w:t>inimum Data Set</w:t>
                </w:r>
                <w:r w:rsidR="00FD01DE">
                  <w:rPr>
                    <w:rStyle w:val="Style1"/>
                  </w:rPr>
                  <w:t xml:space="preserve"> (MDS)</w:t>
                </w:r>
              </w:sdtContent>
            </w:sdt>
          </w:p>
        </w:tc>
        <w:tc>
          <w:tcPr>
            <w:tcW w:w="4847" w:type="dxa"/>
          </w:tcPr>
          <w:p w:rsidR="00A01494" w:rsidRPr="00A01494" w:rsidRDefault="00AD0FAB" w:rsidP="00FD01DE">
            <w:pPr>
              <w:autoSpaceDE w:val="0"/>
              <w:autoSpaceDN w:val="0"/>
              <w:adjustRightInd w:val="0"/>
              <w:rPr>
                <w:rFonts w:cstheme="minorHAnsi"/>
                <w:bCs/>
              </w:rPr>
            </w:pPr>
            <w:sdt>
              <w:sdtPr>
                <w:rPr>
                  <w:rFonts w:cstheme="minorHAnsi"/>
                  <w:bCs/>
                  <w:color w:val="0000FF"/>
                </w:rPr>
                <w:id w:val="1689098749"/>
              </w:sdtPr>
              <w:sdtContent>
                <w:r w:rsidR="00E41C6E">
                  <w:rPr>
                    <w:rFonts w:cstheme="minorHAnsi"/>
                    <w:bCs/>
                    <w:color w:val="0000FF"/>
                  </w:rPr>
                  <w:t>X</w:t>
                </w:r>
              </w:sdtContent>
            </w:sdt>
            <w:r w:rsidR="00B82A57">
              <w:rPr>
                <w:rFonts w:cstheme="minorHAnsi"/>
                <w:bCs/>
              </w:rPr>
              <w:t xml:space="preserve"> </w:t>
            </w:r>
            <w:r w:rsidR="00A01494" w:rsidRPr="00A01494">
              <w:rPr>
                <w:rFonts w:cstheme="minorHAnsi"/>
                <w:bCs/>
              </w:rPr>
              <w:t xml:space="preserve">other:  </w:t>
            </w:r>
            <w:sdt>
              <w:sdtPr>
                <w:rPr>
                  <w:rStyle w:val="Style1"/>
                </w:rPr>
                <w:id w:val="1976178076"/>
                <w:text/>
              </w:sdtPr>
              <w:sdtEndPr>
                <w:rPr>
                  <w:rStyle w:val="DefaultParagraphFont"/>
                  <w:rFonts w:cstheme="minorHAnsi"/>
                  <w:bCs/>
                  <w:color w:val="auto"/>
                </w:rPr>
              </w:sdtEndPr>
              <w:sdtContent>
                <w:r w:rsidR="00E41C6E">
                  <w:rPr>
                    <w:rStyle w:val="Style1"/>
                  </w:rPr>
                  <w:t>nursing home M</w:t>
                </w:r>
                <w:r w:rsidR="0045444B">
                  <w:rPr>
                    <w:rStyle w:val="Style1"/>
                  </w:rPr>
                  <w:t>inimum Data Set</w:t>
                </w:r>
                <w:r w:rsidR="00FD01DE">
                  <w:rPr>
                    <w:rStyle w:val="Style1"/>
                  </w:rPr>
                  <w:t xml:space="preserve"> (MDS)</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C3761D">
      <w:pPr>
        <w:pStyle w:val="BodyText3"/>
        <w:rPr>
          <w:b/>
        </w:rPr>
      </w:pPr>
      <w:r>
        <w:rPr>
          <w:b/>
        </w:rPr>
        <w:t>1</w:t>
      </w:r>
      <w:r w:rsidR="00927027">
        <w:rPr>
          <w:b/>
        </w:rPr>
        <w:t>.</w:t>
      </w:r>
      <w:r w:rsidR="00DB3627" w:rsidRPr="00A25024">
        <w:rPr>
          <w:b/>
        </w:rPr>
        <w:t xml:space="preserve">2. </w:t>
      </w:r>
      <w:r w:rsidR="004348CC" w:rsidRPr="00A25024">
        <w:rPr>
          <w:b/>
        </w:rPr>
        <w:t>If an existing data</w:t>
      </w:r>
      <w:r w:rsidR="006327D8" w:rsidRPr="00A25024">
        <w:rPr>
          <w:b/>
        </w:rPr>
        <w:t>set</w:t>
      </w:r>
      <w:r w:rsidR="003605B4">
        <w:rPr>
          <w:b/>
        </w:rPr>
        <w:t xml:space="preserve"> was used</w:t>
      </w:r>
      <w:r w:rsidR="004348CC" w:rsidRPr="00A25024">
        <w:rPr>
          <w:b/>
        </w:rPr>
        <w:t xml:space="preserve">, identify the </w:t>
      </w:r>
      <w:r w:rsidR="009E1846">
        <w:rPr>
          <w:b/>
        </w:rPr>
        <w:t xml:space="preserve">specific </w:t>
      </w:r>
      <w:r w:rsidR="004348CC" w:rsidRPr="00A25024">
        <w:rPr>
          <w:b/>
        </w:rPr>
        <w:t>data</w:t>
      </w:r>
      <w:r w:rsidR="006327D8" w:rsidRPr="00A25024">
        <w:rPr>
          <w:b/>
        </w:rPr>
        <w:t>set</w:t>
      </w:r>
      <w:r w:rsidR="00DB3627" w:rsidRPr="00A25024">
        <w:t xml:space="preserve"> (</w:t>
      </w:r>
      <w:r w:rsidR="001C7B02">
        <w:t xml:space="preserve">the dataset used for testing must be consistent with the measure specifications for target population and healthcare entities being measured; </w:t>
      </w:r>
      <w:r w:rsidR="00DB3627" w:rsidRPr="00241591">
        <w:t>e.g., Medicare Part A claims</w:t>
      </w:r>
      <w:r w:rsidR="009E1846" w:rsidRPr="00241591">
        <w:t>,</w:t>
      </w:r>
      <w:r w:rsidR="001C7B02" w:rsidRPr="00241591">
        <w:t xml:space="preserve"> Medicaid claims, other commercial insurance, nursing home MDS, home health OASIS, clinical registry</w:t>
      </w:r>
      <w:r w:rsidR="00DB3627" w:rsidRPr="00A25024">
        <w:t>)</w:t>
      </w:r>
      <w:r w:rsidR="009E1846">
        <w:t xml:space="preserve">. </w:t>
      </w:r>
      <w:r w:rsidR="00080CF7" w:rsidRPr="00A25024">
        <w:t xml:space="preserve"> </w:t>
      </w:r>
      <w:r w:rsidR="004348CC" w:rsidRPr="00A25024">
        <w:t xml:space="preserve"> </w:t>
      </w:r>
    </w:p>
    <w:p w:rsidR="00C355B9" w:rsidRPr="00532886" w:rsidRDefault="00E41C6E" w:rsidP="00C3761D">
      <w:pPr>
        <w:pStyle w:val="BodyText"/>
      </w:pPr>
      <w:r w:rsidRPr="00532886">
        <w:t xml:space="preserve">Nursing Home MDS </w:t>
      </w:r>
      <w:r w:rsidR="00CE6996" w:rsidRPr="00532886">
        <w:t xml:space="preserve">2.0 and </w:t>
      </w:r>
      <w:r w:rsidRPr="00532886">
        <w:t>3.0</w:t>
      </w:r>
    </w:p>
    <w:p w:rsidR="0004593A" w:rsidRPr="00A25024" w:rsidRDefault="002B5016" w:rsidP="00040B82">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040B82">
            <w:rPr>
              <w:rStyle w:val="Style1"/>
            </w:rPr>
            <w:t xml:space="preserve">     </w:t>
          </w:r>
        </w:sdtContent>
      </w:sdt>
    </w:p>
    <w:p w:rsidR="004130EB" w:rsidRPr="00532886" w:rsidRDefault="005C71A2" w:rsidP="00892D0E">
      <w:pPr>
        <w:pStyle w:val="BodyText"/>
      </w:pPr>
      <w:r w:rsidRPr="00532886">
        <w:t>Q</w:t>
      </w:r>
      <w:r w:rsidR="00D24FC9" w:rsidRPr="00532886">
        <w:t>3 of 2003</w:t>
      </w:r>
      <w:r w:rsidRPr="00532886">
        <w:t xml:space="preserve"> to Q</w:t>
      </w:r>
      <w:r w:rsidR="00892D0E">
        <w:t>3</w:t>
      </w:r>
      <w:r w:rsidRPr="00532886">
        <w:t xml:space="preserve"> of 2013</w:t>
      </w:r>
    </w:p>
    <w:p w:rsidR="000414E8" w:rsidRPr="00956B62" w:rsidRDefault="002B5016" w:rsidP="00956B62">
      <w:pPr>
        <w:autoSpaceDE w:val="0"/>
        <w:autoSpaceDN w:val="0"/>
        <w:adjustRightInd w:val="0"/>
        <w:spacing w:after="0" w:line="240" w:lineRule="auto"/>
        <w:rPr>
          <w:rFonts w:cstheme="minorHAnsi"/>
          <w:b/>
        </w:rPr>
      </w:pPr>
      <w:r w:rsidRPr="00956B62">
        <w:rPr>
          <w:rFonts w:cstheme="minorHAnsi"/>
          <w:b/>
        </w:rPr>
        <w:t>1</w:t>
      </w:r>
      <w:r w:rsidR="00927027" w:rsidRPr="00956B62">
        <w:rPr>
          <w:rFonts w:cstheme="minorHAnsi"/>
          <w:b/>
        </w:rPr>
        <w:t>.</w:t>
      </w:r>
      <w:r w:rsidR="00DB3627" w:rsidRPr="00956B62">
        <w:rPr>
          <w:rFonts w:cstheme="minorHAnsi"/>
          <w:b/>
        </w:rPr>
        <w:t xml:space="preserve">4. </w:t>
      </w:r>
      <w:r w:rsidR="00021170" w:rsidRPr="00956B62">
        <w:rPr>
          <w:rFonts w:cstheme="minorHAnsi"/>
          <w:b/>
        </w:rPr>
        <w:t>What level</w:t>
      </w:r>
      <w:r w:rsidR="006327D8" w:rsidRPr="00956B62">
        <w:rPr>
          <w:rFonts w:cstheme="minorHAnsi"/>
          <w:b/>
        </w:rPr>
        <w:t>s</w:t>
      </w:r>
      <w:r w:rsidR="00021170" w:rsidRPr="00956B62">
        <w:rPr>
          <w:rFonts w:cstheme="minorHAnsi"/>
          <w:b/>
        </w:rPr>
        <w:t xml:space="preserve"> of analysis w</w:t>
      </w:r>
      <w:r w:rsidR="006327D8" w:rsidRPr="00956B62">
        <w:rPr>
          <w:rFonts w:cstheme="minorHAnsi"/>
          <w:b/>
        </w:rPr>
        <w:t>ere</w:t>
      </w:r>
      <w:r w:rsidR="00021170" w:rsidRPr="00956B62">
        <w:rPr>
          <w:rFonts w:cstheme="minorHAnsi"/>
          <w:b/>
        </w:rPr>
        <w:t xml:space="preserve"> </w:t>
      </w:r>
      <w:r w:rsidR="006327D8" w:rsidRPr="00956B62">
        <w:rPr>
          <w:rFonts w:cstheme="minorHAnsi"/>
          <w:b/>
        </w:rPr>
        <w:t>tested</w:t>
      </w:r>
      <w:r w:rsidR="00021170" w:rsidRPr="00956B62">
        <w:rPr>
          <w:rFonts w:cstheme="minorHAnsi"/>
          <w:b/>
        </w:rPr>
        <w:t>?</w:t>
      </w:r>
      <w:r w:rsidR="00021170" w:rsidRPr="00956B62">
        <w:rPr>
          <w:rFonts w:cstheme="minorHAnsi"/>
          <w:i/>
        </w:rPr>
        <w:t xml:space="preserve"> (</w:t>
      </w:r>
      <w:proofErr w:type="gramStart"/>
      <w:r w:rsidR="00F435AA" w:rsidRPr="00956B62">
        <w:rPr>
          <w:rFonts w:cstheme="minorHAnsi"/>
          <w:i/>
        </w:rPr>
        <w:t>testing</w:t>
      </w:r>
      <w:proofErr w:type="gramEnd"/>
      <w:r w:rsidR="00F435AA" w:rsidRPr="00956B62">
        <w:rPr>
          <w:rFonts w:cstheme="minorHAnsi"/>
          <w:i/>
        </w:rPr>
        <w:t xml:space="preserve"> </w:t>
      </w:r>
      <w:r w:rsidR="009A25B1" w:rsidRPr="00956B62">
        <w:rPr>
          <w:rFonts w:cstheme="minorHAnsi"/>
          <w:i/>
        </w:rPr>
        <w:t>must be provided for</w:t>
      </w:r>
      <w:r w:rsidR="00021170" w:rsidRPr="00956B62">
        <w:rPr>
          <w:rFonts w:cstheme="minorHAnsi"/>
          <w:i/>
        </w:rPr>
        <w:t xml:space="preserve"> all the levels specified and intended for </w:t>
      </w:r>
      <w:r w:rsidR="005A7634" w:rsidRPr="00956B62">
        <w:rPr>
          <w:rFonts w:cstheme="minorHAnsi"/>
          <w:i/>
        </w:rPr>
        <w:t xml:space="preserve">measure </w:t>
      </w:r>
      <w:r w:rsidR="00021170" w:rsidRPr="00956B62">
        <w:rPr>
          <w:rFonts w:cstheme="minorHAnsi"/>
          <w:i/>
        </w:rPr>
        <w:t>implementation</w:t>
      </w:r>
      <w:r w:rsidR="00DB3627" w:rsidRPr="00956B62">
        <w:rPr>
          <w:rFonts w:cstheme="minorHAnsi"/>
          <w:i/>
        </w:rPr>
        <w:t>, e.g., individual clinician, hospital, health plan</w:t>
      </w:r>
      <w:r w:rsidR="0079538B" w:rsidRPr="00956B62">
        <w:rPr>
          <w:rFonts w:cstheme="minorHAnsi"/>
          <w:i/>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AD0FAB" w:rsidP="001E1B8C">
            <w:pPr>
              <w:autoSpaceDE w:val="0"/>
              <w:autoSpaceDN w:val="0"/>
              <w:adjustRightInd w:val="0"/>
              <w:rPr>
                <w:rFonts w:cstheme="minorHAnsi"/>
                <w:bCs/>
              </w:rPr>
            </w:pPr>
            <w:sdt>
              <w:sdtPr>
                <w:rPr>
                  <w:rFonts w:cstheme="minorHAnsi"/>
                  <w:bCs/>
                  <w:color w:val="0000FF"/>
                </w:rPr>
                <w:id w:val="-1855098074"/>
              </w:sdtPr>
              <w:sdtContent>
                <w:sdt>
                  <w:sdtPr>
                    <w:rPr>
                      <w:rFonts w:cstheme="minorHAnsi"/>
                      <w:bCs/>
                      <w:color w:val="0000FF"/>
                    </w:rPr>
                    <w:id w:val="296056299"/>
                  </w:sdtPr>
                  <w:sdtContent>
                    <w:r w:rsidR="00E41C6E">
                      <w:rPr>
                        <w:rFonts w:cstheme="minorHAnsi"/>
                        <w:bCs/>
                        <w:color w:val="0000FF"/>
                      </w:rPr>
                      <w:t>X</w:t>
                    </w:r>
                  </w:sdtContent>
                </w:sdt>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AD0FAB" w:rsidP="001E1B8C">
            <w:pPr>
              <w:autoSpaceDE w:val="0"/>
              <w:autoSpaceDN w:val="0"/>
              <w:adjustRightInd w:val="0"/>
              <w:rPr>
                <w:rFonts w:cstheme="minorHAnsi"/>
                <w:bCs/>
              </w:rPr>
            </w:pPr>
            <w:sdt>
              <w:sdtPr>
                <w:rPr>
                  <w:rFonts w:cstheme="minorHAnsi"/>
                  <w:bCs/>
                  <w:color w:val="0000FF"/>
                </w:rPr>
                <w:id w:val="1857455968"/>
              </w:sdtPr>
              <w:sdtContent>
                <w:sdt>
                  <w:sdtPr>
                    <w:rPr>
                      <w:rFonts w:cstheme="minorHAnsi"/>
                      <w:bCs/>
                      <w:color w:val="0000FF"/>
                    </w:rPr>
                    <w:id w:val="296056300"/>
                  </w:sdtPr>
                  <w:sdtContent>
                    <w:r w:rsidR="00040B82" w:rsidRPr="006574D2">
                      <w:rPr>
                        <w:rFonts w:ascii="MS Gothic" w:eastAsia="MS Gothic" w:cstheme="minorHAnsi" w:hint="eastAsia"/>
                        <w:bCs/>
                        <w:color w:val="0000FF"/>
                      </w:rPr>
                      <w:t>☐</w:t>
                    </w:r>
                  </w:sdtContent>
                </w:sdt>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AD0FAB"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1E1B8C" w:rsidRPr="00956B62" w:rsidRDefault="002B5016" w:rsidP="00C3761D">
      <w:pPr>
        <w:pStyle w:val="BodyText3"/>
        <w:rPr>
          <w:b/>
          <w:bCs w:val="0"/>
          <w:i w:val="0"/>
        </w:rPr>
      </w:pPr>
      <w:r w:rsidRPr="00C3761D">
        <w:rPr>
          <w:b/>
          <w:i w:val="0"/>
        </w:rPr>
        <w:t>1.</w:t>
      </w:r>
      <w:r w:rsidR="00E310B9" w:rsidRPr="00C3761D">
        <w:rPr>
          <w:b/>
          <w:i w:val="0"/>
        </w:rPr>
        <w:t xml:space="preserve">5. </w:t>
      </w:r>
      <w:r w:rsidR="004348CC" w:rsidRPr="00C3761D">
        <w:rPr>
          <w:b/>
          <w:i w:val="0"/>
        </w:rPr>
        <w:t xml:space="preserve">How many and which </w:t>
      </w:r>
      <w:r w:rsidR="004348CC" w:rsidRPr="00C3761D">
        <w:rPr>
          <w:b/>
          <w:i w:val="0"/>
          <w:u w:val="single"/>
        </w:rPr>
        <w:t>measured entities</w:t>
      </w:r>
      <w:r w:rsidR="004348CC" w:rsidRPr="00C3761D">
        <w:rPr>
          <w:b/>
          <w:i w:val="0"/>
        </w:rPr>
        <w:t xml:space="preserve"> were included in the testing</w:t>
      </w:r>
      <w:r w:rsidR="004B6CEE" w:rsidRPr="00C3761D">
        <w:rPr>
          <w:b/>
          <w:i w:val="0"/>
        </w:rPr>
        <w:t xml:space="preserve"> and analysis</w:t>
      </w:r>
      <w:r w:rsidR="00AA65A6" w:rsidRPr="00C3761D">
        <w:rPr>
          <w:b/>
          <w:i w:val="0"/>
        </w:rPr>
        <w:t xml:space="preserve"> </w:t>
      </w:r>
      <w:r w:rsidR="00616EB5" w:rsidRPr="00C3761D">
        <w:rPr>
          <w:b/>
          <w:i w:val="0"/>
        </w:rPr>
        <w:t>(</w:t>
      </w:r>
      <w:r w:rsidR="00AA65A6" w:rsidRPr="00C3761D">
        <w:rPr>
          <w:b/>
          <w:i w:val="0"/>
        </w:rPr>
        <w:t xml:space="preserve">by level of </w:t>
      </w:r>
      <w:r w:rsidR="00AA65A6" w:rsidRPr="00956B62">
        <w:rPr>
          <w:b/>
          <w:bCs w:val="0"/>
          <w:i w:val="0"/>
        </w:rPr>
        <w:t>analysis and data source</w:t>
      </w:r>
      <w:r w:rsidR="00616EB5" w:rsidRPr="00956B62">
        <w:rPr>
          <w:b/>
          <w:bCs w:val="0"/>
          <w:i w:val="0"/>
        </w:rPr>
        <w:t>)</w:t>
      </w:r>
      <w:r w:rsidR="004348CC" w:rsidRPr="00956B62">
        <w:rPr>
          <w:b/>
          <w:bCs w:val="0"/>
          <w:i w:val="0"/>
        </w:rPr>
        <w:t>?</w:t>
      </w:r>
      <w:r w:rsidR="004348CC" w:rsidRPr="00956B62">
        <w:rPr>
          <w:bCs w:val="0"/>
        </w:rPr>
        <w:t xml:space="preserve"> (</w:t>
      </w:r>
      <w:proofErr w:type="gramStart"/>
      <w:r w:rsidR="004348CC" w:rsidRPr="00956B62">
        <w:rPr>
          <w:bCs w:val="0"/>
        </w:rPr>
        <w:t>identify</w:t>
      </w:r>
      <w:proofErr w:type="gramEnd"/>
      <w:r w:rsidR="004348CC" w:rsidRPr="00956B62">
        <w:rPr>
          <w:bCs w:val="0"/>
        </w:rPr>
        <w:t xml:space="preserve"> </w:t>
      </w:r>
      <w:r w:rsidR="00F435AA" w:rsidRPr="00956B62">
        <w:rPr>
          <w:bCs w:val="0"/>
        </w:rPr>
        <w:t>the number</w:t>
      </w:r>
      <w:r w:rsidR="004348CC" w:rsidRPr="00956B62">
        <w:rPr>
          <w:bCs w:val="0"/>
        </w:rPr>
        <w:t xml:space="preserve"> </w:t>
      </w:r>
      <w:r w:rsidR="005A7634" w:rsidRPr="00956B62">
        <w:rPr>
          <w:bCs w:val="0"/>
        </w:rPr>
        <w:t>and descriptive</w:t>
      </w:r>
      <w:r w:rsidR="004348CC" w:rsidRPr="00956B62">
        <w:rPr>
          <w:bCs w:val="0"/>
        </w:rPr>
        <w:t xml:space="preserve"> characteristics</w:t>
      </w:r>
      <w:r w:rsidR="00DA7277" w:rsidRPr="00956B62">
        <w:rPr>
          <w:bCs w:val="0"/>
        </w:rPr>
        <w:t xml:space="preserve"> </w:t>
      </w:r>
      <w:r w:rsidR="004348CC" w:rsidRPr="00956B62">
        <w:rPr>
          <w:bCs w:val="0"/>
        </w:rPr>
        <w:t>of measured entities included in the analysis</w:t>
      </w:r>
      <w:r w:rsidR="00DA7277" w:rsidRPr="00956B62">
        <w:rPr>
          <w:bCs w:val="0"/>
        </w:rPr>
        <w:t xml:space="preserve"> (e.g., size, location, type)</w:t>
      </w:r>
      <w:r w:rsidR="004348CC" w:rsidRPr="00956B62">
        <w:rPr>
          <w:bCs w:val="0"/>
        </w:rPr>
        <w:t xml:space="preserve">; if </w:t>
      </w:r>
      <w:r w:rsidR="000968F8" w:rsidRPr="00956B62">
        <w:rPr>
          <w:bCs w:val="0"/>
        </w:rPr>
        <w:t xml:space="preserve">a </w:t>
      </w:r>
      <w:r w:rsidR="004348CC" w:rsidRPr="00956B62">
        <w:rPr>
          <w:bCs w:val="0"/>
        </w:rPr>
        <w:t>sample</w:t>
      </w:r>
      <w:r w:rsidR="00E310B9" w:rsidRPr="00956B62">
        <w:rPr>
          <w:bCs w:val="0"/>
        </w:rPr>
        <w:t xml:space="preserve"> was used</w:t>
      </w:r>
      <w:r w:rsidR="004348CC" w:rsidRPr="00956B62">
        <w:rPr>
          <w:bCs w:val="0"/>
        </w:rPr>
        <w:t xml:space="preserve">, </w:t>
      </w:r>
      <w:r w:rsidR="000968F8" w:rsidRPr="00956B62">
        <w:rPr>
          <w:bCs w:val="0"/>
        </w:rPr>
        <w:t xml:space="preserve">describe </w:t>
      </w:r>
      <w:r w:rsidR="004348CC" w:rsidRPr="00956B62">
        <w:rPr>
          <w:bCs w:val="0"/>
        </w:rPr>
        <w:t xml:space="preserve">how </w:t>
      </w:r>
      <w:r w:rsidR="005A7634" w:rsidRPr="00956B62">
        <w:rPr>
          <w:bCs w:val="0"/>
        </w:rPr>
        <w:t xml:space="preserve">entities were </w:t>
      </w:r>
      <w:r w:rsidR="000968F8" w:rsidRPr="00956B62">
        <w:rPr>
          <w:bCs w:val="0"/>
        </w:rPr>
        <w:t>selected</w:t>
      </w:r>
      <w:r w:rsidR="005A7634" w:rsidRPr="00956B62">
        <w:rPr>
          <w:bCs w:val="0"/>
        </w:rPr>
        <w:t xml:space="preserve"> for inclusion in the sample</w:t>
      </w:r>
      <w:r w:rsidR="001E1B8C" w:rsidRPr="00956B62">
        <w:rPr>
          <w:bCs w:val="0"/>
        </w:rPr>
        <w:t xml:space="preserve">) </w:t>
      </w:r>
    </w:p>
    <w:p w:rsidR="00CE6996" w:rsidRPr="00A52C3B" w:rsidRDefault="00CE6996" w:rsidP="00C3761D">
      <w:pPr>
        <w:pStyle w:val="BodyText"/>
      </w:pPr>
      <w:r w:rsidRPr="00A52C3B">
        <w:t>There were multiple studies involved in testing and analysis (described in greater detail below):</w:t>
      </w:r>
    </w:p>
    <w:p w:rsidR="0076717F" w:rsidRPr="00A52C3B" w:rsidRDefault="00CE6996" w:rsidP="00C3761D">
      <w:pPr>
        <w:pStyle w:val="ListNumber2"/>
      </w:pPr>
      <w:r w:rsidRPr="00A52C3B">
        <w:t xml:space="preserve">University of Colorado analysis: 10% random sample of all Medicare certified nursing facilities (n = </w:t>
      </w:r>
      <w:r w:rsidR="00B537C1" w:rsidRPr="00A52C3B">
        <w:t>1,603)</w:t>
      </w:r>
    </w:p>
    <w:p w:rsidR="0076717F" w:rsidRPr="00A52C3B" w:rsidRDefault="00CE6996" w:rsidP="00C3761D">
      <w:pPr>
        <w:pStyle w:val="ListNumber2"/>
      </w:pPr>
      <w:r w:rsidRPr="00A52C3B">
        <w:lastRenderedPageBreak/>
        <w:t xml:space="preserve">RAD comparison of MDS 2.0 and MDS 3.0: 71 community nursing homes in 8 states, 19 VA nursing homes </w:t>
      </w:r>
    </w:p>
    <w:p w:rsidR="0076717F" w:rsidRPr="00A52C3B" w:rsidRDefault="00CE6996" w:rsidP="00892D0E">
      <w:pPr>
        <w:pStyle w:val="ListNumber2"/>
      </w:pPr>
      <w:r w:rsidRPr="00A52C3B">
        <w:t xml:space="preserve">RTI Analysis: </w:t>
      </w:r>
      <w:r w:rsidR="00892D0E" w:rsidRPr="00892D0E">
        <w:t xml:space="preserve">The measure is not an estimate based on samples; rather it includes all nursing home residents nationwide who meet the inclusion criteria.  </w:t>
      </w:r>
      <w:r w:rsidR="000A2B6D" w:rsidRPr="00A52C3B">
        <w:t>All nursing facilities that had sufficient sample size (n ≥ 30) to report on this measure (N = 13,</w:t>
      </w:r>
      <w:r w:rsidR="00892D0E">
        <w:t>640</w:t>
      </w:r>
      <w:r w:rsidR="000A2B6D" w:rsidRPr="00A52C3B">
        <w:t xml:space="preserve"> in Q</w:t>
      </w:r>
      <w:r w:rsidR="00892D0E">
        <w:t>2</w:t>
      </w:r>
      <w:r w:rsidR="000A2B6D" w:rsidRPr="00A52C3B">
        <w:t xml:space="preserve"> 201</w:t>
      </w:r>
      <w:r w:rsidR="00892D0E">
        <w:t>3</w:t>
      </w:r>
      <w:r w:rsidR="000A2B6D" w:rsidRPr="00A52C3B">
        <w:t>)</w:t>
      </w:r>
    </w:p>
    <w:p w:rsidR="005C71A2" w:rsidRPr="00956B62" w:rsidRDefault="002B5016" w:rsidP="00DB3627">
      <w:pPr>
        <w:autoSpaceDE w:val="0"/>
        <w:autoSpaceDN w:val="0"/>
        <w:adjustRightInd w:val="0"/>
        <w:spacing w:after="0" w:line="240" w:lineRule="auto"/>
        <w:rPr>
          <w:rFonts w:cstheme="minorHAnsi"/>
          <w:b/>
        </w:rPr>
      </w:pPr>
      <w:r w:rsidRPr="00956B62">
        <w:rPr>
          <w:rFonts w:cstheme="minorHAnsi"/>
          <w:b/>
        </w:rPr>
        <w:t>1.</w:t>
      </w:r>
      <w:r w:rsidR="00E310B9" w:rsidRPr="00956B62">
        <w:rPr>
          <w:rFonts w:cstheme="minorHAnsi"/>
          <w:b/>
        </w:rPr>
        <w:t xml:space="preserve">6. </w:t>
      </w:r>
      <w:r w:rsidR="007422FD" w:rsidRPr="00956B62">
        <w:rPr>
          <w:rFonts w:cstheme="minorHAnsi"/>
          <w:b/>
        </w:rPr>
        <w:t>How many and which patients were included in the testing and analysis</w:t>
      </w:r>
      <w:r w:rsidR="00AA65A6" w:rsidRPr="00956B62">
        <w:rPr>
          <w:rFonts w:cstheme="minorHAnsi"/>
          <w:b/>
        </w:rPr>
        <w:t xml:space="preserve"> </w:t>
      </w:r>
      <w:r w:rsidR="00616EB5" w:rsidRPr="00956B62">
        <w:rPr>
          <w:rFonts w:cstheme="minorHAnsi"/>
          <w:b/>
        </w:rPr>
        <w:t>(</w:t>
      </w:r>
      <w:r w:rsidR="00AA65A6" w:rsidRPr="00956B62">
        <w:rPr>
          <w:rFonts w:cstheme="minorHAnsi"/>
          <w:b/>
        </w:rPr>
        <w:t>by level of analysis and data source</w:t>
      </w:r>
      <w:r w:rsidR="00616EB5" w:rsidRPr="00956B62">
        <w:rPr>
          <w:rFonts w:cstheme="minorHAnsi"/>
          <w:b/>
        </w:rPr>
        <w:t>)</w:t>
      </w:r>
      <w:r w:rsidR="007422FD" w:rsidRPr="00956B62">
        <w:rPr>
          <w:rFonts w:cstheme="minorHAnsi"/>
          <w:b/>
        </w:rPr>
        <w:t>?</w:t>
      </w:r>
      <w:r w:rsidR="007422FD" w:rsidRPr="00956B62">
        <w:rPr>
          <w:rFonts w:cstheme="minorHAnsi"/>
          <w:i/>
        </w:rPr>
        <w:t xml:space="preserve"> (</w:t>
      </w:r>
      <w:proofErr w:type="gramStart"/>
      <w:r w:rsidR="007422FD" w:rsidRPr="00956B62">
        <w:rPr>
          <w:rFonts w:cstheme="minorHAnsi"/>
          <w:i/>
        </w:rPr>
        <w:t>identify</w:t>
      </w:r>
      <w:proofErr w:type="gramEnd"/>
      <w:r w:rsidR="007422FD" w:rsidRPr="00956B62">
        <w:rPr>
          <w:rFonts w:cstheme="minorHAnsi"/>
          <w:i/>
        </w:rPr>
        <w:t xml:space="preserve"> </w:t>
      </w:r>
      <w:r w:rsidR="00F435AA" w:rsidRPr="00956B62">
        <w:rPr>
          <w:rFonts w:cstheme="minorHAnsi"/>
          <w:i/>
        </w:rPr>
        <w:t>the number</w:t>
      </w:r>
      <w:r w:rsidR="007422FD" w:rsidRPr="00956B62">
        <w:rPr>
          <w:rFonts w:cstheme="minorHAnsi"/>
          <w:i/>
        </w:rPr>
        <w:t xml:space="preserve"> and </w:t>
      </w:r>
      <w:r w:rsidR="005A7634" w:rsidRPr="00956B62">
        <w:rPr>
          <w:rFonts w:cstheme="minorHAnsi"/>
          <w:i/>
        </w:rPr>
        <w:t xml:space="preserve">descriptive </w:t>
      </w:r>
      <w:r w:rsidR="007422FD" w:rsidRPr="00956B62">
        <w:rPr>
          <w:rFonts w:cstheme="minorHAnsi"/>
          <w:i/>
        </w:rPr>
        <w:t>characteristics of patients</w:t>
      </w:r>
      <w:r w:rsidR="00DA7277" w:rsidRPr="00956B62">
        <w:rPr>
          <w:rFonts w:cstheme="minorHAnsi"/>
          <w:i/>
        </w:rPr>
        <w:t xml:space="preserve"> </w:t>
      </w:r>
      <w:r w:rsidR="007422FD" w:rsidRPr="00956B62">
        <w:rPr>
          <w:rFonts w:cstheme="minorHAnsi"/>
          <w:i/>
        </w:rPr>
        <w:t>included in the analysis</w:t>
      </w:r>
      <w:r w:rsidR="00DA7277" w:rsidRPr="00956B62">
        <w:rPr>
          <w:rFonts w:cstheme="minorHAnsi"/>
          <w:i/>
        </w:rPr>
        <w:t xml:space="preserve"> (e.g., age, sex, race, diagnosis)</w:t>
      </w:r>
      <w:r w:rsidR="007422FD" w:rsidRPr="00956B62">
        <w:rPr>
          <w:rFonts w:cstheme="minorHAnsi"/>
          <w:i/>
        </w:rPr>
        <w:t>; if a sample</w:t>
      </w:r>
      <w:r w:rsidR="00E310B9" w:rsidRPr="00956B62">
        <w:rPr>
          <w:rFonts w:cstheme="minorHAnsi"/>
          <w:i/>
        </w:rPr>
        <w:t xml:space="preserve"> was used</w:t>
      </w:r>
      <w:r w:rsidR="007422FD" w:rsidRPr="00956B62">
        <w:rPr>
          <w:rFonts w:cstheme="minorHAnsi"/>
          <w:i/>
        </w:rPr>
        <w:t xml:space="preserve">, describe how </w:t>
      </w:r>
      <w:r w:rsidR="005A7634" w:rsidRPr="00956B62">
        <w:rPr>
          <w:rFonts w:cstheme="minorHAnsi"/>
          <w:i/>
        </w:rPr>
        <w:t xml:space="preserve">patients were </w:t>
      </w:r>
      <w:r w:rsidR="007422FD" w:rsidRPr="00956B62">
        <w:rPr>
          <w:rFonts w:cstheme="minorHAnsi"/>
          <w:i/>
        </w:rPr>
        <w:t>selected</w:t>
      </w:r>
      <w:r w:rsidR="005A7634" w:rsidRPr="00956B62">
        <w:rPr>
          <w:rFonts w:cstheme="minorHAnsi"/>
          <w:i/>
        </w:rPr>
        <w:t xml:space="preserve"> for inclusion in the sample</w:t>
      </w:r>
      <w:r w:rsidR="007422FD" w:rsidRPr="00956B62">
        <w:rPr>
          <w:rFonts w:cstheme="minorHAnsi"/>
          <w:i/>
        </w:rPr>
        <w:t>)</w:t>
      </w:r>
      <w:r w:rsidR="007422FD" w:rsidRPr="00956B62">
        <w:rPr>
          <w:rFonts w:cstheme="minorHAnsi"/>
          <w:b/>
        </w:rPr>
        <w:t xml:space="preserve"> </w:t>
      </w:r>
    </w:p>
    <w:p w:rsidR="0076717F" w:rsidRPr="00A52C3B" w:rsidRDefault="00CE6996" w:rsidP="00C3761D">
      <w:pPr>
        <w:pStyle w:val="ListNumber2"/>
        <w:numPr>
          <w:ilvl w:val="0"/>
          <w:numId w:val="31"/>
        </w:numPr>
      </w:pPr>
      <w:r w:rsidRPr="00A52C3B">
        <w:t>U</w:t>
      </w:r>
      <w:r w:rsidR="00B537C1" w:rsidRPr="00A52C3B">
        <w:t>niversity of Colorado analysis: n not reported for reliability analysis</w:t>
      </w:r>
    </w:p>
    <w:p w:rsidR="0076717F" w:rsidRPr="00A52C3B" w:rsidRDefault="00CE6996" w:rsidP="00C3761D">
      <w:pPr>
        <w:pStyle w:val="ListNumber2"/>
      </w:pPr>
      <w:r w:rsidRPr="00A52C3B">
        <w:t xml:space="preserve">RAND comparison of MDS 2.0 and MDS 3.0: 1,402 nursing home residents </w:t>
      </w:r>
    </w:p>
    <w:p w:rsidR="0076717F" w:rsidRPr="00A52C3B" w:rsidRDefault="00CE6996" w:rsidP="00892D0E">
      <w:pPr>
        <w:pStyle w:val="ListNumber2"/>
      </w:pPr>
      <w:r w:rsidRPr="00A52C3B">
        <w:t xml:space="preserve">RTI Analysis: </w:t>
      </w:r>
      <w:r w:rsidR="000A2B6D" w:rsidRPr="00A52C3B">
        <w:t>All residents that meet denominator inclusion criteria (</w:t>
      </w:r>
      <w:r w:rsidR="00892D0E" w:rsidRPr="00892D0E">
        <w:t>1,108,999</w:t>
      </w:r>
      <w:r w:rsidR="00892D0E">
        <w:t xml:space="preserve"> in Q2</w:t>
      </w:r>
      <w:r w:rsidR="000A2B6D" w:rsidRPr="00A52C3B">
        <w:t xml:space="preserve"> 201</w:t>
      </w:r>
      <w:r w:rsidR="00892D0E">
        <w:t>3</w:t>
      </w:r>
      <w:r w:rsidR="005C71A2" w:rsidRPr="00A52C3B">
        <w:t xml:space="preserve">) </w:t>
      </w:r>
    </w:p>
    <w:p w:rsidR="00E37E1B" w:rsidRPr="00956B62" w:rsidRDefault="002B5016" w:rsidP="00E37E1B">
      <w:pPr>
        <w:autoSpaceDE w:val="0"/>
        <w:autoSpaceDN w:val="0"/>
        <w:adjustRightInd w:val="0"/>
        <w:spacing w:after="0" w:line="240" w:lineRule="auto"/>
        <w:rPr>
          <w:rFonts w:cstheme="minorHAnsi"/>
          <w:b/>
        </w:rPr>
      </w:pPr>
      <w:r w:rsidRPr="00956B62">
        <w:rPr>
          <w:rFonts w:cstheme="minorHAnsi"/>
          <w:b/>
        </w:rPr>
        <w:t>1.</w:t>
      </w:r>
      <w:r w:rsidR="00E310B9" w:rsidRPr="00956B62">
        <w:rPr>
          <w:rFonts w:cstheme="minorHAnsi"/>
          <w:b/>
        </w:rPr>
        <w:t xml:space="preserve">7. </w:t>
      </w:r>
      <w:r w:rsidR="000574AB" w:rsidRPr="00956B62">
        <w:rPr>
          <w:rFonts w:cstheme="minorHAnsi"/>
          <w:b/>
        </w:rPr>
        <w:t>If there are differences in the data</w:t>
      </w:r>
      <w:r w:rsidR="009726E1" w:rsidRPr="00956B62">
        <w:rPr>
          <w:rFonts w:cstheme="minorHAnsi"/>
          <w:b/>
        </w:rPr>
        <w:t xml:space="preserve"> or sample</w:t>
      </w:r>
      <w:r w:rsidR="000574AB" w:rsidRPr="00956B62">
        <w:rPr>
          <w:rFonts w:cstheme="minorHAnsi"/>
          <w:b/>
        </w:rPr>
        <w:t xml:space="preserve"> used for different </w:t>
      </w:r>
      <w:r w:rsidR="000968F8" w:rsidRPr="00956B62">
        <w:rPr>
          <w:rFonts w:cstheme="minorHAnsi"/>
          <w:b/>
        </w:rPr>
        <w:t>aspects</w:t>
      </w:r>
      <w:r w:rsidR="000574AB" w:rsidRPr="00956B62">
        <w:rPr>
          <w:rFonts w:cstheme="minorHAnsi"/>
          <w:b/>
        </w:rPr>
        <w:t xml:space="preserve"> of testing (e.g., reliability, validi</w:t>
      </w:r>
      <w:r w:rsidR="007422FD" w:rsidRPr="00956B62">
        <w:rPr>
          <w:rFonts w:cstheme="minorHAnsi"/>
          <w:b/>
        </w:rPr>
        <w:t>ty, exclusions, risk adjustment</w:t>
      </w:r>
      <w:r w:rsidR="000574AB" w:rsidRPr="00956B62">
        <w:rPr>
          <w:rFonts w:cstheme="minorHAnsi"/>
          <w:b/>
        </w:rPr>
        <w:t xml:space="preserve">), identify </w:t>
      </w:r>
      <w:r w:rsidR="005A7634" w:rsidRPr="00956B62">
        <w:rPr>
          <w:rFonts w:cstheme="minorHAnsi"/>
          <w:b/>
        </w:rPr>
        <w:t xml:space="preserve">how the data or sample are different for </w:t>
      </w:r>
      <w:r w:rsidR="000574AB" w:rsidRPr="00956B62">
        <w:rPr>
          <w:rFonts w:cstheme="minorHAnsi"/>
          <w:b/>
        </w:rPr>
        <w:t xml:space="preserve">each </w:t>
      </w:r>
      <w:r w:rsidR="000968F8" w:rsidRPr="00956B62">
        <w:rPr>
          <w:rFonts w:cstheme="minorHAnsi"/>
          <w:b/>
        </w:rPr>
        <w:t>aspect</w:t>
      </w:r>
      <w:r w:rsidR="000574AB" w:rsidRPr="00956B62">
        <w:rPr>
          <w:rFonts w:cstheme="minorHAnsi"/>
          <w:b/>
        </w:rPr>
        <w:t xml:space="preserve"> of testing reported </w:t>
      </w:r>
      <w:r w:rsidR="00857EE8" w:rsidRPr="00956B62">
        <w:rPr>
          <w:rFonts w:cstheme="minorHAnsi"/>
          <w:b/>
        </w:rPr>
        <w:t>below</w:t>
      </w:r>
      <w:r w:rsidR="00E37E1B" w:rsidRPr="00956B62">
        <w:rPr>
          <w:rFonts w:cstheme="minorHAnsi"/>
          <w:b/>
        </w:rPr>
        <w:t>.</w:t>
      </w:r>
    </w:p>
    <w:p w:rsidR="002457C0" w:rsidRPr="00956B62" w:rsidRDefault="002457C0" w:rsidP="00C3761D">
      <w:pPr>
        <w:pStyle w:val="Heading2"/>
        <w:rPr>
          <w:rFonts w:cstheme="minorHAnsi"/>
          <w:b/>
          <w:bCs/>
          <w:i w:val="0"/>
        </w:rPr>
      </w:pPr>
      <w:r w:rsidRPr="00956B62">
        <w:rPr>
          <w:b/>
          <w:i w:val="0"/>
        </w:rPr>
        <w:t>Data Sample for Reliability Testing</w:t>
      </w:r>
      <w:r w:rsidRPr="00956B62">
        <w:rPr>
          <w:rFonts w:cstheme="minorHAnsi"/>
          <w:b/>
          <w:bCs/>
          <w:i w:val="0"/>
        </w:rPr>
        <w:t xml:space="preserve"> </w:t>
      </w:r>
    </w:p>
    <w:p w:rsidR="00CE6996" w:rsidRPr="00CE6996" w:rsidRDefault="00B537C1" w:rsidP="00CE6996">
      <w:pPr>
        <w:spacing w:after="0"/>
        <w:rPr>
          <w:color w:val="0000FF"/>
        </w:rPr>
      </w:pPr>
      <w:r>
        <w:rPr>
          <w:color w:val="0000FF"/>
        </w:rPr>
        <w:t>Three</w:t>
      </w:r>
      <w:r w:rsidR="000A2B6D" w:rsidRPr="000A2B6D">
        <w:rPr>
          <w:color w:val="0000FF"/>
        </w:rPr>
        <w:t xml:space="preserve"> sets of tests of the reliability of the urinary tract infection measure have been conducted. </w:t>
      </w:r>
    </w:p>
    <w:p w:rsidR="00D24FC9" w:rsidRPr="00CE6996" w:rsidRDefault="00B537C1" w:rsidP="00C3761D">
      <w:pPr>
        <w:pStyle w:val="BodyText"/>
      </w:pPr>
      <w:r>
        <w:t>First</w:t>
      </w:r>
      <w:r w:rsidR="000A2B6D" w:rsidRPr="000A2B6D">
        <w:t xml:space="preserve">, the University of Colorado used national facility-level quality measure data from </w:t>
      </w:r>
      <w:r w:rsidR="00FD01DE" w:rsidRPr="009F0DEF">
        <w:t xml:space="preserve">Quarter 3 (Q3) </w:t>
      </w:r>
      <w:r w:rsidR="000A2B6D" w:rsidRPr="000A2B6D">
        <w:t xml:space="preserve">2003 through </w:t>
      </w:r>
      <w:r w:rsidR="00FD01DE" w:rsidRPr="00B164DE">
        <w:t>Q3</w:t>
      </w:r>
      <w:r w:rsidR="00FD01DE">
        <w:t xml:space="preserve"> </w:t>
      </w:r>
      <w:r w:rsidR="000A2B6D" w:rsidRPr="000A2B6D">
        <w:t xml:space="preserve">2006 </w:t>
      </w:r>
      <w:r w:rsidR="00FD01DE">
        <w:t xml:space="preserve">that </w:t>
      </w:r>
      <w:r w:rsidR="000A2B6D" w:rsidRPr="000A2B6D">
        <w:t>came from the Quality Improvement and Evaluation System (QIES) MDS Express Reports on the CMS intranet; Online Survey, Certification, and Reporting (OSCAR) data related to facility characteristics (e.g., state, resident census, number of beds, staffing) and certification survey results from</w:t>
      </w:r>
      <w:r>
        <w:t xml:space="preserve"> QIES Workbench.(1</w:t>
      </w:r>
      <w:r w:rsidR="000A2B6D" w:rsidRPr="000A2B6D">
        <w:t>) A 10% random sample of all Medicare-certified nursing facilities was also downloaded from MDS assessment records. Analyses were based on complete MDS data from January 2005 through March 2006, as well as nearly complete data for April 2006 and partial data for May and June 2006.</w:t>
      </w:r>
    </w:p>
    <w:p w:rsidR="00D24FC9" w:rsidRPr="00CE6996" w:rsidRDefault="00B537C1" w:rsidP="00C3761D">
      <w:pPr>
        <w:pStyle w:val="BodyText"/>
      </w:pPr>
      <w:r>
        <w:t>Second</w:t>
      </w:r>
      <w:r w:rsidR="000A2B6D" w:rsidRPr="000A2B6D">
        <w:t>, testing of the reliability of MDS 3.0 data items underlying the urinary tract infection quality measure as well as a comparison with the MDS 2.0 quality measures w</w:t>
      </w:r>
      <w:r w:rsidR="00FD01DE">
        <w:t xml:space="preserve">ere </w:t>
      </w:r>
      <w:r w:rsidR="000A2B6D" w:rsidRPr="000A2B6D">
        <w:t>conducted by RAND as part of the MDS 3</w:t>
      </w:r>
      <w:r>
        <w:t>.0 development process.(2</w:t>
      </w:r>
      <w:r w:rsidR="000A2B6D" w:rsidRPr="000A2B6D">
        <w:t>) A representative sample of for-profit and not-for-profit facilities and hospital-based and free-standing facilities was recruited for the study, which included 71 community nursing homes in 8 states, 19 VA nursing homes, and 1,402 nursing home residents for the urinary tract infection quality measure.</w:t>
      </w:r>
    </w:p>
    <w:p w:rsidR="00CE6996" w:rsidRPr="00CE6996" w:rsidRDefault="00B537C1" w:rsidP="00C3761D">
      <w:pPr>
        <w:pStyle w:val="BodyText"/>
      </w:pPr>
      <w:r>
        <w:t>Third</w:t>
      </w:r>
      <w:r w:rsidR="000A2B6D" w:rsidRPr="000A2B6D">
        <w:t>, RTI has continued to analyze reliability and validity of the measures as part of ongoing maintenance. These analyses include all nursing home residents that are eligible for denominator inclusion for the measure in all facilities that have adequate sample size (at least 30 residents) to report.</w:t>
      </w:r>
    </w:p>
    <w:p w:rsidR="002457C0" w:rsidRPr="00956B62" w:rsidRDefault="002457C0" w:rsidP="00C3761D">
      <w:pPr>
        <w:pStyle w:val="Heading2"/>
        <w:rPr>
          <w:b/>
          <w:i w:val="0"/>
        </w:rPr>
      </w:pPr>
      <w:r w:rsidRPr="00956B62">
        <w:rPr>
          <w:b/>
          <w:i w:val="0"/>
        </w:rPr>
        <w:t xml:space="preserve">Data Sample for Validity Testing </w:t>
      </w:r>
    </w:p>
    <w:p w:rsidR="00A52C3B" w:rsidRDefault="00CE6996" w:rsidP="00C3761D">
      <w:pPr>
        <w:pStyle w:val="BodyText"/>
        <w:rPr>
          <w:rFonts w:cstheme="minorHAnsi"/>
          <w:bCs/>
        </w:rPr>
      </w:pPr>
      <w:r w:rsidRPr="00A52C3B">
        <w:t>Three studies have examined the validity of the urinary tract infection measure.</w:t>
      </w:r>
      <w:r w:rsidRPr="00CE6996">
        <w:rPr>
          <w:rFonts w:cstheme="minorHAnsi"/>
          <w:bCs/>
        </w:rPr>
        <w:t xml:space="preserve"> </w:t>
      </w:r>
    </w:p>
    <w:p w:rsidR="00FD01DE" w:rsidRPr="00A434EB" w:rsidRDefault="00FD01DE" w:rsidP="00C3761D">
      <w:pPr>
        <w:pStyle w:val="BodyText"/>
      </w:pPr>
      <w:r>
        <w:t>First</w:t>
      </w:r>
      <w:r w:rsidRPr="00A434EB">
        <w:t xml:space="preserve">, the University of Colorado used national facility-level quality measure data from </w:t>
      </w:r>
      <w:r w:rsidRPr="009F0DEF">
        <w:t xml:space="preserve">Quarter 3 (Q3) </w:t>
      </w:r>
      <w:r w:rsidRPr="00A434EB">
        <w:t xml:space="preserve">2003 through </w:t>
      </w:r>
      <w:r w:rsidRPr="00B164DE">
        <w:t>Q3</w:t>
      </w:r>
      <w:r>
        <w:t xml:space="preserve"> </w:t>
      </w:r>
      <w:r w:rsidRPr="00A434EB">
        <w:t xml:space="preserve">2006 </w:t>
      </w:r>
      <w:r>
        <w:t xml:space="preserve">that </w:t>
      </w:r>
      <w:r w:rsidRPr="00A434EB">
        <w:t xml:space="preserve">came from the Quality Improvement and Evaluation System (QIES) MDS </w:t>
      </w:r>
      <w:r w:rsidRPr="00A434EB">
        <w:lastRenderedPageBreak/>
        <w:t>Express Reports on the CMS intranet; Online Survey, Certification, and Reporting (OSCAR) data related to facility characteristics (e.g., state, resident census, number of beds, staffing) and certification survey results from</w:t>
      </w:r>
      <w:r>
        <w:t xml:space="preserve"> QIES Workbench.(1</w:t>
      </w:r>
      <w:r w:rsidRPr="00A434EB">
        <w:t>) A 10% random sample of all Medicare-certified nursing facilities was also downloaded from MDS assessment records. Analyses were based on complete MDS data from January 2005 through March 2006, as well as nearly complete data for April 2006 and partial data for May and June 2006.</w:t>
      </w:r>
    </w:p>
    <w:p w:rsidR="00FD01DE" w:rsidRPr="00A434EB" w:rsidRDefault="00FD01DE" w:rsidP="00C3761D">
      <w:pPr>
        <w:pStyle w:val="BodyText"/>
      </w:pPr>
      <w:r>
        <w:t>Second</w:t>
      </w:r>
      <w:r w:rsidRPr="00A434EB">
        <w:t>, testing of the reliability of MDS 3.0 data items underlying the urinary tract infection quality measure as well as a comparison with the MDS 2.0 quality measures w</w:t>
      </w:r>
      <w:r>
        <w:t xml:space="preserve">ere </w:t>
      </w:r>
      <w:r w:rsidRPr="00A434EB">
        <w:t>conducted by RAND as part of the MDS 3</w:t>
      </w:r>
      <w:r>
        <w:t>.0 development process.(</w:t>
      </w:r>
      <w:r w:rsidR="00BC2EA6">
        <w:t>3</w:t>
      </w:r>
      <w:r w:rsidRPr="00A434EB">
        <w:t>) A representative sample of for-profit and not-for-profit facilities and hospital-based and free-standing facilities was recruited for the study, which included 71 community nursing homes in 8 states, 19 VA nursing homes, and 1,402 nursing home residents for the urinary tract infection quality measure.</w:t>
      </w:r>
    </w:p>
    <w:p w:rsidR="00FD01DE" w:rsidRPr="00A434EB" w:rsidRDefault="00FD01DE" w:rsidP="00C3761D">
      <w:pPr>
        <w:pStyle w:val="BodyText"/>
      </w:pPr>
      <w:r>
        <w:t>Third</w:t>
      </w:r>
      <w:r w:rsidRPr="00A434EB">
        <w:t>, RTI has continued to analyze reliability and validity of the measures as part of ongoing maintenance. These analyses include all nursing home residents that are eligible for denominator inclusion for the measure in all facilities that have adequate sample size (at least 30 residents) to report.</w:t>
      </w:r>
    </w:p>
    <w:p w:rsidR="00BC2EA6" w:rsidRDefault="00BC2EA6" w:rsidP="00C3761D">
      <w:pPr>
        <w:pStyle w:val="ListNumber2"/>
        <w:numPr>
          <w:ilvl w:val="0"/>
          <w:numId w:val="33"/>
        </w:numPr>
      </w:pPr>
      <w:proofErr w:type="spellStart"/>
      <w:r w:rsidRPr="000A2B6D">
        <w:t>Brega</w:t>
      </w:r>
      <w:proofErr w:type="spellEnd"/>
      <w:r w:rsidRPr="000A2B6D">
        <w:t xml:space="preserve"> A, </w:t>
      </w:r>
      <w:proofErr w:type="spellStart"/>
      <w:r w:rsidRPr="000A2B6D">
        <w:t>Hittle</w:t>
      </w:r>
      <w:proofErr w:type="spellEnd"/>
      <w:r w:rsidRPr="000A2B6D">
        <w:t xml:space="preserve"> D, Goodrich G, Kramer A, Conway K, Levy C. Empirical review of publicly reported nursing home quality measures. Denver: Division of Health Care Policy and Research University of Colorado at Denver; </w:t>
      </w:r>
      <w:proofErr w:type="spellStart"/>
      <w:r w:rsidRPr="000A2B6D">
        <w:t>Abt</w:t>
      </w:r>
      <w:proofErr w:type="spellEnd"/>
      <w:r w:rsidRPr="000A2B6D">
        <w:t xml:space="preserve"> Associates, Inc, 2007.</w:t>
      </w:r>
    </w:p>
    <w:p w:rsidR="00BC2EA6" w:rsidRDefault="00BC2EA6" w:rsidP="00C3761D">
      <w:pPr>
        <w:pStyle w:val="ListNumber2"/>
      </w:pPr>
      <w:r w:rsidRPr="000A2B6D">
        <w:t>Saliba D, Buchanan J. Development and Validation of a Revised Nursing Home Assessment Tool: MDS 3.0. Contract No. 500-00-0027/Task Order #2. Santa Monica, CA: Rand Corporation, Apr 2008. Available from http://www.cms.hhs.gov/NursingHomeQualityInits/Downloads/MDS30FinalReport.pdf.</w:t>
      </w:r>
    </w:p>
    <w:p w:rsidR="0076717F" w:rsidRPr="00A52C3B" w:rsidRDefault="00CE6996" w:rsidP="00C3761D">
      <w:pPr>
        <w:pStyle w:val="ListNumber2"/>
      </w:pPr>
      <w:r w:rsidRPr="00A52C3B">
        <w:t xml:space="preserve">Stevenson KB, Moore JW, Sleeper B. Validity of the Minimum Data Set in identifying urinary tract infections in residents of long-term care facilities. J Am </w:t>
      </w:r>
      <w:proofErr w:type="spellStart"/>
      <w:r w:rsidRPr="00A52C3B">
        <w:t>Geriatr</w:t>
      </w:r>
      <w:proofErr w:type="spellEnd"/>
      <w:r w:rsidRPr="00A52C3B">
        <w:t xml:space="preserve"> Soc. 2007</w:t>
      </w:r>
      <w:proofErr w:type="gramStart"/>
      <w:r w:rsidRPr="00A52C3B">
        <w:t>;52</w:t>
      </w:r>
      <w:proofErr w:type="gramEnd"/>
      <w:r w:rsidRPr="00A52C3B">
        <w:t>: 707-711.</w:t>
      </w: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956B62">
      <w:pPr>
        <w:pStyle w:val="Heading1"/>
      </w:pPr>
      <w:r w:rsidRPr="00A25024">
        <w:t>2</w:t>
      </w:r>
      <w:r w:rsidR="00EA5F47" w:rsidRPr="00A25024">
        <w:t>a</w:t>
      </w:r>
      <w:r w:rsidRPr="00A25024">
        <w:t>2. RELIABILITY TESTING</w:t>
      </w:r>
      <w:r w:rsidR="008A403A" w:rsidRPr="00A25024">
        <w:t xml:space="preserve"> </w:t>
      </w:r>
    </w:p>
    <w:p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rsidR="008C54A9" w:rsidRPr="00A25024" w:rsidRDefault="008C54A9" w:rsidP="00DB3627">
      <w:pPr>
        <w:autoSpaceDE w:val="0"/>
        <w:autoSpaceDN w:val="0"/>
        <w:adjustRightInd w:val="0"/>
        <w:spacing w:after="0" w:line="240" w:lineRule="auto"/>
        <w:rPr>
          <w:rFonts w:cstheme="minorHAnsi"/>
          <w:b/>
          <w:bCs/>
        </w:rPr>
      </w:pPr>
    </w:p>
    <w:p w:rsidR="00956B62" w:rsidRDefault="00092566" w:rsidP="00D24FC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p>
    <w:p w:rsidR="00C3761D" w:rsidRDefault="00AD0FAB" w:rsidP="00D24FC9">
      <w:pPr>
        <w:autoSpaceDE w:val="0"/>
        <w:autoSpaceDN w:val="0"/>
        <w:adjustRightInd w:val="0"/>
        <w:spacing w:after="0" w:line="240" w:lineRule="auto"/>
        <w:rPr>
          <w:rFonts w:cstheme="minorHAnsi"/>
          <w:bCs/>
          <w:u w:val="single"/>
        </w:rPr>
      </w:pPr>
      <w:sdt>
        <w:sdtPr>
          <w:rPr>
            <w:rFonts w:cstheme="minorHAnsi"/>
            <w:bCs/>
            <w:color w:val="0000FF"/>
          </w:rPr>
          <w:id w:val="423926269"/>
        </w:sdt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D36489" w:rsidRPr="00A25024">
        <w:rPr>
          <w:rFonts w:cstheme="minorHAnsi"/>
          <w:b/>
          <w:bCs/>
        </w:rPr>
        <w:t>data</w:t>
      </w:r>
      <w:r w:rsidR="007422FD" w:rsidRPr="00A25024">
        <w:rPr>
          <w:rFonts w:cstheme="minorHAnsi"/>
          <w:b/>
          <w:bCs/>
        </w:rPr>
        <w:t xml:space="preserve"> elements</w:t>
      </w:r>
      <w:r w:rsidR="00E310B9" w:rsidRPr="00A25024">
        <w:rPr>
          <w:rFonts w:cstheme="minorHAnsi"/>
          <w:b/>
          <w:bCs/>
        </w:rPr>
        <w:t xml:space="preserve"> used in the measure</w:t>
      </w:r>
      <w:r w:rsidR="00E310B9" w:rsidRPr="00A25024">
        <w:rPr>
          <w:rFonts w:cstheme="minorHAnsi"/>
          <w:bCs/>
        </w:rPr>
        <w:t xml:space="preserve"> (</w:t>
      </w:r>
      <w:r w:rsidR="00E310B9" w:rsidRPr="00756FDB">
        <w:rPr>
          <w:rFonts w:cstheme="minorHAnsi"/>
          <w:bCs/>
          <w:i/>
        </w:rPr>
        <w:t>e.g., inter-abstractor reliability</w:t>
      </w:r>
      <w:r w:rsidR="000414E8">
        <w:rPr>
          <w:rFonts w:cstheme="minorHAnsi"/>
          <w:bCs/>
          <w:i/>
        </w:rPr>
        <w:t>; data element reliability</w:t>
      </w:r>
      <w:r w:rsidR="000414E8" w:rsidRPr="000414E8">
        <w:rPr>
          <w:rFonts w:cstheme="minorHAnsi"/>
          <w:bCs/>
          <w:i/>
        </w:rPr>
        <w:t xml:space="preserve"> must address ALL critical data elements</w:t>
      </w:r>
      <w:proofErr w:type="gramStart"/>
      <w:r w:rsidR="000414E8">
        <w:rPr>
          <w:rFonts w:cstheme="minorHAnsi"/>
          <w:bCs/>
        </w:rPr>
        <w:t>)</w:t>
      </w:r>
      <w:r w:rsidR="00CA06D8" w:rsidRPr="00A25024">
        <w:rPr>
          <w:rFonts w:cstheme="minorHAnsi"/>
          <w:bCs/>
        </w:rPr>
        <w:t xml:space="preserve">  </w:t>
      </w:r>
      <w:proofErr w:type="gramEnd"/>
      <w:r w:rsidR="00D1754D" w:rsidRPr="00A25024">
        <w:rPr>
          <w:rFonts w:cstheme="minorHAnsi"/>
          <w:bCs/>
        </w:rPr>
        <w:br/>
      </w:r>
      <w:sdt>
        <w:sdtPr>
          <w:rPr>
            <w:rFonts w:cstheme="minorHAnsi"/>
            <w:bCs/>
            <w:color w:val="0000FF"/>
          </w:rPr>
          <w:id w:val="1807820231"/>
        </w:sdtPr>
        <w:sdtContent>
          <w:r w:rsidR="00E41C6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P</w:t>
      </w:r>
      <w:r w:rsidR="00D1754D" w:rsidRPr="00A25024">
        <w:rPr>
          <w:rFonts w:cstheme="minorHAnsi"/>
          <w:b/>
          <w:bCs/>
        </w:rPr>
        <w:t xml:space="preserve">erformance </w:t>
      </w:r>
      <w:r w:rsidR="00CA06D8" w:rsidRPr="00A25024">
        <w:rPr>
          <w:rFonts w:cstheme="minorHAnsi"/>
          <w:b/>
          <w:bCs/>
        </w:rPr>
        <w:t>measure score</w:t>
      </w:r>
      <w:r w:rsidR="0011342F" w:rsidRPr="00A25024">
        <w:rPr>
          <w:rFonts w:cstheme="minorHAnsi"/>
          <w:bCs/>
        </w:rPr>
        <w:t xml:space="preserve"> (</w:t>
      </w:r>
      <w:r w:rsidR="00E310B9" w:rsidRPr="00A25024">
        <w:rPr>
          <w:rFonts w:cstheme="minorHAnsi"/>
          <w:bCs/>
        </w:rPr>
        <w:t xml:space="preserve">e.g., </w:t>
      </w:r>
      <w:r w:rsidR="0011342F" w:rsidRPr="00A25024">
        <w:rPr>
          <w:rFonts w:cstheme="minorHAnsi"/>
          <w:bCs/>
          <w:i/>
        </w:rPr>
        <w:t>signal-to-noise</w:t>
      </w:r>
      <w:r w:rsidR="000414E8">
        <w:rPr>
          <w:rFonts w:cstheme="minorHAnsi"/>
          <w:bCs/>
          <w:i/>
        </w:rPr>
        <w:t xml:space="preserve"> analysis</w:t>
      </w:r>
      <w:r w:rsidR="0011342F" w:rsidRPr="00A25024">
        <w:rPr>
          <w:rFonts w:cstheme="minorHAnsi"/>
          <w:bCs/>
        </w:rPr>
        <w:t>)</w:t>
      </w:r>
      <w:r w:rsidR="00DA7277" w:rsidRPr="00A25024">
        <w:rPr>
          <w:rFonts w:cstheme="minorHAnsi"/>
          <w:bCs/>
        </w:rPr>
        <w:br/>
      </w:r>
    </w:p>
    <w:p w:rsidR="001E1B8C" w:rsidRDefault="00092566" w:rsidP="00D24FC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2. 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E41C6E" w:rsidRPr="00956B62" w:rsidRDefault="00E41C6E" w:rsidP="00C3761D">
      <w:pPr>
        <w:pStyle w:val="BodyText"/>
        <w:rPr>
          <w:b/>
        </w:rPr>
      </w:pPr>
      <w:r w:rsidRPr="00956B62">
        <w:rPr>
          <w:b/>
        </w:rPr>
        <w:t>Data Element Reliability</w:t>
      </w:r>
    </w:p>
    <w:p w:rsidR="004E1F09" w:rsidRPr="00A52C3B" w:rsidRDefault="00B537C1" w:rsidP="00892D0E">
      <w:pPr>
        <w:pStyle w:val="BodyText"/>
      </w:pPr>
      <w:r w:rsidRPr="00A52C3B">
        <w:t>T</w:t>
      </w:r>
      <w:r w:rsidR="004E1F09" w:rsidRPr="00A52C3B">
        <w:t>he national test of MDS 3.0 items examined agreement between assessors (reliability)</w:t>
      </w:r>
      <w:proofErr w:type="gramStart"/>
      <w:r w:rsidR="004E1F09" w:rsidRPr="00A52C3B">
        <w:t>.(</w:t>
      </w:r>
      <w:proofErr w:type="gramEnd"/>
      <w:r w:rsidR="00A52C3B">
        <w:t>1</w:t>
      </w:r>
      <w:r w:rsidR="004E1F09" w:rsidRPr="00A52C3B">
        <w:t xml:space="preserve">) Quality Improvement Organizations (QIOs) were employed to identify gold-standard (research) nurses and </w:t>
      </w:r>
      <w:r w:rsidR="004E1F09" w:rsidRPr="00A52C3B">
        <w:lastRenderedPageBreak/>
        <w:t>recruit community nursing homes to participate in the national evaluation. The gold-standard nurses were trained in</w:t>
      </w:r>
      <w:r w:rsidR="0076717F" w:rsidRPr="00A52C3B">
        <w:t xml:space="preserve"> </w:t>
      </w:r>
      <w:r w:rsidR="004E1F09" w:rsidRPr="00A52C3B">
        <w:t xml:space="preserve">the MDS 3.0 instrument and, in turn, </w:t>
      </w:r>
      <w:r w:rsidR="00FD01DE" w:rsidRPr="00A52C3B">
        <w:t xml:space="preserve">they </w:t>
      </w:r>
      <w:r w:rsidR="004E1F09" w:rsidRPr="00A52C3B">
        <w:t xml:space="preserve">trained a facility nurse from each participating nursing home in their home states. Residents participating in the test were selected to capture a representative sample of short and long-stay residents. Quality measures using the MDS 2.0 and the MDS 3.0 were calculated and then compared, with correlations and </w:t>
      </w:r>
      <w:proofErr w:type="spellStart"/>
      <w:r w:rsidR="004E1F09" w:rsidRPr="00A52C3B">
        <w:t>Kappas</w:t>
      </w:r>
      <w:proofErr w:type="spellEnd"/>
      <w:r w:rsidR="004E1F09" w:rsidRPr="00A52C3B">
        <w:t xml:space="preserve"> calculated.</w:t>
      </w:r>
    </w:p>
    <w:p w:rsidR="00E41C6E" w:rsidRPr="00956B62" w:rsidRDefault="00E41C6E" w:rsidP="00956B62">
      <w:pPr>
        <w:pStyle w:val="BodyText"/>
        <w:rPr>
          <w:b/>
        </w:rPr>
      </w:pPr>
      <w:r w:rsidRPr="00956B62">
        <w:rPr>
          <w:b/>
        </w:rPr>
        <w:t>Performance Measure Score Reliability</w:t>
      </w:r>
    </w:p>
    <w:p w:rsidR="004E1F09" w:rsidRPr="00A52C3B" w:rsidRDefault="004E1F09" w:rsidP="00C3761D">
      <w:pPr>
        <w:pStyle w:val="BodyText"/>
      </w:pPr>
      <w:r w:rsidRPr="00A52C3B">
        <w:t>Two sets of analytic methods were used for performance measure score reliability. First, the University of Colorado examined the percentage of facilities that had a change in ranking from one quarter to the next of at least three deciles.(</w:t>
      </w:r>
      <w:r w:rsidR="00A52C3B">
        <w:t>2</w:t>
      </w:r>
      <w:r w:rsidRPr="00A52C3B">
        <w:t>) This indicator of stability was computed for each of the twelve pairs of adjacent quarters for which data were available (2003 Q3 through 2006 Q3).</w:t>
      </w:r>
    </w:p>
    <w:p w:rsidR="005C71A2" w:rsidRPr="00A52C3B" w:rsidRDefault="004E1F09" w:rsidP="00C3761D">
      <w:pPr>
        <w:pStyle w:val="BodyText"/>
      </w:pPr>
      <w:r w:rsidRPr="00A52C3B">
        <w:t>In a similar analysis</w:t>
      </w:r>
      <w:r w:rsidR="000A2B6D" w:rsidRPr="00A52C3B">
        <w:t xml:space="preserve">, RTI examined the extent to which relative facility rank changed quarterly on this quality measure between Quarter 4 of 2011 and Quarter 1 of 2013.  Dramatic changes in facility QM scores from one quarter to the next are more likely an indicator of measure instability than of great improvement or decline in facility performance.  </w:t>
      </w:r>
    </w:p>
    <w:p w:rsidR="00A52C3B" w:rsidRPr="00A52C3B" w:rsidRDefault="00A52C3B" w:rsidP="00C3761D">
      <w:pPr>
        <w:pStyle w:val="ListNumber2"/>
        <w:numPr>
          <w:ilvl w:val="0"/>
          <w:numId w:val="34"/>
        </w:numPr>
      </w:pPr>
      <w:r w:rsidRPr="00A52C3B">
        <w:t>Saliba D, Buchanan J. Development and Validation of a Revised Nursing Home Assessment Tool: MDS 3.0. Contract No. 500-00-0027/Task Order #2. Santa Monica, CA: Rand Corporation, Apr 2008. Available from http://www.cms.hhs.gov/NursingHomeQualityInits/Downloads/MDS30FinalReport.pdf.</w:t>
      </w:r>
    </w:p>
    <w:p w:rsidR="004E1F09" w:rsidRPr="00A52C3B" w:rsidRDefault="000A2B6D" w:rsidP="00C3761D">
      <w:pPr>
        <w:pStyle w:val="ListNumber2"/>
      </w:pPr>
      <w:proofErr w:type="spellStart"/>
      <w:r w:rsidRPr="00A52C3B">
        <w:t>Brega</w:t>
      </w:r>
      <w:proofErr w:type="spellEnd"/>
      <w:r w:rsidRPr="00A52C3B">
        <w:t xml:space="preserve"> A, </w:t>
      </w:r>
      <w:proofErr w:type="spellStart"/>
      <w:r w:rsidRPr="00A52C3B">
        <w:t>Hittle</w:t>
      </w:r>
      <w:proofErr w:type="spellEnd"/>
      <w:r w:rsidRPr="00A52C3B">
        <w:t xml:space="preserve"> D, Goodrich G, Kramer A, Conway K, Levy C. Empirical review of publicly reported nursing home quality measures. Denver: Division of Health Care Policy and Research University of Colorado at Denver; </w:t>
      </w:r>
      <w:proofErr w:type="spellStart"/>
      <w:r w:rsidRPr="00A52C3B">
        <w:t>Abt</w:t>
      </w:r>
      <w:proofErr w:type="spellEnd"/>
      <w:r w:rsidRPr="00A52C3B">
        <w:t xml:space="preserve"> Associates, Inc, 2007.</w:t>
      </w:r>
    </w:p>
    <w:p w:rsidR="00C3761D" w:rsidRDefault="00092566" w:rsidP="00C3761D">
      <w:pPr>
        <w:pStyle w:val="BodyText3"/>
      </w:pPr>
      <w:r w:rsidRPr="00C3761D">
        <w:rPr>
          <w:b/>
          <w:i w:val="0"/>
        </w:rPr>
        <w:t>2a2.</w:t>
      </w:r>
      <w:r w:rsidR="008C54A9" w:rsidRPr="00C3761D">
        <w:rPr>
          <w:b/>
          <w:i w:val="0"/>
        </w:rPr>
        <w:t xml:space="preserve">3. </w:t>
      </w:r>
      <w:proofErr w:type="gramStart"/>
      <w:r w:rsidR="008C54A9" w:rsidRPr="00C3761D">
        <w:rPr>
          <w:b/>
          <w:i w:val="0"/>
        </w:rPr>
        <w:t>For</w:t>
      </w:r>
      <w:proofErr w:type="gramEnd"/>
      <w:r w:rsidR="008C54A9" w:rsidRPr="00C3761D">
        <w:rPr>
          <w:b/>
          <w:i w:val="0"/>
        </w:rPr>
        <w:t xml:space="preserve"> each level checked above, w</w:t>
      </w:r>
      <w:r w:rsidR="00900DBF" w:rsidRPr="00C3761D">
        <w:rPr>
          <w:b/>
          <w:i w:val="0"/>
        </w:rPr>
        <w:t>hat were the statistical results</w:t>
      </w:r>
      <w:r w:rsidR="007422FD" w:rsidRPr="00C3761D">
        <w:rPr>
          <w:b/>
          <w:i w:val="0"/>
        </w:rPr>
        <w:t xml:space="preserve"> from reliability testing</w:t>
      </w:r>
      <w:r w:rsidR="00900DBF" w:rsidRPr="00C3761D">
        <w:rPr>
          <w:i w:val="0"/>
        </w:rPr>
        <w:t>?</w:t>
      </w:r>
      <w:r w:rsidR="00B037BA" w:rsidRPr="00C3761D">
        <w:rPr>
          <w:i w:val="0"/>
        </w:rPr>
        <w:t xml:space="preserve"> </w:t>
      </w:r>
      <w:r w:rsidR="00AA5213" w:rsidRPr="00C3761D">
        <w:rPr>
          <w:i w:val="0"/>
        </w:rPr>
        <w:t xml:space="preserve"> </w:t>
      </w:r>
      <w:r w:rsidR="00AA5213" w:rsidRPr="00A25024">
        <w:t>(e.g., percent agreement and kappa for the critical data elements; distribution of reliability statistics from a signal-to-noise analysis)</w:t>
      </w:r>
    </w:p>
    <w:p w:rsidR="00E41C6E" w:rsidRPr="00956B62" w:rsidRDefault="00E41C6E" w:rsidP="00C3761D">
      <w:pPr>
        <w:pStyle w:val="BodyText"/>
        <w:rPr>
          <w:b/>
        </w:rPr>
      </w:pPr>
      <w:r w:rsidRPr="00956B62">
        <w:rPr>
          <w:b/>
        </w:rPr>
        <w:t>Data Element Reliability</w:t>
      </w:r>
    </w:p>
    <w:p w:rsidR="004E1F09" w:rsidRPr="00A52C3B" w:rsidRDefault="004E1F09" w:rsidP="00C3761D">
      <w:pPr>
        <w:pStyle w:val="BodyText"/>
      </w:pPr>
      <w:r w:rsidRPr="00A52C3B">
        <w:t>In their testing of the MDS 3.0, RAND compared the results on the nursing home quality measures using the MDS 3.0 and the MDS 2.0, both at the individual resident level and at the facility level</w:t>
      </w:r>
      <w:proofErr w:type="gramStart"/>
      <w:r w:rsidRPr="00A52C3B">
        <w:t>.(</w:t>
      </w:r>
      <w:proofErr w:type="gramEnd"/>
      <w:r w:rsidRPr="00A52C3B">
        <w:t>2) At the resident level, the urinary tract infection rate using the MDS 2.0 was 10.0% and using the MDS 3.0 was 7.5%; the Kappa was 0.70 and the correlation was 0.71. Kappa is a statistical measure of inter-rater agreement for qualitative data, ranging from 0.0 to 1.0. A rating of 0.70 is considered “substantial agreement.” At the facility level, the MDS 2.0 rate of urinary tract infections was 10.2% and the MDS 3.0 rate was 7.3%, with a correlation of 0.80, which is quite high.</w:t>
      </w:r>
    </w:p>
    <w:p w:rsidR="00E41C6E" w:rsidRPr="00956B62" w:rsidRDefault="00E41C6E" w:rsidP="00956B62">
      <w:pPr>
        <w:pStyle w:val="BodyText"/>
        <w:rPr>
          <w:b/>
        </w:rPr>
      </w:pPr>
      <w:r w:rsidRPr="00956B62">
        <w:rPr>
          <w:b/>
        </w:rPr>
        <w:t>Performance Measure Score Reliability</w:t>
      </w:r>
    </w:p>
    <w:p w:rsidR="004E1F09" w:rsidRDefault="000A2B6D" w:rsidP="00C3761D">
      <w:pPr>
        <w:pStyle w:val="BodyText"/>
      </w:pPr>
      <w:r w:rsidRPr="00A52C3B">
        <w:t>In terms of measure stability, the University of Colorado examined the percentage of facilities that had a change in ranking of at least three deciles from one quarter to the next.(</w:t>
      </w:r>
      <w:r w:rsidR="00E72298">
        <w:t>2</w:t>
      </w:r>
      <w:r w:rsidRPr="00A52C3B">
        <w:t xml:space="preserve">) For urinary tract infection, 30.4% of facilities had a three-decile-or-more change from one quarter to the next quarter. The range of stability measures across the 12 comparisons was very small (i.e., the difference between the maximum </w:t>
      </w:r>
      <w:r w:rsidRPr="00A52C3B">
        <w:lastRenderedPageBreak/>
        <w:t>and minimum values), indicating that measure stability is quite constant over time. For urinary tract infections, the minimum percentage was 29.9%, and the maximum percentage was 31.0%.</w:t>
      </w:r>
    </w:p>
    <w:p w:rsidR="005C71A2" w:rsidRPr="004E1F09" w:rsidRDefault="004E1F09" w:rsidP="00C3761D">
      <w:pPr>
        <w:pStyle w:val="BodyText"/>
      </w:pPr>
      <w:r>
        <w:t xml:space="preserve">Results of the RTI analysis are presented in </w:t>
      </w:r>
      <w:r w:rsidR="000A2B6D" w:rsidRPr="00956B62">
        <w:rPr>
          <w:b/>
          <w:bCs/>
        </w:rPr>
        <w:t>Figure 1</w:t>
      </w:r>
      <w:r>
        <w:t>, which</w:t>
      </w:r>
      <w:r w:rsidR="000A2B6D" w:rsidRPr="000A2B6D">
        <w:rPr>
          <w:b/>
          <w:bCs/>
          <w:i/>
          <w:iCs/>
        </w:rPr>
        <w:t xml:space="preserve"> </w:t>
      </w:r>
      <w:r w:rsidR="000A2B6D" w:rsidRPr="000A2B6D">
        <w:t>illustrates quarterly change in facility rank in 2012.  For each pair of quarters, more than half of facilities maintain the same rank (within one decile) from one quarter to the next. Changes of one to two deciles are fairly common, occurring among approximately twenty percent of facilities in each pair of quarters. The most recent transition</w:t>
      </w:r>
      <w:r w:rsidR="008B6D6F">
        <w:t xml:space="preserve"> over the two most recent quarters</w:t>
      </w:r>
      <w:r w:rsidR="000A2B6D" w:rsidRPr="000A2B6D">
        <w:t xml:space="preserve"> was the least stable of the quarters examined, with 15.3 percent of facilities seeing rank changes of more than three deciles. </w:t>
      </w:r>
    </w:p>
    <w:p w:rsidR="005C71A2" w:rsidRPr="000E6EA0" w:rsidRDefault="005C71A2" w:rsidP="00C3761D">
      <w:pPr>
        <w:pStyle w:val="FigureTitle"/>
      </w:pPr>
      <w:bookmarkStart w:id="11" w:name="_Toc335304100"/>
      <w:bookmarkStart w:id="12" w:name="_Toc338834046"/>
      <w:r w:rsidRPr="000E6EA0">
        <w:t xml:space="preserve">Figure 1 </w:t>
      </w:r>
      <w:r w:rsidRPr="000E6EA0">
        <w:br/>
        <w:t>Distribution of change in facility rank from one quarter to the next, QM #</w:t>
      </w:r>
      <w:bookmarkEnd w:id="11"/>
      <w:bookmarkEnd w:id="12"/>
      <w:r w:rsidRPr="000E6EA0">
        <w:t>0684 Percent of Residents with a Urinary Tract Infection</w:t>
      </w:r>
    </w:p>
    <w:p w:rsidR="005C71A2" w:rsidRPr="005C71A2" w:rsidRDefault="0076717F" w:rsidP="000E6EA0">
      <w:pPr>
        <w:spacing w:after="0"/>
        <w:rPr>
          <w:b/>
          <w:bCs/>
          <w:color w:val="0000FF"/>
          <w:sz w:val="20"/>
          <w:szCs w:val="20"/>
        </w:rPr>
      </w:pPr>
      <w:r>
        <w:rPr>
          <w:b/>
          <w:bCs/>
          <w:noProof/>
          <w:color w:val="0000FF"/>
          <w:sz w:val="20"/>
          <w:szCs w:val="20"/>
        </w:rPr>
        <w:drawing>
          <wp:inline distT="0" distB="0" distL="0" distR="0">
            <wp:extent cx="5619750" cy="2438400"/>
            <wp:effectExtent l="19050" t="0" r="19050" b="0"/>
            <wp:docPr id="3"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C71A2" w:rsidRPr="000E6EA0" w:rsidRDefault="005C71A2" w:rsidP="00C3761D">
      <w:pPr>
        <w:pStyle w:val="SourceNote"/>
      </w:pPr>
      <w:r w:rsidRPr="000E6EA0">
        <w:t>Analysis date: 8/5/2013</w:t>
      </w:r>
    </w:p>
    <w:p w:rsidR="005C71A2" w:rsidRPr="000E6EA0" w:rsidRDefault="005C71A2" w:rsidP="00C3761D">
      <w:pPr>
        <w:pStyle w:val="SourceNote"/>
      </w:pPr>
      <w:r w:rsidRPr="000E6EA0">
        <w:t>NOTES:</w:t>
      </w:r>
      <w:r w:rsidR="00E72298" w:rsidRPr="000E6EA0">
        <w:t xml:space="preserve"> </w:t>
      </w:r>
      <w:r w:rsidRPr="000E6EA0">
        <w:t>Denominators for these proportions reflect facilities that meet minimum requirements for public reporting this QM in both Quarters.</w:t>
      </w:r>
    </w:p>
    <w:p w:rsidR="005C71A2" w:rsidRPr="000E6EA0" w:rsidRDefault="005C71A2" w:rsidP="003252C3">
      <w:pPr>
        <w:pStyle w:val="SourceNote"/>
        <w:rPr>
          <w:b/>
        </w:rPr>
      </w:pPr>
      <w:r w:rsidRPr="000E6EA0">
        <w:t>SOURCE: MDS 3.0, RTI analysis of MDS 3.0 episode files for Quarter 4, 201</w:t>
      </w:r>
      <w:r w:rsidR="00721E1E" w:rsidRPr="000E6EA0">
        <w:t xml:space="preserve">1 to </w:t>
      </w:r>
      <w:r w:rsidRPr="000E6EA0">
        <w:t>Quarter 1, 2013 2013(\quarter_9_10\db241\db241_request.log)</w:t>
      </w:r>
    </w:p>
    <w:p w:rsidR="00E72298" w:rsidRPr="00C3761D" w:rsidRDefault="00E72298" w:rsidP="003252C3">
      <w:pPr>
        <w:pStyle w:val="ListNumber2"/>
        <w:numPr>
          <w:ilvl w:val="0"/>
          <w:numId w:val="41"/>
        </w:numPr>
      </w:pPr>
      <w:r w:rsidRPr="00C3761D">
        <w:t xml:space="preserve">Stevenson KB, Moore JW, Sleeper B. Validity of the Minimum Data Set in identifying urinary tract infections in residents of long-term care facilities. J Am </w:t>
      </w:r>
      <w:proofErr w:type="spellStart"/>
      <w:r w:rsidRPr="00C3761D">
        <w:t>Geriatr</w:t>
      </w:r>
      <w:proofErr w:type="spellEnd"/>
      <w:r w:rsidRPr="00C3761D">
        <w:t xml:space="preserve"> Soc. 2007</w:t>
      </w:r>
      <w:proofErr w:type="gramStart"/>
      <w:r w:rsidRPr="00C3761D">
        <w:t>;52</w:t>
      </w:r>
      <w:proofErr w:type="gramEnd"/>
      <w:r w:rsidRPr="00C3761D">
        <w:t>: 707-711.</w:t>
      </w:r>
    </w:p>
    <w:p w:rsidR="004E1F09" w:rsidRPr="00C3761D" w:rsidRDefault="000A2B6D" w:rsidP="003252C3">
      <w:pPr>
        <w:pStyle w:val="ListNumber2"/>
      </w:pPr>
      <w:proofErr w:type="spellStart"/>
      <w:r w:rsidRPr="00C3761D">
        <w:t>Brega</w:t>
      </w:r>
      <w:proofErr w:type="spellEnd"/>
      <w:r w:rsidRPr="00C3761D">
        <w:t xml:space="preserve"> A, </w:t>
      </w:r>
      <w:proofErr w:type="spellStart"/>
      <w:r w:rsidRPr="00C3761D">
        <w:t>Hittle</w:t>
      </w:r>
      <w:proofErr w:type="spellEnd"/>
      <w:r w:rsidRPr="00C3761D">
        <w:t xml:space="preserve"> D, Goodrich G, Kramer A, Conway K, Levy C. Empirical review of publicly reported nursing home quality measures. Denver: Division of Health Care Policy and Research University of Colorado at Denver; </w:t>
      </w:r>
      <w:proofErr w:type="spellStart"/>
      <w:r w:rsidRPr="00C3761D">
        <w:t>Abt</w:t>
      </w:r>
      <w:proofErr w:type="spellEnd"/>
      <w:r w:rsidRPr="00C3761D">
        <w:t xml:space="preserve"> Associates, Inc, 2007.</w:t>
      </w:r>
    </w:p>
    <w:p w:rsidR="00C3761D" w:rsidRDefault="00092566" w:rsidP="00C3761D">
      <w:pPr>
        <w:pStyle w:val="BodyText3"/>
      </w:pPr>
      <w:r w:rsidRPr="00C3761D">
        <w:rPr>
          <w:b/>
          <w:i w:val="0"/>
        </w:rPr>
        <w:t>2a2.4</w:t>
      </w:r>
      <w:r w:rsidR="00956B62">
        <w:rPr>
          <w:b/>
          <w:i w:val="0"/>
        </w:rPr>
        <w:t>.</w:t>
      </w:r>
      <w:r w:rsidRPr="00C3761D">
        <w:rPr>
          <w:b/>
          <w:i w:val="0"/>
        </w:rPr>
        <w:t xml:space="preserve"> </w:t>
      </w:r>
      <w:proofErr w:type="gramStart"/>
      <w:r w:rsidR="007422FD" w:rsidRPr="00C3761D">
        <w:rPr>
          <w:b/>
          <w:i w:val="0"/>
        </w:rPr>
        <w:t>What</w:t>
      </w:r>
      <w:proofErr w:type="gramEnd"/>
      <w:r w:rsidR="007422FD" w:rsidRPr="00C3761D">
        <w:rPr>
          <w:b/>
          <w:i w:val="0"/>
        </w:rPr>
        <w:t xml:space="preserve"> </w:t>
      </w:r>
      <w:r w:rsidR="000B2DF7" w:rsidRPr="00C3761D">
        <w:rPr>
          <w:b/>
          <w:i w:val="0"/>
        </w:rPr>
        <w:t>is your interpretation of the results in terms of</w:t>
      </w:r>
      <w:r w:rsidR="007422FD" w:rsidRPr="00C3761D">
        <w:rPr>
          <w:b/>
          <w:i w:val="0"/>
        </w:rPr>
        <w:t xml:space="preserve"> demonstrating reliability? </w:t>
      </w:r>
      <w:r w:rsidR="000B2DF7" w:rsidRPr="00A25024">
        <w:t>(i.e., what do the results mean and what are the norms for the test conducted</w:t>
      </w:r>
      <w:r w:rsidR="007757CE" w:rsidRPr="00A25024">
        <w:t>?</w:t>
      </w:r>
      <w:r w:rsidR="000B2DF7" w:rsidRPr="00A25024">
        <w:t>)</w:t>
      </w:r>
    </w:p>
    <w:p w:rsidR="007422FD" w:rsidRPr="004E1F09" w:rsidRDefault="004E1F09" w:rsidP="00C3761D">
      <w:pPr>
        <w:pStyle w:val="BodyText"/>
      </w:pPr>
      <w:r>
        <w:t>Most studies have shown a high level of reliability for this measure. The most recent examination by RTI, however, indicates that facility rank may not be as reliable as earlier studies ha</w:t>
      </w:r>
      <w:r w:rsidR="00150D08">
        <w:t>d</w:t>
      </w:r>
      <w:r>
        <w:t xml:space="preserve"> shown. </w:t>
      </w:r>
      <w:r w:rsidR="000A2B6D" w:rsidRPr="000A2B6D">
        <w:t xml:space="preserve"> Although these recent results indicate a degree of instability, the change may be explained by relatively low prevalence </w:t>
      </w:r>
      <w:r w:rsidR="000A2B6D" w:rsidRPr="000A2B6D">
        <w:lastRenderedPageBreak/>
        <w:t>and narrow interquartile range that makes relatively small changes in score appear to be large changes in rank.</w:t>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956B62">
      <w:pPr>
        <w:pStyle w:val="Heading1"/>
        <w:keepNext/>
      </w:pPr>
      <w:r w:rsidRPr="00A25024">
        <w:t>2</w:t>
      </w:r>
      <w:r w:rsidR="00EA5F47" w:rsidRPr="00A25024">
        <w:t>b</w:t>
      </w:r>
      <w:r w:rsidRPr="00A25024">
        <w:t xml:space="preserve">2. VALIDITY TESTING </w:t>
      </w:r>
    </w:p>
    <w:p w:rsidR="00956B62" w:rsidRDefault="00092566" w:rsidP="00721E1E">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p>
    <w:p w:rsidR="00696262" w:rsidRPr="000414E8" w:rsidRDefault="00AD0FAB" w:rsidP="00721E1E">
      <w:pPr>
        <w:autoSpaceDE w:val="0"/>
        <w:autoSpaceDN w:val="0"/>
        <w:adjustRightInd w:val="0"/>
        <w:spacing w:after="0" w:line="240" w:lineRule="auto"/>
        <w:rPr>
          <w:rFonts w:cstheme="minorHAnsi"/>
          <w:bCs/>
        </w:rPr>
      </w:pPr>
      <w:sdt>
        <w:sdtPr>
          <w:rPr>
            <w:rFonts w:cstheme="minorHAnsi"/>
            <w:bCs/>
            <w:color w:val="0000FF"/>
          </w:rPr>
          <w:id w:val="-297760991"/>
        </w:sdtPr>
        <w:sdtContent>
          <w:r w:rsidR="00721E1E">
            <w:rPr>
              <w:rFonts w:cstheme="minorHAnsi"/>
              <w:bCs/>
              <w:color w:val="0000FF"/>
            </w:rPr>
            <w:t>X</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AD0FAB" w:rsidP="00721E1E">
      <w:pPr>
        <w:autoSpaceDE w:val="0"/>
        <w:autoSpaceDN w:val="0"/>
        <w:adjustRightInd w:val="0"/>
        <w:spacing w:after="0" w:line="240" w:lineRule="auto"/>
        <w:rPr>
          <w:rFonts w:cstheme="minorHAnsi"/>
          <w:b/>
          <w:bCs/>
        </w:rPr>
      </w:pPr>
      <w:sdt>
        <w:sdtPr>
          <w:rPr>
            <w:rFonts w:cstheme="minorHAnsi"/>
            <w:bCs/>
            <w:color w:val="0000FF"/>
          </w:rPr>
          <w:id w:val="-1767844731"/>
        </w:sdtPr>
        <w:sdtContent>
          <w:r w:rsidR="00E41C6E">
            <w:rPr>
              <w:rFonts w:cstheme="minorHAnsi"/>
              <w:bCs/>
              <w:color w:val="0000FF"/>
            </w:rPr>
            <w:t>X</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4D671E" w:rsidRDefault="00AD0FAB" w:rsidP="00721E1E">
      <w:pPr>
        <w:autoSpaceDE w:val="0"/>
        <w:autoSpaceDN w:val="0"/>
        <w:adjustRightInd w:val="0"/>
        <w:spacing w:after="0" w:line="240" w:lineRule="auto"/>
        <w:ind w:left="255"/>
        <w:rPr>
          <w:rFonts w:eastAsia="MS Gothic" w:cstheme="minorHAnsi"/>
          <w:bCs/>
        </w:rPr>
      </w:pPr>
      <w:sdt>
        <w:sdtPr>
          <w:rPr>
            <w:rFonts w:cstheme="minorHAnsi"/>
            <w:bCs/>
            <w:color w:val="0000FF"/>
          </w:rPr>
          <w:id w:val="-114983144"/>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r w:rsidR="00721E1E">
            <w:rPr>
              <w:rFonts w:cstheme="minorHAnsi"/>
              <w:bCs/>
              <w:color w:val="0000FF"/>
            </w:rPr>
            <w:t>X</w:t>
          </w:r>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proofErr w:type="gramStart"/>
      <w:r w:rsidR="000414E8">
        <w:rPr>
          <w:rFonts w:eastAsia="MS Gothic" w:cstheme="minorHAnsi"/>
          <w:bCs/>
          <w:i/>
        </w:rPr>
        <w:t>good</w:t>
      </w:r>
      <w:proofErr w:type="gramEnd"/>
      <w:r w:rsidR="000414E8">
        <w:rPr>
          <w:rFonts w:eastAsia="MS Gothic" w:cstheme="minorHAnsi"/>
          <w:bCs/>
          <w:i/>
        </w:rPr>
        <w:t xml:space="preserve"> from poor p</w:t>
      </w:r>
      <w:r w:rsidR="005149E7">
        <w:rPr>
          <w:rFonts w:eastAsia="MS Gothic" w:cstheme="minorHAnsi"/>
          <w:bCs/>
          <w:i/>
        </w:rPr>
        <w:t>erformance</w:t>
      </w:r>
      <w:r w:rsidR="00A41377" w:rsidRPr="00A25024">
        <w:rPr>
          <w:rFonts w:eastAsia="MS Gothic" w:cstheme="minorHAnsi"/>
          <w:bCs/>
        </w:rPr>
        <w:t>)</w:t>
      </w:r>
    </w:p>
    <w:p w:rsidR="004D671E" w:rsidRDefault="004D671E" w:rsidP="004D671E">
      <w:pPr>
        <w:autoSpaceDE w:val="0"/>
        <w:autoSpaceDN w:val="0"/>
        <w:adjustRightInd w:val="0"/>
        <w:spacing w:after="0" w:line="240" w:lineRule="auto"/>
        <w:ind w:left="255"/>
        <w:rPr>
          <w:rFonts w:eastAsia="MS Gothic" w:cstheme="minorHAnsi"/>
          <w:bCs/>
        </w:rPr>
      </w:pPr>
    </w:p>
    <w:p w:rsidR="004D671E" w:rsidRDefault="00092566" w:rsidP="003252C3">
      <w:pPr>
        <w:pStyle w:val="BodyText3"/>
      </w:pPr>
      <w:r w:rsidRPr="003252C3">
        <w:rPr>
          <w:b/>
          <w:i w:val="0"/>
        </w:rPr>
        <w:t>2b2.</w:t>
      </w:r>
      <w:r w:rsidR="007757CE" w:rsidRPr="003252C3">
        <w:rPr>
          <w:b/>
          <w:i w:val="0"/>
        </w:rPr>
        <w:t>2. For each level checked above, describe the method of validity testing and what it tests</w:t>
      </w:r>
      <w:r w:rsidR="00833325" w:rsidRPr="00A25024">
        <w:t xml:space="preserve"> (</w:t>
      </w:r>
      <w:r w:rsidR="007757CE" w:rsidRPr="00A25024">
        <w:t>describe the steps―</w:t>
      </w:r>
      <w:r w:rsidR="00696262" w:rsidRPr="00A25024">
        <w:t xml:space="preserve">do </w:t>
      </w:r>
      <w:r w:rsidR="00A25024" w:rsidRPr="00A25024">
        <w:t xml:space="preserve">not just name a method; what was </w:t>
      </w:r>
      <w:r w:rsidR="00696262" w:rsidRPr="00A25024">
        <w:t>tested, e.g., accuracy of data elements compared to authoritative source, relationship to a</w:t>
      </w:r>
      <w:r w:rsidR="0022691B">
        <w:t>nother measure as expected; what statistical analysis was used</w:t>
      </w:r>
      <w:r w:rsidR="00696262" w:rsidRPr="00A25024">
        <w:t>)</w:t>
      </w:r>
    </w:p>
    <w:p w:rsidR="00956B62" w:rsidRDefault="00956B62" w:rsidP="00C3761D">
      <w:pPr>
        <w:pStyle w:val="BodyText"/>
        <w:rPr>
          <w:b/>
          <w:bCs/>
        </w:rPr>
      </w:pPr>
      <w:r w:rsidRPr="00F25121">
        <w:rPr>
          <w:b/>
          <w:bCs/>
        </w:rPr>
        <w:t>Critical Data Elements</w:t>
      </w:r>
    </w:p>
    <w:p w:rsidR="00721E1E" w:rsidRPr="00F25121" w:rsidRDefault="00721E1E" w:rsidP="00C3761D">
      <w:pPr>
        <w:pStyle w:val="BodyText"/>
      </w:pPr>
      <w:r w:rsidRPr="00F25121">
        <w:t>In a study of the validity of the urinary tract infection quality measure, Stevenson, Moore and Sleeper recruited 16 Idaho nursing homes to voluntary participate in a CMS-funded performance improvement project to reduce inappropriate antimicrobial prescribing for urinary tract infections from July 2001 to June 2002.(1)</w:t>
      </w:r>
    </w:p>
    <w:p w:rsidR="00956B62" w:rsidRDefault="00956B62" w:rsidP="00C3761D">
      <w:pPr>
        <w:pStyle w:val="BodyText"/>
        <w:rPr>
          <w:b/>
          <w:bCs/>
        </w:rPr>
      </w:pPr>
      <w:r w:rsidRPr="00F25121">
        <w:rPr>
          <w:b/>
          <w:bCs/>
        </w:rPr>
        <w:t>Performance Measure Score</w:t>
      </w:r>
    </w:p>
    <w:p w:rsidR="00150D08" w:rsidRDefault="00721E1E" w:rsidP="00C3761D">
      <w:pPr>
        <w:pStyle w:val="BodyText"/>
      </w:pPr>
      <w:r w:rsidRPr="00F25121">
        <w:t>Two</w:t>
      </w:r>
      <w:r w:rsidR="000A2B6D" w:rsidRPr="00F25121">
        <w:t xml:space="preserve"> studies examined the validity of the urinary tract infection measure. </w:t>
      </w:r>
    </w:p>
    <w:p w:rsidR="00150D08" w:rsidRPr="00A434EB" w:rsidRDefault="00150D08" w:rsidP="00C3761D">
      <w:pPr>
        <w:pStyle w:val="BodyText"/>
      </w:pPr>
      <w:r>
        <w:t>First</w:t>
      </w:r>
      <w:r w:rsidRPr="00A434EB">
        <w:t xml:space="preserve">, the University of Colorado used national facility-level quality measure data from </w:t>
      </w:r>
      <w:r w:rsidRPr="009F0DEF">
        <w:t xml:space="preserve">Quarter 3 (Q3) </w:t>
      </w:r>
      <w:r w:rsidRPr="00A434EB">
        <w:t xml:space="preserve">2003 through </w:t>
      </w:r>
      <w:r w:rsidRPr="00B164DE">
        <w:t>Q3</w:t>
      </w:r>
      <w:r>
        <w:t xml:space="preserve"> </w:t>
      </w:r>
      <w:r w:rsidRPr="00A434EB">
        <w:t xml:space="preserve">2006 </w:t>
      </w:r>
      <w:r>
        <w:t xml:space="preserve">that </w:t>
      </w:r>
      <w:r w:rsidRPr="00A434EB">
        <w:t>came from the Quality Improvement and Evaluation System (QIES) MDS Express Reports on the CMS intranet; Online Survey, Certification, and Reporting (OSCAR) data related to facility characteristics (e.g., state, resident census, number of beds, staffing) and certification survey results from</w:t>
      </w:r>
      <w:r>
        <w:t xml:space="preserve"> QIES Workbench.(</w:t>
      </w:r>
      <w:r w:rsidR="00F25121">
        <w:t>2</w:t>
      </w:r>
      <w:r w:rsidRPr="00A434EB">
        <w:t>) A 10% random sample of all Medicare-certified nursing facilities was also downloaded from MDS assessment records. Analyses were based on complete MDS data from January 2005 through March 2006, as well as nearly complete data for April 2006 and partial data for May and June 2006.</w:t>
      </w:r>
    </w:p>
    <w:p w:rsidR="00721E1E" w:rsidRPr="00F25121" w:rsidRDefault="000A2B6D" w:rsidP="00C3761D">
      <w:pPr>
        <w:pStyle w:val="BodyText"/>
      </w:pPr>
      <w:r w:rsidRPr="00F25121">
        <w:t>Second, RTI examined several aspects of validity: Whether facilities’ scores on this measure correlated with scores on related measures; whether missing data on resident assessments have an effect on facilities’ measure scores; and whether there is any evidence that seasonal variation is a threat to validity.</w:t>
      </w:r>
    </w:p>
    <w:p w:rsidR="00721E1E" w:rsidRPr="00F25121" w:rsidRDefault="00721E1E" w:rsidP="00C3761D">
      <w:pPr>
        <w:pStyle w:val="BodyText"/>
      </w:pPr>
      <w:r w:rsidRPr="00F25121">
        <w:t>Systematic assessment of face validity: In a clinical review of the nursing home QMs using the MDS 2.0, a Technical Expert Panel (TEP) concluded that the urinary tract infection quality measure is a “valuable source of information for nursing homes”</w:t>
      </w:r>
      <w:r w:rsidR="00F25121">
        <w:t>(2)</w:t>
      </w:r>
      <w:r w:rsidRPr="00F25121">
        <w:t xml:space="preserve"> </w:t>
      </w:r>
      <w:r w:rsidR="00AD0FAB" w:rsidRPr="00F25121">
        <w:fldChar w:fldCharType="begin"/>
      </w:r>
      <w:r w:rsidRPr="00F25121">
        <w:instrText xml:space="preserve"> ADDIN EN.CITE &lt;EndNote&gt;&lt;Cite&gt;&lt;Author&gt;Brega&lt;/Author&gt;&lt;Year&gt;2008&lt;/Year&gt;&lt;RecNum&gt;173&lt;/RecNum&gt;&lt;DisplayText&gt;(Brega, Goodrich, Nuccio, et al., 2008)&lt;/DisplayText&gt;&lt;record&gt;&lt;rec-number&gt;173&lt;/rec-number&gt;&lt;foreign-keys&gt;&lt;key app="EN" db-id="9attp2xws0tpxneatssxfsxisdeewa5pefda"&gt;173&lt;/key&gt;&lt;/foreign-keys&gt;&lt;ref-type name="Report"&gt;27&lt;/ref-type&gt;&lt;contributors&gt;&lt;authors&gt;&lt;author&gt;Brega, A.&lt;/author&gt;&lt;author&gt;Goodrich, G.&lt;/author&gt;&lt;author&gt;Nuccio, E.&lt;/author&gt;&lt;author&gt;Hittle, D.&lt;/author&gt;&lt;/authors&gt;&lt;/contributors&gt;&lt;titles&gt;&lt;title&gt;Transition of publicly reported nursing home quality measures to MDS 3.0—draft&lt;/title&gt;&lt;/titles&gt;&lt;dates&gt;&lt;year&gt;2008&lt;/year&gt;&lt;/dates&gt;&lt;pub-location&gt;Denver, CO&lt;/pub-location&gt;&lt;publisher&gt;Division of Health Care Policy and Research University of Colorado at Denver&lt;/publisher&gt;&lt;urls&gt;&lt;/urls&gt;&lt;/record&gt;&lt;/Cite&gt;&lt;/EndNote&gt;</w:instrText>
      </w:r>
      <w:r w:rsidR="00AD0FAB" w:rsidRPr="00F25121">
        <w:fldChar w:fldCharType="separate"/>
      </w:r>
      <w:r w:rsidRPr="00F25121">
        <w:t>(</w:t>
      </w:r>
      <w:hyperlink w:anchor="_ENREF_17" w:tooltip="Brega, 2008 #173" w:history="1">
        <w:r w:rsidR="00F25121">
          <w:t>2</w:t>
        </w:r>
      </w:hyperlink>
      <w:r w:rsidRPr="00F25121">
        <w:t>)</w:t>
      </w:r>
      <w:r w:rsidR="00AD0FAB" w:rsidRPr="00F25121">
        <w:fldChar w:fldCharType="end"/>
      </w:r>
      <w:r w:rsidRPr="00F25121">
        <w:t xml:space="preserve">.  The measure prompts facilities to examine their approach to </w:t>
      </w:r>
      <w:proofErr w:type="spellStart"/>
      <w:r w:rsidRPr="00F25121">
        <w:t>perineal</w:t>
      </w:r>
      <w:proofErr w:type="spellEnd"/>
      <w:r w:rsidRPr="00F25121">
        <w:t xml:space="preserve"> care and their general infection rate.  These infections have the potential for significant morbidity and mortality</w:t>
      </w:r>
      <w:r w:rsidR="00F25121">
        <w:t xml:space="preserve"> (3)</w:t>
      </w:r>
      <w:r w:rsidRPr="00F25121">
        <w:t xml:space="preserve">.  Infections increase the use of medical care and costs.  Because </w:t>
      </w:r>
      <w:r w:rsidRPr="00F25121">
        <w:lastRenderedPageBreak/>
        <w:t>many UTIs are related to catheters, this quality measure provides an additional incentive for the facility to monitor its catheter use</w:t>
      </w:r>
      <w:r w:rsidR="00F25121">
        <w:t xml:space="preserve"> (4)</w:t>
      </w:r>
      <w:r w:rsidRPr="00F25121">
        <w:t xml:space="preserve"> </w:t>
      </w:r>
      <w:r w:rsidR="00AD0FAB" w:rsidRPr="00F25121">
        <w:fldChar w:fldCharType="begin"/>
      </w:r>
      <w:r w:rsidRPr="00F25121">
        <w:instrText xml:space="preserve"> ADDIN EN.CITE &lt;EndNote&gt;&lt;Cite&gt;&lt;Author&gt;Gould&lt;/Author&gt;&lt;Year&gt;2009&lt;/Year&gt;&lt;RecNum&gt;357&lt;/RecNum&gt;&lt;DisplayText&gt;(Gould et al., 2009)&lt;/DisplayText&gt;&lt;record&gt;&lt;rec-number&gt;357&lt;/rec-number&gt;&lt;foreign-keys&gt;&lt;key app="EN" db-id="9attp2xws0tpxneatssxfsxisdeewa5pefda"&gt;357&lt;/key&gt;&lt;/foreign-keys&gt;&lt;ref-type name="Web Page"&gt;12&lt;/ref-type&gt;&lt;contributors&gt;&lt;authors&gt;&lt;author&gt;Gould, CV&lt;/author&gt;&lt;author&gt;Umscheid, CA&lt;/author&gt;&lt;author&gt;Agarwal, R&lt;/author&gt;&lt;author&gt;Kuntz, G&lt;/author&gt;&lt;author&gt;Pegues, DA&lt;/author&gt;&lt;author&gt;the Healthcare Infection Control Practices Advisory Committee,&lt;/author&gt;&lt;/authors&gt;&lt;/contributors&gt;&lt;titles&gt;&lt;title&gt;Guideline for prevention of catheter-associated urinary tract infections 2009&lt;/title&gt;&lt;/titles&gt;&lt;dates&gt;&lt;year&gt;2009&lt;/year&gt;&lt;/dates&gt;&lt;pub-location&gt;Atlanta&lt;/pub-location&gt;&lt;publisher&gt;Centers for Disease Control and Prevention&lt;/publisher&gt;&lt;urls&gt;&lt;related-urls&gt;&lt;url&gt;http://www.cdc.gov/ncidod/dhqp/pdf/guidelines/CAUTI_Guideline2009final.pdf&lt;/url&gt;&lt;/related-urls&gt;&lt;/urls&gt;&lt;/record&gt;&lt;/Cite&gt;&lt;/EndNote&gt;</w:instrText>
      </w:r>
      <w:r w:rsidR="00AD0FAB" w:rsidRPr="00F25121">
        <w:fldChar w:fldCharType="separate"/>
      </w:r>
      <w:r w:rsidRPr="00F25121">
        <w:t>(</w:t>
      </w:r>
      <w:hyperlink w:anchor="_ENREF_64" w:tooltip="Gould, 2009 #357" w:history="1">
        <w:r w:rsidRPr="00F25121">
          <w:t>Gould et al., 2009</w:t>
        </w:r>
      </w:hyperlink>
      <w:r w:rsidRPr="00F25121">
        <w:t>)</w:t>
      </w:r>
      <w:r w:rsidR="00AD0FAB" w:rsidRPr="00F25121">
        <w:fldChar w:fldCharType="end"/>
      </w:r>
      <w:r w:rsidRPr="00F25121">
        <w:t>.</w:t>
      </w:r>
    </w:p>
    <w:p w:rsidR="00F25121" w:rsidRPr="00F25121" w:rsidRDefault="00F25121" w:rsidP="003252C3">
      <w:pPr>
        <w:pStyle w:val="ListNumber2"/>
        <w:numPr>
          <w:ilvl w:val="0"/>
          <w:numId w:val="35"/>
        </w:numPr>
      </w:pPr>
      <w:r w:rsidRPr="00F25121">
        <w:t xml:space="preserve">Stevenson KB, Moore JW, Sleeper B. Validity of the Minimum Data Set in identifying urinary tract infections in residents of long-term care facilities. J Am </w:t>
      </w:r>
      <w:proofErr w:type="spellStart"/>
      <w:r w:rsidRPr="00F25121">
        <w:t>Geriatr</w:t>
      </w:r>
      <w:proofErr w:type="spellEnd"/>
      <w:r w:rsidRPr="00F25121">
        <w:t xml:space="preserve"> Soc. 2007</w:t>
      </w:r>
      <w:proofErr w:type="gramStart"/>
      <w:r w:rsidRPr="00F25121">
        <w:t>;52</w:t>
      </w:r>
      <w:proofErr w:type="gramEnd"/>
      <w:r w:rsidRPr="00F25121">
        <w:t>: 707-711.</w:t>
      </w:r>
    </w:p>
    <w:p w:rsidR="00F25121" w:rsidRDefault="00F25121" w:rsidP="003252C3">
      <w:pPr>
        <w:pStyle w:val="ListNumber2"/>
      </w:pPr>
      <w:proofErr w:type="spellStart"/>
      <w:r w:rsidRPr="00F25121">
        <w:t>Brega</w:t>
      </w:r>
      <w:proofErr w:type="spellEnd"/>
      <w:r w:rsidRPr="00F25121">
        <w:t xml:space="preserve"> A, </w:t>
      </w:r>
      <w:proofErr w:type="spellStart"/>
      <w:r w:rsidRPr="00F25121">
        <w:t>Hittle</w:t>
      </w:r>
      <w:proofErr w:type="spellEnd"/>
      <w:r w:rsidRPr="00F25121">
        <w:t xml:space="preserve"> D, Goodrich G, Kramer A, Conway K, Levy C. Empirical review of publicly reported nursing home quality measures. Denver: Division of Health Care Policy and Research University of Colorado at Denver; </w:t>
      </w:r>
      <w:proofErr w:type="spellStart"/>
      <w:r w:rsidRPr="00F25121">
        <w:t>Abt</w:t>
      </w:r>
      <w:proofErr w:type="spellEnd"/>
      <w:r w:rsidRPr="00F25121">
        <w:t xml:space="preserve"> Associates, Inc, 2007.</w:t>
      </w:r>
    </w:p>
    <w:p w:rsidR="00F25121" w:rsidRDefault="00F25121" w:rsidP="003252C3">
      <w:pPr>
        <w:pStyle w:val="ListNumber2"/>
      </w:pPr>
      <w:r w:rsidRPr="00A25B11">
        <w:t xml:space="preserve">Nicolle LE, SHEA Long-Term Care Committee. Shea Position Paper: Urinary Tract Infections in Long-Term Care Facilities. Infect Control Hosp </w:t>
      </w:r>
      <w:proofErr w:type="spellStart"/>
      <w:r w:rsidRPr="00A25B11">
        <w:t>Epidemiol</w:t>
      </w:r>
      <w:proofErr w:type="spellEnd"/>
      <w:r w:rsidRPr="00A25B11">
        <w:t>. 2001</w:t>
      </w:r>
      <w:proofErr w:type="gramStart"/>
      <w:r w:rsidRPr="00A25B11">
        <w:t>;22:167</w:t>
      </w:r>
      <w:proofErr w:type="gramEnd"/>
      <w:r w:rsidRPr="00A25B11">
        <w:t xml:space="preserve">-175. Available: </w:t>
      </w:r>
      <w:r w:rsidRPr="00421535">
        <w:t>http://www.shea-online.org/assets/files/other_papers/utis_in_ltcf_2001.pdf</w:t>
      </w:r>
    </w:p>
    <w:p w:rsidR="00F25121" w:rsidRPr="00F25121" w:rsidRDefault="00F25121" w:rsidP="003252C3">
      <w:pPr>
        <w:pStyle w:val="ListNumber2"/>
      </w:pPr>
      <w:r w:rsidRPr="00F25121">
        <w:t xml:space="preserve">Gould CV, </w:t>
      </w:r>
      <w:proofErr w:type="spellStart"/>
      <w:r w:rsidRPr="00F25121">
        <w:t>Umscheid</w:t>
      </w:r>
      <w:proofErr w:type="spellEnd"/>
      <w:r w:rsidRPr="00F25121">
        <w:t xml:space="preserve"> CA, </w:t>
      </w:r>
      <w:proofErr w:type="spellStart"/>
      <w:r w:rsidRPr="00F25121">
        <w:t>Agarwal</w:t>
      </w:r>
      <w:proofErr w:type="spellEnd"/>
      <w:r w:rsidRPr="00F25121">
        <w:t xml:space="preserve"> R, Kuntz G, Pegues DA; the Healthcare Infection Control Practices Advisory Committee. Guideline for prevention of catheter-associated urinary tract infections 2009. Atlanta: Centers for Disease Control and Prevention, 2009. Available from http://www.cdc.gov/ncidod/dhqp/pdf/guidelines/CAUTI_Guideline2009final.pdf.</w:t>
      </w:r>
    </w:p>
    <w:p w:rsidR="003252C3" w:rsidRDefault="00092566" w:rsidP="003252C3">
      <w:pPr>
        <w:pStyle w:val="BodyText3"/>
      </w:pPr>
      <w:r w:rsidRPr="003252C3">
        <w:rPr>
          <w:b/>
          <w:i w:val="0"/>
        </w:rPr>
        <w:t>2b2.</w:t>
      </w:r>
      <w:r w:rsidR="007757CE" w:rsidRPr="003252C3">
        <w:rPr>
          <w:b/>
          <w:i w:val="0"/>
        </w:rPr>
        <w:t xml:space="preserve">3. </w:t>
      </w:r>
      <w:proofErr w:type="gramStart"/>
      <w:r w:rsidR="00833325" w:rsidRPr="003252C3">
        <w:rPr>
          <w:b/>
          <w:i w:val="0"/>
        </w:rPr>
        <w:t>What</w:t>
      </w:r>
      <w:proofErr w:type="gramEnd"/>
      <w:r w:rsidR="00833325" w:rsidRPr="003252C3">
        <w:rPr>
          <w:b/>
          <w:i w:val="0"/>
        </w:rPr>
        <w:t xml:space="preserve"> were the statistical results </w:t>
      </w:r>
      <w:r w:rsidR="007422FD" w:rsidRPr="003252C3">
        <w:rPr>
          <w:b/>
          <w:i w:val="0"/>
        </w:rPr>
        <w:t xml:space="preserve">from </w:t>
      </w:r>
      <w:r w:rsidR="00EC79DE" w:rsidRPr="003252C3">
        <w:rPr>
          <w:b/>
          <w:i w:val="0"/>
        </w:rPr>
        <w:t>validity</w:t>
      </w:r>
      <w:r w:rsidR="007422FD" w:rsidRPr="003252C3">
        <w:rPr>
          <w:b/>
          <w:i w:val="0"/>
        </w:rPr>
        <w:t xml:space="preserve"> testing</w:t>
      </w:r>
      <w:r w:rsidR="00833325" w:rsidRPr="003252C3">
        <w:rPr>
          <w:b/>
          <w:i w:val="0"/>
        </w:rPr>
        <w:t xml:space="preserve">? </w:t>
      </w:r>
      <w:r w:rsidR="00AA5213" w:rsidRPr="00A25024">
        <w:t>(</w:t>
      </w:r>
      <w:r w:rsidR="00AA5213" w:rsidRPr="0022691B">
        <w:t xml:space="preserve">e.g., correlation; </w:t>
      </w:r>
      <w:r w:rsidR="001F1DA1">
        <w:t>t-test</w:t>
      </w:r>
      <w:r w:rsidR="00AA5213" w:rsidRPr="0022691B">
        <w:t>)</w:t>
      </w:r>
    </w:p>
    <w:p w:rsidR="004D671E" w:rsidRPr="00956B62" w:rsidRDefault="00E41C6E" w:rsidP="00956B62">
      <w:pPr>
        <w:pStyle w:val="BodyText"/>
        <w:rPr>
          <w:b/>
        </w:rPr>
      </w:pPr>
      <w:r w:rsidRPr="00956B62">
        <w:rPr>
          <w:b/>
        </w:rPr>
        <w:t>Critical Data Elements</w:t>
      </w:r>
    </w:p>
    <w:p w:rsidR="00721E1E" w:rsidRPr="00721E1E" w:rsidRDefault="00721E1E" w:rsidP="003252C3">
      <w:pPr>
        <w:pStyle w:val="BodyText"/>
      </w:pPr>
      <w:r>
        <w:t>I</w:t>
      </w:r>
      <w:r w:rsidRPr="00721E1E">
        <w:t xml:space="preserve">n a study of 16 nursing homes in Idaho, researchers examined the validity of the MDS 2.0 urinary tract infection quality measure by comparing the MDS results to those of an active, prospective surveillance </w:t>
      </w:r>
      <w:r>
        <w:t>program in the facilities</w:t>
      </w:r>
      <w:proofErr w:type="gramStart"/>
      <w:r>
        <w:t>.(</w:t>
      </w:r>
      <w:proofErr w:type="gramEnd"/>
      <w:r>
        <w:t>1</w:t>
      </w:r>
      <w:r w:rsidRPr="00721E1E">
        <w:t>) While almost all of the urinary tract infections were identified by the MDS, the measure also identified a substantial number of false positives. The estimated sensitivity (the proportion of residents listed with a urinary tract infection with an actual urinary tract infection ) of the MDS was 57.9% and specificity (proportion of residents not listed as having a urinary tract infection that did not have a urinary tract infection) was 86.5%. Given the importance of infection control in nursing homes, it is preferable to cast a fairly wide net to identify all persons who need treatment and to motivate facilities to improve their practices.</w:t>
      </w:r>
    </w:p>
    <w:p w:rsidR="00E41C6E" w:rsidRPr="00956B62" w:rsidRDefault="00E41C6E" w:rsidP="00956B62">
      <w:pPr>
        <w:pStyle w:val="BodyText"/>
        <w:rPr>
          <w:b/>
        </w:rPr>
      </w:pPr>
      <w:r w:rsidRPr="00956B62">
        <w:rPr>
          <w:b/>
        </w:rPr>
        <w:t>Performance Measure Score</w:t>
      </w:r>
    </w:p>
    <w:p w:rsidR="00721E1E" w:rsidRPr="00F25121" w:rsidRDefault="00F25121" w:rsidP="003252C3">
      <w:pPr>
        <w:pStyle w:val="BodyText"/>
      </w:pPr>
      <w:proofErr w:type="gramStart"/>
      <w:r>
        <w:t>Correlations.</w:t>
      </w:r>
      <w:proofErr w:type="gramEnd"/>
      <w:r>
        <w:t xml:space="preserve"> </w:t>
      </w:r>
      <w:r w:rsidR="00721E1E" w:rsidRPr="00F25121">
        <w:t xml:space="preserve">In an analysis by the University of Colorado, the urinary tract infection measure had correlations of 0.12 or less with other publicly reported nursing home quality measures.(1) The only correlation that was higher was 0.28 with indwelling catheter, which would be expected given that both </w:t>
      </w:r>
      <w:r w:rsidR="00150D08" w:rsidRPr="00F25121">
        <w:t xml:space="preserve">measures </w:t>
      </w:r>
      <w:r w:rsidR="00721E1E" w:rsidRPr="00F25121">
        <w:t>involve the urinary tract.</w:t>
      </w:r>
    </w:p>
    <w:p w:rsidR="00101839" w:rsidRPr="00F25121" w:rsidRDefault="00101839" w:rsidP="003252C3">
      <w:pPr>
        <w:pStyle w:val="BodyText"/>
      </w:pPr>
      <w:r w:rsidRPr="00F25121">
        <w:t xml:space="preserve">Facilities should perform similarly on quality measures that reflect the quality of similar care processes. </w:t>
      </w:r>
      <w:r w:rsidR="00721E1E" w:rsidRPr="00F25121">
        <w:t>RTI</w:t>
      </w:r>
      <w:r w:rsidRPr="00F25121">
        <w:t xml:space="preserve"> examined whether a nursing home’s percentile rank on related quality measures was correlated, restricting analyses to facilities that meet public reporting sample size requirements and using risk adjusted scores where applicable.</w:t>
      </w:r>
    </w:p>
    <w:p w:rsidR="00101839" w:rsidRPr="00532886" w:rsidRDefault="00101839" w:rsidP="003252C3">
      <w:pPr>
        <w:pStyle w:val="ListBullet2"/>
      </w:pPr>
      <w:r w:rsidRPr="00532886">
        <w:t xml:space="preserve">Related measures examined: QM # 0685 Percent of Low Risk Residents Who Lose Control of their Bowels or Bladder (Long Stay) and QM #0686 Percent of Residents Who Have/Had a Catheter Inserted and Left in Their Bladder.  </w:t>
      </w:r>
    </w:p>
    <w:p w:rsidR="00101839" w:rsidRDefault="00101839" w:rsidP="003252C3">
      <w:pPr>
        <w:pStyle w:val="ListContinue2"/>
      </w:pPr>
      <w:r w:rsidRPr="00532886">
        <w:lastRenderedPageBreak/>
        <w:t xml:space="preserve">Results: </w:t>
      </w:r>
      <w:r w:rsidR="00721E1E" w:rsidRPr="00532886">
        <w:t>RTI</w:t>
      </w:r>
      <w:r w:rsidRPr="00532886">
        <w:t xml:space="preserve"> found a weak but statistically significant correlation between </w:t>
      </w:r>
      <w:r w:rsidR="00721E1E" w:rsidRPr="00532886">
        <w:t xml:space="preserve">the facility percentile ranking of </w:t>
      </w:r>
      <w:r w:rsidRPr="00532886">
        <w:t>this measure and both QM #0685 (r = 0.111, p &lt; 0001) and QM #0686 (r = 0.100, p &lt; 0001).</w:t>
      </w:r>
      <w:r w:rsidR="00F70454">
        <w:t>(2)</w:t>
      </w:r>
      <w:r w:rsidRPr="00532886">
        <w:t xml:space="preserve">  </w:t>
      </w:r>
    </w:p>
    <w:p w:rsidR="00101839" w:rsidRPr="00101839" w:rsidRDefault="00101839" w:rsidP="003252C3">
      <w:pPr>
        <w:pStyle w:val="ListContinue2"/>
        <w:rPr>
          <w:rFonts w:ascii="Times New Roman" w:eastAsia="Times New Roman" w:hAnsi="Times New Roman" w:cs="Times New Roman"/>
          <w:sz w:val="24"/>
          <w:szCs w:val="20"/>
        </w:rPr>
      </w:pPr>
      <w:r w:rsidRPr="00F25121">
        <w:t xml:space="preserve">Missing Data and Exclusions.  Missing data represent a potential threat to the validity of a quality measure.  Bias may be introduced if missing data are </w:t>
      </w:r>
      <w:r w:rsidR="0045444B" w:rsidRPr="00F25121">
        <w:t xml:space="preserve">systematically </w:t>
      </w:r>
      <w:r w:rsidRPr="00F25121">
        <w:t>associated with resident or facility characteristics</w:t>
      </w:r>
      <w:r w:rsidRPr="00101839">
        <w:rPr>
          <w:rFonts w:ascii="Times New Roman" w:eastAsia="Times New Roman" w:hAnsi="Times New Roman" w:cs="Times New Roman"/>
          <w:sz w:val="24"/>
          <w:szCs w:val="20"/>
        </w:rPr>
        <w:t xml:space="preserve">.  </w:t>
      </w:r>
    </w:p>
    <w:p w:rsidR="00101839" w:rsidRPr="00532886" w:rsidRDefault="00101839" w:rsidP="003252C3">
      <w:pPr>
        <w:pStyle w:val="ListBullet2"/>
      </w:pPr>
      <w:r w:rsidRPr="00532886">
        <w:t>In Quarter 2 2013, 22,759 long-stay residents (1.9%) were excluded from the calculation of this measure.  Of these, 838 (0.1 percent of long-stay residents) were excluded because of missing data on items used to calculate the measure, and 21,931 (1.9% of long-stay residents) were excluded because the target assessment was an admission, 5-day, or readmission/return assessment (</w:t>
      </w:r>
      <w:r w:rsidRPr="00956B62">
        <w:rPr>
          <w:b/>
          <w:bCs/>
        </w:rPr>
        <w:t>Table 1</w:t>
      </w:r>
      <w:r w:rsidRPr="00532886">
        <w:t xml:space="preserve">). Facilities would be penalized unfairly if individuals who developed UTIs prior to arrival </w:t>
      </w:r>
      <w:r w:rsidR="00A272D7" w:rsidRPr="00532886">
        <w:t xml:space="preserve">in the nursing facility </w:t>
      </w:r>
      <w:r w:rsidRPr="00532886">
        <w:t>(i.e., prior to admission, 5-day, or readmission) were included in the measure.</w:t>
      </w:r>
    </w:p>
    <w:p w:rsidR="00101839" w:rsidRPr="008B6D6F" w:rsidRDefault="00101839" w:rsidP="009575D2">
      <w:pPr>
        <w:pStyle w:val="TableTitle"/>
        <w:spacing w:before="200"/>
        <w:rPr>
          <w:szCs w:val="24"/>
        </w:rPr>
      </w:pPr>
      <w:bookmarkStart w:id="13" w:name="_Toc338834143"/>
      <w:bookmarkStart w:id="14" w:name="_Toc335304102"/>
      <w:bookmarkStart w:id="15" w:name="_Toc338834048"/>
      <w:r w:rsidRPr="008B6D6F">
        <w:t>Table 1</w:t>
      </w:r>
      <w:r w:rsidRPr="008B6D6F">
        <w:br/>
        <w:t>Target assessments used in the calculation of QM #0684 Percent of Residents with a Urinary Tract Infection (Long Stay)</w:t>
      </w:r>
      <w:bookmarkEnd w:id="13"/>
      <w:r w:rsidRPr="008B6D6F">
        <w:t xml:space="preserve"> </w:t>
      </w:r>
    </w:p>
    <w:tbl>
      <w:tblPr>
        <w:tblW w:w="8925" w:type="dxa"/>
        <w:tblInd w:w="93" w:type="dxa"/>
        <w:tblLook w:val="04A0"/>
      </w:tblPr>
      <w:tblGrid>
        <w:gridCol w:w="4605"/>
        <w:gridCol w:w="2160"/>
        <w:gridCol w:w="2160"/>
      </w:tblGrid>
      <w:tr w:rsidR="00101839" w:rsidRPr="003252C3" w:rsidTr="0045593E">
        <w:trPr>
          <w:cantSplit/>
          <w:tblHeader/>
        </w:trPr>
        <w:tc>
          <w:tcPr>
            <w:tcW w:w="4605" w:type="dxa"/>
            <w:tcBorders>
              <w:top w:val="single" w:sz="12" w:space="0" w:color="auto"/>
              <w:left w:val="nil"/>
              <w:bottom w:val="single" w:sz="6" w:space="0" w:color="auto"/>
              <w:right w:val="nil"/>
            </w:tcBorders>
            <w:noWrap/>
            <w:vAlign w:val="center"/>
            <w:hideMark/>
          </w:tcPr>
          <w:p w:rsidR="00101839" w:rsidRPr="003252C3" w:rsidRDefault="00101839" w:rsidP="0045593E">
            <w:pPr>
              <w:pStyle w:val="TableHeaders"/>
            </w:pPr>
            <w:r w:rsidRPr="003252C3">
              <w:t>Resident episodes in the reporting period</w:t>
            </w:r>
          </w:p>
        </w:tc>
        <w:tc>
          <w:tcPr>
            <w:tcW w:w="2160" w:type="dxa"/>
            <w:tcBorders>
              <w:top w:val="single" w:sz="12" w:space="0" w:color="auto"/>
              <w:left w:val="nil"/>
              <w:bottom w:val="single" w:sz="6" w:space="0" w:color="auto"/>
              <w:right w:val="nil"/>
            </w:tcBorders>
            <w:noWrap/>
            <w:vAlign w:val="center"/>
            <w:hideMark/>
          </w:tcPr>
          <w:p w:rsidR="00101839" w:rsidRPr="003252C3" w:rsidRDefault="00101839" w:rsidP="0045593E">
            <w:pPr>
              <w:pStyle w:val="TableHeaders"/>
            </w:pPr>
            <w:proofErr w:type="spellStart"/>
            <w:r w:rsidRPr="003252C3">
              <w:t>Frequency</w:t>
            </w:r>
            <w:r w:rsidRPr="003252C3">
              <w:rPr>
                <w:vertAlign w:val="superscript"/>
              </w:rPr>
              <w:t>a</w:t>
            </w:r>
            <w:proofErr w:type="spellEnd"/>
          </w:p>
        </w:tc>
        <w:tc>
          <w:tcPr>
            <w:tcW w:w="2160" w:type="dxa"/>
            <w:tcBorders>
              <w:top w:val="single" w:sz="12" w:space="0" w:color="auto"/>
              <w:left w:val="nil"/>
              <w:bottom w:val="single" w:sz="6" w:space="0" w:color="auto"/>
              <w:right w:val="nil"/>
            </w:tcBorders>
            <w:noWrap/>
            <w:vAlign w:val="center"/>
            <w:hideMark/>
          </w:tcPr>
          <w:p w:rsidR="00101839" w:rsidRPr="003252C3" w:rsidRDefault="00101839" w:rsidP="0045593E">
            <w:pPr>
              <w:pStyle w:val="TableHeaders"/>
            </w:pPr>
            <w:proofErr w:type="spellStart"/>
            <w:r w:rsidRPr="003252C3">
              <w:t>Percentage</w:t>
            </w:r>
            <w:r w:rsidRPr="003252C3">
              <w:rPr>
                <w:vertAlign w:val="superscript"/>
              </w:rPr>
              <w:t>a</w:t>
            </w:r>
            <w:proofErr w:type="spellEnd"/>
          </w:p>
        </w:tc>
      </w:tr>
      <w:tr w:rsidR="00101839" w:rsidRPr="003252C3" w:rsidTr="00101839">
        <w:trPr>
          <w:cantSplit/>
        </w:trPr>
        <w:tc>
          <w:tcPr>
            <w:tcW w:w="4605" w:type="dxa"/>
            <w:tcBorders>
              <w:top w:val="single" w:sz="6" w:space="0" w:color="auto"/>
              <w:left w:val="nil"/>
              <w:bottom w:val="nil"/>
              <w:right w:val="nil"/>
            </w:tcBorders>
            <w:noWrap/>
            <w:vAlign w:val="bottom"/>
            <w:hideMark/>
          </w:tcPr>
          <w:p w:rsidR="00101839" w:rsidRPr="003252C3" w:rsidRDefault="00101839" w:rsidP="00101839">
            <w:pPr>
              <w:spacing w:before="100" w:beforeAutospacing="1" w:after="100" w:afterAutospacing="1" w:line="240" w:lineRule="auto"/>
              <w:rPr>
                <w:rFonts w:eastAsia="Times New Roman" w:cs="Times New Roman"/>
              </w:rPr>
            </w:pPr>
            <w:r w:rsidRPr="003252C3">
              <w:rPr>
                <w:rFonts w:eastAsia="Times New Roman" w:cs="Times New Roman"/>
              </w:rPr>
              <w:t>Included</w:t>
            </w:r>
          </w:p>
        </w:tc>
        <w:tc>
          <w:tcPr>
            <w:tcW w:w="2160" w:type="dxa"/>
            <w:tcBorders>
              <w:top w:val="single" w:sz="6" w:space="0" w:color="auto"/>
              <w:left w:val="nil"/>
              <w:bottom w:val="nil"/>
              <w:right w:val="nil"/>
            </w:tcBorders>
            <w:noWrap/>
            <w:vAlign w:val="bottom"/>
            <w:hideMark/>
          </w:tcPr>
          <w:p w:rsidR="00101839" w:rsidRPr="003252C3" w:rsidRDefault="00101839" w:rsidP="00101839">
            <w:pPr>
              <w:tabs>
                <w:tab w:val="decimal" w:pos="972"/>
              </w:tabs>
              <w:spacing w:before="100" w:beforeAutospacing="1" w:after="100" w:afterAutospacing="1" w:line="240" w:lineRule="auto"/>
              <w:jc w:val="center"/>
              <w:rPr>
                <w:rFonts w:eastAsia="Times New Roman" w:cs="Times New Roman"/>
                <w:color w:val="000000"/>
              </w:rPr>
            </w:pPr>
            <w:r w:rsidRPr="003252C3">
              <w:rPr>
                <w:rFonts w:eastAsia="Times New Roman" w:cs="Times New Roman"/>
                <w:color w:val="000000"/>
              </w:rPr>
              <w:t>1,154,742</w:t>
            </w:r>
          </w:p>
        </w:tc>
        <w:tc>
          <w:tcPr>
            <w:tcW w:w="2160" w:type="dxa"/>
            <w:tcBorders>
              <w:top w:val="single" w:sz="6" w:space="0" w:color="auto"/>
              <w:left w:val="nil"/>
              <w:bottom w:val="nil"/>
              <w:right w:val="nil"/>
            </w:tcBorders>
            <w:noWrap/>
            <w:vAlign w:val="bottom"/>
            <w:hideMark/>
          </w:tcPr>
          <w:p w:rsidR="00101839" w:rsidRPr="003252C3" w:rsidRDefault="00101839" w:rsidP="00101839">
            <w:pPr>
              <w:tabs>
                <w:tab w:val="decimal" w:pos="882"/>
              </w:tabs>
              <w:spacing w:before="100" w:beforeAutospacing="1" w:after="100" w:afterAutospacing="1" w:line="240" w:lineRule="auto"/>
              <w:rPr>
                <w:rFonts w:eastAsia="Times New Roman" w:cs="Times New Roman"/>
                <w:color w:val="000000"/>
              </w:rPr>
            </w:pPr>
            <w:r w:rsidRPr="003252C3">
              <w:rPr>
                <w:rFonts w:eastAsia="Times New Roman" w:cs="Times New Roman"/>
                <w:color w:val="000000"/>
              </w:rPr>
              <w:t>98.0%</w:t>
            </w:r>
          </w:p>
        </w:tc>
      </w:tr>
      <w:tr w:rsidR="00101839" w:rsidRPr="003252C3" w:rsidTr="00101839">
        <w:trPr>
          <w:cantSplit/>
        </w:trPr>
        <w:tc>
          <w:tcPr>
            <w:tcW w:w="4605" w:type="dxa"/>
            <w:noWrap/>
            <w:vAlign w:val="bottom"/>
            <w:hideMark/>
          </w:tcPr>
          <w:p w:rsidR="00101839" w:rsidRPr="003252C3" w:rsidRDefault="00101839" w:rsidP="00101839">
            <w:pPr>
              <w:spacing w:before="100" w:beforeAutospacing="1" w:after="100" w:afterAutospacing="1" w:line="240" w:lineRule="auto"/>
              <w:rPr>
                <w:rFonts w:eastAsia="Times New Roman" w:cs="Times New Roman"/>
              </w:rPr>
            </w:pPr>
            <w:r w:rsidRPr="003252C3">
              <w:rPr>
                <w:rFonts w:eastAsia="Times New Roman" w:cs="Times New Roman"/>
              </w:rPr>
              <w:t>Excluded—Missing data</w:t>
            </w:r>
          </w:p>
        </w:tc>
        <w:tc>
          <w:tcPr>
            <w:tcW w:w="2160" w:type="dxa"/>
            <w:noWrap/>
            <w:vAlign w:val="bottom"/>
            <w:hideMark/>
          </w:tcPr>
          <w:p w:rsidR="00101839" w:rsidRPr="003252C3" w:rsidRDefault="00101839" w:rsidP="00101839">
            <w:pPr>
              <w:tabs>
                <w:tab w:val="decimal" w:pos="972"/>
              </w:tabs>
              <w:spacing w:before="100" w:beforeAutospacing="1" w:after="100" w:afterAutospacing="1" w:line="240" w:lineRule="auto"/>
              <w:jc w:val="center"/>
              <w:rPr>
                <w:rFonts w:eastAsia="Times New Roman" w:cs="Times New Roman"/>
                <w:color w:val="000000"/>
              </w:rPr>
            </w:pPr>
            <w:r w:rsidRPr="003252C3">
              <w:rPr>
                <w:rFonts w:eastAsia="Times New Roman" w:cs="Times New Roman"/>
                <w:color w:val="000000"/>
              </w:rPr>
              <w:t>838</w:t>
            </w:r>
          </w:p>
        </w:tc>
        <w:tc>
          <w:tcPr>
            <w:tcW w:w="2160" w:type="dxa"/>
            <w:noWrap/>
            <w:vAlign w:val="bottom"/>
            <w:hideMark/>
          </w:tcPr>
          <w:p w:rsidR="00101839" w:rsidRPr="003252C3" w:rsidRDefault="00101839" w:rsidP="00101839">
            <w:pPr>
              <w:tabs>
                <w:tab w:val="decimal" w:pos="882"/>
              </w:tabs>
              <w:spacing w:before="100" w:beforeAutospacing="1" w:after="100" w:afterAutospacing="1" w:line="240" w:lineRule="auto"/>
              <w:rPr>
                <w:rFonts w:eastAsia="Times New Roman" w:cs="Times New Roman"/>
                <w:color w:val="000000"/>
              </w:rPr>
            </w:pPr>
            <w:r w:rsidRPr="003252C3">
              <w:rPr>
                <w:rFonts w:eastAsia="Times New Roman" w:cs="Times New Roman"/>
                <w:color w:val="000000"/>
              </w:rPr>
              <w:t>0.1%</w:t>
            </w:r>
          </w:p>
        </w:tc>
      </w:tr>
      <w:tr w:rsidR="00101839" w:rsidRPr="003252C3" w:rsidTr="00101839">
        <w:trPr>
          <w:cantSplit/>
        </w:trPr>
        <w:tc>
          <w:tcPr>
            <w:tcW w:w="4605" w:type="dxa"/>
            <w:noWrap/>
            <w:vAlign w:val="bottom"/>
            <w:hideMark/>
          </w:tcPr>
          <w:p w:rsidR="00101839" w:rsidRPr="003252C3" w:rsidRDefault="00101839" w:rsidP="00101839">
            <w:pPr>
              <w:spacing w:before="100" w:beforeAutospacing="1" w:after="100" w:afterAutospacing="1" w:line="240" w:lineRule="auto"/>
              <w:rPr>
                <w:rFonts w:eastAsia="Times New Roman" w:cs="Times New Roman"/>
              </w:rPr>
            </w:pPr>
            <w:r w:rsidRPr="003252C3">
              <w:rPr>
                <w:rFonts w:eastAsia="Times New Roman" w:cs="Times New Roman"/>
              </w:rPr>
              <w:t>Excluded—Wrong target assessment (admission, 5-day, or readmission/return assessment)</w:t>
            </w:r>
          </w:p>
        </w:tc>
        <w:tc>
          <w:tcPr>
            <w:tcW w:w="2160" w:type="dxa"/>
            <w:noWrap/>
            <w:vAlign w:val="bottom"/>
            <w:hideMark/>
          </w:tcPr>
          <w:p w:rsidR="00101839" w:rsidRPr="003252C3" w:rsidRDefault="00101839" w:rsidP="00101839">
            <w:pPr>
              <w:tabs>
                <w:tab w:val="decimal" w:pos="972"/>
              </w:tabs>
              <w:spacing w:before="100" w:beforeAutospacing="1" w:after="100" w:afterAutospacing="1" w:line="240" w:lineRule="auto"/>
              <w:jc w:val="center"/>
              <w:rPr>
                <w:rFonts w:eastAsia="Times New Roman" w:cs="Times New Roman"/>
                <w:color w:val="000000"/>
              </w:rPr>
            </w:pPr>
            <w:r w:rsidRPr="003252C3">
              <w:rPr>
                <w:rFonts w:eastAsia="Times New Roman" w:cs="Times New Roman"/>
                <w:color w:val="000000"/>
              </w:rPr>
              <w:t>21,931</w:t>
            </w:r>
          </w:p>
        </w:tc>
        <w:tc>
          <w:tcPr>
            <w:tcW w:w="2160" w:type="dxa"/>
            <w:noWrap/>
            <w:vAlign w:val="bottom"/>
            <w:hideMark/>
          </w:tcPr>
          <w:p w:rsidR="00101839" w:rsidRPr="003252C3" w:rsidRDefault="00101839" w:rsidP="00101839">
            <w:pPr>
              <w:tabs>
                <w:tab w:val="decimal" w:pos="882"/>
              </w:tabs>
              <w:spacing w:before="100" w:beforeAutospacing="1" w:after="100" w:afterAutospacing="1" w:line="240" w:lineRule="auto"/>
              <w:rPr>
                <w:rFonts w:eastAsia="Times New Roman" w:cs="Times New Roman"/>
                <w:color w:val="000000"/>
              </w:rPr>
            </w:pPr>
            <w:r w:rsidRPr="003252C3">
              <w:rPr>
                <w:rFonts w:eastAsia="Times New Roman" w:cs="Times New Roman"/>
                <w:color w:val="000000"/>
              </w:rPr>
              <w:t>1.9%</w:t>
            </w:r>
          </w:p>
        </w:tc>
      </w:tr>
      <w:tr w:rsidR="00101839" w:rsidRPr="003252C3" w:rsidTr="00101839">
        <w:trPr>
          <w:cantSplit/>
        </w:trPr>
        <w:tc>
          <w:tcPr>
            <w:tcW w:w="4605" w:type="dxa"/>
            <w:tcBorders>
              <w:top w:val="single" w:sz="4" w:space="0" w:color="auto"/>
              <w:left w:val="nil"/>
              <w:bottom w:val="single" w:sz="12" w:space="0" w:color="auto"/>
              <w:right w:val="nil"/>
            </w:tcBorders>
            <w:noWrap/>
            <w:vAlign w:val="bottom"/>
            <w:hideMark/>
          </w:tcPr>
          <w:p w:rsidR="00101839" w:rsidRPr="003252C3" w:rsidRDefault="00101839" w:rsidP="00101839">
            <w:pPr>
              <w:spacing w:before="100" w:beforeAutospacing="1" w:after="100" w:afterAutospacing="1" w:line="240" w:lineRule="auto"/>
              <w:rPr>
                <w:rFonts w:eastAsia="Times New Roman" w:cs="Times New Roman"/>
              </w:rPr>
            </w:pPr>
            <w:r w:rsidRPr="003252C3">
              <w:rPr>
                <w:rFonts w:eastAsia="Times New Roman" w:cs="Times New Roman"/>
              </w:rPr>
              <w:t>Total number of long-stay resident episodes</w:t>
            </w:r>
          </w:p>
        </w:tc>
        <w:tc>
          <w:tcPr>
            <w:tcW w:w="2160" w:type="dxa"/>
            <w:tcBorders>
              <w:top w:val="single" w:sz="4" w:space="0" w:color="auto"/>
              <w:left w:val="nil"/>
              <w:bottom w:val="single" w:sz="12" w:space="0" w:color="auto"/>
              <w:right w:val="nil"/>
            </w:tcBorders>
            <w:noWrap/>
            <w:vAlign w:val="bottom"/>
            <w:hideMark/>
          </w:tcPr>
          <w:p w:rsidR="00101839" w:rsidRPr="003252C3" w:rsidRDefault="00101839" w:rsidP="00101839">
            <w:pPr>
              <w:tabs>
                <w:tab w:val="decimal" w:pos="972"/>
              </w:tabs>
              <w:spacing w:before="100" w:beforeAutospacing="1" w:after="100" w:afterAutospacing="1" w:line="240" w:lineRule="auto"/>
              <w:jc w:val="center"/>
              <w:rPr>
                <w:rFonts w:eastAsia="Times New Roman" w:cs="Times New Roman"/>
                <w:color w:val="000000"/>
              </w:rPr>
            </w:pPr>
            <w:r w:rsidRPr="003252C3">
              <w:rPr>
                <w:rFonts w:eastAsia="Times New Roman" w:cs="Times New Roman"/>
                <w:color w:val="000000"/>
              </w:rPr>
              <w:t>1,177,501</w:t>
            </w:r>
          </w:p>
        </w:tc>
        <w:tc>
          <w:tcPr>
            <w:tcW w:w="2160" w:type="dxa"/>
            <w:tcBorders>
              <w:top w:val="single" w:sz="4" w:space="0" w:color="auto"/>
              <w:left w:val="nil"/>
              <w:bottom w:val="single" w:sz="12" w:space="0" w:color="auto"/>
              <w:right w:val="nil"/>
            </w:tcBorders>
            <w:noWrap/>
            <w:vAlign w:val="bottom"/>
            <w:hideMark/>
          </w:tcPr>
          <w:p w:rsidR="00101839" w:rsidRPr="003252C3" w:rsidRDefault="00101839" w:rsidP="00101839">
            <w:pPr>
              <w:tabs>
                <w:tab w:val="decimal" w:pos="882"/>
              </w:tabs>
              <w:spacing w:before="100" w:beforeAutospacing="1" w:after="100" w:afterAutospacing="1" w:line="240" w:lineRule="auto"/>
              <w:rPr>
                <w:rFonts w:eastAsia="Times New Roman" w:cs="Times New Roman"/>
                <w:color w:val="000000"/>
                <w:highlight w:val="yellow"/>
              </w:rPr>
            </w:pPr>
            <w:r w:rsidRPr="003252C3">
              <w:rPr>
                <w:rFonts w:eastAsia="Times New Roman" w:cs="Times New Roman"/>
                <w:color w:val="000000"/>
              </w:rPr>
              <w:t>—</w:t>
            </w:r>
          </w:p>
        </w:tc>
      </w:tr>
    </w:tbl>
    <w:p w:rsidR="00101839" w:rsidRPr="008B6D6F" w:rsidRDefault="00101839" w:rsidP="009575D2">
      <w:pPr>
        <w:keepLines/>
        <w:spacing w:before="40" w:after="40" w:line="240" w:lineRule="auto"/>
        <w:contextualSpacing/>
        <w:rPr>
          <w:rFonts w:eastAsia="Times New Roman" w:cs="Times New Roman"/>
        </w:rPr>
      </w:pPr>
      <w:r w:rsidRPr="008B6D6F">
        <w:rPr>
          <w:rFonts w:eastAsia="Times New Roman" w:cs="Times New Roman"/>
          <w:sz w:val="18"/>
        </w:rPr>
        <w:t xml:space="preserve">NOTES: </w:t>
      </w:r>
    </w:p>
    <w:p w:rsidR="00101839" w:rsidRPr="008B6D6F" w:rsidRDefault="00101839" w:rsidP="009575D2">
      <w:pPr>
        <w:keepLines/>
        <w:spacing w:before="40" w:after="40" w:line="240" w:lineRule="auto"/>
        <w:contextualSpacing/>
        <w:rPr>
          <w:rFonts w:eastAsia="Times New Roman" w:cs="Times New Roman"/>
          <w:sz w:val="18"/>
        </w:rPr>
      </w:pPr>
      <w:proofErr w:type="gramStart"/>
      <w:r w:rsidRPr="008B6D6F">
        <w:rPr>
          <w:rFonts w:eastAsia="Times New Roman" w:cs="Times New Roman"/>
          <w:sz w:val="18"/>
          <w:vertAlign w:val="superscript"/>
        </w:rPr>
        <w:t>a</w:t>
      </w:r>
      <w:proofErr w:type="gramEnd"/>
      <w:r w:rsidRPr="008B6D6F">
        <w:rPr>
          <w:rFonts w:eastAsia="Times New Roman" w:cs="Times New Roman"/>
          <w:sz w:val="18"/>
          <w:vertAlign w:val="superscript"/>
        </w:rPr>
        <w:t xml:space="preserve"> </w:t>
      </w:r>
      <w:r w:rsidRPr="008B6D6F">
        <w:rPr>
          <w:rFonts w:eastAsia="Times New Roman" w:cs="Times New Roman"/>
          <w:sz w:val="18"/>
          <w:vertAlign w:val="superscript"/>
        </w:rPr>
        <w:tab/>
      </w:r>
      <w:r w:rsidRPr="008B6D6F">
        <w:rPr>
          <w:rFonts w:eastAsia="Times New Roman" w:cs="Times New Roman"/>
          <w:sz w:val="18"/>
        </w:rPr>
        <w:t>Column values may not add up to total since a resident episode can meet more than one exclusion criteria.  Percentage column reflects percentage of target assessments in each category out of total resident episodes in long-stay population.</w:t>
      </w:r>
    </w:p>
    <w:p w:rsidR="00101839" w:rsidRPr="008B6D6F" w:rsidRDefault="00101839" w:rsidP="009575D2">
      <w:pPr>
        <w:keepLines/>
        <w:spacing w:before="40" w:after="40" w:line="240" w:lineRule="auto"/>
        <w:contextualSpacing/>
        <w:rPr>
          <w:rFonts w:eastAsia="Times New Roman" w:cs="Times New Roman"/>
          <w:sz w:val="18"/>
        </w:rPr>
      </w:pPr>
      <w:r w:rsidRPr="008B6D6F">
        <w:rPr>
          <w:rFonts w:eastAsia="Times New Roman" w:cs="Times New Roman"/>
          <w:sz w:val="18"/>
        </w:rPr>
        <w:t>Analysis date: 8/27/13</w:t>
      </w:r>
    </w:p>
    <w:p w:rsidR="00101839" w:rsidRPr="008B6D6F" w:rsidRDefault="00101839" w:rsidP="009575D2">
      <w:pPr>
        <w:keepLines/>
        <w:spacing w:before="40" w:after="40" w:line="240" w:lineRule="auto"/>
        <w:contextualSpacing/>
        <w:rPr>
          <w:rFonts w:eastAsia="Times New Roman" w:cs="Times New Roman"/>
          <w:color w:val="1F497D"/>
          <w:sz w:val="18"/>
        </w:rPr>
      </w:pPr>
      <w:r w:rsidRPr="008B6D6F">
        <w:rPr>
          <w:rFonts w:eastAsia="Times New Roman" w:cs="Times New Roman"/>
          <w:sz w:val="18"/>
        </w:rPr>
        <w:t>SOURCE: RTI analysis of MDS 3.0 episode file f</w:t>
      </w:r>
      <w:r w:rsidR="00721E1E" w:rsidRPr="008B6D6F">
        <w:rPr>
          <w:rFonts w:eastAsia="Times New Roman" w:cs="Times New Roman"/>
          <w:sz w:val="18"/>
        </w:rPr>
        <w:t>or Quarter 1</w:t>
      </w:r>
      <w:r w:rsidRPr="008B6D6F">
        <w:rPr>
          <w:rFonts w:eastAsia="Times New Roman" w:cs="Times New Roman"/>
          <w:sz w:val="18"/>
        </w:rPr>
        <w:t xml:space="preserve">, </w:t>
      </w:r>
      <w:proofErr w:type="gramStart"/>
      <w:r w:rsidRPr="008B6D6F">
        <w:rPr>
          <w:rFonts w:eastAsia="Times New Roman" w:cs="Times New Roman"/>
          <w:sz w:val="18"/>
        </w:rPr>
        <w:t>2013  (</w:t>
      </w:r>
      <w:proofErr w:type="gramEnd"/>
      <w:r w:rsidR="00AD0FAB" w:rsidRPr="00AD0FAB">
        <w:fldChar w:fldCharType="begin"/>
      </w:r>
      <w:r w:rsidR="00956B62">
        <w:instrText xml:space="preserve"> HYPERLINK "file:///\\\\rtimas04\\hser\\Project\\0211942\\001%20%20MIDS-NHQ\\004%20Testing%20and%20Validation\\common\\ykaganova\\db\\quarter_4_5\\db127_request_v1.log" </w:instrText>
      </w:r>
      <w:r w:rsidR="00AD0FAB" w:rsidRPr="00AD0FAB">
        <w:fldChar w:fldCharType="separate"/>
      </w:r>
      <w:r w:rsidRPr="008B6D6F">
        <w:rPr>
          <w:rFonts w:eastAsia="Times New Roman" w:cs="Times New Roman"/>
          <w:sz w:val="18"/>
        </w:rPr>
        <w:t>\quarter_10_11\db267_request.log</w:t>
      </w:r>
      <w:r w:rsidR="00AD0FAB">
        <w:rPr>
          <w:rFonts w:eastAsia="Times New Roman" w:cs="Times New Roman"/>
          <w:sz w:val="18"/>
        </w:rPr>
        <w:fldChar w:fldCharType="end"/>
      </w:r>
      <w:r w:rsidRPr="008B6D6F">
        <w:rPr>
          <w:rFonts w:eastAsia="Times New Roman" w:cs="Times New Roman"/>
          <w:sz w:val="18"/>
        </w:rPr>
        <w:t>).</w:t>
      </w:r>
    </w:p>
    <w:bookmarkEnd w:id="14"/>
    <w:bookmarkEnd w:id="15"/>
    <w:p w:rsidR="00101839" w:rsidRPr="00532886" w:rsidRDefault="00101839" w:rsidP="00C3761D">
      <w:pPr>
        <w:pStyle w:val="BodyText"/>
      </w:pPr>
      <w:r w:rsidRPr="00956B62">
        <w:rPr>
          <w:b/>
          <w:bCs/>
        </w:rPr>
        <w:t xml:space="preserve">Table </w:t>
      </w:r>
      <w:r w:rsidR="00BC2EA6" w:rsidRPr="00956B62">
        <w:rPr>
          <w:b/>
          <w:bCs/>
        </w:rPr>
        <w:t>2</w:t>
      </w:r>
      <w:r w:rsidR="00BC2EA6" w:rsidRPr="00532886">
        <w:t xml:space="preserve"> </w:t>
      </w:r>
      <w:r w:rsidRPr="00532886">
        <w:t xml:space="preserve">provides summary statistics for an analysis of the distribution of missing data rates for facilities reporting on this measure. Missing data are rare for this measure: the facility-level mean missing data rate </w:t>
      </w:r>
      <w:r w:rsidR="00A272D7" w:rsidRPr="00532886">
        <w:t>for</w:t>
      </w:r>
      <w:r w:rsidRPr="00532886">
        <w:t xml:space="preserve"> items used to calculate this measure is 0.1 percent</w:t>
      </w:r>
      <w:proofErr w:type="gramStart"/>
      <w:r w:rsidR="00A272D7" w:rsidRPr="00532886">
        <w:t xml:space="preserve">; </w:t>
      </w:r>
      <w:r w:rsidRPr="00532886">
        <w:t xml:space="preserve"> over</w:t>
      </w:r>
      <w:proofErr w:type="gramEnd"/>
      <w:r w:rsidRPr="00532886">
        <w:t xml:space="preserve"> 90 percent of facilities have no missing data.</w:t>
      </w:r>
    </w:p>
    <w:p w:rsidR="00101839" w:rsidRPr="008B6D6F" w:rsidRDefault="00101839" w:rsidP="009575D2">
      <w:pPr>
        <w:pStyle w:val="TableTitle"/>
        <w:spacing w:before="200"/>
      </w:pPr>
      <w:bookmarkStart w:id="16" w:name="_Toc335304103"/>
      <w:bookmarkStart w:id="17" w:name="_Toc338834049"/>
      <w:r w:rsidRPr="008B6D6F">
        <w:t xml:space="preserve">Table </w:t>
      </w:r>
      <w:r w:rsidR="008B6D6F">
        <w:t>2</w:t>
      </w:r>
      <w:r w:rsidRPr="008B6D6F">
        <w:br/>
        <w:t>Distribution of facility-level missing rate for QM #0684 Percent of Residents with a Urinary Tract Infection (Long Stay)</w:t>
      </w:r>
      <w:bookmarkEnd w:id="16"/>
      <w:bookmarkEnd w:id="17"/>
    </w:p>
    <w:tbl>
      <w:tblPr>
        <w:tblW w:w="5000" w:type="pct"/>
        <w:tblLook w:val="00A0"/>
      </w:tblPr>
      <w:tblGrid>
        <w:gridCol w:w="890"/>
        <w:gridCol w:w="1030"/>
        <w:gridCol w:w="1088"/>
        <w:gridCol w:w="1316"/>
        <w:gridCol w:w="1316"/>
        <w:gridCol w:w="1316"/>
        <w:gridCol w:w="1316"/>
        <w:gridCol w:w="1304"/>
      </w:tblGrid>
      <w:tr w:rsidR="00101839" w:rsidRPr="0045593E" w:rsidTr="00101839">
        <w:trPr>
          <w:cantSplit/>
          <w:tblHeader/>
        </w:trPr>
        <w:tc>
          <w:tcPr>
            <w:tcW w:w="465" w:type="pct"/>
            <w:tcBorders>
              <w:top w:val="single" w:sz="12" w:space="0" w:color="auto"/>
            </w:tcBorders>
            <w:vAlign w:val="bottom"/>
          </w:tcPr>
          <w:p w:rsidR="00101839" w:rsidRPr="0045593E" w:rsidRDefault="00101839" w:rsidP="00101839">
            <w:pPr>
              <w:keepNext/>
              <w:spacing w:before="20" w:after="20" w:line="240" w:lineRule="exact"/>
              <w:jc w:val="center"/>
              <w:rPr>
                <w:rFonts w:eastAsia="Times New Roman" w:cs="Times New Roman"/>
                <w:i/>
                <w:iCs/>
                <w:snapToGrid w:val="0"/>
              </w:rPr>
            </w:pPr>
            <w:r w:rsidRPr="0045593E">
              <w:rPr>
                <w:rFonts w:eastAsia="Times New Roman" w:cs="Times New Roman"/>
                <w:i/>
                <w:iCs/>
                <w:snapToGrid w:val="0"/>
              </w:rPr>
              <w:t>n</w:t>
            </w:r>
          </w:p>
        </w:tc>
        <w:tc>
          <w:tcPr>
            <w:tcW w:w="538" w:type="pct"/>
            <w:tcBorders>
              <w:top w:val="single" w:sz="12" w:space="0" w:color="auto"/>
            </w:tcBorders>
            <w:vAlign w:val="bottom"/>
          </w:tcPr>
          <w:p w:rsidR="00101839" w:rsidRPr="0045593E" w:rsidRDefault="00101839" w:rsidP="0045593E">
            <w:pPr>
              <w:pStyle w:val="TableHeaders"/>
            </w:pPr>
            <w:r w:rsidRPr="0045593E">
              <w:t xml:space="preserve">Mean </w:t>
            </w:r>
          </w:p>
        </w:tc>
        <w:tc>
          <w:tcPr>
            <w:tcW w:w="568" w:type="pct"/>
            <w:tcBorders>
              <w:top w:val="single" w:sz="12" w:space="0" w:color="auto"/>
            </w:tcBorders>
            <w:vAlign w:val="bottom"/>
          </w:tcPr>
          <w:p w:rsidR="00101839" w:rsidRPr="0045593E" w:rsidRDefault="00101839" w:rsidP="0045593E">
            <w:pPr>
              <w:pStyle w:val="TableHeaders"/>
            </w:pPr>
            <w:r w:rsidRPr="0045593E">
              <w:t>Std dev.</w:t>
            </w:r>
          </w:p>
        </w:tc>
        <w:tc>
          <w:tcPr>
            <w:tcW w:w="687" w:type="pct"/>
            <w:tcBorders>
              <w:top w:val="single" w:sz="12" w:space="0" w:color="auto"/>
            </w:tcBorders>
            <w:vAlign w:val="bottom"/>
          </w:tcPr>
          <w:p w:rsidR="00101839" w:rsidRPr="0045593E" w:rsidRDefault="00101839" w:rsidP="0045593E">
            <w:pPr>
              <w:pStyle w:val="TableHeaders"/>
            </w:pPr>
            <w:r w:rsidRPr="0045593E">
              <w:t xml:space="preserve">10th </w:t>
            </w:r>
            <w:r w:rsidRPr="0045593E">
              <w:br/>
              <w:t>percentile</w:t>
            </w:r>
          </w:p>
        </w:tc>
        <w:tc>
          <w:tcPr>
            <w:tcW w:w="687" w:type="pct"/>
            <w:tcBorders>
              <w:top w:val="single" w:sz="12" w:space="0" w:color="auto"/>
            </w:tcBorders>
            <w:vAlign w:val="bottom"/>
          </w:tcPr>
          <w:p w:rsidR="00101839" w:rsidRPr="0045593E" w:rsidRDefault="00101839" w:rsidP="0045593E">
            <w:pPr>
              <w:pStyle w:val="TableHeaders"/>
            </w:pPr>
            <w:r w:rsidRPr="0045593E">
              <w:t xml:space="preserve">25th </w:t>
            </w:r>
            <w:r w:rsidRPr="0045593E">
              <w:br/>
              <w:t>percentile</w:t>
            </w:r>
          </w:p>
        </w:tc>
        <w:tc>
          <w:tcPr>
            <w:tcW w:w="687" w:type="pct"/>
            <w:tcBorders>
              <w:top w:val="single" w:sz="12" w:space="0" w:color="auto"/>
            </w:tcBorders>
            <w:vAlign w:val="bottom"/>
          </w:tcPr>
          <w:p w:rsidR="00101839" w:rsidRPr="0045593E" w:rsidRDefault="00101839" w:rsidP="0045593E">
            <w:pPr>
              <w:pStyle w:val="TableHeaders"/>
            </w:pPr>
            <w:r w:rsidRPr="0045593E">
              <w:t xml:space="preserve">50th </w:t>
            </w:r>
            <w:r w:rsidRPr="0045593E">
              <w:br/>
              <w:t>percentile</w:t>
            </w:r>
          </w:p>
        </w:tc>
        <w:tc>
          <w:tcPr>
            <w:tcW w:w="687" w:type="pct"/>
            <w:tcBorders>
              <w:top w:val="single" w:sz="12" w:space="0" w:color="auto"/>
            </w:tcBorders>
            <w:vAlign w:val="bottom"/>
          </w:tcPr>
          <w:p w:rsidR="00101839" w:rsidRPr="0045593E" w:rsidRDefault="00101839" w:rsidP="0045593E">
            <w:pPr>
              <w:pStyle w:val="TableHeaders"/>
            </w:pPr>
            <w:r w:rsidRPr="0045593E">
              <w:t xml:space="preserve">75th </w:t>
            </w:r>
            <w:r w:rsidRPr="0045593E">
              <w:br/>
              <w:t>percentile</w:t>
            </w:r>
          </w:p>
        </w:tc>
        <w:tc>
          <w:tcPr>
            <w:tcW w:w="681" w:type="pct"/>
            <w:tcBorders>
              <w:top w:val="single" w:sz="12" w:space="0" w:color="auto"/>
            </w:tcBorders>
            <w:vAlign w:val="bottom"/>
          </w:tcPr>
          <w:p w:rsidR="00101839" w:rsidRPr="0045593E" w:rsidRDefault="00101839" w:rsidP="0045593E">
            <w:pPr>
              <w:pStyle w:val="TableHeaders"/>
            </w:pPr>
            <w:r w:rsidRPr="0045593E">
              <w:t xml:space="preserve">90th </w:t>
            </w:r>
            <w:r w:rsidRPr="0045593E">
              <w:br/>
              <w:t>percentile</w:t>
            </w:r>
          </w:p>
        </w:tc>
      </w:tr>
      <w:tr w:rsidR="00101839" w:rsidRPr="008B6D6F" w:rsidTr="00101839">
        <w:trPr>
          <w:cantSplit/>
        </w:trPr>
        <w:tc>
          <w:tcPr>
            <w:tcW w:w="465"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13,773</w:t>
            </w:r>
          </w:p>
        </w:tc>
        <w:tc>
          <w:tcPr>
            <w:tcW w:w="538"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0.1%</w:t>
            </w:r>
          </w:p>
        </w:tc>
        <w:tc>
          <w:tcPr>
            <w:tcW w:w="568"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0.8%</w:t>
            </w:r>
          </w:p>
        </w:tc>
        <w:tc>
          <w:tcPr>
            <w:tcW w:w="687"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87"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87"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87"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81" w:type="pct"/>
            <w:tcBorders>
              <w:top w:val="single" w:sz="6" w:space="0" w:color="auto"/>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1"/>
                <w:szCs w:val="21"/>
              </w:rPr>
            </w:pPr>
            <w:r w:rsidRPr="008B6D6F">
              <w:rPr>
                <w:rFonts w:eastAsia="Times New Roman" w:cs="Times New Roman"/>
                <w:color w:val="000000"/>
                <w:sz w:val="21"/>
                <w:szCs w:val="21"/>
              </w:rPr>
              <w:t>0.0%</w:t>
            </w:r>
          </w:p>
        </w:tc>
      </w:tr>
    </w:tbl>
    <w:p w:rsidR="00101839" w:rsidRPr="008B6D6F" w:rsidRDefault="00101839" w:rsidP="009575D2">
      <w:pPr>
        <w:keepLines/>
        <w:spacing w:after="40" w:line="240" w:lineRule="auto"/>
        <w:contextualSpacing/>
        <w:rPr>
          <w:rFonts w:eastAsia="Times New Roman" w:cs="Times New Roman"/>
          <w:sz w:val="18"/>
          <w:szCs w:val="18"/>
        </w:rPr>
      </w:pPr>
      <w:r w:rsidRPr="008B6D6F">
        <w:rPr>
          <w:rFonts w:eastAsia="Times New Roman" w:cs="Times New Roman"/>
          <w:sz w:val="18"/>
          <w:szCs w:val="18"/>
        </w:rPr>
        <w:t>NOTES:</w:t>
      </w:r>
    </w:p>
    <w:p w:rsidR="00101839" w:rsidRPr="008B6D6F" w:rsidRDefault="00101839" w:rsidP="009575D2">
      <w:pPr>
        <w:keepLines/>
        <w:spacing w:after="40" w:line="240" w:lineRule="auto"/>
        <w:contextualSpacing/>
        <w:rPr>
          <w:rFonts w:eastAsia="Times New Roman" w:cs="Times New Roman"/>
          <w:sz w:val="18"/>
          <w:szCs w:val="18"/>
        </w:rPr>
      </w:pPr>
      <w:r w:rsidRPr="008B6D6F">
        <w:rPr>
          <w:rFonts w:eastAsia="Times New Roman" w:cs="Times New Roman"/>
          <w:i/>
          <w:sz w:val="18"/>
          <w:szCs w:val="18"/>
        </w:rPr>
        <w:t>n</w:t>
      </w:r>
      <w:r w:rsidRPr="008B6D6F">
        <w:rPr>
          <w:rFonts w:eastAsia="Times New Roman" w:cs="Times New Roman"/>
          <w:sz w:val="18"/>
          <w:szCs w:val="18"/>
        </w:rPr>
        <w:t xml:space="preserve"> = number of facilities who have data for the numerator and denominator of this QM before assessment exclusion criteria are applied; facilities are included regardless of whether they meet the minimum sample size for reporting. </w:t>
      </w:r>
    </w:p>
    <w:p w:rsidR="00101839" w:rsidRPr="008B6D6F" w:rsidRDefault="00101839" w:rsidP="009575D2">
      <w:pPr>
        <w:keepLines/>
        <w:spacing w:after="40" w:line="240" w:lineRule="auto"/>
        <w:contextualSpacing/>
        <w:rPr>
          <w:rFonts w:eastAsia="Times New Roman" w:cs="Times New Roman"/>
          <w:sz w:val="18"/>
          <w:szCs w:val="18"/>
        </w:rPr>
      </w:pPr>
      <w:r w:rsidRPr="008B6D6F">
        <w:rPr>
          <w:rFonts w:eastAsia="Times New Roman" w:cs="Times New Roman"/>
          <w:sz w:val="18"/>
          <w:szCs w:val="18"/>
        </w:rPr>
        <w:t>Analysis date: 8/6/2013</w:t>
      </w:r>
      <w:r w:rsidR="009575D2">
        <w:rPr>
          <w:rFonts w:eastAsia="Times New Roman" w:cs="Times New Roman"/>
          <w:sz w:val="18"/>
          <w:szCs w:val="18"/>
        </w:rPr>
        <w:t xml:space="preserve">. </w:t>
      </w:r>
      <w:r w:rsidRPr="008B6D6F">
        <w:rPr>
          <w:rFonts w:eastAsia="Times New Roman" w:cs="Times New Roman"/>
          <w:sz w:val="18"/>
          <w:szCs w:val="18"/>
        </w:rPr>
        <w:t>SOURCE: RTI analysis of MDS 3.0 episode file for Quarter 1, 2013 (\quarter_10_11\db243_request.log)</w:t>
      </w:r>
    </w:p>
    <w:p w:rsidR="00101839" w:rsidRPr="00532886" w:rsidRDefault="00101839" w:rsidP="00D51637">
      <w:pPr>
        <w:pStyle w:val="ListBullet2"/>
        <w:keepNext/>
        <w:spacing w:after="0"/>
      </w:pPr>
      <w:r w:rsidRPr="00532886">
        <w:lastRenderedPageBreak/>
        <w:t xml:space="preserve">We also examined the relationship between missing data and QM scores.  </w:t>
      </w:r>
    </w:p>
    <w:p w:rsidR="00101839" w:rsidRPr="00532886" w:rsidRDefault="00101839" w:rsidP="003252C3">
      <w:pPr>
        <w:pStyle w:val="ListBullet3"/>
      </w:pPr>
      <w:r w:rsidRPr="00956B62">
        <w:rPr>
          <w:b/>
          <w:bCs/>
        </w:rPr>
        <w:t xml:space="preserve">Table </w:t>
      </w:r>
      <w:r w:rsidR="00BC2EA6" w:rsidRPr="00956B62">
        <w:rPr>
          <w:b/>
          <w:bCs/>
        </w:rPr>
        <w:t>3</w:t>
      </w:r>
      <w:r w:rsidR="00BC2EA6" w:rsidRPr="00532886">
        <w:t xml:space="preserve"> </w:t>
      </w:r>
      <w:r w:rsidRPr="00532886">
        <w:t xml:space="preserve">shows the distributions of facility-level missing data rates stratified by quartile of QM scores for this measure.  The mean facility-level missing rate is less than or equal to 0.1 percent for each quartile of QM score. </w:t>
      </w:r>
    </w:p>
    <w:p w:rsidR="00101839" w:rsidRPr="00532886" w:rsidRDefault="00101839" w:rsidP="003252C3">
      <w:pPr>
        <w:pStyle w:val="ListBullet3"/>
      </w:pPr>
      <w:r w:rsidRPr="00532886">
        <w:t xml:space="preserve">There is a significant but weak correlation between missing data and QM scores for this measure (r = .031, p &lt; .001).  </w:t>
      </w:r>
    </w:p>
    <w:p w:rsidR="00101839" w:rsidRPr="00532886" w:rsidRDefault="00101839" w:rsidP="003252C3">
      <w:pPr>
        <w:pStyle w:val="ListBullet3"/>
      </w:pPr>
      <w:r w:rsidRPr="00532886">
        <w:t xml:space="preserve">Facilities with higher levels of missing data appear to have slightly greater proportions of residents with urinary tract infections, but the overall missing data rate is likely too small to have any meaningful </w:t>
      </w:r>
      <w:r w:rsidR="00A272D7" w:rsidRPr="00532886">
        <w:t>implications</w:t>
      </w:r>
      <w:r w:rsidRPr="00532886">
        <w:t xml:space="preserve"> for this measure.  </w:t>
      </w:r>
    </w:p>
    <w:p w:rsidR="00101839" w:rsidRPr="008B6D6F" w:rsidRDefault="00101839" w:rsidP="003252C3">
      <w:pPr>
        <w:pStyle w:val="TableTitle"/>
      </w:pPr>
      <w:bookmarkStart w:id="18" w:name="_Toc335304104"/>
      <w:bookmarkStart w:id="19" w:name="_Toc338834050"/>
      <w:r w:rsidRPr="008B6D6F">
        <w:t xml:space="preserve">Table </w:t>
      </w:r>
      <w:r w:rsidR="008B6D6F">
        <w:t>3</w:t>
      </w:r>
      <w:r w:rsidRPr="008B6D6F">
        <w:br/>
        <w:t xml:space="preserve">Distribution of facility-level missing rate for QM #0684 Percent of Residents </w:t>
      </w:r>
      <w:bookmarkEnd w:id="18"/>
      <w:bookmarkEnd w:id="19"/>
      <w:r w:rsidRPr="008B6D6F">
        <w:t>with a Urinary Tract Infection (Long Stay)</w:t>
      </w:r>
    </w:p>
    <w:tbl>
      <w:tblPr>
        <w:tblW w:w="4780" w:type="pct"/>
        <w:tblInd w:w="-72" w:type="dxa"/>
        <w:tblLook w:val="00A0"/>
      </w:tblPr>
      <w:tblGrid>
        <w:gridCol w:w="1064"/>
        <w:gridCol w:w="767"/>
        <w:gridCol w:w="826"/>
        <w:gridCol w:w="826"/>
        <w:gridCol w:w="1135"/>
        <w:gridCol w:w="1135"/>
        <w:gridCol w:w="1135"/>
        <w:gridCol w:w="1135"/>
        <w:gridCol w:w="1132"/>
      </w:tblGrid>
      <w:tr w:rsidR="00101839" w:rsidRPr="0045593E" w:rsidTr="00101839">
        <w:trPr>
          <w:cantSplit/>
          <w:tblHeader/>
        </w:trPr>
        <w:tc>
          <w:tcPr>
            <w:tcW w:w="581" w:type="pct"/>
            <w:tcBorders>
              <w:top w:val="single" w:sz="12" w:space="0" w:color="auto"/>
              <w:bottom w:val="single" w:sz="6" w:space="0" w:color="auto"/>
            </w:tcBorders>
            <w:vAlign w:val="bottom"/>
          </w:tcPr>
          <w:p w:rsidR="00101839" w:rsidRPr="0045593E" w:rsidRDefault="00101839" w:rsidP="0045593E">
            <w:pPr>
              <w:pStyle w:val="TableHeaders"/>
            </w:pPr>
            <w:r w:rsidRPr="0045593E">
              <w:t>Quartile of QM score</w:t>
            </w:r>
          </w:p>
        </w:tc>
        <w:tc>
          <w:tcPr>
            <w:tcW w:w="419" w:type="pct"/>
            <w:tcBorders>
              <w:top w:val="single" w:sz="12" w:space="0" w:color="auto"/>
              <w:bottom w:val="single" w:sz="6" w:space="0" w:color="auto"/>
            </w:tcBorders>
            <w:vAlign w:val="bottom"/>
          </w:tcPr>
          <w:p w:rsidR="00101839" w:rsidRPr="0045593E" w:rsidRDefault="00101839" w:rsidP="0045593E">
            <w:pPr>
              <w:pStyle w:val="TableHeaders"/>
            </w:pPr>
            <w:r w:rsidRPr="0045593E">
              <w:rPr>
                <w:i/>
                <w:iCs/>
              </w:rPr>
              <w:t>n</w:t>
            </w:r>
          </w:p>
        </w:tc>
        <w:tc>
          <w:tcPr>
            <w:tcW w:w="451"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Mean </w:t>
            </w:r>
          </w:p>
        </w:tc>
        <w:tc>
          <w:tcPr>
            <w:tcW w:w="451" w:type="pct"/>
            <w:tcBorders>
              <w:top w:val="single" w:sz="12" w:space="0" w:color="auto"/>
              <w:bottom w:val="single" w:sz="6" w:space="0" w:color="auto"/>
            </w:tcBorders>
            <w:vAlign w:val="bottom"/>
          </w:tcPr>
          <w:p w:rsidR="00101839" w:rsidRPr="0045593E" w:rsidRDefault="00101839" w:rsidP="0045593E">
            <w:pPr>
              <w:pStyle w:val="TableHeaders"/>
            </w:pPr>
            <w:r w:rsidRPr="0045593E">
              <w:t>Std dev.</w:t>
            </w:r>
          </w:p>
        </w:tc>
        <w:tc>
          <w:tcPr>
            <w:tcW w:w="620"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10th </w:t>
            </w:r>
            <w:r w:rsidRPr="0045593E">
              <w:br/>
              <w:t>percentile</w:t>
            </w:r>
          </w:p>
        </w:tc>
        <w:tc>
          <w:tcPr>
            <w:tcW w:w="620"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25th </w:t>
            </w:r>
            <w:r w:rsidRPr="0045593E">
              <w:br/>
              <w:t>percentile</w:t>
            </w:r>
          </w:p>
        </w:tc>
        <w:tc>
          <w:tcPr>
            <w:tcW w:w="620"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50th </w:t>
            </w:r>
            <w:r w:rsidRPr="0045593E">
              <w:br/>
              <w:t>percentile</w:t>
            </w:r>
          </w:p>
        </w:tc>
        <w:tc>
          <w:tcPr>
            <w:tcW w:w="620"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75th </w:t>
            </w:r>
            <w:r w:rsidRPr="0045593E">
              <w:br/>
              <w:t>percentile</w:t>
            </w:r>
          </w:p>
        </w:tc>
        <w:tc>
          <w:tcPr>
            <w:tcW w:w="618" w:type="pct"/>
            <w:tcBorders>
              <w:top w:val="single" w:sz="12" w:space="0" w:color="auto"/>
              <w:bottom w:val="single" w:sz="6" w:space="0" w:color="auto"/>
            </w:tcBorders>
            <w:vAlign w:val="bottom"/>
          </w:tcPr>
          <w:p w:rsidR="00101839" w:rsidRPr="0045593E" w:rsidRDefault="00101839" w:rsidP="0045593E">
            <w:pPr>
              <w:pStyle w:val="TableHeaders"/>
            </w:pPr>
            <w:r w:rsidRPr="0045593E">
              <w:t xml:space="preserve">90th </w:t>
            </w:r>
            <w:r w:rsidRPr="0045593E">
              <w:br/>
              <w:t>percentile</w:t>
            </w:r>
          </w:p>
        </w:tc>
      </w:tr>
      <w:tr w:rsidR="00101839" w:rsidRPr="008B6D6F" w:rsidTr="00101839">
        <w:trPr>
          <w:cantSplit/>
        </w:trPr>
        <w:tc>
          <w:tcPr>
            <w:tcW w:w="581" w:type="pct"/>
            <w:tcBorders>
              <w:top w:val="single" w:sz="6" w:space="0" w:color="auto"/>
            </w:tcBorders>
            <w:vAlign w:val="bottom"/>
          </w:tcPr>
          <w:p w:rsidR="00101839" w:rsidRPr="008B6D6F" w:rsidRDefault="00101839" w:rsidP="00101839">
            <w:pPr>
              <w:spacing w:before="20" w:after="20" w:line="240" w:lineRule="auto"/>
              <w:ind w:left="-4" w:right="-40"/>
              <w:jc w:val="center"/>
              <w:rPr>
                <w:rFonts w:eastAsia="Times New Roman" w:cs="Times New Roman"/>
                <w:sz w:val="20"/>
                <w:szCs w:val="20"/>
              </w:rPr>
            </w:pPr>
            <w:r w:rsidRPr="008B6D6F">
              <w:rPr>
                <w:rFonts w:eastAsia="Times New Roman" w:cs="Times New Roman"/>
                <w:sz w:val="20"/>
                <w:szCs w:val="20"/>
              </w:rPr>
              <w:t>0%–25%</w:t>
            </w:r>
          </w:p>
        </w:tc>
        <w:tc>
          <w:tcPr>
            <w:tcW w:w="419"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3,445</w:t>
            </w:r>
          </w:p>
        </w:tc>
        <w:tc>
          <w:tcPr>
            <w:tcW w:w="451"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451"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0.4%</w:t>
            </w:r>
          </w:p>
        </w:tc>
        <w:tc>
          <w:tcPr>
            <w:tcW w:w="620"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18" w:type="pct"/>
            <w:tcBorders>
              <w:top w:val="single" w:sz="6" w:space="0" w:color="auto"/>
            </w:tcBorders>
            <w:vAlign w:val="bottom"/>
          </w:tcPr>
          <w:p w:rsidR="00101839" w:rsidRPr="008B6D6F" w:rsidRDefault="00101839" w:rsidP="00101839">
            <w:pPr>
              <w:spacing w:after="0" w:line="240" w:lineRule="auto"/>
              <w:jc w:val="center"/>
              <w:rPr>
                <w:rFonts w:eastAsia="Times New Roman" w:cs="Times New Roman"/>
                <w:color w:val="000000"/>
                <w:sz w:val="21"/>
                <w:szCs w:val="21"/>
              </w:rPr>
            </w:pPr>
            <w:r w:rsidRPr="008B6D6F">
              <w:rPr>
                <w:rFonts w:eastAsia="Times New Roman" w:cs="Times New Roman"/>
                <w:color w:val="000000"/>
                <w:sz w:val="21"/>
                <w:szCs w:val="21"/>
              </w:rPr>
              <w:t>0.0%</w:t>
            </w:r>
          </w:p>
        </w:tc>
      </w:tr>
      <w:tr w:rsidR="00101839" w:rsidRPr="008B6D6F" w:rsidTr="00101839">
        <w:trPr>
          <w:cantSplit/>
        </w:trPr>
        <w:tc>
          <w:tcPr>
            <w:tcW w:w="581" w:type="pct"/>
            <w:vAlign w:val="bottom"/>
          </w:tcPr>
          <w:p w:rsidR="00101839" w:rsidRPr="008B6D6F" w:rsidRDefault="00101839" w:rsidP="00101839">
            <w:pPr>
              <w:spacing w:before="20" w:after="20" w:line="240" w:lineRule="auto"/>
              <w:ind w:left="-57" w:right="-40"/>
              <w:jc w:val="center"/>
              <w:rPr>
                <w:rFonts w:eastAsia="Times New Roman" w:cs="Times New Roman"/>
                <w:sz w:val="20"/>
                <w:szCs w:val="20"/>
              </w:rPr>
            </w:pPr>
            <w:r w:rsidRPr="008B6D6F">
              <w:rPr>
                <w:rFonts w:eastAsia="Times New Roman" w:cs="Times New Roman"/>
                <w:sz w:val="20"/>
                <w:szCs w:val="20"/>
              </w:rPr>
              <w:t>26%–50%</w:t>
            </w:r>
          </w:p>
        </w:tc>
        <w:tc>
          <w:tcPr>
            <w:tcW w:w="419"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3,442</w:t>
            </w:r>
          </w:p>
        </w:tc>
        <w:tc>
          <w:tcPr>
            <w:tcW w:w="451"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451"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0.4%</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18" w:type="pct"/>
            <w:vAlign w:val="bottom"/>
          </w:tcPr>
          <w:p w:rsidR="00101839" w:rsidRPr="008B6D6F" w:rsidRDefault="00101839" w:rsidP="00101839">
            <w:pPr>
              <w:spacing w:after="0" w:line="240" w:lineRule="auto"/>
              <w:jc w:val="center"/>
              <w:rPr>
                <w:rFonts w:eastAsia="Times New Roman" w:cs="Times New Roman"/>
                <w:color w:val="000000"/>
                <w:sz w:val="21"/>
                <w:szCs w:val="21"/>
              </w:rPr>
            </w:pPr>
            <w:r w:rsidRPr="008B6D6F">
              <w:rPr>
                <w:rFonts w:eastAsia="Times New Roman" w:cs="Times New Roman"/>
                <w:color w:val="000000"/>
                <w:sz w:val="21"/>
                <w:szCs w:val="21"/>
              </w:rPr>
              <w:t>0.0%</w:t>
            </w:r>
          </w:p>
        </w:tc>
      </w:tr>
      <w:tr w:rsidR="00101839" w:rsidRPr="008B6D6F" w:rsidTr="00101839">
        <w:trPr>
          <w:cantSplit/>
        </w:trPr>
        <w:tc>
          <w:tcPr>
            <w:tcW w:w="581" w:type="pct"/>
            <w:vAlign w:val="bottom"/>
          </w:tcPr>
          <w:p w:rsidR="00101839" w:rsidRPr="008B6D6F" w:rsidRDefault="00101839" w:rsidP="00101839">
            <w:pPr>
              <w:spacing w:before="20" w:after="20" w:line="240" w:lineRule="auto"/>
              <w:ind w:left="-57" w:right="-40"/>
              <w:jc w:val="center"/>
              <w:rPr>
                <w:rFonts w:eastAsia="Times New Roman" w:cs="Times New Roman"/>
                <w:sz w:val="20"/>
                <w:szCs w:val="20"/>
              </w:rPr>
            </w:pPr>
            <w:r w:rsidRPr="008B6D6F">
              <w:rPr>
                <w:rFonts w:eastAsia="Times New Roman" w:cs="Times New Roman"/>
                <w:sz w:val="20"/>
                <w:szCs w:val="20"/>
              </w:rPr>
              <w:t>51%–75%</w:t>
            </w:r>
          </w:p>
        </w:tc>
        <w:tc>
          <w:tcPr>
            <w:tcW w:w="419"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3,448</w:t>
            </w:r>
          </w:p>
        </w:tc>
        <w:tc>
          <w:tcPr>
            <w:tcW w:w="451"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0.1%</w:t>
            </w:r>
          </w:p>
        </w:tc>
        <w:tc>
          <w:tcPr>
            <w:tcW w:w="451"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1.3%</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18" w:type="pct"/>
            <w:vAlign w:val="bottom"/>
          </w:tcPr>
          <w:p w:rsidR="00101839" w:rsidRPr="008B6D6F" w:rsidRDefault="00101839" w:rsidP="00101839">
            <w:pPr>
              <w:spacing w:after="0" w:line="240" w:lineRule="auto"/>
              <w:jc w:val="center"/>
              <w:rPr>
                <w:rFonts w:eastAsia="Times New Roman" w:cs="Times New Roman"/>
                <w:color w:val="000000"/>
                <w:sz w:val="21"/>
                <w:szCs w:val="21"/>
              </w:rPr>
            </w:pPr>
            <w:r w:rsidRPr="008B6D6F">
              <w:rPr>
                <w:rFonts w:eastAsia="Times New Roman" w:cs="Times New Roman"/>
                <w:color w:val="000000"/>
                <w:sz w:val="21"/>
                <w:szCs w:val="21"/>
              </w:rPr>
              <w:t>0.0%</w:t>
            </w:r>
          </w:p>
        </w:tc>
      </w:tr>
      <w:tr w:rsidR="00101839" w:rsidRPr="008B6D6F" w:rsidTr="00101839">
        <w:trPr>
          <w:cantSplit/>
        </w:trPr>
        <w:tc>
          <w:tcPr>
            <w:tcW w:w="581" w:type="pct"/>
            <w:tcBorders>
              <w:bottom w:val="single" w:sz="12" w:space="0" w:color="auto"/>
            </w:tcBorders>
            <w:vAlign w:val="bottom"/>
          </w:tcPr>
          <w:p w:rsidR="00101839" w:rsidRPr="008B6D6F" w:rsidRDefault="00101839" w:rsidP="00101839">
            <w:pPr>
              <w:spacing w:before="20" w:after="20" w:line="240" w:lineRule="auto"/>
              <w:ind w:left="-57" w:right="-40"/>
              <w:jc w:val="center"/>
              <w:rPr>
                <w:rFonts w:eastAsia="Times New Roman" w:cs="Times New Roman"/>
                <w:sz w:val="20"/>
                <w:szCs w:val="20"/>
              </w:rPr>
            </w:pPr>
            <w:r w:rsidRPr="008B6D6F">
              <w:rPr>
                <w:rFonts w:eastAsia="Times New Roman" w:cs="Times New Roman"/>
                <w:sz w:val="20"/>
                <w:szCs w:val="20"/>
              </w:rPr>
              <w:t>76%–100%</w:t>
            </w:r>
          </w:p>
        </w:tc>
        <w:tc>
          <w:tcPr>
            <w:tcW w:w="419"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3,438</w:t>
            </w:r>
          </w:p>
        </w:tc>
        <w:tc>
          <w:tcPr>
            <w:tcW w:w="451"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0.1%</w:t>
            </w:r>
          </w:p>
        </w:tc>
        <w:tc>
          <w:tcPr>
            <w:tcW w:w="451"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0.8%</w:t>
            </w:r>
          </w:p>
        </w:tc>
        <w:tc>
          <w:tcPr>
            <w:tcW w:w="620"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20"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4"/>
              </w:rPr>
            </w:pPr>
            <w:r w:rsidRPr="008B6D6F">
              <w:rPr>
                <w:rFonts w:eastAsia="Times New Roman" w:cs="Times New Roman"/>
                <w:color w:val="000000"/>
              </w:rPr>
              <w:t>0.0%</w:t>
            </w:r>
          </w:p>
        </w:tc>
        <w:tc>
          <w:tcPr>
            <w:tcW w:w="618" w:type="pct"/>
            <w:tcBorders>
              <w:bottom w:val="single" w:sz="12" w:space="0" w:color="auto"/>
            </w:tcBorders>
            <w:vAlign w:val="bottom"/>
          </w:tcPr>
          <w:p w:rsidR="00101839" w:rsidRPr="008B6D6F" w:rsidRDefault="00101839" w:rsidP="00101839">
            <w:pPr>
              <w:spacing w:after="0" w:line="240" w:lineRule="auto"/>
              <w:jc w:val="center"/>
              <w:rPr>
                <w:rFonts w:eastAsia="Times New Roman" w:cs="Times New Roman"/>
                <w:color w:val="000000"/>
                <w:sz w:val="21"/>
                <w:szCs w:val="21"/>
              </w:rPr>
            </w:pPr>
            <w:r w:rsidRPr="008B6D6F">
              <w:rPr>
                <w:rFonts w:eastAsia="Times New Roman" w:cs="Times New Roman"/>
                <w:color w:val="000000"/>
                <w:sz w:val="21"/>
                <w:szCs w:val="21"/>
              </w:rPr>
              <w:t>0.0%</w:t>
            </w:r>
          </w:p>
        </w:tc>
      </w:tr>
    </w:tbl>
    <w:p w:rsidR="00101839" w:rsidRPr="008B6D6F" w:rsidRDefault="00101839" w:rsidP="00101839">
      <w:pPr>
        <w:keepLines/>
        <w:spacing w:before="80" w:after="120" w:line="240" w:lineRule="auto"/>
        <w:rPr>
          <w:rFonts w:eastAsia="Times New Roman" w:cs="Times New Roman"/>
          <w:sz w:val="18"/>
          <w:szCs w:val="18"/>
        </w:rPr>
      </w:pPr>
      <w:r w:rsidRPr="008B6D6F">
        <w:rPr>
          <w:rFonts w:eastAsia="Times New Roman" w:cs="Times New Roman"/>
          <w:sz w:val="18"/>
          <w:szCs w:val="18"/>
        </w:rPr>
        <w:t>NOTES:</w:t>
      </w:r>
    </w:p>
    <w:p w:rsidR="00101839" w:rsidRPr="008B6D6F" w:rsidRDefault="00101839" w:rsidP="00101839">
      <w:pPr>
        <w:keepLines/>
        <w:spacing w:before="80" w:after="120" w:line="240" w:lineRule="auto"/>
        <w:rPr>
          <w:rFonts w:eastAsia="Times New Roman" w:cs="Times New Roman"/>
          <w:sz w:val="18"/>
          <w:szCs w:val="18"/>
        </w:rPr>
      </w:pPr>
      <w:r w:rsidRPr="008B6D6F">
        <w:rPr>
          <w:rFonts w:eastAsia="Times New Roman" w:cs="Times New Roman"/>
          <w:sz w:val="18"/>
          <w:szCs w:val="18"/>
        </w:rPr>
        <w:t xml:space="preserve">Total </w:t>
      </w:r>
      <w:r w:rsidRPr="008B6D6F">
        <w:rPr>
          <w:rFonts w:eastAsia="Times New Roman" w:cs="Times New Roman"/>
          <w:i/>
          <w:sz w:val="18"/>
          <w:szCs w:val="18"/>
        </w:rPr>
        <w:t>n</w:t>
      </w:r>
      <w:r w:rsidRPr="008B6D6F">
        <w:rPr>
          <w:rFonts w:eastAsia="Times New Roman" w:cs="Times New Roman"/>
          <w:sz w:val="18"/>
          <w:szCs w:val="18"/>
        </w:rPr>
        <w:t xml:space="preserve"> (13,773) = number of facilities who have data for the numerator and denominator of this QM; facilities are included regardless of whether they meet the minimum sample size for reporting.</w:t>
      </w:r>
    </w:p>
    <w:p w:rsidR="00101839" w:rsidRPr="008B6D6F" w:rsidRDefault="00101839" w:rsidP="00101839">
      <w:pPr>
        <w:keepLines/>
        <w:spacing w:before="80" w:after="120" w:line="240" w:lineRule="auto"/>
        <w:rPr>
          <w:rFonts w:eastAsia="Times New Roman" w:cs="Times New Roman"/>
          <w:sz w:val="18"/>
          <w:szCs w:val="18"/>
        </w:rPr>
      </w:pPr>
      <w:r w:rsidRPr="008B6D6F">
        <w:rPr>
          <w:rFonts w:eastAsia="Times New Roman" w:cs="Times New Roman"/>
          <w:sz w:val="18"/>
          <w:szCs w:val="18"/>
        </w:rPr>
        <w:t>Analysis date: 8/6/2013</w:t>
      </w:r>
    </w:p>
    <w:p w:rsidR="00101839" w:rsidRPr="008B6D6F" w:rsidRDefault="00101839" w:rsidP="00101839">
      <w:pPr>
        <w:keepLines/>
        <w:spacing w:before="80" w:after="120" w:line="240" w:lineRule="auto"/>
        <w:rPr>
          <w:rFonts w:eastAsia="Times New Roman" w:cs="Times New Roman"/>
          <w:sz w:val="18"/>
          <w:szCs w:val="18"/>
        </w:rPr>
      </w:pPr>
      <w:r w:rsidRPr="008B6D6F">
        <w:rPr>
          <w:rFonts w:eastAsia="Times New Roman" w:cs="Times New Roman"/>
          <w:sz w:val="18"/>
          <w:szCs w:val="18"/>
        </w:rPr>
        <w:t xml:space="preserve">SOURCE: RTI </w:t>
      </w:r>
      <w:proofErr w:type="gramStart"/>
      <w:r w:rsidRPr="008B6D6F">
        <w:rPr>
          <w:rFonts w:eastAsia="Times New Roman" w:cs="Times New Roman"/>
          <w:sz w:val="18"/>
          <w:szCs w:val="18"/>
        </w:rPr>
        <w:t>analysis of MDS 3.0 episode file</w:t>
      </w:r>
      <w:proofErr w:type="gramEnd"/>
      <w:r w:rsidRPr="008B6D6F">
        <w:rPr>
          <w:rFonts w:eastAsia="Times New Roman" w:cs="Times New Roman"/>
          <w:sz w:val="18"/>
          <w:szCs w:val="18"/>
        </w:rPr>
        <w:t xml:space="preserve"> for Quarter 1, 2013.</w:t>
      </w:r>
    </w:p>
    <w:p w:rsidR="00101839" w:rsidRPr="00532886" w:rsidRDefault="00101839" w:rsidP="00C3761D">
      <w:pPr>
        <w:pStyle w:val="BodyText"/>
      </w:pPr>
      <w:proofErr w:type="gramStart"/>
      <w:r w:rsidRPr="00532886">
        <w:t>Seasonal variation.</w:t>
      </w:r>
      <w:proofErr w:type="gramEnd"/>
      <w:r w:rsidRPr="00532886">
        <w:t xml:space="preserve">  Another potential threat to the validity of a QM is seasonal variation.  If a QM score varies substantially from quarter to quarter in a consistent temporal pattern that corresponds corresponding to changes in seasons, it is possible that the validity of the measure is compromised due to influences beyond nursing home control.  Since seasonal variation might play a role in determining facility scores, we used a six month average, examining the national mean and median for this QM score between Quarter 1 2011 and Q</w:t>
      </w:r>
      <w:r w:rsidR="009D5CCA" w:rsidRPr="00532886">
        <w:t>uarter 1</w:t>
      </w:r>
      <w:r w:rsidRPr="00532886">
        <w:t xml:space="preserve"> 2013.  </w:t>
      </w:r>
    </w:p>
    <w:p w:rsidR="00101839" w:rsidRPr="00532886" w:rsidRDefault="00101839" w:rsidP="003252C3">
      <w:pPr>
        <w:pStyle w:val="ListBullet2"/>
      </w:pPr>
      <w:r w:rsidRPr="00532886">
        <w:t xml:space="preserve">The results are presented in </w:t>
      </w:r>
      <w:r w:rsidRPr="00956B62">
        <w:rPr>
          <w:b/>
          <w:bCs/>
        </w:rPr>
        <w:t>Figure 2</w:t>
      </w:r>
      <w:r w:rsidRPr="00532886">
        <w:t xml:space="preserve">. The national facility-level mean peaked in Q3 2011 at 7.9 percent, as did the national facility-level median (6.9 percent). Since then, both the mean and the median have declined steadily, with the national mean now at 6.5 percent and the median at 5.6 percent, </w:t>
      </w:r>
      <w:r w:rsidR="00A272D7" w:rsidRPr="00532886">
        <w:t>indicating</w:t>
      </w:r>
      <w:r w:rsidRPr="00532886">
        <w:t xml:space="preserve"> that there is no seasonal variation.</w:t>
      </w:r>
    </w:p>
    <w:p w:rsidR="00101839" w:rsidRPr="008B6D6F" w:rsidRDefault="00101839" w:rsidP="003252C3">
      <w:pPr>
        <w:pStyle w:val="FigureTitle"/>
      </w:pPr>
      <w:bookmarkStart w:id="20" w:name="_Toc335304092"/>
      <w:bookmarkStart w:id="21" w:name="_Toc338830466"/>
      <w:bookmarkStart w:id="22" w:name="_Toc306986654"/>
      <w:r w:rsidRPr="008B6D6F">
        <w:lastRenderedPageBreak/>
        <w:t xml:space="preserve">Figure </w:t>
      </w:r>
      <w:proofErr w:type="gramStart"/>
      <w:r w:rsidRPr="008B6D6F">
        <w:t>2</w:t>
      </w:r>
      <w:r w:rsidRPr="008B6D6F">
        <w:br/>
        <w:t>Seasonal (quarterly) variation</w:t>
      </w:r>
      <w:proofErr w:type="gramEnd"/>
      <w:r w:rsidRPr="008B6D6F">
        <w:t xml:space="preserve"> in QM #</w:t>
      </w:r>
      <w:bookmarkEnd w:id="20"/>
      <w:bookmarkEnd w:id="21"/>
      <w:r w:rsidRPr="008B6D6F">
        <w:t>0684 Percent of Residents with a Urinary Tract Infection (long stay)</w:t>
      </w:r>
    </w:p>
    <w:p w:rsidR="00101839" w:rsidRPr="008B6D6F" w:rsidRDefault="0076717F" w:rsidP="00101839">
      <w:pPr>
        <w:keepNext/>
        <w:spacing w:before="240" w:after="0" w:line="240" w:lineRule="auto"/>
        <w:jc w:val="center"/>
        <w:rPr>
          <w:rFonts w:eastAsia="Times New Roman" w:cs="Times New Roman"/>
          <w:sz w:val="24"/>
          <w:szCs w:val="20"/>
        </w:rPr>
      </w:pPr>
      <w:r w:rsidRPr="008B6D6F">
        <w:rPr>
          <w:rFonts w:eastAsia="Times New Roman" w:cs="Times New Roman"/>
          <w:noProof/>
          <w:sz w:val="24"/>
          <w:szCs w:val="20"/>
        </w:rPr>
        <w:drawing>
          <wp:inline distT="0" distB="0" distL="0" distR="0">
            <wp:extent cx="4253345" cy="2348345"/>
            <wp:effectExtent l="0" t="0" r="13970" b="13970"/>
            <wp:docPr id="7"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1839" w:rsidRPr="008B6D6F" w:rsidRDefault="00101839" w:rsidP="00C02C56">
      <w:pPr>
        <w:keepLines/>
        <w:spacing w:before="120" w:after="240" w:line="240" w:lineRule="auto"/>
        <w:rPr>
          <w:rFonts w:eastAsia="Times New Roman" w:cs="Times New Roman"/>
          <w:sz w:val="18"/>
          <w:szCs w:val="18"/>
        </w:rPr>
      </w:pPr>
      <w:r w:rsidRPr="008B6D6F">
        <w:rPr>
          <w:rFonts w:eastAsia="Times New Roman" w:cs="Times New Roman"/>
          <w:sz w:val="18"/>
          <w:szCs w:val="18"/>
        </w:rPr>
        <w:t xml:space="preserve">SOURCE: RTI analysis of MDS 3.0 episode file for Quarter 1, 2011 – Quarter 1, 2013 \qm_quarter_1_2\complete\nh_018_10.log, \qm_quarter_2_3\complete\nh_018_10.log \qm_quarter_3_4\complete\nh_018_10.log, \qm_quarter_4_5\complete\nh_018_10.log, \qm_quarter_5_6\complete\nh_018_10.log, \qm_quarter_6_7\complete\nh_018_10.log, \qm_quarter_8_9\complete\nh_018_10.log, \qm_quarter_9_10\complete\nh_018_10.log, </w:t>
      </w:r>
    </w:p>
    <w:bookmarkEnd w:id="22"/>
    <w:p w:rsidR="00F70454" w:rsidRPr="008B6D6F" w:rsidRDefault="00F70454" w:rsidP="003252C3">
      <w:pPr>
        <w:pStyle w:val="ListNumber2"/>
        <w:numPr>
          <w:ilvl w:val="0"/>
          <w:numId w:val="38"/>
        </w:numPr>
      </w:pPr>
      <w:r w:rsidRPr="00F25121">
        <w:t xml:space="preserve">Stevenson KB, Moore JW, Sleeper B. Validity of the Minimum Data Set in identifying urinary tract infections in residents of long-term care facilities. J Am </w:t>
      </w:r>
      <w:proofErr w:type="spellStart"/>
      <w:r w:rsidRPr="00F25121">
        <w:t>Geriatr</w:t>
      </w:r>
      <w:proofErr w:type="spellEnd"/>
      <w:r w:rsidRPr="00F25121">
        <w:t xml:space="preserve"> Soc. 2007</w:t>
      </w:r>
      <w:proofErr w:type="gramStart"/>
      <w:r w:rsidRPr="00F25121">
        <w:t>;52</w:t>
      </w:r>
      <w:proofErr w:type="gramEnd"/>
      <w:r w:rsidRPr="00F25121">
        <w:t>: 707-711.</w:t>
      </w:r>
    </w:p>
    <w:p w:rsidR="00F70454" w:rsidRDefault="00F70454" w:rsidP="003252C3">
      <w:pPr>
        <w:pStyle w:val="ListNumber2"/>
      </w:pPr>
      <w:r w:rsidRPr="00CF7A4B">
        <w:t>SOURCE: RTI analysis of MDS 3.0 episode file for Quarter 1, 2013 (\quarter_10_11\db263_request\db263_request.log)</w:t>
      </w:r>
    </w:p>
    <w:p w:rsidR="00721E1E" w:rsidRPr="00532886" w:rsidRDefault="00721E1E" w:rsidP="003252C3">
      <w:pPr>
        <w:pStyle w:val="ListNumber2"/>
      </w:pPr>
      <w:proofErr w:type="spellStart"/>
      <w:r w:rsidRPr="00532886">
        <w:t>Brega</w:t>
      </w:r>
      <w:proofErr w:type="spellEnd"/>
      <w:r w:rsidRPr="00532886">
        <w:t xml:space="preserve"> A, </w:t>
      </w:r>
      <w:proofErr w:type="spellStart"/>
      <w:r w:rsidRPr="00532886">
        <w:t>Hittle</w:t>
      </w:r>
      <w:proofErr w:type="spellEnd"/>
      <w:r w:rsidRPr="00532886">
        <w:t xml:space="preserve"> D, Goodrich G, Kramer A, Conway K, Levy C. Empirical review of publicly reported nursing home quality measures. Denver: Division of Health Care Policy and Research University of Colorado at Denver; </w:t>
      </w:r>
      <w:proofErr w:type="spellStart"/>
      <w:r w:rsidRPr="00532886">
        <w:t>Abt</w:t>
      </w:r>
      <w:proofErr w:type="spellEnd"/>
      <w:r w:rsidRPr="00532886">
        <w:t xml:space="preserve"> Associates, Inc</w:t>
      </w:r>
      <w:r w:rsidR="003252C3">
        <w:t>.</w:t>
      </w:r>
      <w:r w:rsidRPr="00532886">
        <w:t>, 2007.</w:t>
      </w:r>
    </w:p>
    <w:p w:rsidR="00502FA3" w:rsidRPr="008F4305" w:rsidRDefault="00092566" w:rsidP="003252C3">
      <w:pPr>
        <w:pStyle w:val="BodyText3"/>
        <w:rPr>
          <w:rFonts w:cs="Calibri"/>
          <w:color w:val="0000FF"/>
          <w:sz w:val="20"/>
          <w:szCs w:val="20"/>
        </w:rPr>
      </w:pPr>
      <w:r w:rsidRPr="003252C3">
        <w:rPr>
          <w:b/>
          <w:i w:val="0"/>
        </w:rPr>
        <w:t>2b2.</w:t>
      </w:r>
      <w:r w:rsidR="007757CE" w:rsidRPr="003252C3">
        <w:rPr>
          <w:b/>
          <w:i w:val="0"/>
        </w:rPr>
        <w:t xml:space="preserve">4. </w:t>
      </w:r>
      <w:proofErr w:type="gramStart"/>
      <w:r w:rsidR="000B2DF7" w:rsidRPr="003252C3">
        <w:rPr>
          <w:b/>
          <w:i w:val="0"/>
        </w:rPr>
        <w:t>What</w:t>
      </w:r>
      <w:proofErr w:type="gramEnd"/>
      <w:r w:rsidR="000B2DF7" w:rsidRPr="003252C3">
        <w:rPr>
          <w:b/>
          <w:i w:val="0"/>
        </w:rPr>
        <w:t xml:space="preserve"> is your interpretation of the results </w:t>
      </w:r>
      <w:r w:rsidR="007422FD" w:rsidRPr="003252C3">
        <w:rPr>
          <w:b/>
          <w:i w:val="0"/>
        </w:rPr>
        <w:t xml:space="preserve">in terms of demonstrating validity? </w:t>
      </w:r>
      <w:r w:rsidR="000B2DF7" w:rsidRPr="00BC6811">
        <w:t>(i.e., what do the results mean and what are the norms for the test conducted</w:t>
      </w:r>
      <w:r w:rsidR="00A25024" w:rsidRPr="00BC6811">
        <w:t>?</w:t>
      </w:r>
      <w:r w:rsidR="000B2DF7" w:rsidRPr="00BC6811">
        <w:t>)</w:t>
      </w:r>
    </w:p>
    <w:p w:rsidR="007422FD" w:rsidRPr="00532886" w:rsidRDefault="00101839" w:rsidP="003252C3">
      <w:pPr>
        <w:pStyle w:val="ListNumber2"/>
        <w:numPr>
          <w:ilvl w:val="0"/>
          <w:numId w:val="39"/>
        </w:numPr>
      </w:pPr>
      <w:r w:rsidRPr="00532886">
        <w:t xml:space="preserve">This measure is significantly correlated with each of the other measures related to </w:t>
      </w:r>
      <w:proofErr w:type="spellStart"/>
      <w:r w:rsidRPr="00532886">
        <w:t>gastrourinary</w:t>
      </w:r>
      <w:proofErr w:type="spellEnd"/>
      <w:r w:rsidRPr="00532886">
        <w:t xml:space="preserve"> health.</w:t>
      </w:r>
    </w:p>
    <w:p w:rsidR="00101839" w:rsidRPr="00532886" w:rsidRDefault="00101839" w:rsidP="003252C3">
      <w:pPr>
        <w:pStyle w:val="ListNumber2"/>
      </w:pPr>
      <w:r w:rsidRPr="00532886">
        <w:t>Missing data do not present a threat to the validity of this measure</w:t>
      </w:r>
    </w:p>
    <w:p w:rsidR="00101839" w:rsidRPr="00532886" w:rsidRDefault="00101839" w:rsidP="003252C3">
      <w:pPr>
        <w:pStyle w:val="ListNumber2"/>
      </w:pPr>
      <w:r w:rsidRPr="00532886">
        <w:t>There is no apparent threat of seasonal variation to the validity of this measure.</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956B62">
      <w:pPr>
        <w:pStyle w:val="Heading1"/>
      </w:pPr>
      <w:r w:rsidRPr="00A25024">
        <w:t>2</w:t>
      </w:r>
      <w:r w:rsidR="00EA5F47" w:rsidRPr="00A25024">
        <w:t>b</w:t>
      </w:r>
      <w:r w:rsidRPr="00A25024">
        <w:t>3. EXCLUSIONS</w:t>
      </w:r>
      <w:r w:rsidR="005333CC" w:rsidRPr="00A25024">
        <w:t xml:space="preserve"> </w:t>
      </w:r>
      <w:r w:rsidR="00356BAD" w:rsidRPr="00A25024">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165B66">
        <w:rPr>
          <w:rFonts w:cstheme="minorHAnsi"/>
          <w:b/>
          <w:bCs/>
          <w:i/>
        </w:rPr>
        <w:t xml:space="preserve">skip </w:t>
      </w:r>
      <w:r w:rsidR="008A4C13" w:rsidRPr="00165B66">
        <w:rPr>
          <w:rFonts w:cstheme="minorHAnsi"/>
          <w:b/>
          <w:bCs/>
          <w:i/>
        </w:rPr>
        <w:t xml:space="preserve">to </w:t>
      </w:r>
      <w:r w:rsidR="00BE592D" w:rsidRPr="00165B66">
        <w:rPr>
          <w:rFonts w:cstheme="minorHAnsi"/>
          <w:b/>
          <w:bCs/>
          <w:i/>
        </w:rPr>
        <w:t xml:space="preserve">section </w:t>
      </w:r>
      <w:hyperlink w:anchor="section2b4" w:history="1">
        <w:r w:rsidR="00483E94" w:rsidRPr="00165B66">
          <w:rPr>
            <w:rStyle w:val="Hyperlink"/>
            <w:rFonts w:cstheme="minorHAnsi"/>
            <w:b/>
            <w:bCs/>
            <w:i/>
          </w:rPr>
          <w:t>2b</w:t>
        </w:r>
        <w:r w:rsidR="00AC1D8E" w:rsidRPr="00165B66">
          <w:rPr>
            <w:rStyle w:val="Hyperlink"/>
            <w:rFonts w:cstheme="minorHAnsi"/>
            <w:b/>
            <w:bCs/>
            <w:i/>
          </w:rPr>
          <w:t>4</w:t>
        </w:r>
      </w:hyperlink>
    </w:p>
    <w:p w:rsidR="00001D73" w:rsidRDefault="00001D73" w:rsidP="00DB3627">
      <w:pPr>
        <w:autoSpaceDE w:val="0"/>
        <w:autoSpaceDN w:val="0"/>
        <w:adjustRightInd w:val="0"/>
        <w:spacing w:after="0" w:line="240" w:lineRule="auto"/>
        <w:rPr>
          <w:rFonts w:cstheme="minorHAnsi"/>
          <w:b/>
          <w:bCs/>
        </w:rPr>
      </w:pPr>
    </w:p>
    <w:p w:rsidR="00101839" w:rsidRDefault="00092566" w:rsidP="00BC6811">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p>
    <w:p w:rsidR="00154333" w:rsidRPr="00F25121" w:rsidRDefault="008B6D6F" w:rsidP="00C3761D">
      <w:pPr>
        <w:pStyle w:val="BodyText"/>
      </w:pPr>
      <w:r>
        <w:lastRenderedPageBreak/>
        <w:t>Exclusion rates were examined by reason for exclusion, (m</w:t>
      </w:r>
      <w:r w:rsidR="00101839" w:rsidRPr="00F25121">
        <w:t xml:space="preserve">issing </w:t>
      </w:r>
      <w:r>
        <w:t xml:space="preserve">data </w:t>
      </w:r>
      <w:r w:rsidR="00792F34">
        <w:t xml:space="preserve">and </w:t>
      </w:r>
      <w:r>
        <w:t>admission assessments)</w:t>
      </w:r>
      <w:r w:rsidR="00101839" w:rsidRPr="00F25121">
        <w:t xml:space="preserve"> were calculated. Facility scores were both stratified by </w:t>
      </w:r>
      <w:r w:rsidR="00B83D4B" w:rsidRPr="00F25121">
        <w:t xml:space="preserve">and correlated with </w:t>
      </w:r>
      <w:r w:rsidR="00101839" w:rsidRPr="00F25121">
        <w:t>missing data rate</w:t>
      </w:r>
      <w:r w:rsidR="00B83D4B" w:rsidRPr="00F25121">
        <w:t>s</w:t>
      </w:r>
      <w:r w:rsidR="00101839" w:rsidRPr="00F25121">
        <w:t xml:space="preserve"> at the facility level.</w:t>
      </w:r>
    </w:p>
    <w:p w:rsidR="00101839" w:rsidRDefault="00092566" w:rsidP="00BC6811">
      <w:pPr>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p>
    <w:p w:rsidR="00101839" w:rsidRPr="00F25121" w:rsidRDefault="000A2B6D" w:rsidP="003252C3">
      <w:pPr>
        <w:pStyle w:val="ListBullet2"/>
      </w:pPr>
      <w:r w:rsidRPr="00F25121">
        <w:t>In Q</w:t>
      </w:r>
      <w:r w:rsidR="009D5CCA" w:rsidRPr="00F25121">
        <w:t>uarter 1</w:t>
      </w:r>
      <w:r w:rsidRPr="00F25121">
        <w:t xml:space="preserve"> 2013, 22,759 long-stay residents (1.9%) were excluded from the calculation of this measure.  Of these, 838 (0.1 percent of long-stay residents) were excluded because of missing data on items used to calculate the measure, and 21,931 (1.9% of long-stay residents) were excluded because the target assessment was an admission, 5-day, or readmission/return assessment (Table 1, above). Facilities would be penalized unfairly if individuals who developed UTIs prior to arrival in the nursing facility (i.e., prior to admission, 5-day, or readmission) were included in the measure.</w:t>
      </w:r>
    </w:p>
    <w:p w:rsidR="0076717F" w:rsidRPr="00F25121" w:rsidRDefault="000A2B6D" w:rsidP="003252C3">
      <w:pPr>
        <w:pStyle w:val="ListBullet2"/>
      </w:pPr>
      <w:r w:rsidRPr="00F25121">
        <w:t xml:space="preserve">Table 2 (above) shows the distributions of facility-level missing data rates stratified by quartile of QM scores for this measure.  The mean facility-level missing rate is less than or equal to 0.1 percent for each quartile of QM score. </w:t>
      </w:r>
    </w:p>
    <w:p w:rsidR="0076717F" w:rsidRPr="00F25121" w:rsidRDefault="000A2B6D" w:rsidP="003252C3">
      <w:pPr>
        <w:pStyle w:val="ListBullet2"/>
      </w:pPr>
      <w:r w:rsidRPr="00F25121">
        <w:t xml:space="preserve">There is a significant but weak correlation between missing data and QM scores for this measure (r = .031, p &lt; .001).  </w:t>
      </w:r>
    </w:p>
    <w:p w:rsidR="0076717F" w:rsidRPr="00F25121" w:rsidRDefault="000A2B6D" w:rsidP="003252C3">
      <w:pPr>
        <w:pStyle w:val="ListBullet2"/>
      </w:pPr>
      <w:r w:rsidRPr="00F25121">
        <w:t xml:space="preserve">Facilities with higher levels of missing data appear to have slightly greater proportions of residents with urinary tract infections, but the overall missing data rate is likely too small to have any meaningful implications for this measure.  </w:t>
      </w:r>
    </w:p>
    <w:p w:rsidR="007422FD" w:rsidRDefault="00092566" w:rsidP="00BC6811">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 xml:space="preserve">If patient preference is </w:t>
      </w:r>
      <w:proofErr w:type="gramStart"/>
      <w:r w:rsidR="00713394" w:rsidRPr="00A25024">
        <w:rPr>
          <w:rFonts w:cstheme="minorHAnsi"/>
          <w:b/>
          <w:bCs/>
          <w:i/>
        </w:rPr>
        <w:t>an exclusion</w:t>
      </w:r>
      <w:proofErr w:type="gramEnd"/>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p>
    <w:p w:rsidR="00101839" w:rsidRPr="00792F34" w:rsidRDefault="00101839" w:rsidP="00C3761D">
      <w:pPr>
        <w:pStyle w:val="BodyText"/>
      </w:pPr>
      <w:r w:rsidRPr="00792F34">
        <w:t xml:space="preserve">There are very few missing data on items used to calculate this measure, and thus there are very </w:t>
      </w:r>
      <w:proofErr w:type="gramStart"/>
      <w:r w:rsidRPr="00792F34">
        <w:t>few exclusions</w:t>
      </w:r>
      <w:proofErr w:type="gramEnd"/>
      <w:r w:rsidRPr="00792F34">
        <w:t xml:space="preserve">. Therefore, exclusions are unlikely to </w:t>
      </w:r>
      <w:r w:rsidR="00A272D7" w:rsidRPr="00792F34">
        <w:t>impact</w:t>
      </w:r>
      <w:r w:rsidRPr="00792F34">
        <w:t xml:space="preserve"> performance results.</w:t>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956B62" w:rsidRPr="00956B62" w:rsidRDefault="00092566" w:rsidP="00956B62">
      <w:pPr>
        <w:pStyle w:val="Heading1"/>
      </w:pPr>
      <w:bookmarkStart w:id="23" w:name="section2b4"/>
      <w:bookmarkEnd w:id="23"/>
      <w:r w:rsidRPr="00956B62">
        <w:t>2b4. RISK ADJUSTMENT/STRATIFICATION FOR OUTCOME OR RESOURCE USE MEASURES</w:t>
      </w:r>
    </w:p>
    <w:p w:rsidR="00AC1D8E" w:rsidRPr="0086464B" w:rsidRDefault="00AC1D8E" w:rsidP="00AC1D8E">
      <w:pPr>
        <w:autoSpaceDE w:val="0"/>
        <w:autoSpaceDN w:val="0"/>
        <w:adjustRightInd w:val="0"/>
        <w:spacing w:after="0" w:line="240" w:lineRule="auto"/>
        <w:rPr>
          <w:rFonts w:cstheme="minorHAnsi"/>
          <w:b/>
          <w:bCs/>
          <w:i/>
        </w:rPr>
      </w:pPr>
      <w:r w:rsidRPr="00165B66">
        <w:rPr>
          <w:rFonts w:cstheme="minorHAnsi"/>
          <w:b/>
          <w:bCs/>
          <w:i/>
        </w:rPr>
        <w:t>If not an intermediate or health outcome</w:t>
      </w:r>
      <w:r w:rsidR="00127C06" w:rsidRPr="00165B66">
        <w:rPr>
          <w:rFonts w:cstheme="minorHAnsi"/>
          <w:b/>
          <w:bCs/>
          <w:i/>
        </w:rPr>
        <w:t>,</w:t>
      </w:r>
      <w:r w:rsidRPr="00165B66">
        <w:rPr>
          <w:rFonts w:cstheme="minorHAnsi"/>
          <w:b/>
          <w:bCs/>
          <w:i/>
        </w:rPr>
        <w:t xml:space="preserve"> </w:t>
      </w:r>
      <w:r w:rsidR="00127C06" w:rsidRPr="00165B66">
        <w:rPr>
          <w:rFonts w:cstheme="minorHAnsi"/>
          <w:b/>
          <w:bCs/>
          <w:i/>
        </w:rPr>
        <w:t xml:space="preserve">or PRO-PM, </w:t>
      </w:r>
      <w:r w:rsidRPr="00165B66">
        <w:rPr>
          <w:rFonts w:cstheme="minorHAnsi"/>
          <w:b/>
          <w:bCs/>
          <w:i/>
        </w:rPr>
        <w:t xml:space="preserve">or resource use measure, </w:t>
      </w:r>
      <w:r w:rsidR="00BE592D" w:rsidRPr="00165B66">
        <w:rPr>
          <w:rFonts w:cstheme="minorHAnsi"/>
          <w:b/>
          <w:bCs/>
          <w:i/>
        </w:rPr>
        <w:t xml:space="preserve">skip to section </w:t>
      </w:r>
      <w:hyperlink w:anchor="section2b5" w:history="1">
        <w:r w:rsidR="00BE592D" w:rsidRPr="00165B66">
          <w:rPr>
            <w:rStyle w:val="Hyperlink"/>
            <w:rFonts w:cstheme="minorHAnsi"/>
            <w:b/>
            <w:bCs/>
            <w:i/>
          </w:rPr>
          <w:t>2b5</w:t>
        </w:r>
      </w:hyperlink>
      <w:r w:rsidR="00BE592D" w:rsidRPr="00165B66">
        <w:rPr>
          <w:rFonts w:cstheme="minorHAnsi"/>
          <w:b/>
          <w:bCs/>
          <w:i/>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rsidR="00033038" w:rsidRPr="005232D6" w:rsidRDefault="00AD0FAB"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101839">
            <w:rPr>
              <w:rFonts w:ascii="MS Gothic" w:eastAsia="MS Gothic" w:hAnsi="MS Gothic" w:cstheme="minorHAnsi"/>
              <w:bCs/>
              <w:color w:val="0000FF"/>
            </w:rPr>
            <w:t>X</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AD0FAB" w:rsidP="00BC6811">
      <w:pPr>
        <w:autoSpaceDE w:val="0"/>
        <w:autoSpaceDN w:val="0"/>
        <w:adjustRightInd w:val="0"/>
        <w:spacing w:after="0" w:line="240" w:lineRule="auto"/>
        <w:rPr>
          <w:rFonts w:cstheme="minorHAnsi"/>
          <w:b/>
          <w:bCs/>
        </w:rPr>
      </w:pPr>
      <w:sdt>
        <w:sdtPr>
          <w:rPr>
            <w:rFonts w:cstheme="minorHAnsi"/>
            <w:bCs/>
            <w:color w:val="0000FF"/>
          </w:rPr>
          <w:id w:val="-912162535"/>
        </w:sdtPr>
        <w:sdtContent>
          <w:sdt>
            <w:sdtPr>
              <w:rPr>
                <w:rFonts w:cstheme="minorHAnsi"/>
                <w:bCs/>
                <w:color w:val="0000FF"/>
              </w:rPr>
              <w:id w:val="296056354"/>
            </w:sdtPr>
            <w:sdtContent>
              <w:r w:rsidR="00BC6811">
                <w:rPr>
                  <w:rFonts w:ascii="MS Gothic" w:eastAsia="MS Gothic" w:hAnsi="MS Gothic" w:cstheme="minorHAnsi" w:hint="eastAsia"/>
                  <w:bCs/>
                  <w:color w:val="0000FF"/>
                </w:rPr>
                <w:t>☐</w:t>
              </w:r>
            </w:sdtContent>
          </w:sdt>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Fonts w:cstheme="minorHAnsi"/>
            <w:bCs/>
            <w:color w:val="808080" w:themeColor="background1" w:themeShade="80"/>
          </w:rPr>
          <w:id w:val="309760327"/>
          <w:text/>
        </w:sdtPr>
        <w:sdtContent>
          <w:r w:rsidR="00BC6811" w:rsidRPr="00BC6811">
            <w:rPr>
              <w:rFonts w:cstheme="minorHAnsi"/>
              <w:bCs/>
              <w:color w:val="808080" w:themeColor="background1" w:themeShade="80"/>
            </w:rPr>
            <w:t>Click here to enter number of risk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AD0FAB"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AD0FAB"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C3761D" w:rsidRPr="0045593E" w:rsidRDefault="00743E46" w:rsidP="0045593E">
      <w:pPr>
        <w:pStyle w:val="BodyText3"/>
        <w:rPr>
          <w:b/>
          <w:i w:val="0"/>
        </w:rPr>
      </w:pPr>
      <w:r w:rsidRPr="0045593E">
        <w:rPr>
          <w:b/>
          <w:i w:val="0"/>
        </w:rPr>
        <w:lastRenderedPageBreak/>
        <w:t xml:space="preserve">2b4.2. </w:t>
      </w:r>
      <w:proofErr w:type="gramStart"/>
      <w:r w:rsidR="008871A9" w:rsidRPr="0045593E">
        <w:rPr>
          <w:b/>
          <w:i w:val="0"/>
        </w:rPr>
        <w:t>If</w:t>
      </w:r>
      <w:proofErr w:type="gramEnd"/>
      <w:r w:rsidR="008871A9" w:rsidRPr="0045593E">
        <w:rPr>
          <w:b/>
          <w:i w:val="0"/>
        </w:rPr>
        <w:t xml:space="preserve"> an outcome </w:t>
      </w:r>
      <w:r w:rsidR="00052A6F" w:rsidRPr="0045593E">
        <w:rPr>
          <w:b/>
          <w:i w:val="0"/>
        </w:rPr>
        <w:t xml:space="preserve">or resource use </w:t>
      </w:r>
      <w:r w:rsidR="00092566" w:rsidRPr="0045593E">
        <w:rPr>
          <w:b/>
          <w:i w:val="0"/>
        </w:rPr>
        <w:t xml:space="preserve">measure is </w:t>
      </w:r>
      <w:r w:rsidR="00092566" w:rsidRPr="0045593E">
        <w:rPr>
          <w:b/>
          <w:i w:val="0"/>
          <w:u w:val="single"/>
        </w:rPr>
        <w:t>not risk adjusted or stratified</w:t>
      </w:r>
      <w:r w:rsidR="00092566" w:rsidRPr="0045593E">
        <w:rPr>
          <w:b/>
          <w:i w:val="0"/>
        </w:rPr>
        <w:t xml:space="preserve">, provide </w:t>
      </w:r>
      <w:r w:rsidR="00092566" w:rsidRPr="0045593E">
        <w:rPr>
          <w:b/>
          <w:i w:val="0"/>
          <w:u w:val="single"/>
        </w:rPr>
        <w:t>rationale and analyses</w:t>
      </w:r>
      <w:r w:rsidR="00092566" w:rsidRPr="0045593E">
        <w:rPr>
          <w:b/>
          <w:i w:val="0"/>
        </w:rPr>
        <w:t xml:space="preserve"> to demonstrate that controlling for differences in patient characteristics (case mix) is not needed to achieve fair comparisons across measured entities. </w:t>
      </w:r>
    </w:p>
    <w:p w:rsidR="00F01373" w:rsidRPr="00792F34" w:rsidRDefault="00F01373" w:rsidP="00C3761D">
      <w:pPr>
        <w:pStyle w:val="BodyText"/>
      </w:pPr>
      <w:r w:rsidRPr="00792F34">
        <w:t xml:space="preserve">The measure is not risk adjusted through a statistical model. However, the measure only applies to long-stay residents. The measure is limited to the long stay population because post-acute care patients may have developed urinary tract infection in the hospital rather than the nursing facility. Urinary tract infections </w:t>
      </w:r>
      <w:r w:rsidR="00B83D4B" w:rsidRPr="00792F34">
        <w:t>have</w:t>
      </w:r>
      <w:r w:rsidRPr="00792F34">
        <w:t xml:space="preserve"> relatively high prevalence </w:t>
      </w:r>
      <w:r w:rsidR="009D5CCA" w:rsidRPr="00792F34">
        <w:t xml:space="preserve">across the continuum of care </w:t>
      </w:r>
      <w:r w:rsidRPr="00792F34">
        <w:t>and there are no obvious conditions for which risk adjustment is appropriate. In particular, urinary tract infections are often associated with catheter use, which is often inappropriate</w:t>
      </w:r>
      <w:proofErr w:type="gramStart"/>
      <w:r w:rsidRPr="00792F34">
        <w:t>.(</w:t>
      </w:r>
      <w:proofErr w:type="gramEnd"/>
      <w:r w:rsidRPr="00792F34">
        <w:t>1)</w:t>
      </w:r>
    </w:p>
    <w:p w:rsidR="00F01373" w:rsidRPr="00792F34" w:rsidRDefault="00F01373" w:rsidP="00C3761D">
      <w:pPr>
        <w:pStyle w:val="BodyText"/>
      </w:pPr>
      <w:r w:rsidRPr="00792F34">
        <w:t>Thus, risk adjusting for the proportion of residents who have catheters would not be desirable.</w:t>
      </w:r>
    </w:p>
    <w:p w:rsidR="00092566" w:rsidRPr="00792F34" w:rsidRDefault="00F01373" w:rsidP="003252C3">
      <w:pPr>
        <w:pStyle w:val="ListNumber2"/>
        <w:numPr>
          <w:ilvl w:val="0"/>
          <w:numId w:val="40"/>
        </w:numPr>
      </w:pPr>
      <w:r w:rsidRPr="00792F34">
        <w:t xml:space="preserve">Gould CV, </w:t>
      </w:r>
      <w:proofErr w:type="spellStart"/>
      <w:r w:rsidRPr="00792F34">
        <w:t>Umscheid</w:t>
      </w:r>
      <w:proofErr w:type="spellEnd"/>
      <w:r w:rsidRPr="00792F34">
        <w:t xml:space="preserve"> CA, </w:t>
      </w:r>
      <w:proofErr w:type="spellStart"/>
      <w:r w:rsidRPr="00792F34">
        <w:t>Agarwal</w:t>
      </w:r>
      <w:proofErr w:type="spellEnd"/>
      <w:r w:rsidRPr="00792F34">
        <w:t xml:space="preserve"> R, Kuntz G, Pegues DA; the Healthcare Infection Control Practices Advisory Committee. Guideline for prevention of catheter-associated urinary tract infections 2009. Atlanta: Centers for Disease Control and Prevention, 2009. Available from http://www.cdc.gov/ncidod/dhqp/pdf/guidelines/CAUTI_Guideline2009final.pdf.</w:t>
      </w:r>
    </w:p>
    <w:p w:rsidR="003252C3" w:rsidRDefault="00092566" w:rsidP="003252C3">
      <w:pPr>
        <w:pStyle w:val="BodyText3"/>
      </w:pPr>
      <w:r w:rsidRPr="003252C3">
        <w:rPr>
          <w:b/>
          <w:i w:val="0"/>
        </w:rPr>
        <w:t xml:space="preserve">2b4.3. </w:t>
      </w:r>
      <w:r w:rsidR="00927027" w:rsidRPr="003252C3">
        <w:rPr>
          <w:b/>
          <w:i w:val="0"/>
        </w:rPr>
        <w:t>Describe</w:t>
      </w:r>
      <w:r w:rsidRPr="003252C3">
        <w:rPr>
          <w:b/>
          <w:i w:val="0"/>
        </w:rPr>
        <w:t xml:space="preserve"> the conceptual/clinical </w:t>
      </w:r>
      <w:r w:rsidRPr="003252C3">
        <w:rPr>
          <w:b/>
          <w:i w:val="0"/>
          <w:u w:val="single"/>
        </w:rPr>
        <w:t>and</w:t>
      </w:r>
      <w:r w:rsidRPr="003252C3">
        <w:rPr>
          <w:b/>
          <w:i w:val="0"/>
        </w:rPr>
        <w:t xml:space="preserve"> statistical methods and criteria used to select </w:t>
      </w:r>
      <w:r w:rsidR="005363F1" w:rsidRPr="003252C3">
        <w:rPr>
          <w:b/>
          <w:i w:val="0"/>
        </w:rPr>
        <w:t xml:space="preserve">patient </w:t>
      </w:r>
      <w:r w:rsidRPr="003252C3">
        <w:rPr>
          <w:b/>
          <w:i w:val="0"/>
        </w:rPr>
        <w:t>factors used in the statistical risk model or for stratification by risk</w:t>
      </w:r>
      <w:r w:rsidR="00927027" w:rsidRPr="003252C3">
        <w:rPr>
          <w:b/>
          <w:i w:val="0"/>
        </w:rPr>
        <w:t xml:space="preserve"> </w:t>
      </w:r>
      <w:r w:rsidRPr="00A25024">
        <w:t xml:space="preserve">(e.g., potential factors identified in </w:t>
      </w:r>
      <w:r w:rsidR="005363F1">
        <w:t xml:space="preserve">the </w:t>
      </w:r>
      <w:r w:rsidRPr="00A25024">
        <w:t>literature and/or expert panel; regression analysis; statistical significance of p&lt;0.10; correlation of x or higher</w:t>
      </w:r>
      <w:r w:rsidR="005363F1">
        <w:t>; patient factors should be present at the start of care and not related to disparities</w:t>
      </w:r>
      <w:r w:rsidRPr="00A25024">
        <w:t>)</w:t>
      </w:r>
    </w:p>
    <w:p w:rsidR="00001D73" w:rsidRPr="00001D73" w:rsidRDefault="00F01373" w:rsidP="00C3761D">
      <w:pPr>
        <w:pStyle w:val="BodyText"/>
      </w:pPr>
      <w:r w:rsidRPr="00792F34">
        <w:t>Not applicable</w:t>
      </w:r>
    </w:p>
    <w:p w:rsidR="003252C3" w:rsidRPr="003252C3" w:rsidRDefault="00092566" w:rsidP="003252C3">
      <w:pPr>
        <w:pStyle w:val="BodyText3"/>
        <w:rPr>
          <w:b/>
          <w:i w:val="0"/>
        </w:rPr>
      </w:pPr>
      <w:r w:rsidRPr="003252C3">
        <w:rPr>
          <w:b/>
          <w:i w:val="0"/>
        </w:rPr>
        <w:t xml:space="preserve">2b4.4. </w:t>
      </w:r>
      <w:proofErr w:type="gramStart"/>
      <w:r w:rsidRPr="003252C3">
        <w:rPr>
          <w:b/>
          <w:i w:val="0"/>
        </w:rPr>
        <w:t>What</w:t>
      </w:r>
      <w:proofErr w:type="gramEnd"/>
      <w:r w:rsidRPr="003252C3">
        <w:rPr>
          <w:b/>
          <w:i w:val="0"/>
        </w:rPr>
        <w:t xml:space="preserve"> were the statistical results of the analyses used to select risk factors?</w:t>
      </w:r>
    </w:p>
    <w:p w:rsidR="00792F34" w:rsidRDefault="00792F34" w:rsidP="00C3761D">
      <w:pPr>
        <w:pStyle w:val="BodyText"/>
      </w:pPr>
      <w:r w:rsidRPr="00792F34">
        <w:t>No</w:t>
      </w:r>
      <w:r>
        <w:t>t applicable</w:t>
      </w:r>
    </w:p>
    <w:p w:rsidR="00F01373" w:rsidRDefault="00E1508F" w:rsidP="00BC6811">
      <w:pPr>
        <w:rPr>
          <w:rFonts w:cstheme="minorHAnsi"/>
          <w:bCs/>
        </w:rPr>
      </w:pPr>
      <w:r>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p>
    <w:p w:rsidR="00792F34" w:rsidRDefault="00792F34" w:rsidP="00C3761D">
      <w:pPr>
        <w:pStyle w:val="BodyText"/>
      </w:pPr>
      <w:r w:rsidRPr="00792F34">
        <w:t>No</w:t>
      </w:r>
      <w:r>
        <w:t>t applicable</w:t>
      </w:r>
    </w:p>
    <w:p w:rsidR="00F01373" w:rsidRDefault="00001D73" w:rsidP="00092566">
      <w:pPr>
        <w:autoSpaceDE w:val="0"/>
        <w:autoSpaceDN w:val="0"/>
        <w:adjustRightInd w:val="0"/>
        <w:spacing w:after="0" w:line="240" w:lineRule="auto"/>
        <w:rPr>
          <w:rFonts w:cstheme="minorHAnsi"/>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p>
    <w:p w:rsidR="00F01373" w:rsidRDefault="00792F34" w:rsidP="00C3761D">
      <w:pPr>
        <w:pStyle w:val="BodyText"/>
        <w:rPr>
          <w:rFonts w:cstheme="minorHAnsi"/>
          <w:b/>
          <w:bCs/>
          <w:i/>
          <w:highlight w:val="green"/>
        </w:rPr>
      </w:pPr>
      <w:r w:rsidRPr="00792F34">
        <w:t>No</w:t>
      </w:r>
      <w:r>
        <w:t>t applicable</w:t>
      </w:r>
    </w:p>
    <w:p w:rsidR="00E1508F" w:rsidRPr="0045593E" w:rsidRDefault="00743E46" w:rsidP="0045593E">
      <w:pPr>
        <w:pStyle w:val="BodyText3"/>
        <w:spacing w:after="120"/>
        <w:rPr>
          <w:rStyle w:val="Hyperlink"/>
          <w:b/>
          <w:bCs w:val="0"/>
        </w:rPr>
      </w:pPr>
      <w:proofErr w:type="gramStart"/>
      <w:r w:rsidRPr="00165B66">
        <w:rPr>
          <w:b/>
        </w:rPr>
        <w:t>if</w:t>
      </w:r>
      <w:proofErr w:type="gramEnd"/>
      <w:r w:rsidRPr="00165B66">
        <w:rPr>
          <w:b/>
        </w:rPr>
        <w:t xml:space="preserve"> stratified, skip to </w:t>
      </w:r>
      <w:hyperlink w:anchor="question2b49" w:history="1">
        <w:r w:rsidRPr="00165B66">
          <w:rPr>
            <w:rStyle w:val="Hyperlink"/>
            <w:b/>
            <w:bCs w:val="0"/>
          </w:rPr>
          <w:t>2b4.9</w:t>
        </w:r>
      </w:hyperlink>
    </w:p>
    <w:p w:rsidR="00B22529" w:rsidRPr="00A73E10" w:rsidRDefault="00743E46" w:rsidP="003252C3">
      <w:pPr>
        <w:pStyle w:val="BodyText3"/>
        <w:rPr>
          <w:rFonts w:cs="Calibri"/>
          <w:color w:val="0000FF"/>
          <w:spacing w:val="-1"/>
          <w:sz w:val="20"/>
          <w:szCs w:val="20"/>
        </w:rPr>
      </w:pPr>
      <w:r w:rsidRPr="003252C3">
        <w:rPr>
          <w:b/>
          <w:i w:val="0"/>
        </w:rPr>
        <w:t xml:space="preserve">2b4.6. </w:t>
      </w:r>
      <w:r w:rsidR="00001D73" w:rsidRPr="003252C3">
        <w:rPr>
          <w:b/>
          <w:i w:val="0"/>
        </w:rPr>
        <w:t xml:space="preserve">Statistical </w:t>
      </w:r>
      <w:r w:rsidR="00092566" w:rsidRPr="003252C3">
        <w:rPr>
          <w:b/>
          <w:i w:val="0"/>
        </w:rPr>
        <w:t>Risk Model Discrimination Statistics</w:t>
      </w:r>
      <w:r w:rsidR="003605B4" w:rsidRPr="00BC6811">
        <w:t xml:space="preserve"> (e.g., c-statistic, R-squared)</w:t>
      </w:r>
      <w:r w:rsidRPr="00BC6811">
        <w:t>:</w:t>
      </w:r>
      <w:r w:rsidR="00092566" w:rsidRPr="00BC6811">
        <w:t xml:space="preserve">  </w:t>
      </w:r>
    </w:p>
    <w:p w:rsidR="00001D73" w:rsidRPr="00792F34" w:rsidRDefault="000A2B6D" w:rsidP="00C3761D">
      <w:pPr>
        <w:pStyle w:val="BodyText"/>
      </w:pPr>
      <w:r w:rsidRPr="00792F34">
        <w:t>Not applicable</w:t>
      </w:r>
    </w:p>
    <w:p w:rsidR="003252C3" w:rsidRPr="003252C3" w:rsidRDefault="00743E46" w:rsidP="00CF7A4B">
      <w:pPr>
        <w:autoSpaceDE w:val="0"/>
        <w:autoSpaceDN w:val="0"/>
        <w:adjustRightInd w:val="0"/>
        <w:spacing w:line="240" w:lineRule="auto"/>
        <w:rPr>
          <w:rFonts w:cstheme="minorHAnsi"/>
          <w:b/>
        </w:rPr>
      </w:pPr>
      <w:r w:rsidRPr="003252C3">
        <w:rPr>
          <w:rFonts w:cstheme="minorHAnsi"/>
          <w:b/>
        </w:rPr>
        <w:t>2b4.8</w:t>
      </w:r>
      <w:r w:rsidR="00001D73" w:rsidRPr="003252C3">
        <w:rPr>
          <w:rFonts w:cstheme="minorHAnsi"/>
          <w:b/>
        </w:rPr>
        <w:t xml:space="preserve">. </w:t>
      </w:r>
      <w:r w:rsidRPr="003252C3">
        <w:rPr>
          <w:rFonts w:cstheme="minorHAnsi"/>
          <w:b/>
        </w:rPr>
        <w:t xml:space="preserve">Statistical </w:t>
      </w:r>
      <w:r w:rsidR="00092566" w:rsidRPr="003252C3">
        <w:rPr>
          <w:rFonts w:cstheme="minorHAnsi"/>
          <w:b/>
        </w:rPr>
        <w:t>Risk Model Calibration – Risk decile plots or calibration curves:</w:t>
      </w:r>
    </w:p>
    <w:p w:rsidR="00F01373" w:rsidRPr="00792F34" w:rsidRDefault="00F01373" w:rsidP="00CF7A4B">
      <w:pPr>
        <w:autoSpaceDE w:val="0"/>
        <w:autoSpaceDN w:val="0"/>
        <w:adjustRightInd w:val="0"/>
        <w:spacing w:line="240" w:lineRule="auto"/>
        <w:rPr>
          <w:color w:val="0000FF"/>
        </w:rPr>
      </w:pPr>
      <w:r w:rsidRPr="00792F34">
        <w:rPr>
          <w:color w:val="0000FF"/>
        </w:rPr>
        <w:t>Not applicable</w:t>
      </w:r>
    </w:p>
    <w:p w:rsidR="00092566" w:rsidRPr="00A25024" w:rsidRDefault="00743E46" w:rsidP="00092566">
      <w:pPr>
        <w:autoSpaceDE w:val="0"/>
        <w:autoSpaceDN w:val="0"/>
        <w:adjustRightInd w:val="0"/>
        <w:spacing w:after="0" w:line="240" w:lineRule="auto"/>
        <w:rPr>
          <w:rFonts w:cstheme="minorHAnsi"/>
          <w:bCs/>
        </w:rPr>
      </w:pPr>
      <w:bookmarkStart w:id="24" w:name="question2b49"/>
      <w:bookmarkEnd w:id="24"/>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F01373" w:rsidRPr="00792F34" w:rsidRDefault="000A2B6D" w:rsidP="00C3761D">
      <w:pPr>
        <w:pStyle w:val="BodyText"/>
      </w:pPr>
      <w:r w:rsidRPr="00792F34">
        <w:t>Not applicable</w:t>
      </w:r>
    </w:p>
    <w:p w:rsidR="003252C3" w:rsidRDefault="00743E46" w:rsidP="003252C3">
      <w:pPr>
        <w:pStyle w:val="BodyText3"/>
      </w:pPr>
      <w:r w:rsidRPr="003252C3">
        <w:rPr>
          <w:b/>
          <w:i w:val="0"/>
        </w:rPr>
        <w:lastRenderedPageBreak/>
        <w:t>2b4.10</w:t>
      </w:r>
      <w:r w:rsidR="00001D73" w:rsidRPr="003252C3">
        <w:rPr>
          <w:b/>
          <w:i w:val="0"/>
        </w:rPr>
        <w:t xml:space="preserve">. </w:t>
      </w:r>
      <w:proofErr w:type="gramStart"/>
      <w:r w:rsidR="00092566" w:rsidRPr="003252C3">
        <w:rPr>
          <w:b/>
          <w:i w:val="0"/>
        </w:rPr>
        <w:t>What</w:t>
      </w:r>
      <w:proofErr w:type="gramEnd"/>
      <w:r w:rsidR="00092566" w:rsidRPr="003252C3">
        <w:rPr>
          <w:b/>
          <w:i w:val="0"/>
        </w:rPr>
        <w:t xml:space="preserve"> is your interpretation of the results in terms of demonstrating adequacy of controlling for differences in patient characteristics (case mix)? </w:t>
      </w:r>
      <w:r w:rsidR="00092566" w:rsidRPr="00A25024">
        <w:t xml:space="preserve">(i.e., what do the results mean and what are the norms for the test </w:t>
      </w:r>
      <w:proofErr w:type="gramStart"/>
      <w:r w:rsidR="00092566" w:rsidRPr="00A25024">
        <w:t>conducted</w:t>
      </w:r>
      <w:proofErr w:type="gramEnd"/>
      <w:r w:rsidR="00092566" w:rsidRPr="00A25024">
        <w:t>)</w:t>
      </w:r>
    </w:p>
    <w:p w:rsidR="00EA1F44" w:rsidRPr="00792F34" w:rsidRDefault="000A2B6D" w:rsidP="00C3761D">
      <w:pPr>
        <w:pStyle w:val="BodyText"/>
      </w:pPr>
      <w:r w:rsidRPr="00792F34">
        <w:t>Not applicable</w:t>
      </w:r>
    </w:p>
    <w:p w:rsidR="00021170" w:rsidRDefault="00092566" w:rsidP="009B1A15">
      <w:pPr>
        <w:spacing w:after="0" w:line="240" w:lineRule="auto"/>
        <w:rPr>
          <w:rFonts w:cstheme="minorHAnsi"/>
        </w:rPr>
      </w:pPr>
      <w:proofErr w:type="gramStart"/>
      <w:r w:rsidRPr="00165B66">
        <w:rPr>
          <w:rFonts w:cstheme="minorHAnsi"/>
        </w:rPr>
        <w:t>*</w:t>
      </w:r>
      <w:r w:rsidR="009B1A15" w:rsidRPr="00165B66">
        <w:rPr>
          <w:rFonts w:cstheme="minorHAnsi"/>
          <w:b/>
        </w:rPr>
        <w:t>2b4.11.</w:t>
      </w:r>
      <w:proofErr w:type="gramEnd"/>
      <w:r w:rsidR="009B1A15" w:rsidRPr="00165B66">
        <w:rPr>
          <w:rFonts w:cstheme="minorHAnsi"/>
        </w:rPr>
        <w:t xml:space="preserve"> </w:t>
      </w:r>
      <w:r w:rsidRPr="00165B66">
        <w:rPr>
          <w:rFonts w:cstheme="minorHAnsi"/>
          <w:b/>
        </w:rPr>
        <w:t>Optional</w:t>
      </w:r>
      <w:r w:rsidR="009B1A15" w:rsidRPr="00165B66">
        <w:rPr>
          <w:rFonts w:cstheme="minorHAnsi"/>
          <w:b/>
        </w:rPr>
        <w:t xml:space="preserve"> Additional Testing</w:t>
      </w:r>
      <w:r w:rsidR="004756E1" w:rsidRPr="00165B66">
        <w:rPr>
          <w:rFonts w:cstheme="minorHAnsi"/>
          <w:b/>
        </w:rPr>
        <w:t xml:space="preserve"> for Risk Adjustment</w:t>
      </w:r>
      <w:r w:rsidRPr="00A25024">
        <w:rPr>
          <w:rFonts w:cstheme="minorHAnsi"/>
          <w:b/>
        </w:rPr>
        <w:t xml:space="preserve"> </w:t>
      </w:r>
      <w:r w:rsidRPr="00A25024">
        <w:rPr>
          <w:rFonts w:cstheme="minorHAnsi"/>
        </w:rPr>
        <w:t>(</w:t>
      </w:r>
      <w:r w:rsidRPr="00A25024">
        <w:rPr>
          <w:rFonts w:cstheme="minorHAnsi"/>
          <w:i/>
          <w:u w:val="single"/>
        </w:rPr>
        <w:t>not required</w:t>
      </w:r>
      <w:r w:rsidRPr="00A25024">
        <w:rPr>
          <w:rFonts w:cstheme="minorHAnsi"/>
          <w:i/>
        </w:rPr>
        <w:t>, but would provide additional support of adequacy</w:t>
      </w:r>
      <w:r>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9B1A15">
        <w:rPr>
          <w:rFonts w:cstheme="minorHAnsi"/>
        </w:rPr>
        <w:t>)</w:t>
      </w:r>
    </w:p>
    <w:p w:rsidR="00970F09" w:rsidRPr="006C7620" w:rsidRDefault="006C7620" w:rsidP="00C3761D">
      <w:pPr>
        <w:pStyle w:val="BodyText"/>
      </w:pPr>
      <w:r w:rsidRPr="006C7620">
        <w:t>Not applicable</w:t>
      </w: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956B62">
      <w:pPr>
        <w:pStyle w:val="Heading1"/>
      </w:pPr>
      <w:bookmarkStart w:id="25" w:name="section2b5"/>
      <w:bookmarkEnd w:id="25"/>
      <w:r w:rsidRPr="00A25024">
        <w:t>2b5. IDENTIFICATION OF STATISTICALLY SIGNIFICANT &amp; MEANINGFUL DIFFERENCES IN PERFORMANCE</w:t>
      </w:r>
    </w:p>
    <w:p w:rsidR="00C3761D" w:rsidRDefault="00D61410" w:rsidP="00BB1F2E">
      <w:pPr>
        <w:autoSpaceDE w:val="0"/>
        <w:autoSpaceDN w:val="0"/>
        <w:adjustRightInd w:val="0"/>
        <w:spacing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C75914" w:rsidRPr="00BB1F2E" w:rsidRDefault="00C75914" w:rsidP="00C3761D">
      <w:pPr>
        <w:pStyle w:val="BodyText"/>
      </w:pPr>
      <w:r w:rsidRPr="00BB1F2E">
        <w:t xml:space="preserve">The measure is not an estimate based on samples; rather it includes all nursing home residents nationwide who meet the inclusion criteria.  </w:t>
      </w:r>
    </w:p>
    <w:p w:rsidR="00C75914" w:rsidRPr="00BB1F2E" w:rsidRDefault="00C75914" w:rsidP="00C3761D">
      <w:pPr>
        <w:pStyle w:val="BodyText"/>
      </w:pPr>
      <w:r w:rsidRPr="00BB1F2E">
        <w:t xml:space="preserve">However, the method for determining meaningful differences in facility performance has not yet been determined. For several publicly reported measures, CMS currently estimates an interval estimate for each </w:t>
      </w:r>
      <w:r w:rsidR="00BB1F2E" w:rsidRPr="00BB1F2E">
        <w:t xml:space="preserve">provider </w:t>
      </w:r>
      <w:r w:rsidRPr="00BB1F2E">
        <w:t>rate to characterize the amount of</w:t>
      </w:r>
      <w:r w:rsidR="00BB1F2E" w:rsidRPr="00BB1F2E">
        <w:t xml:space="preserve"> uncertainty associated with each</w:t>
      </w:r>
      <w:r w:rsidRPr="00BB1F2E">
        <w:t xml:space="preserve"> rate </w:t>
      </w:r>
      <w:r w:rsidR="00BB1F2E" w:rsidRPr="00BB1F2E">
        <w:t xml:space="preserve">and </w:t>
      </w:r>
      <w:r w:rsidRPr="00BB1F2E">
        <w:t>compare</w:t>
      </w:r>
      <w:r w:rsidR="00BB1F2E" w:rsidRPr="00BB1F2E">
        <w:t>s</w:t>
      </w:r>
      <w:r w:rsidRPr="00BB1F2E">
        <w:t xml:space="preserve"> the interval estimate to the </w:t>
      </w:r>
      <w:r w:rsidR="003E239D" w:rsidRPr="00BB1F2E">
        <w:t xml:space="preserve">national </w:t>
      </w:r>
      <w:r w:rsidRPr="00BB1F2E">
        <w:t>mean for the outcome</w:t>
      </w:r>
      <w:r w:rsidR="00BB1F2E" w:rsidRPr="00BB1F2E">
        <w:t xml:space="preserve">. </w:t>
      </w:r>
    </w:p>
    <w:p w:rsidR="00C75914" w:rsidRPr="00BB1F2E" w:rsidRDefault="00BB1F2E" w:rsidP="00C3761D">
      <w:pPr>
        <w:pStyle w:val="BodyText"/>
      </w:pPr>
      <w:r w:rsidRPr="00BB1F2E">
        <w:t xml:space="preserve">Following prior CMS work, in this analysis we characterize </w:t>
      </w:r>
      <w:r w:rsidR="00C75914" w:rsidRPr="00BB1F2E">
        <w:t xml:space="preserve">the proportion of facilities that had scores that were significantly lower than the national mean, significantly higher than the national mean, or not significantly different from the mean in order to see how well the measure distinguishes high-performing from low-performing facilities. </w:t>
      </w:r>
      <w:r w:rsidRPr="00BB1F2E">
        <w:t>T</w:t>
      </w:r>
      <w:r w:rsidR="00C75914" w:rsidRPr="00BB1F2E">
        <w:t xml:space="preserve">his </w:t>
      </w:r>
      <w:r w:rsidRPr="00BB1F2E">
        <w:t>was done by finding the 95 percent</w:t>
      </w:r>
      <w:r w:rsidR="00C75914" w:rsidRPr="00BB1F2E">
        <w:t xml:space="preserve"> confidence interval for each facility and </w:t>
      </w:r>
      <w:r w:rsidRPr="00BB1F2E">
        <w:t>observing</w:t>
      </w:r>
      <w:r w:rsidR="00C75914" w:rsidRPr="00BB1F2E">
        <w:t xml:space="preserve"> where the national mean fell in relation to those intervals. Please note that </w:t>
      </w:r>
      <w:r w:rsidRPr="00BB1F2E">
        <w:t>it is not possible to</w:t>
      </w:r>
      <w:r w:rsidR="00C75914" w:rsidRPr="00BB1F2E">
        <w:t xml:space="preserve"> calculate confidence intervals for facilities with scores of 0</w:t>
      </w:r>
      <w:r w:rsidRPr="00BB1F2E">
        <w:t xml:space="preserve"> percent</w:t>
      </w:r>
      <w:r w:rsidR="00C75914" w:rsidRPr="00BB1F2E">
        <w:t xml:space="preserve"> or 100</w:t>
      </w:r>
      <w:r w:rsidRPr="00BB1F2E">
        <w:t xml:space="preserve"> percent</w:t>
      </w:r>
      <w:r w:rsidR="00C75914" w:rsidRPr="00BB1F2E">
        <w:t xml:space="preserve"> (because the standard error of either proportion is always 0)</w:t>
      </w:r>
      <w:r w:rsidRPr="00BB1F2E">
        <w:t>. These f</w:t>
      </w:r>
      <w:r w:rsidR="00C75914" w:rsidRPr="00BB1F2E">
        <w:t xml:space="preserve">acilities </w:t>
      </w:r>
      <w:r w:rsidRPr="00BB1F2E">
        <w:t>were treated as</w:t>
      </w:r>
      <w:r w:rsidR="00C75914" w:rsidRPr="00BB1F2E">
        <w:t xml:space="preserve"> having intervals of either [0</w:t>
      </w:r>
      <w:proofErr w:type="gramStart"/>
      <w:r w:rsidR="00C75914" w:rsidRPr="00BB1F2E">
        <w:t>,0</w:t>
      </w:r>
      <w:proofErr w:type="gramEnd"/>
      <w:r w:rsidR="00C75914" w:rsidRPr="00BB1F2E">
        <w:t xml:space="preserve">] or [1,1]. </w:t>
      </w:r>
    </w:p>
    <w:p w:rsidR="00F70454" w:rsidRPr="0068052E" w:rsidRDefault="00BB1F2E" w:rsidP="00C3761D">
      <w:pPr>
        <w:pStyle w:val="BodyText"/>
        <w:rPr>
          <w:rFonts w:cstheme="minorHAnsi"/>
          <w:bCs/>
        </w:rPr>
      </w:pPr>
      <w:r w:rsidRPr="00BB1F2E">
        <w:t>This analysis was al</w:t>
      </w:r>
      <w:r w:rsidR="00C75914" w:rsidRPr="00BB1F2E">
        <w:t xml:space="preserve">so stratified by facility size (using deciles of number of residents in the denominator as a measure of volume). </w:t>
      </w:r>
    </w:p>
    <w:p w:rsidR="00BC6811" w:rsidRDefault="00D61410" w:rsidP="00BC6811">
      <w:pPr>
        <w:autoSpaceDE w:val="0"/>
        <w:autoSpaceDN w:val="0"/>
        <w:adjustRightInd w:val="0"/>
        <w:spacing w:after="0" w:line="240" w:lineRule="auto"/>
        <w:rPr>
          <w:b/>
          <w:sz w:val="20"/>
          <w:szCs w:val="20"/>
          <w:highlight w:val="yellow"/>
        </w:rPr>
      </w:pPr>
      <w:r w:rsidRPr="006C7620">
        <w:rPr>
          <w:rFonts w:cstheme="minorHAnsi"/>
          <w:b/>
          <w:bCs/>
        </w:rPr>
        <w:t xml:space="preserve">2b5.2. </w:t>
      </w:r>
      <w:proofErr w:type="gramStart"/>
      <w:r w:rsidRPr="006C7620">
        <w:rPr>
          <w:rFonts w:cstheme="minorHAnsi"/>
          <w:b/>
          <w:bCs/>
        </w:rPr>
        <w:t>What</w:t>
      </w:r>
      <w:proofErr w:type="gramEnd"/>
      <w:r w:rsidRPr="006C7620">
        <w:rPr>
          <w:rFonts w:cstheme="minorHAnsi"/>
          <w:b/>
          <w:bCs/>
        </w:rPr>
        <w:t xml:space="preserve"> were the statistical results from testing the ability to identify </w:t>
      </w:r>
      <w:r w:rsidR="001E69DC" w:rsidRPr="006C7620">
        <w:rPr>
          <w:rFonts w:cstheme="minorHAnsi"/>
          <w:b/>
          <w:bCs/>
        </w:rPr>
        <w:t xml:space="preserve">statistically significant and/or clinically/practically meaningful </w:t>
      </w:r>
      <w:r w:rsidRPr="006C7620">
        <w:rPr>
          <w:rFonts w:cstheme="minorHAnsi"/>
          <w:b/>
          <w:bCs/>
        </w:rPr>
        <w:t>differences in performance measure scores across measured entities?</w:t>
      </w:r>
      <w:r w:rsidRPr="006C7620">
        <w:rPr>
          <w:rFonts w:cstheme="minorHAnsi"/>
          <w:bCs/>
        </w:rPr>
        <w:t xml:space="preserve"> (e.g., </w:t>
      </w:r>
      <w:r w:rsidRPr="006C7620">
        <w:rPr>
          <w:rFonts w:cstheme="minorHAnsi"/>
          <w:bCs/>
          <w:i/>
        </w:rPr>
        <w:t xml:space="preserve">number and percentage </w:t>
      </w:r>
      <w:r w:rsidR="001E69DC" w:rsidRPr="006C7620">
        <w:rPr>
          <w:rFonts w:cstheme="minorHAnsi"/>
          <w:bCs/>
          <w:i/>
        </w:rPr>
        <w:t xml:space="preserve">of entities with scores </w:t>
      </w:r>
      <w:r w:rsidRPr="006C7620">
        <w:rPr>
          <w:rFonts w:cstheme="minorHAnsi"/>
          <w:bCs/>
          <w:i/>
        </w:rPr>
        <w:t xml:space="preserve">that were statistically significantly different from mean </w:t>
      </w:r>
      <w:r w:rsidR="001E69DC" w:rsidRPr="006C7620">
        <w:rPr>
          <w:rFonts w:cstheme="minorHAnsi"/>
          <w:bCs/>
          <w:i/>
        </w:rPr>
        <w:t>or some benchmark, different from expected; how was meaningful difference defined</w:t>
      </w:r>
      <w:r w:rsidRPr="006C7620">
        <w:rPr>
          <w:rFonts w:cstheme="minorHAnsi"/>
          <w:bCs/>
        </w:rPr>
        <w:t>)</w:t>
      </w:r>
    </w:p>
    <w:p w:rsidR="00985BC0" w:rsidRDefault="00C75914" w:rsidP="00C3761D">
      <w:pPr>
        <w:pStyle w:val="BodyText"/>
      </w:pPr>
      <w:r w:rsidRPr="000E60DD">
        <w:rPr>
          <w:sz w:val="24"/>
          <w:szCs w:val="24"/>
        </w:rPr>
        <w:t>The distribution</w:t>
      </w:r>
      <w:r w:rsidR="00985BC0">
        <w:rPr>
          <w:sz w:val="24"/>
          <w:szCs w:val="24"/>
        </w:rPr>
        <w:t>,</w:t>
      </w:r>
      <w:r w:rsidR="00985BC0" w:rsidRPr="00985BC0">
        <w:rPr>
          <w:sz w:val="24"/>
          <w:szCs w:val="24"/>
        </w:rPr>
        <w:t xml:space="preserve"> </w:t>
      </w:r>
      <w:r w:rsidR="00985BC0">
        <w:t xml:space="preserve">for the second quarter of 2013, </w:t>
      </w:r>
      <w:r w:rsidRPr="000E60DD">
        <w:rPr>
          <w:sz w:val="24"/>
          <w:szCs w:val="24"/>
        </w:rPr>
        <w:t xml:space="preserve">of </w:t>
      </w:r>
      <w:r w:rsidR="00985BC0" w:rsidRPr="007E4ADD">
        <w:t>QM #0684 Percent of Residents with a Urinary Tract Infection (Long Stay)</w:t>
      </w:r>
      <w:r w:rsidR="00985BC0">
        <w:rPr>
          <w:rFonts w:eastAsia="Times New Roman" w:cs="Arial"/>
          <w:sz w:val="24"/>
        </w:rPr>
        <w:t xml:space="preserve"> </w:t>
      </w:r>
      <w:r w:rsidRPr="000E60DD">
        <w:rPr>
          <w:sz w:val="24"/>
          <w:szCs w:val="24"/>
        </w:rPr>
        <w:t xml:space="preserve">is </w:t>
      </w:r>
      <w:r w:rsidR="00985BC0">
        <w:rPr>
          <w:sz w:val="24"/>
          <w:szCs w:val="24"/>
        </w:rPr>
        <w:t xml:space="preserve">shown </w:t>
      </w:r>
      <w:r w:rsidRPr="000E60DD">
        <w:rPr>
          <w:sz w:val="24"/>
          <w:szCs w:val="24"/>
        </w:rPr>
        <w:t xml:space="preserve">in </w:t>
      </w:r>
      <w:r>
        <w:rPr>
          <w:b/>
          <w:sz w:val="24"/>
          <w:szCs w:val="24"/>
        </w:rPr>
        <w:t>T</w:t>
      </w:r>
      <w:r w:rsidRPr="000E60DD">
        <w:rPr>
          <w:b/>
          <w:sz w:val="24"/>
          <w:szCs w:val="24"/>
        </w:rPr>
        <w:t xml:space="preserve">able </w:t>
      </w:r>
      <w:r w:rsidR="007E4ADD">
        <w:rPr>
          <w:b/>
          <w:sz w:val="24"/>
          <w:szCs w:val="24"/>
        </w:rPr>
        <w:t>4</w:t>
      </w:r>
      <w:r w:rsidR="007E4ADD" w:rsidRPr="00985BC0">
        <w:rPr>
          <w:sz w:val="24"/>
          <w:szCs w:val="24"/>
        </w:rPr>
        <w:t xml:space="preserve"> </w:t>
      </w:r>
      <w:r w:rsidR="00985BC0">
        <w:rPr>
          <w:sz w:val="24"/>
          <w:szCs w:val="24"/>
        </w:rPr>
        <w:t xml:space="preserve">below. The measure </w:t>
      </w:r>
      <w:r w:rsidR="00985BC0">
        <w:t>showed a range of</w:t>
      </w:r>
      <w:r w:rsidR="00985BC0" w:rsidRPr="00375247">
        <w:t xml:space="preserve"> variability </w:t>
      </w:r>
      <w:r w:rsidR="00985BC0">
        <w:t>across facilities</w:t>
      </w:r>
      <w:r w:rsidR="00985BC0" w:rsidRPr="00375247">
        <w:t xml:space="preserve"> nationally</w:t>
      </w:r>
      <w:r w:rsidR="00985BC0">
        <w:t xml:space="preserve"> (n = </w:t>
      </w:r>
      <w:r w:rsidR="00985BC0" w:rsidRPr="0068052E">
        <w:t>13,</w:t>
      </w:r>
      <w:r w:rsidR="00985BC0">
        <w:t>640)</w:t>
      </w:r>
      <w:r w:rsidR="00985BC0" w:rsidRPr="00375247">
        <w:t xml:space="preserve">. </w:t>
      </w:r>
      <w:r w:rsidR="00985BC0">
        <w:t>T</w:t>
      </w:r>
      <w:r w:rsidR="00985BC0" w:rsidRPr="00375247">
        <w:t>he distribution of facility level scores ha</w:t>
      </w:r>
      <w:r w:rsidR="00985BC0">
        <w:t>d</w:t>
      </w:r>
      <w:r w:rsidR="00985BC0" w:rsidRPr="00375247">
        <w:t xml:space="preserve"> a slight, positive skew, with a mean of 6.</w:t>
      </w:r>
      <w:r w:rsidR="00985BC0">
        <w:t>2</w:t>
      </w:r>
      <w:r w:rsidR="00985BC0" w:rsidRPr="00375247">
        <w:t xml:space="preserve"> percent and a median of 5.</w:t>
      </w:r>
      <w:r w:rsidR="00985BC0">
        <w:t>3</w:t>
      </w:r>
      <w:r w:rsidR="00985BC0" w:rsidRPr="00375247">
        <w:t xml:space="preserve"> percent. The interquartile range is 6.4 percent. </w:t>
      </w:r>
      <w:r w:rsidR="00985BC0">
        <w:t xml:space="preserve">At least </w:t>
      </w:r>
      <w:r w:rsidR="00985BC0" w:rsidRPr="00375247">
        <w:lastRenderedPageBreak/>
        <w:t>ten</w:t>
      </w:r>
      <w:r w:rsidR="00985BC0">
        <w:t xml:space="preserve"> percent</w:t>
      </w:r>
      <w:r w:rsidR="00985BC0" w:rsidRPr="00375247">
        <w:t xml:space="preserve"> of facilities ha</w:t>
      </w:r>
      <w:r w:rsidR="00985BC0">
        <w:t>d</w:t>
      </w:r>
      <w:r w:rsidR="00985BC0" w:rsidRPr="00375247">
        <w:t xml:space="preserve"> perfect scores of 0 percent for this measure, suggesting the possibility of a floor effect for this measure.</w:t>
      </w:r>
      <w:r w:rsidR="00985BC0">
        <w:t xml:space="preserve"> This analysis was restricted to facilities with at least 30 residents in the denominator, the minimum requirement for public reporting. </w:t>
      </w:r>
    </w:p>
    <w:p w:rsidR="00BB1F2E" w:rsidRPr="008B6D6F" w:rsidRDefault="00BB1F2E" w:rsidP="003252C3">
      <w:pPr>
        <w:pStyle w:val="TableTitle"/>
      </w:pPr>
      <w:r w:rsidRPr="008B6D6F">
        <w:t xml:space="preserve">Table </w:t>
      </w:r>
      <w:r>
        <w:t>4</w:t>
      </w:r>
      <w:r w:rsidRPr="008B6D6F">
        <w:br/>
      </w:r>
      <w:r>
        <w:t>Percentile d</w:t>
      </w:r>
      <w:r w:rsidRPr="008B6D6F">
        <w:t xml:space="preserve">istribution of </w:t>
      </w:r>
      <w:r>
        <w:t>scores</w:t>
      </w:r>
      <w:r w:rsidRPr="008B6D6F">
        <w:t xml:space="preserve"> </w:t>
      </w:r>
      <w:r>
        <w:t xml:space="preserve">for </w:t>
      </w:r>
      <w:r w:rsidRPr="008B6D6F">
        <w:t xml:space="preserve">QM #0684 Percent of Residents </w:t>
      </w:r>
      <w:r w:rsidR="0045593E">
        <w:br/>
      </w:r>
      <w:r w:rsidRPr="008B6D6F">
        <w:t>with a Urinary Tract Infection (Long Stay)</w:t>
      </w:r>
    </w:p>
    <w:tbl>
      <w:tblPr>
        <w:tblW w:w="4605" w:type="dxa"/>
        <w:jc w:val="center"/>
        <w:tblInd w:w="93" w:type="dxa"/>
        <w:tblLook w:val="04A0"/>
      </w:tblPr>
      <w:tblGrid>
        <w:gridCol w:w="2355"/>
        <w:gridCol w:w="2250"/>
      </w:tblGrid>
      <w:tr w:rsidR="00BB1F2E" w:rsidRPr="00CF7A4B" w:rsidTr="00BB1F2E">
        <w:trPr>
          <w:trHeight w:val="300"/>
          <w:jc w:val="center"/>
        </w:trPr>
        <w:tc>
          <w:tcPr>
            <w:tcW w:w="2355" w:type="dxa"/>
            <w:tcBorders>
              <w:top w:val="single" w:sz="12" w:space="0" w:color="auto"/>
              <w:bottom w:val="single" w:sz="4" w:space="0" w:color="auto"/>
            </w:tcBorders>
            <w:shd w:val="clear" w:color="auto" w:fill="auto"/>
            <w:noWrap/>
            <w:vAlign w:val="bottom"/>
            <w:hideMark/>
          </w:tcPr>
          <w:p w:rsidR="00BB1F2E" w:rsidRPr="00CF7A4B" w:rsidRDefault="00BB1F2E" w:rsidP="0045593E">
            <w:pPr>
              <w:pStyle w:val="TableHeaders"/>
            </w:pPr>
            <w:r w:rsidRPr="00CF7A4B">
              <w:t>Percentile</w:t>
            </w:r>
          </w:p>
        </w:tc>
        <w:tc>
          <w:tcPr>
            <w:tcW w:w="2250" w:type="dxa"/>
            <w:tcBorders>
              <w:top w:val="single" w:sz="12" w:space="0" w:color="auto"/>
              <w:bottom w:val="single" w:sz="4" w:space="0" w:color="auto"/>
            </w:tcBorders>
            <w:shd w:val="clear" w:color="auto" w:fill="auto"/>
            <w:noWrap/>
            <w:vAlign w:val="bottom"/>
            <w:hideMark/>
          </w:tcPr>
          <w:p w:rsidR="00BB1F2E" w:rsidRPr="00CF7A4B" w:rsidRDefault="00BB1F2E" w:rsidP="0045593E">
            <w:pPr>
              <w:pStyle w:val="TableHeaders"/>
            </w:pPr>
            <w:r w:rsidRPr="00CF7A4B">
              <w:t>Value</w:t>
            </w:r>
          </w:p>
        </w:tc>
      </w:tr>
      <w:tr w:rsidR="00BB1F2E" w:rsidRPr="00CF7A4B" w:rsidTr="00BB1F2E">
        <w:trPr>
          <w:trHeight w:val="300"/>
          <w:jc w:val="center"/>
        </w:trPr>
        <w:tc>
          <w:tcPr>
            <w:tcW w:w="2355" w:type="dxa"/>
            <w:tcBorders>
              <w:top w:val="single" w:sz="4" w:space="0" w:color="auto"/>
            </w:tcBorders>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N (facilities)</w:t>
            </w:r>
          </w:p>
        </w:tc>
        <w:tc>
          <w:tcPr>
            <w:tcW w:w="2250" w:type="dxa"/>
            <w:tcBorders>
              <w:top w:val="single" w:sz="4" w:space="0" w:color="auto"/>
            </w:tcBorders>
            <w:shd w:val="clear" w:color="auto" w:fill="auto"/>
            <w:noWrap/>
            <w:vAlign w:val="bottom"/>
            <w:hideMark/>
          </w:tcPr>
          <w:p w:rsidR="00BB1F2E" w:rsidRPr="00CF7A4B" w:rsidRDefault="00BB1F2E" w:rsidP="0045593E">
            <w:pPr>
              <w:spacing w:after="0" w:line="240" w:lineRule="auto"/>
              <w:ind w:right="576"/>
              <w:jc w:val="right"/>
              <w:rPr>
                <w:rFonts w:eastAsia="Times New Roman" w:cs="Times New Roman"/>
                <w:color w:val="000000"/>
              </w:rPr>
            </w:pPr>
            <w:r w:rsidRPr="005F1667">
              <w:rPr>
                <w:rFonts w:eastAsia="Times New Roman" w:cs="Times New Roman"/>
                <w:color w:val="000000"/>
              </w:rPr>
              <w:t>13,640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k (residents)</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Times New Roman"/>
                <w:color w:val="000000"/>
              </w:rPr>
            </w:pPr>
            <w:r w:rsidRPr="005F1667">
              <w:rPr>
                <w:rFonts w:eastAsia="Times New Roman" w:cs="Times New Roman"/>
                <w:color w:val="000000"/>
              </w:rPr>
              <w:t>1,108,999</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mean</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6.2%</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SD</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5.0%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min</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Times New Roman"/>
                <w:color w:val="000000"/>
              </w:rPr>
            </w:pPr>
            <w:r w:rsidRPr="005F1667">
              <w:rPr>
                <w:rFonts w:eastAsia="Times New Roman" w:cs="Times New Roman"/>
                <w:color w:val="000000"/>
              </w:rPr>
              <w:t>0.0%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max</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38.5%</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Interquartile Range</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6.4%</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10th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0.0%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20th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2.0%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30th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3.0%</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40th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4.2%</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50th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5.3%</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60th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6.5%</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70th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8.1%</w:t>
            </w:r>
          </w:p>
        </w:tc>
      </w:tr>
      <w:tr w:rsidR="00BB1F2E" w:rsidRPr="00CF7A4B" w:rsidTr="00BB1F2E">
        <w:trPr>
          <w:trHeight w:val="300"/>
          <w:jc w:val="center"/>
        </w:trPr>
        <w:tc>
          <w:tcPr>
            <w:tcW w:w="2355" w:type="dxa"/>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80th %</w:t>
            </w:r>
          </w:p>
        </w:tc>
        <w:tc>
          <w:tcPr>
            <w:tcW w:w="2250" w:type="dxa"/>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9.9%</w:t>
            </w:r>
          </w:p>
        </w:tc>
      </w:tr>
      <w:tr w:rsidR="00BB1F2E" w:rsidRPr="00CF7A4B" w:rsidTr="00BB1F2E">
        <w:trPr>
          <w:trHeight w:val="315"/>
          <w:jc w:val="center"/>
        </w:trPr>
        <w:tc>
          <w:tcPr>
            <w:tcW w:w="2355" w:type="dxa"/>
            <w:tcBorders>
              <w:bottom w:val="single" w:sz="12" w:space="0" w:color="auto"/>
            </w:tcBorders>
            <w:shd w:val="clear" w:color="auto" w:fill="auto"/>
            <w:noWrap/>
            <w:vAlign w:val="bottom"/>
            <w:hideMark/>
          </w:tcPr>
          <w:p w:rsidR="00BB1F2E" w:rsidRPr="00CF7A4B" w:rsidRDefault="00BB1F2E" w:rsidP="00BB1F2E">
            <w:pPr>
              <w:spacing w:after="0" w:line="240" w:lineRule="auto"/>
              <w:rPr>
                <w:rFonts w:eastAsia="Times New Roman" w:cs="Times New Roman"/>
                <w:color w:val="000000"/>
              </w:rPr>
            </w:pPr>
            <w:r w:rsidRPr="005F1667">
              <w:rPr>
                <w:rFonts w:eastAsia="Times New Roman" w:cs="Times New Roman"/>
                <w:color w:val="000000"/>
              </w:rPr>
              <w:t>90th %</w:t>
            </w:r>
          </w:p>
        </w:tc>
        <w:tc>
          <w:tcPr>
            <w:tcW w:w="2250" w:type="dxa"/>
            <w:tcBorders>
              <w:bottom w:val="single" w:sz="12" w:space="0" w:color="auto"/>
            </w:tcBorders>
            <w:shd w:val="clear" w:color="auto" w:fill="auto"/>
            <w:noWrap/>
            <w:vAlign w:val="bottom"/>
            <w:hideMark/>
          </w:tcPr>
          <w:p w:rsidR="00BB1F2E" w:rsidRPr="00CF7A4B" w:rsidRDefault="00BB1F2E" w:rsidP="0045593E">
            <w:pPr>
              <w:spacing w:after="0" w:line="240" w:lineRule="auto"/>
              <w:ind w:right="576"/>
              <w:jc w:val="right"/>
              <w:rPr>
                <w:rFonts w:eastAsia="Times New Roman" w:cs="Courier New"/>
                <w:color w:val="000000"/>
              </w:rPr>
            </w:pPr>
            <w:r w:rsidRPr="005F1667">
              <w:rPr>
                <w:rFonts w:eastAsia="Times New Roman" w:cs="Courier New"/>
                <w:color w:val="000000"/>
              </w:rPr>
              <w:t>12.9%</w:t>
            </w:r>
          </w:p>
        </w:tc>
      </w:tr>
    </w:tbl>
    <w:p w:rsidR="00E75109" w:rsidRPr="00833F0C" w:rsidRDefault="00E75109" w:rsidP="00E75109">
      <w:pPr>
        <w:autoSpaceDE w:val="0"/>
        <w:autoSpaceDN w:val="0"/>
        <w:adjustRightInd w:val="0"/>
        <w:spacing w:after="0" w:line="240" w:lineRule="auto"/>
        <w:rPr>
          <w:rFonts w:cstheme="minorHAnsi"/>
          <w:bCs/>
          <w:sz w:val="20"/>
          <w:szCs w:val="20"/>
        </w:rPr>
      </w:pPr>
      <w:r w:rsidRPr="00833F0C">
        <w:rPr>
          <w:rFonts w:cstheme="minorHAnsi"/>
          <w:bCs/>
          <w:sz w:val="20"/>
          <w:szCs w:val="20"/>
        </w:rPr>
        <w:t>NOTES:</w:t>
      </w:r>
    </w:p>
    <w:p w:rsidR="00E75109" w:rsidRPr="00833F0C" w:rsidRDefault="00E75109" w:rsidP="00E75109">
      <w:pPr>
        <w:autoSpaceDE w:val="0"/>
        <w:autoSpaceDN w:val="0"/>
        <w:adjustRightInd w:val="0"/>
        <w:spacing w:after="0" w:line="240" w:lineRule="auto"/>
        <w:rPr>
          <w:rFonts w:cstheme="minorHAnsi"/>
          <w:bCs/>
          <w:sz w:val="20"/>
          <w:szCs w:val="20"/>
        </w:rPr>
      </w:pPr>
      <w:r w:rsidRPr="00833F0C">
        <w:rPr>
          <w:rFonts w:cstheme="minorHAnsi"/>
          <w:bCs/>
          <w:sz w:val="20"/>
          <w:szCs w:val="20"/>
        </w:rPr>
        <w:t>n = number of facilities that meet minimum requirements for public reporting this quality measure.</w:t>
      </w:r>
    </w:p>
    <w:p w:rsidR="00E75109" w:rsidRPr="00833F0C" w:rsidRDefault="00E75109" w:rsidP="00E75109">
      <w:pPr>
        <w:autoSpaceDE w:val="0"/>
        <w:autoSpaceDN w:val="0"/>
        <w:adjustRightInd w:val="0"/>
        <w:spacing w:after="0" w:line="240" w:lineRule="auto"/>
        <w:rPr>
          <w:rFonts w:cstheme="minorHAnsi"/>
          <w:bCs/>
          <w:sz w:val="20"/>
          <w:szCs w:val="20"/>
        </w:rPr>
      </w:pPr>
      <w:r w:rsidRPr="00833F0C">
        <w:rPr>
          <w:rFonts w:cstheme="minorHAnsi"/>
          <w:bCs/>
          <w:sz w:val="20"/>
          <w:szCs w:val="20"/>
        </w:rPr>
        <w:t>QM scores are reported at the facility level.</w:t>
      </w:r>
    </w:p>
    <w:p w:rsidR="009575D2" w:rsidRPr="009575D2" w:rsidRDefault="009575D2" w:rsidP="009575D2">
      <w:pPr>
        <w:autoSpaceDE w:val="0"/>
        <w:autoSpaceDN w:val="0"/>
        <w:adjustRightInd w:val="0"/>
        <w:spacing w:after="0" w:line="240" w:lineRule="auto"/>
        <w:rPr>
          <w:rFonts w:cstheme="minorHAnsi"/>
          <w:bCs/>
          <w:sz w:val="20"/>
          <w:szCs w:val="20"/>
        </w:rPr>
      </w:pPr>
      <w:r w:rsidRPr="009575D2">
        <w:rPr>
          <w:rFonts w:cstheme="minorHAnsi"/>
          <w:bCs/>
          <w:sz w:val="20"/>
          <w:szCs w:val="20"/>
        </w:rPr>
        <w:t>Analysis date: 1/14/2014</w:t>
      </w:r>
    </w:p>
    <w:p w:rsidR="00E75109" w:rsidRPr="00833F0C" w:rsidRDefault="00E75109" w:rsidP="00E75109">
      <w:pPr>
        <w:autoSpaceDE w:val="0"/>
        <w:autoSpaceDN w:val="0"/>
        <w:adjustRightInd w:val="0"/>
        <w:spacing w:after="0" w:line="240" w:lineRule="auto"/>
        <w:rPr>
          <w:rFonts w:cstheme="minorHAnsi"/>
          <w:bCs/>
          <w:sz w:val="20"/>
          <w:szCs w:val="20"/>
        </w:rPr>
      </w:pPr>
      <w:bookmarkStart w:id="26" w:name="_GoBack"/>
      <w:bookmarkEnd w:id="26"/>
      <w:r w:rsidRPr="00833F0C">
        <w:rPr>
          <w:rFonts w:cstheme="minorHAnsi"/>
          <w:bCs/>
          <w:sz w:val="20"/>
          <w:szCs w:val="20"/>
        </w:rPr>
        <w:t>SOURCE: RTI analysis of MDS 3.0 episode file for Quarter 2, 2013 (quarter_10_11\db277\db277_request.log).</w:t>
      </w:r>
    </w:p>
    <w:p w:rsidR="00BB1F2E" w:rsidRDefault="00BB1F2E" w:rsidP="00BB1F2E">
      <w:pPr>
        <w:autoSpaceDE w:val="0"/>
        <w:autoSpaceDN w:val="0"/>
        <w:adjustRightInd w:val="0"/>
        <w:spacing w:after="0" w:line="240" w:lineRule="auto"/>
        <w:rPr>
          <w:b/>
          <w:sz w:val="20"/>
          <w:szCs w:val="20"/>
          <w:highlight w:val="yellow"/>
        </w:rPr>
      </w:pPr>
    </w:p>
    <w:p w:rsidR="00C75914" w:rsidRDefault="006C7620" w:rsidP="00C3761D">
      <w:pPr>
        <w:pStyle w:val="BodyText"/>
      </w:pPr>
      <w:r>
        <w:t>T</w:t>
      </w:r>
      <w:r w:rsidR="00C75914" w:rsidRPr="004763EF">
        <w:t>o identify meaningful differences in performance between providers, we estimate</w:t>
      </w:r>
      <w:r w:rsidR="00985BC0">
        <w:t>d</w:t>
      </w:r>
      <w:r w:rsidR="00C75914" w:rsidRPr="004763EF">
        <w:t xml:space="preserve"> </w:t>
      </w:r>
      <w:r w:rsidR="00E51413">
        <w:t xml:space="preserve">95 percent </w:t>
      </w:r>
      <w:r w:rsidR="00C75914" w:rsidRPr="004763EF">
        <w:t xml:space="preserve">confidence intervals around the </w:t>
      </w:r>
      <w:r w:rsidR="00E51413">
        <w:t>providers</w:t>
      </w:r>
      <w:r>
        <w:t>’</w:t>
      </w:r>
      <w:r w:rsidR="00E51413">
        <w:t xml:space="preserve"> </w:t>
      </w:r>
      <w:r w:rsidR="00985BC0">
        <w:t>QM scores</w:t>
      </w:r>
      <w:r w:rsidR="00C75914" w:rsidRPr="004763EF">
        <w:t xml:space="preserve"> allowing for comparison </w:t>
      </w:r>
      <w:r>
        <w:t xml:space="preserve">with </w:t>
      </w:r>
      <w:r w:rsidR="00C75914" w:rsidRPr="004763EF">
        <w:t xml:space="preserve">the national average. </w:t>
      </w:r>
      <w:r w:rsidR="00C75914" w:rsidRPr="00472A04">
        <w:t xml:space="preserve">These results are summarized in </w:t>
      </w:r>
      <w:r w:rsidR="00C75914" w:rsidRPr="00D31130">
        <w:rPr>
          <w:b/>
          <w:bCs/>
        </w:rPr>
        <w:t>Table 5</w:t>
      </w:r>
      <w:r w:rsidR="00C75914">
        <w:t xml:space="preserve"> </w:t>
      </w:r>
      <w:r w:rsidR="00C75914" w:rsidRPr="00472A04">
        <w:t xml:space="preserve">below. We found that </w:t>
      </w:r>
      <w:r w:rsidR="00985BC0">
        <w:t>32</w:t>
      </w:r>
      <w:r w:rsidR="00E51413">
        <w:t xml:space="preserve"> percent</w:t>
      </w:r>
      <w:r w:rsidR="00C75914" w:rsidRPr="004763EF">
        <w:t xml:space="preserve"> of </w:t>
      </w:r>
      <w:r w:rsidR="00985BC0">
        <w:t>nursing homes</w:t>
      </w:r>
      <w:r w:rsidR="00C75914" w:rsidRPr="004763EF">
        <w:t xml:space="preserve"> overall were significantly different than the national </w:t>
      </w:r>
      <w:r w:rsidR="00985BC0">
        <w:t>average rate for QM# 0684</w:t>
      </w:r>
      <w:r w:rsidR="00C75914" w:rsidRPr="004763EF">
        <w:t>.</w:t>
      </w:r>
      <w:r w:rsidR="00C75914" w:rsidRPr="00472A04">
        <w:t xml:space="preserve"> The percent </w:t>
      </w:r>
      <w:r w:rsidR="00E51413">
        <w:t xml:space="preserve">of nursing homes which were </w:t>
      </w:r>
      <w:r w:rsidR="00C75914" w:rsidRPr="00472A04">
        <w:t xml:space="preserve">significantly different increases as facility size increases; for example, </w:t>
      </w:r>
      <w:r w:rsidR="00985BC0">
        <w:t>23 percent</w:t>
      </w:r>
      <w:r w:rsidR="00C75914" w:rsidRPr="004763EF">
        <w:t xml:space="preserve"> of </w:t>
      </w:r>
      <w:r w:rsidR="00985BC0">
        <w:t xml:space="preserve">nursing homes </w:t>
      </w:r>
      <w:r w:rsidR="00C75914" w:rsidRPr="004763EF">
        <w:t xml:space="preserve">in the smallest decile based on volume were significantly different compared to </w:t>
      </w:r>
      <w:r w:rsidR="00985BC0">
        <w:t>42.9</w:t>
      </w:r>
      <w:r w:rsidR="00C75914" w:rsidRPr="004763EF">
        <w:t xml:space="preserve"> percent significantly different in decile 10, the largest </w:t>
      </w:r>
      <w:r w:rsidR="00985BC0">
        <w:t>nursing homes</w:t>
      </w:r>
      <w:r w:rsidR="00C75914" w:rsidRPr="004763EF">
        <w:t xml:space="preserve">. </w:t>
      </w:r>
    </w:p>
    <w:p w:rsidR="003252C3" w:rsidRDefault="003252C3">
      <w:pPr>
        <w:rPr>
          <w:rFonts w:eastAsia="Times New Roman" w:cs="Arial"/>
          <w:b/>
          <w:bCs/>
          <w:sz w:val="24"/>
        </w:rPr>
      </w:pPr>
      <w:r>
        <w:br w:type="page"/>
      </w:r>
    </w:p>
    <w:p w:rsidR="009C782B" w:rsidRDefault="009C782B" w:rsidP="003252C3">
      <w:pPr>
        <w:pStyle w:val="TableTitle"/>
      </w:pPr>
      <w:r>
        <w:lastRenderedPageBreak/>
        <w:t xml:space="preserve">Table </w:t>
      </w:r>
      <w:r w:rsidR="00CF7A4B">
        <w:t>5</w:t>
      </w:r>
      <w:r>
        <w:t xml:space="preserve"> </w:t>
      </w:r>
      <w:r w:rsidR="003252C3">
        <w:br/>
      </w:r>
      <w:r>
        <w:t xml:space="preserve">Proportion </w:t>
      </w:r>
      <w:r w:rsidR="00CF7A4B">
        <w:t xml:space="preserve">Nursing Homes </w:t>
      </w:r>
      <w:r>
        <w:t>Statistically Significantly Different from National Mean, Overall and by Deciles</w:t>
      </w:r>
      <w:r w:rsidR="00CF7A4B">
        <w:t xml:space="preserve"> of Facility Denominator Count</w:t>
      </w:r>
    </w:p>
    <w:tbl>
      <w:tblPr>
        <w:tblW w:w="9483" w:type="dxa"/>
        <w:jc w:val="center"/>
        <w:tblLayout w:type="fixed"/>
        <w:tblCellMar>
          <w:left w:w="0" w:type="dxa"/>
          <w:right w:w="0" w:type="dxa"/>
        </w:tblCellMar>
        <w:tblLook w:val="04A0"/>
      </w:tblPr>
      <w:tblGrid>
        <w:gridCol w:w="1412"/>
        <w:gridCol w:w="1614"/>
        <w:gridCol w:w="1614"/>
        <w:gridCol w:w="1614"/>
        <w:gridCol w:w="1614"/>
        <w:gridCol w:w="1615"/>
      </w:tblGrid>
      <w:tr w:rsidR="009C782B" w:rsidTr="0045593E">
        <w:trPr>
          <w:jc w:val="center"/>
        </w:trPr>
        <w:tc>
          <w:tcPr>
            <w:tcW w:w="1412" w:type="dxa"/>
            <w:tcBorders>
              <w:top w:val="single" w:sz="12" w:space="0" w:color="auto"/>
              <w:left w:val="nil"/>
              <w:bottom w:val="single" w:sz="8" w:space="0" w:color="auto"/>
              <w:right w:val="nil"/>
            </w:tcBorders>
            <w:noWrap/>
            <w:tcMar>
              <w:top w:w="0" w:type="dxa"/>
              <w:left w:w="108" w:type="dxa"/>
              <w:bottom w:w="0" w:type="dxa"/>
              <w:right w:w="108" w:type="dxa"/>
            </w:tcMar>
            <w:vAlign w:val="bottom"/>
            <w:hideMark/>
          </w:tcPr>
          <w:p w:rsidR="000E6EA0" w:rsidRPr="003252C3" w:rsidRDefault="009C782B" w:rsidP="0045593E">
            <w:pPr>
              <w:pStyle w:val="TableHeaders"/>
            </w:pPr>
            <w:r w:rsidRPr="003252C3">
              <w:t>Volume Deciles</w:t>
            </w:r>
            <w:r w:rsidR="0045593E">
              <w:t xml:space="preserve"> </w:t>
            </w:r>
            <w:r w:rsidR="0045593E">
              <w:br/>
            </w:r>
            <w:r w:rsidR="000E6EA0" w:rsidRPr="003252C3">
              <w:t>(min-max)</w:t>
            </w:r>
          </w:p>
        </w:tc>
        <w:tc>
          <w:tcPr>
            <w:tcW w:w="1614" w:type="dxa"/>
            <w:tcBorders>
              <w:top w:val="single" w:sz="12" w:space="0" w:color="auto"/>
              <w:left w:val="nil"/>
              <w:bottom w:val="single" w:sz="8" w:space="0" w:color="auto"/>
              <w:right w:val="nil"/>
            </w:tcBorders>
            <w:tcMar>
              <w:top w:w="0" w:type="dxa"/>
              <w:left w:w="108" w:type="dxa"/>
              <w:bottom w:w="0" w:type="dxa"/>
              <w:right w:w="108" w:type="dxa"/>
            </w:tcMar>
            <w:vAlign w:val="bottom"/>
            <w:hideMark/>
          </w:tcPr>
          <w:p w:rsidR="009C782B" w:rsidRPr="003252C3" w:rsidRDefault="009C782B" w:rsidP="0045593E">
            <w:pPr>
              <w:pStyle w:val="TableHeaders"/>
            </w:pPr>
            <w:r w:rsidRPr="003252C3">
              <w:t>Number of facilities</w:t>
            </w:r>
          </w:p>
        </w:tc>
        <w:tc>
          <w:tcPr>
            <w:tcW w:w="1614" w:type="dxa"/>
            <w:tcBorders>
              <w:top w:val="single" w:sz="12" w:space="0" w:color="auto"/>
              <w:left w:val="nil"/>
              <w:bottom w:val="single" w:sz="8" w:space="0" w:color="auto"/>
              <w:right w:val="nil"/>
            </w:tcBorders>
            <w:tcMar>
              <w:top w:w="0" w:type="dxa"/>
              <w:left w:w="108" w:type="dxa"/>
              <w:bottom w:w="0" w:type="dxa"/>
              <w:right w:w="108" w:type="dxa"/>
            </w:tcMar>
            <w:vAlign w:val="bottom"/>
            <w:hideMark/>
          </w:tcPr>
          <w:p w:rsidR="009C782B" w:rsidRPr="003252C3" w:rsidRDefault="009C782B" w:rsidP="0045593E">
            <w:pPr>
              <w:pStyle w:val="TableHeaders"/>
            </w:pPr>
            <w:r w:rsidRPr="003252C3">
              <w:t>Number significantly different</w:t>
            </w:r>
          </w:p>
        </w:tc>
        <w:tc>
          <w:tcPr>
            <w:tcW w:w="1614" w:type="dxa"/>
            <w:tcBorders>
              <w:top w:val="single" w:sz="12" w:space="0" w:color="auto"/>
              <w:left w:val="nil"/>
              <w:bottom w:val="single" w:sz="8" w:space="0" w:color="auto"/>
              <w:right w:val="nil"/>
            </w:tcBorders>
            <w:tcMar>
              <w:top w:w="0" w:type="dxa"/>
              <w:left w:w="108" w:type="dxa"/>
              <w:bottom w:w="0" w:type="dxa"/>
              <w:right w:w="108" w:type="dxa"/>
            </w:tcMar>
            <w:vAlign w:val="bottom"/>
            <w:hideMark/>
          </w:tcPr>
          <w:p w:rsidR="009C782B" w:rsidRPr="003252C3" w:rsidRDefault="009C782B" w:rsidP="0045593E">
            <w:pPr>
              <w:pStyle w:val="TableHeaders"/>
            </w:pPr>
            <w:r w:rsidRPr="003252C3">
              <w:t>Percent significantly different</w:t>
            </w:r>
          </w:p>
        </w:tc>
        <w:tc>
          <w:tcPr>
            <w:tcW w:w="1614" w:type="dxa"/>
            <w:tcBorders>
              <w:top w:val="single" w:sz="12" w:space="0" w:color="auto"/>
              <w:left w:val="nil"/>
              <w:bottom w:val="single" w:sz="8" w:space="0" w:color="auto"/>
              <w:right w:val="nil"/>
            </w:tcBorders>
            <w:vAlign w:val="bottom"/>
            <w:hideMark/>
          </w:tcPr>
          <w:p w:rsidR="009C782B" w:rsidRPr="003252C3" w:rsidRDefault="009C782B" w:rsidP="0045593E">
            <w:pPr>
              <w:pStyle w:val="TableHeaders"/>
            </w:pPr>
            <w:r w:rsidRPr="003252C3">
              <w:t>Percent significantly higher (worse)</w:t>
            </w:r>
          </w:p>
        </w:tc>
        <w:tc>
          <w:tcPr>
            <w:tcW w:w="1615" w:type="dxa"/>
            <w:tcBorders>
              <w:top w:val="single" w:sz="12" w:space="0" w:color="auto"/>
              <w:left w:val="nil"/>
              <w:bottom w:val="single" w:sz="8" w:space="0" w:color="auto"/>
              <w:right w:val="nil"/>
            </w:tcBorders>
            <w:vAlign w:val="bottom"/>
            <w:hideMark/>
          </w:tcPr>
          <w:p w:rsidR="009C782B" w:rsidRPr="003252C3" w:rsidRDefault="009C782B" w:rsidP="0045593E">
            <w:pPr>
              <w:pStyle w:val="TableHeaders"/>
            </w:pPr>
            <w:r w:rsidRPr="003252C3">
              <w:t>Percent significantly lower (better)</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1</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30-39</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1,406</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324</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23.0%</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5.4%</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17.6%</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2</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40-47</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1,392</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307</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22.1%</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5.3%</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16.7%</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3</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48-55</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1,405</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464</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33.0%</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4.5%</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28.5%</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4</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56-63</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1,297</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411</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31.7%</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5.2%</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26.5%</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5</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64-72</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1,456</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387</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26.6%</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6.5%</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20.1%</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6</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73-80</w:t>
            </w:r>
            <w:r w:rsidRPr="003252C3">
              <w:rPr>
                <w:rFonts w:eastAsia="Times New Roman" w:cs="Times New Roman"/>
                <w:color w:val="000000"/>
              </w:rPr>
              <w:t>)</w:t>
            </w:r>
            <w:r w:rsidR="009C782B" w:rsidRPr="003252C3">
              <w:rPr>
                <w:rFonts w:eastAsia="Times New Roman" w:cs="Times New Roman"/>
                <w:color w:val="000000"/>
              </w:rPr>
              <w:t xml:space="preserve"> </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1,231</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433</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35.2%</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7.2%</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27.9%</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7</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81-90</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1,383</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498</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36.0%</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8.1%</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27.9%</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8</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91-104</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1,389</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470</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33.8%</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7.3%</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26.5%</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9</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105-131</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1,342</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542</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40.4%</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8.7%</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31.7%</w:t>
            </w:r>
          </w:p>
        </w:tc>
      </w:tr>
      <w:tr w:rsidR="009C782B" w:rsidTr="0045593E">
        <w:trPr>
          <w:jc w:val="center"/>
        </w:trPr>
        <w:tc>
          <w:tcPr>
            <w:tcW w:w="1412" w:type="dxa"/>
            <w:tcBorders>
              <w:top w:val="nil"/>
              <w:left w:val="nil"/>
              <w:bottom w:val="single" w:sz="8"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Decile 10</w:t>
            </w:r>
          </w:p>
          <w:p w:rsidR="009C782B" w:rsidRPr="003252C3" w:rsidRDefault="000E6EA0" w:rsidP="000E6EA0">
            <w:pPr>
              <w:spacing w:after="0" w:line="240" w:lineRule="auto"/>
              <w:rPr>
                <w:rFonts w:eastAsia="Times New Roman" w:cs="Times New Roman"/>
                <w:color w:val="000000"/>
              </w:rPr>
            </w:pPr>
            <w:r w:rsidRPr="003252C3">
              <w:rPr>
                <w:rFonts w:eastAsia="Times New Roman" w:cs="Times New Roman"/>
                <w:color w:val="000000"/>
              </w:rPr>
              <w:t>(</w:t>
            </w:r>
            <w:r w:rsidR="009C782B" w:rsidRPr="003252C3">
              <w:rPr>
                <w:rFonts w:eastAsia="Times New Roman" w:cs="Times New Roman"/>
                <w:color w:val="000000"/>
              </w:rPr>
              <w:t>132-813</w:t>
            </w:r>
            <w:r w:rsidRPr="003252C3">
              <w:rPr>
                <w:rFonts w:eastAsia="Times New Roman" w:cs="Times New Roman"/>
                <w:color w:val="000000"/>
              </w:rPr>
              <w:t>)</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1,339</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575</w:t>
            </w:r>
          </w:p>
        </w:tc>
        <w:tc>
          <w:tcPr>
            <w:tcW w:w="1614" w:type="dxa"/>
            <w:tcBorders>
              <w:top w:val="nil"/>
              <w:left w:val="nil"/>
              <w:bottom w:val="single" w:sz="8"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42.9%</w:t>
            </w:r>
          </w:p>
        </w:tc>
        <w:tc>
          <w:tcPr>
            <w:tcW w:w="1614"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6.4%</w:t>
            </w:r>
          </w:p>
        </w:tc>
        <w:tc>
          <w:tcPr>
            <w:tcW w:w="1615" w:type="dxa"/>
            <w:tcBorders>
              <w:top w:val="nil"/>
              <w:left w:val="nil"/>
              <w:bottom w:val="single" w:sz="8"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36.5%</w:t>
            </w:r>
          </w:p>
        </w:tc>
      </w:tr>
      <w:tr w:rsidR="009C782B" w:rsidTr="0045593E">
        <w:trPr>
          <w:jc w:val="center"/>
        </w:trPr>
        <w:tc>
          <w:tcPr>
            <w:tcW w:w="1412" w:type="dxa"/>
            <w:tcBorders>
              <w:top w:val="single" w:sz="8" w:space="0" w:color="auto"/>
              <w:left w:val="nil"/>
              <w:bottom w:val="single" w:sz="12" w:space="0" w:color="auto"/>
              <w:right w:val="nil"/>
            </w:tcBorders>
            <w:noWrap/>
            <w:tcMar>
              <w:top w:w="0" w:type="dxa"/>
              <w:left w:w="108" w:type="dxa"/>
              <w:bottom w:w="0" w:type="dxa"/>
              <w:right w:w="108" w:type="dxa"/>
            </w:tcMar>
            <w:vAlign w:val="bottom"/>
            <w:hideMark/>
          </w:tcPr>
          <w:p w:rsidR="009C782B" w:rsidRPr="003252C3" w:rsidRDefault="009C782B" w:rsidP="000E6EA0">
            <w:pPr>
              <w:spacing w:after="0" w:line="240" w:lineRule="auto"/>
              <w:rPr>
                <w:rFonts w:eastAsia="Times New Roman" w:cs="Times New Roman"/>
                <w:color w:val="000000"/>
              </w:rPr>
            </w:pPr>
            <w:r w:rsidRPr="003252C3">
              <w:rPr>
                <w:rFonts w:eastAsia="Times New Roman" w:cs="Times New Roman"/>
                <w:color w:val="000000"/>
              </w:rPr>
              <w:t>Overall</w:t>
            </w:r>
          </w:p>
        </w:tc>
        <w:tc>
          <w:tcPr>
            <w:tcW w:w="1614" w:type="dxa"/>
            <w:tcBorders>
              <w:top w:val="single" w:sz="8" w:space="0" w:color="auto"/>
              <w:left w:val="nil"/>
              <w:bottom w:val="single" w:sz="12"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13,640</w:t>
            </w:r>
          </w:p>
        </w:tc>
        <w:tc>
          <w:tcPr>
            <w:tcW w:w="1614" w:type="dxa"/>
            <w:tcBorders>
              <w:top w:val="single" w:sz="8" w:space="0" w:color="auto"/>
              <w:left w:val="nil"/>
              <w:bottom w:val="single" w:sz="12"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4,411</w:t>
            </w:r>
          </w:p>
        </w:tc>
        <w:tc>
          <w:tcPr>
            <w:tcW w:w="1614" w:type="dxa"/>
            <w:tcBorders>
              <w:top w:val="single" w:sz="8" w:space="0" w:color="auto"/>
              <w:left w:val="nil"/>
              <w:bottom w:val="single" w:sz="12" w:space="0" w:color="auto"/>
              <w:right w:val="nil"/>
            </w:tcBorders>
            <w:noWrap/>
            <w:tcMar>
              <w:top w:w="0" w:type="dxa"/>
              <w:left w:w="108" w:type="dxa"/>
              <w:bottom w:w="0" w:type="dxa"/>
              <w:right w:w="108" w:type="dxa"/>
            </w:tcMar>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32.3%</w:t>
            </w:r>
          </w:p>
        </w:tc>
        <w:tc>
          <w:tcPr>
            <w:tcW w:w="1614" w:type="dxa"/>
            <w:tcBorders>
              <w:top w:val="single" w:sz="8" w:space="0" w:color="auto"/>
              <w:left w:val="nil"/>
              <w:bottom w:val="single" w:sz="12"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6.5%</w:t>
            </w:r>
          </w:p>
        </w:tc>
        <w:tc>
          <w:tcPr>
            <w:tcW w:w="1615" w:type="dxa"/>
            <w:tcBorders>
              <w:top w:val="single" w:sz="8" w:space="0" w:color="auto"/>
              <w:left w:val="nil"/>
              <w:bottom w:val="single" w:sz="12" w:space="0" w:color="auto"/>
              <w:right w:val="nil"/>
            </w:tcBorders>
            <w:vAlign w:val="center"/>
            <w:hideMark/>
          </w:tcPr>
          <w:p w:rsidR="009C782B" w:rsidRPr="003252C3" w:rsidRDefault="009C782B" w:rsidP="0045593E">
            <w:pPr>
              <w:spacing w:after="0"/>
              <w:jc w:val="center"/>
              <w:rPr>
                <w:rFonts w:eastAsia="Times New Roman" w:cs="Times New Roman"/>
                <w:color w:val="000000"/>
              </w:rPr>
            </w:pPr>
            <w:r w:rsidRPr="003252C3">
              <w:rPr>
                <w:rFonts w:eastAsia="Times New Roman" w:cs="Times New Roman"/>
                <w:color w:val="000000"/>
              </w:rPr>
              <w:t>25.9%</w:t>
            </w:r>
          </w:p>
        </w:tc>
      </w:tr>
    </w:tbl>
    <w:p w:rsidR="004745DD" w:rsidRDefault="004745DD" w:rsidP="004745DD">
      <w:pPr>
        <w:keepLines/>
        <w:spacing w:before="60" w:after="60" w:line="240" w:lineRule="auto"/>
        <w:rPr>
          <w:rFonts w:eastAsia="Times New Roman" w:cs="Times New Roman"/>
          <w:sz w:val="18"/>
        </w:rPr>
      </w:pPr>
      <w:r w:rsidRPr="008B6D6F">
        <w:rPr>
          <w:rFonts w:eastAsia="Times New Roman" w:cs="Times New Roman"/>
          <w:sz w:val="18"/>
        </w:rPr>
        <w:t xml:space="preserve">Analysis date: </w:t>
      </w:r>
      <w:r>
        <w:rPr>
          <w:rFonts w:eastAsia="Times New Roman" w:cs="Times New Roman"/>
          <w:sz w:val="18"/>
        </w:rPr>
        <w:t>1/9/2014</w:t>
      </w:r>
    </w:p>
    <w:p w:rsidR="0030450B" w:rsidRPr="008B6D6F" w:rsidRDefault="0030450B" w:rsidP="004745DD">
      <w:pPr>
        <w:keepLines/>
        <w:spacing w:before="60" w:after="60" w:line="240" w:lineRule="auto"/>
        <w:rPr>
          <w:rFonts w:eastAsia="Times New Roman" w:cs="Times New Roman"/>
          <w:sz w:val="18"/>
        </w:rPr>
      </w:pPr>
      <w:r>
        <w:rPr>
          <w:rFonts w:eastAsia="Times New Roman" w:cs="Times New Roman"/>
          <w:sz w:val="18"/>
        </w:rPr>
        <w:t xml:space="preserve">Analysis is restricted to facilities with minimum denominator size for public reporting (n=30). </w:t>
      </w:r>
    </w:p>
    <w:p w:rsidR="004745DD" w:rsidRDefault="004745DD" w:rsidP="004745DD">
      <w:pPr>
        <w:autoSpaceDE w:val="0"/>
        <w:autoSpaceDN w:val="0"/>
        <w:adjustRightInd w:val="0"/>
        <w:spacing w:after="0" w:line="240" w:lineRule="auto"/>
        <w:rPr>
          <w:rFonts w:eastAsia="Times New Roman" w:cs="Times New Roman"/>
          <w:sz w:val="18"/>
        </w:rPr>
      </w:pPr>
      <w:r w:rsidRPr="008B6D6F">
        <w:rPr>
          <w:rFonts w:eastAsia="Times New Roman" w:cs="Times New Roman"/>
          <w:sz w:val="18"/>
        </w:rPr>
        <w:t xml:space="preserve">SOURCE: RTI analysis of MDS 3.0 episode file for Quarter 1, </w:t>
      </w:r>
      <w:proofErr w:type="gramStart"/>
      <w:r w:rsidRPr="008B6D6F">
        <w:rPr>
          <w:rFonts w:eastAsia="Times New Roman" w:cs="Times New Roman"/>
          <w:sz w:val="18"/>
        </w:rPr>
        <w:t>2013  (</w:t>
      </w:r>
      <w:proofErr w:type="gramEnd"/>
      <w:r w:rsidRPr="004745DD">
        <w:rPr>
          <w:rFonts w:eastAsia="Times New Roman" w:cs="Times New Roman"/>
          <w:sz w:val="18"/>
        </w:rPr>
        <w:t>\quarter_10_11\db279\db279_request.log</w:t>
      </w:r>
      <w:r w:rsidRPr="008B6D6F">
        <w:rPr>
          <w:rFonts w:eastAsia="Times New Roman" w:cs="Times New Roman"/>
          <w:sz w:val="18"/>
        </w:rPr>
        <w:t>).</w:t>
      </w:r>
    </w:p>
    <w:p w:rsidR="006C7620" w:rsidRDefault="006C7620" w:rsidP="00C3761D">
      <w:pPr>
        <w:pStyle w:val="BodyText"/>
        <w:rPr>
          <w:rFonts w:cstheme="minorHAnsi"/>
          <w:bCs/>
        </w:rPr>
      </w:pPr>
      <w:r>
        <w:t>The last two columns present the percent that are significantly higher (worse) and significantly lower (better) than average. Across all deciles, the proportion of nursing homes with scores significantly better than the national average is higher, an imbalance presumably driven by</w:t>
      </w:r>
      <w:r w:rsidRPr="004745DD">
        <w:rPr>
          <w:rFonts w:cstheme="minorHAnsi"/>
          <w:bCs/>
        </w:rPr>
        <w:t xml:space="preserve"> facilities with perfect scores</w:t>
      </w:r>
      <w:r>
        <w:rPr>
          <w:rFonts w:cstheme="minorHAnsi"/>
          <w:bCs/>
        </w:rPr>
        <w:t xml:space="preserve"> and the skewed</w:t>
      </w:r>
      <w:r w:rsidRPr="004745DD">
        <w:rPr>
          <w:rFonts w:cstheme="minorHAnsi"/>
          <w:bCs/>
        </w:rPr>
        <w:t xml:space="preserve"> distribution</w:t>
      </w:r>
      <w:r>
        <w:rPr>
          <w:rFonts w:cstheme="minorHAnsi"/>
          <w:bCs/>
        </w:rPr>
        <w:t xml:space="preserve"> of facility scores</w:t>
      </w:r>
      <w:r w:rsidRPr="004745DD">
        <w:rPr>
          <w:rFonts w:cstheme="minorHAnsi"/>
          <w:bCs/>
        </w:rPr>
        <w:t xml:space="preserve">. </w:t>
      </w:r>
    </w:p>
    <w:p w:rsidR="00D61410" w:rsidRDefault="00D61410" w:rsidP="00D61410">
      <w:pPr>
        <w:autoSpaceDE w:val="0"/>
        <w:autoSpaceDN w:val="0"/>
        <w:adjustRightInd w:val="0"/>
        <w:spacing w:after="0" w:line="240" w:lineRule="auto"/>
        <w:rPr>
          <w:color w:val="0000FF"/>
          <w:sz w:val="20"/>
          <w:szCs w:val="20"/>
        </w:rPr>
      </w:pPr>
      <w:r w:rsidRPr="00165B66">
        <w:rPr>
          <w:rFonts w:cstheme="minorHAnsi"/>
          <w:b/>
          <w:bCs/>
        </w:rPr>
        <w:t xml:space="preserve">2b5.3. </w:t>
      </w:r>
      <w:proofErr w:type="gramStart"/>
      <w:r w:rsidRPr="00165B66">
        <w:rPr>
          <w:rFonts w:cstheme="minorHAnsi"/>
          <w:b/>
          <w:bCs/>
        </w:rPr>
        <w:t>What</w:t>
      </w:r>
      <w:proofErr w:type="gramEnd"/>
      <w:r w:rsidRPr="00165B66">
        <w:rPr>
          <w:rFonts w:cstheme="minorHAnsi"/>
          <w:b/>
          <w:bCs/>
        </w:rPr>
        <w:t xml:space="preserve"> is your interpretation of the results in terms of demonstrating the ability to identify statistically significant and</w:t>
      </w:r>
      <w:r w:rsidR="005038D5" w:rsidRPr="00165B66">
        <w:rPr>
          <w:rFonts w:cstheme="minorHAnsi"/>
          <w:b/>
          <w:bCs/>
        </w:rPr>
        <w:t>/or</w:t>
      </w:r>
      <w:r w:rsidRPr="00165B66">
        <w:rPr>
          <w:rFonts w:cstheme="minorHAnsi"/>
          <w:b/>
          <w:bCs/>
        </w:rPr>
        <w:t xml:space="preserve"> clinically/practically meaningful differences in performance across measured entities?</w:t>
      </w:r>
      <w:r w:rsidRPr="00165B66">
        <w:rPr>
          <w:rFonts w:cstheme="minorHAnsi"/>
          <w:bCs/>
        </w:rPr>
        <w:t xml:space="preserve"> (i</w:t>
      </w:r>
      <w:r w:rsidRPr="00165B66">
        <w:rPr>
          <w:rFonts w:cstheme="minorHAnsi"/>
          <w:bCs/>
          <w:i/>
        </w:rPr>
        <w:t>.e., what d</w:t>
      </w:r>
      <w:r w:rsidR="004C2443" w:rsidRPr="00165B66">
        <w:rPr>
          <w:rFonts w:cstheme="minorHAnsi"/>
          <w:bCs/>
          <w:i/>
        </w:rPr>
        <w:t>o the results mean in terms of statistical and meaningful differences?</w:t>
      </w:r>
      <w:r w:rsidRPr="00165B66">
        <w:rPr>
          <w:rFonts w:cstheme="minorHAnsi"/>
          <w:bCs/>
        </w:rPr>
        <w:t>)</w:t>
      </w:r>
      <w:r w:rsidRPr="00165B66">
        <w:rPr>
          <w:rFonts w:cstheme="minorHAnsi"/>
          <w:bCs/>
        </w:rPr>
        <w:br/>
      </w:r>
      <w:r w:rsidR="002E7ACD" w:rsidRPr="00165B66">
        <w:rPr>
          <w:b/>
          <w:sz w:val="20"/>
          <w:szCs w:val="20"/>
        </w:rPr>
        <w:t>From</w:t>
      </w:r>
      <w:r w:rsidR="002E7ACD" w:rsidRPr="002E7ACD">
        <w:rPr>
          <w:b/>
          <w:sz w:val="20"/>
          <w:szCs w:val="20"/>
        </w:rPr>
        <w:t xml:space="preserve"> </w:t>
      </w:r>
    </w:p>
    <w:p w:rsidR="00BB1F2E" w:rsidRPr="004745DD" w:rsidRDefault="0030450B" w:rsidP="00C3761D">
      <w:pPr>
        <w:pStyle w:val="BodyText"/>
      </w:pPr>
      <w:r>
        <w:t>T</w:t>
      </w:r>
      <w:r w:rsidR="00BB1F2E" w:rsidRPr="004745DD">
        <w:t xml:space="preserve">he proportion of facilities that are significantly better than </w:t>
      </w:r>
      <w:r w:rsidR="00E51413">
        <w:t xml:space="preserve">national </w:t>
      </w:r>
      <w:r w:rsidR="00BB1F2E" w:rsidRPr="004745DD">
        <w:t xml:space="preserve">average and the proportion of facilities </w:t>
      </w:r>
      <w:proofErr w:type="gramStart"/>
      <w:r w:rsidR="00BB1F2E" w:rsidRPr="004745DD">
        <w:t>that are</w:t>
      </w:r>
      <w:proofErr w:type="gramEnd"/>
      <w:r w:rsidR="00BB1F2E" w:rsidRPr="004745DD">
        <w:t xml:space="preserve"> significantly worse than </w:t>
      </w:r>
      <w:r w:rsidR="00E51413">
        <w:t xml:space="preserve">national </w:t>
      </w:r>
      <w:r w:rsidR="00BB1F2E" w:rsidRPr="004745DD">
        <w:t xml:space="preserve">average increases as the number of residents </w:t>
      </w:r>
      <w:r w:rsidR="00E51413">
        <w:t xml:space="preserve">in the facility </w:t>
      </w:r>
      <w:r w:rsidR="00BB1F2E" w:rsidRPr="004745DD">
        <w:t xml:space="preserve">increases. This </w:t>
      </w:r>
      <w:r w:rsidR="00E51413">
        <w:t>may be</w:t>
      </w:r>
      <w:r>
        <w:t xml:space="preserve"> </w:t>
      </w:r>
      <w:r w:rsidRPr="004745DD">
        <w:t>due</w:t>
      </w:r>
      <w:r w:rsidR="00BB1F2E" w:rsidRPr="004745DD">
        <w:t xml:space="preserve"> to the fact that the standard errors decrease as the number of residents increases, but </w:t>
      </w:r>
      <w:r w:rsidR="00E51413">
        <w:t xml:space="preserve">may </w:t>
      </w:r>
      <w:r w:rsidR="00BB1F2E" w:rsidRPr="004745DD">
        <w:t xml:space="preserve">also </w:t>
      </w:r>
      <w:r w:rsidR="00E51413">
        <w:t xml:space="preserve">be </w:t>
      </w:r>
      <w:r w:rsidR="00BB1F2E" w:rsidRPr="004745DD">
        <w:t>evidence that reliability is better for larger facilities.</w:t>
      </w:r>
      <w:r>
        <w:t xml:space="preserve"> </w:t>
      </w:r>
      <w:r w:rsidR="00E51413">
        <w:t xml:space="preserve">Finally, we point out that </w:t>
      </w:r>
      <w:r w:rsidR="00EB6929">
        <w:t xml:space="preserve">while this approach for assessing meaning differences among facilities using interval </w:t>
      </w:r>
      <w:r w:rsidR="00EB6929">
        <w:lastRenderedPageBreak/>
        <w:t xml:space="preserve">estimates and a national mean is an accepted methodological approach in current quality measure reporting, </w:t>
      </w:r>
      <w:r w:rsidR="00E51413">
        <w:t xml:space="preserve">a ‘gold standard’ method for determining </w:t>
      </w:r>
      <w:r w:rsidR="00E51413" w:rsidRPr="00BB1F2E">
        <w:t xml:space="preserve">meaningful differences in facility performance </w:t>
      </w:r>
      <w:r w:rsidR="00EB6929">
        <w:t xml:space="preserve">has </w:t>
      </w:r>
      <w:r w:rsidR="00E51413">
        <w:t xml:space="preserve">not </w:t>
      </w:r>
      <w:r w:rsidR="00EB6929">
        <w:t xml:space="preserve">been </w:t>
      </w:r>
      <w:r w:rsidR="00E51413">
        <w:t>established</w:t>
      </w:r>
      <w:r w:rsidR="00EB6929">
        <w:t xml:space="preserv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956B62">
      <w:pPr>
        <w:pStyle w:val="Heading1"/>
      </w:pPr>
      <w:r w:rsidRPr="00A25024">
        <w:t>2</w:t>
      </w:r>
      <w:r w:rsidR="00EA5F47" w:rsidRPr="00A25024">
        <w:t>b</w:t>
      </w:r>
      <w:r w:rsidRPr="00A25024">
        <w:t xml:space="preserve">6. COMPARABILITY OF PERFORMANCE SCORES </w:t>
      </w:r>
      <w:r w:rsidR="004C498F">
        <w:t>WHEN</w:t>
      </w:r>
      <w:r w:rsidR="002B2116" w:rsidRPr="00A25024">
        <w:t xml:space="preserve"> MORE THAN ONE SET OF SPECIFICATIONS </w:t>
      </w:r>
    </w:p>
    <w:p w:rsidR="00567D12" w:rsidRPr="0086464B" w:rsidRDefault="00567D12" w:rsidP="00567D12">
      <w:pPr>
        <w:spacing w:after="0" w:line="240" w:lineRule="auto"/>
        <w:rPr>
          <w:rFonts w:cstheme="minorHAnsi"/>
          <w:b/>
          <w:bCs/>
        </w:rPr>
      </w:pPr>
      <w:r w:rsidRPr="00165B66">
        <w:rPr>
          <w:rFonts w:cstheme="minorHAnsi"/>
          <w:b/>
          <w:bCs/>
          <w:i/>
        </w:rPr>
        <w:t xml:space="preserve">If only one set of specifications, this section can be </w:t>
      </w:r>
      <w:r w:rsidR="00BE592D" w:rsidRPr="00165B66">
        <w:rPr>
          <w:rFonts w:cstheme="minorHAnsi"/>
          <w:b/>
          <w:bCs/>
          <w:i/>
        </w:rPr>
        <w:t>skipped.</w:t>
      </w:r>
    </w:p>
    <w:p w:rsidR="002E7ACD" w:rsidRDefault="002E7ACD"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w:t>
      </w:r>
      <w:proofErr w:type="spellStart"/>
      <w:r w:rsidR="00840A41">
        <w:rPr>
          <w:rFonts w:cstheme="minorHAnsi"/>
          <w:bCs/>
          <w:i/>
        </w:rPr>
        <w:t>eMeasures</w:t>
      </w:r>
      <w:proofErr w:type="spellEnd"/>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792F34" w:rsidRPr="00792F34" w:rsidRDefault="00792F34" w:rsidP="00C3761D">
      <w:pPr>
        <w:pStyle w:val="BodyText"/>
      </w:pPr>
      <w:r w:rsidRPr="00792F34">
        <w:t>Not applicable</w:t>
      </w:r>
    </w:p>
    <w:p w:rsidR="00C3761D" w:rsidRDefault="00E1508F" w:rsidP="00792F34">
      <w:pPr>
        <w:rPr>
          <w:rFonts w:cstheme="minorHAnsi"/>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proofErr w:type="spellStart"/>
      <w:r w:rsidR="00864CA8">
        <w:rPr>
          <w:rFonts w:cstheme="minorHAnsi"/>
          <w:b/>
          <w:bCs/>
        </w:rPr>
        <w:t>datasources</w:t>
      </w:r>
      <w:proofErr w:type="spellEnd"/>
      <w:r w:rsidR="00864CA8">
        <w:rPr>
          <w:rFonts w:cstheme="minorHAnsi"/>
          <w:b/>
          <w:bCs/>
        </w:rPr>
        <w:t>/</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p>
    <w:p w:rsidR="000F06B5" w:rsidRPr="00A25024" w:rsidRDefault="00792F34" w:rsidP="00C3761D">
      <w:pPr>
        <w:pStyle w:val="BodyText"/>
        <w:rPr>
          <w:rFonts w:cstheme="minorHAnsi"/>
          <w:bCs/>
        </w:rPr>
      </w:pPr>
      <w:r w:rsidRPr="00792F34">
        <w:t>Not applicable</w:t>
      </w:r>
    </w:p>
    <w:p w:rsidR="00C3761D" w:rsidRDefault="00E1508F" w:rsidP="00792F34">
      <w:pPr>
        <w:rPr>
          <w:rFonts w:cstheme="minorHAnsi"/>
          <w:bCs/>
        </w:rPr>
      </w:pPr>
      <w:r>
        <w:rPr>
          <w:rFonts w:cstheme="minorHAnsi"/>
          <w:b/>
          <w:bCs/>
        </w:rPr>
        <w:t xml:space="preserve">2b6.2.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p>
    <w:p w:rsidR="00A35F8F" w:rsidRDefault="00792F34" w:rsidP="00C3761D">
      <w:pPr>
        <w:pStyle w:val="BodyText"/>
        <w:rPr>
          <w:rFonts w:cstheme="minorHAnsi"/>
          <w:bCs/>
        </w:rPr>
      </w:pPr>
      <w:r w:rsidRPr="00792F34">
        <w:t>Not applicable</w:t>
      </w:r>
    </w:p>
    <w:p w:rsidR="00C3761D" w:rsidRDefault="00E1508F" w:rsidP="00792F34">
      <w:pPr>
        <w:rPr>
          <w:rFonts w:cstheme="minorHAnsi"/>
          <w:bCs/>
        </w:rPr>
      </w:pPr>
      <w:r>
        <w:rPr>
          <w:rFonts w:cstheme="minorHAnsi"/>
          <w:b/>
          <w:bCs/>
        </w:rPr>
        <w:t xml:space="preserve">2b6.3.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w:t>
      </w:r>
      <w:r w:rsidR="002B0C3A" w:rsidRPr="00C3761D">
        <w:rPr>
          <w:rFonts w:cstheme="minorHAnsi"/>
          <w:bCs/>
          <w:i/>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p>
    <w:p w:rsidR="00792F34" w:rsidRPr="00792F34" w:rsidRDefault="00792F34" w:rsidP="00C3761D">
      <w:pPr>
        <w:pStyle w:val="BodyText"/>
      </w:pPr>
      <w:r w:rsidRPr="00792F34">
        <w:t>Not applicable</w:t>
      </w:r>
    </w:p>
    <w:p w:rsidR="0079180E" w:rsidRPr="00DB3627" w:rsidRDefault="0079180E" w:rsidP="00DB3627">
      <w:pPr>
        <w:autoSpaceDE w:val="0"/>
        <w:autoSpaceDN w:val="0"/>
        <w:adjustRightInd w:val="0"/>
        <w:spacing w:after="0" w:line="240" w:lineRule="auto"/>
        <w:rPr>
          <w:rFonts w:cstheme="minorHAnsi"/>
          <w:bCs/>
        </w:rPr>
      </w:pPr>
    </w:p>
    <w:sectPr w:rsidR="0079180E" w:rsidRPr="00DB3627" w:rsidSect="008505D1">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B66" w:rsidRDefault="00165B66" w:rsidP="005C73CA">
      <w:pPr>
        <w:spacing w:after="0" w:line="240" w:lineRule="auto"/>
      </w:pPr>
      <w:r>
        <w:separator/>
      </w:r>
    </w:p>
  </w:endnote>
  <w:endnote w:type="continuationSeparator" w:id="0">
    <w:p w:rsidR="00165B66" w:rsidRDefault="00165B66" w:rsidP="005C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5B66" w:rsidRDefault="00165B66">
    <w:pPr>
      <w:pStyle w:val="Footer"/>
    </w:pPr>
    <w:r>
      <w:t xml:space="preserve">Version </w:t>
    </w:r>
    <w:proofErr w:type="gramStart"/>
    <w:r>
      <w:t>6.5  05</w:t>
    </w:r>
    <w:proofErr w:type="gramEnd"/>
    <w:r>
      <w:t>/29/13</w:t>
    </w:r>
    <w:r>
      <w:ptab w:relativeTo="margin" w:alignment="center" w:leader="none"/>
    </w:r>
    <w:r>
      <w:ptab w:relativeTo="margin" w:alignment="right" w:leader="none"/>
    </w:r>
    <w:fldSimple w:instr=" PAGE   \* MERGEFORMAT ">
      <w:r w:rsidR="00892D0E">
        <w:rPr>
          <w:noProof/>
        </w:rPr>
        <w:t>18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B66" w:rsidRDefault="00165B66" w:rsidP="005C73CA">
      <w:pPr>
        <w:spacing w:after="0" w:line="240" w:lineRule="auto"/>
      </w:pPr>
      <w:r>
        <w:separator/>
      </w:r>
    </w:p>
  </w:footnote>
  <w:footnote w:type="continuationSeparator" w:id="0">
    <w:p w:rsidR="00165B66" w:rsidRDefault="00165B66" w:rsidP="005C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Style3"/>
      </w:rPr>
      <w:id w:val="-491560845"/>
      <w:showingPlcHdr/>
    </w:sdtPr>
    <w:sdtEndPr>
      <w:rPr>
        <w:rStyle w:val="DefaultParagraphFont"/>
        <w:color w:val="auto"/>
      </w:rPr>
    </w:sdtEndPr>
    <w:sdtContent>
      <w:p w:rsidR="00165B66" w:rsidRPr="00105D8B" w:rsidRDefault="00165B66"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A206028"/>
    <w:lvl w:ilvl="0">
      <w:start w:val="1"/>
      <w:numFmt w:val="decimal"/>
      <w:lvlText w:val="%1."/>
      <w:lvlJc w:val="left"/>
      <w:pPr>
        <w:tabs>
          <w:tab w:val="num" w:pos="1800"/>
        </w:tabs>
        <w:ind w:left="1800" w:hanging="360"/>
      </w:pPr>
    </w:lvl>
  </w:abstractNum>
  <w:abstractNum w:abstractNumId="1">
    <w:nsid w:val="FFFFFF7D"/>
    <w:multiLevelType w:val="singleLevel"/>
    <w:tmpl w:val="A0264FD4"/>
    <w:lvl w:ilvl="0">
      <w:start w:val="1"/>
      <w:numFmt w:val="decimal"/>
      <w:lvlText w:val="%1."/>
      <w:lvlJc w:val="left"/>
      <w:pPr>
        <w:tabs>
          <w:tab w:val="num" w:pos="1440"/>
        </w:tabs>
        <w:ind w:left="1440" w:hanging="360"/>
      </w:pPr>
    </w:lvl>
  </w:abstractNum>
  <w:abstractNum w:abstractNumId="2">
    <w:nsid w:val="FFFFFF7E"/>
    <w:multiLevelType w:val="singleLevel"/>
    <w:tmpl w:val="DBF60B36"/>
    <w:lvl w:ilvl="0">
      <w:start w:val="1"/>
      <w:numFmt w:val="decimal"/>
      <w:lvlText w:val="%1."/>
      <w:lvlJc w:val="left"/>
      <w:pPr>
        <w:tabs>
          <w:tab w:val="num" w:pos="1080"/>
        </w:tabs>
        <w:ind w:left="1080" w:hanging="360"/>
      </w:pPr>
    </w:lvl>
  </w:abstractNum>
  <w:abstractNum w:abstractNumId="3">
    <w:nsid w:val="FFFFFF7F"/>
    <w:multiLevelType w:val="singleLevel"/>
    <w:tmpl w:val="F2C4D704"/>
    <w:lvl w:ilvl="0">
      <w:start w:val="1"/>
      <w:numFmt w:val="decimal"/>
      <w:lvlText w:val="%1."/>
      <w:lvlJc w:val="left"/>
      <w:pPr>
        <w:tabs>
          <w:tab w:val="num" w:pos="720"/>
        </w:tabs>
        <w:ind w:left="720" w:hanging="360"/>
      </w:pPr>
    </w:lvl>
  </w:abstractNum>
  <w:abstractNum w:abstractNumId="4">
    <w:nsid w:val="FFFFFF80"/>
    <w:multiLevelType w:val="singleLevel"/>
    <w:tmpl w:val="9F6A4A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100D28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446B82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B5C845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A8E1A2E"/>
    <w:lvl w:ilvl="0">
      <w:start w:val="1"/>
      <w:numFmt w:val="decimal"/>
      <w:lvlText w:val="%1."/>
      <w:lvlJc w:val="left"/>
      <w:pPr>
        <w:tabs>
          <w:tab w:val="num" w:pos="360"/>
        </w:tabs>
        <w:ind w:left="360" w:hanging="360"/>
      </w:pPr>
    </w:lvl>
  </w:abstractNum>
  <w:abstractNum w:abstractNumId="9">
    <w:nsid w:val="FFFFFF89"/>
    <w:multiLevelType w:val="singleLevel"/>
    <w:tmpl w:val="12CA0E0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4050385"/>
    <w:multiLevelType w:val="hybridMultilevel"/>
    <w:tmpl w:val="74EC0F70"/>
    <w:lvl w:ilvl="0" w:tplc="D6A622B8">
      <w:start w:val="1"/>
      <w:numFmt w:val="bullet"/>
      <w:pStyle w:val="ListBullet2"/>
      <w:lvlText w:val="–"/>
      <w:lvlJc w:val="left"/>
      <w:pPr>
        <w:ind w:left="720" w:hanging="360"/>
      </w:pPr>
      <w:rPr>
        <w:rFonts w:ascii="Times New Roman" w:hAnsi="Times New Roman" w:cs="Times New Roman" w:hint="default"/>
        <w:color w:val="0000FF"/>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9722FFB"/>
    <w:multiLevelType w:val="hybridMultilevel"/>
    <w:tmpl w:val="C46ACB08"/>
    <w:lvl w:ilvl="0" w:tplc="6F28C1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DE7475"/>
    <w:multiLevelType w:val="hybridMultilevel"/>
    <w:tmpl w:val="EA0C5E7A"/>
    <w:lvl w:ilvl="0" w:tplc="E2DC97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CE216A3"/>
    <w:multiLevelType w:val="hybridMultilevel"/>
    <w:tmpl w:val="396666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FEA6444"/>
    <w:multiLevelType w:val="hybridMultilevel"/>
    <w:tmpl w:val="6EC04C40"/>
    <w:lvl w:ilvl="0" w:tplc="878CA0F8">
      <w:start w:val="1"/>
      <w:numFmt w:val="decimal"/>
      <w:pStyle w:val="ListNumber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EA18EA"/>
    <w:multiLevelType w:val="hybridMultilevel"/>
    <w:tmpl w:val="3716B77E"/>
    <w:lvl w:ilvl="0" w:tplc="D5A22E34">
      <w:start w:val="1"/>
      <w:numFmt w:val="bullet"/>
      <w:lvlText w:val="•"/>
      <w:lvlJc w:val="left"/>
      <w:pPr>
        <w:ind w:left="1080" w:hanging="360"/>
      </w:pPr>
      <w:rPr>
        <w:rFonts w:ascii="Arial" w:hAnsi="Arial" w:cs="Calibri" w:hint="default"/>
        <w:b/>
        <w:i w:val="0"/>
        <w:color w:val="auto"/>
        <w:sz w:val="24"/>
        <w:szCs w:val="14"/>
      </w:rPr>
    </w:lvl>
    <w:lvl w:ilvl="1" w:tplc="8A6CB272" w:tentative="1">
      <w:start w:val="1"/>
      <w:numFmt w:val="bullet"/>
      <w:lvlText w:val="o"/>
      <w:lvlJc w:val="left"/>
      <w:pPr>
        <w:ind w:left="1800" w:hanging="360"/>
      </w:pPr>
      <w:rPr>
        <w:rFonts w:ascii="Courier New" w:hAnsi="Courier New" w:cs="Courier New" w:hint="default"/>
      </w:rPr>
    </w:lvl>
    <w:lvl w:ilvl="2" w:tplc="3594DEC0" w:tentative="1">
      <w:start w:val="1"/>
      <w:numFmt w:val="bullet"/>
      <w:lvlText w:val=""/>
      <w:lvlJc w:val="left"/>
      <w:pPr>
        <w:ind w:left="2520" w:hanging="360"/>
      </w:pPr>
      <w:rPr>
        <w:rFonts w:ascii="Wingdings" w:hAnsi="Wingdings" w:hint="default"/>
      </w:rPr>
    </w:lvl>
    <w:lvl w:ilvl="3" w:tplc="E6D2B24C" w:tentative="1">
      <w:start w:val="1"/>
      <w:numFmt w:val="bullet"/>
      <w:lvlText w:val=""/>
      <w:lvlJc w:val="left"/>
      <w:pPr>
        <w:ind w:left="3240" w:hanging="360"/>
      </w:pPr>
      <w:rPr>
        <w:rFonts w:ascii="Symbol" w:hAnsi="Symbol" w:hint="default"/>
      </w:rPr>
    </w:lvl>
    <w:lvl w:ilvl="4" w:tplc="AD1E02A8" w:tentative="1">
      <w:start w:val="1"/>
      <w:numFmt w:val="bullet"/>
      <w:lvlText w:val="o"/>
      <w:lvlJc w:val="left"/>
      <w:pPr>
        <w:ind w:left="3960" w:hanging="360"/>
      </w:pPr>
      <w:rPr>
        <w:rFonts w:ascii="Courier New" w:hAnsi="Courier New" w:cs="Courier New" w:hint="default"/>
      </w:rPr>
    </w:lvl>
    <w:lvl w:ilvl="5" w:tplc="38BCE4F6" w:tentative="1">
      <w:start w:val="1"/>
      <w:numFmt w:val="bullet"/>
      <w:lvlText w:val=""/>
      <w:lvlJc w:val="left"/>
      <w:pPr>
        <w:ind w:left="4680" w:hanging="360"/>
      </w:pPr>
      <w:rPr>
        <w:rFonts w:ascii="Wingdings" w:hAnsi="Wingdings" w:hint="default"/>
      </w:rPr>
    </w:lvl>
    <w:lvl w:ilvl="6" w:tplc="316A173C" w:tentative="1">
      <w:start w:val="1"/>
      <w:numFmt w:val="bullet"/>
      <w:lvlText w:val=""/>
      <w:lvlJc w:val="left"/>
      <w:pPr>
        <w:ind w:left="5400" w:hanging="360"/>
      </w:pPr>
      <w:rPr>
        <w:rFonts w:ascii="Symbol" w:hAnsi="Symbol" w:hint="default"/>
      </w:rPr>
    </w:lvl>
    <w:lvl w:ilvl="7" w:tplc="A316FD16" w:tentative="1">
      <w:start w:val="1"/>
      <w:numFmt w:val="bullet"/>
      <w:lvlText w:val="o"/>
      <w:lvlJc w:val="left"/>
      <w:pPr>
        <w:ind w:left="6120" w:hanging="360"/>
      </w:pPr>
      <w:rPr>
        <w:rFonts w:ascii="Courier New" w:hAnsi="Courier New" w:cs="Courier New" w:hint="default"/>
      </w:rPr>
    </w:lvl>
    <w:lvl w:ilvl="8" w:tplc="037AD672" w:tentative="1">
      <w:start w:val="1"/>
      <w:numFmt w:val="bullet"/>
      <w:lvlText w:val=""/>
      <w:lvlJc w:val="left"/>
      <w:pPr>
        <w:ind w:left="6840" w:hanging="360"/>
      </w:pPr>
      <w:rPr>
        <w:rFonts w:ascii="Wingdings" w:hAnsi="Wingdings" w:hint="default"/>
      </w:rPr>
    </w:lvl>
  </w:abstractNum>
  <w:abstractNum w:abstractNumId="17">
    <w:nsid w:val="3D466CEF"/>
    <w:multiLevelType w:val="hybridMultilevel"/>
    <w:tmpl w:val="DA82617C"/>
    <w:lvl w:ilvl="0" w:tplc="3B0A74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553AD"/>
    <w:multiLevelType w:val="hybridMultilevel"/>
    <w:tmpl w:val="B10EEF26"/>
    <w:lvl w:ilvl="0" w:tplc="0DDE5F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BE519C"/>
    <w:multiLevelType w:val="hybridMultilevel"/>
    <w:tmpl w:val="1B7E0528"/>
    <w:lvl w:ilvl="0" w:tplc="C966D1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1026E85"/>
    <w:multiLevelType w:val="hybridMultilevel"/>
    <w:tmpl w:val="D1E26578"/>
    <w:lvl w:ilvl="0" w:tplc="61184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2682940"/>
    <w:multiLevelType w:val="hybridMultilevel"/>
    <w:tmpl w:val="7E8EA852"/>
    <w:lvl w:ilvl="0" w:tplc="496664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76B7D22"/>
    <w:multiLevelType w:val="hybridMultilevel"/>
    <w:tmpl w:val="CC2C349A"/>
    <w:lvl w:ilvl="0" w:tplc="268296AE">
      <w:start w:val="1"/>
      <w:numFmt w:val="bullet"/>
      <w:lvlText w:val="–"/>
      <w:lvlJc w:val="left"/>
      <w:pPr>
        <w:ind w:left="1080" w:hanging="360"/>
      </w:pPr>
      <w:rPr>
        <w:rFonts w:ascii="Times New Roman" w:hAnsi="Times New Roman" w:cs="Times New Roman" w:hint="default"/>
        <w:color w:val="0000F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C492369"/>
    <w:multiLevelType w:val="hybridMultilevel"/>
    <w:tmpl w:val="351026BE"/>
    <w:lvl w:ilvl="0" w:tplc="61184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3F7BCA"/>
    <w:multiLevelType w:val="hybridMultilevel"/>
    <w:tmpl w:val="96B2C35A"/>
    <w:lvl w:ilvl="0" w:tplc="268296AE">
      <w:start w:val="1"/>
      <w:numFmt w:val="bullet"/>
      <w:lvlText w:val="–"/>
      <w:lvlJc w:val="left"/>
      <w:pPr>
        <w:ind w:left="360" w:hanging="360"/>
      </w:pPr>
      <w:rPr>
        <w:rFonts w:ascii="Times New Roman" w:hAnsi="Times New Roman" w:cs="Times New Roman"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6C149DF"/>
    <w:multiLevelType w:val="hybridMultilevel"/>
    <w:tmpl w:val="5F500B76"/>
    <w:lvl w:ilvl="0" w:tplc="193C6F14">
      <w:start w:val="1"/>
      <w:numFmt w:val="decimal"/>
      <w:pStyle w:val="ListNumber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BBB3C3C"/>
    <w:multiLevelType w:val="hybridMultilevel"/>
    <w:tmpl w:val="63A4E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3851751"/>
    <w:multiLevelType w:val="hybridMultilevel"/>
    <w:tmpl w:val="29F60708"/>
    <w:lvl w:ilvl="0" w:tplc="268296AE">
      <w:start w:val="1"/>
      <w:numFmt w:val="bullet"/>
      <w:lvlText w:val="–"/>
      <w:lvlJc w:val="left"/>
      <w:pPr>
        <w:ind w:left="720" w:hanging="360"/>
      </w:pPr>
      <w:rPr>
        <w:rFonts w:ascii="Times New Roman" w:hAnsi="Times New Roman" w:cs="Times New Roman" w:hint="default"/>
        <w:color w:val="0000FF"/>
      </w:rPr>
    </w:lvl>
    <w:lvl w:ilvl="1" w:tplc="2F9860E2">
      <w:start w:val="1"/>
      <w:numFmt w:val="bullet"/>
      <w:pStyle w:val="ListBullet3"/>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9BF5AD1"/>
    <w:multiLevelType w:val="hybridMultilevel"/>
    <w:tmpl w:val="963E476E"/>
    <w:lvl w:ilvl="0" w:tplc="611845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7"/>
  </w:num>
  <w:num w:numId="3">
    <w:abstractNumId w:val="16"/>
  </w:num>
  <w:num w:numId="4">
    <w:abstractNumId w:val="14"/>
  </w:num>
  <w:num w:numId="5">
    <w:abstractNumId w:val="26"/>
  </w:num>
  <w:num w:numId="6">
    <w:abstractNumId w:val="25"/>
  </w:num>
  <w:num w:numId="7">
    <w:abstractNumId w:val="29"/>
  </w:num>
  <w:num w:numId="8">
    <w:abstractNumId w:val="23"/>
  </w:num>
  <w:num w:numId="9">
    <w:abstractNumId w:val="20"/>
  </w:num>
  <w:num w:numId="10">
    <w:abstractNumId w:val="17"/>
  </w:num>
  <w:num w:numId="11">
    <w:abstractNumId w:val="15"/>
  </w:num>
  <w:num w:numId="12">
    <w:abstractNumId w:val="22"/>
  </w:num>
  <w:num w:numId="13">
    <w:abstractNumId w:val="28"/>
  </w:num>
  <w:num w:numId="14">
    <w:abstractNumId w:val="11"/>
  </w:num>
  <w:num w:numId="15">
    <w:abstractNumId w:val="19"/>
  </w:num>
  <w:num w:numId="16">
    <w:abstractNumId w:val="13"/>
  </w:num>
  <w:num w:numId="17">
    <w:abstractNumId w:val="12"/>
  </w:num>
  <w:num w:numId="18">
    <w:abstractNumId w:val="24"/>
  </w:num>
  <w:num w:numId="19">
    <w:abstractNumId w:val="18"/>
  </w:num>
  <w:num w:numId="20">
    <w:abstractNumId w:val="2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25"/>
    <w:lvlOverride w:ilvl="0">
      <w:startOverride w:val="1"/>
    </w:lvlOverride>
  </w:num>
  <w:num w:numId="32">
    <w:abstractNumId w:val="25"/>
    <w:lvlOverride w:ilvl="0">
      <w:startOverride w:val="1"/>
    </w:lvlOverride>
  </w:num>
  <w:num w:numId="33">
    <w:abstractNumId w:val="25"/>
    <w:lvlOverride w:ilvl="0">
      <w:startOverride w:val="1"/>
    </w:lvlOverride>
  </w:num>
  <w:num w:numId="34">
    <w:abstractNumId w:val="25"/>
    <w:lvlOverride w:ilvl="0">
      <w:startOverride w:val="1"/>
    </w:lvlOverride>
  </w:num>
  <w:num w:numId="35">
    <w:abstractNumId w:val="25"/>
    <w:lvlOverride w:ilvl="0">
      <w:startOverride w:val="1"/>
    </w:lvlOverride>
  </w:num>
  <w:num w:numId="36">
    <w:abstractNumId w:val="11"/>
    <w:lvlOverride w:ilvl="0">
      <w:startOverride w:val="1"/>
    </w:lvlOverride>
  </w:num>
  <w:num w:numId="37">
    <w:abstractNumId w:val="28"/>
    <w:lvlOverride w:ilvl="0">
      <w:startOverride w:val="1"/>
    </w:lvlOverride>
  </w:num>
  <w:num w:numId="38">
    <w:abstractNumId w:val="25"/>
    <w:lvlOverride w:ilvl="0">
      <w:startOverride w:val="1"/>
    </w:lvlOverride>
  </w:num>
  <w:num w:numId="39">
    <w:abstractNumId w:val="25"/>
    <w:lvlOverride w:ilvl="0">
      <w:startOverride w:val="1"/>
    </w:lvlOverride>
  </w:num>
  <w:num w:numId="40">
    <w:abstractNumId w:val="25"/>
    <w:lvlOverride w:ilvl="0">
      <w:startOverride w:val="1"/>
    </w:lvlOverride>
  </w:num>
  <w:num w:numId="41">
    <w:abstractNumId w:val="25"/>
    <w:lvlOverride w:ilvl="0">
      <w:startOverride w:val="1"/>
    </w:lvlOverride>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1"/>
  <w:stylePaneSortMethod w:val="0000"/>
  <w:documentProtection w:edit="forms" w:enforcement="0"/>
  <w:defaultTabStop w:val="720"/>
  <w:characterSpacingControl w:val="doNotCompress"/>
  <w:hdrShapeDefaults>
    <o:shapedefaults v:ext="edit" spidmax="79873"/>
  </w:hdrShapeDefaults>
  <w:footnotePr>
    <w:footnote w:id="-1"/>
    <w:footnote w:id="0"/>
  </w:footnotePr>
  <w:endnotePr>
    <w:endnote w:id="-1"/>
    <w:endnote w:id="0"/>
  </w:endnotePr>
  <w:compat>
    <w:useFELayout/>
  </w:compat>
  <w:rsids>
    <w:rsidRoot w:val="008A403A"/>
    <w:rsid w:val="00001D73"/>
    <w:rsid w:val="00003469"/>
    <w:rsid w:val="0000410E"/>
    <w:rsid w:val="0001094F"/>
    <w:rsid w:val="00021170"/>
    <w:rsid w:val="0002128B"/>
    <w:rsid w:val="0002468D"/>
    <w:rsid w:val="00024DFD"/>
    <w:rsid w:val="00027AB8"/>
    <w:rsid w:val="000309DD"/>
    <w:rsid w:val="00031414"/>
    <w:rsid w:val="00033038"/>
    <w:rsid w:val="00033D63"/>
    <w:rsid w:val="0003436F"/>
    <w:rsid w:val="00040B82"/>
    <w:rsid w:val="000414E8"/>
    <w:rsid w:val="0004593A"/>
    <w:rsid w:val="00050A3E"/>
    <w:rsid w:val="00052A6F"/>
    <w:rsid w:val="00053F02"/>
    <w:rsid w:val="0005612B"/>
    <w:rsid w:val="000574AB"/>
    <w:rsid w:val="0006147A"/>
    <w:rsid w:val="000775F8"/>
    <w:rsid w:val="00080CF7"/>
    <w:rsid w:val="000851B2"/>
    <w:rsid w:val="00092566"/>
    <w:rsid w:val="000968F8"/>
    <w:rsid w:val="00097012"/>
    <w:rsid w:val="000A2B6D"/>
    <w:rsid w:val="000B032A"/>
    <w:rsid w:val="000B2DF7"/>
    <w:rsid w:val="000B3880"/>
    <w:rsid w:val="000C1040"/>
    <w:rsid w:val="000D7948"/>
    <w:rsid w:val="000D7C84"/>
    <w:rsid w:val="000E4E13"/>
    <w:rsid w:val="000E6EA0"/>
    <w:rsid w:val="000E78F6"/>
    <w:rsid w:val="000F06B5"/>
    <w:rsid w:val="000F39E9"/>
    <w:rsid w:val="00101839"/>
    <w:rsid w:val="00104B45"/>
    <w:rsid w:val="00105D8B"/>
    <w:rsid w:val="0011342F"/>
    <w:rsid w:val="001202E9"/>
    <w:rsid w:val="0012454F"/>
    <w:rsid w:val="00127C06"/>
    <w:rsid w:val="00145149"/>
    <w:rsid w:val="0014773C"/>
    <w:rsid w:val="00150D08"/>
    <w:rsid w:val="00154333"/>
    <w:rsid w:val="00165B66"/>
    <w:rsid w:val="0017696D"/>
    <w:rsid w:val="00183B55"/>
    <w:rsid w:val="001848FC"/>
    <w:rsid w:val="0019649E"/>
    <w:rsid w:val="001969C5"/>
    <w:rsid w:val="001A6CDD"/>
    <w:rsid w:val="001C12EE"/>
    <w:rsid w:val="001C7B02"/>
    <w:rsid w:val="001D6D08"/>
    <w:rsid w:val="001E1B8C"/>
    <w:rsid w:val="001E4DD4"/>
    <w:rsid w:val="001E69DC"/>
    <w:rsid w:val="001F169D"/>
    <w:rsid w:val="001F1DA1"/>
    <w:rsid w:val="0021195A"/>
    <w:rsid w:val="00213383"/>
    <w:rsid w:val="00220250"/>
    <w:rsid w:val="0022691B"/>
    <w:rsid w:val="00232163"/>
    <w:rsid w:val="002376F8"/>
    <w:rsid w:val="002408E4"/>
    <w:rsid w:val="00241591"/>
    <w:rsid w:val="002457C0"/>
    <w:rsid w:val="00250B4F"/>
    <w:rsid w:val="0025762F"/>
    <w:rsid w:val="00267AEE"/>
    <w:rsid w:val="00287649"/>
    <w:rsid w:val="00287E84"/>
    <w:rsid w:val="0029286C"/>
    <w:rsid w:val="0029300E"/>
    <w:rsid w:val="002B0C3A"/>
    <w:rsid w:val="002B2116"/>
    <w:rsid w:val="002B2D9B"/>
    <w:rsid w:val="002B5016"/>
    <w:rsid w:val="002B7F4D"/>
    <w:rsid w:val="002C285C"/>
    <w:rsid w:val="002C3684"/>
    <w:rsid w:val="002C7BE4"/>
    <w:rsid w:val="002D417D"/>
    <w:rsid w:val="002E78A0"/>
    <w:rsid w:val="002E7ACD"/>
    <w:rsid w:val="002F2687"/>
    <w:rsid w:val="002F48E1"/>
    <w:rsid w:val="002F4F3B"/>
    <w:rsid w:val="0030450B"/>
    <w:rsid w:val="003059EB"/>
    <w:rsid w:val="003116AC"/>
    <w:rsid w:val="00315567"/>
    <w:rsid w:val="003252C3"/>
    <w:rsid w:val="00330144"/>
    <w:rsid w:val="00346245"/>
    <w:rsid w:val="00356267"/>
    <w:rsid w:val="00356BAD"/>
    <w:rsid w:val="003605B4"/>
    <w:rsid w:val="003627AC"/>
    <w:rsid w:val="00366914"/>
    <w:rsid w:val="00372931"/>
    <w:rsid w:val="003755CB"/>
    <w:rsid w:val="00383F85"/>
    <w:rsid w:val="00390CA8"/>
    <w:rsid w:val="00395B71"/>
    <w:rsid w:val="003A306C"/>
    <w:rsid w:val="003A7DE7"/>
    <w:rsid w:val="003B1006"/>
    <w:rsid w:val="003C5F11"/>
    <w:rsid w:val="003D6401"/>
    <w:rsid w:val="003E1863"/>
    <w:rsid w:val="003E239D"/>
    <w:rsid w:val="004130EB"/>
    <w:rsid w:val="004145C2"/>
    <w:rsid w:val="0041606D"/>
    <w:rsid w:val="00416962"/>
    <w:rsid w:val="004348CC"/>
    <w:rsid w:val="0045444B"/>
    <w:rsid w:val="0045593E"/>
    <w:rsid w:val="004658FF"/>
    <w:rsid w:val="004745DD"/>
    <w:rsid w:val="00474ED7"/>
    <w:rsid w:val="004756E1"/>
    <w:rsid w:val="0048008A"/>
    <w:rsid w:val="00483E94"/>
    <w:rsid w:val="00484120"/>
    <w:rsid w:val="004853A0"/>
    <w:rsid w:val="00495436"/>
    <w:rsid w:val="00496B5F"/>
    <w:rsid w:val="004A269A"/>
    <w:rsid w:val="004A2E10"/>
    <w:rsid w:val="004B17FF"/>
    <w:rsid w:val="004B1BA0"/>
    <w:rsid w:val="004B6CEE"/>
    <w:rsid w:val="004C2443"/>
    <w:rsid w:val="004C498F"/>
    <w:rsid w:val="004C5D29"/>
    <w:rsid w:val="004C681A"/>
    <w:rsid w:val="004D4D8A"/>
    <w:rsid w:val="004D6297"/>
    <w:rsid w:val="004D671E"/>
    <w:rsid w:val="004E0FE5"/>
    <w:rsid w:val="004E1F09"/>
    <w:rsid w:val="004F1A37"/>
    <w:rsid w:val="004F68EE"/>
    <w:rsid w:val="00502FA3"/>
    <w:rsid w:val="005038D5"/>
    <w:rsid w:val="00511BA4"/>
    <w:rsid w:val="005149E7"/>
    <w:rsid w:val="005232D6"/>
    <w:rsid w:val="00532886"/>
    <w:rsid w:val="005333CC"/>
    <w:rsid w:val="005363F1"/>
    <w:rsid w:val="0055007C"/>
    <w:rsid w:val="005507F3"/>
    <w:rsid w:val="00554922"/>
    <w:rsid w:val="00555282"/>
    <w:rsid w:val="005612CC"/>
    <w:rsid w:val="00563029"/>
    <w:rsid w:val="00567D12"/>
    <w:rsid w:val="00576062"/>
    <w:rsid w:val="00580998"/>
    <w:rsid w:val="00583DC2"/>
    <w:rsid w:val="0059559F"/>
    <w:rsid w:val="005A49FF"/>
    <w:rsid w:val="005A7634"/>
    <w:rsid w:val="005C0447"/>
    <w:rsid w:val="005C71A2"/>
    <w:rsid w:val="005C739F"/>
    <w:rsid w:val="005C73CA"/>
    <w:rsid w:val="005D4768"/>
    <w:rsid w:val="005E2CAB"/>
    <w:rsid w:val="005E429E"/>
    <w:rsid w:val="005F1667"/>
    <w:rsid w:val="00601ED4"/>
    <w:rsid w:val="006030BC"/>
    <w:rsid w:val="00612866"/>
    <w:rsid w:val="00616EB5"/>
    <w:rsid w:val="006269D4"/>
    <w:rsid w:val="006327D8"/>
    <w:rsid w:val="0064070A"/>
    <w:rsid w:val="00643A01"/>
    <w:rsid w:val="006574D2"/>
    <w:rsid w:val="00665D62"/>
    <w:rsid w:val="006676D4"/>
    <w:rsid w:val="00675535"/>
    <w:rsid w:val="00681359"/>
    <w:rsid w:val="00696262"/>
    <w:rsid w:val="006B6050"/>
    <w:rsid w:val="006C3A4F"/>
    <w:rsid w:val="006C4845"/>
    <w:rsid w:val="006C7620"/>
    <w:rsid w:val="006D6BC1"/>
    <w:rsid w:val="006E2BFC"/>
    <w:rsid w:val="006E5C57"/>
    <w:rsid w:val="006F22A5"/>
    <w:rsid w:val="00702C73"/>
    <w:rsid w:val="00713394"/>
    <w:rsid w:val="00721E1E"/>
    <w:rsid w:val="00724677"/>
    <w:rsid w:val="00725AC2"/>
    <w:rsid w:val="00732880"/>
    <w:rsid w:val="007416B9"/>
    <w:rsid w:val="007422FD"/>
    <w:rsid w:val="00743E46"/>
    <w:rsid w:val="00747C45"/>
    <w:rsid w:val="00756FDB"/>
    <w:rsid w:val="007665BF"/>
    <w:rsid w:val="0076717F"/>
    <w:rsid w:val="007757CE"/>
    <w:rsid w:val="00775800"/>
    <w:rsid w:val="0079180E"/>
    <w:rsid w:val="00792F34"/>
    <w:rsid w:val="007950CC"/>
    <w:rsid w:val="0079538B"/>
    <w:rsid w:val="007961B8"/>
    <w:rsid w:val="007A4828"/>
    <w:rsid w:val="007B093D"/>
    <w:rsid w:val="007B2069"/>
    <w:rsid w:val="007C04A1"/>
    <w:rsid w:val="007C21FA"/>
    <w:rsid w:val="007D4351"/>
    <w:rsid w:val="007D7019"/>
    <w:rsid w:val="007E18DB"/>
    <w:rsid w:val="007E4ADD"/>
    <w:rsid w:val="007E6F1C"/>
    <w:rsid w:val="00804C69"/>
    <w:rsid w:val="0080711D"/>
    <w:rsid w:val="008155CD"/>
    <w:rsid w:val="00833325"/>
    <w:rsid w:val="00840A41"/>
    <w:rsid w:val="00842F3C"/>
    <w:rsid w:val="008434DB"/>
    <w:rsid w:val="008505D1"/>
    <w:rsid w:val="00855158"/>
    <w:rsid w:val="00857EE8"/>
    <w:rsid w:val="0086464B"/>
    <w:rsid w:val="008647FC"/>
    <w:rsid w:val="00864CA8"/>
    <w:rsid w:val="00865E2D"/>
    <w:rsid w:val="00870E6C"/>
    <w:rsid w:val="00884486"/>
    <w:rsid w:val="008871A9"/>
    <w:rsid w:val="008916BA"/>
    <w:rsid w:val="00892176"/>
    <w:rsid w:val="00892D0E"/>
    <w:rsid w:val="008A1DB7"/>
    <w:rsid w:val="008A403A"/>
    <w:rsid w:val="008A4C13"/>
    <w:rsid w:val="008B6D6F"/>
    <w:rsid w:val="008C54A9"/>
    <w:rsid w:val="008E3CB5"/>
    <w:rsid w:val="008E67C3"/>
    <w:rsid w:val="008F589F"/>
    <w:rsid w:val="008F76A9"/>
    <w:rsid w:val="00900DBF"/>
    <w:rsid w:val="009048B9"/>
    <w:rsid w:val="00904E91"/>
    <w:rsid w:val="009214DC"/>
    <w:rsid w:val="009236B1"/>
    <w:rsid w:val="00927027"/>
    <w:rsid w:val="009344BA"/>
    <w:rsid w:val="00947F78"/>
    <w:rsid w:val="00953234"/>
    <w:rsid w:val="00956B62"/>
    <w:rsid w:val="009575D2"/>
    <w:rsid w:val="00961EAF"/>
    <w:rsid w:val="0096278F"/>
    <w:rsid w:val="00970F09"/>
    <w:rsid w:val="009726E1"/>
    <w:rsid w:val="00977591"/>
    <w:rsid w:val="00980E75"/>
    <w:rsid w:val="00985BC0"/>
    <w:rsid w:val="00994BE0"/>
    <w:rsid w:val="009A25B1"/>
    <w:rsid w:val="009A4608"/>
    <w:rsid w:val="009A6A57"/>
    <w:rsid w:val="009A70BF"/>
    <w:rsid w:val="009B1A15"/>
    <w:rsid w:val="009C0852"/>
    <w:rsid w:val="009C13CA"/>
    <w:rsid w:val="009C32C6"/>
    <w:rsid w:val="009C665F"/>
    <w:rsid w:val="009C782B"/>
    <w:rsid w:val="009D5CCA"/>
    <w:rsid w:val="009D7E38"/>
    <w:rsid w:val="009E0548"/>
    <w:rsid w:val="009E095B"/>
    <w:rsid w:val="009E1846"/>
    <w:rsid w:val="009E78FF"/>
    <w:rsid w:val="00A01494"/>
    <w:rsid w:val="00A22FA9"/>
    <w:rsid w:val="00A25024"/>
    <w:rsid w:val="00A272D7"/>
    <w:rsid w:val="00A35F8F"/>
    <w:rsid w:val="00A41377"/>
    <w:rsid w:val="00A4263D"/>
    <w:rsid w:val="00A509B8"/>
    <w:rsid w:val="00A52AB9"/>
    <w:rsid w:val="00A52C3B"/>
    <w:rsid w:val="00A6210B"/>
    <w:rsid w:val="00A7323A"/>
    <w:rsid w:val="00A75507"/>
    <w:rsid w:val="00A97798"/>
    <w:rsid w:val="00AA5213"/>
    <w:rsid w:val="00AA65A6"/>
    <w:rsid w:val="00AC1D8E"/>
    <w:rsid w:val="00AC48FA"/>
    <w:rsid w:val="00AD0240"/>
    <w:rsid w:val="00AD0FAB"/>
    <w:rsid w:val="00AD4137"/>
    <w:rsid w:val="00B037BA"/>
    <w:rsid w:val="00B20139"/>
    <w:rsid w:val="00B218DA"/>
    <w:rsid w:val="00B22529"/>
    <w:rsid w:val="00B342FA"/>
    <w:rsid w:val="00B52225"/>
    <w:rsid w:val="00B537C1"/>
    <w:rsid w:val="00B53E8B"/>
    <w:rsid w:val="00B62359"/>
    <w:rsid w:val="00B62C29"/>
    <w:rsid w:val="00B67C22"/>
    <w:rsid w:val="00B774D2"/>
    <w:rsid w:val="00B8015A"/>
    <w:rsid w:val="00B82A57"/>
    <w:rsid w:val="00B83D4B"/>
    <w:rsid w:val="00B90892"/>
    <w:rsid w:val="00B913E0"/>
    <w:rsid w:val="00BB1F2E"/>
    <w:rsid w:val="00BB35AE"/>
    <w:rsid w:val="00BC03A1"/>
    <w:rsid w:val="00BC0D25"/>
    <w:rsid w:val="00BC2EA6"/>
    <w:rsid w:val="00BC6811"/>
    <w:rsid w:val="00BD2505"/>
    <w:rsid w:val="00BD5A6A"/>
    <w:rsid w:val="00BE592D"/>
    <w:rsid w:val="00BF52B0"/>
    <w:rsid w:val="00BF5697"/>
    <w:rsid w:val="00C02C56"/>
    <w:rsid w:val="00C12BAA"/>
    <w:rsid w:val="00C14CCC"/>
    <w:rsid w:val="00C22C1C"/>
    <w:rsid w:val="00C3195A"/>
    <w:rsid w:val="00C33F2E"/>
    <w:rsid w:val="00C34936"/>
    <w:rsid w:val="00C34C14"/>
    <w:rsid w:val="00C355B9"/>
    <w:rsid w:val="00C3761D"/>
    <w:rsid w:val="00C401C4"/>
    <w:rsid w:val="00C41680"/>
    <w:rsid w:val="00C60A25"/>
    <w:rsid w:val="00C613CB"/>
    <w:rsid w:val="00C75914"/>
    <w:rsid w:val="00C765C5"/>
    <w:rsid w:val="00C82479"/>
    <w:rsid w:val="00C867F0"/>
    <w:rsid w:val="00C87691"/>
    <w:rsid w:val="00CA06D8"/>
    <w:rsid w:val="00CA345A"/>
    <w:rsid w:val="00CB49FF"/>
    <w:rsid w:val="00CC02CF"/>
    <w:rsid w:val="00CC086A"/>
    <w:rsid w:val="00CD0F66"/>
    <w:rsid w:val="00CD364B"/>
    <w:rsid w:val="00CE23B8"/>
    <w:rsid w:val="00CE50D7"/>
    <w:rsid w:val="00CE6996"/>
    <w:rsid w:val="00CF7A4B"/>
    <w:rsid w:val="00D00344"/>
    <w:rsid w:val="00D1754D"/>
    <w:rsid w:val="00D2223F"/>
    <w:rsid w:val="00D24FC9"/>
    <w:rsid w:val="00D274A4"/>
    <w:rsid w:val="00D277AF"/>
    <w:rsid w:val="00D31163"/>
    <w:rsid w:val="00D320B1"/>
    <w:rsid w:val="00D33AFD"/>
    <w:rsid w:val="00D36489"/>
    <w:rsid w:val="00D42195"/>
    <w:rsid w:val="00D50704"/>
    <w:rsid w:val="00D51637"/>
    <w:rsid w:val="00D5760A"/>
    <w:rsid w:val="00D61410"/>
    <w:rsid w:val="00D8181D"/>
    <w:rsid w:val="00D950CB"/>
    <w:rsid w:val="00D968D8"/>
    <w:rsid w:val="00DA563D"/>
    <w:rsid w:val="00DA7277"/>
    <w:rsid w:val="00DB3627"/>
    <w:rsid w:val="00DB4724"/>
    <w:rsid w:val="00DC4746"/>
    <w:rsid w:val="00DE7149"/>
    <w:rsid w:val="00E0314C"/>
    <w:rsid w:val="00E1508F"/>
    <w:rsid w:val="00E27240"/>
    <w:rsid w:val="00E27EDD"/>
    <w:rsid w:val="00E310B9"/>
    <w:rsid w:val="00E37E1B"/>
    <w:rsid w:val="00E41C6E"/>
    <w:rsid w:val="00E51413"/>
    <w:rsid w:val="00E562C0"/>
    <w:rsid w:val="00E672D6"/>
    <w:rsid w:val="00E72298"/>
    <w:rsid w:val="00E75109"/>
    <w:rsid w:val="00E76024"/>
    <w:rsid w:val="00E856A2"/>
    <w:rsid w:val="00E96884"/>
    <w:rsid w:val="00EA1F44"/>
    <w:rsid w:val="00EA5435"/>
    <w:rsid w:val="00EA5F47"/>
    <w:rsid w:val="00EB6929"/>
    <w:rsid w:val="00EC79DE"/>
    <w:rsid w:val="00ED4ACE"/>
    <w:rsid w:val="00EF2DA7"/>
    <w:rsid w:val="00F01373"/>
    <w:rsid w:val="00F25121"/>
    <w:rsid w:val="00F435AA"/>
    <w:rsid w:val="00F5738A"/>
    <w:rsid w:val="00F612D4"/>
    <w:rsid w:val="00F70454"/>
    <w:rsid w:val="00F7663A"/>
    <w:rsid w:val="00F77F1D"/>
    <w:rsid w:val="00F80F47"/>
    <w:rsid w:val="00F87CCB"/>
    <w:rsid w:val="00FA48C7"/>
    <w:rsid w:val="00FB73C1"/>
    <w:rsid w:val="00FD01DE"/>
    <w:rsid w:val="00FE1602"/>
    <w:rsid w:val="00FF6E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C3"/>
  </w:style>
  <w:style w:type="paragraph" w:styleId="Heading1">
    <w:name w:val="heading 1"/>
    <w:basedOn w:val="Normal"/>
    <w:next w:val="Normal"/>
    <w:link w:val="Heading1Char"/>
    <w:uiPriority w:val="9"/>
    <w:qFormat/>
    <w:rsid w:val="00956B62"/>
    <w:pPr>
      <w:spacing w:after="0" w:line="240" w:lineRule="auto"/>
      <w:outlineLvl w:val="0"/>
    </w:pPr>
    <w:rPr>
      <w:rFonts w:cstheme="minorHAnsi"/>
      <w:b/>
      <w:noProof/>
    </w:rPr>
  </w:style>
  <w:style w:type="paragraph" w:styleId="Heading2">
    <w:name w:val="heading 2"/>
    <w:basedOn w:val="Normal"/>
    <w:next w:val="Normal"/>
    <w:link w:val="Heading2Char"/>
    <w:uiPriority w:val="9"/>
    <w:unhideWhenUsed/>
    <w:qFormat/>
    <w:rsid w:val="00C3761D"/>
    <w:pPr>
      <w:keepNext/>
      <w:spacing w:before="120" w:after="120" w:line="240" w:lineRule="auto"/>
      <w:outlineLvl w:val="1"/>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unhideWhenUsed/>
    <w:rsid w:val="002376F8"/>
    <w:pPr>
      <w:spacing w:line="240" w:lineRule="auto"/>
    </w:pPr>
    <w:rPr>
      <w:sz w:val="20"/>
      <w:szCs w:val="20"/>
    </w:rPr>
  </w:style>
  <w:style w:type="character" w:customStyle="1" w:styleId="CommentTextChar">
    <w:name w:val="Comment Text Char"/>
    <w:basedOn w:val="DefaultParagraphFont"/>
    <w:link w:val="CommentText"/>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3252C3"/>
    <w:pPr>
      <w:spacing w:after="120"/>
    </w:pPr>
  </w:style>
  <w:style w:type="paragraph" w:styleId="Caption">
    <w:name w:val="caption"/>
    <w:basedOn w:val="Normal"/>
    <w:next w:val="Normal"/>
    <w:uiPriority w:val="35"/>
    <w:unhideWhenUsed/>
    <w:qFormat/>
    <w:rsid w:val="00C3761D"/>
    <w:pPr>
      <w:keepNext/>
      <w:keepLines/>
      <w:spacing w:before="240" w:after="0" w:line="240" w:lineRule="auto"/>
      <w:jc w:val="center"/>
    </w:pPr>
    <w:rPr>
      <w:rFonts w:eastAsia="Times New Roman" w:cs="Arial"/>
      <w:b/>
      <w:bCs/>
      <w:sz w:val="24"/>
    </w:rPr>
  </w:style>
  <w:style w:type="paragraph" w:styleId="BodyText">
    <w:name w:val="Body Text"/>
    <w:basedOn w:val="Normal"/>
    <w:link w:val="BodyTextChar"/>
    <w:unhideWhenUsed/>
    <w:rsid w:val="00C3761D"/>
    <w:pPr>
      <w:spacing w:before="120" w:after="120"/>
    </w:pPr>
    <w:rPr>
      <w:color w:val="0000FF"/>
    </w:rPr>
  </w:style>
  <w:style w:type="character" w:customStyle="1" w:styleId="BodyTextChar">
    <w:name w:val="Body Text Char"/>
    <w:basedOn w:val="DefaultParagraphFont"/>
    <w:link w:val="BodyText"/>
    <w:rsid w:val="00C3761D"/>
    <w:rPr>
      <w:color w:val="0000FF"/>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45593E"/>
    <w:pPr>
      <w:keepNext/>
      <w:spacing w:before="20" w:after="20" w:line="240" w:lineRule="exact"/>
      <w:jc w:val="center"/>
    </w:pPr>
    <w:rPr>
      <w:rFonts w:eastAsia="Times New Roman" w:cs="Times New Roman"/>
      <w:snapToGrid w:val="0"/>
    </w:rPr>
  </w:style>
  <w:style w:type="paragraph" w:styleId="ListBullet">
    <w:name w:val="List Bullet"/>
    <w:basedOn w:val="Normal"/>
    <w:uiPriority w:val="99"/>
    <w:unhideWhenUsed/>
    <w:rsid w:val="00C3761D"/>
    <w:pPr>
      <w:numPr>
        <w:numId w:val="21"/>
      </w:numPr>
      <w:contextualSpacing/>
    </w:pPr>
  </w:style>
  <w:style w:type="paragraph" w:styleId="ListNumber2">
    <w:name w:val="List Number 2"/>
    <w:basedOn w:val="ListParagraph"/>
    <w:uiPriority w:val="99"/>
    <w:unhideWhenUsed/>
    <w:rsid w:val="00C3761D"/>
    <w:pPr>
      <w:numPr>
        <w:numId w:val="6"/>
      </w:numPr>
      <w:spacing w:before="120" w:after="120"/>
    </w:pPr>
    <w:rPr>
      <w:color w:val="0000FF"/>
    </w:rPr>
  </w:style>
  <w:style w:type="character" w:customStyle="1" w:styleId="Heading2Char">
    <w:name w:val="Heading 2 Char"/>
    <w:basedOn w:val="DefaultParagraphFont"/>
    <w:link w:val="Heading2"/>
    <w:uiPriority w:val="9"/>
    <w:rsid w:val="00C3761D"/>
    <w:rPr>
      <w:i/>
      <w:iCs/>
      <w:color w:val="0000FF"/>
    </w:rPr>
  </w:style>
  <w:style w:type="paragraph" w:styleId="BodyText2">
    <w:name w:val="Body Text 2"/>
    <w:basedOn w:val="BodyText"/>
    <w:link w:val="BodyText2Char"/>
    <w:uiPriority w:val="99"/>
    <w:unhideWhenUsed/>
    <w:rsid w:val="00C3761D"/>
    <w:pPr>
      <w:ind w:left="720"/>
    </w:pPr>
  </w:style>
  <w:style w:type="character" w:customStyle="1" w:styleId="BodyText2Char">
    <w:name w:val="Body Text 2 Char"/>
    <w:basedOn w:val="DefaultParagraphFont"/>
    <w:link w:val="BodyText2"/>
    <w:uiPriority w:val="99"/>
    <w:rsid w:val="00C3761D"/>
    <w:rPr>
      <w:color w:val="0000FF"/>
    </w:rPr>
  </w:style>
  <w:style w:type="paragraph" w:styleId="BodyText3">
    <w:name w:val="Body Text 3"/>
    <w:basedOn w:val="Normal"/>
    <w:link w:val="BodyText3Char"/>
    <w:uiPriority w:val="99"/>
    <w:unhideWhenUsed/>
    <w:rsid w:val="003252C3"/>
    <w:pPr>
      <w:keepNext/>
      <w:autoSpaceDE w:val="0"/>
      <w:autoSpaceDN w:val="0"/>
      <w:adjustRightInd w:val="0"/>
      <w:spacing w:after="60" w:line="240" w:lineRule="auto"/>
    </w:pPr>
    <w:rPr>
      <w:rFonts w:cstheme="minorHAnsi"/>
      <w:bCs/>
      <w:i/>
    </w:rPr>
  </w:style>
  <w:style w:type="character" w:customStyle="1" w:styleId="BodyText3Char">
    <w:name w:val="Body Text 3 Char"/>
    <w:basedOn w:val="DefaultParagraphFont"/>
    <w:link w:val="BodyText3"/>
    <w:uiPriority w:val="99"/>
    <w:rsid w:val="003252C3"/>
    <w:rPr>
      <w:rFonts w:cstheme="minorHAnsi"/>
      <w:bCs/>
      <w:i/>
    </w:rPr>
  </w:style>
  <w:style w:type="paragraph" w:customStyle="1" w:styleId="FigureTitle">
    <w:name w:val="Figure Title"/>
    <w:basedOn w:val="Caption"/>
    <w:qFormat/>
    <w:rsid w:val="00C3761D"/>
  </w:style>
  <w:style w:type="paragraph" w:customStyle="1" w:styleId="SourceNote">
    <w:name w:val="Source/Note"/>
    <w:basedOn w:val="Normal"/>
    <w:qFormat/>
    <w:rsid w:val="00C3761D"/>
    <w:pPr>
      <w:spacing w:after="120" w:line="240" w:lineRule="auto"/>
    </w:pPr>
    <w:rPr>
      <w:color w:val="0000FF"/>
      <w:sz w:val="20"/>
      <w:szCs w:val="20"/>
    </w:rPr>
  </w:style>
  <w:style w:type="paragraph" w:styleId="ListNumber3">
    <w:name w:val="List Number 3"/>
    <w:basedOn w:val="ListParagraph"/>
    <w:uiPriority w:val="99"/>
    <w:unhideWhenUsed/>
    <w:rsid w:val="00C3761D"/>
    <w:pPr>
      <w:numPr>
        <w:numId w:val="11"/>
      </w:numPr>
      <w:spacing w:after="120"/>
    </w:pPr>
    <w:rPr>
      <w:color w:val="0000FF"/>
      <w:sz w:val="20"/>
      <w:szCs w:val="20"/>
    </w:rPr>
  </w:style>
  <w:style w:type="paragraph" w:styleId="ListBullet2">
    <w:name w:val="List Bullet 2"/>
    <w:basedOn w:val="ListParagraph"/>
    <w:uiPriority w:val="99"/>
    <w:unhideWhenUsed/>
    <w:rsid w:val="003252C3"/>
    <w:pPr>
      <w:numPr>
        <w:numId w:val="14"/>
      </w:numPr>
      <w:spacing w:after="120"/>
    </w:pPr>
    <w:rPr>
      <w:color w:val="0000FF"/>
    </w:rPr>
  </w:style>
  <w:style w:type="paragraph" w:styleId="ListContinue2">
    <w:name w:val="List Continue 2"/>
    <w:basedOn w:val="BodyText2"/>
    <w:uiPriority w:val="99"/>
    <w:unhideWhenUsed/>
    <w:rsid w:val="003252C3"/>
  </w:style>
  <w:style w:type="paragraph" w:styleId="ListBullet3">
    <w:name w:val="List Bullet 3"/>
    <w:basedOn w:val="ListParagraph"/>
    <w:uiPriority w:val="99"/>
    <w:unhideWhenUsed/>
    <w:rsid w:val="003252C3"/>
    <w:pPr>
      <w:numPr>
        <w:ilvl w:val="1"/>
        <w:numId w:val="13"/>
      </w:numPr>
      <w:spacing w:after="120" w:line="240" w:lineRule="auto"/>
    </w:pPr>
    <w:rPr>
      <w:color w:val="0000FF"/>
    </w:rPr>
  </w:style>
  <w:style w:type="character" w:customStyle="1" w:styleId="Heading1Char">
    <w:name w:val="Heading 1 Char"/>
    <w:basedOn w:val="DefaultParagraphFont"/>
    <w:link w:val="Heading1"/>
    <w:uiPriority w:val="9"/>
    <w:rsid w:val="00956B62"/>
    <w:rPr>
      <w:rFonts w:cstheme="minorHAnsi"/>
      <w:b/>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52C3"/>
  </w:style>
  <w:style w:type="paragraph" w:styleId="Heading1">
    <w:name w:val="heading 1"/>
    <w:basedOn w:val="Normal"/>
    <w:next w:val="Normal"/>
    <w:link w:val="Heading1Char"/>
    <w:uiPriority w:val="9"/>
    <w:qFormat/>
    <w:rsid w:val="00956B62"/>
    <w:pPr>
      <w:spacing w:after="0" w:line="240" w:lineRule="auto"/>
      <w:outlineLvl w:val="0"/>
    </w:pPr>
    <w:rPr>
      <w:rFonts w:cstheme="minorHAnsi"/>
      <w:b/>
      <w:noProof/>
    </w:rPr>
  </w:style>
  <w:style w:type="paragraph" w:styleId="Heading2">
    <w:name w:val="heading 2"/>
    <w:basedOn w:val="Normal"/>
    <w:next w:val="Normal"/>
    <w:link w:val="Heading2Char"/>
    <w:uiPriority w:val="9"/>
    <w:unhideWhenUsed/>
    <w:qFormat/>
    <w:rsid w:val="00C3761D"/>
    <w:pPr>
      <w:keepNext/>
      <w:spacing w:before="120" w:after="120" w:line="240" w:lineRule="auto"/>
      <w:outlineLvl w:val="1"/>
    </w:pPr>
    <w:rPr>
      <w:i/>
      <w:iCs/>
      <w:color w:val="0000F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nhideWhenUsed/>
    <w:rsid w:val="002376F8"/>
    <w:rPr>
      <w:sz w:val="16"/>
      <w:szCs w:val="16"/>
    </w:rPr>
  </w:style>
  <w:style w:type="paragraph" w:styleId="CommentText">
    <w:name w:val="annotation text"/>
    <w:basedOn w:val="Normal"/>
    <w:link w:val="CommentTextChar"/>
    <w:unhideWhenUsed/>
    <w:rsid w:val="002376F8"/>
    <w:pPr>
      <w:spacing w:line="240" w:lineRule="auto"/>
    </w:pPr>
    <w:rPr>
      <w:sz w:val="20"/>
      <w:szCs w:val="20"/>
    </w:rPr>
  </w:style>
  <w:style w:type="character" w:customStyle="1" w:styleId="CommentTextChar">
    <w:name w:val="Comment Text Char"/>
    <w:basedOn w:val="DefaultParagraphFont"/>
    <w:link w:val="CommentText"/>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rsid w:val="00145149"/>
    <w:rPr>
      <w:rFonts w:ascii="Times New Roman" w:eastAsia="Calibri" w:hAnsi="Times New Roman" w:cs="Times New Roman"/>
      <w:sz w:val="20"/>
      <w:szCs w:val="20"/>
    </w:rPr>
  </w:style>
  <w:style w:type="character" w:styleId="FootnoteReference">
    <w:name w:val="footnote reference"/>
    <w:basedOn w:val="DefaultParagraphFont"/>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3252C3"/>
    <w:pPr>
      <w:spacing w:after="120"/>
    </w:pPr>
  </w:style>
  <w:style w:type="paragraph" w:styleId="Caption">
    <w:name w:val="caption"/>
    <w:basedOn w:val="Normal"/>
    <w:next w:val="Normal"/>
    <w:uiPriority w:val="35"/>
    <w:unhideWhenUsed/>
    <w:qFormat/>
    <w:rsid w:val="00C3761D"/>
    <w:pPr>
      <w:keepNext/>
      <w:keepLines/>
      <w:spacing w:before="240" w:after="0" w:line="240" w:lineRule="auto"/>
      <w:jc w:val="center"/>
    </w:pPr>
    <w:rPr>
      <w:rFonts w:eastAsia="Times New Roman" w:cs="Arial"/>
      <w:b/>
      <w:bCs/>
      <w:sz w:val="24"/>
    </w:rPr>
  </w:style>
  <w:style w:type="paragraph" w:styleId="BodyText">
    <w:name w:val="Body Text"/>
    <w:basedOn w:val="Normal"/>
    <w:link w:val="BodyTextChar"/>
    <w:unhideWhenUsed/>
    <w:rsid w:val="00C3761D"/>
    <w:pPr>
      <w:spacing w:before="120" w:after="120"/>
    </w:pPr>
    <w:rPr>
      <w:color w:val="0000FF"/>
    </w:rPr>
  </w:style>
  <w:style w:type="character" w:customStyle="1" w:styleId="BodyTextChar">
    <w:name w:val="Body Text Char"/>
    <w:basedOn w:val="DefaultParagraphFont"/>
    <w:link w:val="BodyText"/>
    <w:rsid w:val="00C3761D"/>
    <w:rPr>
      <w:color w:val="0000FF"/>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45593E"/>
    <w:pPr>
      <w:keepNext/>
      <w:spacing w:before="20" w:after="20" w:line="240" w:lineRule="exact"/>
      <w:jc w:val="center"/>
    </w:pPr>
    <w:rPr>
      <w:rFonts w:eastAsia="Times New Roman" w:cs="Times New Roman"/>
      <w:snapToGrid w:val="0"/>
    </w:rPr>
  </w:style>
  <w:style w:type="paragraph" w:styleId="ListBullet">
    <w:name w:val="List Bullet"/>
    <w:basedOn w:val="Normal"/>
    <w:uiPriority w:val="99"/>
    <w:unhideWhenUsed/>
    <w:rsid w:val="00C3761D"/>
    <w:pPr>
      <w:numPr>
        <w:numId w:val="21"/>
      </w:numPr>
      <w:contextualSpacing/>
    </w:pPr>
  </w:style>
  <w:style w:type="paragraph" w:styleId="ListNumber2">
    <w:name w:val="List Number 2"/>
    <w:basedOn w:val="ListParagraph"/>
    <w:uiPriority w:val="99"/>
    <w:unhideWhenUsed/>
    <w:rsid w:val="00C3761D"/>
    <w:pPr>
      <w:numPr>
        <w:numId w:val="6"/>
      </w:numPr>
      <w:spacing w:before="120" w:after="120"/>
    </w:pPr>
    <w:rPr>
      <w:color w:val="0000FF"/>
    </w:rPr>
  </w:style>
  <w:style w:type="character" w:customStyle="1" w:styleId="Heading2Char">
    <w:name w:val="Heading 2 Char"/>
    <w:basedOn w:val="DefaultParagraphFont"/>
    <w:link w:val="Heading2"/>
    <w:uiPriority w:val="9"/>
    <w:rsid w:val="00C3761D"/>
    <w:rPr>
      <w:i/>
      <w:iCs/>
      <w:color w:val="0000FF"/>
    </w:rPr>
  </w:style>
  <w:style w:type="paragraph" w:styleId="BodyText2">
    <w:name w:val="Body Text 2"/>
    <w:basedOn w:val="BodyText"/>
    <w:link w:val="BodyText2Char"/>
    <w:uiPriority w:val="99"/>
    <w:unhideWhenUsed/>
    <w:rsid w:val="00C3761D"/>
    <w:pPr>
      <w:ind w:left="720"/>
    </w:pPr>
  </w:style>
  <w:style w:type="character" w:customStyle="1" w:styleId="BodyText2Char">
    <w:name w:val="Body Text 2 Char"/>
    <w:basedOn w:val="DefaultParagraphFont"/>
    <w:link w:val="BodyText2"/>
    <w:uiPriority w:val="99"/>
    <w:rsid w:val="00C3761D"/>
    <w:rPr>
      <w:color w:val="0000FF"/>
    </w:rPr>
  </w:style>
  <w:style w:type="paragraph" w:styleId="BodyText3">
    <w:name w:val="Body Text 3"/>
    <w:basedOn w:val="Normal"/>
    <w:link w:val="BodyText3Char"/>
    <w:uiPriority w:val="99"/>
    <w:unhideWhenUsed/>
    <w:rsid w:val="003252C3"/>
    <w:pPr>
      <w:keepNext/>
      <w:autoSpaceDE w:val="0"/>
      <w:autoSpaceDN w:val="0"/>
      <w:adjustRightInd w:val="0"/>
      <w:spacing w:after="60" w:line="240" w:lineRule="auto"/>
    </w:pPr>
    <w:rPr>
      <w:rFonts w:cstheme="minorHAnsi"/>
      <w:bCs/>
      <w:i/>
    </w:rPr>
  </w:style>
  <w:style w:type="character" w:customStyle="1" w:styleId="BodyText3Char">
    <w:name w:val="Body Text 3 Char"/>
    <w:basedOn w:val="DefaultParagraphFont"/>
    <w:link w:val="BodyText3"/>
    <w:uiPriority w:val="99"/>
    <w:rsid w:val="003252C3"/>
    <w:rPr>
      <w:rFonts w:cstheme="minorHAnsi"/>
      <w:bCs/>
      <w:i/>
    </w:rPr>
  </w:style>
  <w:style w:type="paragraph" w:customStyle="1" w:styleId="FigureTitle">
    <w:name w:val="Figure Title"/>
    <w:basedOn w:val="Caption"/>
    <w:qFormat/>
    <w:rsid w:val="00C3761D"/>
  </w:style>
  <w:style w:type="paragraph" w:customStyle="1" w:styleId="SourceNote">
    <w:name w:val="Source/Note"/>
    <w:basedOn w:val="Normal"/>
    <w:qFormat/>
    <w:rsid w:val="00C3761D"/>
    <w:pPr>
      <w:spacing w:after="120" w:line="240" w:lineRule="auto"/>
    </w:pPr>
    <w:rPr>
      <w:color w:val="0000FF"/>
      <w:sz w:val="20"/>
      <w:szCs w:val="20"/>
    </w:rPr>
  </w:style>
  <w:style w:type="paragraph" w:styleId="ListNumber3">
    <w:name w:val="List Number 3"/>
    <w:basedOn w:val="ListParagraph"/>
    <w:uiPriority w:val="99"/>
    <w:unhideWhenUsed/>
    <w:rsid w:val="00C3761D"/>
    <w:pPr>
      <w:numPr>
        <w:numId w:val="11"/>
      </w:numPr>
      <w:spacing w:after="120"/>
    </w:pPr>
    <w:rPr>
      <w:color w:val="0000FF"/>
      <w:sz w:val="20"/>
      <w:szCs w:val="20"/>
    </w:rPr>
  </w:style>
  <w:style w:type="paragraph" w:styleId="ListBullet2">
    <w:name w:val="List Bullet 2"/>
    <w:basedOn w:val="ListParagraph"/>
    <w:uiPriority w:val="99"/>
    <w:unhideWhenUsed/>
    <w:rsid w:val="003252C3"/>
    <w:pPr>
      <w:numPr>
        <w:numId w:val="14"/>
      </w:numPr>
      <w:spacing w:after="120"/>
    </w:pPr>
    <w:rPr>
      <w:color w:val="0000FF"/>
    </w:rPr>
  </w:style>
  <w:style w:type="paragraph" w:styleId="ListContinue2">
    <w:name w:val="List Continue 2"/>
    <w:basedOn w:val="BodyText2"/>
    <w:uiPriority w:val="99"/>
    <w:unhideWhenUsed/>
    <w:rsid w:val="003252C3"/>
  </w:style>
  <w:style w:type="paragraph" w:styleId="ListBullet3">
    <w:name w:val="List Bullet 3"/>
    <w:basedOn w:val="ListParagraph"/>
    <w:uiPriority w:val="99"/>
    <w:unhideWhenUsed/>
    <w:rsid w:val="003252C3"/>
    <w:pPr>
      <w:numPr>
        <w:ilvl w:val="1"/>
        <w:numId w:val="13"/>
      </w:numPr>
      <w:spacing w:after="120" w:line="240" w:lineRule="auto"/>
    </w:pPr>
    <w:rPr>
      <w:color w:val="0000FF"/>
    </w:rPr>
  </w:style>
  <w:style w:type="character" w:customStyle="1" w:styleId="Heading1Char">
    <w:name w:val="Heading 1 Char"/>
    <w:basedOn w:val="DefaultParagraphFont"/>
    <w:link w:val="Heading1"/>
    <w:uiPriority w:val="9"/>
    <w:rsid w:val="00956B62"/>
    <w:rPr>
      <w:rFonts w:cstheme="minorHAnsi"/>
      <w:b/>
      <w:noProof/>
    </w:rPr>
  </w:style>
</w:styles>
</file>

<file path=word/webSettings.xml><?xml version="1.0" encoding="utf-8"?>
<w:webSettings xmlns:r="http://schemas.openxmlformats.org/officeDocument/2006/relationships" xmlns:w="http://schemas.openxmlformats.org/wordprocessingml/2006/main">
  <w:divs>
    <w:div w:id="203761765">
      <w:bodyDiv w:val="1"/>
      <w:marLeft w:val="0"/>
      <w:marRight w:val="0"/>
      <w:marTop w:val="0"/>
      <w:marBottom w:val="0"/>
      <w:divBdr>
        <w:top w:val="none" w:sz="0" w:space="0" w:color="auto"/>
        <w:left w:val="none" w:sz="0" w:space="0" w:color="auto"/>
        <w:bottom w:val="none" w:sz="0" w:space="0" w:color="auto"/>
        <w:right w:val="none" w:sz="0" w:space="0" w:color="auto"/>
      </w:divBdr>
    </w:div>
    <w:div w:id="466049980">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35707615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glossaryDocument" Target="glossary/document.xml"/></Relationships>
</file>

<file path=word/charts/_rels/chart1.xml.rels><?xml version="1.0" encoding="UTF-8" standalone="yes"?>
<Relationships xmlns="http://schemas.openxmlformats.org/package/2006/relationships"><Relationship Id="rId1" Type="http://schemas.openxmlformats.org/officeDocument/2006/relationships/oleObject" Target="file:///\\Rtimas04\hser\Project\0211942\001%20%20MIDS-NHQ\004%20Testing%20and%20Validation\common\Annual_Maintenance_Materials\2013_Q4\Analyses\Workbook%20for%20Q4%20Annual%20Maintenance.xls"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file:///\\Rtimas04\hser\Project\0211942\001%20%20MIDS-NHQ\004%20Testing%20and%20Validation\common\Annual_Maintenance_Materials\2013_Q4\Analyses\Workbook%20for%20Q4%20Annual%20Maintenance.xls"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percentStacked"/>
        <c:ser>
          <c:idx val="0"/>
          <c:order val="0"/>
          <c:tx>
            <c:strRef>
              <c:f>'Decile Charts'!$B$68</c:f>
              <c:strCache>
                <c:ptCount val="1"/>
                <c:pt idx="0">
                  <c:v>Within 1 decile</c:v>
                </c:pt>
              </c:strCache>
            </c:strRef>
          </c:tx>
          <c:cat>
            <c:strRef>
              <c:f>'Decile Charts'!$C$67:$G$67</c:f>
              <c:strCache>
                <c:ptCount val="5"/>
                <c:pt idx="0">
                  <c:v>Quarter 4, 2011 to Quarter 1, 2012</c:v>
                </c:pt>
                <c:pt idx="1">
                  <c:v>Quarter 1 to Quarter 2, 2012</c:v>
                </c:pt>
                <c:pt idx="2">
                  <c:v>Quarter 2 to Quarter 3, 2012</c:v>
                </c:pt>
                <c:pt idx="3">
                  <c:v>Quarter 3 to Quarter 4, 2012</c:v>
                </c:pt>
                <c:pt idx="4">
                  <c:v>Quarter 4, 2012, to Quarter 1, 2013</c:v>
                </c:pt>
              </c:strCache>
            </c:strRef>
          </c:cat>
          <c:val>
            <c:numRef>
              <c:f>'Decile Charts'!$C$68:$G$68</c:f>
              <c:numCache>
                <c:formatCode>0.0%</c:formatCode>
                <c:ptCount val="5"/>
                <c:pt idx="0">
                  <c:v>0.54720000000000002</c:v>
                </c:pt>
                <c:pt idx="1">
                  <c:v>0.54070000000000062</c:v>
                </c:pt>
                <c:pt idx="2">
                  <c:v>0.53299999999999992</c:v>
                </c:pt>
                <c:pt idx="3">
                  <c:v>0.53110000000000002</c:v>
                </c:pt>
                <c:pt idx="4">
                  <c:v>0.52500000000000002</c:v>
                </c:pt>
              </c:numCache>
            </c:numRef>
          </c:val>
        </c:ser>
        <c:ser>
          <c:idx val="1"/>
          <c:order val="1"/>
          <c:tx>
            <c:strRef>
              <c:f>'Decile Charts'!$B$69</c:f>
              <c:strCache>
                <c:ptCount val="1"/>
                <c:pt idx="0">
                  <c:v>Between 1 and 2 deciles</c:v>
                </c:pt>
              </c:strCache>
            </c:strRef>
          </c:tx>
          <c:cat>
            <c:strRef>
              <c:f>'Decile Charts'!$C$67:$G$67</c:f>
              <c:strCache>
                <c:ptCount val="5"/>
                <c:pt idx="0">
                  <c:v>Quarter 4, 2011 to Quarter 1, 2012</c:v>
                </c:pt>
                <c:pt idx="1">
                  <c:v>Quarter 1 to Quarter 2, 2012</c:v>
                </c:pt>
                <c:pt idx="2">
                  <c:v>Quarter 2 to Quarter 3, 2012</c:v>
                </c:pt>
                <c:pt idx="3">
                  <c:v>Quarter 3 to Quarter 4, 2012</c:v>
                </c:pt>
                <c:pt idx="4">
                  <c:v>Quarter 4, 2012, to Quarter 1, 2013</c:v>
                </c:pt>
              </c:strCache>
            </c:strRef>
          </c:cat>
          <c:val>
            <c:numRef>
              <c:f>'Decile Charts'!$C$69:$G$69</c:f>
              <c:numCache>
                <c:formatCode>0.0%</c:formatCode>
                <c:ptCount val="5"/>
                <c:pt idx="0">
                  <c:v>0.20150000000000001</c:v>
                </c:pt>
                <c:pt idx="1">
                  <c:v>0.2026</c:v>
                </c:pt>
                <c:pt idx="2">
                  <c:v>0.2016</c:v>
                </c:pt>
                <c:pt idx="3">
                  <c:v>0.19970000000000043</c:v>
                </c:pt>
                <c:pt idx="4">
                  <c:v>0.2006</c:v>
                </c:pt>
              </c:numCache>
            </c:numRef>
          </c:val>
        </c:ser>
        <c:ser>
          <c:idx val="2"/>
          <c:order val="2"/>
          <c:tx>
            <c:strRef>
              <c:f>'Decile Charts'!$B$70</c:f>
              <c:strCache>
                <c:ptCount val="1"/>
                <c:pt idx="0">
                  <c:v>Between 2 and 3 deciles</c:v>
                </c:pt>
              </c:strCache>
            </c:strRef>
          </c:tx>
          <c:cat>
            <c:strRef>
              <c:f>'Decile Charts'!$C$67:$G$67</c:f>
              <c:strCache>
                <c:ptCount val="5"/>
                <c:pt idx="0">
                  <c:v>Quarter 4, 2011 to Quarter 1, 2012</c:v>
                </c:pt>
                <c:pt idx="1">
                  <c:v>Quarter 1 to Quarter 2, 2012</c:v>
                </c:pt>
                <c:pt idx="2">
                  <c:v>Quarter 2 to Quarter 3, 2012</c:v>
                </c:pt>
                <c:pt idx="3">
                  <c:v>Quarter 3 to Quarter 4, 2012</c:v>
                </c:pt>
                <c:pt idx="4">
                  <c:v>Quarter 4, 2012, to Quarter 1, 2013</c:v>
                </c:pt>
              </c:strCache>
            </c:strRef>
          </c:cat>
          <c:val>
            <c:numRef>
              <c:f>'Decile Charts'!$C$70:$G$70</c:f>
              <c:numCache>
                <c:formatCode>0.0%</c:formatCode>
                <c:ptCount val="5"/>
                <c:pt idx="0">
                  <c:v>0.11890000000000017</c:v>
                </c:pt>
                <c:pt idx="1">
                  <c:v>0.11789999999999999</c:v>
                </c:pt>
                <c:pt idx="2">
                  <c:v>0.11970000000000044</c:v>
                </c:pt>
                <c:pt idx="3">
                  <c:v>0.12130000000000002</c:v>
                </c:pt>
                <c:pt idx="4">
                  <c:v>0.12189999999999998</c:v>
                </c:pt>
              </c:numCache>
            </c:numRef>
          </c:val>
        </c:ser>
        <c:ser>
          <c:idx val="3"/>
          <c:order val="3"/>
          <c:tx>
            <c:strRef>
              <c:f>'Decile Charts'!$B$71</c:f>
              <c:strCache>
                <c:ptCount val="1"/>
                <c:pt idx="0">
                  <c:v>More than 3 deciles</c:v>
                </c:pt>
              </c:strCache>
            </c:strRef>
          </c:tx>
          <c:cat>
            <c:strRef>
              <c:f>'Decile Charts'!$C$67:$G$67</c:f>
              <c:strCache>
                <c:ptCount val="5"/>
                <c:pt idx="0">
                  <c:v>Quarter 4, 2011 to Quarter 1, 2012</c:v>
                </c:pt>
                <c:pt idx="1">
                  <c:v>Quarter 1 to Quarter 2, 2012</c:v>
                </c:pt>
                <c:pt idx="2">
                  <c:v>Quarter 2 to Quarter 3, 2012</c:v>
                </c:pt>
                <c:pt idx="3">
                  <c:v>Quarter 3 to Quarter 4, 2012</c:v>
                </c:pt>
                <c:pt idx="4">
                  <c:v>Quarter 4, 2012, to Quarter 1, 2013</c:v>
                </c:pt>
              </c:strCache>
            </c:strRef>
          </c:cat>
          <c:val>
            <c:numRef>
              <c:f>'Decile Charts'!$C$71:$G$71</c:f>
              <c:numCache>
                <c:formatCode>0.0%</c:formatCode>
                <c:ptCount val="5"/>
                <c:pt idx="0">
                  <c:v>0.13239999999999999</c:v>
                </c:pt>
                <c:pt idx="1">
                  <c:v>0.13880000000000001</c:v>
                </c:pt>
                <c:pt idx="2">
                  <c:v>0.14560000000000001</c:v>
                </c:pt>
                <c:pt idx="3">
                  <c:v>0.14790000000000075</c:v>
                </c:pt>
                <c:pt idx="4">
                  <c:v>0.15250000000000041</c:v>
                </c:pt>
              </c:numCache>
            </c:numRef>
          </c:val>
        </c:ser>
        <c:dLbls/>
        <c:overlap val="100"/>
        <c:axId val="81586816"/>
        <c:axId val="81936768"/>
      </c:barChart>
      <c:catAx>
        <c:axId val="81586816"/>
        <c:scaling>
          <c:orientation val="minMax"/>
        </c:scaling>
        <c:axPos val="b"/>
        <c:tickLblPos val="nextTo"/>
        <c:crossAx val="81936768"/>
        <c:crosses val="autoZero"/>
        <c:auto val="1"/>
        <c:lblAlgn val="ctr"/>
        <c:lblOffset val="100"/>
      </c:catAx>
      <c:valAx>
        <c:axId val="81936768"/>
        <c:scaling>
          <c:orientation val="minMax"/>
        </c:scaling>
        <c:axPos val="l"/>
        <c:numFmt formatCode="0%" sourceLinked="1"/>
        <c:tickLblPos val="nextTo"/>
        <c:crossAx val="81586816"/>
        <c:crosses val="autoZero"/>
        <c:crossBetween val="between"/>
      </c:valAx>
    </c:plotArea>
    <c:legend>
      <c:legendPos val="r"/>
      <c:layout/>
    </c:legend>
    <c:plotVisOnly val="1"/>
    <c:dispBlanksAs val="gap"/>
  </c:chart>
  <c:txPr>
    <a:bodyPr/>
    <a:lstStyle/>
    <a:p>
      <a:pPr>
        <a:defRPr>
          <a:latin typeface="Times New Roman" pitchFamily="18" charset="0"/>
          <a:cs typeface="Times New Roman" pitchFamily="18" charset="0"/>
        </a:defRPr>
      </a:pPr>
      <a:endParaRPr lang="en-U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US"/>
  <c:clrMapOvr bg1="lt1" tx1="dk1" bg2="lt2" tx2="dk2" accent1="accent1" accent2="accent2" accent3="accent3" accent4="accent4" accent5="accent5" accent6="accent6" hlink="hlink" folHlink="folHlink"/>
  <c:chart>
    <c:plotArea>
      <c:layout/>
      <c:lineChart>
        <c:grouping val="standard"/>
        <c:ser>
          <c:idx val="0"/>
          <c:order val="0"/>
          <c:tx>
            <c:strRef>
              <c:f>'Seasonal 684'!$B$1</c:f>
              <c:strCache>
                <c:ptCount val="1"/>
                <c:pt idx="0">
                  <c:v>Mean</c:v>
                </c:pt>
              </c:strCache>
            </c:strRef>
          </c:tx>
          <c:cat>
            <c:strRef>
              <c:f>'Seasonal 684'!$A$2:$A$10</c:f>
              <c:strCache>
                <c:ptCount val="9"/>
                <c:pt idx="0">
                  <c:v>Q1 2011</c:v>
                </c:pt>
                <c:pt idx="1">
                  <c:v>Q2 2011</c:v>
                </c:pt>
                <c:pt idx="2">
                  <c:v>Q3 2011</c:v>
                </c:pt>
                <c:pt idx="3">
                  <c:v>Q4 2011</c:v>
                </c:pt>
                <c:pt idx="4">
                  <c:v>Q1 2012</c:v>
                </c:pt>
                <c:pt idx="5">
                  <c:v>Q2 2012</c:v>
                </c:pt>
                <c:pt idx="6">
                  <c:v>Q3 2012</c:v>
                </c:pt>
                <c:pt idx="7">
                  <c:v>Q4 2012</c:v>
                </c:pt>
                <c:pt idx="8">
                  <c:v>Q1 2013</c:v>
                </c:pt>
              </c:strCache>
            </c:strRef>
          </c:cat>
          <c:val>
            <c:numRef>
              <c:f>'Seasonal 684'!$B$2:$B$10</c:f>
              <c:numCache>
                <c:formatCode>0.0%</c:formatCode>
                <c:ptCount val="9"/>
                <c:pt idx="0">
                  <c:v>7.4404600000000307E-2</c:v>
                </c:pt>
                <c:pt idx="1">
                  <c:v>7.6176599999999997E-2</c:v>
                </c:pt>
                <c:pt idx="2">
                  <c:v>7.8595300000000007E-2</c:v>
                </c:pt>
                <c:pt idx="3">
                  <c:v>7.7539500000000011E-2</c:v>
                </c:pt>
                <c:pt idx="4">
                  <c:v>7.5387800000000033E-2</c:v>
                </c:pt>
                <c:pt idx="5">
                  <c:v>7.2703200000000134E-2</c:v>
                </c:pt>
                <c:pt idx="6">
                  <c:v>7.0912700000000134E-2</c:v>
                </c:pt>
                <c:pt idx="7">
                  <c:v>6.7137700000000022E-2</c:v>
                </c:pt>
                <c:pt idx="8">
                  <c:v>6.4588100000000009E-2</c:v>
                </c:pt>
              </c:numCache>
            </c:numRef>
          </c:val>
        </c:ser>
        <c:ser>
          <c:idx val="1"/>
          <c:order val="1"/>
          <c:tx>
            <c:strRef>
              <c:f>'Seasonal 684'!$C$1</c:f>
              <c:strCache>
                <c:ptCount val="1"/>
                <c:pt idx="0">
                  <c:v>Median</c:v>
                </c:pt>
              </c:strCache>
            </c:strRef>
          </c:tx>
          <c:cat>
            <c:strRef>
              <c:f>'Seasonal 684'!$A$2:$A$10</c:f>
              <c:strCache>
                <c:ptCount val="9"/>
                <c:pt idx="0">
                  <c:v>Q1 2011</c:v>
                </c:pt>
                <c:pt idx="1">
                  <c:v>Q2 2011</c:v>
                </c:pt>
                <c:pt idx="2">
                  <c:v>Q3 2011</c:v>
                </c:pt>
                <c:pt idx="3">
                  <c:v>Q4 2011</c:v>
                </c:pt>
                <c:pt idx="4">
                  <c:v>Q1 2012</c:v>
                </c:pt>
                <c:pt idx="5">
                  <c:v>Q2 2012</c:v>
                </c:pt>
                <c:pt idx="6">
                  <c:v>Q3 2012</c:v>
                </c:pt>
                <c:pt idx="7">
                  <c:v>Q4 2012</c:v>
                </c:pt>
                <c:pt idx="8">
                  <c:v>Q1 2013</c:v>
                </c:pt>
              </c:strCache>
            </c:strRef>
          </c:cat>
          <c:val>
            <c:numRef>
              <c:f>'Seasonal 684'!$C$2:$C$10</c:f>
              <c:numCache>
                <c:formatCode>0.0%</c:formatCode>
                <c:ptCount val="9"/>
                <c:pt idx="0">
                  <c:v>6.5217399999999995E-2</c:v>
                </c:pt>
                <c:pt idx="1">
                  <c:v>6.6666700000000009E-2</c:v>
                </c:pt>
                <c:pt idx="2">
                  <c:v>6.9444400000000003E-2</c:v>
                </c:pt>
                <c:pt idx="3">
                  <c:v>6.7415700000000023E-2</c:v>
                </c:pt>
                <c:pt idx="4">
                  <c:v>6.6666700000000009E-2</c:v>
                </c:pt>
                <c:pt idx="5">
                  <c:v>6.25E-2</c:v>
                </c:pt>
                <c:pt idx="6">
                  <c:v>6.1946899999999985E-2</c:v>
                </c:pt>
                <c:pt idx="7">
                  <c:v>5.7971000000000002E-2</c:v>
                </c:pt>
                <c:pt idx="8">
                  <c:v>5.5555599999999997E-2</c:v>
                </c:pt>
              </c:numCache>
            </c:numRef>
          </c:val>
        </c:ser>
        <c:dLbls/>
        <c:marker val="1"/>
        <c:axId val="81983360"/>
        <c:axId val="81984896"/>
      </c:lineChart>
      <c:catAx>
        <c:axId val="81983360"/>
        <c:scaling>
          <c:orientation val="minMax"/>
        </c:scaling>
        <c:axPos val="b"/>
        <c:numFmt formatCode="General" sourceLinked="1"/>
        <c:tickLblPos val="nextTo"/>
        <c:txPr>
          <a:bodyPr rot="0" vert="horz"/>
          <a:lstStyle/>
          <a:p>
            <a:pPr>
              <a:defRPr/>
            </a:pPr>
            <a:endParaRPr lang="en-US"/>
          </a:p>
        </c:txPr>
        <c:crossAx val="81984896"/>
        <c:crosses val="autoZero"/>
        <c:auto val="1"/>
        <c:lblAlgn val="ctr"/>
        <c:lblOffset val="100"/>
      </c:catAx>
      <c:valAx>
        <c:axId val="81984896"/>
        <c:scaling>
          <c:orientation val="minMax"/>
        </c:scaling>
        <c:axPos val="l"/>
        <c:numFmt formatCode="0.0%" sourceLinked="1"/>
        <c:tickLblPos val="nextTo"/>
        <c:txPr>
          <a:bodyPr rot="0" vert="horz"/>
          <a:lstStyle/>
          <a:p>
            <a:pPr>
              <a:defRPr/>
            </a:pPr>
            <a:endParaRPr lang="en-US"/>
          </a:p>
        </c:txPr>
        <c:crossAx val="81983360"/>
        <c:crosses val="autoZero"/>
        <c:crossBetween val="between"/>
      </c:valAx>
      <c:dTable>
        <c:showHorzBorder val="1"/>
        <c:showVertBorder val="1"/>
        <c:showOutline val="1"/>
        <c:showKeys val="1"/>
      </c:dTable>
    </c:plotArea>
    <c:plotVisOnly val="1"/>
    <c:dispBlanksAs val="gap"/>
  </c:chart>
  <c:txPr>
    <a:bodyPr/>
    <a:lstStyle/>
    <a:p>
      <a:pPr>
        <a:defRPr sz="1000" b="0" i="0" u="none" strike="noStrike" baseline="0">
          <a:solidFill>
            <a:srgbClr val="000000"/>
          </a:solidFill>
          <a:latin typeface="Times New Roman" pitchFamily="18" charset="0"/>
          <a:ea typeface="Calibri"/>
          <a:cs typeface="Times New Roman" pitchFamily="18" charset="0"/>
        </a:defRPr>
      </a:pPr>
      <a:endParaRPr lang="en-US"/>
    </a:p>
  </c:txPr>
  <c:externalData r:id="rId2"/>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932C21E931C344F7961CD6C98EB6224E"/>
        <w:category>
          <w:name w:val="General"/>
          <w:gallery w:val="placeholder"/>
        </w:category>
        <w:types>
          <w:type w:val="bbPlcHdr"/>
        </w:types>
        <w:behaviors>
          <w:behavior w:val="content"/>
        </w:behaviors>
        <w:guid w:val="{D97F926F-5DBD-4068-AF21-5CCF93AFC64E}"/>
      </w:docPartPr>
      <w:docPartBody>
        <w:p w:rsidR="00697622" w:rsidRDefault="00697622" w:rsidP="00697622">
          <w:pPr>
            <w:pStyle w:val="932C21E931C344F7961CD6C98EB6224E"/>
          </w:pPr>
          <w:r w:rsidRPr="00B83B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MS Gothic">
    <w:altName w:val="MS Mincho"/>
    <w:panose1 w:val="020B0609070205080204"/>
    <w:charset w:val="80"/>
    <w:family w:val="modern"/>
    <w:notTrueType/>
    <w:pitch w:val="fixed"/>
    <w:sig w:usb0="00000000" w:usb1="08070000" w:usb2="00000010" w:usb3="00000000" w:csb0="00020000" w:csb1="00000000"/>
  </w:font>
  <w:font w:name="MS Mincho">
    <w:altName w:val="ＭＳ 明朝"/>
    <w:panose1 w:val="02020609040205080304"/>
    <w:charset w:val="80"/>
    <w:family w:val="modern"/>
    <w:pitch w:val="fixed"/>
    <w:sig w:usb0="A00002BF" w:usb1="68C7FCFB" w:usb2="00000010" w:usb3="00000000" w:csb0="0002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20"/>
  <w:characterSpacingControl w:val="doNotCompress"/>
  <w:compat>
    <w:useFELayout/>
  </w:compat>
  <w:rsids>
    <w:rsidRoot w:val="00C90121"/>
    <w:rsid w:val="00021F89"/>
    <w:rsid w:val="00070890"/>
    <w:rsid w:val="00127222"/>
    <w:rsid w:val="00190AF4"/>
    <w:rsid w:val="00203666"/>
    <w:rsid w:val="00223FA3"/>
    <w:rsid w:val="002A288F"/>
    <w:rsid w:val="002F052A"/>
    <w:rsid w:val="00350176"/>
    <w:rsid w:val="003840F0"/>
    <w:rsid w:val="003853FB"/>
    <w:rsid w:val="004605A7"/>
    <w:rsid w:val="00462BE5"/>
    <w:rsid w:val="00492BF8"/>
    <w:rsid w:val="00535E49"/>
    <w:rsid w:val="0053654E"/>
    <w:rsid w:val="00632A7E"/>
    <w:rsid w:val="00632AB6"/>
    <w:rsid w:val="00676DDC"/>
    <w:rsid w:val="00697622"/>
    <w:rsid w:val="00712E17"/>
    <w:rsid w:val="00730B33"/>
    <w:rsid w:val="00772B2A"/>
    <w:rsid w:val="007A09E7"/>
    <w:rsid w:val="007C672A"/>
    <w:rsid w:val="007D4368"/>
    <w:rsid w:val="00822666"/>
    <w:rsid w:val="00823ECC"/>
    <w:rsid w:val="00834A4A"/>
    <w:rsid w:val="008620ED"/>
    <w:rsid w:val="00866C97"/>
    <w:rsid w:val="009017AE"/>
    <w:rsid w:val="0094579E"/>
    <w:rsid w:val="009C542D"/>
    <w:rsid w:val="00A003DA"/>
    <w:rsid w:val="00A87B38"/>
    <w:rsid w:val="00A95183"/>
    <w:rsid w:val="00AB4AF7"/>
    <w:rsid w:val="00AD6092"/>
    <w:rsid w:val="00AD7C4F"/>
    <w:rsid w:val="00B445F5"/>
    <w:rsid w:val="00BD40CB"/>
    <w:rsid w:val="00C3701B"/>
    <w:rsid w:val="00C53241"/>
    <w:rsid w:val="00C76353"/>
    <w:rsid w:val="00C90121"/>
    <w:rsid w:val="00CA344F"/>
    <w:rsid w:val="00D1676E"/>
    <w:rsid w:val="00DC0246"/>
    <w:rsid w:val="00E6518A"/>
    <w:rsid w:val="00F540AB"/>
    <w:rsid w:val="00F915BA"/>
    <w:rsid w:val="00FE6C17"/>
    <w:rsid w:val="00FF1A5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7B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7622"/>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932C21E931C344F7961CD6C98EB6224E">
    <w:name w:val="932C21E931C344F7961CD6C98EB6224E"/>
    <w:rsid w:val="00697622"/>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2809EC-0D60-48DC-8954-3050543E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7561</Words>
  <Characters>43102</Characters>
  <Application>Microsoft Office Word</Application>
  <DocSecurity>0</DocSecurity>
  <Lines>359</Lines>
  <Paragraphs>101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50562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lsmith</cp:lastModifiedBy>
  <cp:revision>2</cp:revision>
  <dcterms:created xsi:type="dcterms:W3CDTF">2014-01-17T22:19:00Z</dcterms:created>
  <dcterms:modified xsi:type="dcterms:W3CDTF">2014-01-17T22:19:00Z</dcterms:modified>
</cp:coreProperties>
</file>