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284C7" w14:textId="77777777"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779CA8AC" w14:textId="77777777" w:rsidR="00797624" w:rsidRDefault="00797624" w:rsidP="00105D8B">
      <w:pPr>
        <w:contextualSpacing/>
        <w:rPr>
          <w:rFonts w:cstheme="minorHAnsi"/>
          <w:b/>
          <w:noProof/>
        </w:rPr>
      </w:pPr>
    </w:p>
    <w:p w14:paraId="4FFFBB48"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FF40BE">
            <w:rPr>
              <w:rStyle w:val="Style1"/>
            </w:rPr>
            <w:t>NQF #2456</w:t>
          </w:r>
        </w:sdtContent>
      </w:sdt>
    </w:p>
    <w:p w14:paraId="20C0891B" w14:textId="77777777" w:rsidR="00105D8B" w:rsidRPr="00CC2487" w:rsidRDefault="00105D8B" w:rsidP="00105D8B">
      <w:pPr>
        <w:contextualSpacing/>
        <w:rPr>
          <w:rFonts w:cstheme="minorHAnsi"/>
          <w:noProof/>
          <w:color w:val="000000" w:themeColor="text1"/>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000000" w:themeColor="text1"/>
          </w:rPr>
        </w:sdtEndPr>
        <w:sdtContent>
          <w:r w:rsidR="00FF40BE" w:rsidRPr="00CC2487">
            <w:rPr>
              <w:rFonts w:ascii="Calibri" w:hAnsi="Calibri"/>
              <w:color w:val="000000" w:themeColor="text1"/>
              <w:sz w:val="20"/>
              <w:szCs w:val="20"/>
            </w:rPr>
            <w:t xml:space="preserve">Medication Reconciliation: Number of Unintentional Medication Discrepancies per Patient </w:t>
          </w:r>
        </w:sdtContent>
      </w:sdt>
    </w:p>
    <w:p w14:paraId="1558A362" w14:textId="0A905BE2"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9-08-01T00:00:00Z">
            <w:dateFormat w:val="M/d/yyyy"/>
            <w:lid w:val="en-US"/>
            <w:storeMappedDataAs w:val="dateTime"/>
            <w:calendar w:val="gregorian"/>
          </w:date>
        </w:sdtPr>
        <w:sdtEndPr>
          <w:rPr>
            <w:rStyle w:val="DefaultParagraphFont"/>
            <w:noProof/>
            <w:color w:val="auto"/>
            <w:u w:val="none"/>
          </w:rPr>
        </w:sdtEndPr>
        <w:sdtContent>
          <w:r w:rsidR="00084314">
            <w:rPr>
              <w:rStyle w:val="Style2"/>
              <w:rFonts w:cstheme="minorHAnsi"/>
            </w:rPr>
            <w:t>8/1/201</w:t>
          </w:r>
          <w:r w:rsidR="007D5D83">
            <w:rPr>
              <w:rStyle w:val="Style2"/>
              <w:rFonts w:cstheme="minorHAnsi"/>
            </w:rPr>
            <w:t>9</w:t>
          </w:r>
        </w:sdtContent>
      </w:sdt>
    </w:p>
    <w:p w14:paraId="0480A086"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6F2ECF6D" w14:textId="77777777" w:rsidTr="000B7D57">
        <w:trPr>
          <w:jc w:val="center"/>
        </w:trPr>
        <w:tc>
          <w:tcPr>
            <w:tcW w:w="2513" w:type="pct"/>
          </w:tcPr>
          <w:p w14:paraId="559AF7D0" w14:textId="77777777" w:rsidR="000B7D57" w:rsidRPr="00C775CE" w:rsidRDefault="006E60F5"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3F2FFE">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3521DD2D" w14:textId="77777777" w:rsidR="000B7D57" w:rsidRPr="00C775CE" w:rsidRDefault="006E60F5"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6EF1C16D" w14:textId="77777777" w:rsidTr="000B7D57">
        <w:trPr>
          <w:jc w:val="center"/>
        </w:trPr>
        <w:tc>
          <w:tcPr>
            <w:tcW w:w="2513" w:type="pct"/>
          </w:tcPr>
          <w:p w14:paraId="71D87EC2" w14:textId="77777777" w:rsidR="000B7D57" w:rsidRPr="00C775CE" w:rsidRDefault="006E60F5"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FF40BE">
                  <w:rPr>
                    <w:rFonts w:ascii="MS Gothic" w:eastAsia="MS Gothic" w:hAnsi="MS Gothic"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1983C38D" w14:textId="77777777" w:rsidR="000B7D57" w:rsidRPr="00C775CE" w:rsidRDefault="006E60F5"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740548E5" w14:textId="77777777" w:rsidTr="000B7D57">
        <w:trPr>
          <w:jc w:val="center"/>
        </w:trPr>
        <w:tc>
          <w:tcPr>
            <w:tcW w:w="2513" w:type="pct"/>
          </w:tcPr>
          <w:p w14:paraId="4B965E32" w14:textId="77777777" w:rsidR="000B7D57" w:rsidRPr="00C775CE" w:rsidRDefault="006E60F5"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3F2FFE">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62A877B5" w14:textId="77777777" w:rsidR="000B7D57" w:rsidRPr="00C775CE" w:rsidRDefault="006E60F5"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2271C964" w14:textId="77777777" w:rsidTr="000B7D57">
        <w:trPr>
          <w:jc w:val="center"/>
        </w:trPr>
        <w:tc>
          <w:tcPr>
            <w:tcW w:w="2513" w:type="pct"/>
          </w:tcPr>
          <w:p w14:paraId="09CA79D9" w14:textId="77777777" w:rsidR="000B7D57" w:rsidRPr="00C775CE" w:rsidRDefault="006E60F5"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37B128AA" w14:textId="77777777" w:rsidR="000B7D57" w:rsidRDefault="000B7D57" w:rsidP="00CD364B">
            <w:pPr>
              <w:autoSpaceDE w:val="0"/>
              <w:autoSpaceDN w:val="0"/>
              <w:adjustRightInd w:val="0"/>
              <w:rPr>
                <w:rFonts w:cstheme="minorHAnsi"/>
                <w:bCs/>
                <w:color w:val="0000FF"/>
              </w:rPr>
            </w:pPr>
          </w:p>
        </w:tc>
      </w:tr>
    </w:tbl>
    <w:p w14:paraId="0247CDAF"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6EA2ECD4" w14:textId="77777777" w:rsidTr="00145149">
        <w:trPr>
          <w:jc w:val="center"/>
        </w:trPr>
        <w:tc>
          <w:tcPr>
            <w:tcW w:w="9576" w:type="dxa"/>
          </w:tcPr>
          <w:p w14:paraId="17AA6993" w14:textId="77777777" w:rsidR="00B53E8B" w:rsidRPr="00B53E8B" w:rsidRDefault="00B53E8B" w:rsidP="00B53E8B">
            <w:pPr>
              <w:rPr>
                <w:rFonts w:cstheme="minorHAnsi"/>
                <w:b/>
                <w:noProof/>
              </w:rPr>
            </w:pPr>
            <w:r w:rsidRPr="00B53E8B">
              <w:rPr>
                <w:rFonts w:cstheme="minorHAnsi"/>
                <w:b/>
                <w:noProof/>
              </w:rPr>
              <w:t>Instructions</w:t>
            </w:r>
          </w:p>
          <w:p w14:paraId="7FA0EC51"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B96CDF2"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436793C2"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779C40F5"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4074DBC8"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5E206D55"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1D0F4261" w14:textId="77777777"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6D723750"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51C0DB1E" w14:textId="77777777"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7B648689"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7FF1CFD6" w14:textId="77777777" w:rsidTr="00145149">
        <w:trPr>
          <w:jc w:val="center"/>
        </w:trPr>
        <w:tc>
          <w:tcPr>
            <w:tcW w:w="9576" w:type="dxa"/>
          </w:tcPr>
          <w:p w14:paraId="5A8A29FB" w14:textId="77777777"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17977E6" w14:textId="77777777" w:rsidR="00B53E8B" w:rsidRPr="00A831B4" w:rsidRDefault="00B53E8B" w:rsidP="00702C73">
            <w:pPr>
              <w:rPr>
                <w:rFonts w:cstheme="minorHAnsi"/>
                <w:b/>
                <w:bCs/>
                <w:sz w:val="20"/>
                <w:szCs w:val="20"/>
              </w:rPr>
            </w:pPr>
          </w:p>
          <w:p w14:paraId="2BF973BE"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1BDA1AEA" w14:textId="77777777" w:rsidR="00145149" w:rsidRPr="000F034A" w:rsidRDefault="00145149" w:rsidP="00145149">
            <w:pPr>
              <w:autoSpaceDE w:val="0"/>
              <w:autoSpaceDN w:val="0"/>
              <w:adjustRightInd w:val="0"/>
              <w:rPr>
                <w:rFonts w:cstheme="minorHAnsi"/>
                <w:b/>
                <w:iCs/>
              </w:rPr>
            </w:pPr>
          </w:p>
          <w:p w14:paraId="19474EA7" w14:textId="77777777"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5FA10B02" w14:textId="77777777" w:rsidR="00145149" w:rsidRPr="000F034A" w:rsidRDefault="00145149" w:rsidP="00145149">
            <w:pPr>
              <w:rPr>
                <w:rFonts w:cstheme="minorHAnsi"/>
              </w:rPr>
            </w:pPr>
            <w:bookmarkStart w:id="1" w:name="_Toc256067249"/>
          </w:p>
          <w:p w14:paraId="403045F9" w14:textId="77777777"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16F93561" w14:textId="77777777" w:rsidR="00145149" w:rsidRPr="000F034A" w:rsidRDefault="00145149" w:rsidP="00145149">
            <w:pPr>
              <w:rPr>
                <w:rFonts w:cstheme="minorHAnsi"/>
                <w:b/>
              </w:rPr>
            </w:pPr>
            <w:r w:rsidRPr="000F034A">
              <w:rPr>
                <w:rFonts w:cstheme="minorHAnsi"/>
                <w:b/>
              </w:rPr>
              <w:lastRenderedPageBreak/>
              <w:t xml:space="preserve">AND </w:t>
            </w:r>
          </w:p>
          <w:p w14:paraId="71818E7F"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12448A30" w14:textId="77777777" w:rsidR="00145149" w:rsidRPr="000F034A" w:rsidRDefault="00145149" w:rsidP="00145149">
            <w:pPr>
              <w:rPr>
                <w:rFonts w:cstheme="minorHAnsi"/>
                <w:b/>
                <w:bCs/>
              </w:rPr>
            </w:pPr>
          </w:p>
          <w:p w14:paraId="6A760437" w14:textId="77777777"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4C8C9556"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4849D889" w14:textId="77777777" w:rsidR="00145149" w:rsidRPr="000F034A" w:rsidRDefault="00145149" w:rsidP="00145149">
            <w:pPr>
              <w:rPr>
                <w:rFonts w:cstheme="minorHAnsi"/>
                <w:b/>
              </w:rPr>
            </w:pPr>
            <w:r w:rsidRPr="000F034A">
              <w:rPr>
                <w:rFonts w:cstheme="minorHAnsi"/>
                <w:b/>
              </w:rPr>
              <w:t>OR</w:t>
            </w:r>
          </w:p>
          <w:p w14:paraId="5404E6DF" w14:textId="77777777" w:rsidR="00145149"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5B19D074" w14:textId="77777777" w:rsidR="00B2071B" w:rsidRPr="00B2071B" w:rsidRDefault="00CC2487" w:rsidP="00B2071B">
            <w:pPr>
              <w:rPr>
                <w:rFonts w:ascii="Calibri" w:eastAsia="Times New Roman" w:hAnsi="Calibri" w:cs="Times New Roman"/>
                <w:bCs/>
                <w:i/>
                <w:color w:val="000000" w:themeColor="text1"/>
                <w:sz w:val="20"/>
                <w:szCs w:val="20"/>
                <w:shd w:val="clear" w:color="auto" w:fill="FFFFFF"/>
              </w:rPr>
            </w:pPr>
            <w:r>
              <w:rPr>
                <w:rFonts w:ascii="Calibri" w:eastAsia="Times New Roman" w:hAnsi="Calibri" w:cs="Times New Roman"/>
                <w:bCs/>
                <w:i/>
                <w:color w:val="000000" w:themeColor="text1"/>
                <w:sz w:val="20"/>
                <w:szCs w:val="20"/>
                <w:shd w:val="clear" w:color="auto" w:fill="FFFFFF"/>
              </w:rPr>
              <w:t>*</w:t>
            </w:r>
            <w:r w:rsidR="00B2071B" w:rsidRPr="00B2071B">
              <w:rPr>
                <w:rFonts w:ascii="Calibri" w:eastAsia="Times New Roman" w:hAnsi="Calibri" w:cs="Times New Roman"/>
                <w:bCs/>
                <w:i/>
                <w:color w:val="000000" w:themeColor="text1"/>
                <w:sz w:val="20"/>
                <w:szCs w:val="20"/>
                <w:shd w:val="clear" w:color="auto" w:fill="FFFFFF"/>
              </w:rPr>
              <w:t>No risk adjustment or risk stratification</w:t>
            </w:r>
          </w:p>
          <w:p w14:paraId="085ECB02" w14:textId="77777777" w:rsidR="00B2071B" w:rsidRPr="00B2071B" w:rsidRDefault="00B2071B" w:rsidP="00B2071B">
            <w:pPr>
              <w:rPr>
                <w:rFonts w:cstheme="minorHAnsi"/>
                <w:i/>
                <w:color w:val="000000" w:themeColor="text1"/>
              </w:rPr>
            </w:pPr>
          </w:p>
          <w:p w14:paraId="379ECF8A" w14:textId="77777777" w:rsidR="00145149" w:rsidRPr="000F034A" w:rsidRDefault="00145149" w:rsidP="00145149">
            <w:pPr>
              <w:rPr>
                <w:rFonts w:cstheme="minorHAnsi"/>
                <w:b/>
                <w:bCs/>
              </w:rPr>
            </w:pPr>
          </w:p>
          <w:bookmarkEnd w:id="2"/>
          <w:p w14:paraId="628CA35E" w14:textId="77777777"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48643CDE" w14:textId="77777777" w:rsidR="00145149" w:rsidRPr="000F034A" w:rsidRDefault="00145149" w:rsidP="00145149">
            <w:pPr>
              <w:rPr>
                <w:rFonts w:cstheme="minorHAnsi"/>
              </w:rPr>
            </w:pPr>
            <w:r w:rsidRPr="000F034A">
              <w:rPr>
                <w:rFonts w:cstheme="minorHAnsi"/>
                <w:b/>
              </w:rPr>
              <w:t>OR</w:t>
            </w:r>
          </w:p>
          <w:p w14:paraId="487FE3D2"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6D53BA97" w14:textId="77777777" w:rsidR="00145149" w:rsidRPr="000F034A" w:rsidRDefault="00145149" w:rsidP="00145149">
            <w:pPr>
              <w:rPr>
                <w:rFonts w:cstheme="minorHAnsi"/>
                <w:b/>
                <w:bCs/>
              </w:rPr>
            </w:pPr>
          </w:p>
          <w:p w14:paraId="402A21C0" w14:textId="77777777"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2B5D95FF" w14:textId="77777777" w:rsidR="00E30584" w:rsidRPr="000F034A" w:rsidRDefault="00E30584" w:rsidP="00145149">
            <w:pPr>
              <w:rPr>
                <w:rFonts w:cstheme="minorHAnsi"/>
              </w:rPr>
            </w:pPr>
          </w:p>
          <w:p w14:paraId="405029E9" w14:textId="77777777"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1"/>
          <w:p w14:paraId="5E64940D" w14:textId="77777777" w:rsidR="00145149" w:rsidRPr="00A831B4" w:rsidRDefault="00145149" w:rsidP="00145149">
            <w:pPr>
              <w:rPr>
                <w:rFonts w:cstheme="minorHAnsi"/>
                <w:b/>
                <w:bCs/>
                <w:sz w:val="20"/>
                <w:szCs w:val="20"/>
              </w:rPr>
            </w:pPr>
          </w:p>
          <w:p w14:paraId="5390B0B4"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70D7DE80"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w:t>
            </w:r>
            <w:proofErr w:type="gramStart"/>
            <w:r w:rsidRPr="00A831B4">
              <w:rPr>
                <w:rFonts w:cstheme="minorHAnsi"/>
                <w:sz w:val="20"/>
                <w:szCs w:val="20"/>
              </w:rPr>
              <w:t>include, but</w:t>
            </w:r>
            <w:proofErr w:type="gramEnd"/>
            <w:r w:rsidRPr="00A831B4">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247FD108" w14:textId="77777777"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5682F58C"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7912ED4C"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66267CF6" w14:textId="77777777"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6D94C90C" w14:textId="77777777"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w:t>
            </w:r>
            <w:r w:rsidR="00145149" w:rsidRPr="00A831B4">
              <w:rPr>
                <w:rFonts w:cstheme="minorHAnsi"/>
                <w:sz w:val="20"/>
                <w:szCs w:val="20"/>
              </w:rPr>
              <w:lastRenderedPageBreak/>
              <w:t>$5,025) is practically meaningful. Measures with overall less-than-optimal performance may not demonstrate much variability across providers.</w:t>
            </w:r>
          </w:p>
        </w:tc>
      </w:tr>
    </w:tbl>
    <w:p w14:paraId="7ABF35F5"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1485E387"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6F767EB1" w14:textId="77777777" w:rsidR="000574AB" w:rsidRPr="00A25024" w:rsidRDefault="000574AB" w:rsidP="008A403A">
      <w:pPr>
        <w:spacing w:after="0" w:line="240" w:lineRule="auto"/>
        <w:rPr>
          <w:rFonts w:cstheme="minorHAnsi"/>
          <w:noProof/>
        </w:rPr>
      </w:pPr>
    </w:p>
    <w:p w14:paraId="2FE74589"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52BC0E1A" w14:textId="77777777" w:rsidTr="0014773C">
        <w:trPr>
          <w:jc w:val="center"/>
        </w:trPr>
        <w:tc>
          <w:tcPr>
            <w:tcW w:w="5208" w:type="dxa"/>
            <w:shd w:val="clear" w:color="auto" w:fill="D9D9D9" w:themeFill="background1" w:themeFillShade="D9"/>
          </w:tcPr>
          <w:p w14:paraId="56636EB6"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3F9B2312"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3D9D330B" w14:textId="77777777" w:rsidR="00A01494" w:rsidRPr="00A01494" w:rsidRDefault="00A01494" w:rsidP="00DB3627">
            <w:pPr>
              <w:autoSpaceDE w:val="0"/>
              <w:autoSpaceDN w:val="0"/>
              <w:adjustRightInd w:val="0"/>
              <w:rPr>
                <w:rFonts w:cstheme="minorHAnsi"/>
                <w:b/>
                <w:bCs/>
              </w:rPr>
            </w:pPr>
            <w:r w:rsidRPr="001733B9">
              <w:rPr>
                <w:rFonts w:cstheme="minorHAnsi"/>
                <w:b/>
                <w:bCs/>
              </w:rPr>
              <w:t>Measure Tested with Data From:</w:t>
            </w:r>
          </w:p>
        </w:tc>
      </w:tr>
      <w:tr w:rsidR="00A01494" w:rsidRPr="00A01494" w14:paraId="437CF173" w14:textId="77777777" w:rsidTr="0014773C">
        <w:trPr>
          <w:jc w:val="center"/>
        </w:trPr>
        <w:tc>
          <w:tcPr>
            <w:tcW w:w="5208" w:type="dxa"/>
          </w:tcPr>
          <w:p w14:paraId="1375E4DF" w14:textId="77777777" w:rsidR="00A01494" w:rsidRPr="00A01494" w:rsidRDefault="006E60F5"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B2071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2CDA084B" w14:textId="77777777" w:rsidR="00A01494" w:rsidRPr="00A01494" w:rsidRDefault="006E60F5"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CC2487">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3DC86220" w14:textId="77777777" w:rsidTr="0014773C">
        <w:trPr>
          <w:jc w:val="center"/>
        </w:trPr>
        <w:tc>
          <w:tcPr>
            <w:tcW w:w="5208" w:type="dxa"/>
          </w:tcPr>
          <w:p w14:paraId="2B479834" w14:textId="77777777" w:rsidR="00A01494" w:rsidRPr="000F1B7A" w:rsidRDefault="006E60F5"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74A6CB0B" w14:textId="77777777" w:rsidR="00A01494" w:rsidRPr="000F1B7A" w:rsidRDefault="006E60F5"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3C840911" w14:textId="77777777" w:rsidTr="0014773C">
        <w:trPr>
          <w:jc w:val="center"/>
        </w:trPr>
        <w:tc>
          <w:tcPr>
            <w:tcW w:w="5208" w:type="dxa"/>
          </w:tcPr>
          <w:p w14:paraId="4B694CA7" w14:textId="77777777" w:rsidR="00A01494" w:rsidRPr="000F1B7A" w:rsidRDefault="006E60F5"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21AE7325" w14:textId="77777777" w:rsidR="00A01494" w:rsidRPr="000F1B7A" w:rsidRDefault="006E60F5"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189719B5" w14:textId="77777777" w:rsidTr="0014773C">
        <w:trPr>
          <w:jc w:val="center"/>
        </w:trPr>
        <w:tc>
          <w:tcPr>
            <w:tcW w:w="5208" w:type="dxa"/>
          </w:tcPr>
          <w:p w14:paraId="305C949D" w14:textId="77777777" w:rsidR="00A01494" w:rsidRPr="000F1B7A" w:rsidRDefault="006E60F5"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AC7C77">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6ABE10CB" w14:textId="77777777" w:rsidR="00A01494" w:rsidRPr="000F1B7A" w:rsidRDefault="006E60F5"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CC2487">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620512AE" w14:textId="77777777" w:rsidTr="0014773C">
        <w:trPr>
          <w:jc w:val="center"/>
        </w:trPr>
        <w:tc>
          <w:tcPr>
            <w:tcW w:w="5208" w:type="dxa"/>
          </w:tcPr>
          <w:p w14:paraId="77C2060C" w14:textId="77777777" w:rsidR="00A01494" w:rsidRPr="000F1B7A" w:rsidRDefault="006E60F5"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696EFDA2" w14:textId="77777777" w:rsidR="00A01494" w:rsidRPr="000F1B7A" w:rsidRDefault="006E60F5"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4814C78" w14:textId="77777777" w:rsidTr="0014773C">
        <w:trPr>
          <w:jc w:val="center"/>
        </w:trPr>
        <w:tc>
          <w:tcPr>
            <w:tcW w:w="5208" w:type="dxa"/>
          </w:tcPr>
          <w:p w14:paraId="77AA8D73" w14:textId="3A87C0FC" w:rsidR="00A01494" w:rsidRPr="000F1B7A" w:rsidRDefault="006E60F5"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AC7C77">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1733B9">
                  <w:rPr>
                    <w:rStyle w:val="Style1"/>
                  </w:rPr>
                  <w:t>Medication data collected from patient/caregiver interview, ambulatory providers, community pharmacies, electronic</w:t>
                </w:r>
                <w:r w:rsidR="00AC30DB">
                  <w:rPr>
                    <w:rStyle w:val="Style1"/>
                  </w:rPr>
                  <w:t xml:space="preserve"> prescription fill information and i</w:t>
                </w:r>
                <w:r w:rsidR="001733B9">
                  <w:rPr>
                    <w:rStyle w:val="Style1"/>
                  </w:rPr>
                  <w:t xml:space="preserve">nformation on discrepancies in medication orders (intentional or not) from provider interviews. </w:t>
                </w:r>
              </w:sdtContent>
            </w:sdt>
          </w:p>
        </w:tc>
        <w:tc>
          <w:tcPr>
            <w:tcW w:w="4847" w:type="dxa"/>
          </w:tcPr>
          <w:p w14:paraId="650178B9" w14:textId="661DD226" w:rsidR="00A01494" w:rsidRPr="000F1B7A" w:rsidRDefault="006E60F5" w:rsidP="00DB3627">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762812">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color w:val="0000FF"/>
                </w:rPr>
                <w:id w:val="1976178076"/>
                <w:text/>
              </w:sdtPr>
              <w:sdtEndPr/>
              <w:sdtContent>
                <w:r w:rsidR="001733B9" w:rsidRPr="001733B9">
                  <w:rPr>
                    <w:color w:val="0000FF"/>
                  </w:rPr>
                  <w:t>Medication data collected from patient/caregiver interview, ambulatory providers, community pharmacies, electronic</w:t>
                </w:r>
                <w:r w:rsidR="00AC30DB">
                  <w:rPr>
                    <w:color w:val="0000FF"/>
                  </w:rPr>
                  <w:t xml:space="preserve"> prescription fill information and i</w:t>
                </w:r>
                <w:r w:rsidR="001733B9" w:rsidRPr="001733B9">
                  <w:rPr>
                    <w:color w:val="0000FF"/>
                  </w:rPr>
                  <w:t>nformation on discrepancies in medication orders (intentional or not) from provider</w:t>
                </w:r>
                <w:r w:rsidR="001733B9">
                  <w:rPr>
                    <w:color w:val="0000FF"/>
                  </w:rPr>
                  <w:t xml:space="preserve"> interviews.</w:t>
                </w:r>
              </w:sdtContent>
            </w:sdt>
          </w:p>
        </w:tc>
      </w:tr>
    </w:tbl>
    <w:p w14:paraId="6F5F4359"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34A7B088" w14:textId="77777777" w:rsidR="00C355B9" w:rsidRPr="001733B9" w:rsidRDefault="002B5016" w:rsidP="00DB3627">
      <w:pPr>
        <w:autoSpaceDE w:val="0"/>
        <w:autoSpaceDN w:val="0"/>
        <w:adjustRightInd w:val="0"/>
        <w:spacing w:after="0" w:line="240" w:lineRule="auto"/>
        <w:rPr>
          <w:rFonts w:cstheme="minorHAnsi"/>
          <w:bCs/>
        </w:rPr>
      </w:pPr>
      <w:r>
        <w:rPr>
          <w:rFonts w:cstheme="minorHAnsi"/>
          <w:b/>
          <w:bCs/>
        </w:rPr>
        <w:t>1</w:t>
      </w:r>
      <w:r w:rsidR="00927027" w:rsidRPr="001733B9">
        <w:rPr>
          <w:rFonts w:cstheme="minorHAnsi"/>
          <w:b/>
          <w:bCs/>
        </w:rPr>
        <w:t>.</w:t>
      </w:r>
      <w:r w:rsidR="00DB3627" w:rsidRPr="001733B9">
        <w:rPr>
          <w:rFonts w:cstheme="minorHAnsi"/>
          <w:b/>
          <w:bCs/>
        </w:rPr>
        <w:t xml:space="preserve">2. </w:t>
      </w:r>
      <w:r w:rsidR="004348CC" w:rsidRPr="001733B9">
        <w:rPr>
          <w:rFonts w:cstheme="minorHAnsi"/>
          <w:b/>
          <w:bCs/>
        </w:rPr>
        <w:t>If an existing data</w:t>
      </w:r>
      <w:r w:rsidR="006327D8" w:rsidRPr="001733B9">
        <w:rPr>
          <w:rFonts w:cstheme="minorHAnsi"/>
          <w:b/>
          <w:bCs/>
        </w:rPr>
        <w:t>set</w:t>
      </w:r>
      <w:r w:rsidR="003605B4" w:rsidRPr="001733B9">
        <w:rPr>
          <w:rFonts w:cstheme="minorHAnsi"/>
          <w:b/>
          <w:bCs/>
        </w:rPr>
        <w:t xml:space="preserve"> was used</w:t>
      </w:r>
      <w:r w:rsidR="004348CC" w:rsidRPr="001733B9">
        <w:rPr>
          <w:rFonts w:cstheme="minorHAnsi"/>
          <w:b/>
          <w:bCs/>
        </w:rPr>
        <w:t xml:space="preserve">, identify the </w:t>
      </w:r>
      <w:r w:rsidR="009E1846" w:rsidRPr="001733B9">
        <w:rPr>
          <w:rFonts w:cstheme="minorHAnsi"/>
          <w:b/>
          <w:bCs/>
        </w:rPr>
        <w:t xml:space="preserve">specific </w:t>
      </w:r>
      <w:r w:rsidR="004348CC" w:rsidRPr="001733B9">
        <w:rPr>
          <w:rFonts w:cstheme="minorHAnsi"/>
          <w:b/>
          <w:bCs/>
        </w:rPr>
        <w:t>data</w:t>
      </w:r>
      <w:r w:rsidR="006327D8" w:rsidRPr="001733B9">
        <w:rPr>
          <w:rFonts w:cstheme="minorHAnsi"/>
          <w:b/>
          <w:bCs/>
        </w:rPr>
        <w:t>set</w:t>
      </w:r>
      <w:r w:rsidR="00DB3627" w:rsidRPr="001733B9">
        <w:rPr>
          <w:rFonts w:cstheme="minorHAnsi"/>
          <w:bCs/>
        </w:rPr>
        <w:t xml:space="preserve"> (</w:t>
      </w:r>
      <w:r w:rsidR="001C7B02" w:rsidRPr="001733B9">
        <w:rPr>
          <w:rFonts w:cstheme="minorHAnsi"/>
          <w:bCs/>
          <w:i/>
        </w:rPr>
        <w:t xml:space="preserve">the dataset used for testing must be consistent with the measure specifications for target population and healthcare entities being measured; </w:t>
      </w:r>
      <w:r w:rsidR="00DB3627" w:rsidRPr="001733B9">
        <w:rPr>
          <w:rFonts w:cstheme="minorHAnsi"/>
          <w:bCs/>
          <w:i/>
        </w:rPr>
        <w:t>e.g., Medicare Part A claims</w:t>
      </w:r>
      <w:r w:rsidR="009E1846" w:rsidRPr="001733B9">
        <w:rPr>
          <w:rFonts w:cstheme="minorHAnsi"/>
          <w:bCs/>
          <w:i/>
        </w:rPr>
        <w:t>,</w:t>
      </w:r>
      <w:r w:rsidR="001C7B02" w:rsidRPr="001733B9">
        <w:rPr>
          <w:rFonts w:cstheme="minorHAnsi"/>
          <w:bCs/>
          <w:i/>
        </w:rPr>
        <w:t xml:space="preserve"> Medicaid claims, other commercial insurance, nursing home MDS, home health OASIS, clinical registry</w:t>
      </w:r>
      <w:r w:rsidR="00DB3627" w:rsidRPr="001733B9">
        <w:rPr>
          <w:rFonts w:cstheme="minorHAnsi"/>
          <w:bCs/>
        </w:rPr>
        <w:t>)</w:t>
      </w:r>
      <w:r w:rsidR="009E1846" w:rsidRPr="001733B9">
        <w:rPr>
          <w:rFonts w:cstheme="minorHAnsi"/>
          <w:bCs/>
        </w:rPr>
        <w:t xml:space="preserve">. </w:t>
      </w:r>
      <w:r w:rsidR="00080CF7" w:rsidRPr="001733B9">
        <w:rPr>
          <w:rFonts w:cstheme="minorHAnsi"/>
          <w:bCs/>
        </w:rPr>
        <w:t xml:space="preserve"> </w:t>
      </w:r>
      <w:r w:rsidR="004348CC" w:rsidRPr="001733B9">
        <w:rPr>
          <w:rFonts w:cstheme="minorHAnsi"/>
          <w:bCs/>
        </w:rPr>
        <w:t xml:space="preserve"> </w:t>
      </w:r>
    </w:p>
    <w:p w14:paraId="202C2D58" w14:textId="77777777" w:rsidR="009E1846" w:rsidRPr="001733B9" w:rsidRDefault="009E1846" w:rsidP="00DB3627">
      <w:pPr>
        <w:autoSpaceDE w:val="0"/>
        <w:autoSpaceDN w:val="0"/>
        <w:adjustRightInd w:val="0"/>
        <w:spacing w:after="0" w:line="240" w:lineRule="auto"/>
        <w:rPr>
          <w:rFonts w:cstheme="minorHAnsi"/>
          <w:b/>
        </w:rPr>
      </w:pPr>
    </w:p>
    <w:p w14:paraId="59D45DF0" w14:textId="2113DB44" w:rsidR="0004593A" w:rsidRPr="00892540" w:rsidRDefault="002B5016" w:rsidP="00DB3627">
      <w:pPr>
        <w:autoSpaceDE w:val="0"/>
        <w:autoSpaceDN w:val="0"/>
        <w:adjustRightInd w:val="0"/>
        <w:spacing w:after="0" w:line="240" w:lineRule="auto"/>
        <w:rPr>
          <w:rFonts w:cstheme="minorHAnsi"/>
          <w:bCs/>
        </w:rPr>
      </w:pPr>
      <w:r w:rsidRPr="001733B9">
        <w:rPr>
          <w:rFonts w:cstheme="minorHAnsi"/>
          <w:b/>
        </w:rPr>
        <w:t>1</w:t>
      </w:r>
      <w:r w:rsidR="00927027" w:rsidRPr="001733B9">
        <w:rPr>
          <w:rFonts w:cstheme="minorHAnsi"/>
          <w:b/>
        </w:rPr>
        <w:t>.</w:t>
      </w:r>
      <w:r w:rsidR="00DB3627" w:rsidRPr="00892540">
        <w:rPr>
          <w:rFonts w:cstheme="minorHAnsi"/>
          <w:b/>
        </w:rPr>
        <w:t xml:space="preserve">3. </w:t>
      </w:r>
      <w:r w:rsidR="000574AB" w:rsidRPr="00892540">
        <w:rPr>
          <w:rFonts w:cstheme="minorHAnsi"/>
          <w:b/>
        </w:rPr>
        <w:t xml:space="preserve">What </w:t>
      </w:r>
      <w:r w:rsidR="000968F8" w:rsidRPr="00892540">
        <w:rPr>
          <w:rFonts w:cstheme="minorHAnsi"/>
          <w:b/>
        </w:rPr>
        <w:t xml:space="preserve">are the </w:t>
      </w:r>
      <w:r w:rsidR="000574AB" w:rsidRPr="00892540">
        <w:rPr>
          <w:rFonts w:cstheme="minorHAnsi"/>
          <w:b/>
        </w:rPr>
        <w:t xml:space="preserve">dates of </w:t>
      </w:r>
      <w:r w:rsidR="000968F8" w:rsidRPr="00892540">
        <w:rPr>
          <w:rFonts w:cstheme="minorHAnsi"/>
          <w:b/>
        </w:rPr>
        <w:t xml:space="preserve">the </w:t>
      </w:r>
      <w:r w:rsidR="000574AB" w:rsidRPr="00892540">
        <w:rPr>
          <w:rFonts w:cstheme="minorHAnsi"/>
          <w:b/>
        </w:rPr>
        <w:t xml:space="preserve">data </w:t>
      </w:r>
      <w:r w:rsidR="000968F8" w:rsidRPr="00892540">
        <w:rPr>
          <w:rFonts w:cstheme="minorHAnsi"/>
          <w:b/>
        </w:rPr>
        <w:t>used in testing</w:t>
      </w:r>
      <w:r w:rsidR="000968F8" w:rsidRPr="00892540">
        <w:rPr>
          <w:rFonts w:cstheme="minorHAnsi"/>
        </w:rPr>
        <w:t>?</w:t>
      </w:r>
      <w:r w:rsidR="00080CF7" w:rsidRPr="00892540">
        <w:rPr>
          <w:rFonts w:cstheme="minorHAnsi"/>
        </w:rPr>
        <w:t xml:space="preserve"> </w:t>
      </w:r>
      <w:r w:rsidR="000574AB" w:rsidRPr="00892540">
        <w:rPr>
          <w:rFonts w:cstheme="minorHAnsi"/>
        </w:rPr>
        <w:t xml:space="preserve"> </w:t>
      </w:r>
    </w:p>
    <w:p w14:paraId="43249947" w14:textId="77777777" w:rsidR="000574AB" w:rsidRPr="001733B9" w:rsidRDefault="001733B9" w:rsidP="00DB3627">
      <w:pPr>
        <w:autoSpaceDE w:val="0"/>
        <w:autoSpaceDN w:val="0"/>
        <w:adjustRightInd w:val="0"/>
        <w:spacing w:after="0" w:line="240" w:lineRule="auto"/>
        <w:rPr>
          <w:rFonts w:cstheme="minorHAnsi"/>
          <w:bCs/>
        </w:rPr>
      </w:pPr>
      <w:r w:rsidRPr="001733B9">
        <w:rPr>
          <w:rFonts w:cstheme="minorHAnsi"/>
          <w:bCs/>
        </w:rPr>
        <w:t>December 2011 – June 2014</w:t>
      </w:r>
    </w:p>
    <w:p w14:paraId="6E191181" w14:textId="77777777" w:rsidR="000414E8" w:rsidRDefault="002B5016" w:rsidP="00DB3627">
      <w:pPr>
        <w:autoSpaceDE w:val="0"/>
        <w:autoSpaceDN w:val="0"/>
        <w:adjustRightInd w:val="0"/>
        <w:spacing w:after="0" w:line="240" w:lineRule="auto"/>
        <w:rPr>
          <w:rFonts w:cstheme="minorHAnsi"/>
          <w:bCs/>
        </w:rPr>
      </w:pPr>
      <w:r w:rsidRPr="00892540">
        <w:rPr>
          <w:rFonts w:cstheme="minorHAnsi"/>
          <w:b/>
          <w:bCs/>
        </w:rPr>
        <w:t>1</w:t>
      </w:r>
      <w:r w:rsidR="00927027" w:rsidRPr="00892540">
        <w:rPr>
          <w:rFonts w:cstheme="minorHAnsi"/>
          <w:b/>
          <w:bCs/>
        </w:rPr>
        <w:t>.</w:t>
      </w:r>
      <w:r w:rsidR="00DB3627" w:rsidRPr="00892540">
        <w:rPr>
          <w:rFonts w:cstheme="minorHAnsi"/>
          <w:b/>
          <w:bCs/>
        </w:rPr>
        <w:t xml:space="preserve">4. </w:t>
      </w:r>
      <w:r w:rsidR="00021170" w:rsidRPr="00892540">
        <w:rPr>
          <w:rFonts w:cstheme="minorHAnsi"/>
          <w:b/>
          <w:bCs/>
        </w:rPr>
        <w:t>What level</w:t>
      </w:r>
      <w:r w:rsidR="006327D8" w:rsidRPr="00892540">
        <w:rPr>
          <w:rFonts w:cstheme="minorHAnsi"/>
          <w:b/>
          <w:bCs/>
        </w:rPr>
        <w:t>s</w:t>
      </w:r>
      <w:r w:rsidR="00021170" w:rsidRPr="00892540">
        <w:rPr>
          <w:rFonts w:cstheme="minorHAnsi"/>
          <w:b/>
          <w:bCs/>
        </w:rPr>
        <w:t xml:space="preserve"> of analysis</w:t>
      </w:r>
      <w:r w:rsidR="00021170" w:rsidRPr="00892540">
        <w:rPr>
          <w:rFonts w:cstheme="minorHAnsi"/>
          <w:bCs/>
        </w:rPr>
        <w:t xml:space="preserve"> </w:t>
      </w:r>
      <w:r w:rsidR="00021170" w:rsidRPr="00892540">
        <w:rPr>
          <w:rFonts w:cstheme="minorHAnsi"/>
          <w:b/>
          <w:bCs/>
        </w:rPr>
        <w:t>w</w:t>
      </w:r>
      <w:r w:rsidR="006327D8" w:rsidRPr="00892540">
        <w:rPr>
          <w:rFonts w:cstheme="minorHAnsi"/>
          <w:b/>
          <w:bCs/>
        </w:rPr>
        <w:t>ere</w:t>
      </w:r>
      <w:r w:rsidR="00021170" w:rsidRPr="00892540">
        <w:rPr>
          <w:rFonts w:cstheme="minorHAnsi"/>
          <w:b/>
          <w:bCs/>
        </w:rPr>
        <w:t xml:space="preserve"> </w:t>
      </w:r>
      <w:r w:rsidR="006327D8" w:rsidRPr="00892540">
        <w:rPr>
          <w:rFonts w:cstheme="minorHAnsi"/>
          <w:b/>
          <w:bCs/>
        </w:rPr>
        <w:t>tested</w:t>
      </w:r>
      <w:r w:rsidR="00021170" w:rsidRPr="00892540">
        <w:rPr>
          <w:rFonts w:cstheme="minorHAnsi"/>
          <w:bCs/>
        </w:rPr>
        <w:t>? (</w:t>
      </w:r>
      <w:r w:rsidR="00F435AA" w:rsidRPr="00892540">
        <w:rPr>
          <w:rFonts w:cstheme="minorHAnsi"/>
          <w:bCs/>
          <w:i/>
        </w:rPr>
        <w:t xml:space="preserve">testing </w:t>
      </w:r>
      <w:r w:rsidR="009A25B1" w:rsidRPr="00892540">
        <w:rPr>
          <w:rFonts w:cstheme="minorHAnsi"/>
          <w:bCs/>
          <w:i/>
        </w:rPr>
        <w:t>must be provided for</w:t>
      </w:r>
      <w:r w:rsidR="00021170" w:rsidRPr="00892540">
        <w:rPr>
          <w:rFonts w:cstheme="minorHAnsi"/>
          <w:bCs/>
          <w:i/>
        </w:rPr>
        <w:t xml:space="preserve"> </w:t>
      </w:r>
      <w:r w:rsidR="00021170" w:rsidRPr="00892540">
        <w:rPr>
          <w:rFonts w:cstheme="minorHAnsi"/>
          <w:bCs/>
          <w:i/>
          <w:u w:val="single"/>
        </w:rPr>
        <w:t>all</w:t>
      </w:r>
      <w:r w:rsidR="00021170" w:rsidRPr="00892540">
        <w:rPr>
          <w:rFonts w:cstheme="minorHAnsi"/>
          <w:bCs/>
          <w:i/>
        </w:rPr>
        <w:t xml:space="preserve"> the levels specified and intended for </w:t>
      </w:r>
      <w:r w:rsidR="005A7634" w:rsidRPr="00892540">
        <w:rPr>
          <w:rFonts w:cstheme="minorHAnsi"/>
          <w:bCs/>
          <w:i/>
        </w:rPr>
        <w:t xml:space="preserve">measure </w:t>
      </w:r>
      <w:r w:rsidR="00021170" w:rsidRPr="00892540">
        <w:rPr>
          <w:rFonts w:cstheme="minorHAnsi"/>
          <w:bCs/>
          <w:i/>
        </w:rPr>
        <w:t>implementation</w:t>
      </w:r>
      <w:r w:rsidR="00DB3627" w:rsidRPr="00892540">
        <w:rPr>
          <w:rFonts w:cstheme="minorHAnsi"/>
          <w:bCs/>
          <w:i/>
        </w:rPr>
        <w:t>, e.g., individual clinician, hospital, health plan</w:t>
      </w:r>
      <w:r w:rsidR="0079538B" w:rsidRPr="00892540">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79657E4F" w14:textId="77777777" w:rsidTr="000414E8">
        <w:trPr>
          <w:jc w:val="center"/>
        </w:trPr>
        <w:tc>
          <w:tcPr>
            <w:tcW w:w="5027" w:type="dxa"/>
            <w:shd w:val="clear" w:color="auto" w:fill="D9D9D9" w:themeFill="background1" w:themeFillShade="D9"/>
          </w:tcPr>
          <w:p w14:paraId="52C18476"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650393C8"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55495598"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4439D3C1" w14:textId="77777777" w:rsidTr="000414E8">
        <w:trPr>
          <w:jc w:val="center"/>
        </w:trPr>
        <w:tc>
          <w:tcPr>
            <w:tcW w:w="5027" w:type="dxa"/>
          </w:tcPr>
          <w:p w14:paraId="45AB9196" w14:textId="77777777" w:rsidR="000414E8" w:rsidRPr="00A01494" w:rsidRDefault="006E60F5"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61FD0F1E" w14:textId="77777777" w:rsidR="000414E8" w:rsidRPr="00A01494" w:rsidRDefault="006E60F5"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7C2663FC" w14:textId="77777777" w:rsidTr="000414E8">
        <w:trPr>
          <w:jc w:val="center"/>
        </w:trPr>
        <w:tc>
          <w:tcPr>
            <w:tcW w:w="5027" w:type="dxa"/>
          </w:tcPr>
          <w:p w14:paraId="797D757E" w14:textId="77777777" w:rsidR="000414E8" w:rsidRPr="00A01494" w:rsidRDefault="006E60F5"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5D114F91" w14:textId="77777777" w:rsidR="000414E8" w:rsidRPr="00A01494" w:rsidRDefault="006E60F5"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31E48DF9" w14:textId="77777777" w:rsidTr="000414E8">
        <w:trPr>
          <w:jc w:val="center"/>
        </w:trPr>
        <w:tc>
          <w:tcPr>
            <w:tcW w:w="5027" w:type="dxa"/>
          </w:tcPr>
          <w:p w14:paraId="67D6B37B" w14:textId="77777777" w:rsidR="000414E8" w:rsidRPr="00A01494" w:rsidRDefault="006E60F5"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C2139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32B0561E" w14:textId="77777777" w:rsidR="000414E8" w:rsidRPr="00A01494" w:rsidRDefault="006E60F5"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C2139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7D4E2D91" w14:textId="77777777" w:rsidTr="000414E8">
        <w:trPr>
          <w:jc w:val="center"/>
        </w:trPr>
        <w:tc>
          <w:tcPr>
            <w:tcW w:w="5027" w:type="dxa"/>
          </w:tcPr>
          <w:p w14:paraId="28275177" w14:textId="77777777" w:rsidR="000414E8" w:rsidRPr="00A01494" w:rsidRDefault="006E60F5"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76D0B11" w14:textId="77777777" w:rsidR="000414E8" w:rsidRPr="00A01494" w:rsidRDefault="006E60F5"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715A3E5F" w14:textId="77777777" w:rsidTr="000414E8">
        <w:trPr>
          <w:jc w:val="center"/>
        </w:trPr>
        <w:tc>
          <w:tcPr>
            <w:tcW w:w="5027" w:type="dxa"/>
          </w:tcPr>
          <w:p w14:paraId="3B36FBD4" w14:textId="77777777" w:rsidR="000414E8" w:rsidRPr="00A01494" w:rsidRDefault="006E60F5"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4767BA13" w14:textId="77777777" w:rsidR="000414E8" w:rsidRPr="00A01494" w:rsidRDefault="006E60F5"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2E17A9B0" w14:textId="77777777" w:rsidR="000414E8" w:rsidRPr="00A25024" w:rsidRDefault="000414E8" w:rsidP="00DB3627">
      <w:pPr>
        <w:autoSpaceDE w:val="0"/>
        <w:autoSpaceDN w:val="0"/>
        <w:adjustRightInd w:val="0"/>
        <w:spacing w:after="0" w:line="240" w:lineRule="auto"/>
        <w:rPr>
          <w:rFonts w:cstheme="minorHAnsi"/>
          <w:bCs/>
        </w:rPr>
      </w:pPr>
    </w:p>
    <w:p w14:paraId="5CD5A36C"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A25024">
        <w:rPr>
          <w:rFonts w:cstheme="minorHAnsi"/>
          <w:bCs/>
          <w:i/>
        </w:rPr>
        <w:lastRenderedPageBreak/>
        <w:t>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AEB41F3" w14:textId="60DE2239" w:rsidR="00794AAC" w:rsidRPr="001733B9" w:rsidRDefault="001733B9" w:rsidP="00DB3627">
      <w:pPr>
        <w:autoSpaceDE w:val="0"/>
        <w:autoSpaceDN w:val="0"/>
        <w:adjustRightInd w:val="0"/>
        <w:spacing w:after="0" w:line="240" w:lineRule="auto"/>
        <w:rPr>
          <w:rFonts w:cstheme="minorHAnsi"/>
          <w:bCs/>
        </w:rPr>
      </w:pPr>
      <w:r w:rsidRPr="001733B9">
        <w:rPr>
          <w:rFonts w:cstheme="minorHAnsi"/>
          <w:bCs/>
        </w:rPr>
        <w:t>Five U.S. hospitals were selected, based on their willingness to participate in the MARQUIS study and ability to collect data and implement interventions to improve the medication reconciliation process.</w:t>
      </w:r>
      <w:r>
        <w:rPr>
          <w:rFonts w:cstheme="minorHAnsi"/>
          <w:bCs/>
        </w:rPr>
        <w:t xml:space="preserve"> These included two academic medical centers, two community hospitals (one teaching, one non-teaching), and one Veterans Affairs medical center.  These hospitals </w:t>
      </w:r>
      <w:r w:rsidR="00AA49CF">
        <w:rPr>
          <w:rFonts w:cstheme="minorHAnsi"/>
          <w:bCs/>
        </w:rPr>
        <w:t>were</w:t>
      </w:r>
      <w:r>
        <w:rPr>
          <w:rFonts w:cstheme="minorHAnsi"/>
          <w:bCs/>
        </w:rPr>
        <w:t xml:space="preserve"> geographically diverse (West coast, Northeast, Southeast, and Midwest) and varied in size from 45 to 653 beds. Two utilized an electronic health record prior to data collection, two implemented an EHR during the data collection period, and one continued to use a paper medical </w:t>
      </w:r>
      <w:r w:rsidR="00AA49CF">
        <w:rPr>
          <w:rFonts w:cstheme="minorHAnsi"/>
          <w:bCs/>
        </w:rPr>
        <w:t xml:space="preserve">record supplemented by medication reconciliation software.  </w:t>
      </w:r>
    </w:p>
    <w:p w14:paraId="7E4DC756" w14:textId="77777777" w:rsidR="002B5016" w:rsidRPr="00A25024" w:rsidRDefault="002B5016" w:rsidP="00DB3627">
      <w:pPr>
        <w:autoSpaceDE w:val="0"/>
        <w:autoSpaceDN w:val="0"/>
        <w:adjustRightInd w:val="0"/>
        <w:spacing w:after="0" w:line="240" w:lineRule="auto"/>
        <w:rPr>
          <w:rFonts w:cstheme="minorHAnsi"/>
          <w:bCs/>
        </w:rPr>
      </w:pPr>
    </w:p>
    <w:p w14:paraId="08E53A10" w14:textId="79BA2302" w:rsidR="002A4316"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94AAC">
        <w:rPr>
          <w:rFonts w:cstheme="minorHAnsi"/>
          <w:bCs/>
        </w:rPr>
        <w:t xml:space="preserve"> </w:t>
      </w:r>
    </w:p>
    <w:p w14:paraId="5CF12930" w14:textId="77777777" w:rsidR="00794AAC" w:rsidRPr="00AA49CF" w:rsidRDefault="00794AAC" w:rsidP="00794AAC">
      <w:pPr>
        <w:autoSpaceDE w:val="0"/>
        <w:autoSpaceDN w:val="0"/>
        <w:adjustRightInd w:val="0"/>
        <w:spacing w:after="0" w:line="240" w:lineRule="auto"/>
        <w:rPr>
          <w:rFonts w:cstheme="minorHAnsi"/>
          <w:bCs/>
        </w:rPr>
      </w:pPr>
      <w:r w:rsidRPr="00AA49CF">
        <w:rPr>
          <w:rFonts w:cstheme="minorHAnsi"/>
          <w:bCs/>
        </w:rPr>
        <w:t xml:space="preserve">For testing </w:t>
      </w:r>
      <w:r w:rsidR="00AA49CF">
        <w:rPr>
          <w:rFonts w:cstheme="minorHAnsi"/>
          <w:bCs/>
        </w:rPr>
        <w:t xml:space="preserve">the </w:t>
      </w:r>
      <w:r w:rsidRPr="00AA49CF">
        <w:rPr>
          <w:rFonts w:cstheme="minorHAnsi"/>
          <w:bCs/>
        </w:rPr>
        <w:t>reliability of gold-standard medication histories, we included 19 randomly selected medical inpatients at one large, urban, academic medical center.</w:t>
      </w:r>
    </w:p>
    <w:p w14:paraId="2AC60B2D" w14:textId="77777777" w:rsidR="00794AAC" w:rsidRPr="00AA49CF" w:rsidRDefault="00794AAC" w:rsidP="00794AAC">
      <w:pPr>
        <w:autoSpaceDE w:val="0"/>
        <w:autoSpaceDN w:val="0"/>
        <w:adjustRightInd w:val="0"/>
        <w:spacing w:after="0" w:line="240" w:lineRule="auto"/>
        <w:rPr>
          <w:rFonts w:cstheme="minorHAnsi"/>
          <w:bCs/>
        </w:rPr>
      </w:pPr>
    </w:p>
    <w:p w14:paraId="0AA7970A" w14:textId="77777777" w:rsidR="007422FD" w:rsidRPr="00AA49CF" w:rsidRDefault="00794AAC" w:rsidP="00794AAC">
      <w:pPr>
        <w:autoSpaceDE w:val="0"/>
        <w:autoSpaceDN w:val="0"/>
        <w:adjustRightInd w:val="0"/>
        <w:spacing w:after="0" w:line="240" w:lineRule="auto"/>
        <w:rPr>
          <w:rFonts w:cstheme="minorHAnsi"/>
          <w:bCs/>
          <w:color w:val="7030A0"/>
        </w:rPr>
      </w:pPr>
      <w:r w:rsidRPr="00AA49CF">
        <w:rPr>
          <w:rFonts w:cstheme="minorHAnsi"/>
          <w:bCs/>
        </w:rPr>
        <w:t>For testing</w:t>
      </w:r>
      <w:r w:rsidR="00AA49CF">
        <w:rPr>
          <w:rFonts w:cstheme="minorHAnsi"/>
          <w:bCs/>
        </w:rPr>
        <w:t xml:space="preserve"> the</w:t>
      </w:r>
      <w:r w:rsidRPr="00AA49CF">
        <w:rPr>
          <w:rFonts w:cstheme="minorHAnsi"/>
          <w:bCs/>
        </w:rPr>
        <w:t xml:space="preserve"> reliability of the discrepancy scoring system, we included 4 patients, one each from 4 of the MARQUIS study sites, chosen by study pharmacists because of the challenging nature of the cases.</w:t>
      </w:r>
      <w:r w:rsidR="00084314" w:rsidRPr="00AA49CF">
        <w:rPr>
          <w:rFonts w:cstheme="minorHAnsi"/>
          <w:bCs/>
        </w:rPr>
        <w:t xml:space="preserve"> </w:t>
      </w:r>
      <w:r w:rsidR="007422FD" w:rsidRPr="00AA49CF">
        <w:rPr>
          <w:rFonts w:cstheme="minorHAnsi"/>
          <w:bCs/>
        </w:rPr>
        <w:br/>
      </w:r>
    </w:p>
    <w:p w14:paraId="5A5A1E5E" w14:textId="77777777" w:rsidR="0021054A" w:rsidRPr="00084314" w:rsidRDefault="002B5016" w:rsidP="00E37E1B">
      <w:pPr>
        <w:autoSpaceDE w:val="0"/>
        <w:autoSpaceDN w:val="0"/>
        <w:adjustRightInd w:val="0"/>
        <w:spacing w:after="0" w:line="240" w:lineRule="auto"/>
        <w:rPr>
          <w:rFonts w:cstheme="minorHAnsi"/>
          <w:bCs/>
        </w:rPr>
      </w:pPr>
      <w:r w:rsidRPr="00084314">
        <w:rPr>
          <w:rFonts w:cstheme="minorHAnsi"/>
          <w:b/>
          <w:bCs/>
        </w:rPr>
        <w:t>1.</w:t>
      </w:r>
      <w:r w:rsidR="00E310B9" w:rsidRPr="00084314">
        <w:rPr>
          <w:rFonts w:cstheme="minorHAnsi"/>
          <w:b/>
          <w:bCs/>
        </w:rPr>
        <w:t xml:space="preserve">7. </w:t>
      </w:r>
      <w:r w:rsidR="000574AB" w:rsidRPr="00084314">
        <w:rPr>
          <w:rFonts w:cstheme="minorHAnsi"/>
          <w:b/>
          <w:bCs/>
        </w:rPr>
        <w:t>If there are differences in the data</w:t>
      </w:r>
      <w:r w:rsidR="009726E1" w:rsidRPr="00084314">
        <w:rPr>
          <w:rFonts w:cstheme="minorHAnsi"/>
          <w:b/>
          <w:bCs/>
        </w:rPr>
        <w:t xml:space="preserve"> or sample</w:t>
      </w:r>
      <w:r w:rsidR="000574AB" w:rsidRPr="00084314">
        <w:rPr>
          <w:rFonts w:cstheme="minorHAnsi"/>
          <w:b/>
          <w:bCs/>
        </w:rPr>
        <w:t xml:space="preserve"> used for different </w:t>
      </w:r>
      <w:r w:rsidR="000968F8" w:rsidRPr="00084314">
        <w:rPr>
          <w:rFonts w:cstheme="minorHAnsi"/>
          <w:b/>
          <w:bCs/>
        </w:rPr>
        <w:t>aspects</w:t>
      </w:r>
      <w:r w:rsidR="000574AB" w:rsidRPr="00084314">
        <w:rPr>
          <w:rFonts w:cstheme="minorHAnsi"/>
          <w:b/>
          <w:bCs/>
        </w:rPr>
        <w:t xml:space="preserve"> of testing (e.g., reliability, validi</w:t>
      </w:r>
      <w:r w:rsidR="007422FD" w:rsidRPr="00084314">
        <w:rPr>
          <w:rFonts w:cstheme="minorHAnsi"/>
          <w:b/>
          <w:bCs/>
        </w:rPr>
        <w:t>ty, exclusions, risk adjustment</w:t>
      </w:r>
      <w:r w:rsidR="000574AB" w:rsidRPr="00084314">
        <w:rPr>
          <w:rFonts w:cstheme="minorHAnsi"/>
          <w:b/>
          <w:bCs/>
        </w:rPr>
        <w:t xml:space="preserve">), identify </w:t>
      </w:r>
      <w:r w:rsidR="005A7634" w:rsidRPr="00084314">
        <w:rPr>
          <w:rFonts w:cstheme="minorHAnsi"/>
          <w:b/>
          <w:bCs/>
        </w:rPr>
        <w:t xml:space="preserve">how the data or sample are different for </w:t>
      </w:r>
      <w:r w:rsidR="000574AB" w:rsidRPr="00084314">
        <w:rPr>
          <w:rFonts w:cstheme="minorHAnsi"/>
          <w:b/>
          <w:bCs/>
        </w:rPr>
        <w:t xml:space="preserve">each </w:t>
      </w:r>
      <w:r w:rsidR="000968F8" w:rsidRPr="00084314">
        <w:rPr>
          <w:rFonts w:cstheme="minorHAnsi"/>
          <w:b/>
          <w:bCs/>
        </w:rPr>
        <w:t>aspect</w:t>
      </w:r>
      <w:r w:rsidR="000574AB" w:rsidRPr="00084314">
        <w:rPr>
          <w:rFonts w:cstheme="minorHAnsi"/>
          <w:b/>
          <w:bCs/>
        </w:rPr>
        <w:t xml:space="preserve"> of testing reported </w:t>
      </w:r>
      <w:r w:rsidR="00857EE8" w:rsidRPr="00084314">
        <w:rPr>
          <w:rFonts w:cstheme="minorHAnsi"/>
          <w:b/>
          <w:bCs/>
        </w:rPr>
        <w:t>below</w:t>
      </w:r>
      <w:r w:rsidR="00E37E1B" w:rsidRPr="00084314">
        <w:rPr>
          <w:rFonts w:cstheme="minorHAnsi"/>
          <w:bCs/>
        </w:rPr>
        <w:t>.</w:t>
      </w:r>
    </w:p>
    <w:p w14:paraId="4E4BDDC8" w14:textId="77777777" w:rsidR="00E37E1B" w:rsidRDefault="00E37E1B" w:rsidP="00E37E1B">
      <w:pPr>
        <w:autoSpaceDE w:val="0"/>
        <w:autoSpaceDN w:val="0"/>
        <w:adjustRightInd w:val="0"/>
        <w:spacing w:after="0" w:line="240" w:lineRule="auto"/>
        <w:rPr>
          <w:rFonts w:cstheme="minorHAnsi"/>
          <w:bCs/>
        </w:rPr>
      </w:pPr>
    </w:p>
    <w:p w14:paraId="4F880F22" w14:textId="77777777" w:rsidR="0021054A" w:rsidRDefault="0021054A" w:rsidP="00E37E1B">
      <w:pPr>
        <w:autoSpaceDE w:val="0"/>
        <w:autoSpaceDN w:val="0"/>
        <w:adjustRightInd w:val="0"/>
        <w:spacing w:after="0" w:line="240" w:lineRule="auto"/>
        <w:rPr>
          <w:rFonts w:cstheme="minorHAnsi"/>
          <w:bCs/>
        </w:rPr>
      </w:pPr>
      <w:r w:rsidRPr="00084314">
        <w:rPr>
          <w:rFonts w:cstheme="minorHAnsi"/>
          <w:b/>
          <w:bCs/>
        </w:rPr>
        <w:t>1.8</w:t>
      </w:r>
      <w:r w:rsidRPr="00084314">
        <w:rPr>
          <w:rFonts w:cstheme="minorHAnsi"/>
          <w:bCs/>
        </w:rPr>
        <w:t xml:space="preserve"> </w:t>
      </w:r>
      <w:r w:rsidRPr="00084314">
        <w:rPr>
          <w:rFonts w:cstheme="minorHAnsi"/>
          <w:b/>
          <w:bCs/>
        </w:rPr>
        <w:t xml:space="preserve">What were the </w:t>
      </w:r>
      <w:r w:rsidR="009C7513" w:rsidRPr="00084314">
        <w:rPr>
          <w:rFonts w:cstheme="minorHAnsi"/>
          <w:b/>
          <w:bCs/>
        </w:rPr>
        <w:t>social risk factors</w:t>
      </w:r>
      <w:r w:rsidRPr="00084314">
        <w:rPr>
          <w:rFonts w:cstheme="minorHAnsi"/>
          <w:b/>
          <w:bCs/>
        </w:rPr>
        <w:t xml:space="preserve"> that were available and analyzed</w:t>
      </w:r>
      <w:r w:rsidRPr="00084314">
        <w:rPr>
          <w:rFonts w:cstheme="minorHAnsi"/>
          <w:bCs/>
        </w:rPr>
        <w:t>?</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31B95E26" w14:textId="77777777" w:rsidR="00084314" w:rsidRDefault="00084314" w:rsidP="00E37E1B">
      <w:pPr>
        <w:autoSpaceDE w:val="0"/>
        <w:autoSpaceDN w:val="0"/>
        <w:adjustRightInd w:val="0"/>
        <w:spacing w:after="0" w:line="240" w:lineRule="auto"/>
        <w:rPr>
          <w:rFonts w:cstheme="minorHAnsi"/>
          <w:bCs/>
        </w:rPr>
      </w:pPr>
    </w:p>
    <w:p w14:paraId="2F5DA6A1" w14:textId="77777777" w:rsidR="00084314" w:rsidRPr="00AA49CF" w:rsidRDefault="00084314" w:rsidP="00E37E1B">
      <w:pPr>
        <w:autoSpaceDE w:val="0"/>
        <w:autoSpaceDN w:val="0"/>
        <w:adjustRightInd w:val="0"/>
        <w:spacing w:after="0" w:line="240" w:lineRule="auto"/>
        <w:rPr>
          <w:rFonts w:cstheme="minorHAnsi"/>
          <w:bCs/>
        </w:rPr>
      </w:pPr>
      <w:r w:rsidRPr="00AA49CF">
        <w:rPr>
          <w:rFonts w:cstheme="minorHAnsi"/>
          <w:bCs/>
        </w:rPr>
        <w:t>Not applicable. There were no social risk factors analyzed.</w:t>
      </w:r>
    </w:p>
    <w:p w14:paraId="36CE4BA0"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23380A80"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37F78E04"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2F100E2A" w14:textId="77777777" w:rsidR="008C54A9" w:rsidRPr="00A25024" w:rsidRDefault="008C54A9" w:rsidP="00DB3627">
      <w:pPr>
        <w:autoSpaceDE w:val="0"/>
        <w:autoSpaceDN w:val="0"/>
        <w:adjustRightInd w:val="0"/>
        <w:spacing w:after="0" w:line="240" w:lineRule="auto"/>
        <w:rPr>
          <w:rFonts w:cstheme="minorHAnsi"/>
          <w:b/>
          <w:bCs/>
        </w:rPr>
      </w:pPr>
    </w:p>
    <w:p w14:paraId="15FC2B84" w14:textId="77777777" w:rsidR="001969C5" w:rsidRPr="00A25024" w:rsidRDefault="00092566" w:rsidP="008C54A9">
      <w:pPr>
        <w:autoSpaceDE w:val="0"/>
        <w:autoSpaceDN w:val="0"/>
        <w:adjustRightInd w:val="0"/>
        <w:spacing w:after="0" w:line="240" w:lineRule="auto"/>
        <w:rPr>
          <w:rFonts w:cstheme="minorHAnsi"/>
          <w:bCs/>
        </w:rPr>
      </w:pPr>
      <w:r w:rsidRPr="00826E92">
        <w:rPr>
          <w:rFonts w:cstheme="minorHAnsi"/>
          <w:b/>
          <w:bCs/>
        </w:rPr>
        <w:t>2a2.1</w:t>
      </w:r>
      <w:r w:rsidR="008C54A9" w:rsidRPr="00826E92">
        <w:rPr>
          <w:rFonts w:cstheme="minorHAnsi"/>
          <w:b/>
          <w:bCs/>
        </w:rPr>
        <w:t xml:space="preserve">. </w:t>
      </w:r>
      <w:r w:rsidR="000968F8" w:rsidRPr="00826E92">
        <w:rPr>
          <w:rFonts w:cstheme="minorHAnsi"/>
          <w:b/>
          <w:bCs/>
        </w:rPr>
        <w:t>What level of reliability testing was conducted</w:t>
      </w:r>
      <w:r w:rsidR="000574AB" w:rsidRPr="00826E92">
        <w:rPr>
          <w:rFonts w:cstheme="minorHAnsi"/>
          <w:bCs/>
        </w:rPr>
        <w:t>?</w:t>
      </w:r>
      <w:r w:rsidR="00D50704" w:rsidRPr="00826E92">
        <w:rPr>
          <w:rFonts w:cstheme="minorHAnsi"/>
          <w:bCs/>
        </w:rPr>
        <w:t xml:space="preserve"> (</w:t>
      </w:r>
      <w:r w:rsidR="00E310B9" w:rsidRPr="00826E92">
        <w:rPr>
          <w:rFonts w:cstheme="minorHAnsi"/>
          <w:bCs/>
          <w:i/>
        </w:rPr>
        <w:t xml:space="preserve">may </w:t>
      </w:r>
      <w:r w:rsidR="00D50704" w:rsidRPr="00826E92">
        <w:rPr>
          <w:rFonts w:cstheme="minorHAnsi"/>
          <w:bCs/>
          <w:i/>
        </w:rPr>
        <w:t>be one or both levels</w:t>
      </w:r>
      <w:r w:rsidR="00D50704" w:rsidRPr="00826E92">
        <w:rPr>
          <w:rFonts w:cstheme="minorHAnsi"/>
          <w:bCs/>
        </w:rPr>
        <w:t>)</w:t>
      </w:r>
      <w:r w:rsidR="00B8015A" w:rsidRPr="00826E92">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C25FA9" w:rsidRPr="00826E92">
            <w:rPr>
              <w:rFonts w:ascii="MS Gothic" w:eastAsia="MS Gothic" w:hAnsi="MS Gothic" w:cstheme="minorHAnsi" w:hint="eastAsia"/>
              <w:bCs/>
              <w:color w:val="0000FF"/>
            </w:rPr>
            <w:t>☒</w:t>
          </w:r>
        </w:sdtContent>
      </w:sdt>
      <w:r w:rsidR="00A25024" w:rsidRPr="00826E92">
        <w:rPr>
          <w:rFonts w:eastAsia="MS Mincho" w:cstheme="minorHAnsi"/>
          <w:b/>
          <w:bCs/>
          <w:color w:val="0000FF"/>
        </w:rPr>
        <w:t xml:space="preserve"> </w:t>
      </w:r>
      <w:r w:rsidR="001F7A20" w:rsidRPr="00826E92">
        <w:rPr>
          <w:rFonts w:cstheme="minorHAnsi"/>
          <w:b/>
          <w:bCs/>
        </w:rPr>
        <w:t>Critical data elements used in the measure</w:t>
      </w:r>
      <w:r w:rsidR="001F7A20" w:rsidRPr="00826E92">
        <w:rPr>
          <w:rFonts w:cstheme="minorHAnsi"/>
          <w:bCs/>
        </w:rPr>
        <w:t xml:space="preserve"> (</w:t>
      </w:r>
      <w:r w:rsidR="001F7A20" w:rsidRPr="00826E92">
        <w:rPr>
          <w:rFonts w:cstheme="minorHAnsi"/>
          <w:bCs/>
          <w:i/>
        </w:rPr>
        <w:t>e.g., inter-abstractor reliability; data element reliability must address ALL critical data elements</w:t>
      </w:r>
      <w:r w:rsidR="001F7A20" w:rsidRPr="00826E92">
        <w:rPr>
          <w:rFonts w:cstheme="minorHAnsi"/>
          <w:bCs/>
        </w:rPr>
        <w:t>)</w:t>
      </w:r>
      <w:r w:rsidR="001F7A20" w:rsidRPr="00826E92">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B574AF" w:rsidRPr="00826E92">
            <w:rPr>
              <w:rFonts w:ascii="MS Gothic" w:eastAsia="MS Gothic" w:hAnsi="MS Gothic" w:cstheme="minorHAnsi" w:hint="eastAsia"/>
              <w:bCs/>
              <w:color w:val="0000FF"/>
            </w:rPr>
            <w:t>☐</w:t>
          </w:r>
        </w:sdtContent>
      </w:sdt>
      <w:r w:rsidR="001F7A20" w:rsidRPr="00826E92">
        <w:rPr>
          <w:rFonts w:eastAsia="MS Mincho" w:cstheme="minorHAnsi"/>
          <w:b/>
          <w:bCs/>
          <w:color w:val="0000FF"/>
        </w:rPr>
        <w:t xml:space="preserve"> </w:t>
      </w:r>
      <w:r w:rsidR="001F7A20" w:rsidRPr="00826E92">
        <w:rPr>
          <w:rFonts w:cstheme="minorHAnsi"/>
          <w:b/>
          <w:bCs/>
        </w:rPr>
        <w:t>Performance measure score</w:t>
      </w:r>
      <w:r w:rsidR="001F7A20" w:rsidRPr="00826E92">
        <w:rPr>
          <w:rFonts w:cstheme="minorHAnsi"/>
          <w:bCs/>
        </w:rPr>
        <w:t xml:space="preserve"> (e.g., </w:t>
      </w:r>
      <w:r w:rsidR="001F7A20" w:rsidRPr="00826E92">
        <w:rPr>
          <w:rFonts w:cstheme="minorHAnsi"/>
          <w:bCs/>
          <w:i/>
        </w:rPr>
        <w:t>signal-to</w:t>
      </w:r>
      <w:r w:rsidR="001F7A20" w:rsidRPr="00A25024">
        <w:rPr>
          <w:rFonts w:cstheme="minorHAnsi"/>
          <w:bCs/>
          <w:i/>
        </w:rPr>
        <w:t>-noise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61E1AA8" w14:textId="77777777" w:rsidR="00B574AF" w:rsidRPr="00AA49CF" w:rsidRDefault="00B574AF" w:rsidP="00B574AF">
      <w:pPr>
        <w:autoSpaceDE w:val="0"/>
        <w:autoSpaceDN w:val="0"/>
        <w:adjustRightInd w:val="0"/>
        <w:spacing w:after="0" w:line="240" w:lineRule="auto"/>
        <w:rPr>
          <w:rFonts w:cstheme="minorHAnsi"/>
        </w:rPr>
      </w:pPr>
      <w:r w:rsidRPr="00AA49CF">
        <w:rPr>
          <w:rFonts w:cstheme="minorHAnsi"/>
        </w:rPr>
        <w:t>To evaluate inter-rater reliability of the gold-standard medication histories, 19 randomly selected</w:t>
      </w:r>
    </w:p>
    <w:p w14:paraId="4BF15F3F" w14:textId="77777777" w:rsidR="00B574AF" w:rsidRPr="00AA49CF" w:rsidRDefault="00B574AF" w:rsidP="00B574AF">
      <w:pPr>
        <w:autoSpaceDE w:val="0"/>
        <w:autoSpaceDN w:val="0"/>
        <w:adjustRightInd w:val="0"/>
        <w:spacing w:after="0" w:line="240" w:lineRule="auto"/>
        <w:rPr>
          <w:rFonts w:cstheme="minorHAnsi"/>
        </w:rPr>
      </w:pPr>
      <w:r w:rsidRPr="00AA49CF">
        <w:rPr>
          <w:rFonts w:cstheme="minorHAnsi"/>
        </w:rPr>
        <w:lastRenderedPageBreak/>
        <w:t>medication histories were collected independently by two study pharmacists. Among all the medications recorded for each patient, there was complete agreement in medication, dose, route, and frequency for 147 of 192 medications (77%).</w:t>
      </w:r>
    </w:p>
    <w:p w14:paraId="05DFC0EB" w14:textId="77777777" w:rsidR="00B574AF" w:rsidRPr="00084314" w:rsidRDefault="00B574AF" w:rsidP="00B574AF">
      <w:pPr>
        <w:autoSpaceDE w:val="0"/>
        <w:autoSpaceDN w:val="0"/>
        <w:adjustRightInd w:val="0"/>
        <w:spacing w:after="0" w:line="240" w:lineRule="auto"/>
        <w:rPr>
          <w:rFonts w:cstheme="minorHAnsi"/>
          <w:color w:val="7030A0"/>
        </w:rPr>
      </w:pPr>
    </w:p>
    <w:p w14:paraId="73F8A05B" w14:textId="77777777" w:rsidR="00B574AF" w:rsidRPr="00AA49CF" w:rsidRDefault="00B574AF" w:rsidP="00B574AF">
      <w:pPr>
        <w:autoSpaceDE w:val="0"/>
        <w:autoSpaceDN w:val="0"/>
        <w:adjustRightInd w:val="0"/>
        <w:spacing w:after="0" w:line="240" w:lineRule="auto"/>
        <w:rPr>
          <w:rFonts w:cs="Calibri"/>
        </w:rPr>
      </w:pPr>
      <w:r w:rsidRPr="00AA49CF">
        <w:rPr>
          <w:rFonts w:cs="Calibri"/>
        </w:rPr>
        <w:t>To evaluate inter-rater reliability of the discrepancy scoring system, we analyzed the last 4 quarterly cases, consisting of a total of 44 medications and 128 ratings each for admission and discharge discrepancies (i.e., 256 data points).  We found the following:</w:t>
      </w:r>
    </w:p>
    <w:p w14:paraId="242CAA9D" w14:textId="77777777" w:rsidR="00B574AF" w:rsidRPr="00AA49CF" w:rsidRDefault="00B574AF" w:rsidP="00B574AF">
      <w:pPr>
        <w:pStyle w:val="ListParagraph"/>
        <w:numPr>
          <w:ilvl w:val="0"/>
          <w:numId w:val="30"/>
        </w:numPr>
        <w:autoSpaceDE w:val="0"/>
        <w:autoSpaceDN w:val="0"/>
        <w:adjustRightInd w:val="0"/>
        <w:spacing w:after="0" w:line="240" w:lineRule="auto"/>
        <w:rPr>
          <w:rFonts w:cs="Calibri"/>
        </w:rPr>
      </w:pPr>
      <w:r w:rsidRPr="00AA49CF">
        <w:rPr>
          <w:rFonts w:cs="Calibri"/>
        </w:rPr>
        <w:t>For the presence of admission discrepancies, we found agreement for 116/128 ratings (91% agreement)</w:t>
      </w:r>
    </w:p>
    <w:p w14:paraId="6099FDB5" w14:textId="77777777" w:rsidR="00B574AF" w:rsidRPr="00AA49CF" w:rsidRDefault="00B574AF" w:rsidP="00B574AF">
      <w:pPr>
        <w:pStyle w:val="ListParagraph"/>
        <w:numPr>
          <w:ilvl w:val="0"/>
          <w:numId w:val="30"/>
        </w:numPr>
        <w:autoSpaceDE w:val="0"/>
        <w:autoSpaceDN w:val="0"/>
        <w:adjustRightInd w:val="0"/>
        <w:spacing w:after="0" w:line="240" w:lineRule="auto"/>
        <w:rPr>
          <w:rFonts w:cs="Calibri"/>
        </w:rPr>
      </w:pPr>
      <w:r w:rsidRPr="00AA49CF">
        <w:rPr>
          <w:rFonts w:cs="Calibri"/>
        </w:rPr>
        <w:t>For the presence of discharge discrepancies, we found agreement for 116/128 ratings (91% agreement)</w:t>
      </w:r>
    </w:p>
    <w:p w14:paraId="0EA6FD32" w14:textId="77777777" w:rsidR="00B574AF" w:rsidRPr="00AA49CF" w:rsidRDefault="00B574AF" w:rsidP="00B574AF">
      <w:pPr>
        <w:pStyle w:val="ListParagraph"/>
        <w:numPr>
          <w:ilvl w:val="0"/>
          <w:numId w:val="30"/>
        </w:numPr>
        <w:autoSpaceDE w:val="0"/>
        <w:autoSpaceDN w:val="0"/>
        <w:adjustRightInd w:val="0"/>
        <w:spacing w:after="0" w:line="240" w:lineRule="auto"/>
        <w:rPr>
          <w:rFonts w:cs="Calibri"/>
        </w:rPr>
      </w:pPr>
      <w:r w:rsidRPr="00AA49CF">
        <w:rPr>
          <w:rFonts w:cs="Calibri"/>
        </w:rPr>
        <w:t>When an admission discrepancy was present (according to the gold standard), we found complete agreement for discrepancy type (i.e., omission, dose, frequency, route, formulation, additional, other) in 55/64 cases (86%), partial agreement (e.g., “dose and frequency” vs. “dose”) in 4/64 cases (6%), and disagreement in 5/64 cases (8%)</w:t>
      </w:r>
    </w:p>
    <w:p w14:paraId="374C24FB" w14:textId="77777777" w:rsidR="00B574AF" w:rsidRPr="00AA49CF" w:rsidRDefault="00B574AF" w:rsidP="00B574AF">
      <w:pPr>
        <w:pStyle w:val="ListParagraph"/>
        <w:numPr>
          <w:ilvl w:val="0"/>
          <w:numId w:val="30"/>
        </w:numPr>
        <w:autoSpaceDE w:val="0"/>
        <w:autoSpaceDN w:val="0"/>
        <w:adjustRightInd w:val="0"/>
        <w:spacing w:after="0" w:line="240" w:lineRule="auto"/>
        <w:rPr>
          <w:rFonts w:cs="Calibri"/>
        </w:rPr>
      </w:pPr>
      <w:r w:rsidRPr="00AA49CF">
        <w:rPr>
          <w:rFonts w:cs="Calibri"/>
        </w:rPr>
        <w:t>When an admission discrepancy was present, we found complete agreement for discrepancy reason (i.e., history error vs. reconciliation error) in 47/64 cases (73%).</w:t>
      </w:r>
    </w:p>
    <w:p w14:paraId="7F338566" w14:textId="77777777" w:rsidR="00B574AF" w:rsidRPr="00AA49CF" w:rsidRDefault="00B574AF" w:rsidP="00B574AF">
      <w:pPr>
        <w:pStyle w:val="ListParagraph"/>
        <w:numPr>
          <w:ilvl w:val="0"/>
          <w:numId w:val="30"/>
        </w:numPr>
        <w:autoSpaceDE w:val="0"/>
        <w:autoSpaceDN w:val="0"/>
        <w:adjustRightInd w:val="0"/>
        <w:spacing w:after="0" w:line="240" w:lineRule="auto"/>
        <w:rPr>
          <w:rFonts w:cs="Calibri"/>
        </w:rPr>
      </w:pPr>
      <w:r w:rsidRPr="00AA49CF">
        <w:rPr>
          <w:rFonts w:cs="Calibri"/>
        </w:rPr>
        <w:t>When a discharge discrepancy was present, we found complete agreement for discrepancy type in 46/56 cases (82%), partial agreement in 4/56 cases (7%) and disagreement in 6/56 cases (11%).</w:t>
      </w:r>
    </w:p>
    <w:p w14:paraId="7691A08C" w14:textId="77777777" w:rsidR="00B574AF" w:rsidRPr="00AA49CF" w:rsidRDefault="00B574AF" w:rsidP="00B574AF">
      <w:pPr>
        <w:pStyle w:val="ListParagraph"/>
        <w:numPr>
          <w:ilvl w:val="0"/>
          <w:numId w:val="30"/>
        </w:numPr>
        <w:autoSpaceDE w:val="0"/>
        <w:autoSpaceDN w:val="0"/>
        <w:adjustRightInd w:val="0"/>
        <w:spacing w:after="0" w:line="240" w:lineRule="auto"/>
        <w:rPr>
          <w:rFonts w:cs="Calibri"/>
        </w:rPr>
      </w:pPr>
      <w:r w:rsidRPr="00AA49CF">
        <w:rPr>
          <w:rFonts w:cs="Calibri"/>
        </w:rPr>
        <w:t>When a discharge discrepancy was present, we found complete agreement for discrepancy reason in 45/56 cases (80%).</w:t>
      </w:r>
    </w:p>
    <w:p w14:paraId="4BC91CDC" w14:textId="77777777" w:rsidR="00B574AF" w:rsidRPr="00AA49CF" w:rsidRDefault="00B574AF" w:rsidP="00B574AF">
      <w:pPr>
        <w:autoSpaceDE w:val="0"/>
        <w:autoSpaceDN w:val="0"/>
        <w:adjustRightInd w:val="0"/>
        <w:spacing w:after="0" w:line="240" w:lineRule="auto"/>
        <w:rPr>
          <w:rFonts w:cstheme="minorHAnsi"/>
          <w:bCs/>
        </w:rPr>
      </w:pPr>
    </w:p>
    <w:p w14:paraId="7D650374" w14:textId="77777777" w:rsidR="00B574AF" w:rsidRPr="00AA49CF" w:rsidRDefault="00B574AF" w:rsidP="00B574AF">
      <w:pPr>
        <w:autoSpaceDE w:val="0"/>
        <w:autoSpaceDN w:val="0"/>
        <w:adjustRightInd w:val="0"/>
        <w:spacing w:after="0" w:line="240" w:lineRule="auto"/>
        <w:rPr>
          <w:rFonts w:cstheme="minorHAnsi"/>
          <w:bCs/>
        </w:rPr>
      </w:pPr>
      <w:r w:rsidRPr="00AA49CF">
        <w:rPr>
          <w:rFonts w:cstheme="minorHAnsi"/>
          <w:bCs/>
        </w:rPr>
        <w:t>The kappa for the presence of admission discrepancies was 0.64 (substantial agreement) and the kappa for the presence of discharge discrepancies was also 0.64 (substantial agreement) across all raters.</w:t>
      </w:r>
    </w:p>
    <w:p w14:paraId="274269AF" w14:textId="77777777" w:rsidR="008C54A9" w:rsidRPr="00A25024" w:rsidRDefault="008C54A9" w:rsidP="008C54A9">
      <w:pPr>
        <w:autoSpaceDE w:val="0"/>
        <w:autoSpaceDN w:val="0"/>
        <w:adjustRightInd w:val="0"/>
        <w:spacing w:after="0" w:line="240" w:lineRule="auto"/>
        <w:rPr>
          <w:rFonts w:cstheme="minorHAnsi"/>
          <w:bCs/>
        </w:rPr>
      </w:pPr>
    </w:p>
    <w:p w14:paraId="39DD31D2" w14:textId="77777777" w:rsidR="007422FD" w:rsidRPr="00AA49CF"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B574AF" w:rsidRPr="00AA49CF">
        <w:rPr>
          <w:rFonts w:cstheme="minorHAnsi"/>
          <w:bCs/>
        </w:rPr>
        <w:t>In the analysis of reliability of the scoring system, kappas were statistically significant from zero (for admission discrepancies, Z=7.29, p&lt;0.0001; for discharge discrepancies, Z=7.34, p&lt;0.0001).</w:t>
      </w:r>
    </w:p>
    <w:p w14:paraId="75CD178F" w14:textId="77777777" w:rsidR="00AA49CF" w:rsidRDefault="00AA49CF" w:rsidP="00DB3627">
      <w:pPr>
        <w:autoSpaceDE w:val="0"/>
        <w:autoSpaceDN w:val="0"/>
        <w:adjustRightInd w:val="0"/>
        <w:spacing w:after="0" w:line="240" w:lineRule="auto"/>
        <w:rPr>
          <w:rFonts w:cstheme="minorHAnsi"/>
          <w:b/>
          <w:bCs/>
        </w:rPr>
      </w:pPr>
    </w:p>
    <w:p w14:paraId="580DB3B9" w14:textId="77777777" w:rsidR="00B574AF"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20B493E7" w14:textId="77777777" w:rsidR="00B574AF" w:rsidRPr="00AA49CF" w:rsidRDefault="00B574AF" w:rsidP="00B574AF">
      <w:pPr>
        <w:autoSpaceDE w:val="0"/>
        <w:autoSpaceDN w:val="0"/>
        <w:adjustRightInd w:val="0"/>
        <w:spacing w:after="0" w:line="240" w:lineRule="auto"/>
        <w:rPr>
          <w:rFonts w:cs="Calibri"/>
        </w:rPr>
      </w:pPr>
      <w:r w:rsidRPr="00AA49CF">
        <w:rPr>
          <w:rFonts w:cs="Calibri"/>
        </w:rPr>
        <w:t xml:space="preserve">Inter-rater reliability for the gold-standard medication history was high.  </w:t>
      </w:r>
    </w:p>
    <w:p w14:paraId="4A9ADAA3" w14:textId="77777777" w:rsidR="00B574AF" w:rsidRPr="00AA49CF" w:rsidRDefault="00B574AF" w:rsidP="00B574AF">
      <w:pPr>
        <w:autoSpaceDE w:val="0"/>
        <w:autoSpaceDN w:val="0"/>
        <w:adjustRightInd w:val="0"/>
        <w:spacing w:after="0" w:line="240" w:lineRule="auto"/>
        <w:rPr>
          <w:rFonts w:cs="Calibri"/>
        </w:rPr>
      </w:pPr>
    </w:p>
    <w:p w14:paraId="31C27143" w14:textId="77777777" w:rsidR="00B574AF" w:rsidRPr="00AA49CF" w:rsidRDefault="00B574AF" w:rsidP="00B574AF">
      <w:pPr>
        <w:autoSpaceDE w:val="0"/>
        <w:autoSpaceDN w:val="0"/>
        <w:adjustRightInd w:val="0"/>
        <w:spacing w:after="0" w:line="240" w:lineRule="auto"/>
        <w:rPr>
          <w:rFonts w:cs="Calibri-Italic"/>
          <w:iCs/>
        </w:rPr>
      </w:pPr>
      <w:r w:rsidRPr="00AA49CF">
        <w:rPr>
          <w:rFonts w:cs="Calibri"/>
        </w:rPr>
        <w:t>Inter-rater reliability for the presence or absence of an unintentional discrepancy (i.e., the information required to calculate a discrepancy rate per patient) was substantial.  Reliability was somewhat lower for discrepancy type and reason, but these are to be used for internal QI purposes only</w:t>
      </w:r>
      <w:r w:rsidR="00AA49CF">
        <w:rPr>
          <w:rFonts w:cs="Calibri"/>
        </w:rPr>
        <w:t xml:space="preserve"> (i.e., are not part of the measure itself)</w:t>
      </w:r>
      <w:r w:rsidRPr="00AA49CF">
        <w:rPr>
          <w:rFonts w:cs="Calibri"/>
        </w:rPr>
        <w:t>.  It should be noted that the cases used to derive these analyses were chosen because they were challenging for study pharmacists to evaluate – reliability for an “average” case is likely higher.</w:t>
      </w:r>
    </w:p>
    <w:p w14:paraId="0B7FED36" w14:textId="77777777" w:rsidR="00B574AF" w:rsidRPr="004C11CE" w:rsidRDefault="00B574AF" w:rsidP="00B574AF">
      <w:pPr>
        <w:autoSpaceDE w:val="0"/>
        <w:autoSpaceDN w:val="0"/>
        <w:adjustRightInd w:val="0"/>
        <w:spacing w:after="0" w:line="240" w:lineRule="auto"/>
        <w:rPr>
          <w:rFonts w:cstheme="minorHAnsi"/>
          <w:bCs/>
          <w:color w:val="7030A0"/>
        </w:rPr>
      </w:pPr>
    </w:p>
    <w:p w14:paraId="45BBEA3D" w14:textId="77777777" w:rsidR="007422FD" w:rsidRPr="00A25024" w:rsidRDefault="007422FD" w:rsidP="00DB3627">
      <w:pPr>
        <w:autoSpaceDE w:val="0"/>
        <w:autoSpaceDN w:val="0"/>
        <w:adjustRightInd w:val="0"/>
        <w:spacing w:after="0" w:line="240" w:lineRule="auto"/>
        <w:rPr>
          <w:rFonts w:cstheme="minorHAnsi"/>
          <w:bCs/>
        </w:rPr>
      </w:pPr>
      <w:r w:rsidRPr="00A25024">
        <w:rPr>
          <w:rFonts w:cstheme="minorHAnsi"/>
          <w:bCs/>
        </w:rPr>
        <w:br/>
      </w:r>
    </w:p>
    <w:p w14:paraId="5515F3C9" w14:textId="77777777" w:rsidR="00021170" w:rsidRPr="004C11CE" w:rsidRDefault="00483E94" w:rsidP="00DB3627">
      <w:pPr>
        <w:autoSpaceDE w:val="0"/>
        <w:autoSpaceDN w:val="0"/>
        <w:adjustRightInd w:val="0"/>
        <w:spacing w:after="0" w:line="240" w:lineRule="auto"/>
        <w:rPr>
          <w:rFonts w:cstheme="minorHAnsi"/>
          <w:noProof/>
        </w:rPr>
      </w:pPr>
      <w:r w:rsidRPr="004C11CE">
        <w:rPr>
          <w:rFonts w:cstheme="minorHAnsi"/>
          <w:noProof/>
        </w:rPr>
        <w:t>_________________________________</w:t>
      </w:r>
    </w:p>
    <w:p w14:paraId="463646C0" w14:textId="77777777" w:rsidR="00B037BA" w:rsidRPr="00A25024" w:rsidRDefault="00021170" w:rsidP="00DB3627">
      <w:pPr>
        <w:autoSpaceDE w:val="0"/>
        <w:autoSpaceDN w:val="0"/>
        <w:adjustRightInd w:val="0"/>
        <w:spacing w:after="0" w:line="240" w:lineRule="auto"/>
        <w:rPr>
          <w:rFonts w:cstheme="minorHAnsi"/>
          <w:b/>
          <w:bCs/>
        </w:rPr>
      </w:pPr>
      <w:r w:rsidRPr="004C11CE">
        <w:rPr>
          <w:rFonts w:cstheme="minorHAnsi"/>
          <w:b/>
          <w:noProof/>
        </w:rPr>
        <w:t>2</w:t>
      </w:r>
      <w:r w:rsidR="00EA5F47" w:rsidRPr="004C11CE">
        <w:rPr>
          <w:rFonts w:cstheme="minorHAnsi"/>
          <w:b/>
          <w:noProof/>
        </w:rPr>
        <w:t>b</w:t>
      </w:r>
      <w:r w:rsidR="009C7513" w:rsidRPr="004C11CE">
        <w:rPr>
          <w:rFonts w:cstheme="minorHAnsi"/>
          <w:b/>
          <w:noProof/>
        </w:rPr>
        <w:t>1</w:t>
      </w:r>
      <w:r w:rsidRPr="004C11CE">
        <w:rPr>
          <w:rFonts w:cstheme="minorHAnsi"/>
          <w:b/>
          <w:noProof/>
        </w:rPr>
        <w:t xml:space="preserve">. </w:t>
      </w:r>
      <w:r w:rsidRPr="004C11CE">
        <w:rPr>
          <w:rFonts w:cstheme="minorHAnsi"/>
          <w:b/>
          <w:bCs/>
        </w:rPr>
        <w:t>VALIDITY TESTING</w:t>
      </w:r>
      <w:r w:rsidRPr="00A25024">
        <w:rPr>
          <w:rFonts w:cstheme="minorHAnsi"/>
          <w:b/>
          <w:bCs/>
        </w:rPr>
        <w:t xml:space="preserve"> </w:t>
      </w:r>
    </w:p>
    <w:p w14:paraId="2B4520B3" w14:textId="77777777" w:rsidR="00696262" w:rsidRPr="000414E8" w:rsidRDefault="009C7513" w:rsidP="00DB3627">
      <w:pPr>
        <w:autoSpaceDE w:val="0"/>
        <w:autoSpaceDN w:val="0"/>
        <w:adjustRightInd w:val="0"/>
        <w:spacing w:after="0"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C25FA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16042A8D" w14:textId="77777777" w:rsidR="00696262" w:rsidRPr="00A25024" w:rsidRDefault="006E60F5"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38E12D8D" w14:textId="77777777" w:rsidR="000574AB" w:rsidRDefault="006E60F5" w:rsidP="00696262">
      <w:pPr>
        <w:autoSpaceDE w:val="0"/>
        <w:autoSpaceDN w:val="0"/>
        <w:adjustRightInd w:val="0"/>
        <w:spacing w:after="0" w:line="240" w:lineRule="auto"/>
        <w:ind w:left="255"/>
        <w:rPr>
          <w:rFonts w:eastAsia="MS Gothic"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B574AF">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319D5B42" w14:textId="09CD0B5D" w:rsidR="00B574AF" w:rsidRDefault="00B574AF" w:rsidP="00B574AF">
      <w:pPr>
        <w:autoSpaceDE w:val="0"/>
        <w:autoSpaceDN w:val="0"/>
        <w:adjustRightInd w:val="0"/>
        <w:spacing w:after="0" w:line="240" w:lineRule="auto"/>
        <w:ind w:left="255"/>
        <w:rPr>
          <w:rFonts w:cstheme="minorHAnsi"/>
        </w:rPr>
      </w:pPr>
      <w:r w:rsidRPr="00AA49CF">
        <w:rPr>
          <w:rFonts w:cstheme="minorHAnsi"/>
        </w:rPr>
        <w:t>T</w:t>
      </w:r>
      <w:r w:rsidRPr="00AA49CF">
        <w:rPr>
          <w:rFonts w:cs="Calibri"/>
        </w:rPr>
        <w:t xml:space="preserve">he literature supports that pharmacists take more accurate medication histories than either nurses or physicians. (1)  It is therefore reasonable to assume that a specially trained pharmacist taking a preadmission medication history is a good proxy for a gold-standard medication history.  Comparing errors in admission and discharge orders compared to this gold standard has high face validity as a measure of the quality of medication reconciliation.  After all the goal of medication </w:t>
      </w:r>
      <w:r w:rsidR="004C11CE" w:rsidRPr="00AA49CF">
        <w:rPr>
          <w:rFonts w:cstheme="minorHAnsi"/>
        </w:rPr>
        <w:t xml:space="preserve">reconciliation is “to </w:t>
      </w:r>
      <w:r w:rsidRPr="00AA49CF">
        <w:rPr>
          <w:rFonts w:cstheme="minorHAnsi"/>
        </w:rPr>
        <w:t xml:space="preserve">identify the most accurate list of all medications a patient is taking . . . and using this list to provide correct medications for patients anywhere within the health care system.”  In other words, what matters clinically is whether the orders are correct, based on knowing what medications the patient was taking previously.  No other measure in existence looks at this process more directly than the measure proposed here.  </w:t>
      </w:r>
    </w:p>
    <w:p w14:paraId="1A39AE7A" w14:textId="31E740EF" w:rsidR="005D0B07" w:rsidRDefault="005D0B07" w:rsidP="00B574AF">
      <w:pPr>
        <w:autoSpaceDE w:val="0"/>
        <w:autoSpaceDN w:val="0"/>
        <w:adjustRightInd w:val="0"/>
        <w:spacing w:after="0" w:line="240" w:lineRule="auto"/>
        <w:ind w:left="255"/>
        <w:rPr>
          <w:rFonts w:cs="Calibri"/>
          <w:highlight w:val="green"/>
        </w:rPr>
      </w:pPr>
    </w:p>
    <w:p w14:paraId="0FB2D6A9" w14:textId="18E1689F" w:rsidR="005D0B07" w:rsidRDefault="005D0B07" w:rsidP="00B574AF">
      <w:pPr>
        <w:autoSpaceDE w:val="0"/>
        <w:autoSpaceDN w:val="0"/>
        <w:adjustRightInd w:val="0"/>
        <w:spacing w:after="0" w:line="240" w:lineRule="auto"/>
        <w:ind w:left="255"/>
        <w:rPr>
          <w:rFonts w:cs="Calibri"/>
          <w:color w:val="FF0000"/>
        </w:rPr>
      </w:pPr>
      <w:r w:rsidRPr="00265B83">
        <w:rPr>
          <w:rFonts w:cs="Calibri"/>
          <w:color w:val="FF0000"/>
        </w:rPr>
        <w:t>The process for measuring discrepancies is systematic and transparent – see the Leapfrog worksheet and workbook for details on the process</w:t>
      </w:r>
      <w:r w:rsidR="00F756ED" w:rsidRPr="00265B83">
        <w:rPr>
          <w:rFonts w:cs="Calibri"/>
          <w:color w:val="FF0000"/>
        </w:rPr>
        <w:t>, now being used at hundreds of Leapfrog hospitals.  Those who measure discrepancies are trained experts (trained pharmacists) at each site.  See the attached materials for how they are trained and the above paragraph on how pharmacists can justifiably be considered medication experts.  Performance scores, or at least relative improvement in scores over time, can be used to distinguish sites that truly improved from those that did not.  For example, in the MARQUIS2 study, involving 17 sites, 9 sites had significant improvement in their discrepancy rates per medication per patient in the last 6 months of the study compared with the first 6 months.  Compared with those sites that did not show improvement, those that did show improvement had a greater increase in the proportion of patients who received patient-level interventions</w:t>
      </w:r>
      <w:r w:rsidR="00CC6382">
        <w:rPr>
          <w:rFonts w:cs="Calibri"/>
          <w:color w:val="FF0000"/>
        </w:rPr>
        <w:t xml:space="preserve"> (55% absolute improvement vs. 22% absolute improvement)</w:t>
      </w:r>
      <w:r w:rsidR="00F756ED" w:rsidRPr="00265B83">
        <w:rPr>
          <w:rFonts w:cs="Calibri"/>
          <w:color w:val="FF0000"/>
        </w:rPr>
        <w:t xml:space="preserve">, such as a best-possible medication history taken by a dedicated trained provider while the patient was still in the Emergency Department (see below). </w:t>
      </w:r>
    </w:p>
    <w:p w14:paraId="4AE39D4B" w14:textId="6E3744E1" w:rsidR="00265B83" w:rsidRDefault="00265B83" w:rsidP="00B574AF">
      <w:pPr>
        <w:autoSpaceDE w:val="0"/>
        <w:autoSpaceDN w:val="0"/>
        <w:adjustRightInd w:val="0"/>
        <w:spacing w:after="0" w:line="240" w:lineRule="auto"/>
        <w:ind w:left="255"/>
        <w:rPr>
          <w:rFonts w:cs="Calibri"/>
          <w:color w:val="FF0000"/>
        </w:rPr>
      </w:pPr>
    </w:p>
    <w:tbl>
      <w:tblPr>
        <w:tblStyle w:val="TableGrid"/>
        <w:tblW w:w="9828" w:type="dxa"/>
        <w:tblLayout w:type="fixed"/>
        <w:tblLook w:val="04A0" w:firstRow="1" w:lastRow="0" w:firstColumn="1" w:lastColumn="0" w:noHBand="0" w:noVBand="1"/>
      </w:tblPr>
      <w:tblGrid>
        <w:gridCol w:w="1190"/>
        <w:gridCol w:w="875"/>
        <w:gridCol w:w="1013"/>
        <w:gridCol w:w="787"/>
        <w:gridCol w:w="1013"/>
        <w:gridCol w:w="990"/>
        <w:gridCol w:w="990"/>
        <w:gridCol w:w="990"/>
        <w:gridCol w:w="990"/>
        <w:gridCol w:w="990"/>
      </w:tblGrid>
      <w:tr w:rsidR="00CC6382" w14:paraId="1E13107F" w14:textId="574B426F" w:rsidTr="00E223B5">
        <w:tc>
          <w:tcPr>
            <w:tcW w:w="1190" w:type="dxa"/>
          </w:tcPr>
          <w:p w14:paraId="7C0018E6" w14:textId="77777777" w:rsidR="00CC6382" w:rsidRDefault="00CC6382" w:rsidP="007A5428">
            <w:bookmarkStart w:id="12" w:name="_Hlk15569303"/>
          </w:p>
        </w:tc>
        <w:tc>
          <w:tcPr>
            <w:tcW w:w="1888" w:type="dxa"/>
            <w:gridSpan w:val="2"/>
          </w:tcPr>
          <w:p w14:paraId="2AC82EEF" w14:textId="1FE97FE7" w:rsidR="00CC6382" w:rsidRPr="00965A7E" w:rsidRDefault="00CC6382" w:rsidP="007A5428">
            <w:pPr>
              <w:rPr>
                <w:b/>
              </w:rPr>
            </w:pPr>
            <w:r>
              <w:rPr>
                <w:b/>
              </w:rPr>
              <w:t xml:space="preserve">First 6 months </w:t>
            </w:r>
          </w:p>
        </w:tc>
        <w:tc>
          <w:tcPr>
            <w:tcW w:w="1800" w:type="dxa"/>
            <w:gridSpan w:val="2"/>
          </w:tcPr>
          <w:p w14:paraId="5CBD5892" w14:textId="5BDC9177" w:rsidR="00CC6382" w:rsidRPr="00965A7E" w:rsidRDefault="00CC6382" w:rsidP="007A5428">
            <w:pPr>
              <w:rPr>
                <w:b/>
              </w:rPr>
            </w:pPr>
            <w:r>
              <w:rPr>
                <w:b/>
              </w:rPr>
              <w:t xml:space="preserve">Last 6 months </w:t>
            </w:r>
          </w:p>
        </w:tc>
        <w:tc>
          <w:tcPr>
            <w:tcW w:w="990" w:type="dxa"/>
          </w:tcPr>
          <w:p w14:paraId="66FBB965" w14:textId="77777777" w:rsidR="00CC6382" w:rsidRPr="00965A7E" w:rsidRDefault="00CC6382" w:rsidP="007A5428">
            <w:pPr>
              <w:rPr>
                <w:b/>
              </w:rPr>
            </w:pPr>
            <w:r>
              <w:rPr>
                <w:b/>
              </w:rPr>
              <w:t>Relative Risk (95% CI)</w:t>
            </w:r>
          </w:p>
        </w:tc>
        <w:tc>
          <w:tcPr>
            <w:tcW w:w="990" w:type="dxa"/>
          </w:tcPr>
          <w:p w14:paraId="62044828" w14:textId="77777777" w:rsidR="00CC6382" w:rsidRPr="00965A7E" w:rsidRDefault="00CC6382" w:rsidP="007A5428">
            <w:pPr>
              <w:rPr>
                <w:b/>
              </w:rPr>
            </w:pPr>
            <w:r w:rsidRPr="00965A7E">
              <w:rPr>
                <w:b/>
              </w:rPr>
              <w:t>P value</w:t>
            </w:r>
          </w:p>
        </w:tc>
        <w:tc>
          <w:tcPr>
            <w:tcW w:w="2970" w:type="dxa"/>
            <w:gridSpan w:val="3"/>
          </w:tcPr>
          <w:p w14:paraId="7D408D03" w14:textId="2B25818A" w:rsidR="00CC6382" w:rsidRDefault="00CC6382" w:rsidP="007A5428">
            <w:pPr>
              <w:rPr>
                <w:b/>
              </w:rPr>
            </w:pPr>
            <w:r>
              <w:rPr>
                <w:b/>
              </w:rPr>
              <w:t>Proportion of Patients who received patient-level interventions</w:t>
            </w:r>
          </w:p>
        </w:tc>
      </w:tr>
      <w:tr w:rsidR="00CC6382" w14:paraId="168D7F30" w14:textId="306EB37D" w:rsidTr="00CC6382">
        <w:tc>
          <w:tcPr>
            <w:tcW w:w="1190" w:type="dxa"/>
          </w:tcPr>
          <w:p w14:paraId="5C6C882A" w14:textId="77777777" w:rsidR="00CC6382" w:rsidRDefault="00CC6382" w:rsidP="007A5428"/>
        </w:tc>
        <w:tc>
          <w:tcPr>
            <w:tcW w:w="875" w:type="dxa"/>
          </w:tcPr>
          <w:p w14:paraId="4AB09DA8" w14:textId="77777777" w:rsidR="00CC6382" w:rsidRPr="00965A7E" w:rsidRDefault="00CC6382" w:rsidP="007A5428">
            <w:pPr>
              <w:rPr>
                <w:b/>
              </w:rPr>
            </w:pPr>
            <w:r w:rsidRPr="00965A7E">
              <w:rPr>
                <w:b/>
              </w:rPr>
              <w:t>N</w:t>
            </w:r>
          </w:p>
        </w:tc>
        <w:tc>
          <w:tcPr>
            <w:tcW w:w="1013" w:type="dxa"/>
          </w:tcPr>
          <w:p w14:paraId="749D0D2C" w14:textId="67848EC6" w:rsidR="00CC6382" w:rsidRPr="00965A7E" w:rsidRDefault="00CC6382" w:rsidP="007A5428">
            <w:pPr>
              <w:rPr>
                <w:b/>
              </w:rPr>
            </w:pPr>
            <w:r w:rsidRPr="00965A7E">
              <w:rPr>
                <w:b/>
              </w:rPr>
              <w:t xml:space="preserve">Discrepancies per </w:t>
            </w:r>
            <w:r>
              <w:rPr>
                <w:b/>
              </w:rPr>
              <w:t xml:space="preserve">medication per </w:t>
            </w:r>
            <w:r w:rsidRPr="00965A7E">
              <w:rPr>
                <w:b/>
              </w:rPr>
              <w:t>patient</w:t>
            </w:r>
          </w:p>
        </w:tc>
        <w:tc>
          <w:tcPr>
            <w:tcW w:w="787" w:type="dxa"/>
          </w:tcPr>
          <w:p w14:paraId="480F3457" w14:textId="77777777" w:rsidR="00CC6382" w:rsidRPr="00965A7E" w:rsidRDefault="00CC6382" w:rsidP="007A5428">
            <w:pPr>
              <w:rPr>
                <w:b/>
              </w:rPr>
            </w:pPr>
            <w:r w:rsidRPr="00965A7E">
              <w:rPr>
                <w:b/>
              </w:rPr>
              <w:t>N</w:t>
            </w:r>
          </w:p>
        </w:tc>
        <w:tc>
          <w:tcPr>
            <w:tcW w:w="1013" w:type="dxa"/>
          </w:tcPr>
          <w:p w14:paraId="0A57C20E" w14:textId="77777777" w:rsidR="00CC6382" w:rsidRPr="00965A7E" w:rsidRDefault="00CC6382" w:rsidP="007A5428">
            <w:pPr>
              <w:rPr>
                <w:b/>
              </w:rPr>
            </w:pPr>
            <w:r w:rsidRPr="00965A7E">
              <w:rPr>
                <w:b/>
              </w:rPr>
              <w:t>Discrepancies per medication per patient</w:t>
            </w:r>
          </w:p>
        </w:tc>
        <w:tc>
          <w:tcPr>
            <w:tcW w:w="990" w:type="dxa"/>
          </w:tcPr>
          <w:p w14:paraId="63BC3B65" w14:textId="77777777" w:rsidR="00CC6382" w:rsidRPr="00965A7E" w:rsidRDefault="00CC6382" w:rsidP="007A5428">
            <w:pPr>
              <w:rPr>
                <w:b/>
              </w:rPr>
            </w:pPr>
          </w:p>
        </w:tc>
        <w:tc>
          <w:tcPr>
            <w:tcW w:w="990" w:type="dxa"/>
          </w:tcPr>
          <w:p w14:paraId="473F8741" w14:textId="77777777" w:rsidR="00CC6382" w:rsidRPr="00965A7E" w:rsidRDefault="00CC6382" w:rsidP="007A5428">
            <w:pPr>
              <w:rPr>
                <w:b/>
              </w:rPr>
            </w:pPr>
          </w:p>
        </w:tc>
        <w:tc>
          <w:tcPr>
            <w:tcW w:w="990" w:type="dxa"/>
          </w:tcPr>
          <w:p w14:paraId="0BD0805C" w14:textId="150A6354" w:rsidR="00CC6382" w:rsidRPr="00965A7E" w:rsidRDefault="00CC6382" w:rsidP="007A5428">
            <w:pPr>
              <w:rPr>
                <w:b/>
              </w:rPr>
            </w:pPr>
            <w:r>
              <w:rPr>
                <w:b/>
              </w:rPr>
              <w:t xml:space="preserve">First 6 months </w:t>
            </w:r>
          </w:p>
        </w:tc>
        <w:tc>
          <w:tcPr>
            <w:tcW w:w="990" w:type="dxa"/>
          </w:tcPr>
          <w:p w14:paraId="58D8F720" w14:textId="4A914A35" w:rsidR="00CC6382" w:rsidRPr="00965A7E" w:rsidRDefault="00CC6382" w:rsidP="007A5428">
            <w:pPr>
              <w:rPr>
                <w:b/>
              </w:rPr>
            </w:pPr>
            <w:r>
              <w:rPr>
                <w:b/>
              </w:rPr>
              <w:t xml:space="preserve">Last 6 months </w:t>
            </w:r>
          </w:p>
        </w:tc>
        <w:tc>
          <w:tcPr>
            <w:tcW w:w="990" w:type="dxa"/>
          </w:tcPr>
          <w:p w14:paraId="21E87E94" w14:textId="6166E14A" w:rsidR="00CC6382" w:rsidRDefault="00CC6382" w:rsidP="007A5428">
            <w:pPr>
              <w:rPr>
                <w:b/>
              </w:rPr>
            </w:pPr>
            <w:r>
              <w:rPr>
                <w:b/>
              </w:rPr>
              <w:t>Absolute improvement</w:t>
            </w:r>
          </w:p>
        </w:tc>
      </w:tr>
      <w:tr w:rsidR="00CC6382" w14:paraId="27AD3585" w14:textId="6F4CC822" w:rsidTr="00CC6382">
        <w:tc>
          <w:tcPr>
            <w:tcW w:w="1190" w:type="dxa"/>
          </w:tcPr>
          <w:p w14:paraId="4D5511E1" w14:textId="77777777" w:rsidR="00CC6382" w:rsidRDefault="00CC6382" w:rsidP="007A5428">
            <w:r>
              <w:t xml:space="preserve">Site 1 </w:t>
            </w:r>
          </w:p>
        </w:tc>
        <w:tc>
          <w:tcPr>
            <w:tcW w:w="875" w:type="dxa"/>
          </w:tcPr>
          <w:p w14:paraId="539BBC7A" w14:textId="77777777" w:rsidR="00CC6382" w:rsidRDefault="00CC6382" w:rsidP="007A5428">
            <w:r>
              <w:t>54</w:t>
            </w:r>
          </w:p>
        </w:tc>
        <w:tc>
          <w:tcPr>
            <w:tcW w:w="1013" w:type="dxa"/>
          </w:tcPr>
          <w:p w14:paraId="189A8910" w14:textId="77777777" w:rsidR="00CC6382" w:rsidRDefault="00CC6382" w:rsidP="007A5428">
            <w:r>
              <w:t>0.24</w:t>
            </w:r>
          </w:p>
        </w:tc>
        <w:tc>
          <w:tcPr>
            <w:tcW w:w="787" w:type="dxa"/>
          </w:tcPr>
          <w:p w14:paraId="7B88DE23" w14:textId="77777777" w:rsidR="00CC6382" w:rsidRDefault="00CC6382" w:rsidP="007A5428">
            <w:r>
              <w:t>161</w:t>
            </w:r>
          </w:p>
        </w:tc>
        <w:tc>
          <w:tcPr>
            <w:tcW w:w="1013" w:type="dxa"/>
          </w:tcPr>
          <w:p w14:paraId="4CBECED0" w14:textId="77777777" w:rsidR="00CC6382" w:rsidRDefault="00CC6382" w:rsidP="007A5428">
            <w:r>
              <w:t>0.12</w:t>
            </w:r>
          </w:p>
        </w:tc>
        <w:tc>
          <w:tcPr>
            <w:tcW w:w="990" w:type="dxa"/>
            <w:vAlign w:val="center"/>
          </w:tcPr>
          <w:p w14:paraId="4F10E332" w14:textId="77777777" w:rsidR="00CC6382" w:rsidRPr="00457032" w:rsidRDefault="00CC6382" w:rsidP="007A5428">
            <w:pPr>
              <w:rPr>
                <w:b/>
                <w:color w:val="00B050"/>
              </w:rPr>
            </w:pPr>
            <w:r>
              <w:rPr>
                <w:rFonts w:ascii="Calibri" w:hAnsi="Calibri"/>
                <w:b/>
                <w:bCs/>
                <w:color w:val="00B050"/>
              </w:rPr>
              <w:t>0.50</w:t>
            </w:r>
          </w:p>
        </w:tc>
        <w:tc>
          <w:tcPr>
            <w:tcW w:w="990" w:type="dxa"/>
          </w:tcPr>
          <w:p w14:paraId="55E8C2A4" w14:textId="77777777" w:rsidR="00CC6382" w:rsidRPr="00457032" w:rsidRDefault="00CC6382" w:rsidP="007A5428">
            <w:pPr>
              <w:rPr>
                <w:b/>
                <w:color w:val="00B050"/>
              </w:rPr>
            </w:pPr>
            <w:r w:rsidRPr="00457032">
              <w:rPr>
                <w:b/>
                <w:color w:val="00B050"/>
              </w:rPr>
              <w:t>&lt;0.0001</w:t>
            </w:r>
          </w:p>
        </w:tc>
        <w:tc>
          <w:tcPr>
            <w:tcW w:w="990" w:type="dxa"/>
          </w:tcPr>
          <w:p w14:paraId="6F155D29" w14:textId="77777777" w:rsidR="00CC6382" w:rsidRPr="00457032" w:rsidRDefault="00CC6382" w:rsidP="007A5428">
            <w:pPr>
              <w:rPr>
                <w:b/>
                <w:color w:val="00B050"/>
              </w:rPr>
            </w:pPr>
            <w:r>
              <w:rPr>
                <w:b/>
                <w:color w:val="00B050"/>
              </w:rPr>
              <w:t>24%</w:t>
            </w:r>
          </w:p>
        </w:tc>
        <w:tc>
          <w:tcPr>
            <w:tcW w:w="990" w:type="dxa"/>
          </w:tcPr>
          <w:p w14:paraId="21A3E5A2" w14:textId="77777777" w:rsidR="00CC6382" w:rsidRPr="00457032" w:rsidRDefault="00CC6382" w:rsidP="007A5428">
            <w:pPr>
              <w:rPr>
                <w:b/>
                <w:color w:val="00B050"/>
              </w:rPr>
            </w:pPr>
            <w:r>
              <w:rPr>
                <w:b/>
                <w:color w:val="00B050"/>
              </w:rPr>
              <w:t>82%</w:t>
            </w:r>
          </w:p>
        </w:tc>
        <w:tc>
          <w:tcPr>
            <w:tcW w:w="990" w:type="dxa"/>
          </w:tcPr>
          <w:p w14:paraId="6FA6AE6B" w14:textId="2938B8FA" w:rsidR="00CC6382" w:rsidRDefault="00CC6382" w:rsidP="007A5428">
            <w:pPr>
              <w:rPr>
                <w:b/>
                <w:color w:val="00B050"/>
              </w:rPr>
            </w:pPr>
            <w:r>
              <w:rPr>
                <w:b/>
                <w:color w:val="00B050"/>
              </w:rPr>
              <w:t>58%</w:t>
            </w:r>
          </w:p>
        </w:tc>
      </w:tr>
      <w:tr w:rsidR="00CC6382" w14:paraId="575BBC9B" w14:textId="687E38A1" w:rsidTr="00CC6382">
        <w:tc>
          <w:tcPr>
            <w:tcW w:w="1190" w:type="dxa"/>
          </w:tcPr>
          <w:p w14:paraId="3AEAF59A" w14:textId="77777777" w:rsidR="00CC6382" w:rsidRDefault="00CC6382" w:rsidP="007A5428">
            <w:r>
              <w:t xml:space="preserve">Site 2 </w:t>
            </w:r>
          </w:p>
        </w:tc>
        <w:tc>
          <w:tcPr>
            <w:tcW w:w="875" w:type="dxa"/>
          </w:tcPr>
          <w:p w14:paraId="62DCD6F5" w14:textId="77777777" w:rsidR="00CC6382" w:rsidRDefault="00CC6382" w:rsidP="007A5428">
            <w:r>
              <w:t>174</w:t>
            </w:r>
          </w:p>
        </w:tc>
        <w:tc>
          <w:tcPr>
            <w:tcW w:w="1013" w:type="dxa"/>
          </w:tcPr>
          <w:p w14:paraId="4D2F4FD1" w14:textId="77777777" w:rsidR="00CC6382" w:rsidRDefault="00CC6382" w:rsidP="007A5428">
            <w:r>
              <w:t>0.37</w:t>
            </w:r>
          </w:p>
        </w:tc>
        <w:tc>
          <w:tcPr>
            <w:tcW w:w="787" w:type="dxa"/>
          </w:tcPr>
          <w:p w14:paraId="2B15E476" w14:textId="77777777" w:rsidR="00CC6382" w:rsidRDefault="00CC6382" w:rsidP="007A5428">
            <w:r>
              <w:t>287</w:t>
            </w:r>
          </w:p>
        </w:tc>
        <w:tc>
          <w:tcPr>
            <w:tcW w:w="1013" w:type="dxa"/>
          </w:tcPr>
          <w:p w14:paraId="01EA4D0D" w14:textId="77777777" w:rsidR="00CC6382" w:rsidRDefault="00CC6382" w:rsidP="007A5428">
            <w:r>
              <w:t>0.26</w:t>
            </w:r>
          </w:p>
        </w:tc>
        <w:tc>
          <w:tcPr>
            <w:tcW w:w="990" w:type="dxa"/>
            <w:vAlign w:val="center"/>
          </w:tcPr>
          <w:p w14:paraId="149A9875" w14:textId="77777777" w:rsidR="00CC6382" w:rsidRDefault="00CC6382" w:rsidP="007A5428">
            <w:pPr>
              <w:rPr>
                <w:b/>
                <w:color w:val="00B050"/>
              </w:rPr>
            </w:pPr>
            <w:r>
              <w:rPr>
                <w:rFonts w:ascii="Calibri" w:hAnsi="Calibri"/>
                <w:b/>
                <w:bCs/>
                <w:color w:val="00B050"/>
              </w:rPr>
              <w:t>0.70</w:t>
            </w:r>
          </w:p>
        </w:tc>
        <w:tc>
          <w:tcPr>
            <w:tcW w:w="990" w:type="dxa"/>
          </w:tcPr>
          <w:p w14:paraId="09D784D8" w14:textId="77777777" w:rsidR="00CC6382" w:rsidRPr="00457032" w:rsidRDefault="00CC6382" w:rsidP="007A5428">
            <w:pPr>
              <w:rPr>
                <w:b/>
                <w:color w:val="00B050"/>
              </w:rPr>
            </w:pPr>
            <w:r>
              <w:rPr>
                <w:b/>
                <w:color w:val="00B050"/>
              </w:rPr>
              <w:t>&lt;</w:t>
            </w:r>
            <w:r w:rsidRPr="00457032">
              <w:rPr>
                <w:b/>
                <w:color w:val="00B050"/>
              </w:rPr>
              <w:t>0.</w:t>
            </w:r>
            <w:r>
              <w:rPr>
                <w:b/>
                <w:color w:val="00B050"/>
              </w:rPr>
              <w:t>0</w:t>
            </w:r>
            <w:r w:rsidRPr="00457032">
              <w:rPr>
                <w:b/>
                <w:color w:val="00B050"/>
              </w:rPr>
              <w:t>00</w:t>
            </w:r>
            <w:r>
              <w:rPr>
                <w:b/>
                <w:color w:val="00B050"/>
              </w:rPr>
              <w:t>1</w:t>
            </w:r>
          </w:p>
        </w:tc>
        <w:tc>
          <w:tcPr>
            <w:tcW w:w="990" w:type="dxa"/>
          </w:tcPr>
          <w:p w14:paraId="5A63118F" w14:textId="77777777" w:rsidR="00CC6382" w:rsidRDefault="00CC6382" w:rsidP="007A5428">
            <w:pPr>
              <w:rPr>
                <w:b/>
                <w:color w:val="00B050"/>
              </w:rPr>
            </w:pPr>
            <w:r>
              <w:rPr>
                <w:b/>
                <w:color w:val="00B050"/>
              </w:rPr>
              <w:t>56%</w:t>
            </w:r>
          </w:p>
        </w:tc>
        <w:tc>
          <w:tcPr>
            <w:tcW w:w="990" w:type="dxa"/>
          </w:tcPr>
          <w:p w14:paraId="25A573E4" w14:textId="77777777" w:rsidR="00CC6382" w:rsidRDefault="00CC6382" w:rsidP="007A5428">
            <w:pPr>
              <w:rPr>
                <w:b/>
                <w:color w:val="00B050"/>
              </w:rPr>
            </w:pPr>
            <w:r>
              <w:rPr>
                <w:b/>
                <w:color w:val="00B050"/>
              </w:rPr>
              <w:t>68%</w:t>
            </w:r>
          </w:p>
        </w:tc>
        <w:tc>
          <w:tcPr>
            <w:tcW w:w="990" w:type="dxa"/>
          </w:tcPr>
          <w:p w14:paraId="4D4F58C5" w14:textId="75A64DBB" w:rsidR="00CC6382" w:rsidRDefault="00CC6382" w:rsidP="007A5428">
            <w:pPr>
              <w:rPr>
                <w:b/>
                <w:color w:val="00B050"/>
              </w:rPr>
            </w:pPr>
            <w:r>
              <w:rPr>
                <w:b/>
                <w:color w:val="00B050"/>
              </w:rPr>
              <w:t>13%</w:t>
            </w:r>
          </w:p>
        </w:tc>
      </w:tr>
      <w:tr w:rsidR="00CC6382" w14:paraId="10CB860D" w14:textId="780D6710" w:rsidTr="00CC6382">
        <w:tc>
          <w:tcPr>
            <w:tcW w:w="1190" w:type="dxa"/>
          </w:tcPr>
          <w:p w14:paraId="755F6AC9" w14:textId="77777777" w:rsidR="00CC6382" w:rsidRDefault="00CC6382" w:rsidP="007A5428">
            <w:r>
              <w:t xml:space="preserve">Site 3 </w:t>
            </w:r>
          </w:p>
        </w:tc>
        <w:tc>
          <w:tcPr>
            <w:tcW w:w="875" w:type="dxa"/>
          </w:tcPr>
          <w:p w14:paraId="6890911C" w14:textId="77777777" w:rsidR="00CC6382" w:rsidRDefault="00CC6382" w:rsidP="007A5428">
            <w:r>
              <w:t>31</w:t>
            </w:r>
          </w:p>
        </w:tc>
        <w:tc>
          <w:tcPr>
            <w:tcW w:w="1013" w:type="dxa"/>
          </w:tcPr>
          <w:p w14:paraId="0D1BD530" w14:textId="77777777" w:rsidR="00CC6382" w:rsidRDefault="00CC6382" w:rsidP="007A5428">
            <w:r>
              <w:t>0.41</w:t>
            </w:r>
          </w:p>
        </w:tc>
        <w:tc>
          <w:tcPr>
            <w:tcW w:w="787" w:type="dxa"/>
          </w:tcPr>
          <w:p w14:paraId="7FCE4922" w14:textId="77777777" w:rsidR="00CC6382" w:rsidRDefault="00CC6382" w:rsidP="007A5428">
            <w:r>
              <w:t>222</w:t>
            </w:r>
          </w:p>
        </w:tc>
        <w:tc>
          <w:tcPr>
            <w:tcW w:w="1013" w:type="dxa"/>
          </w:tcPr>
          <w:p w14:paraId="27D88E1F" w14:textId="77777777" w:rsidR="00CC6382" w:rsidRDefault="00CC6382" w:rsidP="007A5428">
            <w:r>
              <w:t>0.17</w:t>
            </w:r>
          </w:p>
        </w:tc>
        <w:tc>
          <w:tcPr>
            <w:tcW w:w="990" w:type="dxa"/>
            <w:vAlign w:val="center"/>
          </w:tcPr>
          <w:p w14:paraId="39D0FCF9" w14:textId="77777777" w:rsidR="00CC6382" w:rsidRDefault="00CC6382" w:rsidP="007A5428">
            <w:pPr>
              <w:rPr>
                <w:b/>
                <w:color w:val="00B050"/>
              </w:rPr>
            </w:pPr>
            <w:r>
              <w:rPr>
                <w:rFonts w:ascii="Calibri" w:hAnsi="Calibri"/>
                <w:b/>
                <w:bCs/>
                <w:color w:val="00B050"/>
              </w:rPr>
              <w:t>0.41</w:t>
            </w:r>
          </w:p>
        </w:tc>
        <w:tc>
          <w:tcPr>
            <w:tcW w:w="990" w:type="dxa"/>
          </w:tcPr>
          <w:p w14:paraId="2185C1C3" w14:textId="77777777" w:rsidR="00CC6382" w:rsidRPr="00457032" w:rsidRDefault="00CC6382" w:rsidP="007A5428">
            <w:pPr>
              <w:rPr>
                <w:b/>
                <w:color w:val="00B050"/>
              </w:rPr>
            </w:pPr>
            <w:r>
              <w:rPr>
                <w:b/>
                <w:color w:val="00B050"/>
              </w:rPr>
              <w:t>&lt;</w:t>
            </w:r>
            <w:r w:rsidRPr="00457032">
              <w:rPr>
                <w:b/>
                <w:color w:val="00B050"/>
              </w:rPr>
              <w:t>0.00</w:t>
            </w:r>
            <w:r>
              <w:rPr>
                <w:b/>
                <w:color w:val="00B050"/>
              </w:rPr>
              <w:t>01</w:t>
            </w:r>
          </w:p>
        </w:tc>
        <w:tc>
          <w:tcPr>
            <w:tcW w:w="990" w:type="dxa"/>
          </w:tcPr>
          <w:p w14:paraId="3D751A1C" w14:textId="77777777" w:rsidR="00CC6382" w:rsidRDefault="00CC6382" w:rsidP="007A5428">
            <w:pPr>
              <w:rPr>
                <w:b/>
                <w:color w:val="00B050"/>
              </w:rPr>
            </w:pPr>
            <w:r>
              <w:rPr>
                <w:b/>
                <w:color w:val="00B050"/>
              </w:rPr>
              <w:t>17%</w:t>
            </w:r>
          </w:p>
        </w:tc>
        <w:tc>
          <w:tcPr>
            <w:tcW w:w="990" w:type="dxa"/>
          </w:tcPr>
          <w:p w14:paraId="50776E33" w14:textId="77777777" w:rsidR="00CC6382" w:rsidRDefault="00CC6382" w:rsidP="007A5428">
            <w:pPr>
              <w:rPr>
                <w:b/>
                <w:color w:val="00B050"/>
              </w:rPr>
            </w:pPr>
            <w:r>
              <w:rPr>
                <w:b/>
                <w:color w:val="00B050"/>
              </w:rPr>
              <w:t>59%</w:t>
            </w:r>
          </w:p>
        </w:tc>
        <w:tc>
          <w:tcPr>
            <w:tcW w:w="990" w:type="dxa"/>
          </w:tcPr>
          <w:p w14:paraId="3537C76D" w14:textId="3C2FF807" w:rsidR="00CC6382" w:rsidRDefault="00CC6382" w:rsidP="007A5428">
            <w:pPr>
              <w:rPr>
                <w:b/>
                <w:color w:val="00B050"/>
              </w:rPr>
            </w:pPr>
            <w:r>
              <w:rPr>
                <w:b/>
                <w:color w:val="00B050"/>
              </w:rPr>
              <w:t>42%</w:t>
            </w:r>
          </w:p>
        </w:tc>
      </w:tr>
      <w:tr w:rsidR="00CC6382" w14:paraId="3B2A3ADE" w14:textId="37EA68C1" w:rsidTr="00CC6382">
        <w:tc>
          <w:tcPr>
            <w:tcW w:w="1190" w:type="dxa"/>
          </w:tcPr>
          <w:p w14:paraId="6AE26D4C" w14:textId="77777777" w:rsidR="00CC6382" w:rsidRDefault="00CC6382" w:rsidP="007A5428">
            <w:r>
              <w:t>Site 4</w:t>
            </w:r>
          </w:p>
        </w:tc>
        <w:tc>
          <w:tcPr>
            <w:tcW w:w="875" w:type="dxa"/>
          </w:tcPr>
          <w:p w14:paraId="0B87EEE1" w14:textId="77777777" w:rsidR="00CC6382" w:rsidRDefault="00CC6382" w:rsidP="007A5428">
            <w:r>
              <w:t>136</w:t>
            </w:r>
          </w:p>
        </w:tc>
        <w:tc>
          <w:tcPr>
            <w:tcW w:w="1013" w:type="dxa"/>
          </w:tcPr>
          <w:p w14:paraId="78E3E15C" w14:textId="77777777" w:rsidR="00CC6382" w:rsidRDefault="00CC6382" w:rsidP="007A5428">
            <w:r>
              <w:t>0.24</w:t>
            </w:r>
          </w:p>
        </w:tc>
        <w:tc>
          <w:tcPr>
            <w:tcW w:w="787" w:type="dxa"/>
          </w:tcPr>
          <w:p w14:paraId="59498C64" w14:textId="77777777" w:rsidR="00CC6382" w:rsidRDefault="00CC6382" w:rsidP="007A5428">
            <w:r>
              <w:t>98</w:t>
            </w:r>
          </w:p>
        </w:tc>
        <w:tc>
          <w:tcPr>
            <w:tcW w:w="1013" w:type="dxa"/>
          </w:tcPr>
          <w:p w14:paraId="759BCFD6" w14:textId="77777777" w:rsidR="00CC6382" w:rsidRDefault="00CC6382" w:rsidP="007A5428">
            <w:r>
              <w:t>0.19</w:t>
            </w:r>
          </w:p>
        </w:tc>
        <w:tc>
          <w:tcPr>
            <w:tcW w:w="990" w:type="dxa"/>
            <w:vAlign w:val="center"/>
          </w:tcPr>
          <w:p w14:paraId="75813A14" w14:textId="77777777" w:rsidR="00CC6382" w:rsidRPr="007B4124" w:rsidRDefault="00CC6382" w:rsidP="007A5428">
            <w:r w:rsidRPr="007B4124">
              <w:rPr>
                <w:rFonts w:ascii="Calibri" w:hAnsi="Calibri"/>
                <w:bCs/>
              </w:rPr>
              <w:t>0.79</w:t>
            </w:r>
          </w:p>
        </w:tc>
        <w:tc>
          <w:tcPr>
            <w:tcW w:w="990" w:type="dxa"/>
          </w:tcPr>
          <w:p w14:paraId="799DFC7C" w14:textId="77777777" w:rsidR="00CC6382" w:rsidRDefault="00CC6382" w:rsidP="007A5428">
            <w:r>
              <w:t>0.11</w:t>
            </w:r>
          </w:p>
        </w:tc>
        <w:tc>
          <w:tcPr>
            <w:tcW w:w="990" w:type="dxa"/>
          </w:tcPr>
          <w:p w14:paraId="0CA2E3EF" w14:textId="77777777" w:rsidR="00CC6382" w:rsidRDefault="00CC6382" w:rsidP="007A5428">
            <w:r>
              <w:t>44%</w:t>
            </w:r>
          </w:p>
        </w:tc>
        <w:tc>
          <w:tcPr>
            <w:tcW w:w="990" w:type="dxa"/>
          </w:tcPr>
          <w:p w14:paraId="600F0471" w14:textId="77777777" w:rsidR="00CC6382" w:rsidRDefault="00CC6382" w:rsidP="007A5428">
            <w:r>
              <w:t>50%</w:t>
            </w:r>
          </w:p>
        </w:tc>
        <w:tc>
          <w:tcPr>
            <w:tcW w:w="990" w:type="dxa"/>
          </w:tcPr>
          <w:p w14:paraId="36C18AE2" w14:textId="34B17465" w:rsidR="00CC6382" w:rsidRDefault="00CC6382" w:rsidP="007A5428">
            <w:r>
              <w:t>6%</w:t>
            </w:r>
          </w:p>
        </w:tc>
      </w:tr>
      <w:tr w:rsidR="00CC6382" w14:paraId="2D1AA746" w14:textId="39F9C09E" w:rsidTr="00CC6382">
        <w:tc>
          <w:tcPr>
            <w:tcW w:w="1190" w:type="dxa"/>
          </w:tcPr>
          <w:p w14:paraId="5E212BFE" w14:textId="77777777" w:rsidR="00CC6382" w:rsidRDefault="00CC6382" w:rsidP="007A5428">
            <w:r>
              <w:t>Site 5</w:t>
            </w:r>
          </w:p>
        </w:tc>
        <w:tc>
          <w:tcPr>
            <w:tcW w:w="875" w:type="dxa"/>
          </w:tcPr>
          <w:p w14:paraId="39A184D8" w14:textId="77777777" w:rsidR="00CC6382" w:rsidRDefault="00CC6382" w:rsidP="007A5428">
            <w:r>
              <w:t>94</w:t>
            </w:r>
          </w:p>
        </w:tc>
        <w:tc>
          <w:tcPr>
            <w:tcW w:w="1013" w:type="dxa"/>
          </w:tcPr>
          <w:p w14:paraId="04721695" w14:textId="77777777" w:rsidR="00CC6382" w:rsidRDefault="00CC6382" w:rsidP="007A5428">
            <w:r>
              <w:t>0.26</w:t>
            </w:r>
          </w:p>
        </w:tc>
        <w:tc>
          <w:tcPr>
            <w:tcW w:w="787" w:type="dxa"/>
          </w:tcPr>
          <w:p w14:paraId="27D909E1" w14:textId="77777777" w:rsidR="00CC6382" w:rsidRDefault="00CC6382" w:rsidP="007A5428">
            <w:r>
              <w:t>159</w:t>
            </w:r>
          </w:p>
        </w:tc>
        <w:tc>
          <w:tcPr>
            <w:tcW w:w="1013" w:type="dxa"/>
          </w:tcPr>
          <w:p w14:paraId="4C5CB59C" w14:textId="77777777" w:rsidR="00CC6382" w:rsidRDefault="00CC6382" w:rsidP="007A5428">
            <w:r>
              <w:t>0.27</w:t>
            </w:r>
          </w:p>
        </w:tc>
        <w:tc>
          <w:tcPr>
            <w:tcW w:w="990" w:type="dxa"/>
            <w:vAlign w:val="center"/>
          </w:tcPr>
          <w:p w14:paraId="1BAFF658" w14:textId="77777777" w:rsidR="00CC6382" w:rsidRPr="007B4124" w:rsidRDefault="00CC6382" w:rsidP="007A5428">
            <w:r w:rsidRPr="007B4124">
              <w:rPr>
                <w:rFonts w:ascii="Calibri" w:hAnsi="Calibri"/>
                <w:bCs/>
              </w:rPr>
              <w:t>1.04</w:t>
            </w:r>
          </w:p>
        </w:tc>
        <w:tc>
          <w:tcPr>
            <w:tcW w:w="990" w:type="dxa"/>
          </w:tcPr>
          <w:p w14:paraId="488A4B2F" w14:textId="77777777" w:rsidR="00CC6382" w:rsidRPr="00F05239" w:rsidRDefault="00CC6382" w:rsidP="007A5428">
            <w:r w:rsidRPr="00F05239">
              <w:t>0.64</w:t>
            </w:r>
          </w:p>
        </w:tc>
        <w:tc>
          <w:tcPr>
            <w:tcW w:w="990" w:type="dxa"/>
          </w:tcPr>
          <w:p w14:paraId="39B84D43" w14:textId="77777777" w:rsidR="00CC6382" w:rsidRPr="00F05239" w:rsidRDefault="00CC6382" w:rsidP="007A5428">
            <w:r>
              <w:t>33%</w:t>
            </w:r>
          </w:p>
        </w:tc>
        <w:tc>
          <w:tcPr>
            <w:tcW w:w="990" w:type="dxa"/>
          </w:tcPr>
          <w:p w14:paraId="6E78D89B" w14:textId="77777777" w:rsidR="00CC6382" w:rsidRPr="00F05239" w:rsidRDefault="00CC6382" w:rsidP="007A5428">
            <w:r>
              <w:t>45%</w:t>
            </w:r>
          </w:p>
        </w:tc>
        <w:tc>
          <w:tcPr>
            <w:tcW w:w="990" w:type="dxa"/>
          </w:tcPr>
          <w:p w14:paraId="3D5F2FEF" w14:textId="45E23E94" w:rsidR="00CC6382" w:rsidRDefault="00CC6382" w:rsidP="007A5428">
            <w:r>
              <w:t>12%</w:t>
            </w:r>
          </w:p>
        </w:tc>
      </w:tr>
      <w:tr w:rsidR="00CC6382" w14:paraId="6DC52215" w14:textId="07BEC90E" w:rsidTr="00CC6382">
        <w:tc>
          <w:tcPr>
            <w:tcW w:w="1190" w:type="dxa"/>
          </w:tcPr>
          <w:p w14:paraId="728FF0BC" w14:textId="77777777" w:rsidR="00CC6382" w:rsidRDefault="00CC6382" w:rsidP="007A5428">
            <w:r>
              <w:t>Site 6</w:t>
            </w:r>
          </w:p>
        </w:tc>
        <w:tc>
          <w:tcPr>
            <w:tcW w:w="875" w:type="dxa"/>
          </w:tcPr>
          <w:p w14:paraId="17134101" w14:textId="77777777" w:rsidR="00CC6382" w:rsidRDefault="00CC6382" w:rsidP="007A5428">
            <w:r>
              <w:t>110</w:t>
            </w:r>
          </w:p>
        </w:tc>
        <w:tc>
          <w:tcPr>
            <w:tcW w:w="1013" w:type="dxa"/>
          </w:tcPr>
          <w:p w14:paraId="58B17BA2" w14:textId="77777777" w:rsidR="00CC6382" w:rsidRDefault="00CC6382" w:rsidP="007A5428">
            <w:r>
              <w:t>0.24</w:t>
            </w:r>
          </w:p>
        </w:tc>
        <w:tc>
          <w:tcPr>
            <w:tcW w:w="787" w:type="dxa"/>
          </w:tcPr>
          <w:p w14:paraId="2BE0DF81" w14:textId="77777777" w:rsidR="00CC6382" w:rsidRDefault="00CC6382" w:rsidP="007A5428">
            <w:r>
              <w:t>268</w:t>
            </w:r>
          </w:p>
        </w:tc>
        <w:tc>
          <w:tcPr>
            <w:tcW w:w="1013" w:type="dxa"/>
          </w:tcPr>
          <w:p w14:paraId="6CEB0FAF" w14:textId="77777777" w:rsidR="00CC6382" w:rsidRDefault="00CC6382" w:rsidP="007A5428">
            <w:r>
              <w:t>0.26</w:t>
            </w:r>
          </w:p>
        </w:tc>
        <w:tc>
          <w:tcPr>
            <w:tcW w:w="990" w:type="dxa"/>
            <w:vAlign w:val="center"/>
          </w:tcPr>
          <w:p w14:paraId="10C592C8" w14:textId="77777777" w:rsidR="00CC6382" w:rsidRPr="007B4124" w:rsidRDefault="00CC6382" w:rsidP="007A5428">
            <w:r w:rsidRPr="007B4124">
              <w:rPr>
                <w:rFonts w:ascii="Calibri" w:hAnsi="Calibri"/>
                <w:bCs/>
              </w:rPr>
              <w:t>1.08</w:t>
            </w:r>
          </w:p>
        </w:tc>
        <w:tc>
          <w:tcPr>
            <w:tcW w:w="990" w:type="dxa"/>
          </w:tcPr>
          <w:p w14:paraId="069CACD8" w14:textId="77777777" w:rsidR="00CC6382" w:rsidRDefault="00CC6382" w:rsidP="007A5428">
            <w:r>
              <w:t>0.21</w:t>
            </w:r>
          </w:p>
        </w:tc>
        <w:tc>
          <w:tcPr>
            <w:tcW w:w="990" w:type="dxa"/>
          </w:tcPr>
          <w:p w14:paraId="02968120" w14:textId="77777777" w:rsidR="00CC6382" w:rsidRDefault="00CC6382" w:rsidP="007A5428">
            <w:r>
              <w:t>61%</w:t>
            </w:r>
          </w:p>
        </w:tc>
        <w:tc>
          <w:tcPr>
            <w:tcW w:w="990" w:type="dxa"/>
          </w:tcPr>
          <w:p w14:paraId="62E45CB3" w14:textId="77777777" w:rsidR="00CC6382" w:rsidRDefault="00CC6382" w:rsidP="007A5428">
            <w:r>
              <w:t>95%</w:t>
            </w:r>
          </w:p>
        </w:tc>
        <w:tc>
          <w:tcPr>
            <w:tcW w:w="990" w:type="dxa"/>
          </w:tcPr>
          <w:p w14:paraId="3D33E0C6" w14:textId="1987E838" w:rsidR="00CC6382" w:rsidRDefault="00CC6382" w:rsidP="007A5428">
            <w:r>
              <w:t>34%</w:t>
            </w:r>
          </w:p>
        </w:tc>
      </w:tr>
      <w:tr w:rsidR="00CC6382" w14:paraId="41529081" w14:textId="0A42D8BC" w:rsidTr="00CC6382">
        <w:tc>
          <w:tcPr>
            <w:tcW w:w="1190" w:type="dxa"/>
          </w:tcPr>
          <w:p w14:paraId="3EB9756B" w14:textId="77777777" w:rsidR="00CC6382" w:rsidRDefault="00CC6382" w:rsidP="007A5428">
            <w:r>
              <w:lastRenderedPageBreak/>
              <w:t>Site 7</w:t>
            </w:r>
          </w:p>
        </w:tc>
        <w:tc>
          <w:tcPr>
            <w:tcW w:w="875" w:type="dxa"/>
          </w:tcPr>
          <w:p w14:paraId="6BDA5206" w14:textId="77777777" w:rsidR="00CC6382" w:rsidRDefault="00CC6382" w:rsidP="007A5428">
            <w:r>
              <w:t>68</w:t>
            </w:r>
          </w:p>
        </w:tc>
        <w:tc>
          <w:tcPr>
            <w:tcW w:w="1013" w:type="dxa"/>
          </w:tcPr>
          <w:p w14:paraId="3189AD50" w14:textId="77777777" w:rsidR="00CC6382" w:rsidRDefault="00CC6382" w:rsidP="007A5428">
            <w:r>
              <w:t>0.16</w:t>
            </w:r>
          </w:p>
        </w:tc>
        <w:tc>
          <w:tcPr>
            <w:tcW w:w="787" w:type="dxa"/>
          </w:tcPr>
          <w:p w14:paraId="09CA96BB" w14:textId="77777777" w:rsidR="00CC6382" w:rsidRDefault="00CC6382" w:rsidP="007A5428">
            <w:r>
              <w:t>459</w:t>
            </w:r>
          </w:p>
        </w:tc>
        <w:tc>
          <w:tcPr>
            <w:tcW w:w="1013" w:type="dxa"/>
          </w:tcPr>
          <w:p w14:paraId="3C052E0B" w14:textId="77777777" w:rsidR="00CC6382" w:rsidRDefault="00CC6382" w:rsidP="007A5428">
            <w:r>
              <w:t>0.23</w:t>
            </w:r>
          </w:p>
        </w:tc>
        <w:tc>
          <w:tcPr>
            <w:tcW w:w="990" w:type="dxa"/>
            <w:vAlign w:val="center"/>
          </w:tcPr>
          <w:p w14:paraId="2DC438FC" w14:textId="77777777" w:rsidR="00CC6382" w:rsidRPr="00D30865" w:rsidRDefault="00CC6382" w:rsidP="007A5428">
            <w:pPr>
              <w:rPr>
                <w:b/>
                <w:color w:val="FF0000"/>
              </w:rPr>
            </w:pPr>
            <w:r>
              <w:rPr>
                <w:rFonts w:ascii="Calibri" w:hAnsi="Calibri"/>
                <w:b/>
                <w:bCs/>
                <w:color w:val="FF0000"/>
              </w:rPr>
              <w:t>1.44</w:t>
            </w:r>
          </w:p>
        </w:tc>
        <w:tc>
          <w:tcPr>
            <w:tcW w:w="990" w:type="dxa"/>
          </w:tcPr>
          <w:p w14:paraId="5BCADEFB" w14:textId="77777777" w:rsidR="00CC6382" w:rsidRPr="00F05239" w:rsidRDefault="00CC6382" w:rsidP="007A5428">
            <w:pPr>
              <w:rPr>
                <w:b/>
              </w:rPr>
            </w:pPr>
            <w:r w:rsidRPr="00D30865">
              <w:rPr>
                <w:b/>
                <w:color w:val="FF0000"/>
              </w:rPr>
              <w:t>0.0004</w:t>
            </w:r>
          </w:p>
        </w:tc>
        <w:tc>
          <w:tcPr>
            <w:tcW w:w="990" w:type="dxa"/>
          </w:tcPr>
          <w:p w14:paraId="3B50B1E8" w14:textId="77777777" w:rsidR="00CC6382" w:rsidRPr="00D30865" w:rsidRDefault="00CC6382" w:rsidP="007A5428">
            <w:pPr>
              <w:rPr>
                <w:b/>
                <w:color w:val="FF0000"/>
              </w:rPr>
            </w:pPr>
            <w:r>
              <w:rPr>
                <w:b/>
                <w:color w:val="FF0000"/>
              </w:rPr>
              <w:t>2%</w:t>
            </w:r>
          </w:p>
        </w:tc>
        <w:tc>
          <w:tcPr>
            <w:tcW w:w="990" w:type="dxa"/>
          </w:tcPr>
          <w:p w14:paraId="21C5EE45" w14:textId="77777777" w:rsidR="00CC6382" w:rsidRPr="00D30865" w:rsidRDefault="00CC6382" w:rsidP="007A5428">
            <w:pPr>
              <w:rPr>
                <w:b/>
                <w:color w:val="FF0000"/>
              </w:rPr>
            </w:pPr>
            <w:r>
              <w:rPr>
                <w:b/>
                <w:color w:val="FF0000"/>
              </w:rPr>
              <w:t>61%</w:t>
            </w:r>
          </w:p>
        </w:tc>
        <w:tc>
          <w:tcPr>
            <w:tcW w:w="990" w:type="dxa"/>
          </w:tcPr>
          <w:p w14:paraId="41815EBE" w14:textId="0D5569EF" w:rsidR="00CC6382" w:rsidRDefault="00CC6382" w:rsidP="007A5428">
            <w:pPr>
              <w:rPr>
                <w:b/>
                <w:color w:val="FF0000"/>
              </w:rPr>
            </w:pPr>
            <w:r>
              <w:rPr>
                <w:b/>
                <w:color w:val="FF0000"/>
              </w:rPr>
              <w:t>59%</w:t>
            </w:r>
          </w:p>
        </w:tc>
      </w:tr>
      <w:tr w:rsidR="00CC6382" w14:paraId="79731E56" w14:textId="1B1C6C94" w:rsidTr="00CC6382">
        <w:tc>
          <w:tcPr>
            <w:tcW w:w="1190" w:type="dxa"/>
          </w:tcPr>
          <w:p w14:paraId="177E6AA0" w14:textId="77777777" w:rsidR="00CC6382" w:rsidRDefault="00CC6382" w:rsidP="007A5428">
            <w:r>
              <w:t>Site 8</w:t>
            </w:r>
          </w:p>
        </w:tc>
        <w:tc>
          <w:tcPr>
            <w:tcW w:w="875" w:type="dxa"/>
          </w:tcPr>
          <w:p w14:paraId="67CD33B8" w14:textId="77777777" w:rsidR="00CC6382" w:rsidRDefault="00CC6382" w:rsidP="007A5428">
            <w:r>
              <w:t>39</w:t>
            </w:r>
          </w:p>
        </w:tc>
        <w:tc>
          <w:tcPr>
            <w:tcW w:w="1013" w:type="dxa"/>
          </w:tcPr>
          <w:p w14:paraId="46461181" w14:textId="77777777" w:rsidR="00CC6382" w:rsidRDefault="00CC6382" w:rsidP="007A5428">
            <w:r>
              <w:t>0.08</w:t>
            </w:r>
          </w:p>
        </w:tc>
        <w:tc>
          <w:tcPr>
            <w:tcW w:w="787" w:type="dxa"/>
          </w:tcPr>
          <w:p w14:paraId="091A5EC7" w14:textId="77777777" w:rsidR="00CC6382" w:rsidRDefault="00CC6382" w:rsidP="007A5428">
            <w:r>
              <w:t>149</w:t>
            </w:r>
          </w:p>
        </w:tc>
        <w:tc>
          <w:tcPr>
            <w:tcW w:w="1013" w:type="dxa"/>
          </w:tcPr>
          <w:p w14:paraId="53B2B4C2" w14:textId="77777777" w:rsidR="00CC6382" w:rsidRDefault="00CC6382" w:rsidP="007A5428">
            <w:r>
              <w:t>0.04</w:t>
            </w:r>
          </w:p>
        </w:tc>
        <w:tc>
          <w:tcPr>
            <w:tcW w:w="990" w:type="dxa"/>
            <w:vAlign w:val="center"/>
          </w:tcPr>
          <w:p w14:paraId="09CD66B9" w14:textId="77777777" w:rsidR="00CC6382" w:rsidRPr="00457032" w:rsidRDefault="00CC6382" w:rsidP="007A5428">
            <w:pPr>
              <w:rPr>
                <w:b/>
                <w:color w:val="00B050"/>
              </w:rPr>
            </w:pPr>
            <w:r>
              <w:rPr>
                <w:rFonts w:ascii="Calibri" w:hAnsi="Calibri"/>
                <w:b/>
                <w:bCs/>
                <w:color w:val="00B050"/>
              </w:rPr>
              <w:t>0.50</w:t>
            </w:r>
          </w:p>
        </w:tc>
        <w:tc>
          <w:tcPr>
            <w:tcW w:w="990" w:type="dxa"/>
          </w:tcPr>
          <w:p w14:paraId="27EA7E6E" w14:textId="77777777" w:rsidR="00CC6382" w:rsidRPr="00457032" w:rsidRDefault="00CC6382" w:rsidP="007A5428">
            <w:pPr>
              <w:rPr>
                <w:b/>
                <w:color w:val="00B050"/>
              </w:rPr>
            </w:pPr>
            <w:r w:rsidRPr="00457032">
              <w:rPr>
                <w:b/>
                <w:color w:val="00B050"/>
              </w:rPr>
              <w:t>0.0</w:t>
            </w:r>
            <w:r>
              <w:rPr>
                <w:b/>
                <w:color w:val="00B050"/>
              </w:rPr>
              <w:t>1</w:t>
            </w:r>
          </w:p>
        </w:tc>
        <w:tc>
          <w:tcPr>
            <w:tcW w:w="990" w:type="dxa"/>
          </w:tcPr>
          <w:p w14:paraId="44BF0328" w14:textId="77777777" w:rsidR="00CC6382" w:rsidRPr="00457032" w:rsidRDefault="00CC6382" w:rsidP="007A5428">
            <w:pPr>
              <w:rPr>
                <w:b/>
                <w:color w:val="00B050"/>
              </w:rPr>
            </w:pPr>
            <w:r>
              <w:rPr>
                <w:b/>
                <w:color w:val="00B050"/>
              </w:rPr>
              <w:t>1%</w:t>
            </w:r>
          </w:p>
        </w:tc>
        <w:tc>
          <w:tcPr>
            <w:tcW w:w="990" w:type="dxa"/>
          </w:tcPr>
          <w:p w14:paraId="6EE8F104" w14:textId="77777777" w:rsidR="00CC6382" w:rsidRPr="00457032" w:rsidRDefault="00CC6382" w:rsidP="007A5428">
            <w:pPr>
              <w:rPr>
                <w:b/>
                <w:color w:val="00B050"/>
              </w:rPr>
            </w:pPr>
            <w:r>
              <w:rPr>
                <w:b/>
                <w:color w:val="00B050"/>
              </w:rPr>
              <w:t>91%</w:t>
            </w:r>
          </w:p>
        </w:tc>
        <w:tc>
          <w:tcPr>
            <w:tcW w:w="990" w:type="dxa"/>
          </w:tcPr>
          <w:p w14:paraId="2C7E1D2B" w14:textId="56AA0A0F" w:rsidR="00CC6382" w:rsidRDefault="00CC6382" w:rsidP="007A5428">
            <w:pPr>
              <w:rPr>
                <w:b/>
                <w:color w:val="00B050"/>
              </w:rPr>
            </w:pPr>
            <w:r>
              <w:rPr>
                <w:b/>
                <w:color w:val="00B050"/>
              </w:rPr>
              <w:t>89%</w:t>
            </w:r>
          </w:p>
        </w:tc>
      </w:tr>
      <w:tr w:rsidR="00CC6382" w14:paraId="06094FD8" w14:textId="7D31C552" w:rsidTr="00CC6382">
        <w:tc>
          <w:tcPr>
            <w:tcW w:w="1190" w:type="dxa"/>
          </w:tcPr>
          <w:p w14:paraId="505FBB0F" w14:textId="77777777" w:rsidR="00CC6382" w:rsidRDefault="00CC6382" w:rsidP="007A5428">
            <w:r>
              <w:t>Site 9</w:t>
            </w:r>
          </w:p>
        </w:tc>
        <w:tc>
          <w:tcPr>
            <w:tcW w:w="875" w:type="dxa"/>
          </w:tcPr>
          <w:p w14:paraId="039804FF" w14:textId="77777777" w:rsidR="00CC6382" w:rsidRDefault="00CC6382" w:rsidP="007A5428">
            <w:r>
              <w:t>29</w:t>
            </w:r>
          </w:p>
        </w:tc>
        <w:tc>
          <w:tcPr>
            <w:tcW w:w="1013" w:type="dxa"/>
          </w:tcPr>
          <w:p w14:paraId="7A04563E" w14:textId="77777777" w:rsidR="00CC6382" w:rsidRDefault="00CC6382" w:rsidP="007A5428">
            <w:r>
              <w:t>0.46</w:t>
            </w:r>
          </w:p>
        </w:tc>
        <w:tc>
          <w:tcPr>
            <w:tcW w:w="787" w:type="dxa"/>
          </w:tcPr>
          <w:p w14:paraId="136D7DCA" w14:textId="77777777" w:rsidR="00CC6382" w:rsidRDefault="00CC6382" w:rsidP="007A5428">
            <w:r>
              <w:t>319</w:t>
            </w:r>
          </w:p>
        </w:tc>
        <w:tc>
          <w:tcPr>
            <w:tcW w:w="1013" w:type="dxa"/>
          </w:tcPr>
          <w:p w14:paraId="6A7F6C32" w14:textId="77777777" w:rsidR="00CC6382" w:rsidRDefault="00CC6382" w:rsidP="007A5428">
            <w:r>
              <w:t>0.32</w:t>
            </w:r>
          </w:p>
        </w:tc>
        <w:tc>
          <w:tcPr>
            <w:tcW w:w="990" w:type="dxa"/>
            <w:vAlign w:val="center"/>
          </w:tcPr>
          <w:p w14:paraId="3566B4BF" w14:textId="77777777" w:rsidR="00CC6382" w:rsidRPr="00457032" w:rsidRDefault="00CC6382" w:rsidP="007A5428">
            <w:pPr>
              <w:rPr>
                <w:b/>
                <w:color w:val="00B050"/>
              </w:rPr>
            </w:pPr>
            <w:r>
              <w:rPr>
                <w:rFonts w:ascii="Calibri" w:hAnsi="Calibri"/>
                <w:b/>
                <w:bCs/>
                <w:color w:val="00B050"/>
              </w:rPr>
              <w:t>0.70</w:t>
            </w:r>
          </w:p>
        </w:tc>
        <w:tc>
          <w:tcPr>
            <w:tcW w:w="990" w:type="dxa"/>
          </w:tcPr>
          <w:p w14:paraId="4030E385" w14:textId="77777777" w:rsidR="00CC6382" w:rsidRPr="00457032" w:rsidRDefault="00CC6382" w:rsidP="007A5428">
            <w:pPr>
              <w:rPr>
                <w:b/>
                <w:color w:val="00B050"/>
              </w:rPr>
            </w:pPr>
            <w:r w:rsidRPr="00457032">
              <w:rPr>
                <w:b/>
                <w:color w:val="00B050"/>
              </w:rPr>
              <w:t>0.00</w:t>
            </w:r>
            <w:r>
              <w:rPr>
                <w:b/>
                <w:color w:val="00B050"/>
              </w:rPr>
              <w:t>01</w:t>
            </w:r>
          </w:p>
        </w:tc>
        <w:tc>
          <w:tcPr>
            <w:tcW w:w="990" w:type="dxa"/>
          </w:tcPr>
          <w:p w14:paraId="67CF2EC3" w14:textId="77777777" w:rsidR="00CC6382" w:rsidRPr="00457032" w:rsidRDefault="00CC6382" w:rsidP="007A5428">
            <w:pPr>
              <w:rPr>
                <w:b/>
                <w:color w:val="00B050"/>
              </w:rPr>
            </w:pPr>
            <w:r>
              <w:rPr>
                <w:b/>
                <w:color w:val="00B050"/>
              </w:rPr>
              <w:t>1%</w:t>
            </w:r>
          </w:p>
        </w:tc>
        <w:tc>
          <w:tcPr>
            <w:tcW w:w="990" w:type="dxa"/>
          </w:tcPr>
          <w:p w14:paraId="1241EC0C" w14:textId="77777777" w:rsidR="00CC6382" w:rsidRPr="00457032" w:rsidRDefault="00CC6382" w:rsidP="007A5428">
            <w:pPr>
              <w:rPr>
                <w:b/>
                <w:color w:val="00B050"/>
              </w:rPr>
            </w:pPr>
            <w:r>
              <w:rPr>
                <w:b/>
                <w:color w:val="00B050"/>
              </w:rPr>
              <w:t>80%</w:t>
            </w:r>
          </w:p>
        </w:tc>
        <w:tc>
          <w:tcPr>
            <w:tcW w:w="990" w:type="dxa"/>
          </w:tcPr>
          <w:p w14:paraId="796BDEA9" w14:textId="1E4E409B" w:rsidR="00CC6382" w:rsidRDefault="00CC6382" w:rsidP="007A5428">
            <w:pPr>
              <w:rPr>
                <w:b/>
                <w:color w:val="00B050"/>
              </w:rPr>
            </w:pPr>
            <w:r>
              <w:rPr>
                <w:b/>
                <w:color w:val="00B050"/>
              </w:rPr>
              <w:t>79%</w:t>
            </w:r>
          </w:p>
        </w:tc>
      </w:tr>
      <w:tr w:rsidR="00CC6382" w14:paraId="730E5A7E" w14:textId="3A49ED9C" w:rsidTr="00CC6382">
        <w:tc>
          <w:tcPr>
            <w:tcW w:w="1190" w:type="dxa"/>
          </w:tcPr>
          <w:p w14:paraId="2E48CFE3" w14:textId="77777777" w:rsidR="00CC6382" w:rsidRDefault="00CC6382" w:rsidP="007A5428">
            <w:r>
              <w:t>Site 10</w:t>
            </w:r>
          </w:p>
        </w:tc>
        <w:tc>
          <w:tcPr>
            <w:tcW w:w="875" w:type="dxa"/>
          </w:tcPr>
          <w:p w14:paraId="3A5BF6B4" w14:textId="77777777" w:rsidR="00CC6382" w:rsidRDefault="00CC6382" w:rsidP="007A5428">
            <w:r>
              <w:t>72</w:t>
            </w:r>
          </w:p>
        </w:tc>
        <w:tc>
          <w:tcPr>
            <w:tcW w:w="1013" w:type="dxa"/>
          </w:tcPr>
          <w:p w14:paraId="75143CEA" w14:textId="77777777" w:rsidR="00CC6382" w:rsidRDefault="00CC6382" w:rsidP="007A5428">
            <w:r>
              <w:t>0.40</w:t>
            </w:r>
          </w:p>
        </w:tc>
        <w:tc>
          <w:tcPr>
            <w:tcW w:w="787" w:type="dxa"/>
          </w:tcPr>
          <w:p w14:paraId="2471E1EF" w14:textId="77777777" w:rsidR="00CC6382" w:rsidRDefault="00CC6382" w:rsidP="007A5428">
            <w:r>
              <w:t>124</w:t>
            </w:r>
          </w:p>
        </w:tc>
        <w:tc>
          <w:tcPr>
            <w:tcW w:w="1013" w:type="dxa"/>
          </w:tcPr>
          <w:p w14:paraId="3FF54A4B" w14:textId="77777777" w:rsidR="00CC6382" w:rsidRDefault="00CC6382" w:rsidP="007A5428">
            <w:r>
              <w:t>0.26</w:t>
            </w:r>
          </w:p>
        </w:tc>
        <w:tc>
          <w:tcPr>
            <w:tcW w:w="990" w:type="dxa"/>
            <w:vAlign w:val="center"/>
          </w:tcPr>
          <w:p w14:paraId="402FE920" w14:textId="77777777" w:rsidR="00CC6382" w:rsidRPr="00457032" w:rsidRDefault="00CC6382" w:rsidP="007A5428">
            <w:pPr>
              <w:rPr>
                <w:b/>
                <w:color w:val="00B050"/>
              </w:rPr>
            </w:pPr>
            <w:r>
              <w:rPr>
                <w:rFonts w:ascii="Calibri" w:hAnsi="Calibri"/>
                <w:b/>
                <w:bCs/>
                <w:color w:val="00B050"/>
              </w:rPr>
              <w:t>0.65</w:t>
            </w:r>
          </w:p>
        </w:tc>
        <w:tc>
          <w:tcPr>
            <w:tcW w:w="990" w:type="dxa"/>
          </w:tcPr>
          <w:p w14:paraId="090F4E37" w14:textId="77777777" w:rsidR="00CC6382" w:rsidRPr="00457032" w:rsidRDefault="00CC6382" w:rsidP="007A5428">
            <w:pPr>
              <w:rPr>
                <w:b/>
                <w:color w:val="00B050"/>
              </w:rPr>
            </w:pPr>
            <w:r w:rsidRPr="00457032">
              <w:rPr>
                <w:b/>
                <w:color w:val="00B050"/>
              </w:rPr>
              <w:t>&lt;0.0001</w:t>
            </w:r>
          </w:p>
        </w:tc>
        <w:tc>
          <w:tcPr>
            <w:tcW w:w="990" w:type="dxa"/>
          </w:tcPr>
          <w:p w14:paraId="0EA35211" w14:textId="77777777" w:rsidR="00CC6382" w:rsidRPr="00457032" w:rsidRDefault="00CC6382" w:rsidP="007A5428">
            <w:pPr>
              <w:rPr>
                <w:b/>
                <w:color w:val="00B050"/>
              </w:rPr>
            </w:pPr>
            <w:r>
              <w:rPr>
                <w:b/>
                <w:color w:val="00B050"/>
              </w:rPr>
              <w:t>0%</w:t>
            </w:r>
          </w:p>
        </w:tc>
        <w:tc>
          <w:tcPr>
            <w:tcW w:w="990" w:type="dxa"/>
          </w:tcPr>
          <w:p w14:paraId="2A900B4D" w14:textId="77777777" w:rsidR="00CC6382" w:rsidRPr="00457032" w:rsidRDefault="00CC6382" w:rsidP="007A5428">
            <w:pPr>
              <w:rPr>
                <w:b/>
                <w:color w:val="00B050"/>
              </w:rPr>
            </w:pPr>
            <w:r>
              <w:rPr>
                <w:b/>
                <w:color w:val="00B050"/>
              </w:rPr>
              <w:t>86%</w:t>
            </w:r>
          </w:p>
        </w:tc>
        <w:tc>
          <w:tcPr>
            <w:tcW w:w="990" w:type="dxa"/>
          </w:tcPr>
          <w:p w14:paraId="412D4905" w14:textId="357ADEC9" w:rsidR="00CC6382" w:rsidRDefault="00CC6382" w:rsidP="007A5428">
            <w:pPr>
              <w:rPr>
                <w:b/>
                <w:color w:val="00B050"/>
              </w:rPr>
            </w:pPr>
            <w:r>
              <w:rPr>
                <w:b/>
                <w:color w:val="00B050"/>
              </w:rPr>
              <w:t>86%</w:t>
            </w:r>
          </w:p>
        </w:tc>
      </w:tr>
      <w:tr w:rsidR="00CC6382" w14:paraId="59E08093" w14:textId="01572C5F" w:rsidTr="00CC6382">
        <w:tc>
          <w:tcPr>
            <w:tcW w:w="1190" w:type="dxa"/>
          </w:tcPr>
          <w:p w14:paraId="08B28598" w14:textId="77777777" w:rsidR="00CC6382" w:rsidRDefault="00CC6382" w:rsidP="007A5428">
            <w:r>
              <w:t>Site 11</w:t>
            </w:r>
          </w:p>
        </w:tc>
        <w:tc>
          <w:tcPr>
            <w:tcW w:w="875" w:type="dxa"/>
          </w:tcPr>
          <w:p w14:paraId="43BBC866" w14:textId="77777777" w:rsidR="00CC6382" w:rsidRDefault="00CC6382" w:rsidP="007A5428">
            <w:r>
              <w:t>56</w:t>
            </w:r>
          </w:p>
        </w:tc>
        <w:tc>
          <w:tcPr>
            <w:tcW w:w="1013" w:type="dxa"/>
          </w:tcPr>
          <w:p w14:paraId="1603C307" w14:textId="77777777" w:rsidR="00CC6382" w:rsidRDefault="00CC6382" w:rsidP="007A5428">
            <w:r>
              <w:t>0.32</w:t>
            </w:r>
          </w:p>
        </w:tc>
        <w:tc>
          <w:tcPr>
            <w:tcW w:w="787" w:type="dxa"/>
          </w:tcPr>
          <w:p w14:paraId="295DB272" w14:textId="77777777" w:rsidR="00CC6382" w:rsidRDefault="00CC6382" w:rsidP="007A5428">
            <w:r>
              <w:t>294</w:t>
            </w:r>
          </w:p>
        </w:tc>
        <w:tc>
          <w:tcPr>
            <w:tcW w:w="1013" w:type="dxa"/>
          </w:tcPr>
          <w:p w14:paraId="0A937D29" w14:textId="77777777" w:rsidR="00CC6382" w:rsidRDefault="00CC6382" w:rsidP="007A5428">
            <w:r>
              <w:t>0.31</w:t>
            </w:r>
          </w:p>
        </w:tc>
        <w:tc>
          <w:tcPr>
            <w:tcW w:w="990" w:type="dxa"/>
            <w:vAlign w:val="center"/>
          </w:tcPr>
          <w:p w14:paraId="573534C8" w14:textId="77777777" w:rsidR="00CC6382" w:rsidRPr="007B4124" w:rsidRDefault="00CC6382" w:rsidP="007A5428">
            <w:r w:rsidRPr="007B4124">
              <w:rPr>
                <w:rFonts w:ascii="Calibri" w:hAnsi="Calibri"/>
                <w:bCs/>
              </w:rPr>
              <w:t>0.97</w:t>
            </w:r>
          </w:p>
        </w:tc>
        <w:tc>
          <w:tcPr>
            <w:tcW w:w="990" w:type="dxa"/>
          </w:tcPr>
          <w:p w14:paraId="2F36C0E9" w14:textId="77777777" w:rsidR="00CC6382" w:rsidRPr="00D33D4D" w:rsidRDefault="00CC6382" w:rsidP="007A5428">
            <w:pPr>
              <w:rPr>
                <w:color w:val="00B050"/>
              </w:rPr>
            </w:pPr>
            <w:r w:rsidRPr="00D33D4D">
              <w:t>0.63</w:t>
            </w:r>
          </w:p>
        </w:tc>
        <w:tc>
          <w:tcPr>
            <w:tcW w:w="990" w:type="dxa"/>
          </w:tcPr>
          <w:p w14:paraId="29EE9044" w14:textId="77777777" w:rsidR="00CC6382" w:rsidRPr="00D33D4D" w:rsidRDefault="00CC6382" w:rsidP="007A5428">
            <w:r>
              <w:t>20%</w:t>
            </w:r>
          </w:p>
        </w:tc>
        <w:tc>
          <w:tcPr>
            <w:tcW w:w="990" w:type="dxa"/>
          </w:tcPr>
          <w:p w14:paraId="402155AC" w14:textId="77777777" w:rsidR="00CC6382" w:rsidRPr="00D33D4D" w:rsidRDefault="00CC6382" w:rsidP="007A5428">
            <w:r>
              <w:t>35%</w:t>
            </w:r>
          </w:p>
        </w:tc>
        <w:tc>
          <w:tcPr>
            <w:tcW w:w="990" w:type="dxa"/>
          </w:tcPr>
          <w:p w14:paraId="084DED0A" w14:textId="0B4E58F1" w:rsidR="00CC6382" w:rsidRDefault="00CC6382" w:rsidP="007A5428">
            <w:r>
              <w:t>15%</w:t>
            </w:r>
          </w:p>
        </w:tc>
      </w:tr>
      <w:tr w:rsidR="00CC6382" w14:paraId="7EA8B6ED" w14:textId="308B58C6" w:rsidTr="00CC6382">
        <w:tc>
          <w:tcPr>
            <w:tcW w:w="1190" w:type="dxa"/>
          </w:tcPr>
          <w:p w14:paraId="14B1601F" w14:textId="77777777" w:rsidR="00CC6382" w:rsidRDefault="00CC6382" w:rsidP="007A5428">
            <w:r>
              <w:t>Site 12</w:t>
            </w:r>
          </w:p>
        </w:tc>
        <w:tc>
          <w:tcPr>
            <w:tcW w:w="875" w:type="dxa"/>
          </w:tcPr>
          <w:p w14:paraId="73C13B22" w14:textId="77777777" w:rsidR="00CC6382" w:rsidRDefault="00CC6382" w:rsidP="007A5428">
            <w:r>
              <w:t>45</w:t>
            </w:r>
          </w:p>
        </w:tc>
        <w:tc>
          <w:tcPr>
            <w:tcW w:w="1013" w:type="dxa"/>
          </w:tcPr>
          <w:p w14:paraId="57067831" w14:textId="77777777" w:rsidR="00CC6382" w:rsidRDefault="00CC6382" w:rsidP="007A5428">
            <w:r>
              <w:t>0.47</w:t>
            </w:r>
          </w:p>
        </w:tc>
        <w:tc>
          <w:tcPr>
            <w:tcW w:w="787" w:type="dxa"/>
          </w:tcPr>
          <w:p w14:paraId="2E3DDEEC" w14:textId="77777777" w:rsidR="00CC6382" w:rsidRDefault="00CC6382" w:rsidP="007A5428">
            <w:r>
              <w:t>82</w:t>
            </w:r>
          </w:p>
        </w:tc>
        <w:tc>
          <w:tcPr>
            <w:tcW w:w="1013" w:type="dxa"/>
          </w:tcPr>
          <w:p w14:paraId="169DC586" w14:textId="77777777" w:rsidR="00CC6382" w:rsidRDefault="00CC6382" w:rsidP="007A5428">
            <w:r>
              <w:t>0.36</w:t>
            </w:r>
          </w:p>
        </w:tc>
        <w:tc>
          <w:tcPr>
            <w:tcW w:w="990" w:type="dxa"/>
            <w:vAlign w:val="center"/>
          </w:tcPr>
          <w:p w14:paraId="3DAF6B97" w14:textId="77777777" w:rsidR="00CC6382" w:rsidRPr="00D33D4D" w:rsidRDefault="00CC6382" w:rsidP="007A5428">
            <w:pPr>
              <w:rPr>
                <w:b/>
                <w:color w:val="00B050"/>
              </w:rPr>
            </w:pPr>
            <w:r>
              <w:rPr>
                <w:rFonts w:ascii="Calibri" w:hAnsi="Calibri"/>
                <w:b/>
                <w:bCs/>
                <w:color w:val="00B050"/>
              </w:rPr>
              <w:t>0.77</w:t>
            </w:r>
          </w:p>
        </w:tc>
        <w:tc>
          <w:tcPr>
            <w:tcW w:w="990" w:type="dxa"/>
          </w:tcPr>
          <w:p w14:paraId="0DBF4564" w14:textId="77777777" w:rsidR="00CC6382" w:rsidRPr="00D33D4D" w:rsidRDefault="00CC6382" w:rsidP="007A5428">
            <w:pPr>
              <w:rPr>
                <w:b/>
              </w:rPr>
            </w:pPr>
            <w:r w:rsidRPr="00D33D4D">
              <w:rPr>
                <w:b/>
                <w:color w:val="00B050"/>
              </w:rPr>
              <w:t>0.003</w:t>
            </w:r>
          </w:p>
        </w:tc>
        <w:tc>
          <w:tcPr>
            <w:tcW w:w="990" w:type="dxa"/>
          </w:tcPr>
          <w:p w14:paraId="60EA2546" w14:textId="77777777" w:rsidR="00CC6382" w:rsidRPr="00D33D4D" w:rsidRDefault="00CC6382" w:rsidP="007A5428">
            <w:pPr>
              <w:rPr>
                <w:b/>
                <w:color w:val="00B050"/>
              </w:rPr>
            </w:pPr>
            <w:r>
              <w:rPr>
                <w:b/>
                <w:color w:val="00B050"/>
              </w:rPr>
              <w:t>37%</w:t>
            </w:r>
          </w:p>
        </w:tc>
        <w:tc>
          <w:tcPr>
            <w:tcW w:w="990" w:type="dxa"/>
          </w:tcPr>
          <w:p w14:paraId="11A4E9C4" w14:textId="77777777" w:rsidR="00CC6382" w:rsidRPr="00D33D4D" w:rsidRDefault="00CC6382" w:rsidP="007A5428">
            <w:pPr>
              <w:rPr>
                <w:b/>
                <w:color w:val="00B050"/>
              </w:rPr>
            </w:pPr>
            <w:r>
              <w:rPr>
                <w:b/>
                <w:color w:val="00B050"/>
              </w:rPr>
              <w:t>53%</w:t>
            </w:r>
          </w:p>
        </w:tc>
        <w:tc>
          <w:tcPr>
            <w:tcW w:w="990" w:type="dxa"/>
          </w:tcPr>
          <w:p w14:paraId="6CD9757D" w14:textId="10CECC0C" w:rsidR="00CC6382" w:rsidRDefault="00CC6382" w:rsidP="007A5428">
            <w:pPr>
              <w:rPr>
                <w:b/>
                <w:color w:val="00B050"/>
              </w:rPr>
            </w:pPr>
            <w:r>
              <w:rPr>
                <w:b/>
                <w:color w:val="00B050"/>
              </w:rPr>
              <w:t>15%</w:t>
            </w:r>
          </w:p>
        </w:tc>
      </w:tr>
      <w:tr w:rsidR="00CC6382" w14:paraId="1E844B1A" w14:textId="6D7D1E87" w:rsidTr="00CC6382">
        <w:tc>
          <w:tcPr>
            <w:tcW w:w="1190" w:type="dxa"/>
          </w:tcPr>
          <w:p w14:paraId="297EA12E" w14:textId="77777777" w:rsidR="00CC6382" w:rsidRDefault="00CC6382" w:rsidP="007A5428">
            <w:r>
              <w:t>Site 13</w:t>
            </w:r>
          </w:p>
        </w:tc>
        <w:tc>
          <w:tcPr>
            <w:tcW w:w="875" w:type="dxa"/>
          </w:tcPr>
          <w:p w14:paraId="79FA1795" w14:textId="77777777" w:rsidR="00CC6382" w:rsidRDefault="00CC6382" w:rsidP="007A5428">
            <w:r>
              <w:t>48</w:t>
            </w:r>
          </w:p>
        </w:tc>
        <w:tc>
          <w:tcPr>
            <w:tcW w:w="1013" w:type="dxa"/>
          </w:tcPr>
          <w:p w14:paraId="0A679FF9" w14:textId="77777777" w:rsidR="00CC6382" w:rsidRDefault="00CC6382" w:rsidP="007A5428">
            <w:r>
              <w:t>0.30</w:t>
            </w:r>
          </w:p>
        </w:tc>
        <w:tc>
          <w:tcPr>
            <w:tcW w:w="787" w:type="dxa"/>
          </w:tcPr>
          <w:p w14:paraId="4470DC36" w14:textId="77777777" w:rsidR="00CC6382" w:rsidRDefault="00CC6382" w:rsidP="007A5428">
            <w:r>
              <w:t>288</w:t>
            </w:r>
          </w:p>
        </w:tc>
        <w:tc>
          <w:tcPr>
            <w:tcW w:w="1013" w:type="dxa"/>
          </w:tcPr>
          <w:p w14:paraId="38BCEBC5" w14:textId="77777777" w:rsidR="00CC6382" w:rsidRDefault="00CC6382" w:rsidP="007A5428">
            <w:r>
              <w:t>0.30</w:t>
            </w:r>
          </w:p>
        </w:tc>
        <w:tc>
          <w:tcPr>
            <w:tcW w:w="990" w:type="dxa"/>
            <w:vAlign w:val="center"/>
          </w:tcPr>
          <w:p w14:paraId="42ADAA7A" w14:textId="77777777" w:rsidR="00CC6382" w:rsidRPr="007B4124" w:rsidRDefault="00CC6382" w:rsidP="007A5428">
            <w:r w:rsidRPr="007B4124">
              <w:rPr>
                <w:rFonts w:ascii="Calibri" w:hAnsi="Calibri"/>
                <w:bCs/>
              </w:rPr>
              <w:t>1.00</w:t>
            </w:r>
          </w:p>
        </w:tc>
        <w:tc>
          <w:tcPr>
            <w:tcW w:w="990" w:type="dxa"/>
          </w:tcPr>
          <w:p w14:paraId="1B71CFDB" w14:textId="77777777" w:rsidR="00CC6382" w:rsidRPr="00D33D4D" w:rsidRDefault="00CC6382" w:rsidP="007A5428">
            <w:r w:rsidRPr="00D33D4D">
              <w:t>0.98</w:t>
            </w:r>
          </w:p>
        </w:tc>
        <w:tc>
          <w:tcPr>
            <w:tcW w:w="990" w:type="dxa"/>
          </w:tcPr>
          <w:p w14:paraId="55A8D19A" w14:textId="77777777" w:rsidR="00CC6382" w:rsidRPr="00D33D4D" w:rsidRDefault="00CC6382" w:rsidP="007A5428">
            <w:r>
              <w:t>44%</w:t>
            </w:r>
          </w:p>
        </w:tc>
        <w:tc>
          <w:tcPr>
            <w:tcW w:w="990" w:type="dxa"/>
          </w:tcPr>
          <w:p w14:paraId="487DD5EA" w14:textId="77777777" w:rsidR="00CC6382" w:rsidRPr="00D33D4D" w:rsidRDefault="00CC6382" w:rsidP="007A5428">
            <w:r>
              <w:t>34%</w:t>
            </w:r>
          </w:p>
        </w:tc>
        <w:tc>
          <w:tcPr>
            <w:tcW w:w="990" w:type="dxa"/>
          </w:tcPr>
          <w:p w14:paraId="740908AA" w14:textId="77A6DABF" w:rsidR="00CC6382" w:rsidRDefault="00CC6382" w:rsidP="007A5428">
            <w:r>
              <w:t>-9%</w:t>
            </w:r>
          </w:p>
        </w:tc>
      </w:tr>
      <w:tr w:rsidR="00CC6382" w14:paraId="4DEFCE64" w14:textId="199E6A0E" w:rsidTr="00CC6382">
        <w:tc>
          <w:tcPr>
            <w:tcW w:w="1190" w:type="dxa"/>
          </w:tcPr>
          <w:p w14:paraId="5441D6CC" w14:textId="77777777" w:rsidR="00CC6382" w:rsidRDefault="00CC6382" w:rsidP="007A5428">
            <w:r>
              <w:t>Site 14</w:t>
            </w:r>
          </w:p>
        </w:tc>
        <w:tc>
          <w:tcPr>
            <w:tcW w:w="875" w:type="dxa"/>
          </w:tcPr>
          <w:p w14:paraId="7CDA2C58" w14:textId="77777777" w:rsidR="00CC6382" w:rsidRDefault="00CC6382" w:rsidP="007A5428">
            <w:r>
              <w:t>47</w:t>
            </w:r>
          </w:p>
        </w:tc>
        <w:tc>
          <w:tcPr>
            <w:tcW w:w="1013" w:type="dxa"/>
          </w:tcPr>
          <w:p w14:paraId="58E41CCF" w14:textId="77777777" w:rsidR="00CC6382" w:rsidRDefault="00CC6382" w:rsidP="007A5428">
            <w:r>
              <w:t>0.08</w:t>
            </w:r>
          </w:p>
        </w:tc>
        <w:tc>
          <w:tcPr>
            <w:tcW w:w="787" w:type="dxa"/>
          </w:tcPr>
          <w:p w14:paraId="42322051" w14:textId="77777777" w:rsidR="00CC6382" w:rsidRDefault="00CC6382" w:rsidP="007A5428">
            <w:r>
              <w:t>100</w:t>
            </w:r>
          </w:p>
        </w:tc>
        <w:tc>
          <w:tcPr>
            <w:tcW w:w="1013" w:type="dxa"/>
          </w:tcPr>
          <w:p w14:paraId="180EAB94" w14:textId="77777777" w:rsidR="00CC6382" w:rsidRDefault="00CC6382" w:rsidP="007A5428">
            <w:r>
              <w:t>0.11</w:t>
            </w:r>
          </w:p>
        </w:tc>
        <w:tc>
          <w:tcPr>
            <w:tcW w:w="990" w:type="dxa"/>
            <w:vAlign w:val="center"/>
          </w:tcPr>
          <w:p w14:paraId="05D912AD" w14:textId="77777777" w:rsidR="00CC6382" w:rsidRPr="007B4124" w:rsidRDefault="00CC6382" w:rsidP="007A5428">
            <w:r w:rsidRPr="007B4124">
              <w:rPr>
                <w:rFonts w:ascii="Calibri" w:hAnsi="Calibri"/>
                <w:bCs/>
              </w:rPr>
              <w:t>1.38</w:t>
            </w:r>
          </w:p>
        </w:tc>
        <w:tc>
          <w:tcPr>
            <w:tcW w:w="990" w:type="dxa"/>
          </w:tcPr>
          <w:p w14:paraId="73AE3C61" w14:textId="77777777" w:rsidR="00CC6382" w:rsidRPr="00B65674" w:rsidRDefault="00CC6382" w:rsidP="007A5428">
            <w:r w:rsidRPr="00B65674">
              <w:t>0.17</w:t>
            </w:r>
          </w:p>
        </w:tc>
        <w:tc>
          <w:tcPr>
            <w:tcW w:w="990" w:type="dxa"/>
          </w:tcPr>
          <w:p w14:paraId="0AE84809" w14:textId="77777777" w:rsidR="00CC6382" w:rsidRPr="00B65674" w:rsidRDefault="00CC6382" w:rsidP="007A5428">
            <w:r>
              <w:t>0%</w:t>
            </w:r>
          </w:p>
        </w:tc>
        <w:tc>
          <w:tcPr>
            <w:tcW w:w="990" w:type="dxa"/>
          </w:tcPr>
          <w:p w14:paraId="0C204B27" w14:textId="77777777" w:rsidR="00CC6382" w:rsidRPr="00B65674" w:rsidRDefault="00CC6382" w:rsidP="007A5428">
            <w:r>
              <w:t>28%</w:t>
            </w:r>
          </w:p>
        </w:tc>
        <w:tc>
          <w:tcPr>
            <w:tcW w:w="990" w:type="dxa"/>
          </w:tcPr>
          <w:p w14:paraId="6D575E25" w14:textId="2A352E78" w:rsidR="00CC6382" w:rsidRDefault="00CC6382" w:rsidP="007A5428">
            <w:r>
              <w:t>28%</w:t>
            </w:r>
          </w:p>
        </w:tc>
      </w:tr>
      <w:tr w:rsidR="00CC6382" w14:paraId="7F222E4E" w14:textId="4BC3A116" w:rsidTr="00CC6382">
        <w:tc>
          <w:tcPr>
            <w:tcW w:w="1190" w:type="dxa"/>
          </w:tcPr>
          <w:p w14:paraId="03CDA727" w14:textId="77777777" w:rsidR="00CC6382" w:rsidRDefault="00CC6382" w:rsidP="007A5428">
            <w:r>
              <w:t>Site 15</w:t>
            </w:r>
          </w:p>
        </w:tc>
        <w:tc>
          <w:tcPr>
            <w:tcW w:w="875" w:type="dxa"/>
          </w:tcPr>
          <w:p w14:paraId="039227F6" w14:textId="77777777" w:rsidR="00CC6382" w:rsidRDefault="00CC6382" w:rsidP="007A5428">
            <w:r>
              <w:t>84</w:t>
            </w:r>
          </w:p>
        </w:tc>
        <w:tc>
          <w:tcPr>
            <w:tcW w:w="1013" w:type="dxa"/>
          </w:tcPr>
          <w:p w14:paraId="1913C2F7" w14:textId="77777777" w:rsidR="00CC6382" w:rsidRDefault="00CC6382" w:rsidP="007A5428">
            <w:r>
              <w:t>0.34</w:t>
            </w:r>
          </w:p>
        </w:tc>
        <w:tc>
          <w:tcPr>
            <w:tcW w:w="787" w:type="dxa"/>
          </w:tcPr>
          <w:p w14:paraId="262B32DB" w14:textId="77777777" w:rsidR="00CC6382" w:rsidRDefault="00CC6382" w:rsidP="007A5428">
            <w:r>
              <w:t>223</w:t>
            </w:r>
          </w:p>
        </w:tc>
        <w:tc>
          <w:tcPr>
            <w:tcW w:w="1013" w:type="dxa"/>
          </w:tcPr>
          <w:p w14:paraId="624ACD14" w14:textId="77777777" w:rsidR="00CC6382" w:rsidRDefault="00CC6382" w:rsidP="007A5428">
            <w:r>
              <w:t>0.22</w:t>
            </w:r>
          </w:p>
        </w:tc>
        <w:tc>
          <w:tcPr>
            <w:tcW w:w="990" w:type="dxa"/>
            <w:vAlign w:val="center"/>
          </w:tcPr>
          <w:p w14:paraId="6AAA6A14" w14:textId="77777777" w:rsidR="00CC6382" w:rsidRPr="00457032" w:rsidRDefault="00CC6382" w:rsidP="007A5428">
            <w:pPr>
              <w:rPr>
                <w:b/>
                <w:color w:val="00B050"/>
              </w:rPr>
            </w:pPr>
            <w:r>
              <w:rPr>
                <w:rFonts w:ascii="Calibri" w:hAnsi="Calibri"/>
                <w:b/>
                <w:bCs/>
                <w:color w:val="00B050"/>
              </w:rPr>
              <w:t>0.65</w:t>
            </w:r>
          </w:p>
        </w:tc>
        <w:tc>
          <w:tcPr>
            <w:tcW w:w="990" w:type="dxa"/>
          </w:tcPr>
          <w:p w14:paraId="26B47E19" w14:textId="77777777" w:rsidR="00CC6382" w:rsidRPr="00457032" w:rsidRDefault="00CC6382" w:rsidP="007A5428">
            <w:pPr>
              <w:rPr>
                <w:b/>
                <w:color w:val="00B050"/>
              </w:rPr>
            </w:pPr>
            <w:r w:rsidRPr="00457032">
              <w:rPr>
                <w:b/>
                <w:color w:val="00B050"/>
              </w:rPr>
              <w:t>&lt;0.0001</w:t>
            </w:r>
          </w:p>
        </w:tc>
        <w:tc>
          <w:tcPr>
            <w:tcW w:w="990" w:type="dxa"/>
          </w:tcPr>
          <w:p w14:paraId="5E5769D1" w14:textId="77777777" w:rsidR="00CC6382" w:rsidRPr="00457032" w:rsidRDefault="00CC6382" w:rsidP="007A5428">
            <w:pPr>
              <w:rPr>
                <w:b/>
                <w:color w:val="00B050"/>
              </w:rPr>
            </w:pPr>
            <w:r>
              <w:rPr>
                <w:b/>
                <w:color w:val="00B050"/>
              </w:rPr>
              <w:t>0%</w:t>
            </w:r>
          </w:p>
        </w:tc>
        <w:tc>
          <w:tcPr>
            <w:tcW w:w="990" w:type="dxa"/>
          </w:tcPr>
          <w:p w14:paraId="5A836E0F" w14:textId="77777777" w:rsidR="00CC6382" w:rsidRPr="00457032" w:rsidRDefault="00CC6382" w:rsidP="007A5428">
            <w:pPr>
              <w:rPr>
                <w:b/>
                <w:color w:val="00B050"/>
              </w:rPr>
            </w:pPr>
            <w:r>
              <w:rPr>
                <w:b/>
                <w:color w:val="00B050"/>
              </w:rPr>
              <w:t>100%</w:t>
            </w:r>
          </w:p>
        </w:tc>
        <w:tc>
          <w:tcPr>
            <w:tcW w:w="990" w:type="dxa"/>
          </w:tcPr>
          <w:p w14:paraId="2B079559" w14:textId="69788914" w:rsidR="00CC6382" w:rsidRDefault="00CC6382" w:rsidP="007A5428">
            <w:pPr>
              <w:rPr>
                <w:b/>
                <w:color w:val="00B050"/>
              </w:rPr>
            </w:pPr>
            <w:r>
              <w:rPr>
                <w:b/>
                <w:color w:val="00B050"/>
              </w:rPr>
              <w:t>100%</w:t>
            </w:r>
          </w:p>
        </w:tc>
      </w:tr>
      <w:tr w:rsidR="00CC6382" w14:paraId="71EF15AB" w14:textId="5CF92E54" w:rsidTr="00CC6382">
        <w:tc>
          <w:tcPr>
            <w:tcW w:w="1190" w:type="dxa"/>
          </w:tcPr>
          <w:p w14:paraId="5D576603" w14:textId="77777777" w:rsidR="00CC6382" w:rsidRDefault="00CC6382" w:rsidP="007A5428">
            <w:r>
              <w:t>Site 16</w:t>
            </w:r>
          </w:p>
        </w:tc>
        <w:tc>
          <w:tcPr>
            <w:tcW w:w="875" w:type="dxa"/>
          </w:tcPr>
          <w:p w14:paraId="7CF16EB5" w14:textId="77777777" w:rsidR="00CC6382" w:rsidRDefault="00CC6382" w:rsidP="007A5428">
            <w:r>
              <w:t>102</w:t>
            </w:r>
          </w:p>
        </w:tc>
        <w:tc>
          <w:tcPr>
            <w:tcW w:w="1013" w:type="dxa"/>
          </w:tcPr>
          <w:p w14:paraId="55310BFD" w14:textId="77777777" w:rsidR="00CC6382" w:rsidRDefault="00CC6382" w:rsidP="007A5428">
            <w:r>
              <w:t>0.17</w:t>
            </w:r>
          </w:p>
        </w:tc>
        <w:tc>
          <w:tcPr>
            <w:tcW w:w="787" w:type="dxa"/>
          </w:tcPr>
          <w:p w14:paraId="55A5DB06" w14:textId="77777777" w:rsidR="00CC6382" w:rsidRDefault="00CC6382" w:rsidP="007A5428">
            <w:r>
              <w:t>225</w:t>
            </w:r>
          </w:p>
        </w:tc>
        <w:tc>
          <w:tcPr>
            <w:tcW w:w="1013" w:type="dxa"/>
          </w:tcPr>
          <w:p w14:paraId="56D06785" w14:textId="77777777" w:rsidR="00CC6382" w:rsidRDefault="00CC6382" w:rsidP="007A5428">
            <w:r>
              <w:t>0.14</w:t>
            </w:r>
          </w:p>
        </w:tc>
        <w:tc>
          <w:tcPr>
            <w:tcW w:w="990" w:type="dxa"/>
            <w:vAlign w:val="center"/>
          </w:tcPr>
          <w:p w14:paraId="14203A34" w14:textId="77777777" w:rsidR="00CC6382" w:rsidRPr="007B4124" w:rsidRDefault="00CC6382" w:rsidP="007A5428">
            <w:r w:rsidRPr="007B4124">
              <w:rPr>
                <w:rFonts w:ascii="Calibri" w:hAnsi="Calibri"/>
                <w:bCs/>
              </w:rPr>
              <w:t>0.82</w:t>
            </w:r>
          </w:p>
        </w:tc>
        <w:tc>
          <w:tcPr>
            <w:tcW w:w="990" w:type="dxa"/>
          </w:tcPr>
          <w:p w14:paraId="33658B0C" w14:textId="77777777" w:rsidR="00CC6382" w:rsidRPr="00B65674" w:rsidRDefault="00CC6382" w:rsidP="007A5428">
            <w:pPr>
              <w:rPr>
                <w:color w:val="00B050"/>
              </w:rPr>
            </w:pPr>
            <w:r w:rsidRPr="00B65674">
              <w:t>0.053</w:t>
            </w:r>
          </w:p>
        </w:tc>
        <w:tc>
          <w:tcPr>
            <w:tcW w:w="990" w:type="dxa"/>
          </w:tcPr>
          <w:p w14:paraId="2B423F0B" w14:textId="77777777" w:rsidR="00CC6382" w:rsidRPr="00B65674" w:rsidRDefault="00CC6382" w:rsidP="007A5428">
            <w:r>
              <w:t>0%</w:t>
            </w:r>
          </w:p>
        </w:tc>
        <w:tc>
          <w:tcPr>
            <w:tcW w:w="990" w:type="dxa"/>
          </w:tcPr>
          <w:p w14:paraId="2779423E" w14:textId="77777777" w:rsidR="00CC6382" w:rsidRPr="00B65674" w:rsidRDefault="00CC6382" w:rsidP="007A5428">
            <w:r>
              <w:t>28%</w:t>
            </w:r>
          </w:p>
        </w:tc>
        <w:tc>
          <w:tcPr>
            <w:tcW w:w="990" w:type="dxa"/>
          </w:tcPr>
          <w:p w14:paraId="5E7332CB" w14:textId="7735BAE6" w:rsidR="00CC6382" w:rsidRDefault="00CC6382" w:rsidP="007A5428">
            <w:r>
              <w:t>28%</w:t>
            </w:r>
          </w:p>
        </w:tc>
      </w:tr>
      <w:tr w:rsidR="00CC6382" w14:paraId="243C6CD5" w14:textId="04706D44" w:rsidTr="00CC6382">
        <w:tc>
          <w:tcPr>
            <w:tcW w:w="1190" w:type="dxa"/>
          </w:tcPr>
          <w:p w14:paraId="7C1F3675" w14:textId="77777777" w:rsidR="00CC6382" w:rsidRDefault="00CC6382" w:rsidP="007A5428">
            <w:r>
              <w:t>Site 17</w:t>
            </w:r>
          </w:p>
        </w:tc>
        <w:tc>
          <w:tcPr>
            <w:tcW w:w="875" w:type="dxa"/>
          </w:tcPr>
          <w:p w14:paraId="547911BA" w14:textId="77777777" w:rsidR="00CC6382" w:rsidRDefault="00CC6382" w:rsidP="007A5428">
            <w:r>
              <w:t>40</w:t>
            </w:r>
          </w:p>
        </w:tc>
        <w:tc>
          <w:tcPr>
            <w:tcW w:w="1013" w:type="dxa"/>
          </w:tcPr>
          <w:p w14:paraId="43A9E3B6" w14:textId="77777777" w:rsidR="00CC6382" w:rsidRDefault="00CC6382" w:rsidP="007A5428">
            <w:r>
              <w:t>0.15</w:t>
            </w:r>
          </w:p>
        </w:tc>
        <w:tc>
          <w:tcPr>
            <w:tcW w:w="787" w:type="dxa"/>
          </w:tcPr>
          <w:p w14:paraId="6791A078" w14:textId="77777777" w:rsidR="00CC6382" w:rsidRDefault="00CC6382" w:rsidP="007A5428">
            <w:r>
              <w:t>259</w:t>
            </w:r>
          </w:p>
        </w:tc>
        <w:tc>
          <w:tcPr>
            <w:tcW w:w="1013" w:type="dxa"/>
          </w:tcPr>
          <w:p w14:paraId="58C61640" w14:textId="77777777" w:rsidR="00CC6382" w:rsidRDefault="00CC6382" w:rsidP="007A5428">
            <w:r>
              <w:t>0.10</w:t>
            </w:r>
          </w:p>
        </w:tc>
        <w:tc>
          <w:tcPr>
            <w:tcW w:w="990" w:type="dxa"/>
            <w:vAlign w:val="center"/>
          </w:tcPr>
          <w:p w14:paraId="42507C5A" w14:textId="77777777" w:rsidR="00CC6382" w:rsidRPr="00457032" w:rsidRDefault="00CC6382" w:rsidP="007A5428">
            <w:pPr>
              <w:rPr>
                <w:b/>
                <w:color w:val="00B050"/>
              </w:rPr>
            </w:pPr>
            <w:r>
              <w:rPr>
                <w:rFonts w:ascii="Calibri" w:hAnsi="Calibri"/>
                <w:b/>
                <w:bCs/>
                <w:color w:val="00B050"/>
              </w:rPr>
              <w:t>0.67</w:t>
            </w:r>
          </w:p>
        </w:tc>
        <w:tc>
          <w:tcPr>
            <w:tcW w:w="990" w:type="dxa"/>
          </w:tcPr>
          <w:p w14:paraId="24BF6023" w14:textId="77777777" w:rsidR="00CC6382" w:rsidRPr="00457032" w:rsidRDefault="00CC6382" w:rsidP="007A5428">
            <w:pPr>
              <w:rPr>
                <w:b/>
                <w:color w:val="00B050"/>
              </w:rPr>
            </w:pPr>
            <w:r w:rsidRPr="00457032">
              <w:rPr>
                <w:b/>
                <w:color w:val="00B050"/>
              </w:rPr>
              <w:t>0.0</w:t>
            </w:r>
            <w:r>
              <w:rPr>
                <w:b/>
                <w:color w:val="00B050"/>
              </w:rPr>
              <w:t>1</w:t>
            </w:r>
          </w:p>
        </w:tc>
        <w:tc>
          <w:tcPr>
            <w:tcW w:w="990" w:type="dxa"/>
          </w:tcPr>
          <w:p w14:paraId="4C4629C9" w14:textId="77777777" w:rsidR="00CC6382" w:rsidRPr="00457032" w:rsidRDefault="00CC6382" w:rsidP="007A5428">
            <w:pPr>
              <w:rPr>
                <w:b/>
                <w:color w:val="00B050"/>
              </w:rPr>
            </w:pPr>
            <w:r>
              <w:rPr>
                <w:b/>
                <w:color w:val="00B050"/>
              </w:rPr>
              <w:t>38%</w:t>
            </w:r>
          </w:p>
        </w:tc>
        <w:tc>
          <w:tcPr>
            <w:tcW w:w="990" w:type="dxa"/>
          </w:tcPr>
          <w:p w14:paraId="3ABDF3BD" w14:textId="77777777" w:rsidR="00CC6382" w:rsidRPr="00457032" w:rsidRDefault="00CC6382" w:rsidP="007A5428">
            <w:pPr>
              <w:rPr>
                <w:b/>
                <w:color w:val="00B050"/>
              </w:rPr>
            </w:pPr>
            <w:r>
              <w:rPr>
                <w:b/>
                <w:color w:val="00B050"/>
              </w:rPr>
              <w:t>48%</w:t>
            </w:r>
          </w:p>
        </w:tc>
        <w:tc>
          <w:tcPr>
            <w:tcW w:w="990" w:type="dxa"/>
          </w:tcPr>
          <w:p w14:paraId="681C832C" w14:textId="2448BE34" w:rsidR="00CC6382" w:rsidRDefault="00CC6382" w:rsidP="007A5428">
            <w:pPr>
              <w:rPr>
                <w:b/>
                <w:color w:val="00B050"/>
              </w:rPr>
            </w:pPr>
            <w:r>
              <w:rPr>
                <w:b/>
                <w:color w:val="00B050"/>
              </w:rPr>
              <w:t>10%</w:t>
            </w:r>
          </w:p>
        </w:tc>
      </w:tr>
      <w:bookmarkEnd w:id="12"/>
    </w:tbl>
    <w:p w14:paraId="595A65CC" w14:textId="77777777" w:rsidR="00CC6382" w:rsidRDefault="00CC6382" w:rsidP="00B574AF">
      <w:pPr>
        <w:autoSpaceDE w:val="0"/>
        <w:autoSpaceDN w:val="0"/>
        <w:adjustRightInd w:val="0"/>
        <w:spacing w:after="0" w:line="240" w:lineRule="auto"/>
        <w:ind w:left="255"/>
        <w:rPr>
          <w:rFonts w:cs="Calibri"/>
          <w:color w:val="FF0000"/>
        </w:rPr>
      </w:pPr>
    </w:p>
    <w:p w14:paraId="5784E045" w14:textId="278C1CAB" w:rsidR="00265B83" w:rsidRDefault="00265B83" w:rsidP="00CC6382">
      <w:pPr>
        <w:autoSpaceDE w:val="0"/>
        <w:autoSpaceDN w:val="0"/>
        <w:adjustRightInd w:val="0"/>
        <w:spacing w:after="0" w:line="240" w:lineRule="auto"/>
        <w:rPr>
          <w:rFonts w:cs="Calibri"/>
          <w:color w:val="FF0000"/>
        </w:rPr>
      </w:pPr>
      <w:r>
        <w:rPr>
          <w:rFonts w:cs="Calibri"/>
          <w:color w:val="FF0000"/>
        </w:rPr>
        <w:t>These results can also be seen in Leapfrog data.  For example, when a particular site started having pharmacists take medication histories, their number of discrepancies went down:</w:t>
      </w:r>
    </w:p>
    <w:p w14:paraId="453499AC" w14:textId="0DF83540" w:rsidR="00265B83" w:rsidRDefault="00265B83" w:rsidP="00B574AF">
      <w:pPr>
        <w:autoSpaceDE w:val="0"/>
        <w:autoSpaceDN w:val="0"/>
        <w:adjustRightInd w:val="0"/>
        <w:spacing w:after="0" w:line="240" w:lineRule="auto"/>
        <w:ind w:left="255"/>
        <w:rPr>
          <w:rFonts w:cs="Calibri"/>
          <w:color w:val="FF0000"/>
        </w:rPr>
      </w:pPr>
    </w:p>
    <w:p w14:paraId="061FA2F5" w14:textId="0BE0EA1C" w:rsidR="00265B83" w:rsidRPr="00265B83" w:rsidRDefault="00265B83" w:rsidP="00B574AF">
      <w:pPr>
        <w:autoSpaceDE w:val="0"/>
        <w:autoSpaceDN w:val="0"/>
        <w:adjustRightInd w:val="0"/>
        <w:spacing w:after="0" w:line="240" w:lineRule="auto"/>
        <w:ind w:left="255"/>
        <w:rPr>
          <w:rFonts w:cs="Calibri"/>
          <w:color w:val="FF0000"/>
        </w:rPr>
      </w:pPr>
      <w:r>
        <w:rPr>
          <w:rFonts w:ascii="Calibri" w:hAnsi="Calibri"/>
          <w:noProof/>
          <w:color w:val="1F497D"/>
        </w:rPr>
        <w:drawing>
          <wp:inline distT="0" distB="0" distL="0" distR="0" wp14:anchorId="70D830AF" wp14:editId="45D80913">
            <wp:extent cx="4589780" cy="2885440"/>
            <wp:effectExtent l="0" t="0" r="1270" b="0"/>
            <wp:docPr id="1" name="Picture 1" descr="cid:image001.png@01D542DE.A01F33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42DE.A01F33B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4589780" cy="2885440"/>
                    </a:xfrm>
                    <a:prstGeom prst="rect">
                      <a:avLst/>
                    </a:prstGeom>
                    <a:noFill/>
                    <a:ln>
                      <a:noFill/>
                    </a:ln>
                  </pic:spPr>
                </pic:pic>
              </a:graphicData>
            </a:graphic>
          </wp:inline>
        </w:drawing>
      </w:r>
    </w:p>
    <w:p w14:paraId="7CC2AF11" w14:textId="77777777" w:rsidR="00B574AF" w:rsidRPr="00AA49CF" w:rsidRDefault="00B574AF" w:rsidP="00B574AF">
      <w:pPr>
        <w:tabs>
          <w:tab w:val="left" w:pos="2095"/>
        </w:tabs>
        <w:autoSpaceDE w:val="0"/>
        <w:autoSpaceDN w:val="0"/>
        <w:adjustRightInd w:val="0"/>
        <w:spacing w:after="0" w:line="240" w:lineRule="auto"/>
        <w:rPr>
          <w:rFonts w:cstheme="minorHAnsi"/>
          <w:b/>
          <w:bCs/>
        </w:rPr>
      </w:pPr>
    </w:p>
    <w:p w14:paraId="53C312F0" w14:textId="77777777" w:rsidR="00B574AF" w:rsidRPr="00AA49CF" w:rsidRDefault="00B574AF" w:rsidP="00B574AF">
      <w:pPr>
        <w:autoSpaceDE w:val="0"/>
        <w:autoSpaceDN w:val="0"/>
        <w:adjustRightInd w:val="0"/>
        <w:spacing w:after="0" w:line="240" w:lineRule="auto"/>
        <w:rPr>
          <w:rFonts w:cstheme="minorHAnsi"/>
        </w:rPr>
      </w:pPr>
      <w:r w:rsidRPr="00AA49CF">
        <w:rPr>
          <w:rFonts w:cstheme="minorHAnsi"/>
        </w:rPr>
        <w:t>References:</w:t>
      </w:r>
    </w:p>
    <w:p w14:paraId="7DBA7373" w14:textId="77777777" w:rsidR="00B574AF" w:rsidRPr="00AA49CF" w:rsidRDefault="00B574AF" w:rsidP="00B574AF">
      <w:pPr>
        <w:pStyle w:val="ListParagraph"/>
        <w:numPr>
          <w:ilvl w:val="0"/>
          <w:numId w:val="31"/>
        </w:numPr>
        <w:autoSpaceDE w:val="0"/>
        <w:autoSpaceDN w:val="0"/>
        <w:adjustRightInd w:val="0"/>
        <w:spacing w:after="0" w:line="240" w:lineRule="auto"/>
        <w:rPr>
          <w:rFonts w:cstheme="minorHAnsi"/>
        </w:rPr>
      </w:pPr>
      <w:r w:rsidRPr="00AA49CF">
        <w:rPr>
          <w:rFonts w:cstheme="minorHAnsi"/>
        </w:rPr>
        <w:t xml:space="preserve">Dawson P, Gray S. Clinical significance of pharmacist-obtained drug histories. </w:t>
      </w:r>
      <w:r w:rsidRPr="00AA49CF">
        <w:rPr>
          <w:rFonts w:cstheme="minorHAnsi"/>
          <w:iCs/>
        </w:rPr>
        <w:t xml:space="preserve">Pharm J. </w:t>
      </w:r>
      <w:r w:rsidRPr="00AA49CF">
        <w:rPr>
          <w:rFonts w:cstheme="minorHAnsi"/>
        </w:rPr>
        <w:t>1981;227:120.</w:t>
      </w:r>
    </w:p>
    <w:p w14:paraId="74EC030D" w14:textId="77777777" w:rsidR="00B574AF" w:rsidRPr="004C11CE" w:rsidRDefault="00B574AF" w:rsidP="00696262">
      <w:pPr>
        <w:autoSpaceDE w:val="0"/>
        <w:autoSpaceDN w:val="0"/>
        <w:adjustRightInd w:val="0"/>
        <w:spacing w:after="0" w:line="240" w:lineRule="auto"/>
        <w:ind w:left="255"/>
        <w:rPr>
          <w:rFonts w:cstheme="minorHAnsi"/>
          <w:bCs/>
          <w:color w:val="7030A0"/>
        </w:rPr>
      </w:pPr>
    </w:p>
    <w:p w14:paraId="1D3E08BB" w14:textId="77777777" w:rsidR="00CA06D8" w:rsidRPr="00A25024" w:rsidRDefault="00CA06D8" w:rsidP="00DB3627">
      <w:pPr>
        <w:autoSpaceDE w:val="0"/>
        <w:autoSpaceDN w:val="0"/>
        <w:adjustRightInd w:val="0"/>
        <w:spacing w:after="0" w:line="240" w:lineRule="auto"/>
        <w:rPr>
          <w:rFonts w:cstheme="minorHAnsi"/>
        </w:rPr>
      </w:pPr>
    </w:p>
    <w:p w14:paraId="6FE19CE9" w14:textId="77777777" w:rsidR="00833325" w:rsidRPr="00AC30DB" w:rsidRDefault="009C7513" w:rsidP="00DB3627">
      <w:pPr>
        <w:autoSpaceDE w:val="0"/>
        <w:autoSpaceDN w:val="0"/>
        <w:adjustRightInd w:val="0"/>
        <w:spacing w:after="0" w:line="240" w:lineRule="auto"/>
        <w:rPr>
          <w:rFonts w:cstheme="minorHAnsi"/>
          <w:bCs/>
        </w:rPr>
      </w:pPr>
      <w:r w:rsidRPr="00AC30DB">
        <w:rPr>
          <w:rFonts w:cstheme="minorHAnsi"/>
          <w:b/>
          <w:bCs/>
        </w:rPr>
        <w:t>2b1</w:t>
      </w:r>
      <w:r w:rsidR="00092566" w:rsidRPr="00AC30DB">
        <w:rPr>
          <w:rFonts w:cstheme="minorHAnsi"/>
          <w:b/>
          <w:bCs/>
        </w:rPr>
        <w:t>.</w:t>
      </w:r>
      <w:r w:rsidR="007757CE" w:rsidRPr="00AC30DB">
        <w:rPr>
          <w:rFonts w:cstheme="minorHAnsi"/>
          <w:b/>
          <w:bCs/>
        </w:rPr>
        <w:t xml:space="preserve">2. For each level </w:t>
      </w:r>
      <w:r w:rsidR="008F7E67" w:rsidRPr="00AC30DB">
        <w:rPr>
          <w:rFonts w:cstheme="minorHAnsi"/>
          <w:b/>
          <w:bCs/>
        </w:rPr>
        <w:t xml:space="preserve">of testing </w:t>
      </w:r>
      <w:r w:rsidR="007757CE" w:rsidRPr="00AC30DB">
        <w:rPr>
          <w:rFonts w:cstheme="minorHAnsi"/>
          <w:b/>
          <w:bCs/>
        </w:rPr>
        <w:t>checked above, describe the method of validity testing and what it tests</w:t>
      </w:r>
      <w:r w:rsidR="00833325" w:rsidRPr="00AC30DB">
        <w:rPr>
          <w:rFonts w:cstheme="minorHAnsi"/>
          <w:bCs/>
        </w:rPr>
        <w:t xml:space="preserve"> (</w:t>
      </w:r>
      <w:r w:rsidR="007757CE" w:rsidRPr="00AC30DB">
        <w:rPr>
          <w:rFonts w:cstheme="minorHAnsi"/>
          <w:bCs/>
          <w:i/>
        </w:rPr>
        <w:t>describe the steps―</w:t>
      </w:r>
      <w:r w:rsidR="00696262" w:rsidRPr="00AC30DB">
        <w:rPr>
          <w:rFonts w:cstheme="minorHAnsi"/>
          <w:bCs/>
          <w:i/>
        </w:rPr>
        <w:t xml:space="preserve">do </w:t>
      </w:r>
      <w:r w:rsidR="00A25024" w:rsidRPr="00AC30DB">
        <w:rPr>
          <w:rFonts w:cstheme="minorHAnsi"/>
          <w:bCs/>
          <w:i/>
        </w:rPr>
        <w:t xml:space="preserve">not just name a method; what was </w:t>
      </w:r>
      <w:r w:rsidR="00696262" w:rsidRPr="00AC30DB">
        <w:rPr>
          <w:rFonts w:cstheme="minorHAnsi"/>
          <w:bCs/>
          <w:i/>
        </w:rPr>
        <w:t>tested, e.g., accuracy of data elements compared to authoritative source, relationship to a</w:t>
      </w:r>
      <w:r w:rsidR="0022691B" w:rsidRPr="00AC30DB">
        <w:rPr>
          <w:rFonts w:cstheme="minorHAnsi"/>
          <w:bCs/>
          <w:i/>
        </w:rPr>
        <w:t>nother measure as expected; what statistical analysis was used</w:t>
      </w:r>
      <w:r w:rsidR="00696262" w:rsidRPr="00AC30DB">
        <w:rPr>
          <w:rFonts w:cstheme="minorHAnsi"/>
          <w:bCs/>
          <w:i/>
        </w:rPr>
        <w:t>)</w:t>
      </w:r>
      <w:r w:rsidR="00833325" w:rsidRPr="00AC30DB">
        <w:rPr>
          <w:rFonts w:cstheme="minorHAnsi"/>
          <w:bCs/>
        </w:rPr>
        <w:br/>
      </w:r>
    </w:p>
    <w:p w14:paraId="3D4D9294" w14:textId="77777777" w:rsidR="00AA49CF" w:rsidRPr="00AC30DB" w:rsidRDefault="00AA49CF" w:rsidP="00AA49CF">
      <w:pPr>
        <w:autoSpaceDE w:val="0"/>
        <w:autoSpaceDN w:val="0"/>
        <w:adjustRightInd w:val="0"/>
        <w:spacing w:after="0" w:line="240" w:lineRule="auto"/>
        <w:ind w:left="255"/>
        <w:rPr>
          <w:rFonts w:cs="Calibri"/>
        </w:rPr>
      </w:pPr>
      <w:r w:rsidRPr="00AC30DB">
        <w:rPr>
          <w:rFonts w:cstheme="minorHAnsi"/>
          <w:bCs/>
        </w:rPr>
        <w:t xml:space="preserve">Face validity: as explained above, the measure looks directly at medication orders and compares them to a gold-standard medication history, then determines whether these discrepancies are intentional or not based on the medical record +/- provider interview.  </w:t>
      </w:r>
      <w:r w:rsidRPr="00AC30DB">
        <w:rPr>
          <w:rFonts w:cstheme="minorHAnsi"/>
        </w:rPr>
        <w:t xml:space="preserve">No other measure in existence looks at this process more directly than the measure proposed here.  </w:t>
      </w:r>
    </w:p>
    <w:p w14:paraId="63FCFC06" w14:textId="77777777" w:rsidR="00833325" w:rsidRPr="00AC30DB" w:rsidRDefault="00833325" w:rsidP="00DB3627">
      <w:pPr>
        <w:autoSpaceDE w:val="0"/>
        <w:autoSpaceDN w:val="0"/>
        <w:adjustRightInd w:val="0"/>
        <w:spacing w:after="0" w:line="240" w:lineRule="auto"/>
        <w:rPr>
          <w:rFonts w:cstheme="minorHAnsi"/>
          <w:bCs/>
        </w:rPr>
      </w:pPr>
    </w:p>
    <w:p w14:paraId="7B5D5E39" w14:textId="77777777" w:rsidR="00AA49CF" w:rsidRPr="00AC30DB" w:rsidRDefault="009C7513" w:rsidP="00092566">
      <w:pPr>
        <w:autoSpaceDE w:val="0"/>
        <w:autoSpaceDN w:val="0"/>
        <w:adjustRightInd w:val="0"/>
        <w:spacing w:after="0" w:line="240" w:lineRule="auto"/>
        <w:rPr>
          <w:rFonts w:cstheme="minorHAnsi"/>
          <w:bCs/>
        </w:rPr>
      </w:pPr>
      <w:r w:rsidRPr="00AC30DB">
        <w:rPr>
          <w:rFonts w:cstheme="minorHAnsi"/>
          <w:b/>
          <w:bCs/>
        </w:rPr>
        <w:t>2b1</w:t>
      </w:r>
      <w:r w:rsidR="00092566" w:rsidRPr="00AC30DB">
        <w:rPr>
          <w:rFonts w:cstheme="minorHAnsi"/>
          <w:b/>
          <w:bCs/>
        </w:rPr>
        <w:t>.</w:t>
      </w:r>
      <w:r w:rsidR="007757CE" w:rsidRPr="00AC30DB">
        <w:rPr>
          <w:rFonts w:cstheme="minorHAnsi"/>
          <w:b/>
          <w:bCs/>
        </w:rPr>
        <w:t xml:space="preserve">3. </w:t>
      </w:r>
      <w:r w:rsidR="00833325" w:rsidRPr="00AC30DB">
        <w:rPr>
          <w:rFonts w:cstheme="minorHAnsi"/>
          <w:b/>
          <w:bCs/>
        </w:rPr>
        <w:t xml:space="preserve">What were the statistical results </w:t>
      </w:r>
      <w:r w:rsidR="007422FD" w:rsidRPr="00AC30DB">
        <w:rPr>
          <w:rFonts w:cstheme="minorHAnsi"/>
          <w:b/>
          <w:bCs/>
        </w:rPr>
        <w:t xml:space="preserve">from </w:t>
      </w:r>
      <w:r w:rsidR="00EC79DE" w:rsidRPr="00AC30DB">
        <w:rPr>
          <w:rFonts w:cstheme="minorHAnsi"/>
          <w:b/>
          <w:bCs/>
        </w:rPr>
        <w:t>validity</w:t>
      </w:r>
      <w:r w:rsidR="007422FD" w:rsidRPr="00AC30DB">
        <w:rPr>
          <w:rFonts w:cstheme="minorHAnsi"/>
          <w:b/>
          <w:bCs/>
        </w:rPr>
        <w:t xml:space="preserve"> testing</w:t>
      </w:r>
      <w:r w:rsidR="00833325" w:rsidRPr="00AC30DB">
        <w:rPr>
          <w:rFonts w:cstheme="minorHAnsi"/>
          <w:bCs/>
        </w:rPr>
        <w:t xml:space="preserve">? </w:t>
      </w:r>
      <w:r w:rsidR="00AA5213" w:rsidRPr="00AC30DB">
        <w:rPr>
          <w:rFonts w:cstheme="minorHAnsi"/>
          <w:bCs/>
        </w:rPr>
        <w:t>(</w:t>
      </w:r>
      <w:r w:rsidR="00AA5213" w:rsidRPr="00AC30DB">
        <w:rPr>
          <w:rFonts w:cstheme="minorHAnsi"/>
          <w:bCs/>
          <w:i/>
        </w:rPr>
        <w:t xml:space="preserve">e.g., correlation; </w:t>
      </w:r>
      <w:r w:rsidR="001F1DA1" w:rsidRPr="00AC30DB">
        <w:rPr>
          <w:rFonts w:cstheme="minorHAnsi"/>
          <w:bCs/>
          <w:i/>
        </w:rPr>
        <w:t>t-test</w:t>
      </w:r>
      <w:r w:rsidR="00AA5213" w:rsidRPr="00AC30DB">
        <w:rPr>
          <w:rFonts w:cstheme="minorHAnsi"/>
          <w:bCs/>
        </w:rPr>
        <w:t>)</w:t>
      </w:r>
    </w:p>
    <w:p w14:paraId="47F4AE10" w14:textId="77777777" w:rsidR="00AA49CF" w:rsidRPr="00AC30DB" w:rsidRDefault="00AA49CF" w:rsidP="00092566">
      <w:pPr>
        <w:autoSpaceDE w:val="0"/>
        <w:autoSpaceDN w:val="0"/>
        <w:adjustRightInd w:val="0"/>
        <w:spacing w:after="0" w:line="240" w:lineRule="auto"/>
        <w:rPr>
          <w:rFonts w:cstheme="minorHAnsi"/>
          <w:bCs/>
        </w:rPr>
      </w:pPr>
    </w:p>
    <w:p w14:paraId="10C6714F" w14:textId="77777777" w:rsidR="007422FD" w:rsidRPr="00AC30DB" w:rsidRDefault="00AA49CF" w:rsidP="00092566">
      <w:pPr>
        <w:autoSpaceDE w:val="0"/>
        <w:autoSpaceDN w:val="0"/>
        <w:adjustRightInd w:val="0"/>
        <w:spacing w:after="0" w:line="240" w:lineRule="auto"/>
        <w:rPr>
          <w:rFonts w:cstheme="minorHAnsi"/>
          <w:bCs/>
        </w:rPr>
      </w:pPr>
      <w:r w:rsidRPr="00AC30DB">
        <w:rPr>
          <w:rFonts w:cstheme="minorHAnsi"/>
          <w:bCs/>
        </w:rPr>
        <w:t xml:space="preserve">Not applicable.  </w:t>
      </w:r>
      <w:r w:rsidR="00833325" w:rsidRPr="00AC30DB">
        <w:rPr>
          <w:rFonts w:cstheme="minorHAnsi"/>
          <w:bCs/>
        </w:rPr>
        <w:br/>
      </w:r>
    </w:p>
    <w:p w14:paraId="27F5A0D8" w14:textId="77777777" w:rsidR="00AA49CF" w:rsidRDefault="009C7513" w:rsidP="00DB3627">
      <w:pPr>
        <w:autoSpaceDE w:val="0"/>
        <w:autoSpaceDN w:val="0"/>
        <w:adjustRightInd w:val="0"/>
        <w:spacing w:after="0" w:line="240" w:lineRule="auto"/>
        <w:rPr>
          <w:rFonts w:cstheme="minorHAnsi"/>
          <w:bCs/>
        </w:rPr>
      </w:pPr>
      <w:r w:rsidRPr="00AC30DB">
        <w:rPr>
          <w:rFonts w:cstheme="minorHAnsi"/>
          <w:b/>
          <w:bCs/>
        </w:rPr>
        <w:t>2b1</w:t>
      </w:r>
      <w:r w:rsidR="00092566" w:rsidRPr="00AC30DB">
        <w:rPr>
          <w:rFonts w:cstheme="minorHAnsi"/>
          <w:b/>
          <w:bCs/>
        </w:rPr>
        <w:t>.</w:t>
      </w:r>
      <w:r w:rsidR="007757CE" w:rsidRPr="00AC30DB">
        <w:rPr>
          <w:rFonts w:cstheme="minorHAnsi"/>
          <w:b/>
          <w:bCs/>
        </w:rPr>
        <w:t xml:space="preserve">4. </w:t>
      </w:r>
      <w:r w:rsidR="000B2DF7" w:rsidRPr="00AC30DB">
        <w:rPr>
          <w:rFonts w:cstheme="minorHAnsi"/>
          <w:b/>
          <w:bCs/>
        </w:rPr>
        <w:t xml:space="preserve">What is your interpretation of the results </w:t>
      </w:r>
      <w:r w:rsidR="007422FD" w:rsidRPr="00AC30DB">
        <w:rPr>
          <w:rFonts w:cstheme="minorHAnsi"/>
          <w:b/>
          <w:bCs/>
        </w:rPr>
        <w:t>in terms of demonstrating validity</w:t>
      </w:r>
      <w:r w:rsidR="007422FD" w:rsidRPr="00AC30DB">
        <w:rPr>
          <w:rFonts w:cstheme="minorHAnsi"/>
          <w:bCs/>
        </w:rPr>
        <w:t xml:space="preserve">? </w:t>
      </w:r>
      <w:r w:rsidR="000B2DF7" w:rsidRPr="00AC30DB">
        <w:rPr>
          <w:rFonts w:cstheme="minorHAnsi"/>
          <w:bCs/>
        </w:rPr>
        <w:t>(i</w:t>
      </w:r>
      <w:r w:rsidR="000B2DF7" w:rsidRPr="00AC30DB">
        <w:rPr>
          <w:rFonts w:cstheme="minorHAnsi"/>
          <w:bCs/>
          <w:i/>
        </w:rPr>
        <w:t>.e., what do the results mean and what are the norms for the test conducted</w:t>
      </w:r>
      <w:r w:rsidR="00A25024" w:rsidRPr="00AC30DB">
        <w:rPr>
          <w:rFonts w:cstheme="minorHAnsi"/>
          <w:bCs/>
          <w:i/>
        </w:rPr>
        <w:t>?</w:t>
      </w:r>
      <w:r w:rsidR="000B2DF7" w:rsidRPr="00AC30DB">
        <w:rPr>
          <w:rFonts w:cstheme="minorHAnsi"/>
          <w:bCs/>
        </w:rPr>
        <w:t>)</w:t>
      </w:r>
    </w:p>
    <w:p w14:paraId="15283A57" w14:textId="77777777" w:rsidR="00AA49CF" w:rsidRDefault="00AA49CF" w:rsidP="00DB3627">
      <w:pPr>
        <w:autoSpaceDE w:val="0"/>
        <w:autoSpaceDN w:val="0"/>
        <w:adjustRightInd w:val="0"/>
        <w:spacing w:after="0" w:line="240" w:lineRule="auto"/>
        <w:rPr>
          <w:rFonts w:cstheme="minorHAnsi"/>
          <w:bCs/>
        </w:rPr>
      </w:pPr>
    </w:p>
    <w:p w14:paraId="4352D41A" w14:textId="77777777" w:rsidR="007422FD" w:rsidRPr="00A25024" w:rsidRDefault="00AA49CF" w:rsidP="00DB3627">
      <w:pPr>
        <w:autoSpaceDE w:val="0"/>
        <w:autoSpaceDN w:val="0"/>
        <w:adjustRightInd w:val="0"/>
        <w:spacing w:after="0" w:line="240" w:lineRule="auto"/>
        <w:rPr>
          <w:rFonts w:cstheme="minorHAnsi"/>
          <w:bCs/>
        </w:rPr>
      </w:pPr>
      <w:r>
        <w:rPr>
          <w:rFonts w:cstheme="minorHAnsi"/>
          <w:bCs/>
        </w:rPr>
        <w:t xml:space="preserve">Not applicable.  </w:t>
      </w:r>
      <w:r w:rsidR="007422FD" w:rsidRPr="00A25024">
        <w:rPr>
          <w:rFonts w:cstheme="minorHAnsi"/>
          <w:bCs/>
        </w:rPr>
        <w:br/>
      </w:r>
    </w:p>
    <w:p w14:paraId="5B9FC1A2"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1AD45C0A"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5FDBAC98" w14:textId="77777777" w:rsidR="00B037BA" w:rsidRDefault="001E4DD4" w:rsidP="00DB3627">
      <w:pPr>
        <w:autoSpaceDE w:val="0"/>
        <w:autoSpaceDN w:val="0"/>
        <w:adjustRightInd w:val="0"/>
        <w:spacing w:after="0" w:line="240" w:lineRule="auto"/>
        <w:rPr>
          <w:rStyle w:val="Hyperlink"/>
          <w:rFonts w:cstheme="minorHAnsi"/>
          <w:b/>
          <w:bCs/>
          <w:i/>
        </w:rPr>
      </w:pPr>
      <w:r w:rsidRPr="00AC30DB">
        <w:rPr>
          <w:rFonts w:eastAsia="MS Gothic" w:cstheme="minorHAnsi"/>
          <w:b/>
          <w:bCs/>
        </w:rPr>
        <w:t>NA</w:t>
      </w:r>
      <w:r w:rsidRPr="00AC30DB">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AC30DB">
            <w:rPr>
              <w:rFonts w:ascii="MS Gothic" w:eastAsia="MS Gothic" w:cstheme="minorHAnsi" w:hint="eastAsia"/>
              <w:bCs/>
              <w:color w:val="0000FF"/>
            </w:rPr>
            <w:t>☐</w:t>
          </w:r>
        </w:sdtContent>
      </w:sdt>
      <w:r w:rsidRPr="00AC30DB">
        <w:rPr>
          <w:rFonts w:eastAsia="MS Gothic" w:cstheme="minorHAnsi"/>
          <w:b/>
          <w:bCs/>
          <w:color w:val="0000FF"/>
        </w:rPr>
        <w:t xml:space="preserve"> </w:t>
      </w:r>
      <w:r w:rsidR="00484120" w:rsidRPr="00AC30DB">
        <w:rPr>
          <w:rFonts w:cstheme="minorHAnsi"/>
          <w:b/>
          <w:bCs/>
        </w:rPr>
        <w:t>no exclusions</w:t>
      </w:r>
      <w:r w:rsidRPr="00AC30DB">
        <w:rPr>
          <w:rFonts w:cstheme="minorHAnsi"/>
          <w:b/>
          <w:bCs/>
        </w:rPr>
        <w:t xml:space="preserve"> </w:t>
      </w:r>
      <w:r w:rsidRPr="00AC30DB">
        <w:rPr>
          <w:rFonts w:eastAsia="MS Gothic" w:cstheme="minorHAnsi"/>
          <w:b/>
          <w:bCs/>
          <w:color w:val="0000FF"/>
        </w:rPr>
        <w:t>—</w:t>
      </w:r>
      <w:r w:rsidRPr="00AC30DB">
        <w:rPr>
          <w:rFonts w:cstheme="minorHAnsi"/>
          <w:b/>
          <w:bCs/>
          <w:i/>
        </w:rPr>
        <w:t xml:space="preserve"> </w:t>
      </w:r>
      <w:r w:rsidR="00B037BA" w:rsidRPr="00AC30DB">
        <w:rPr>
          <w:rFonts w:cstheme="minorHAnsi"/>
          <w:b/>
          <w:bCs/>
          <w:i/>
        </w:rPr>
        <w:t xml:space="preserve">skip </w:t>
      </w:r>
      <w:r w:rsidR="008A4C13" w:rsidRPr="00AC30DB">
        <w:rPr>
          <w:rFonts w:cstheme="minorHAnsi"/>
          <w:b/>
          <w:bCs/>
          <w:i/>
        </w:rPr>
        <w:t xml:space="preserve">to </w:t>
      </w:r>
      <w:r w:rsidR="00BE592D" w:rsidRPr="00AC30DB">
        <w:rPr>
          <w:rFonts w:cstheme="minorHAnsi"/>
          <w:b/>
          <w:bCs/>
          <w:i/>
        </w:rPr>
        <w:t xml:space="preserve">section </w:t>
      </w:r>
      <w:hyperlink w:anchor="section2b4" w:history="1">
        <w:r w:rsidR="00483E94" w:rsidRPr="00AC30DB">
          <w:rPr>
            <w:rStyle w:val="Hyperlink"/>
            <w:rFonts w:cstheme="minorHAnsi"/>
            <w:b/>
            <w:bCs/>
            <w:i/>
          </w:rPr>
          <w:t>2b</w:t>
        </w:r>
        <w:r w:rsidR="00565946" w:rsidRPr="00AC30DB">
          <w:rPr>
            <w:rStyle w:val="Hyperlink"/>
            <w:rFonts w:cstheme="minorHAnsi"/>
            <w:b/>
            <w:bCs/>
            <w:i/>
          </w:rPr>
          <w:t>3</w:t>
        </w:r>
      </w:hyperlink>
    </w:p>
    <w:p w14:paraId="09792F92" w14:textId="77777777" w:rsidR="00B574AF" w:rsidRPr="00AA49CF" w:rsidRDefault="00B574AF" w:rsidP="00B574AF">
      <w:pPr>
        <w:autoSpaceDE w:val="0"/>
        <w:autoSpaceDN w:val="0"/>
        <w:adjustRightInd w:val="0"/>
        <w:spacing w:after="0" w:line="240" w:lineRule="auto"/>
        <w:rPr>
          <w:rFonts w:cstheme="minorHAnsi"/>
          <w:iCs/>
        </w:rPr>
      </w:pPr>
      <w:r w:rsidRPr="00AA49CF">
        <w:rPr>
          <w:rFonts w:cstheme="minorHAnsi"/>
          <w:iCs/>
        </w:rPr>
        <w:t xml:space="preserve">Patients may be excluded from the measure if they are discharged or expire prior to being seen by a study pharmacist, are otherwise unavailable to be seen by a pharmacist, or </w:t>
      </w:r>
      <w:r w:rsidR="008B4430">
        <w:rPr>
          <w:rFonts w:cstheme="minorHAnsi"/>
          <w:iCs/>
        </w:rPr>
        <w:t>decline</w:t>
      </w:r>
      <w:r w:rsidRPr="00AA49CF">
        <w:rPr>
          <w:rFonts w:cstheme="minorHAnsi"/>
          <w:iCs/>
        </w:rPr>
        <w:t xml:space="preserve"> to talk to the pharmacist. </w:t>
      </w:r>
    </w:p>
    <w:p w14:paraId="09229A2E" w14:textId="77777777" w:rsidR="00001D73" w:rsidRDefault="00001D73" w:rsidP="00DB3627">
      <w:pPr>
        <w:autoSpaceDE w:val="0"/>
        <w:autoSpaceDN w:val="0"/>
        <w:adjustRightInd w:val="0"/>
        <w:spacing w:after="0" w:line="240" w:lineRule="auto"/>
        <w:rPr>
          <w:rFonts w:cstheme="minorHAnsi"/>
          <w:b/>
          <w:bCs/>
        </w:rPr>
      </w:pPr>
    </w:p>
    <w:p w14:paraId="0F819BA6" w14:textId="77777777"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7A3CE6F9" w14:textId="77777777" w:rsidR="00833325" w:rsidRPr="00A25024" w:rsidRDefault="00833325" w:rsidP="00DB3627">
      <w:pPr>
        <w:autoSpaceDE w:val="0"/>
        <w:autoSpaceDN w:val="0"/>
        <w:adjustRightInd w:val="0"/>
        <w:spacing w:after="0" w:line="240" w:lineRule="auto"/>
        <w:rPr>
          <w:rFonts w:cstheme="minorHAnsi"/>
          <w:bCs/>
        </w:rPr>
      </w:pPr>
    </w:p>
    <w:p w14:paraId="3519241D" w14:textId="77777777" w:rsidR="007703A6" w:rsidRDefault="00092566" w:rsidP="00B574AF">
      <w:pPr>
        <w:autoSpaceDE w:val="0"/>
        <w:autoSpaceDN w:val="0"/>
        <w:adjustRightInd w:val="0"/>
        <w:spacing w:after="0" w:line="240" w:lineRule="auto"/>
        <w:rPr>
          <w:rFonts w:cstheme="minorHAnsi"/>
          <w:i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B574AF">
        <w:rPr>
          <w:rFonts w:cstheme="minorHAnsi"/>
          <w:bCs/>
        </w:rPr>
        <w:t xml:space="preserve"> </w:t>
      </w:r>
      <w:r w:rsidR="00833325" w:rsidRPr="00A25024">
        <w:rPr>
          <w:rFonts w:cstheme="minorHAnsi"/>
          <w:bCs/>
        </w:rPr>
        <w:br/>
      </w:r>
    </w:p>
    <w:p w14:paraId="0D75DD17" w14:textId="1CCE6583" w:rsidR="00B574AF" w:rsidRPr="008B4430" w:rsidRDefault="008B4430" w:rsidP="00B574AF">
      <w:pPr>
        <w:autoSpaceDE w:val="0"/>
        <w:autoSpaceDN w:val="0"/>
        <w:adjustRightInd w:val="0"/>
        <w:spacing w:after="0" w:line="240" w:lineRule="auto"/>
        <w:rPr>
          <w:rFonts w:cstheme="minorHAnsi"/>
          <w:iCs/>
        </w:rPr>
      </w:pPr>
      <w:r>
        <w:rPr>
          <w:rFonts w:cstheme="minorHAnsi"/>
          <w:iCs/>
        </w:rPr>
        <w:t>In 2006 at Brigham and Women’s Hospital</w:t>
      </w:r>
      <w:r w:rsidR="00B574AF" w:rsidRPr="008B4430">
        <w:rPr>
          <w:rFonts w:cstheme="minorHAnsi"/>
          <w:iCs/>
        </w:rPr>
        <w:t>, we compared the 180 patients included in the analysis with the 199 excluded subjects.  As expected, compared with excluded subjects, study patients were older, had longer lengths of stay, and had more medications at discharge.</w:t>
      </w:r>
      <w:r w:rsidR="00AC30DB">
        <w:rPr>
          <w:rFonts w:cstheme="minorHAnsi"/>
          <w:iCs/>
        </w:rPr>
        <w:t xml:space="preserve"> </w:t>
      </w:r>
      <w:r w:rsidR="00B574AF" w:rsidRPr="008B4430">
        <w:t>(1)</w:t>
      </w:r>
      <w:r w:rsidR="00B574AF" w:rsidRPr="008B4430">
        <w:rPr>
          <w:rFonts w:cstheme="minorHAnsi"/>
          <w:iCs/>
        </w:rPr>
        <w:t xml:space="preserve"> In this study, patients were required to provide informed written consent, so the differences between included and excluded patients may have been more pronounced than if this were a routine part of hospital measurement.</w:t>
      </w:r>
    </w:p>
    <w:p w14:paraId="7DAF6DEE" w14:textId="77777777" w:rsidR="00B574AF" w:rsidRPr="008B4430" w:rsidRDefault="00B574AF" w:rsidP="00B574AF">
      <w:pPr>
        <w:autoSpaceDE w:val="0"/>
        <w:autoSpaceDN w:val="0"/>
        <w:adjustRightInd w:val="0"/>
        <w:spacing w:after="0" w:line="240" w:lineRule="auto"/>
        <w:rPr>
          <w:rFonts w:cstheme="minorHAnsi"/>
          <w:bCs/>
        </w:rPr>
      </w:pPr>
    </w:p>
    <w:p w14:paraId="4E19349A" w14:textId="77777777" w:rsidR="00B574AF" w:rsidRPr="008B4430" w:rsidRDefault="00B574AF" w:rsidP="00B574AF">
      <w:pPr>
        <w:spacing w:after="0" w:line="240" w:lineRule="auto"/>
        <w:ind w:left="720" w:hanging="720"/>
        <w:rPr>
          <w:rFonts w:cstheme="minorHAnsi"/>
          <w:bCs/>
          <w:noProof/>
          <w:lang w:val="da-DK"/>
        </w:rPr>
      </w:pPr>
      <w:r w:rsidRPr="008B4430">
        <w:rPr>
          <w:rFonts w:cstheme="minorHAnsi"/>
          <w:bCs/>
          <w:noProof/>
          <w:lang w:val="da-DK"/>
        </w:rPr>
        <w:t>References:</w:t>
      </w:r>
    </w:p>
    <w:p w14:paraId="3803DC93" w14:textId="77777777" w:rsidR="00B574AF" w:rsidRPr="008B4430" w:rsidRDefault="00B574AF" w:rsidP="00B574AF">
      <w:pPr>
        <w:pStyle w:val="ListParagraph"/>
        <w:numPr>
          <w:ilvl w:val="0"/>
          <w:numId w:val="32"/>
        </w:numPr>
        <w:spacing w:after="0" w:line="240" w:lineRule="auto"/>
        <w:rPr>
          <w:rFonts w:cstheme="minorHAnsi"/>
          <w:bCs/>
          <w:noProof/>
          <w:lang w:val="da-DK"/>
        </w:rPr>
      </w:pPr>
      <w:r w:rsidRPr="008B4430">
        <w:rPr>
          <w:rFonts w:cstheme="minorHAnsi"/>
          <w:bCs/>
          <w:noProof/>
          <w:lang w:val="da-DK"/>
        </w:rPr>
        <w:t xml:space="preserve">Pippins JR, Gandhi TK, Hamann C, et al. </w:t>
      </w:r>
      <w:r w:rsidRPr="008B4430">
        <w:rPr>
          <w:rFonts w:cstheme="minorHAnsi"/>
          <w:bCs/>
          <w:noProof/>
        </w:rPr>
        <w:t xml:space="preserve">Classifying and predicting errors of inpatient medication reconciliation. </w:t>
      </w:r>
      <w:r w:rsidRPr="008B4430">
        <w:rPr>
          <w:rFonts w:cstheme="minorHAnsi"/>
          <w:bCs/>
          <w:noProof/>
          <w:lang w:val="da-DK"/>
        </w:rPr>
        <w:t>J Gen Intern Med. 2008;23(9):1414-1422.</w:t>
      </w:r>
    </w:p>
    <w:p w14:paraId="0731CB12" w14:textId="77777777" w:rsidR="00B574AF" w:rsidRPr="008B4430" w:rsidRDefault="00B574AF" w:rsidP="00B574AF">
      <w:pPr>
        <w:autoSpaceDE w:val="0"/>
        <w:autoSpaceDN w:val="0"/>
        <w:adjustRightInd w:val="0"/>
        <w:spacing w:after="0" w:line="240" w:lineRule="auto"/>
        <w:rPr>
          <w:rFonts w:cstheme="minorHAnsi"/>
          <w:iCs/>
        </w:rPr>
      </w:pPr>
      <w:r w:rsidRPr="008B4430">
        <w:rPr>
          <w:rFonts w:cstheme="minorHAnsi"/>
          <w:iCs/>
        </w:rPr>
        <w:t>(Reprint attached – see Table 1)</w:t>
      </w:r>
    </w:p>
    <w:p w14:paraId="1C4838F3" w14:textId="457FB518" w:rsidR="007422FD" w:rsidRDefault="007422FD" w:rsidP="00092566">
      <w:pPr>
        <w:autoSpaceDE w:val="0"/>
        <w:autoSpaceDN w:val="0"/>
        <w:adjustRightInd w:val="0"/>
        <w:spacing w:after="0" w:line="240" w:lineRule="auto"/>
        <w:rPr>
          <w:rFonts w:cstheme="minorHAnsi"/>
          <w:bCs/>
        </w:rPr>
      </w:pPr>
    </w:p>
    <w:p w14:paraId="03924F63" w14:textId="526D5056" w:rsidR="008D71E0" w:rsidRDefault="005708C9" w:rsidP="005708C9">
      <w:pPr>
        <w:autoSpaceDE w:val="0"/>
        <w:autoSpaceDN w:val="0"/>
        <w:rPr>
          <w:rFonts w:cstheme="minorHAnsi"/>
          <w:iCs/>
        </w:rPr>
      </w:pPr>
      <w:r>
        <w:rPr>
          <w:rFonts w:cstheme="minorHAnsi"/>
          <w:iCs/>
        </w:rPr>
        <w:t>T</w:t>
      </w:r>
      <w:r w:rsidRPr="005708C9">
        <w:rPr>
          <w:rFonts w:cstheme="minorHAnsi"/>
          <w:iCs/>
        </w:rPr>
        <w:t xml:space="preserve">his is an unusual measure, in that there really is no better measure of the quality of medication reconciliation with which is conduct a comparison.  As shown in our systematic review, interventions that reduce medication discrepancies as measured using our methodology have been shown to improve more downstream patient outcomes, including potential adverse drug events, actual drug events, and (occasionally) post-discharge health care utilization.  </w:t>
      </w:r>
    </w:p>
    <w:p w14:paraId="46AFC690" w14:textId="2022982D" w:rsidR="008D71E0" w:rsidRPr="00986611" w:rsidRDefault="008D71E0" w:rsidP="00986611">
      <w:pPr>
        <w:autoSpaceDE w:val="0"/>
        <w:autoSpaceDN w:val="0"/>
        <w:adjustRightInd w:val="0"/>
        <w:spacing w:after="0" w:line="240" w:lineRule="auto"/>
        <w:rPr>
          <w:rFonts w:cstheme="minorHAnsi"/>
          <w:bCs/>
        </w:rPr>
      </w:pPr>
      <w:r w:rsidRPr="008B4430">
        <w:rPr>
          <w:rFonts w:cstheme="minorHAnsi"/>
          <w:bCs/>
        </w:rPr>
        <w:t>References:</w:t>
      </w:r>
    </w:p>
    <w:p w14:paraId="23BE2E09" w14:textId="33FAC2C6" w:rsidR="005708C9" w:rsidRPr="008D71E0" w:rsidRDefault="005708C9" w:rsidP="008D71E0">
      <w:pPr>
        <w:pStyle w:val="ListParagraph"/>
        <w:numPr>
          <w:ilvl w:val="0"/>
          <w:numId w:val="39"/>
        </w:numPr>
        <w:autoSpaceDE w:val="0"/>
        <w:autoSpaceDN w:val="0"/>
        <w:rPr>
          <w:rFonts w:cstheme="minorHAnsi"/>
          <w:bCs/>
          <w:noProof/>
          <w:lang w:val="da-DK"/>
        </w:rPr>
      </w:pPr>
      <w:r w:rsidRPr="008D71E0">
        <w:rPr>
          <w:rFonts w:cstheme="minorHAnsi"/>
          <w:bCs/>
          <w:noProof/>
          <w:lang w:val="da-DK"/>
        </w:rPr>
        <w:t>Mueller SK, Sponsler KC, Kripalani S, Schnipper JL. Hospital-based medication reconciliation practices: a systematic review. Arch Intern Med. 2012;172(14):1057-1069. PMID: 22733210.</w:t>
      </w:r>
    </w:p>
    <w:p w14:paraId="1C9AF965" w14:textId="77777777" w:rsidR="008D71E0" w:rsidRPr="008D71E0" w:rsidRDefault="008D71E0" w:rsidP="008D71E0">
      <w:pPr>
        <w:autoSpaceDE w:val="0"/>
        <w:autoSpaceDN w:val="0"/>
        <w:rPr>
          <w:rFonts w:eastAsia="Times New Roman"/>
          <w:color w:val="000000" w:themeColor="text1"/>
        </w:rPr>
      </w:pPr>
      <w:r w:rsidRPr="008D71E0">
        <w:rPr>
          <w:rFonts w:cstheme="minorHAnsi"/>
          <w:iCs/>
          <w:color w:val="000000" w:themeColor="text1"/>
        </w:rPr>
        <w:lastRenderedPageBreak/>
        <w:t xml:space="preserve">To certify that </w:t>
      </w:r>
      <w:r w:rsidRPr="008D71E0">
        <w:rPr>
          <w:rFonts w:eastAsia="Times New Roman"/>
          <w:color w:val="000000" w:themeColor="text1"/>
        </w:rPr>
        <w:t xml:space="preserve">pharmacists have mastery over the measurement process, </w:t>
      </w:r>
      <w:r w:rsidRPr="008D71E0">
        <w:rPr>
          <w:color w:val="000000" w:themeColor="text1"/>
        </w:rPr>
        <w:t>“Gold standard pharmacists” receive the following in terms of training and certification:</w:t>
      </w:r>
    </w:p>
    <w:p w14:paraId="76FB4267" w14:textId="423567A8" w:rsidR="008D71E0" w:rsidRPr="008D71E0" w:rsidRDefault="008D71E0" w:rsidP="008D71E0">
      <w:pPr>
        <w:pStyle w:val="ListParagraph"/>
        <w:numPr>
          <w:ilvl w:val="0"/>
          <w:numId w:val="38"/>
        </w:numPr>
        <w:autoSpaceDE w:val="0"/>
        <w:autoSpaceDN w:val="0"/>
        <w:rPr>
          <w:color w:val="000000" w:themeColor="text1"/>
        </w:rPr>
      </w:pPr>
      <w:r w:rsidRPr="008D71E0">
        <w:rPr>
          <w:color w:val="000000" w:themeColor="text1"/>
        </w:rPr>
        <w:t xml:space="preserve">Review of a slide presentation and video on how to take a gold standard medication </w:t>
      </w:r>
    </w:p>
    <w:p w14:paraId="28B9E628" w14:textId="6267D0B1" w:rsidR="008D71E0" w:rsidRPr="008D71E0" w:rsidRDefault="008D71E0" w:rsidP="008D71E0">
      <w:pPr>
        <w:pStyle w:val="ListParagraph"/>
        <w:numPr>
          <w:ilvl w:val="0"/>
          <w:numId w:val="38"/>
        </w:numPr>
        <w:autoSpaceDE w:val="0"/>
        <w:autoSpaceDN w:val="0"/>
        <w:rPr>
          <w:rFonts w:eastAsia="Times New Roman"/>
          <w:color w:val="000000" w:themeColor="text1"/>
        </w:rPr>
      </w:pPr>
      <w:r w:rsidRPr="008D71E0">
        <w:rPr>
          <w:color w:val="000000" w:themeColor="text1"/>
        </w:rPr>
        <w:t>Completion of a pre- and post-test on the fundamentals of history-taking</w:t>
      </w:r>
    </w:p>
    <w:p w14:paraId="71EDE0D5" w14:textId="05805E9A" w:rsidR="008D71E0" w:rsidRPr="008D71E0" w:rsidRDefault="008D71E0" w:rsidP="008D71E0">
      <w:pPr>
        <w:pStyle w:val="ListParagraph"/>
        <w:numPr>
          <w:ilvl w:val="0"/>
          <w:numId w:val="38"/>
        </w:numPr>
        <w:autoSpaceDE w:val="0"/>
        <w:autoSpaceDN w:val="0"/>
        <w:rPr>
          <w:rFonts w:eastAsia="Times New Roman"/>
          <w:color w:val="000000" w:themeColor="text1"/>
        </w:rPr>
      </w:pPr>
      <w:r w:rsidRPr="008D71E0">
        <w:rPr>
          <w:color w:val="000000" w:themeColor="text1"/>
        </w:rPr>
        <w:t>Satisfactory completion of at least one simulated case (&gt;90% accuracy of gold standard history, &gt;90% of best practice behaviors demonstrated)</w:t>
      </w:r>
    </w:p>
    <w:p w14:paraId="531D3742" w14:textId="7DF90A5E" w:rsidR="008D71E0" w:rsidRPr="008D71E0" w:rsidRDefault="008D71E0" w:rsidP="008D71E0">
      <w:pPr>
        <w:rPr>
          <w:rFonts w:cstheme="minorHAnsi"/>
          <w:iCs/>
        </w:rPr>
      </w:pPr>
      <w:r w:rsidRPr="008D71E0">
        <w:rPr>
          <w:rFonts w:cstheme="minorHAnsi"/>
          <w:iCs/>
        </w:rPr>
        <w:t xml:space="preserve">We have created an online platform to administer these components and track completion of these requirements.  The simulated cases themselves are available in the MARQUIS “train the trainer” materials: </w:t>
      </w:r>
      <w:hyperlink r:id="rId15" w:history="1">
        <w:r w:rsidRPr="008D71E0">
          <w:rPr>
            <w:rFonts w:cstheme="minorHAnsi"/>
            <w:iCs/>
          </w:rPr>
          <w:t>https://shm.hospitalmedicine.org/acton/media/25526/shm---bphm-train-the-trainers-material</w:t>
        </w:r>
      </w:hyperlink>
      <w:r>
        <w:rPr>
          <w:rFonts w:cstheme="minorHAnsi"/>
          <w:iCs/>
        </w:rPr>
        <w:t>.</w:t>
      </w:r>
    </w:p>
    <w:p w14:paraId="22DDBE23" w14:textId="77777777" w:rsidR="008D71E0" w:rsidRPr="008D71E0" w:rsidRDefault="008D71E0" w:rsidP="008D71E0">
      <w:pPr>
        <w:autoSpaceDE w:val="0"/>
        <w:autoSpaceDN w:val="0"/>
        <w:rPr>
          <w:rFonts w:cstheme="minorHAnsi"/>
          <w:iCs/>
          <w:color w:val="000000" w:themeColor="text1"/>
        </w:rPr>
      </w:pPr>
      <w:r w:rsidRPr="008D71E0">
        <w:rPr>
          <w:rFonts w:cstheme="minorHAnsi"/>
          <w:iCs/>
        </w:rPr>
        <w:t>The training materials on being a gold standard pharmacist are here:</w:t>
      </w:r>
      <w:r>
        <w:rPr>
          <w:color w:val="FF0000"/>
        </w:rPr>
        <w:t xml:space="preserve"> </w:t>
      </w:r>
      <w:hyperlink r:id="rId16" w:history="1">
        <w:r w:rsidRPr="008D71E0">
          <w:rPr>
            <w:rFonts w:cstheme="minorHAnsi"/>
            <w:iCs/>
            <w:color w:val="000000" w:themeColor="text1"/>
          </w:rPr>
          <w:t>https://shm.hospitalmedicine.org/acton/media/25526/shm-data-pharmacist-training-part-1</w:t>
        </w:r>
      </w:hyperlink>
    </w:p>
    <w:p w14:paraId="2FD4126B" w14:textId="77777777" w:rsidR="008D71E0" w:rsidRPr="008D71E0" w:rsidRDefault="008D71E0" w:rsidP="008D71E0">
      <w:pPr>
        <w:autoSpaceDE w:val="0"/>
        <w:autoSpaceDN w:val="0"/>
        <w:rPr>
          <w:rFonts w:cstheme="minorHAnsi"/>
          <w:iCs/>
          <w:color w:val="000000" w:themeColor="text1"/>
        </w:rPr>
      </w:pPr>
      <w:r w:rsidRPr="008D71E0">
        <w:rPr>
          <w:rFonts w:cstheme="minorHAnsi"/>
          <w:iCs/>
          <w:color w:val="000000" w:themeColor="text1"/>
        </w:rPr>
        <w:t>In addition, by definition, we require anyone taking a gold-standard history to have pharmacist-level credentials because studies have shown that pharmacists take more accurate medication histories than physicians or nurses</w:t>
      </w:r>
    </w:p>
    <w:p w14:paraId="654A0551" w14:textId="46D2BE2E" w:rsidR="008D71E0" w:rsidRPr="008D71E0" w:rsidRDefault="008D71E0" w:rsidP="005708C9">
      <w:pPr>
        <w:autoSpaceDE w:val="0"/>
        <w:autoSpaceDN w:val="0"/>
        <w:rPr>
          <w:rFonts w:cstheme="minorHAnsi"/>
          <w:iCs/>
          <w:color w:val="000000" w:themeColor="text1"/>
        </w:rPr>
      </w:pPr>
      <w:r w:rsidRPr="008D71E0">
        <w:rPr>
          <w:rFonts w:cstheme="minorHAnsi"/>
          <w:iCs/>
          <w:color w:val="000000" w:themeColor="text1"/>
        </w:rPr>
        <w:t xml:space="preserve">Lastly, as part of Leapfrog, we review the results of each site on a regular basis and talk with sites with outlier results to make sure they understand the measure and correct any misunderstanding of how to measure it.  </w:t>
      </w:r>
    </w:p>
    <w:p w14:paraId="19BD79BA" w14:textId="304A383B" w:rsidR="00092566" w:rsidRPr="009D3882" w:rsidRDefault="00092566" w:rsidP="00092566">
      <w:pPr>
        <w:autoSpaceDE w:val="0"/>
        <w:autoSpaceDN w:val="0"/>
        <w:adjustRightInd w:val="0"/>
        <w:spacing w:after="0" w:line="240" w:lineRule="auto"/>
        <w:rPr>
          <w:rFonts w:cstheme="minorHAnsi"/>
          <w:bCs/>
          <w:sz w:val="12"/>
        </w:rPr>
      </w:pPr>
    </w:p>
    <w:p w14:paraId="14F397EF" w14:textId="77777777" w:rsidR="008B4430" w:rsidRDefault="00092566" w:rsidP="00B574AF">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60186A9D" w14:textId="77777777" w:rsidR="00B574AF" w:rsidRPr="008B4430" w:rsidRDefault="00B574AF" w:rsidP="00B574AF">
      <w:pPr>
        <w:autoSpaceDE w:val="0"/>
        <w:autoSpaceDN w:val="0"/>
        <w:adjustRightInd w:val="0"/>
        <w:spacing w:after="0" w:line="240" w:lineRule="auto"/>
        <w:rPr>
          <w:rFonts w:cstheme="minorHAnsi"/>
          <w:bCs/>
        </w:rPr>
      </w:pPr>
      <w:r w:rsidRPr="008B4430">
        <w:rPr>
          <w:rFonts w:cstheme="minorHAnsi"/>
          <w:bCs/>
        </w:rPr>
        <w:t>These exclusions are simply practical ones (i.e., there is no alternative)</w:t>
      </w:r>
    </w:p>
    <w:p w14:paraId="23BEEB1E" w14:textId="77777777" w:rsidR="007422FD" w:rsidRPr="00B574AF" w:rsidRDefault="007422FD" w:rsidP="00DB3627">
      <w:pPr>
        <w:autoSpaceDE w:val="0"/>
        <w:autoSpaceDN w:val="0"/>
        <w:adjustRightInd w:val="0"/>
        <w:spacing w:after="0" w:line="240" w:lineRule="auto"/>
        <w:rPr>
          <w:rFonts w:cstheme="minorHAnsi"/>
          <w:bCs/>
          <w:i/>
          <w:color w:val="FF0000"/>
        </w:rPr>
      </w:pPr>
    </w:p>
    <w:p w14:paraId="6E4EAED2"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5B958EB8" w14:textId="77777777" w:rsidR="00AC1D8E" w:rsidRPr="0086464B" w:rsidRDefault="00092566" w:rsidP="00AC1D8E">
      <w:pPr>
        <w:autoSpaceDE w:val="0"/>
        <w:autoSpaceDN w:val="0"/>
        <w:adjustRightInd w:val="0"/>
        <w:spacing w:after="0" w:line="240" w:lineRule="auto"/>
        <w:rPr>
          <w:rFonts w:cstheme="minorHAnsi"/>
          <w:b/>
          <w:bCs/>
          <w:i/>
        </w:rPr>
      </w:pPr>
      <w:bookmarkStart w:id="13" w:name="section2b4"/>
      <w:bookmarkEnd w:id="13"/>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26E92">
        <w:rPr>
          <w:rFonts w:cstheme="minorHAnsi"/>
          <w:b/>
          <w:bCs/>
          <w:i/>
        </w:rPr>
        <w:t>If not an intermediate or health outcome</w:t>
      </w:r>
      <w:r w:rsidR="00127C06" w:rsidRPr="00826E92">
        <w:rPr>
          <w:rFonts w:cstheme="minorHAnsi"/>
          <w:b/>
          <w:bCs/>
          <w:i/>
        </w:rPr>
        <w:t>,</w:t>
      </w:r>
      <w:r w:rsidR="00AC1D8E" w:rsidRPr="00826E92">
        <w:rPr>
          <w:rFonts w:cstheme="minorHAnsi"/>
          <w:b/>
          <w:bCs/>
          <w:i/>
        </w:rPr>
        <w:t xml:space="preserve"> </w:t>
      </w:r>
      <w:r w:rsidR="00127C06" w:rsidRPr="00826E92">
        <w:rPr>
          <w:rFonts w:cstheme="minorHAnsi"/>
          <w:b/>
          <w:bCs/>
          <w:i/>
        </w:rPr>
        <w:t xml:space="preserve">or PRO-PM, </w:t>
      </w:r>
      <w:r w:rsidR="00AC1D8E" w:rsidRPr="00826E92">
        <w:rPr>
          <w:rFonts w:cstheme="minorHAnsi"/>
          <w:b/>
          <w:bCs/>
          <w:i/>
        </w:rPr>
        <w:t xml:space="preserve">or resource use measure, </w:t>
      </w:r>
      <w:r w:rsidR="00BE592D" w:rsidRPr="00826E92">
        <w:rPr>
          <w:rFonts w:cstheme="minorHAnsi"/>
          <w:b/>
          <w:bCs/>
          <w:i/>
        </w:rPr>
        <w:t xml:space="preserve">skip to section </w:t>
      </w:r>
      <w:hyperlink w:anchor="section2b5" w:history="1">
        <w:r w:rsidR="00BE592D" w:rsidRPr="00826E92">
          <w:rPr>
            <w:rStyle w:val="Hyperlink"/>
            <w:rFonts w:cstheme="minorHAnsi"/>
            <w:b/>
            <w:bCs/>
            <w:i/>
          </w:rPr>
          <w:t>2b</w:t>
        </w:r>
        <w:r w:rsidR="00565946" w:rsidRPr="00826E92">
          <w:rPr>
            <w:rStyle w:val="Hyperlink"/>
            <w:rFonts w:cstheme="minorHAnsi"/>
            <w:b/>
            <w:bCs/>
            <w:i/>
          </w:rPr>
          <w:t>4</w:t>
        </w:r>
      </w:hyperlink>
      <w:r w:rsidR="00BE592D" w:rsidRPr="00826E92">
        <w:rPr>
          <w:rFonts w:cstheme="minorHAnsi"/>
          <w:b/>
          <w:bCs/>
          <w:i/>
        </w:rPr>
        <w:t>.</w:t>
      </w:r>
    </w:p>
    <w:p w14:paraId="1391205B" w14:textId="77777777" w:rsidR="008871A9" w:rsidRDefault="008871A9" w:rsidP="00092566">
      <w:pPr>
        <w:autoSpaceDE w:val="0"/>
        <w:autoSpaceDN w:val="0"/>
        <w:adjustRightInd w:val="0"/>
        <w:spacing w:after="0" w:line="240" w:lineRule="auto"/>
        <w:rPr>
          <w:rFonts w:cstheme="minorHAnsi"/>
          <w:b/>
          <w:bCs/>
        </w:rPr>
      </w:pPr>
    </w:p>
    <w:p w14:paraId="41931209"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4227A7FB" w14:textId="77777777" w:rsidR="00033038" w:rsidRPr="005232D6" w:rsidRDefault="006E60F5"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CC2487">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6641151" w14:textId="77777777" w:rsidR="00743E46" w:rsidRPr="005232D6" w:rsidRDefault="006E60F5"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47F90EB1" w14:textId="77777777" w:rsidR="00743E46" w:rsidRPr="005232D6" w:rsidRDefault="006E60F5"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38B573F8" w14:textId="77777777" w:rsidR="00743E46" w:rsidRPr="005232D6" w:rsidRDefault="006E60F5"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242EB881" w14:textId="77777777" w:rsidR="00743E46" w:rsidRDefault="00743E46" w:rsidP="00092566">
      <w:pPr>
        <w:autoSpaceDE w:val="0"/>
        <w:autoSpaceDN w:val="0"/>
        <w:adjustRightInd w:val="0"/>
        <w:spacing w:after="0" w:line="240" w:lineRule="auto"/>
        <w:rPr>
          <w:rFonts w:cstheme="minorHAnsi"/>
          <w:b/>
          <w:bCs/>
        </w:rPr>
      </w:pPr>
    </w:p>
    <w:p w14:paraId="2F68E450" w14:textId="77777777"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660B946C" w14:textId="77777777" w:rsidR="00AF2D68" w:rsidRDefault="00AF2D68" w:rsidP="009D3882">
      <w:pPr>
        <w:rPr>
          <w:rFonts w:cs="Calibri"/>
          <w:b/>
          <w:bCs/>
        </w:rPr>
      </w:pPr>
    </w:p>
    <w:p w14:paraId="6549D863" w14:textId="77777777" w:rsidR="009D3882" w:rsidRDefault="009C7513" w:rsidP="009D3882">
      <w:pPr>
        <w:rPr>
          <w:rFonts w:cstheme="minorHAnsi"/>
          <w:b/>
          <w:bCs/>
          <w:sz w:val="14"/>
        </w:rPr>
      </w:pPr>
      <w:r>
        <w:rPr>
          <w:rFonts w:cs="Calibri"/>
          <w:b/>
          <w:bCs/>
        </w:rPr>
        <w:lastRenderedPageBreak/>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5CFF300B" w14:textId="77777777" w:rsidR="008B4430" w:rsidRPr="008B4430" w:rsidRDefault="008B4430" w:rsidP="008B4430">
      <w:pPr>
        <w:autoSpaceDE w:val="0"/>
        <w:autoSpaceDN w:val="0"/>
        <w:adjustRightInd w:val="0"/>
        <w:spacing w:after="0" w:line="240" w:lineRule="auto"/>
        <w:rPr>
          <w:rFonts w:cstheme="minorHAnsi"/>
          <w:bCs/>
        </w:rPr>
      </w:pPr>
      <w:r w:rsidRPr="008B4430">
        <w:rPr>
          <w:rFonts w:cstheme="minorHAnsi"/>
          <w:bCs/>
        </w:rPr>
        <w:t>Certain patients are at higher risk for medication discrepancies than others, but since this is an intermediate patient outcome</w:t>
      </w:r>
      <w:r>
        <w:rPr>
          <w:rFonts w:cstheme="minorHAnsi"/>
          <w:bCs/>
        </w:rPr>
        <w:t xml:space="preserve"> (a measure of processes of care)</w:t>
      </w:r>
      <w:r w:rsidRPr="008B4430">
        <w:rPr>
          <w:rFonts w:cstheme="minorHAnsi"/>
          <w:bCs/>
        </w:rPr>
        <w:t>, risk stratification is less critical tha</w:t>
      </w:r>
      <w:r>
        <w:rPr>
          <w:rFonts w:cstheme="minorHAnsi"/>
          <w:bCs/>
        </w:rPr>
        <w:t>n for</w:t>
      </w:r>
      <w:r w:rsidRPr="008B4430">
        <w:rPr>
          <w:rFonts w:cstheme="minorHAnsi"/>
          <w:bCs/>
        </w:rPr>
        <w:t xml:space="preserve"> the evaluation of more distal outcomes such as adverse drug events.  In the name of simplicity, we have chosen not to recommend risk adjustment.</w:t>
      </w:r>
    </w:p>
    <w:p w14:paraId="44E30D48" w14:textId="77777777" w:rsidR="008B4430" w:rsidRPr="008B4430" w:rsidRDefault="008B4430" w:rsidP="008B4430">
      <w:pPr>
        <w:autoSpaceDE w:val="0"/>
        <w:autoSpaceDN w:val="0"/>
        <w:adjustRightInd w:val="0"/>
        <w:spacing w:after="0" w:line="240" w:lineRule="auto"/>
        <w:rPr>
          <w:rFonts w:cstheme="minorHAnsi"/>
          <w:bCs/>
        </w:rPr>
      </w:pPr>
    </w:p>
    <w:p w14:paraId="55816397" w14:textId="77777777" w:rsidR="008B4430" w:rsidRPr="008B4430" w:rsidRDefault="008B4430" w:rsidP="008B4430">
      <w:pPr>
        <w:autoSpaceDE w:val="0"/>
        <w:autoSpaceDN w:val="0"/>
        <w:adjustRightInd w:val="0"/>
        <w:spacing w:after="0" w:line="240" w:lineRule="auto"/>
        <w:rPr>
          <w:rFonts w:cstheme="minorHAnsi"/>
          <w:bCs/>
          <w:i/>
        </w:rPr>
      </w:pPr>
      <w:r w:rsidRPr="008B4430">
        <w:rPr>
          <w:rFonts w:cstheme="minorHAnsi"/>
          <w:bCs/>
        </w:rPr>
        <w:t xml:space="preserve">However, because the number of discrepancies in medication orders is highly correlated with the total number of gold standard medications (each medication is an opportunity for error), we suggest modifying the previous metric (or adding a second metric) to be the number of unintentional medication discrepancies </w:t>
      </w:r>
      <w:r w:rsidRPr="008B4430">
        <w:rPr>
          <w:rFonts w:cstheme="minorHAnsi"/>
          <w:bCs/>
          <w:u w:val="single"/>
        </w:rPr>
        <w:t>per medication</w:t>
      </w:r>
      <w:r w:rsidRPr="008B4430">
        <w:rPr>
          <w:rFonts w:cstheme="minorHAnsi"/>
          <w:bCs/>
        </w:rPr>
        <w:t xml:space="preserve"> per patient.  The maximum number of this metric is two: there is a discrepancy in the admission order and a discrepancy in the discharge order for each medication. </w:t>
      </w:r>
    </w:p>
    <w:p w14:paraId="5FD668ED" w14:textId="77777777" w:rsidR="008B4430" w:rsidRPr="008B4430" w:rsidRDefault="008B4430" w:rsidP="008B4430">
      <w:pPr>
        <w:autoSpaceDE w:val="0"/>
        <w:autoSpaceDN w:val="0"/>
        <w:adjustRightInd w:val="0"/>
        <w:spacing w:after="0" w:line="240" w:lineRule="auto"/>
        <w:rPr>
          <w:rFonts w:cstheme="minorHAnsi"/>
          <w:b/>
          <w:bCs/>
          <w:i/>
          <w:sz w:val="20"/>
          <w:szCs w:val="20"/>
        </w:rPr>
      </w:pPr>
    </w:p>
    <w:p w14:paraId="3F843A78" w14:textId="77777777" w:rsidR="008B4430" w:rsidRPr="008B4430" w:rsidRDefault="008B4430" w:rsidP="008B4430">
      <w:pPr>
        <w:autoSpaceDE w:val="0"/>
        <w:autoSpaceDN w:val="0"/>
        <w:adjustRightInd w:val="0"/>
        <w:spacing w:after="0" w:line="240" w:lineRule="auto"/>
        <w:rPr>
          <w:rFonts w:cstheme="minorHAnsi"/>
          <w:bCs/>
        </w:rPr>
      </w:pPr>
      <w:r w:rsidRPr="008B4430">
        <w:rPr>
          <w:rFonts w:cstheme="minorHAnsi"/>
          <w:bCs/>
        </w:rPr>
        <w:t>References:</w:t>
      </w:r>
    </w:p>
    <w:p w14:paraId="4EC3D66C" w14:textId="77777777" w:rsidR="00A84C95" w:rsidRPr="00A84C95" w:rsidRDefault="00A84C95" w:rsidP="00A84C95">
      <w:pPr>
        <w:pStyle w:val="ListParagraph"/>
        <w:numPr>
          <w:ilvl w:val="0"/>
          <w:numId w:val="33"/>
        </w:numPr>
        <w:spacing w:after="0" w:line="240" w:lineRule="auto"/>
        <w:rPr>
          <w:rFonts w:cstheme="minorHAnsi"/>
          <w:bCs/>
          <w:noProof/>
          <w:lang w:val="da-DK"/>
        </w:rPr>
      </w:pPr>
      <w:r w:rsidRPr="008B4430">
        <w:rPr>
          <w:rFonts w:cstheme="minorHAnsi"/>
          <w:bCs/>
          <w:noProof/>
          <w:lang w:val="da-DK"/>
        </w:rPr>
        <w:t xml:space="preserve">Pippins JR, Gandhi TK, Hamann C, et al. </w:t>
      </w:r>
      <w:r w:rsidRPr="008B4430">
        <w:rPr>
          <w:rFonts w:cstheme="minorHAnsi"/>
          <w:bCs/>
          <w:noProof/>
        </w:rPr>
        <w:t xml:space="preserve">Classifying and predicting errors of inpatient medication reconciliation. </w:t>
      </w:r>
      <w:r w:rsidRPr="008B4430">
        <w:rPr>
          <w:rFonts w:cstheme="minorHAnsi"/>
          <w:bCs/>
          <w:noProof/>
          <w:lang w:val="da-DK"/>
        </w:rPr>
        <w:t>J Gen Intern Med. 2008;23(9):1414-1422.</w:t>
      </w:r>
    </w:p>
    <w:p w14:paraId="4A05DC5A" w14:textId="77777777" w:rsidR="008B4430" w:rsidRPr="00AC30DB" w:rsidRDefault="008B4430" w:rsidP="008B4430">
      <w:pPr>
        <w:pStyle w:val="ListParagraph"/>
        <w:numPr>
          <w:ilvl w:val="0"/>
          <w:numId w:val="33"/>
        </w:numPr>
        <w:autoSpaceDE w:val="0"/>
        <w:autoSpaceDN w:val="0"/>
        <w:adjustRightInd w:val="0"/>
        <w:spacing w:after="0" w:line="240" w:lineRule="auto"/>
        <w:rPr>
          <w:rFonts w:cstheme="minorHAnsi"/>
          <w:bCs/>
          <w:noProof/>
          <w:lang w:val="da-DK"/>
        </w:rPr>
      </w:pPr>
      <w:r w:rsidRPr="00AC30DB">
        <w:rPr>
          <w:rFonts w:cstheme="minorHAnsi"/>
          <w:bCs/>
          <w:noProof/>
          <w:lang w:val="da-DK"/>
        </w:rPr>
        <w:t>Salanitro AH, Osborn CY, Schnipper JL, Roumie CL, Labonville S, Johnson DC, Neal E, Cawthon C, Businger A, Dalal AK, Kripalani S. Effect of patient- and medication-related factors on inpatient medication reconciliation errors. J Gen Intern Med. Aug 2012;27(8):924-932.</w:t>
      </w:r>
    </w:p>
    <w:p w14:paraId="5DE350D8" w14:textId="77777777" w:rsidR="008B4430" w:rsidRPr="009D3882" w:rsidRDefault="008B4430" w:rsidP="009D3882">
      <w:pPr>
        <w:rPr>
          <w:rFonts w:cstheme="minorHAnsi"/>
          <w:b/>
          <w:bCs/>
          <w:sz w:val="14"/>
        </w:rPr>
      </w:pPr>
    </w:p>
    <w:p w14:paraId="74A15ABD" w14:textId="77777777" w:rsidR="00B574AF" w:rsidRDefault="009C7513" w:rsidP="00AF2D68">
      <w:pPr>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70736700" w14:textId="079207BC" w:rsidR="00275563" w:rsidRPr="00AC30DB" w:rsidRDefault="00275563" w:rsidP="00AC30DB">
      <w:pPr>
        <w:rPr>
          <w:rFonts w:cstheme="minorHAnsi"/>
          <w:bCs/>
          <w:sz w:val="4"/>
        </w:rPr>
      </w:pPr>
      <w:r w:rsidRPr="008B4430">
        <w:rPr>
          <w:rFonts w:cstheme="minorHAnsi"/>
          <w:b/>
          <w:bCs/>
        </w:rPr>
        <w:t xml:space="preserve">2b3.3b. How was the conceptual model </w:t>
      </w:r>
      <w:r w:rsidR="00CE284E" w:rsidRPr="008B4430">
        <w:rPr>
          <w:rFonts w:cstheme="minorHAnsi"/>
          <w:b/>
          <w:bCs/>
        </w:rPr>
        <w:t xml:space="preserve">of how social risk impacts this outcome </w:t>
      </w:r>
      <w:r w:rsidRPr="008B4430">
        <w:rPr>
          <w:rFonts w:cstheme="minorHAnsi"/>
          <w:b/>
          <w:bCs/>
        </w:rPr>
        <w:t>developed?  Please check all that apply:</w:t>
      </w:r>
    </w:p>
    <w:p w14:paraId="16436F1A" w14:textId="77777777" w:rsidR="00275563" w:rsidRPr="008B4430" w:rsidRDefault="006E60F5"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8B4430">
            <w:rPr>
              <w:rFonts w:ascii="MS Gothic" w:eastAsia="MS Gothic" w:hAnsi="MS Gothic" w:cstheme="minorHAnsi" w:hint="eastAsia"/>
              <w:bCs/>
              <w:color w:val="0000FF"/>
            </w:rPr>
            <w:t>☐</w:t>
          </w:r>
        </w:sdtContent>
      </w:sdt>
      <w:r w:rsidR="00275563" w:rsidRPr="008B4430">
        <w:rPr>
          <w:rFonts w:eastAsia="MS Mincho" w:cstheme="minorHAnsi"/>
          <w:b/>
          <w:bCs/>
          <w:color w:val="0000FF"/>
        </w:rPr>
        <w:t xml:space="preserve"> </w:t>
      </w:r>
      <w:r w:rsidR="00CE284E" w:rsidRPr="008B4430">
        <w:rPr>
          <w:rFonts w:cstheme="minorHAnsi"/>
          <w:b/>
          <w:bCs/>
        </w:rPr>
        <w:t>Published l</w:t>
      </w:r>
      <w:r w:rsidR="00275563" w:rsidRPr="008B4430">
        <w:rPr>
          <w:rFonts w:cstheme="minorHAnsi"/>
          <w:b/>
          <w:bCs/>
        </w:rPr>
        <w:t>iterature</w:t>
      </w:r>
    </w:p>
    <w:p w14:paraId="3409F4EA" w14:textId="77777777" w:rsidR="00275563" w:rsidRPr="008B4430" w:rsidRDefault="006E60F5"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8B4430">
            <w:rPr>
              <w:rFonts w:ascii="MS Gothic" w:eastAsia="MS Gothic" w:hAnsi="MS Gothic" w:cstheme="minorHAnsi" w:hint="eastAsia"/>
              <w:bCs/>
              <w:color w:val="0000FF"/>
            </w:rPr>
            <w:t>☐</w:t>
          </w:r>
        </w:sdtContent>
      </w:sdt>
      <w:r w:rsidR="00275563" w:rsidRPr="008B4430">
        <w:rPr>
          <w:rFonts w:cstheme="minorHAnsi"/>
          <w:bCs/>
          <w:color w:val="0000FF"/>
        </w:rPr>
        <w:t xml:space="preserve"> </w:t>
      </w:r>
      <w:r w:rsidR="00CE284E" w:rsidRPr="008B4430">
        <w:rPr>
          <w:rFonts w:cstheme="minorHAnsi"/>
          <w:b/>
          <w:bCs/>
        </w:rPr>
        <w:t>Internal d</w:t>
      </w:r>
      <w:r w:rsidR="00275563" w:rsidRPr="008B4430">
        <w:rPr>
          <w:rFonts w:cstheme="minorHAnsi"/>
          <w:b/>
          <w:bCs/>
        </w:rPr>
        <w:t>ata</w:t>
      </w:r>
      <w:r w:rsidR="00CE284E" w:rsidRPr="008B4430">
        <w:rPr>
          <w:rFonts w:cstheme="minorHAnsi"/>
          <w:b/>
          <w:bCs/>
        </w:rPr>
        <w:t xml:space="preserve"> analysis</w:t>
      </w:r>
    </w:p>
    <w:p w14:paraId="7D057EE2" w14:textId="77777777" w:rsidR="00275563" w:rsidRPr="008B4430" w:rsidRDefault="006E60F5"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8B4430">
            <w:rPr>
              <w:rFonts w:ascii="MS Gothic" w:eastAsia="MS Gothic" w:cstheme="minorHAnsi" w:hint="eastAsia"/>
              <w:bCs/>
              <w:color w:val="0000FF"/>
            </w:rPr>
            <w:t>☐</w:t>
          </w:r>
        </w:sdtContent>
      </w:sdt>
      <w:r w:rsidR="00275563" w:rsidRPr="008B4430">
        <w:rPr>
          <w:rFonts w:eastAsia="MS Mincho" w:cstheme="minorHAnsi"/>
          <w:b/>
          <w:bCs/>
          <w:color w:val="0000FF"/>
        </w:rPr>
        <w:t xml:space="preserve"> </w:t>
      </w:r>
      <w:r w:rsidR="00275563" w:rsidRPr="008B4430">
        <w:rPr>
          <w:rFonts w:cstheme="minorHAnsi"/>
          <w:b/>
          <w:bCs/>
        </w:rPr>
        <w:t>Other (please describe)</w:t>
      </w:r>
    </w:p>
    <w:p w14:paraId="56E1A80D" w14:textId="77777777" w:rsidR="00275563" w:rsidRPr="008B4430" w:rsidRDefault="00275563" w:rsidP="00001D73">
      <w:pPr>
        <w:autoSpaceDE w:val="0"/>
        <w:autoSpaceDN w:val="0"/>
        <w:adjustRightInd w:val="0"/>
        <w:spacing w:after="0" w:line="240" w:lineRule="auto"/>
        <w:rPr>
          <w:rFonts w:cstheme="minorHAnsi"/>
          <w:b/>
          <w:bCs/>
        </w:rPr>
      </w:pPr>
    </w:p>
    <w:p w14:paraId="29F8CF9E" w14:textId="77777777" w:rsidR="00092566" w:rsidRPr="008B4430" w:rsidRDefault="009C7513" w:rsidP="00001D73">
      <w:pPr>
        <w:autoSpaceDE w:val="0"/>
        <w:autoSpaceDN w:val="0"/>
        <w:adjustRightInd w:val="0"/>
        <w:spacing w:after="0" w:line="240" w:lineRule="auto"/>
        <w:rPr>
          <w:rFonts w:cstheme="minorHAnsi"/>
          <w:b/>
          <w:bCs/>
        </w:rPr>
      </w:pPr>
      <w:r w:rsidRPr="008B4430">
        <w:rPr>
          <w:rFonts w:cstheme="minorHAnsi"/>
          <w:b/>
          <w:bCs/>
        </w:rPr>
        <w:t>2b3</w:t>
      </w:r>
      <w:r w:rsidR="00092566" w:rsidRPr="008B4430">
        <w:rPr>
          <w:rFonts w:cstheme="minorHAnsi"/>
          <w:b/>
          <w:bCs/>
        </w:rPr>
        <w:t>.4</w:t>
      </w:r>
      <w:r w:rsidR="00193F21" w:rsidRPr="008B4430">
        <w:rPr>
          <w:rFonts w:cstheme="minorHAnsi"/>
          <w:b/>
          <w:bCs/>
        </w:rPr>
        <w:t>a</w:t>
      </w:r>
      <w:r w:rsidR="00092566" w:rsidRPr="008B4430">
        <w:rPr>
          <w:rFonts w:cstheme="minorHAnsi"/>
          <w:b/>
          <w:bCs/>
        </w:rPr>
        <w:t>. What were the statistical results of the analyses used to select risk factors?</w:t>
      </w:r>
      <w:r w:rsidR="00001D73" w:rsidRPr="008B4430">
        <w:rPr>
          <w:rFonts w:cstheme="minorHAnsi"/>
          <w:b/>
          <w:bCs/>
        </w:rPr>
        <w:br/>
      </w:r>
    </w:p>
    <w:p w14:paraId="4941B285" w14:textId="77777777" w:rsidR="00001D73" w:rsidRPr="008B4430" w:rsidRDefault="009C7513" w:rsidP="00001D73">
      <w:pPr>
        <w:autoSpaceDE w:val="0"/>
        <w:autoSpaceDN w:val="0"/>
        <w:adjustRightInd w:val="0"/>
        <w:spacing w:after="0" w:line="240" w:lineRule="auto"/>
        <w:rPr>
          <w:rFonts w:cstheme="minorHAnsi"/>
          <w:b/>
          <w:bCs/>
        </w:rPr>
      </w:pPr>
      <w:r w:rsidRPr="008B4430">
        <w:rPr>
          <w:rFonts w:cstheme="minorHAnsi"/>
          <w:b/>
          <w:bCs/>
        </w:rPr>
        <w:t>2b3</w:t>
      </w:r>
      <w:r w:rsidR="00C1695E" w:rsidRPr="008B4430">
        <w:rPr>
          <w:rFonts w:cstheme="minorHAnsi"/>
          <w:b/>
          <w:bCs/>
        </w:rPr>
        <w:t xml:space="preserve">.4b. Describe the analyses and interpretation resulting in the decision to select </w:t>
      </w:r>
      <w:r w:rsidR="00AF2D68" w:rsidRPr="008B4430">
        <w:rPr>
          <w:rFonts w:cstheme="minorHAnsi"/>
          <w:b/>
          <w:bCs/>
        </w:rPr>
        <w:t>social risk</w:t>
      </w:r>
      <w:r w:rsidR="00C1695E" w:rsidRPr="008B4430">
        <w:rPr>
          <w:rFonts w:cstheme="minorHAnsi"/>
          <w:b/>
          <w:bCs/>
        </w:rPr>
        <w:t xml:space="preserve"> factors </w:t>
      </w:r>
      <w:r w:rsidR="00C1695E" w:rsidRPr="008B4430">
        <w:rPr>
          <w:rFonts w:cstheme="minorHAnsi"/>
          <w:bCs/>
          <w:i/>
        </w:rPr>
        <w:t>(e.g. prevalence of the factor across measured entities, empirical association with the outcome, contribution of unique variation in the outcome, assessment of between-unit effects and within-unit effects</w:t>
      </w:r>
      <w:r w:rsidR="00CE284E" w:rsidRPr="008B4430">
        <w:rPr>
          <w:rFonts w:cstheme="minorHAnsi"/>
          <w:bCs/>
          <w:i/>
        </w:rPr>
        <w:t xml:space="preserve">.)  </w:t>
      </w:r>
      <w:r w:rsidR="00CE284E" w:rsidRPr="008B4430">
        <w:rPr>
          <w:rFonts w:cstheme="minorHAnsi"/>
          <w:b/>
          <w:bCs/>
        </w:rPr>
        <w:t>Also describe the</w:t>
      </w:r>
      <w:r w:rsidR="00AF2D68" w:rsidRPr="008B4430">
        <w:rPr>
          <w:rFonts w:cstheme="minorHAnsi"/>
          <w:b/>
          <w:bCs/>
        </w:rPr>
        <w:t xml:space="preserve"> impact of adjusting for social risk (or not) on providers</w:t>
      </w:r>
      <w:r w:rsidR="00CE284E" w:rsidRPr="008B4430">
        <w:rPr>
          <w:rFonts w:cstheme="minorHAnsi"/>
          <w:b/>
          <w:bCs/>
        </w:rPr>
        <w:t xml:space="preserve"> at high or low extremes of risk.</w:t>
      </w:r>
    </w:p>
    <w:p w14:paraId="786A7526" w14:textId="77777777" w:rsidR="00C1695E" w:rsidRPr="008B4430" w:rsidRDefault="00C1695E" w:rsidP="00001D73">
      <w:pPr>
        <w:autoSpaceDE w:val="0"/>
        <w:autoSpaceDN w:val="0"/>
        <w:adjustRightInd w:val="0"/>
        <w:spacing w:after="0" w:line="240" w:lineRule="auto"/>
        <w:rPr>
          <w:rFonts w:cstheme="minorHAnsi"/>
          <w:b/>
          <w:bCs/>
        </w:rPr>
      </w:pPr>
    </w:p>
    <w:p w14:paraId="271D3508" w14:textId="77777777" w:rsidR="00092566" w:rsidRPr="008B4430" w:rsidRDefault="009C7513" w:rsidP="00092566">
      <w:pPr>
        <w:autoSpaceDE w:val="0"/>
        <w:autoSpaceDN w:val="0"/>
        <w:adjustRightInd w:val="0"/>
        <w:spacing w:after="0" w:line="240" w:lineRule="auto"/>
        <w:rPr>
          <w:rFonts w:cstheme="minorHAnsi"/>
          <w:bCs/>
        </w:rPr>
      </w:pPr>
      <w:r w:rsidRPr="008B4430">
        <w:rPr>
          <w:rFonts w:cstheme="minorHAnsi"/>
          <w:b/>
          <w:bCs/>
        </w:rPr>
        <w:t>2b3</w:t>
      </w:r>
      <w:r w:rsidR="00E1508F" w:rsidRPr="008B4430">
        <w:rPr>
          <w:rFonts w:cstheme="minorHAnsi"/>
          <w:b/>
          <w:bCs/>
        </w:rPr>
        <w:t>.</w:t>
      </w:r>
      <w:r w:rsidR="00092566" w:rsidRPr="008B4430">
        <w:rPr>
          <w:rFonts w:cstheme="minorHAnsi"/>
          <w:b/>
          <w:bCs/>
        </w:rPr>
        <w:t xml:space="preserve">5. </w:t>
      </w:r>
      <w:r w:rsidR="008871A9" w:rsidRPr="008B4430">
        <w:rPr>
          <w:rFonts w:cstheme="minorHAnsi"/>
          <w:b/>
          <w:bCs/>
        </w:rPr>
        <w:t>Describe the method of</w:t>
      </w:r>
      <w:r w:rsidR="00092566" w:rsidRPr="008B4430">
        <w:rPr>
          <w:rFonts w:cstheme="minorHAnsi"/>
          <w:b/>
          <w:bCs/>
        </w:rPr>
        <w:t xml:space="preserve"> </w:t>
      </w:r>
      <w:r w:rsidR="008871A9" w:rsidRPr="008B4430">
        <w:rPr>
          <w:rFonts w:cstheme="minorHAnsi"/>
          <w:b/>
          <w:bCs/>
        </w:rPr>
        <w:t xml:space="preserve">testing/analysis used </w:t>
      </w:r>
      <w:r w:rsidR="00092566" w:rsidRPr="008B4430">
        <w:rPr>
          <w:rFonts w:cstheme="minorHAnsi"/>
          <w:b/>
          <w:bCs/>
        </w:rPr>
        <w:t xml:space="preserve">to develop and validate the adequacy of the statistical model </w:t>
      </w:r>
      <w:r w:rsidR="00092566" w:rsidRPr="008B4430">
        <w:rPr>
          <w:rFonts w:cstheme="minorHAnsi"/>
          <w:b/>
          <w:bCs/>
          <w:u w:val="single"/>
        </w:rPr>
        <w:t>or</w:t>
      </w:r>
      <w:r w:rsidR="00092566" w:rsidRPr="008B4430">
        <w:rPr>
          <w:rFonts w:cstheme="minorHAnsi"/>
          <w:b/>
          <w:bCs/>
        </w:rPr>
        <w:t xml:space="preserve"> stratification approach</w:t>
      </w:r>
      <w:r w:rsidR="00092566" w:rsidRPr="008B4430">
        <w:rPr>
          <w:rFonts w:cstheme="minorHAnsi"/>
          <w:bCs/>
        </w:rPr>
        <w:t xml:space="preserve"> (</w:t>
      </w:r>
      <w:r w:rsidR="008871A9" w:rsidRPr="008B4430">
        <w:rPr>
          <w:rFonts w:cstheme="minorHAnsi"/>
          <w:bCs/>
          <w:i/>
        </w:rPr>
        <w:t>describe the steps―do not just name a method</w:t>
      </w:r>
      <w:r w:rsidR="006C3A4F" w:rsidRPr="008B4430">
        <w:rPr>
          <w:rFonts w:cstheme="minorHAnsi"/>
          <w:bCs/>
          <w:i/>
        </w:rPr>
        <w:t xml:space="preserve">; what </w:t>
      </w:r>
      <w:r w:rsidR="006C3A4F" w:rsidRPr="008B4430">
        <w:rPr>
          <w:rFonts w:cstheme="minorHAnsi"/>
          <w:bCs/>
          <w:i/>
        </w:rPr>
        <w:lastRenderedPageBreak/>
        <w:t>statistical analysis was used</w:t>
      </w:r>
      <w:r w:rsidR="00092566" w:rsidRPr="008B4430">
        <w:rPr>
          <w:rFonts w:cstheme="minorHAnsi"/>
          <w:bCs/>
        </w:rPr>
        <w:t>)</w:t>
      </w:r>
      <w:r w:rsidR="00092566" w:rsidRPr="008B4430">
        <w:rPr>
          <w:rFonts w:cstheme="minorHAnsi"/>
          <w:bCs/>
        </w:rPr>
        <w:br/>
      </w:r>
    </w:p>
    <w:p w14:paraId="2688420F" w14:textId="77777777" w:rsidR="00E1508F" w:rsidRPr="008B4430" w:rsidRDefault="00001D73" w:rsidP="00092566">
      <w:pPr>
        <w:autoSpaceDE w:val="0"/>
        <w:autoSpaceDN w:val="0"/>
        <w:adjustRightInd w:val="0"/>
        <w:spacing w:after="0" w:line="240" w:lineRule="auto"/>
        <w:rPr>
          <w:rFonts w:cstheme="minorHAnsi"/>
          <w:b/>
          <w:bCs/>
        </w:rPr>
      </w:pPr>
      <w:r w:rsidRPr="008B4430">
        <w:rPr>
          <w:rFonts w:cstheme="minorHAnsi"/>
          <w:bCs/>
          <w:i/>
        </w:rPr>
        <w:t>Provide</w:t>
      </w:r>
      <w:r w:rsidR="00092566" w:rsidRPr="008B4430">
        <w:rPr>
          <w:rFonts w:cstheme="minorHAnsi"/>
          <w:bCs/>
          <w:i/>
        </w:rPr>
        <w:t xml:space="preserve"> the statistical results from testing the approach to controlling for differences in patient characteristics (case mix)</w:t>
      </w:r>
      <w:r w:rsidRPr="008B4430">
        <w:rPr>
          <w:rFonts w:cstheme="minorHAnsi"/>
          <w:bCs/>
          <w:i/>
        </w:rPr>
        <w:t xml:space="preserve"> below</w:t>
      </w:r>
      <w:r w:rsidRPr="008B4430">
        <w:rPr>
          <w:rFonts w:cstheme="minorHAnsi"/>
          <w:bCs/>
        </w:rPr>
        <w:t>.</w:t>
      </w:r>
      <w:r w:rsidR="00092566" w:rsidRPr="008B4430">
        <w:rPr>
          <w:rFonts w:cstheme="minorHAnsi"/>
          <w:bCs/>
        </w:rPr>
        <w:br/>
      </w:r>
      <w:r w:rsidR="001F7A20" w:rsidRPr="008B4430">
        <w:rPr>
          <w:rFonts w:cstheme="minorHAnsi"/>
          <w:b/>
          <w:bCs/>
          <w:i/>
        </w:rPr>
        <w:t>If</w:t>
      </w:r>
      <w:r w:rsidR="00743E46" w:rsidRPr="008B4430">
        <w:rPr>
          <w:rFonts w:cstheme="minorHAnsi"/>
          <w:b/>
          <w:bCs/>
          <w:i/>
        </w:rPr>
        <w:t xml:space="preserve"> stratified, skip to </w:t>
      </w:r>
      <w:hyperlink w:anchor="question2b49" w:history="1">
        <w:r w:rsidR="009C7513" w:rsidRPr="008B4430">
          <w:rPr>
            <w:rStyle w:val="Hyperlink"/>
            <w:rFonts w:cstheme="minorHAnsi"/>
            <w:b/>
            <w:bCs/>
            <w:i/>
          </w:rPr>
          <w:t>2b3.9</w:t>
        </w:r>
      </w:hyperlink>
    </w:p>
    <w:p w14:paraId="545AFE3C" w14:textId="77777777" w:rsidR="00743E46" w:rsidRPr="008B4430" w:rsidRDefault="00743E46" w:rsidP="00092566">
      <w:pPr>
        <w:autoSpaceDE w:val="0"/>
        <w:autoSpaceDN w:val="0"/>
        <w:adjustRightInd w:val="0"/>
        <w:spacing w:after="0" w:line="240" w:lineRule="auto"/>
        <w:rPr>
          <w:rFonts w:cstheme="minorHAnsi"/>
          <w:b/>
          <w:bCs/>
        </w:rPr>
      </w:pPr>
    </w:p>
    <w:p w14:paraId="41D813E5" w14:textId="77777777" w:rsidR="00001D73" w:rsidRPr="008B4430" w:rsidRDefault="00743E46" w:rsidP="00092566">
      <w:pPr>
        <w:autoSpaceDE w:val="0"/>
        <w:autoSpaceDN w:val="0"/>
        <w:adjustRightInd w:val="0"/>
        <w:spacing w:after="0" w:line="240" w:lineRule="auto"/>
        <w:rPr>
          <w:rFonts w:cstheme="minorHAnsi"/>
          <w:b/>
          <w:bCs/>
        </w:rPr>
      </w:pPr>
      <w:r w:rsidRPr="008B4430">
        <w:rPr>
          <w:rFonts w:cstheme="minorHAnsi"/>
          <w:b/>
          <w:bCs/>
        </w:rPr>
        <w:t>2b</w:t>
      </w:r>
      <w:r w:rsidR="009C7513" w:rsidRPr="008B4430">
        <w:rPr>
          <w:rFonts w:cstheme="minorHAnsi"/>
          <w:b/>
          <w:bCs/>
        </w:rPr>
        <w:t>3</w:t>
      </w:r>
      <w:r w:rsidRPr="008B4430">
        <w:rPr>
          <w:rFonts w:cstheme="minorHAnsi"/>
          <w:b/>
          <w:bCs/>
        </w:rPr>
        <w:t xml:space="preserve">.6. </w:t>
      </w:r>
      <w:r w:rsidR="00001D73" w:rsidRPr="008B4430">
        <w:rPr>
          <w:rFonts w:cstheme="minorHAnsi"/>
          <w:b/>
          <w:bCs/>
        </w:rPr>
        <w:t xml:space="preserve">Statistical </w:t>
      </w:r>
      <w:r w:rsidR="00092566" w:rsidRPr="008B4430">
        <w:rPr>
          <w:rFonts w:cstheme="minorHAnsi"/>
          <w:b/>
          <w:bCs/>
        </w:rPr>
        <w:t>Risk Model Discrimination Statistics</w:t>
      </w:r>
      <w:r w:rsidR="003605B4" w:rsidRPr="008B4430">
        <w:rPr>
          <w:rFonts w:cstheme="minorHAnsi"/>
          <w:bCs/>
        </w:rPr>
        <w:t xml:space="preserve"> (</w:t>
      </w:r>
      <w:r w:rsidR="003605B4" w:rsidRPr="008B4430">
        <w:rPr>
          <w:rFonts w:cstheme="minorHAnsi"/>
          <w:bCs/>
          <w:i/>
        </w:rPr>
        <w:t>e.g., c-statistic, R-squared</w:t>
      </w:r>
      <w:r w:rsidR="003605B4" w:rsidRPr="008B4430">
        <w:rPr>
          <w:rFonts w:cstheme="minorHAnsi"/>
          <w:bCs/>
        </w:rPr>
        <w:t>)</w:t>
      </w:r>
      <w:r w:rsidRPr="008B4430">
        <w:rPr>
          <w:rFonts w:cstheme="minorHAnsi"/>
          <w:b/>
          <w:bCs/>
        </w:rPr>
        <w:t>:</w:t>
      </w:r>
      <w:r w:rsidR="00092566" w:rsidRPr="008B4430">
        <w:rPr>
          <w:rFonts w:cstheme="minorHAnsi"/>
          <w:b/>
          <w:bCs/>
        </w:rPr>
        <w:t xml:space="preserve">  </w:t>
      </w:r>
      <w:r w:rsidR="00092566" w:rsidRPr="008B4430">
        <w:rPr>
          <w:rFonts w:cstheme="minorHAnsi"/>
          <w:b/>
        </w:rPr>
        <w:br/>
      </w:r>
    </w:p>
    <w:p w14:paraId="198018B4" w14:textId="149C1EBF" w:rsidR="00001D73" w:rsidRPr="008B4430" w:rsidRDefault="009C7513" w:rsidP="00092566">
      <w:pPr>
        <w:autoSpaceDE w:val="0"/>
        <w:autoSpaceDN w:val="0"/>
        <w:adjustRightInd w:val="0"/>
        <w:spacing w:after="0" w:line="240" w:lineRule="auto"/>
        <w:rPr>
          <w:rFonts w:cstheme="minorHAnsi"/>
          <w:b/>
          <w:bCs/>
        </w:rPr>
      </w:pPr>
      <w:r w:rsidRPr="008B4430">
        <w:rPr>
          <w:rFonts w:cstheme="minorHAnsi"/>
          <w:b/>
          <w:bCs/>
        </w:rPr>
        <w:t>2b3</w:t>
      </w:r>
      <w:r w:rsidR="00743E46" w:rsidRPr="008B4430">
        <w:rPr>
          <w:rFonts w:cstheme="minorHAnsi"/>
          <w:b/>
          <w:bCs/>
        </w:rPr>
        <w:t>.7</w:t>
      </w:r>
      <w:r w:rsidR="00001D73" w:rsidRPr="008B4430">
        <w:rPr>
          <w:rFonts w:cstheme="minorHAnsi"/>
          <w:b/>
          <w:bCs/>
        </w:rPr>
        <w:t xml:space="preserve">. </w:t>
      </w:r>
      <w:r w:rsidR="00743E46" w:rsidRPr="008B4430">
        <w:rPr>
          <w:rFonts w:cstheme="minorHAnsi"/>
          <w:b/>
          <w:bCs/>
        </w:rPr>
        <w:t xml:space="preserve">Statistical </w:t>
      </w:r>
      <w:r w:rsidR="00092566" w:rsidRPr="008B4430">
        <w:rPr>
          <w:rFonts w:cstheme="minorHAnsi"/>
          <w:b/>
          <w:bCs/>
        </w:rPr>
        <w:t>Risk Model Calibration Statistics</w:t>
      </w:r>
      <w:r w:rsidR="003605B4" w:rsidRPr="008B4430">
        <w:rPr>
          <w:rFonts w:cstheme="minorHAnsi"/>
          <w:b/>
          <w:bCs/>
        </w:rPr>
        <w:t xml:space="preserve"> </w:t>
      </w:r>
      <w:r w:rsidR="003605B4" w:rsidRPr="008B4430">
        <w:rPr>
          <w:rFonts w:cstheme="minorHAnsi"/>
          <w:bCs/>
        </w:rPr>
        <w:t>(</w:t>
      </w:r>
      <w:r w:rsidR="003605B4" w:rsidRPr="008B4430">
        <w:rPr>
          <w:rFonts w:cstheme="minorHAnsi"/>
          <w:bCs/>
          <w:i/>
        </w:rPr>
        <w:t>e.g., Hosmer-</w:t>
      </w:r>
      <w:r w:rsidR="00B05589" w:rsidRPr="008B4430">
        <w:rPr>
          <w:rFonts w:cstheme="minorHAnsi"/>
          <w:bCs/>
          <w:i/>
        </w:rPr>
        <w:t>Leeson</w:t>
      </w:r>
      <w:r w:rsidR="003605B4" w:rsidRPr="008B4430">
        <w:rPr>
          <w:rFonts w:cstheme="minorHAnsi"/>
          <w:bCs/>
          <w:i/>
        </w:rPr>
        <w:t xml:space="preserve"> statistic</w:t>
      </w:r>
      <w:r w:rsidR="003605B4" w:rsidRPr="008B4430">
        <w:rPr>
          <w:rFonts w:cstheme="minorHAnsi"/>
          <w:bCs/>
        </w:rPr>
        <w:t>)</w:t>
      </w:r>
      <w:r w:rsidR="00092566" w:rsidRPr="008B4430">
        <w:rPr>
          <w:rFonts w:cstheme="minorHAnsi"/>
          <w:bCs/>
        </w:rPr>
        <w:t xml:space="preserve">:  </w:t>
      </w:r>
      <w:r w:rsidR="00092566" w:rsidRPr="008B4430">
        <w:rPr>
          <w:rFonts w:cstheme="minorHAnsi"/>
          <w:bCs/>
        </w:rPr>
        <w:br/>
      </w:r>
    </w:p>
    <w:p w14:paraId="62406311" w14:textId="77777777" w:rsidR="00743E46" w:rsidRDefault="009C7513" w:rsidP="00092566">
      <w:pPr>
        <w:autoSpaceDE w:val="0"/>
        <w:autoSpaceDN w:val="0"/>
        <w:adjustRightInd w:val="0"/>
        <w:spacing w:after="0" w:line="240" w:lineRule="auto"/>
        <w:rPr>
          <w:rFonts w:cstheme="minorHAnsi"/>
          <w:b/>
        </w:rPr>
      </w:pPr>
      <w:r w:rsidRPr="008B4430">
        <w:rPr>
          <w:rFonts w:cstheme="minorHAnsi"/>
          <w:b/>
          <w:bCs/>
        </w:rPr>
        <w:t>2b3</w:t>
      </w:r>
      <w:r w:rsidR="00743E46" w:rsidRPr="008B4430">
        <w:rPr>
          <w:rFonts w:cstheme="minorHAnsi"/>
          <w:b/>
          <w:bCs/>
        </w:rPr>
        <w:t>.8</w:t>
      </w:r>
      <w:r w:rsidR="00001D73" w:rsidRPr="008B4430">
        <w:rPr>
          <w:rFonts w:cstheme="minorHAnsi"/>
          <w:b/>
          <w:bCs/>
        </w:rPr>
        <w:t xml:space="preserve">. </w:t>
      </w:r>
      <w:r w:rsidR="00743E46" w:rsidRPr="008B4430">
        <w:rPr>
          <w:rFonts w:cstheme="minorHAnsi"/>
          <w:b/>
          <w:bCs/>
        </w:rPr>
        <w:t xml:space="preserve">Statistical </w:t>
      </w:r>
      <w:r w:rsidR="00092566" w:rsidRPr="008B4430">
        <w:rPr>
          <w:rFonts w:cstheme="minorHAnsi"/>
          <w:b/>
          <w:bCs/>
        </w:rPr>
        <w:t>Risk Model Calibration – Risk decile plots or calibration curves</w:t>
      </w:r>
      <w:r w:rsidR="00092566" w:rsidRPr="008B4430">
        <w:rPr>
          <w:rFonts w:cstheme="minorHAnsi"/>
          <w:bCs/>
        </w:rPr>
        <w:t>:</w:t>
      </w:r>
      <w:r w:rsidR="00092566" w:rsidRPr="00A25024">
        <w:rPr>
          <w:rFonts w:cstheme="minorHAnsi"/>
          <w:bCs/>
        </w:rPr>
        <w:br/>
      </w:r>
    </w:p>
    <w:p w14:paraId="5B256D6C" w14:textId="77777777" w:rsidR="00092566" w:rsidRPr="00A25024" w:rsidRDefault="009C7513" w:rsidP="00092566">
      <w:pPr>
        <w:autoSpaceDE w:val="0"/>
        <w:autoSpaceDN w:val="0"/>
        <w:adjustRightInd w:val="0"/>
        <w:spacing w:after="0" w:line="240" w:lineRule="auto"/>
        <w:rPr>
          <w:rFonts w:cstheme="minorHAnsi"/>
          <w:bCs/>
        </w:rPr>
      </w:pPr>
      <w:bookmarkStart w:id="14" w:name="question2b49"/>
      <w:bookmarkEnd w:id="14"/>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45E3B7CD" w14:textId="77777777" w:rsidR="00092566" w:rsidRPr="00A25024" w:rsidRDefault="00092566" w:rsidP="00092566">
      <w:pPr>
        <w:pStyle w:val="ListParagraph"/>
        <w:rPr>
          <w:rFonts w:cstheme="minorHAnsi"/>
          <w:bCs/>
        </w:rPr>
      </w:pPr>
    </w:p>
    <w:p w14:paraId="4C0F1F12" w14:textId="77777777"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7B27C915" w14:textId="77777777" w:rsidR="00092566" w:rsidRPr="00A25024" w:rsidRDefault="00092566" w:rsidP="00092566">
      <w:pPr>
        <w:spacing w:after="0" w:line="240" w:lineRule="auto"/>
        <w:rPr>
          <w:rFonts w:cstheme="minorHAnsi"/>
        </w:rPr>
      </w:pPr>
    </w:p>
    <w:p w14:paraId="405A18C6" w14:textId="77777777" w:rsidR="003755CB" w:rsidRDefault="009C7513" w:rsidP="00207824">
      <w:pPr>
        <w:spacing w:after="0" w:line="240" w:lineRule="auto"/>
        <w:rPr>
          <w:rFonts w:cstheme="minorHAnsi"/>
          <w:color w:val="FF0000"/>
        </w:rPr>
      </w:pPr>
      <w:r w:rsidRPr="00207824">
        <w:rPr>
          <w:rFonts w:cstheme="minorHAnsi"/>
          <w:b/>
        </w:rPr>
        <w:t>2b3</w:t>
      </w:r>
      <w:r w:rsidR="009B1A15" w:rsidRPr="00207824">
        <w:rPr>
          <w:rFonts w:cstheme="minorHAnsi"/>
          <w:b/>
        </w:rPr>
        <w:t>.11.</w:t>
      </w:r>
      <w:r w:rsidR="009B1A15" w:rsidRPr="00207824">
        <w:rPr>
          <w:rFonts w:cstheme="minorHAnsi"/>
        </w:rPr>
        <w:t xml:space="preserve"> </w:t>
      </w:r>
      <w:r w:rsidR="00092566" w:rsidRPr="00207824">
        <w:rPr>
          <w:rFonts w:cstheme="minorHAnsi"/>
          <w:b/>
        </w:rPr>
        <w:t>Optional</w:t>
      </w:r>
      <w:r w:rsidR="009B1A15" w:rsidRPr="00207824">
        <w:rPr>
          <w:rFonts w:cstheme="minorHAnsi"/>
          <w:b/>
        </w:rPr>
        <w:t xml:space="preserve"> Additional Testing</w:t>
      </w:r>
      <w:r w:rsidR="004756E1" w:rsidRPr="00207824">
        <w:rPr>
          <w:rFonts w:cstheme="minorHAnsi"/>
          <w:b/>
        </w:rPr>
        <w:t xml:space="preserve"> for Risk Adjustment</w:t>
      </w:r>
      <w:r w:rsidR="00092566" w:rsidRPr="00207824">
        <w:rPr>
          <w:rFonts w:cstheme="minorHAnsi"/>
          <w:b/>
        </w:rPr>
        <w:t xml:space="preserve"> </w:t>
      </w:r>
      <w:r w:rsidR="00092566" w:rsidRPr="00207824">
        <w:rPr>
          <w:rFonts w:cstheme="minorHAnsi"/>
        </w:rPr>
        <w:t>(</w:t>
      </w:r>
      <w:r w:rsidR="00092566" w:rsidRPr="00207824">
        <w:rPr>
          <w:rFonts w:cstheme="minorHAnsi"/>
          <w:i/>
          <w:u w:val="single"/>
        </w:rPr>
        <w:t>not required</w:t>
      </w:r>
      <w:r w:rsidR="00092566" w:rsidRPr="00207824">
        <w:rPr>
          <w:rFonts w:cstheme="minorHAnsi"/>
          <w:i/>
        </w:rPr>
        <w:t>, but would provide additional support of adequacy of risk model</w:t>
      </w:r>
      <w:r w:rsidR="009B1A15" w:rsidRPr="00207824">
        <w:rPr>
          <w:rFonts w:cstheme="minorHAnsi"/>
          <w:i/>
        </w:rPr>
        <w:t>, e.g., testing of risk model in another data se</w:t>
      </w:r>
      <w:r w:rsidR="002408E4" w:rsidRPr="00207824">
        <w:rPr>
          <w:rFonts w:cstheme="minorHAnsi"/>
          <w:i/>
        </w:rPr>
        <w:t>t</w:t>
      </w:r>
      <w:r w:rsidR="009B1A15" w:rsidRPr="00207824">
        <w:rPr>
          <w:rFonts w:cstheme="minorHAnsi"/>
          <w:i/>
        </w:rPr>
        <w:t>; sensitivity analysis for missing data</w:t>
      </w:r>
      <w:r w:rsidR="002408E4" w:rsidRPr="00207824">
        <w:rPr>
          <w:rFonts w:cstheme="minorHAnsi"/>
          <w:i/>
        </w:rPr>
        <w:t>;</w:t>
      </w:r>
      <w:r w:rsidR="009B1A15" w:rsidRPr="00207824">
        <w:rPr>
          <w:rFonts w:cstheme="minorHAnsi"/>
          <w:i/>
        </w:rPr>
        <w:t xml:space="preserve"> other methods</w:t>
      </w:r>
      <w:r w:rsidR="008F7E67" w:rsidRPr="00207824">
        <w:rPr>
          <w:rFonts w:cstheme="minorHAnsi"/>
          <w:i/>
        </w:rPr>
        <w:t xml:space="preserve"> that were assessed</w:t>
      </w:r>
      <w:r w:rsidR="009B1A15" w:rsidRPr="00207824">
        <w:rPr>
          <w:rFonts w:cstheme="minorHAnsi"/>
        </w:rPr>
        <w:t>)</w:t>
      </w:r>
      <w:r w:rsidR="00794AAC" w:rsidRPr="00207824">
        <w:rPr>
          <w:rFonts w:cstheme="minorHAnsi"/>
        </w:rPr>
        <w:t xml:space="preserve"> </w:t>
      </w:r>
    </w:p>
    <w:p w14:paraId="5B753E5E" w14:textId="77777777" w:rsidR="00207824" w:rsidRDefault="00207824" w:rsidP="00207824">
      <w:pPr>
        <w:spacing w:after="0" w:line="240" w:lineRule="auto"/>
        <w:rPr>
          <w:rFonts w:cstheme="minorHAnsi"/>
          <w:b/>
          <w:bCs/>
        </w:rPr>
      </w:pPr>
    </w:p>
    <w:p w14:paraId="3BE67F34"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14AACCAE" w14:textId="77777777" w:rsidR="00D61410" w:rsidRPr="00A25024" w:rsidRDefault="009C7513" w:rsidP="00D61410">
      <w:pPr>
        <w:autoSpaceDE w:val="0"/>
        <w:autoSpaceDN w:val="0"/>
        <w:adjustRightInd w:val="0"/>
        <w:spacing w:after="0" w:line="240" w:lineRule="auto"/>
        <w:rPr>
          <w:rFonts w:cstheme="minorHAnsi"/>
          <w:b/>
          <w:bCs/>
        </w:rPr>
      </w:pPr>
      <w:bookmarkStart w:id="15" w:name="section2b5"/>
      <w:bookmarkEnd w:id="15"/>
      <w:r w:rsidRPr="004C11CE">
        <w:rPr>
          <w:rFonts w:cstheme="minorHAnsi"/>
          <w:b/>
          <w:bCs/>
        </w:rPr>
        <w:t>2b4</w:t>
      </w:r>
      <w:r w:rsidR="00D61410" w:rsidRPr="004C11CE">
        <w:rPr>
          <w:rFonts w:cstheme="minorHAnsi"/>
          <w:b/>
          <w:bCs/>
        </w:rPr>
        <w:t>. IDENTIFICATION OF STATISTICALLY SIGNIFICANT</w:t>
      </w:r>
      <w:r w:rsidR="00D61410" w:rsidRPr="00A25024">
        <w:rPr>
          <w:rFonts w:cstheme="minorHAnsi"/>
          <w:b/>
          <w:bCs/>
        </w:rPr>
        <w:t xml:space="preserve"> &amp; MEANINGFUL DIFFERENCES IN PERFORMANCE</w:t>
      </w:r>
    </w:p>
    <w:p w14:paraId="777ADA11" w14:textId="77777777" w:rsidR="00D61410" w:rsidRPr="00A25024"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3F0CBA7B" w14:textId="77777777" w:rsidR="00AA4A57" w:rsidRPr="00207824" w:rsidRDefault="00AA4A57" w:rsidP="00AA4A57">
      <w:pPr>
        <w:autoSpaceDE w:val="0"/>
        <w:autoSpaceDN w:val="0"/>
        <w:adjustRightInd w:val="0"/>
        <w:spacing w:after="0" w:line="240" w:lineRule="auto"/>
        <w:rPr>
          <w:rFonts w:cstheme="minorHAnsi"/>
          <w:bCs/>
        </w:rPr>
      </w:pPr>
      <w:r w:rsidRPr="00207824">
        <w:rPr>
          <w:rFonts w:cstheme="minorHAnsi"/>
          <w:bCs/>
        </w:rPr>
        <w:t xml:space="preserve">We used the two-sample T test method (1-2), using PASS power calculation software (PASS 2008, NSCC LLC, Kaysville, Utah), assuming an alpha of 0.05, beta of 0.20 (i.e., 80% power), baseline results and standard errors from the MARQUIS study, and effect sizes that are both achievable and close to the smallest sizes that would be considered clinically meaningful.  </w:t>
      </w:r>
    </w:p>
    <w:p w14:paraId="665AE7B5" w14:textId="77777777" w:rsidR="00AA4A57" w:rsidRPr="00207824" w:rsidRDefault="00AA4A57" w:rsidP="00AA4A57">
      <w:pPr>
        <w:autoSpaceDE w:val="0"/>
        <w:autoSpaceDN w:val="0"/>
        <w:adjustRightInd w:val="0"/>
        <w:spacing w:after="0" w:line="240" w:lineRule="auto"/>
        <w:rPr>
          <w:rFonts w:cstheme="minorHAnsi"/>
          <w:bCs/>
        </w:rPr>
      </w:pPr>
    </w:p>
    <w:p w14:paraId="48780197" w14:textId="77777777" w:rsidR="00AA4A57" w:rsidRPr="00207824" w:rsidRDefault="00AA4A57" w:rsidP="00AA4A57">
      <w:pPr>
        <w:autoSpaceDE w:val="0"/>
        <w:autoSpaceDN w:val="0"/>
        <w:adjustRightInd w:val="0"/>
        <w:spacing w:after="0" w:line="240" w:lineRule="auto"/>
        <w:rPr>
          <w:rFonts w:cstheme="minorHAnsi"/>
          <w:bCs/>
        </w:rPr>
      </w:pPr>
      <w:r w:rsidRPr="00207824">
        <w:rPr>
          <w:rFonts w:cstheme="minorHAnsi"/>
          <w:bCs/>
        </w:rPr>
        <w:t>References:</w:t>
      </w:r>
    </w:p>
    <w:p w14:paraId="3EE1DAD8" w14:textId="302EE6DE" w:rsidR="00AA4A57" w:rsidRPr="00207824" w:rsidRDefault="00AA4A57" w:rsidP="00AA4A57">
      <w:pPr>
        <w:pStyle w:val="ListParagraph"/>
        <w:numPr>
          <w:ilvl w:val="0"/>
          <w:numId w:val="34"/>
        </w:numPr>
        <w:autoSpaceDE w:val="0"/>
        <w:autoSpaceDN w:val="0"/>
        <w:adjustRightInd w:val="0"/>
        <w:spacing w:after="0" w:line="240" w:lineRule="auto"/>
        <w:rPr>
          <w:rFonts w:cstheme="minorHAnsi"/>
          <w:bCs/>
        </w:rPr>
      </w:pPr>
      <w:r w:rsidRPr="00207824">
        <w:rPr>
          <w:rFonts w:cstheme="minorHAnsi"/>
          <w:bCs/>
        </w:rPr>
        <w:t xml:space="preserve">Machin, D., Campbell, M., </w:t>
      </w:r>
      <w:r w:rsidR="00B05589" w:rsidRPr="00207824">
        <w:rPr>
          <w:rFonts w:cstheme="minorHAnsi"/>
          <w:bCs/>
        </w:rPr>
        <w:t>Fairs</w:t>
      </w:r>
      <w:r w:rsidRPr="00207824">
        <w:rPr>
          <w:rFonts w:cstheme="minorHAnsi"/>
          <w:bCs/>
        </w:rPr>
        <w:t xml:space="preserve">, P., and </w:t>
      </w:r>
      <w:r w:rsidR="00B05589" w:rsidRPr="00207824">
        <w:rPr>
          <w:rFonts w:cstheme="minorHAnsi"/>
          <w:bCs/>
        </w:rPr>
        <w:t>Pinal</w:t>
      </w:r>
      <w:r w:rsidRPr="00207824">
        <w:rPr>
          <w:rFonts w:cstheme="minorHAnsi"/>
          <w:bCs/>
        </w:rPr>
        <w:t>, A. 1997. Sample Size Tables for Clinical Studies, 2</w:t>
      </w:r>
      <w:r w:rsidRPr="00207824">
        <w:rPr>
          <w:rFonts w:cstheme="minorHAnsi"/>
          <w:bCs/>
          <w:vertAlign w:val="superscript"/>
        </w:rPr>
        <w:t>nd</w:t>
      </w:r>
      <w:r w:rsidRPr="00207824">
        <w:rPr>
          <w:rFonts w:cstheme="minorHAnsi"/>
          <w:bCs/>
        </w:rPr>
        <w:t xml:space="preserve"> Edition. Blackwell Science. Malden, MA.</w:t>
      </w:r>
    </w:p>
    <w:p w14:paraId="799553E7" w14:textId="38088FB0" w:rsidR="00AA4A57" w:rsidRPr="00207824" w:rsidRDefault="00B05589" w:rsidP="00AA4A57">
      <w:pPr>
        <w:pStyle w:val="CommentText"/>
        <w:numPr>
          <w:ilvl w:val="0"/>
          <w:numId w:val="34"/>
        </w:numPr>
        <w:rPr>
          <w:rFonts w:cstheme="minorHAnsi"/>
          <w:bCs/>
          <w:sz w:val="22"/>
          <w:szCs w:val="22"/>
        </w:rPr>
      </w:pPr>
      <w:r w:rsidRPr="00207824">
        <w:rPr>
          <w:rFonts w:cstheme="minorHAnsi"/>
          <w:bCs/>
          <w:sz w:val="22"/>
          <w:szCs w:val="22"/>
        </w:rPr>
        <w:t>Zarf</w:t>
      </w:r>
      <w:r w:rsidR="00AA4A57" w:rsidRPr="00207824">
        <w:rPr>
          <w:rFonts w:cstheme="minorHAnsi"/>
          <w:bCs/>
          <w:sz w:val="22"/>
          <w:szCs w:val="22"/>
        </w:rPr>
        <w:t>, Jerrold H. 1984. Biostatistical Analysis (Second Edition). Prentice-Hall. Englewood Cliffs, New Jersey.</w:t>
      </w:r>
    </w:p>
    <w:p w14:paraId="70C0B109" w14:textId="77777777" w:rsidR="00D61410" w:rsidRPr="00A25024" w:rsidRDefault="00D61410" w:rsidP="00D61410">
      <w:pPr>
        <w:autoSpaceDE w:val="0"/>
        <w:autoSpaceDN w:val="0"/>
        <w:adjustRightInd w:val="0"/>
        <w:spacing w:after="0" w:line="240" w:lineRule="auto"/>
        <w:rPr>
          <w:rFonts w:cstheme="minorHAnsi"/>
          <w:bCs/>
        </w:rPr>
      </w:pPr>
    </w:p>
    <w:p w14:paraId="2B54AAAB" w14:textId="18613898" w:rsidR="00AA4A57" w:rsidRDefault="009C7513" w:rsidP="00826E92">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AA4A57">
        <w:rPr>
          <w:rFonts w:cstheme="minorHAnsi"/>
          <w:bCs/>
        </w:rPr>
        <w:t xml:space="preserve"> </w:t>
      </w:r>
    </w:p>
    <w:p w14:paraId="6A243A76" w14:textId="77777777" w:rsidR="00AA4A57" w:rsidRPr="00EC0D92" w:rsidRDefault="00AA4A57" w:rsidP="00AA4A57">
      <w:pPr>
        <w:autoSpaceDE w:val="0"/>
        <w:autoSpaceDN w:val="0"/>
        <w:adjustRightInd w:val="0"/>
        <w:spacing w:after="0" w:line="240" w:lineRule="auto"/>
        <w:rPr>
          <w:rFonts w:cs="Calibri-Italic"/>
          <w:iCs/>
          <w:szCs w:val="24"/>
        </w:rPr>
      </w:pPr>
      <w:r w:rsidRPr="00EC0D92">
        <w:rPr>
          <w:rFonts w:cs="Calibri-Italic"/>
          <w:iCs/>
          <w:szCs w:val="24"/>
        </w:rPr>
        <w:lastRenderedPageBreak/>
        <w:t xml:space="preserve">Using data from MARQUIS, we can assume a baseline rate of 3.44 medication discrepancies per patient with a standard deviation of 3.62.  With an alpha of 0.05, then with 6 months of pre-intervention data collection (at 25 patients per month, or 150 patients total) and 12 months of post-intervention data collection (300 patients), hospitals would have 80% power to detect a reduction from 3.44 to 2.43 discrepancies per patient.  </w:t>
      </w:r>
    </w:p>
    <w:p w14:paraId="0AE3A0A1" w14:textId="77777777" w:rsidR="00207824" w:rsidRPr="00B05589" w:rsidRDefault="00207824" w:rsidP="00AA4A57">
      <w:pPr>
        <w:autoSpaceDE w:val="0"/>
        <w:autoSpaceDN w:val="0"/>
        <w:adjustRightInd w:val="0"/>
        <w:spacing w:after="0" w:line="240" w:lineRule="auto"/>
        <w:rPr>
          <w:rFonts w:cs="Calibri-Italic"/>
          <w:iCs/>
        </w:rPr>
      </w:pPr>
    </w:p>
    <w:p w14:paraId="52C602C4" w14:textId="77777777" w:rsidR="00826E92" w:rsidRDefault="00826E92" w:rsidP="00826E92">
      <w:pPr>
        <w:autoSpaceDE w:val="0"/>
        <w:autoSpaceDN w:val="0"/>
        <w:adjustRightInd w:val="0"/>
        <w:spacing w:after="0" w:line="240" w:lineRule="auto"/>
        <w:rPr>
          <w:rFonts w:cs="Calibri-Italic"/>
          <w:iCs/>
          <w:szCs w:val="24"/>
        </w:rPr>
      </w:pPr>
      <w:r>
        <w:rPr>
          <w:rFonts w:cs="Calibri-Italic"/>
          <w:iCs/>
          <w:szCs w:val="24"/>
        </w:rPr>
        <w:t xml:space="preserve">Using data from the MARQUIS2 study using unintentional medication discrepancies </w:t>
      </w:r>
      <w:r>
        <w:rPr>
          <w:rFonts w:cs="Calibri-Italic"/>
          <w:iCs/>
          <w:szCs w:val="24"/>
          <w:u w:val="single"/>
        </w:rPr>
        <w:t>per medication</w:t>
      </w:r>
      <w:r>
        <w:rPr>
          <w:rFonts w:cs="Calibri-Italic"/>
          <w:iCs/>
          <w:szCs w:val="24"/>
        </w:rPr>
        <w:t xml:space="preserve"> per patient (5022 patients at 18 hospitals), the baseline rate (i.e., among patients who did not receive interventions) was 0.62, with a standard deviation of 0.14 per site.  With an alpha of 0.05, then with 6 months of pre-intervention data collection (at 25 patients per month, or 150 patients total) and 12 months of post-intervention data collection (300 patients), hospitals would have 80% power to detect a reduction from 0.62 to 0.58 discrepancies per medication per patient, a 6.5% relative reduction, close to the smallest effect size that could be considered clinically important.  This effect size was seen by all 18 of the participating MARQUIS2 sites during the study period among patients who received interventions compared with those who did not.</w:t>
      </w:r>
    </w:p>
    <w:p w14:paraId="61386927" w14:textId="45015DC6" w:rsidR="00D61410" w:rsidRPr="00B05589" w:rsidRDefault="00D61410" w:rsidP="00D61410">
      <w:pPr>
        <w:autoSpaceDE w:val="0"/>
        <w:autoSpaceDN w:val="0"/>
        <w:adjustRightInd w:val="0"/>
        <w:spacing w:after="0" w:line="240" w:lineRule="auto"/>
        <w:rPr>
          <w:rFonts w:cstheme="minorHAnsi"/>
          <w:bCs/>
          <w:color w:val="7030A0"/>
        </w:rPr>
      </w:pPr>
    </w:p>
    <w:p w14:paraId="4C26E59E" w14:textId="77777777" w:rsidR="00D61410" w:rsidRPr="00927027" w:rsidRDefault="00D61410" w:rsidP="00D61410">
      <w:pPr>
        <w:autoSpaceDE w:val="0"/>
        <w:autoSpaceDN w:val="0"/>
        <w:adjustRightInd w:val="0"/>
        <w:spacing w:after="0" w:line="240" w:lineRule="auto"/>
        <w:rPr>
          <w:rFonts w:cstheme="minorHAnsi"/>
          <w:bCs/>
        </w:rPr>
      </w:pPr>
    </w:p>
    <w:p w14:paraId="0F32D8D7" w14:textId="77777777" w:rsidR="00826E92" w:rsidRDefault="009C7513" w:rsidP="00AA4A57">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AA4A57">
        <w:rPr>
          <w:rFonts w:cstheme="minorHAnsi"/>
          <w:bCs/>
        </w:rPr>
        <w:t xml:space="preserve"> </w:t>
      </w:r>
    </w:p>
    <w:p w14:paraId="0B43C02F" w14:textId="61BEA469" w:rsidR="00AA4A57" w:rsidRPr="004C11CE" w:rsidRDefault="00D61410" w:rsidP="00AA4A57">
      <w:pPr>
        <w:autoSpaceDE w:val="0"/>
        <w:autoSpaceDN w:val="0"/>
        <w:adjustRightInd w:val="0"/>
        <w:spacing w:after="0" w:line="240" w:lineRule="auto"/>
        <w:rPr>
          <w:rFonts w:cs="Calibri-Italic"/>
          <w:iCs/>
          <w:color w:val="7030A0"/>
          <w:sz w:val="24"/>
          <w:szCs w:val="24"/>
        </w:rPr>
      </w:pPr>
      <w:r w:rsidRPr="00A25024">
        <w:rPr>
          <w:rFonts w:cstheme="minorHAnsi"/>
          <w:bCs/>
        </w:rPr>
        <w:br/>
      </w:r>
      <w:r w:rsidR="00AA4A57" w:rsidRPr="00EC0D92">
        <w:rPr>
          <w:rFonts w:cs="Calibri-Italic"/>
          <w:iCs/>
          <w:szCs w:val="24"/>
        </w:rPr>
        <w:t xml:space="preserve">With data collection on approximately 1 patient per weekday and a reasonable time-frame, hospitals will have adequate statistical power to detect effect sizes in discrepancy rates per patient that are achievable (see above for our results from </w:t>
      </w:r>
      <w:r w:rsidR="00A84C95">
        <w:rPr>
          <w:rFonts w:cs="Calibri-Italic"/>
          <w:iCs/>
          <w:szCs w:val="24"/>
        </w:rPr>
        <w:t>the MARQUIS2 study</w:t>
      </w:r>
      <w:r w:rsidR="00AA4A57" w:rsidRPr="00EC0D92">
        <w:rPr>
          <w:rFonts w:cs="Calibri-Italic"/>
          <w:iCs/>
          <w:szCs w:val="24"/>
        </w:rPr>
        <w:t xml:space="preserve">) and close to the smallest effect size that could be considered clinically </w:t>
      </w:r>
      <w:r w:rsidR="00826E92">
        <w:rPr>
          <w:rFonts w:cs="Calibri-Italic"/>
          <w:iCs/>
          <w:szCs w:val="24"/>
        </w:rPr>
        <w:t>important</w:t>
      </w:r>
      <w:r w:rsidR="00AA4A57" w:rsidRPr="00EC0D92">
        <w:rPr>
          <w:rFonts w:cs="Calibri-Italic"/>
          <w:iCs/>
          <w:szCs w:val="24"/>
        </w:rPr>
        <w:t xml:space="preserve">.  </w:t>
      </w:r>
    </w:p>
    <w:p w14:paraId="41308020" w14:textId="77777777" w:rsidR="00D61410" w:rsidRPr="00A25024" w:rsidRDefault="00D61410" w:rsidP="00D61410">
      <w:pPr>
        <w:autoSpaceDE w:val="0"/>
        <w:autoSpaceDN w:val="0"/>
        <w:adjustRightInd w:val="0"/>
        <w:spacing w:after="0" w:line="240" w:lineRule="auto"/>
        <w:rPr>
          <w:rFonts w:cstheme="minorHAnsi"/>
          <w:bCs/>
        </w:rPr>
      </w:pPr>
    </w:p>
    <w:p w14:paraId="7CB0162D" w14:textId="77777777" w:rsidR="0086464B" w:rsidRDefault="0086464B" w:rsidP="0086464B">
      <w:pPr>
        <w:spacing w:after="0" w:line="240" w:lineRule="auto"/>
        <w:rPr>
          <w:rFonts w:cstheme="minorHAnsi"/>
          <w:b/>
          <w:bCs/>
        </w:rPr>
      </w:pPr>
      <w:r>
        <w:rPr>
          <w:rFonts w:cstheme="minorHAnsi"/>
          <w:b/>
          <w:bCs/>
        </w:rPr>
        <w:t>_______________________________________</w:t>
      </w:r>
    </w:p>
    <w:p w14:paraId="0A4FB24A"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2E7770C3" w14:textId="77777777" w:rsidR="00567D12" w:rsidRPr="0086464B" w:rsidRDefault="00567D12" w:rsidP="00567D12">
      <w:pPr>
        <w:spacing w:after="0" w:line="240" w:lineRule="auto"/>
        <w:rPr>
          <w:rFonts w:cstheme="minorHAnsi"/>
          <w:b/>
          <w:bCs/>
        </w:rPr>
      </w:pPr>
      <w:r w:rsidRPr="00EC0D92">
        <w:rPr>
          <w:rFonts w:cstheme="minorHAnsi"/>
          <w:b/>
          <w:bCs/>
          <w:i/>
        </w:rPr>
        <w:t xml:space="preserve">If only one set of specifications, this section can be </w:t>
      </w:r>
      <w:r w:rsidR="00BE592D" w:rsidRPr="00EC0D92">
        <w:rPr>
          <w:rFonts w:cstheme="minorHAnsi"/>
          <w:b/>
          <w:bCs/>
          <w:i/>
        </w:rPr>
        <w:t>skipped.</w:t>
      </w:r>
    </w:p>
    <w:p w14:paraId="372DC54D" w14:textId="77777777" w:rsidR="00567D12" w:rsidRPr="00A25024" w:rsidRDefault="00567D12" w:rsidP="00DB3627">
      <w:pPr>
        <w:autoSpaceDE w:val="0"/>
        <w:autoSpaceDN w:val="0"/>
        <w:adjustRightInd w:val="0"/>
        <w:spacing w:after="0" w:line="240" w:lineRule="auto"/>
        <w:rPr>
          <w:rFonts w:cstheme="minorHAnsi"/>
          <w:b/>
          <w:bCs/>
        </w:rPr>
      </w:pPr>
    </w:p>
    <w:p w14:paraId="71F6FA5B" w14:textId="4EEDC56C"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r w:rsidR="00B05589">
        <w:rPr>
          <w:rFonts w:ascii="Calibri-Italic" w:eastAsiaTheme="minorHAnsi" w:hAnsi="Calibri-Italic" w:cs="Calibri-Italic"/>
          <w:i/>
          <w:iCs/>
        </w:rPr>
        <w:t>embrasures</w:t>
      </w:r>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2AEF57AA" w14:textId="77777777" w:rsidR="000F06B5" w:rsidRPr="00A25024" w:rsidRDefault="000F06B5" w:rsidP="00DB3627">
      <w:pPr>
        <w:autoSpaceDE w:val="0"/>
        <w:autoSpaceDN w:val="0"/>
        <w:adjustRightInd w:val="0"/>
        <w:spacing w:after="0" w:line="240" w:lineRule="auto"/>
        <w:rPr>
          <w:rFonts w:cstheme="minorHAnsi"/>
          <w:bCs/>
        </w:rPr>
      </w:pPr>
    </w:p>
    <w:p w14:paraId="3B02F019" w14:textId="77777777"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7AC1B2AA"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73F01DD0" w14:textId="77777777"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5DB4B0B8" w14:textId="77777777" w:rsidR="00E1508F" w:rsidRPr="00E1508F" w:rsidRDefault="00E1508F" w:rsidP="00E1508F">
      <w:pPr>
        <w:autoSpaceDE w:val="0"/>
        <w:autoSpaceDN w:val="0"/>
        <w:adjustRightInd w:val="0"/>
        <w:spacing w:after="0" w:line="240" w:lineRule="auto"/>
        <w:rPr>
          <w:rFonts w:cstheme="minorHAnsi"/>
          <w:bCs/>
        </w:rPr>
      </w:pPr>
    </w:p>
    <w:p w14:paraId="77EC5BEE" w14:textId="77777777"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418FB88A" w14:textId="77777777" w:rsidR="008F7E67" w:rsidRPr="00875AB3" w:rsidRDefault="008F7E67" w:rsidP="008F7E67">
      <w:pPr>
        <w:spacing w:after="0" w:line="240" w:lineRule="auto"/>
        <w:rPr>
          <w:rFonts w:cstheme="minorHAnsi"/>
          <w:b/>
          <w:bCs/>
        </w:rPr>
      </w:pPr>
      <w:r w:rsidRPr="00875AB3">
        <w:rPr>
          <w:rFonts w:cstheme="minorHAnsi"/>
          <w:b/>
          <w:bCs/>
        </w:rPr>
        <w:t>_______________________________________</w:t>
      </w:r>
    </w:p>
    <w:p w14:paraId="41A7625F" w14:textId="77777777" w:rsidR="008F7E67" w:rsidRDefault="008F7E67" w:rsidP="008F7E67">
      <w:pPr>
        <w:autoSpaceDE w:val="0"/>
        <w:autoSpaceDN w:val="0"/>
        <w:adjustRightInd w:val="0"/>
        <w:spacing w:after="0" w:line="240" w:lineRule="auto"/>
        <w:rPr>
          <w:rFonts w:cstheme="minorHAnsi"/>
          <w:b/>
          <w:bCs/>
        </w:rPr>
      </w:pPr>
      <w:r w:rsidRPr="00875AB3">
        <w:rPr>
          <w:rFonts w:cstheme="minorHAnsi"/>
          <w:b/>
          <w:bCs/>
        </w:rPr>
        <w:t>2b</w:t>
      </w:r>
      <w:r w:rsidR="009C7513" w:rsidRPr="00875AB3">
        <w:rPr>
          <w:rFonts w:cstheme="minorHAnsi"/>
          <w:b/>
          <w:bCs/>
        </w:rPr>
        <w:t>6</w:t>
      </w:r>
      <w:r w:rsidRPr="00875AB3">
        <w:rPr>
          <w:rFonts w:cstheme="minorHAnsi"/>
          <w:b/>
          <w:bCs/>
        </w:rPr>
        <w:t>. MISSING DATA ANALYSIS</w:t>
      </w:r>
      <w:r w:rsidR="008B604D" w:rsidRPr="00875AB3">
        <w:rPr>
          <w:rFonts w:cstheme="minorHAnsi"/>
          <w:b/>
          <w:bCs/>
        </w:rPr>
        <w:t xml:space="preserve"> AND MINIMIZING BIAS</w:t>
      </w:r>
      <w:r w:rsidR="008B604D">
        <w:rPr>
          <w:rFonts w:cstheme="minorHAnsi"/>
          <w:b/>
          <w:bCs/>
        </w:rPr>
        <w:t xml:space="preserve"> </w:t>
      </w:r>
    </w:p>
    <w:p w14:paraId="4D75A0FD" w14:textId="77777777" w:rsidR="008F7E67" w:rsidRDefault="008F7E67" w:rsidP="008F7E67">
      <w:pPr>
        <w:autoSpaceDE w:val="0"/>
        <w:autoSpaceDN w:val="0"/>
        <w:adjustRightInd w:val="0"/>
        <w:spacing w:after="0" w:line="240" w:lineRule="auto"/>
        <w:rPr>
          <w:rFonts w:cstheme="minorHAnsi"/>
          <w:bCs/>
        </w:rPr>
      </w:pPr>
    </w:p>
    <w:p w14:paraId="34ADF8E1" w14:textId="42887746" w:rsidR="00A84C95"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r w:rsidR="00B05589" w:rsidRPr="006A028C">
        <w:rPr>
          <w:rFonts w:ascii="Calibri" w:eastAsia="Calibri" w:hAnsi="Calibri" w:cs="Calibri"/>
        </w:rPr>
        <w:t>nonresponse’s</w:t>
      </w:r>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1131A9F5" w14:textId="77777777" w:rsidR="00A84C95" w:rsidRDefault="00A84C95" w:rsidP="008F7E67">
      <w:pPr>
        <w:autoSpaceDE w:val="0"/>
        <w:autoSpaceDN w:val="0"/>
        <w:adjustRightInd w:val="0"/>
        <w:spacing w:after="0" w:line="240" w:lineRule="auto"/>
        <w:rPr>
          <w:rFonts w:cstheme="minorHAnsi"/>
          <w:bCs/>
        </w:rPr>
      </w:pPr>
    </w:p>
    <w:p w14:paraId="3951C3CB" w14:textId="77777777" w:rsidR="008F7E67" w:rsidRDefault="00A84C95" w:rsidP="008F7E67">
      <w:pPr>
        <w:autoSpaceDE w:val="0"/>
        <w:autoSpaceDN w:val="0"/>
        <w:adjustRightInd w:val="0"/>
        <w:spacing w:after="0" w:line="240" w:lineRule="auto"/>
        <w:rPr>
          <w:rFonts w:cstheme="minorHAnsi"/>
          <w:bCs/>
        </w:rPr>
      </w:pPr>
      <w:r>
        <w:rPr>
          <w:rFonts w:cstheme="minorHAnsi"/>
          <w:bCs/>
        </w:rPr>
        <w:t xml:space="preserve">To minimize sampling bias, we used a method whereby the list of admitted patients from the day prior are randomized in the order in which they are approached.  Once approached, the goal is for the pharmacist to take a gold-standard medication history before the patient is discharged from the hospital unless the patient declines.  This may require multiple attempts (e.g., because the patient is off the floor at a procedure or test or wants the pharmacist to return at another time).  By approaching patients on the first full day after admission, this method also </w:t>
      </w:r>
      <w:r w:rsidR="0040273C">
        <w:rPr>
          <w:rFonts w:cstheme="minorHAnsi"/>
          <w:bCs/>
        </w:rPr>
        <w:t>minimizes</w:t>
      </w:r>
      <w:r>
        <w:rPr>
          <w:rFonts w:cstheme="minorHAnsi"/>
          <w:bCs/>
        </w:rPr>
        <w:t xml:space="preserve"> bias by length of stay.  As noted above (</w:t>
      </w:r>
      <w:r>
        <w:rPr>
          <w:rFonts w:cstheme="minorHAnsi"/>
          <w:b/>
          <w:bCs/>
        </w:rPr>
        <w:t>2b2.</w:t>
      </w:r>
      <w:r w:rsidRPr="00A25024">
        <w:rPr>
          <w:rFonts w:cstheme="minorHAnsi"/>
          <w:b/>
          <w:bCs/>
        </w:rPr>
        <w:t>2.</w:t>
      </w:r>
      <w:r>
        <w:rPr>
          <w:rFonts w:cstheme="minorHAnsi"/>
          <w:bCs/>
        </w:rPr>
        <w:t xml:space="preserve">), patients who were measured were generally older, with longer lengths of stay, and on more medications, but these differences would likely be less in a non-research setting.  We know of no better way to minimize selection bias for this metric.  </w:t>
      </w:r>
    </w:p>
    <w:p w14:paraId="10D10789" w14:textId="77777777" w:rsidR="00A84C95" w:rsidRDefault="00A84C95" w:rsidP="008F7E67">
      <w:pPr>
        <w:autoSpaceDE w:val="0"/>
        <w:autoSpaceDN w:val="0"/>
        <w:adjustRightInd w:val="0"/>
        <w:spacing w:after="0" w:line="240" w:lineRule="auto"/>
        <w:rPr>
          <w:rFonts w:cstheme="minorHAnsi"/>
          <w:bCs/>
        </w:rPr>
      </w:pPr>
    </w:p>
    <w:p w14:paraId="3E1ABC81" w14:textId="77777777" w:rsidR="00A84C95" w:rsidRPr="00A25024" w:rsidRDefault="00A84C95" w:rsidP="008F7E67">
      <w:pPr>
        <w:autoSpaceDE w:val="0"/>
        <w:autoSpaceDN w:val="0"/>
        <w:adjustRightInd w:val="0"/>
        <w:spacing w:after="0" w:line="240" w:lineRule="auto"/>
        <w:rPr>
          <w:rFonts w:cstheme="minorHAnsi"/>
          <w:bCs/>
        </w:rPr>
      </w:pPr>
      <w:r>
        <w:rPr>
          <w:rFonts w:cstheme="minorHAnsi"/>
          <w:bCs/>
        </w:rPr>
        <w:t xml:space="preserve">Once selected for measurement, there should be no missing data, as all data collection </w:t>
      </w:r>
      <w:r w:rsidR="0040273C">
        <w:rPr>
          <w:rFonts w:cstheme="minorHAnsi"/>
          <w:bCs/>
        </w:rPr>
        <w:t>is</w:t>
      </w:r>
      <w:r>
        <w:rPr>
          <w:rFonts w:cstheme="minorHAnsi"/>
          <w:bCs/>
        </w:rPr>
        <w:t xml:space="preserve"> inherent to the process of taking a gold-standard medication history and comparing it to medication orders, which should always be accessible</w:t>
      </w:r>
      <w:r w:rsidR="0040273C">
        <w:rPr>
          <w:rFonts w:cstheme="minorHAnsi"/>
          <w:bCs/>
        </w:rPr>
        <w:t>, and reviewing the medical record to determine whether discrepancies were unintentional, which should also always be available</w:t>
      </w:r>
      <w:r>
        <w:rPr>
          <w:rFonts w:cstheme="minorHAnsi"/>
          <w:bCs/>
        </w:rPr>
        <w:t xml:space="preserve">.  </w:t>
      </w:r>
    </w:p>
    <w:p w14:paraId="22BE815F"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175F18E" w14:textId="77777777"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24C09879" w14:textId="77777777" w:rsidR="0040273C" w:rsidRDefault="0040273C" w:rsidP="008F7E67">
      <w:pPr>
        <w:autoSpaceDE w:val="0"/>
        <w:autoSpaceDN w:val="0"/>
        <w:adjustRightInd w:val="0"/>
        <w:spacing w:after="0" w:line="240" w:lineRule="auto"/>
        <w:rPr>
          <w:rFonts w:cstheme="minorHAnsi"/>
          <w:bCs/>
        </w:rPr>
      </w:pPr>
      <w:r>
        <w:rPr>
          <w:rFonts w:cstheme="minorHAnsi"/>
          <w:bCs/>
        </w:rPr>
        <w:t xml:space="preserve">As noted above, for the metric of number of unintentional medication discrepancies (per patient or per medication per patient), there is essentially no missing data.  Reasons for discrepancies (e.g., history errors vs. reconciliation errors) was missing in X% of cases for the MARQUIS2 study.  </w:t>
      </w:r>
    </w:p>
    <w:p w14:paraId="0BA6232B" w14:textId="77777777" w:rsidR="008F7E67" w:rsidRPr="00E1508F" w:rsidRDefault="008F7E67" w:rsidP="008F7E67">
      <w:pPr>
        <w:autoSpaceDE w:val="0"/>
        <w:autoSpaceDN w:val="0"/>
        <w:adjustRightInd w:val="0"/>
        <w:spacing w:after="0" w:line="240" w:lineRule="auto"/>
        <w:rPr>
          <w:rFonts w:cstheme="minorHAnsi"/>
          <w:bCs/>
        </w:rPr>
      </w:pPr>
    </w:p>
    <w:p w14:paraId="7F9FD2FD" w14:textId="77777777"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316E3C78" w14:textId="77777777" w:rsidR="0040273C" w:rsidRDefault="0040273C">
      <w:pPr>
        <w:autoSpaceDE w:val="0"/>
        <w:autoSpaceDN w:val="0"/>
        <w:adjustRightInd w:val="0"/>
        <w:spacing w:after="0" w:line="240" w:lineRule="auto"/>
        <w:rPr>
          <w:rFonts w:cstheme="minorHAnsi"/>
          <w:bCs/>
        </w:rPr>
      </w:pPr>
    </w:p>
    <w:p w14:paraId="6D128FE6" w14:textId="77777777" w:rsidR="0040273C" w:rsidRDefault="0040273C">
      <w:pPr>
        <w:autoSpaceDE w:val="0"/>
        <w:autoSpaceDN w:val="0"/>
        <w:adjustRightInd w:val="0"/>
        <w:spacing w:after="0" w:line="240" w:lineRule="auto"/>
        <w:rPr>
          <w:rFonts w:cstheme="minorHAnsi"/>
          <w:bCs/>
        </w:rPr>
      </w:pPr>
      <w:r>
        <w:rPr>
          <w:rFonts w:cstheme="minorHAnsi"/>
          <w:bCs/>
        </w:rPr>
        <w:t xml:space="preserve">We believe our method minimizes selection bias to the greatest extent that is practical.  As noted above, missing data is not an issue with this measure.  </w:t>
      </w:r>
    </w:p>
    <w:p w14:paraId="7C274F41" w14:textId="77777777" w:rsidR="0040273C" w:rsidRDefault="0040273C">
      <w:pPr>
        <w:autoSpaceDE w:val="0"/>
        <w:autoSpaceDN w:val="0"/>
        <w:adjustRightInd w:val="0"/>
        <w:spacing w:after="0" w:line="240" w:lineRule="auto"/>
        <w:rPr>
          <w:rFonts w:cstheme="minorHAnsi"/>
          <w:bCs/>
        </w:rPr>
      </w:pPr>
    </w:p>
    <w:p w14:paraId="24340C59" w14:textId="15B5A749" w:rsidR="00826E92" w:rsidRDefault="00826E92">
      <w:pPr>
        <w:rPr>
          <w:rFonts w:cstheme="minorHAnsi"/>
          <w:bCs/>
          <w:highlight w:val="yellow"/>
        </w:rPr>
      </w:pPr>
    </w:p>
    <w:p w14:paraId="1A358152" w14:textId="77777777" w:rsidR="005651E5" w:rsidRDefault="005651E5">
      <w:pPr>
        <w:autoSpaceDE w:val="0"/>
        <w:autoSpaceDN w:val="0"/>
        <w:adjustRightInd w:val="0"/>
        <w:spacing w:after="0" w:line="240" w:lineRule="auto"/>
        <w:rPr>
          <w:rFonts w:cstheme="minorHAnsi"/>
          <w:bCs/>
          <w:highlight w:val="yellow"/>
        </w:rPr>
      </w:pPr>
    </w:p>
    <w:p w14:paraId="7ECC93C8" w14:textId="093E18B7" w:rsidR="005651E5" w:rsidRPr="005651E5" w:rsidRDefault="005651E5" w:rsidP="005651E5">
      <w:pPr>
        <w:autoSpaceDE w:val="0"/>
        <w:autoSpaceDN w:val="0"/>
        <w:adjustRightInd w:val="0"/>
        <w:spacing w:after="0" w:line="240" w:lineRule="auto"/>
        <w:jc w:val="center"/>
        <w:rPr>
          <w:rFonts w:cstheme="minorHAnsi"/>
          <w:b/>
          <w:bCs/>
        </w:rPr>
      </w:pPr>
      <w:r w:rsidRPr="005651E5">
        <w:rPr>
          <w:rFonts w:cstheme="minorHAnsi"/>
          <w:b/>
          <w:bCs/>
        </w:rPr>
        <w:t>Addendum</w:t>
      </w:r>
    </w:p>
    <w:p w14:paraId="2E46D8B5" w14:textId="6EF46261" w:rsidR="005651E5" w:rsidRDefault="005651E5" w:rsidP="005651E5">
      <w:pPr>
        <w:autoSpaceDE w:val="0"/>
        <w:autoSpaceDN w:val="0"/>
        <w:adjustRightInd w:val="0"/>
        <w:spacing w:after="0" w:line="240" w:lineRule="auto"/>
        <w:jc w:val="center"/>
        <w:rPr>
          <w:rFonts w:cstheme="minorHAnsi"/>
          <w:bCs/>
        </w:rPr>
      </w:pPr>
    </w:p>
    <w:p w14:paraId="306F2025" w14:textId="6188923F" w:rsidR="005651E5" w:rsidRPr="00CC6382" w:rsidRDefault="005651E5" w:rsidP="005651E5">
      <w:pPr>
        <w:autoSpaceDE w:val="0"/>
        <w:autoSpaceDN w:val="0"/>
        <w:adjustRightInd w:val="0"/>
        <w:spacing w:after="0" w:line="240" w:lineRule="auto"/>
        <w:jc w:val="center"/>
        <w:rPr>
          <w:rFonts w:cstheme="minorHAnsi"/>
          <w:bCs/>
          <w:color w:val="FF0000"/>
        </w:rPr>
      </w:pPr>
      <w:r w:rsidRPr="00CC6382">
        <w:rPr>
          <w:rFonts w:cstheme="minorHAnsi"/>
          <w:bCs/>
          <w:color w:val="FF0000"/>
        </w:rPr>
        <w:t>Key Developments Since the Approval of the Measure</w:t>
      </w:r>
    </w:p>
    <w:p w14:paraId="1E47921A" w14:textId="77777777" w:rsidR="005651E5" w:rsidRPr="00CC6382" w:rsidRDefault="005651E5">
      <w:pPr>
        <w:autoSpaceDE w:val="0"/>
        <w:autoSpaceDN w:val="0"/>
        <w:adjustRightInd w:val="0"/>
        <w:spacing w:after="0" w:line="240" w:lineRule="auto"/>
        <w:rPr>
          <w:rFonts w:cstheme="minorHAnsi"/>
          <w:bCs/>
          <w:color w:val="FF0000"/>
          <w:highlight w:val="yellow"/>
        </w:rPr>
      </w:pPr>
    </w:p>
    <w:p w14:paraId="75AE3C45" w14:textId="77777777" w:rsidR="005651E5" w:rsidRPr="00CC6382" w:rsidRDefault="005651E5">
      <w:pPr>
        <w:autoSpaceDE w:val="0"/>
        <w:autoSpaceDN w:val="0"/>
        <w:adjustRightInd w:val="0"/>
        <w:spacing w:after="0" w:line="240" w:lineRule="auto"/>
        <w:rPr>
          <w:rFonts w:cstheme="minorHAnsi"/>
          <w:bCs/>
          <w:color w:val="FF0000"/>
          <w:highlight w:val="yellow"/>
        </w:rPr>
      </w:pPr>
    </w:p>
    <w:p w14:paraId="4464CB65" w14:textId="77C5C5DB" w:rsidR="0040273C" w:rsidRPr="00CC6382" w:rsidRDefault="0040273C">
      <w:pPr>
        <w:autoSpaceDE w:val="0"/>
        <w:autoSpaceDN w:val="0"/>
        <w:adjustRightInd w:val="0"/>
        <w:spacing w:after="0" w:line="240" w:lineRule="auto"/>
        <w:rPr>
          <w:rFonts w:cstheme="minorHAnsi"/>
          <w:bCs/>
          <w:color w:val="FF0000"/>
        </w:rPr>
      </w:pPr>
    </w:p>
    <w:p w14:paraId="69DBC6D8" w14:textId="77777777" w:rsidR="0040273C" w:rsidRPr="00CC6382" w:rsidRDefault="0040273C">
      <w:pPr>
        <w:autoSpaceDE w:val="0"/>
        <w:autoSpaceDN w:val="0"/>
        <w:adjustRightInd w:val="0"/>
        <w:spacing w:after="0" w:line="240" w:lineRule="auto"/>
        <w:rPr>
          <w:rFonts w:cstheme="minorHAnsi"/>
          <w:bCs/>
          <w:color w:val="FF0000"/>
        </w:rPr>
      </w:pPr>
      <w:r w:rsidRPr="00CC6382">
        <w:rPr>
          <w:rFonts w:cstheme="minorHAnsi"/>
          <w:bCs/>
          <w:color w:val="FF0000"/>
        </w:rPr>
        <w:t>Since our metric was originally approved by NQF</w:t>
      </w:r>
      <w:r w:rsidR="002666BD" w:rsidRPr="00CC6382">
        <w:rPr>
          <w:rFonts w:cstheme="minorHAnsi"/>
          <w:bCs/>
          <w:color w:val="FF0000"/>
        </w:rPr>
        <w:t>, there have been two major developments:</w:t>
      </w:r>
    </w:p>
    <w:p w14:paraId="2F682E8D" w14:textId="77777777" w:rsidR="002666BD" w:rsidRPr="00CC6382" w:rsidRDefault="002666BD" w:rsidP="002666BD">
      <w:pPr>
        <w:pStyle w:val="ListParagraph"/>
        <w:numPr>
          <w:ilvl w:val="0"/>
          <w:numId w:val="35"/>
        </w:numPr>
        <w:autoSpaceDE w:val="0"/>
        <w:autoSpaceDN w:val="0"/>
        <w:adjustRightInd w:val="0"/>
        <w:spacing w:after="0" w:line="240" w:lineRule="auto"/>
        <w:rPr>
          <w:rFonts w:cstheme="minorHAnsi"/>
          <w:bCs/>
          <w:color w:val="FF0000"/>
        </w:rPr>
      </w:pPr>
      <w:r w:rsidRPr="00CC6382">
        <w:rPr>
          <w:rFonts w:cstheme="minorHAnsi"/>
          <w:bCs/>
          <w:color w:val="FF0000"/>
        </w:rPr>
        <w:t>We completed the second Multicenter Medication Reconciliation Quality Improvement Study (MARQUIS2), which used this metric to measure the quality of medication reconciliation and response to interventions among over 5000 patients in 18 diverse hospitals, making it the largest medication reconciliation intervention</w:t>
      </w:r>
      <w:r w:rsidR="00843696" w:rsidRPr="00CC6382">
        <w:rPr>
          <w:rFonts w:cstheme="minorHAnsi"/>
          <w:bCs/>
          <w:color w:val="FF0000"/>
        </w:rPr>
        <w:t>al</w:t>
      </w:r>
      <w:r w:rsidRPr="00CC6382">
        <w:rPr>
          <w:rFonts w:cstheme="minorHAnsi"/>
          <w:bCs/>
          <w:color w:val="FF0000"/>
        </w:rPr>
        <w:t xml:space="preserve"> study conducted to date in the U.S.  </w:t>
      </w:r>
    </w:p>
    <w:p w14:paraId="50B055B7" w14:textId="4F1A1998" w:rsidR="00826E92" w:rsidRPr="00CC6382" w:rsidRDefault="00826E92" w:rsidP="00826E92">
      <w:pPr>
        <w:pStyle w:val="ListParagraph"/>
        <w:numPr>
          <w:ilvl w:val="0"/>
          <w:numId w:val="35"/>
        </w:numPr>
        <w:autoSpaceDE w:val="0"/>
        <w:autoSpaceDN w:val="0"/>
        <w:adjustRightInd w:val="0"/>
        <w:spacing w:after="0" w:line="240" w:lineRule="auto"/>
        <w:rPr>
          <w:rFonts w:cstheme="minorHAnsi"/>
          <w:bCs/>
          <w:color w:val="FF0000"/>
        </w:rPr>
      </w:pPr>
      <w:r w:rsidRPr="00CC6382">
        <w:rPr>
          <w:rFonts w:cstheme="minorHAnsi"/>
          <w:bCs/>
          <w:color w:val="FF0000"/>
        </w:rPr>
        <w:t xml:space="preserve">The Leapfrog Group adopted this metric, with the only modification, based on our advice, of dividing the total number of unintentional medication discrepancies by the total number of gold standard medications (i.e., opportunities for error).  This metric has now been reported by 1,123 hospitals, including 21,347 patients, over this past year (see table below).  The number of discrepancies per medication per patient was fairly stable over the last two years, with a fairly wide spread in performance among reporting hospitals.  In this process of measure adoption, The Leapfrog Group has also created instructional materials and data collection tools to ease the burden of collection and reporting, held public forums, addressed questions from sites, and taken other measures to maximize consistent adoption of this metric. </w:t>
      </w:r>
    </w:p>
    <w:p w14:paraId="17D531E3" w14:textId="77777777" w:rsidR="00826E92" w:rsidRPr="00CC6382" w:rsidRDefault="00826E92" w:rsidP="00826E92">
      <w:pPr>
        <w:autoSpaceDE w:val="0"/>
        <w:autoSpaceDN w:val="0"/>
        <w:adjustRightInd w:val="0"/>
        <w:spacing w:after="0" w:line="240" w:lineRule="auto"/>
        <w:rPr>
          <w:rFonts w:cstheme="minorHAnsi"/>
          <w:bCs/>
          <w:color w:val="FF0000"/>
        </w:rPr>
      </w:pPr>
    </w:p>
    <w:p w14:paraId="68E79439" w14:textId="77777777" w:rsidR="00826E92" w:rsidRPr="00CC6382" w:rsidRDefault="00826E92" w:rsidP="00826E92">
      <w:pPr>
        <w:autoSpaceDE w:val="0"/>
        <w:autoSpaceDN w:val="0"/>
        <w:adjustRightInd w:val="0"/>
        <w:spacing w:after="0" w:line="240" w:lineRule="auto"/>
        <w:rPr>
          <w:rFonts w:cstheme="minorHAnsi"/>
          <w:b/>
          <w:bCs/>
          <w:color w:val="FF0000"/>
        </w:rPr>
      </w:pPr>
      <w:r w:rsidRPr="00CC6382">
        <w:rPr>
          <w:rFonts w:cstheme="minorHAnsi"/>
          <w:b/>
          <w:bCs/>
          <w:color w:val="FF0000"/>
        </w:rPr>
        <w:t>Table: Preliminary Results of Leapfrog Group</w:t>
      </w:r>
    </w:p>
    <w:p w14:paraId="172E48D8" w14:textId="77777777" w:rsidR="00826E92" w:rsidRPr="00CC6382" w:rsidRDefault="00826E92" w:rsidP="00826E92">
      <w:pPr>
        <w:autoSpaceDE w:val="0"/>
        <w:autoSpaceDN w:val="0"/>
        <w:adjustRightInd w:val="0"/>
        <w:spacing w:after="0" w:line="240" w:lineRule="auto"/>
        <w:rPr>
          <w:rFonts w:cstheme="minorHAnsi"/>
          <w:bCs/>
          <w:color w:val="FF0000"/>
        </w:rPr>
      </w:pPr>
    </w:p>
    <w:tbl>
      <w:tblPr>
        <w:tblStyle w:val="TableGrid"/>
        <w:tblW w:w="0" w:type="auto"/>
        <w:tblLook w:val="04A0" w:firstRow="1" w:lastRow="0" w:firstColumn="1" w:lastColumn="0" w:noHBand="0" w:noVBand="1"/>
      </w:tblPr>
      <w:tblGrid>
        <w:gridCol w:w="2337"/>
        <w:gridCol w:w="2337"/>
        <w:gridCol w:w="2338"/>
        <w:gridCol w:w="2338"/>
      </w:tblGrid>
      <w:tr w:rsidR="00CC6382" w:rsidRPr="00CC6382" w14:paraId="3830F34A" w14:textId="77777777" w:rsidTr="00826E92">
        <w:tc>
          <w:tcPr>
            <w:tcW w:w="2337" w:type="dxa"/>
            <w:tcBorders>
              <w:top w:val="single" w:sz="4" w:space="0" w:color="auto"/>
              <w:left w:val="single" w:sz="4" w:space="0" w:color="auto"/>
              <w:bottom w:val="single" w:sz="4" w:space="0" w:color="auto"/>
              <w:right w:val="single" w:sz="4" w:space="0" w:color="auto"/>
            </w:tcBorders>
            <w:hideMark/>
          </w:tcPr>
          <w:p w14:paraId="65AD3CCA" w14:textId="77777777" w:rsidR="00826E92" w:rsidRPr="00CC6382" w:rsidRDefault="00826E92">
            <w:pPr>
              <w:autoSpaceDE w:val="0"/>
              <w:autoSpaceDN w:val="0"/>
              <w:adjustRightInd w:val="0"/>
              <w:rPr>
                <w:rFonts w:cstheme="minorHAnsi"/>
                <w:b/>
                <w:bCs/>
                <w:color w:val="FF0000"/>
              </w:rPr>
            </w:pPr>
            <w:r w:rsidRPr="00CC6382">
              <w:rPr>
                <w:rFonts w:cstheme="minorHAnsi"/>
                <w:b/>
                <w:bCs/>
                <w:color w:val="FF0000"/>
              </w:rPr>
              <w:t>Measurement Year</w:t>
            </w:r>
          </w:p>
        </w:tc>
        <w:tc>
          <w:tcPr>
            <w:tcW w:w="2337" w:type="dxa"/>
            <w:tcBorders>
              <w:top w:val="single" w:sz="4" w:space="0" w:color="auto"/>
              <w:left w:val="single" w:sz="4" w:space="0" w:color="auto"/>
              <w:bottom w:val="single" w:sz="4" w:space="0" w:color="auto"/>
              <w:right w:val="single" w:sz="4" w:space="0" w:color="auto"/>
            </w:tcBorders>
            <w:hideMark/>
          </w:tcPr>
          <w:p w14:paraId="420205AC" w14:textId="77777777" w:rsidR="00826E92" w:rsidRPr="00CC6382" w:rsidRDefault="00826E92">
            <w:pPr>
              <w:autoSpaceDE w:val="0"/>
              <w:autoSpaceDN w:val="0"/>
              <w:adjustRightInd w:val="0"/>
              <w:rPr>
                <w:rFonts w:cstheme="minorHAnsi"/>
                <w:b/>
                <w:bCs/>
                <w:color w:val="FF0000"/>
              </w:rPr>
            </w:pPr>
            <w:r w:rsidRPr="00CC6382">
              <w:rPr>
                <w:rFonts w:cstheme="minorHAnsi"/>
                <w:b/>
                <w:bCs/>
                <w:color w:val="FF0000"/>
              </w:rPr>
              <w:t>Number of Hospitals</w:t>
            </w:r>
          </w:p>
        </w:tc>
        <w:tc>
          <w:tcPr>
            <w:tcW w:w="2338" w:type="dxa"/>
            <w:tcBorders>
              <w:top w:val="single" w:sz="4" w:space="0" w:color="auto"/>
              <w:left w:val="single" w:sz="4" w:space="0" w:color="auto"/>
              <w:bottom w:val="single" w:sz="4" w:space="0" w:color="auto"/>
              <w:right w:val="single" w:sz="4" w:space="0" w:color="auto"/>
            </w:tcBorders>
            <w:hideMark/>
          </w:tcPr>
          <w:p w14:paraId="62A06DBA" w14:textId="77777777" w:rsidR="00826E92" w:rsidRPr="00CC6382" w:rsidRDefault="00826E92">
            <w:pPr>
              <w:autoSpaceDE w:val="0"/>
              <w:autoSpaceDN w:val="0"/>
              <w:adjustRightInd w:val="0"/>
              <w:rPr>
                <w:rFonts w:cstheme="minorHAnsi"/>
                <w:b/>
                <w:bCs/>
                <w:color w:val="FF0000"/>
              </w:rPr>
            </w:pPr>
            <w:r w:rsidRPr="00CC6382">
              <w:rPr>
                <w:rFonts w:cstheme="minorHAnsi"/>
                <w:b/>
                <w:bCs/>
                <w:color w:val="FF0000"/>
              </w:rPr>
              <w:t>Number of Patients</w:t>
            </w:r>
          </w:p>
        </w:tc>
        <w:tc>
          <w:tcPr>
            <w:tcW w:w="2338" w:type="dxa"/>
            <w:tcBorders>
              <w:top w:val="single" w:sz="4" w:space="0" w:color="auto"/>
              <w:left w:val="single" w:sz="4" w:space="0" w:color="auto"/>
              <w:bottom w:val="single" w:sz="4" w:space="0" w:color="auto"/>
              <w:right w:val="single" w:sz="4" w:space="0" w:color="auto"/>
            </w:tcBorders>
            <w:hideMark/>
          </w:tcPr>
          <w:p w14:paraId="3F9E5508" w14:textId="77777777" w:rsidR="00826E92" w:rsidRPr="00CC6382" w:rsidRDefault="00826E92">
            <w:pPr>
              <w:autoSpaceDE w:val="0"/>
              <w:autoSpaceDN w:val="0"/>
              <w:adjustRightInd w:val="0"/>
              <w:rPr>
                <w:rFonts w:cstheme="minorHAnsi"/>
                <w:b/>
                <w:bCs/>
                <w:color w:val="FF0000"/>
              </w:rPr>
            </w:pPr>
            <w:r w:rsidRPr="00CC6382">
              <w:rPr>
                <w:rFonts w:cstheme="minorHAnsi"/>
                <w:b/>
                <w:bCs/>
                <w:color w:val="FF0000"/>
              </w:rPr>
              <w:t>Discrepancies per medication per patient, median (IQR)</w:t>
            </w:r>
          </w:p>
        </w:tc>
      </w:tr>
      <w:tr w:rsidR="00CC6382" w:rsidRPr="00CC6382" w14:paraId="55A1A9E8" w14:textId="77777777" w:rsidTr="00826E92">
        <w:tc>
          <w:tcPr>
            <w:tcW w:w="2337" w:type="dxa"/>
            <w:tcBorders>
              <w:top w:val="single" w:sz="4" w:space="0" w:color="auto"/>
              <w:left w:val="single" w:sz="4" w:space="0" w:color="auto"/>
              <w:bottom w:val="single" w:sz="4" w:space="0" w:color="auto"/>
              <w:right w:val="single" w:sz="4" w:space="0" w:color="auto"/>
            </w:tcBorders>
            <w:hideMark/>
          </w:tcPr>
          <w:p w14:paraId="48F2407D" w14:textId="77777777" w:rsidR="00826E92" w:rsidRPr="00CC6382" w:rsidRDefault="00826E92">
            <w:pPr>
              <w:autoSpaceDE w:val="0"/>
              <w:autoSpaceDN w:val="0"/>
              <w:adjustRightInd w:val="0"/>
              <w:rPr>
                <w:rFonts w:cstheme="minorHAnsi"/>
                <w:bCs/>
                <w:color w:val="FF0000"/>
              </w:rPr>
            </w:pPr>
            <w:r w:rsidRPr="00CC6382">
              <w:rPr>
                <w:rFonts w:cstheme="minorHAnsi"/>
                <w:bCs/>
                <w:color w:val="FF0000"/>
              </w:rPr>
              <w:t>2017</w:t>
            </w:r>
          </w:p>
        </w:tc>
        <w:tc>
          <w:tcPr>
            <w:tcW w:w="2337" w:type="dxa"/>
            <w:tcBorders>
              <w:top w:val="single" w:sz="4" w:space="0" w:color="auto"/>
              <w:left w:val="single" w:sz="4" w:space="0" w:color="auto"/>
              <w:bottom w:val="single" w:sz="4" w:space="0" w:color="auto"/>
              <w:right w:val="single" w:sz="4" w:space="0" w:color="auto"/>
            </w:tcBorders>
            <w:hideMark/>
          </w:tcPr>
          <w:p w14:paraId="10A0D6C0" w14:textId="77777777" w:rsidR="00826E92" w:rsidRPr="00CC6382" w:rsidRDefault="00826E92">
            <w:pPr>
              <w:autoSpaceDE w:val="0"/>
              <w:autoSpaceDN w:val="0"/>
              <w:adjustRightInd w:val="0"/>
              <w:rPr>
                <w:rFonts w:cstheme="minorHAnsi"/>
                <w:bCs/>
                <w:color w:val="FF0000"/>
              </w:rPr>
            </w:pPr>
            <w:r w:rsidRPr="00CC6382">
              <w:rPr>
                <w:rFonts w:cstheme="minorHAnsi"/>
                <w:bCs/>
                <w:color w:val="FF0000"/>
              </w:rPr>
              <w:t>980</w:t>
            </w:r>
          </w:p>
        </w:tc>
        <w:tc>
          <w:tcPr>
            <w:tcW w:w="2338" w:type="dxa"/>
            <w:tcBorders>
              <w:top w:val="single" w:sz="4" w:space="0" w:color="auto"/>
              <w:left w:val="single" w:sz="4" w:space="0" w:color="auto"/>
              <w:bottom w:val="single" w:sz="4" w:space="0" w:color="auto"/>
              <w:right w:val="single" w:sz="4" w:space="0" w:color="auto"/>
            </w:tcBorders>
            <w:hideMark/>
          </w:tcPr>
          <w:p w14:paraId="055B4757" w14:textId="77777777" w:rsidR="00826E92" w:rsidRPr="00CC6382" w:rsidRDefault="00826E92">
            <w:pPr>
              <w:autoSpaceDE w:val="0"/>
              <w:autoSpaceDN w:val="0"/>
              <w:adjustRightInd w:val="0"/>
              <w:rPr>
                <w:rFonts w:cstheme="minorHAnsi"/>
                <w:bCs/>
                <w:color w:val="FF0000"/>
              </w:rPr>
            </w:pPr>
            <w:r w:rsidRPr="00CC6382">
              <w:rPr>
                <w:rFonts w:cstheme="minorHAnsi"/>
                <w:bCs/>
                <w:color w:val="FF0000"/>
              </w:rPr>
              <w:t>12,291</w:t>
            </w:r>
          </w:p>
        </w:tc>
        <w:tc>
          <w:tcPr>
            <w:tcW w:w="2338" w:type="dxa"/>
            <w:tcBorders>
              <w:top w:val="single" w:sz="4" w:space="0" w:color="auto"/>
              <w:left w:val="single" w:sz="4" w:space="0" w:color="auto"/>
              <w:bottom w:val="single" w:sz="4" w:space="0" w:color="auto"/>
              <w:right w:val="single" w:sz="4" w:space="0" w:color="auto"/>
            </w:tcBorders>
            <w:hideMark/>
          </w:tcPr>
          <w:p w14:paraId="19CC81F1" w14:textId="77777777" w:rsidR="00826E92" w:rsidRPr="00CC6382" w:rsidRDefault="00826E92">
            <w:pPr>
              <w:autoSpaceDE w:val="0"/>
              <w:autoSpaceDN w:val="0"/>
              <w:adjustRightInd w:val="0"/>
              <w:rPr>
                <w:rFonts w:cstheme="minorHAnsi"/>
                <w:bCs/>
                <w:color w:val="FF0000"/>
              </w:rPr>
            </w:pPr>
            <w:r w:rsidRPr="00CC6382">
              <w:rPr>
                <w:rFonts w:cstheme="minorHAnsi"/>
                <w:bCs/>
                <w:color w:val="FF0000"/>
              </w:rPr>
              <w:t>0.16 (0.07-0.31)</w:t>
            </w:r>
          </w:p>
        </w:tc>
      </w:tr>
      <w:tr w:rsidR="00CC6382" w:rsidRPr="00CC6382" w14:paraId="61A0D5A1" w14:textId="77777777" w:rsidTr="00826E92">
        <w:tc>
          <w:tcPr>
            <w:tcW w:w="2337" w:type="dxa"/>
            <w:tcBorders>
              <w:top w:val="single" w:sz="4" w:space="0" w:color="auto"/>
              <w:left w:val="single" w:sz="4" w:space="0" w:color="auto"/>
              <w:bottom w:val="single" w:sz="4" w:space="0" w:color="auto"/>
              <w:right w:val="single" w:sz="4" w:space="0" w:color="auto"/>
            </w:tcBorders>
            <w:hideMark/>
          </w:tcPr>
          <w:p w14:paraId="35FFFB54" w14:textId="77777777" w:rsidR="00826E92" w:rsidRPr="00CC6382" w:rsidRDefault="00826E92">
            <w:pPr>
              <w:autoSpaceDE w:val="0"/>
              <w:autoSpaceDN w:val="0"/>
              <w:adjustRightInd w:val="0"/>
              <w:rPr>
                <w:rFonts w:cstheme="minorHAnsi"/>
                <w:bCs/>
                <w:color w:val="FF0000"/>
              </w:rPr>
            </w:pPr>
            <w:r w:rsidRPr="00CC6382">
              <w:rPr>
                <w:rFonts w:cstheme="minorHAnsi"/>
                <w:bCs/>
                <w:color w:val="FF0000"/>
              </w:rPr>
              <w:t>2018</w:t>
            </w:r>
          </w:p>
        </w:tc>
        <w:tc>
          <w:tcPr>
            <w:tcW w:w="2337" w:type="dxa"/>
            <w:tcBorders>
              <w:top w:val="single" w:sz="4" w:space="0" w:color="auto"/>
              <w:left w:val="single" w:sz="4" w:space="0" w:color="auto"/>
              <w:bottom w:val="single" w:sz="4" w:space="0" w:color="auto"/>
              <w:right w:val="single" w:sz="4" w:space="0" w:color="auto"/>
            </w:tcBorders>
            <w:hideMark/>
          </w:tcPr>
          <w:p w14:paraId="38599B62" w14:textId="77777777" w:rsidR="00826E92" w:rsidRPr="00CC6382" w:rsidRDefault="00826E92">
            <w:pPr>
              <w:autoSpaceDE w:val="0"/>
              <w:autoSpaceDN w:val="0"/>
              <w:adjustRightInd w:val="0"/>
              <w:rPr>
                <w:rFonts w:cstheme="minorHAnsi"/>
                <w:bCs/>
                <w:color w:val="FF0000"/>
              </w:rPr>
            </w:pPr>
            <w:r w:rsidRPr="00CC6382">
              <w:rPr>
                <w:rFonts w:cstheme="minorHAnsi"/>
                <w:bCs/>
                <w:color w:val="FF0000"/>
              </w:rPr>
              <w:t>1,123</w:t>
            </w:r>
          </w:p>
        </w:tc>
        <w:tc>
          <w:tcPr>
            <w:tcW w:w="2338" w:type="dxa"/>
            <w:tcBorders>
              <w:top w:val="single" w:sz="4" w:space="0" w:color="auto"/>
              <w:left w:val="single" w:sz="4" w:space="0" w:color="auto"/>
              <w:bottom w:val="single" w:sz="4" w:space="0" w:color="auto"/>
              <w:right w:val="single" w:sz="4" w:space="0" w:color="auto"/>
            </w:tcBorders>
            <w:hideMark/>
          </w:tcPr>
          <w:p w14:paraId="60AADE95" w14:textId="77777777" w:rsidR="00826E92" w:rsidRPr="00CC6382" w:rsidRDefault="00826E92">
            <w:pPr>
              <w:autoSpaceDE w:val="0"/>
              <w:autoSpaceDN w:val="0"/>
              <w:adjustRightInd w:val="0"/>
              <w:rPr>
                <w:rFonts w:cstheme="minorHAnsi"/>
                <w:bCs/>
                <w:color w:val="FF0000"/>
              </w:rPr>
            </w:pPr>
            <w:r w:rsidRPr="00CC6382">
              <w:rPr>
                <w:rFonts w:cstheme="minorHAnsi"/>
                <w:bCs/>
                <w:color w:val="FF0000"/>
              </w:rPr>
              <w:t>21,347</w:t>
            </w:r>
          </w:p>
        </w:tc>
        <w:tc>
          <w:tcPr>
            <w:tcW w:w="2338" w:type="dxa"/>
            <w:tcBorders>
              <w:top w:val="single" w:sz="4" w:space="0" w:color="auto"/>
              <w:left w:val="single" w:sz="4" w:space="0" w:color="auto"/>
              <w:bottom w:val="single" w:sz="4" w:space="0" w:color="auto"/>
              <w:right w:val="single" w:sz="4" w:space="0" w:color="auto"/>
            </w:tcBorders>
            <w:hideMark/>
          </w:tcPr>
          <w:p w14:paraId="1629EE1F" w14:textId="77777777" w:rsidR="00826E92" w:rsidRPr="00CC6382" w:rsidRDefault="00826E92">
            <w:pPr>
              <w:autoSpaceDE w:val="0"/>
              <w:autoSpaceDN w:val="0"/>
              <w:adjustRightInd w:val="0"/>
              <w:rPr>
                <w:rFonts w:cstheme="minorHAnsi"/>
                <w:bCs/>
                <w:color w:val="FF0000"/>
              </w:rPr>
            </w:pPr>
            <w:r w:rsidRPr="00CC6382">
              <w:rPr>
                <w:rFonts w:cstheme="minorHAnsi"/>
                <w:bCs/>
                <w:color w:val="FF0000"/>
              </w:rPr>
              <w:t>0.15 (0.06-0.28)</w:t>
            </w:r>
          </w:p>
        </w:tc>
      </w:tr>
    </w:tbl>
    <w:p w14:paraId="72306E6E" w14:textId="77777777" w:rsidR="00826E92" w:rsidRDefault="00826E92" w:rsidP="00826E92">
      <w:pPr>
        <w:autoSpaceDE w:val="0"/>
        <w:autoSpaceDN w:val="0"/>
        <w:adjustRightInd w:val="0"/>
        <w:spacing w:after="0" w:line="240" w:lineRule="auto"/>
        <w:rPr>
          <w:rFonts w:cstheme="minorHAnsi"/>
          <w:bCs/>
        </w:rPr>
      </w:pPr>
      <w:r>
        <w:rPr>
          <w:rFonts w:cstheme="minorHAnsi"/>
          <w:bCs/>
        </w:rPr>
        <w:t xml:space="preserve"> </w:t>
      </w:r>
    </w:p>
    <w:p w14:paraId="4ACEA825" w14:textId="7BCA6D4C" w:rsidR="002666BD" w:rsidRPr="0077136D" w:rsidRDefault="002666BD" w:rsidP="0077136D">
      <w:pPr>
        <w:autoSpaceDE w:val="0"/>
        <w:autoSpaceDN w:val="0"/>
        <w:adjustRightInd w:val="0"/>
        <w:spacing w:after="0" w:line="240" w:lineRule="auto"/>
        <w:rPr>
          <w:rFonts w:cstheme="minorHAnsi"/>
          <w:bCs/>
        </w:rPr>
      </w:pPr>
    </w:p>
    <w:sectPr w:rsidR="002666BD" w:rsidRPr="0077136D" w:rsidSect="008505D1">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4C2C0" w14:textId="77777777" w:rsidR="006E60F5" w:rsidRDefault="006E60F5" w:rsidP="005C73CA">
      <w:pPr>
        <w:spacing w:after="0" w:line="240" w:lineRule="auto"/>
      </w:pPr>
      <w:r>
        <w:separator/>
      </w:r>
    </w:p>
  </w:endnote>
  <w:endnote w:type="continuationSeparator" w:id="0">
    <w:p w14:paraId="29EDFAC9" w14:textId="77777777" w:rsidR="006E60F5" w:rsidRDefault="006E60F5"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9"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CBDC4" w14:textId="77777777" w:rsidR="002666BD" w:rsidRDefault="002666BD">
    <w:pPr>
      <w:pStyle w:val="Footer"/>
    </w:pPr>
    <w:r>
      <w:t>Version 7.1 9/6/2017</w:t>
    </w:r>
    <w:r>
      <w:ptab w:relativeTo="margin" w:alignment="right" w:leader="none"/>
    </w:r>
    <w:r>
      <w:fldChar w:fldCharType="begin"/>
    </w:r>
    <w:r>
      <w:instrText xml:space="preserve"> PAGE   \* MERGEFORMAT </w:instrText>
    </w:r>
    <w:r>
      <w:fldChar w:fldCharType="separate"/>
    </w:r>
    <w:r w:rsidR="00843696">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FDF85" w14:textId="77777777" w:rsidR="006E60F5" w:rsidRDefault="006E60F5" w:rsidP="005C73CA">
      <w:pPr>
        <w:spacing w:after="0" w:line="240" w:lineRule="auto"/>
      </w:pPr>
      <w:r>
        <w:separator/>
      </w:r>
    </w:p>
  </w:footnote>
  <w:footnote w:type="continuationSeparator" w:id="0">
    <w:p w14:paraId="62E8D9CE" w14:textId="77777777" w:rsidR="006E60F5" w:rsidRDefault="006E60F5"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C9BFB" w14:textId="77777777" w:rsidR="002666BD" w:rsidRPr="00105D8B" w:rsidRDefault="002666BD"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49221C"/>
    <w:multiLevelType w:val="hybridMultilevel"/>
    <w:tmpl w:val="8F8A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C84415"/>
    <w:multiLevelType w:val="hybridMultilevel"/>
    <w:tmpl w:val="293E7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250E9A"/>
    <w:multiLevelType w:val="hybridMultilevel"/>
    <w:tmpl w:val="BC76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4A5EF4"/>
    <w:multiLevelType w:val="hybridMultilevel"/>
    <w:tmpl w:val="0E16B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0E75FD"/>
    <w:multiLevelType w:val="hybridMultilevel"/>
    <w:tmpl w:val="D8C80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573792"/>
    <w:multiLevelType w:val="hybridMultilevel"/>
    <w:tmpl w:val="2F928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CE217B7"/>
    <w:multiLevelType w:val="hybridMultilevel"/>
    <w:tmpl w:val="A64AF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AE34C8C"/>
    <w:multiLevelType w:val="hybridMultilevel"/>
    <w:tmpl w:val="AF8E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CE3B36"/>
    <w:multiLevelType w:val="hybridMultilevel"/>
    <w:tmpl w:val="40486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3"/>
  </w:num>
  <w:num w:numId="4">
    <w:abstractNumId w:val="6"/>
  </w:num>
  <w:num w:numId="5">
    <w:abstractNumId w:val="2"/>
  </w:num>
  <w:num w:numId="6">
    <w:abstractNumId w:val="1"/>
  </w:num>
  <w:num w:numId="7">
    <w:abstractNumId w:val="4"/>
  </w:num>
  <w:num w:numId="8">
    <w:abstractNumId w:val="27"/>
  </w:num>
  <w:num w:numId="9">
    <w:abstractNumId w:val="14"/>
  </w:num>
  <w:num w:numId="10">
    <w:abstractNumId w:val="33"/>
  </w:num>
  <w:num w:numId="11">
    <w:abstractNumId w:val="16"/>
  </w:num>
  <w:num w:numId="12">
    <w:abstractNumId w:val="30"/>
  </w:num>
  <w:num w:numId="13">
    <w:abstractNumId w:val="25"/>
  </w:num>
  <w:num w:numId="14">
    <w:abstractNumId w:val="25"/>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4"/>
  </w:num>
  <w:num w:numId="16">
    <w:abstractNumId w:val="9"/>
  </w:num>
  <w:num w:numId="17">
    <w:abstractNumId w:val="32"/>
  </w:num>
  <w:num w:numId="18">
    <w:abstractNumId w:val="29"/>
  </w:num>
  <w:num w:numId="19">
    <w:abstractNumId w:val="28"/>
  </w:num>
  <w:num w:numId="20">
    <w:abstractNumId w:val="22"/>
  </w:num>
  <w:num w:numId="21">
    <w:abstractNumId w:val="26"/>
  </w:num>
  <w:num w:numId="22">
    <w:abstractNumId w:val="19"/>
  </w:num>
  <w:num w:numId="23">
    <w:abstractNumId w:val="8"/>
  </w:num>
  <w:num w:numId="24">
    <w:abstractNumId w:val="18"/>
  </w:num>
  <w:num w:numId="25">
    <w:abstractNumId w:val="17"/>
  </w:num>
  <w:num w:numId="26">
    <w:abstractNumId w:val="35"/>
  </w:num>
  <w:num w:numId="27">
    <w:abstractNumId w:val="0"/>
  </w:num>
  <w:num w:numId="28">
    <w:abstractNumId w:val="13"/>
  </w:num>
  <w:num w:numId="29">
    <w:abstractNumId w:val="23"/>
  </w:num>
  <w:num w:numId="30">
    <w:abstractNumId w:val="10"/>
  </w:num>
  <w:num w:numId="31">
    <w:abstractNumId w:val="36"/>
  </w:num>
  <w:num w:numId="32">
    <w:abstractNumId w:val="31"/>
  </w:num>
  <w:num w:numId="33">
    <w:abstractNumId w:val="7"/>
  </w:num>
  <w:num w:numId="34">
    <w:abstractNumId w:val="21"/>
  </w:num>
  <w:num w:numId="35">
    <w:abstractNumId w:val="1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1"/>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0C15"/>
    <w:rsid w:val="000775F8"/>
    <w:rsid w:val="00080CF7"/>
    <w:rsid w:val="00084314"/>
    <w:rsid w:val="000851B2"/>
    <w:rsid w:val="000867BE"/>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5149"/>
    <w:rsid w:val="00145D4F"/>
    <w:rsid w:val="0014773C"/>
    <w:rsid w:val="001731CB"/>
    <w:rsid w:val="001733B9"/>
    <w:rsid w:val="0017696D"/>
    <w:rsid w:val="001848FC"/>
    <w:rsid w:val="00193F21"/>
    <w:rsid w:val="001969C5"/>
    <w:rsid w:val="001A6CDD"/>
    <w:rsid w:val="001C12EE"/>
    <w:rsid w:val="001C7B02"/>
    <w:rsid w:val="001E4DD4"/>
    <w:rsid w:val="001E69DC"/>
    <w:rsid w:val="001F169D"/>
    <w:rsid w:val="001F1DA1"/>
    <w:rsid w:val="001F6F93"/>
    <w:rsid w:val="001F7A20"/>
    <w:rsid w:val="00207824"/>
    <w:rsid w:val="0021054A"/>
    <w:rsid w:val="0021195A"/>
    <w:rsid w:val="00213383"/>
    <w:rsid w:val="00220250"/>
    <w:rsid w:val="00222444"/>
    <w:rsid w:val="0022691B"/>
    <w:rsid w:val="00232163"/>
    <w:rsid w:val="002376F8"/>
    <w:rsid w:val="002408E4"/>
    <w:rsid w:val="00241591"/>
    <w:rsid w:val="00250B4F"/>
    <w:rsid w:val="0025762F"/>
    <w:rsid w:val="00265B83"/>
    <w:rsid w:val="002666BD"/>
    <w:rsid w:val="00275563"/>
    <w:rsid w:val="0028114D"/>
    <w:rsid w:val="00287649"/>
    <w:rsid w:val="00287E84"/>
    <w:rsid w:val="0029286C"/>
    <w:rsid w:val="0029300E"/>
    <w:rsid w:val="002A4316"/>
    <w:rsid w:val="002B0C3A"/>
    <w:rsid w:val="002B2116"/>
    <w:rsid w:val="002B2D9B"/>
    <w:rsid w:val="002B5016"/>
    <w:rsid w:val="002B742C"/>
    <w:rsid w:val="002B7F4D"/>
    <w:rsid w:val="002C285C"/>
    <w:rsid w:val="002C7BE4"/>
    <w:rsid w:val="002C7C46"/>
    <w:rsid w:val="002D417D"/>
    <w:rsid w:val="002D5E5D"/>
    <w:rsid w:val="002E78A0"/>
    <w:rsid w:val="002F2687"/>
    <w:rsid w:val="002F48E1"/>
    <w:rsid w:val="002F4F3B"/>
    <w:rsid w:val="00304C86"/>
    <w:rsid w:val="003059EB"/>
    <w:rsid w:val="003116AC"/>
    <w:rsid w:val="00315567"/>
    <w:rsid w:val="00317957"/>
    <w:rsid w:val="00330144"/>
    <w:rsid w:val="00334329"/>
    <w:rsid w:val="00336314"/>
    <w:rsid w:val="00345CBA"/>
    <w:rsid w:val="00346245"/>
    <w:rsid w:val="00356267"/>
    <w:rsid w:val="00356BAD"/>
    <w:rsid w:val="003605B4"/>
    <w:rsid w:val="003627AC"/>
    <w:rsid w:val="00366914"/>
    <w:rsid w:val="00372FE3"/>
    <w:rsid w:val="003755CB"/>
    <w:rsid w:val="00383F85"/>
    <w:rsid w:val="00387BA1"/>
    <w:rsid w:val="00394BF7"/>
    <w:rsid w:val="003A306C"/>
    <w:rsid w:val="003A7DE7"/>
    <w:rsid w:val="003B1006"/>
    <w:rsid w:val="003C5F11"/>
    <w:rsid w:val="003D294B"/>
    <w:rsid w:val="003D6401"/>
    <w:rsid w:val="003E1863"/>
    <w:rsid w:val="003F2FFE"/>
    <w:rsid w:val="0040273C"/>
    <w:rsid w:val="0041606D"/>
    <w:rsid w:val="00416962"/>
    <w:rsid w:val="004206A8"/>
    <w:rsid w:val="004348CC"/>
    <w:rsid w:val="00450C58"/>
    <w:rsid w:val="004658FF"/>
    <w:rsid w:val="00465EC6"/>
    <w:rsid w:val="00474ED7"/>
    <w:rsid w:val="004756E1"/>
    <w:rsid w:val="0048008A"/>
    <w:rsid w:val="00483E94"/>
    <w:rsid w:val="00484120"/>
    <w:rsid w:val="004853A0"/>
    <w:rsid w:val="00496B5F"/>
    <w:rsid w:val="004A2E10"/>
    <w:rsid w:val="004B17FF"/>
    <w:rsid w:val="004B1BA0"/>
    <w:rsid w:val="004B6CEE"/>
    <w:rsid w:val="004C11CE"/>
    <w:rsid w:val="004C2443"/>
    <w:rsid w:val="004C498F"/>
    <w:rsid w:val="004C5D29"/>
    <w:rsid w:val="004C681A"/>
    <w:rsid w:val="004D4D8A"/>
    <w:rsid w:val="004F68EE"/>
    <w:rsid w:val="005038D5"/>
    <w:rsid w:val="00511BA4"/>
    <w:rsid w:val="005149E7"/>
    <w:rsid w:val="005232D6"/>
    <w:rsid w:val="00526621"/>
    <w:rsid w:val="0052733D"/>
    <w:rsid w:val="005333CC"/>
    <w:rsid w:val="005363F1"/>
    <w:rsid w:val="00537C1B"/>
    <w:rsid w:val="0055007C"/>
    <w:rsid w:val="00554922"/>
    <w:rsid w:val="00555282"/>
    <w:rsid w:val="005560E7"/>
    <w:rsid w:val="005612CC"/>
    <w:rsid w:val="00563029"/>
    <w:rsid w:val="005651E5"/>
    <w:rsid w:val="00565946"/>
    <w:rsid w:val="00567D12"/>
    <w:rsid w:val="005708C9"/>
    <w:rsid w:val="00576062"/>
    <w:rsid w:val="0059559F"/>
    <w:rsid w:val="005A49FF"/>
    <w:rsid w:val="005A7634"/>
    <w:rsid w:val="005B6F04"/>
    <w:rsid w:val="005C0447"/>
    <w:rsid w:val="005C739F"/>
    <w:rsid w:val="005C73CA"/>
    <w:rsid w:val="005D0B07"/>
    <w:rsid w:val="005D4768"/>
    <w:rsid w:val="005E1E43"/>
    <w:rsid w:val="005E2CAB"/>
    <w:rsid w:val="005E429E"/>
    <w:rsid w:val="00601ED4"/>
    <w:rsid w:val="006030BC"/>
    <w:rsid w:val="00612866"/>
    <w:rsid w:val="00616EB5"/>
    <w:rsid w:val="006269D4"/>
    <w:rsid w:val="006327D8"/>
    <w:rsid w:val="0064070A"/>
    <w:rsid w:val="00643A01"/>
    <w:rsid w:val="00651D44"/>
    <w:rsid w:val="006574D2"/>
    <w:rsid w:val="00663563"/>
    <w:rsid w:val="006676D4"/>
    <w:rsid w:val="00675535"/>
    <w:rsid w:val="00681359"/>
    <w:rsid w:val="0069157C"/>
    <w:rsid w:val="00696262"/>
    <w:rsid w:val="006C3A4F"/>
    <w:rsid w:val="006C4845"/>
    <w:rsid w:val="006D6BC1"/>
    <w:rsid w:val="006E2BFC"/>
    <w:rsid w:val="006E5C57"/>
    <w:rsid w:val="006E60F5"/>
    <w:rsid w:val="006F22A5"/>
    <w:rsid w:val="00702C73"/>
    <w:rsid w:val="00713394"/>
    <w:rsid w:val="00724677"/>
    <w:rsid w:val="00725AC2"/>
    <w:rsid w:val="00732880"/>
    <w:rsid w:val="007416B9"/>
    <w:rsid w:val="007422FD"/>
    <w:rsid w:val="00743E46"/>
    <w:rsid w:val="00747C45"/>
    <w:rsid w:val="00756FDB"/>
    <w:rsid w:val="00762812"/>
    <w:rsid w:val="007629B6"/>
    <w:rsid w:val="007665BF"/>
    <w:rsid w:val="007703A6"/>
    <w:rsid w:val="0077136D"/>
    <w:rsid w:val="00771B2A"/>
    <w:rsid w:val="007757CE"/>
    <w:rsid w:val="00775800"/>
    <w:rsid w:val="0079180E"/>
    <w:rsid w:val="00794AAC"/>
    <w:rsid w:val="007950CC"/>
    <w:rsid w:val="0079538B"/>
    <w:rsid w:val="007961B8"/>
    <w:rsid w:val="00797624"/>
    <w:rsid w:val="007A4828"/>
    <w:rsid w:val="007A7F0F"/>
    <w:rsid w:val="007B093D"/>
    <w:rsid w:val="007B2069"/>
    <w:rsid w:val="007C04A1"/>
    <w:rsid w:val="007C21FA"/>
    <w:rsid w:val="007D13B1"/>
    <w:rsid w:val="007D4351"/>
    <w:rsid w:val="007D5D83"/>
    <w:rsid w:val="007D7019"/>
    <w:rsid w:val="007E18DB"/>
    <w:rsid w:val="007E6F1C"/>
    <w:rsid w:val="00804C69"/>
    <w:rsid w:val="0080711D"/>
    <w:rsid w:val="008155CD"/>
    <w:rsid w:val="00826E92"/>
    <w:rsid w:val="00833325"/>
    <w:rsid w:val="00840A41"/>
    <w:rsid w:val="00842F3C"/>
    <w:rsid w:val="00843696"/>
    <w:rsid w:val="008505D1"/>
    <w:rsid w:val="00855158"/>
    <w:rsid w:val="00857EE8"/>
    <w:rsid w:val="0086464B"/>
    <w:rsid w:val="008647FC"/>
    <w:rsid w:val="00864CA8"/>
    <w:rsid w:val="00865E2D"/>
    <w:rsid w:val="00870E6C"/>
    <w:rsid w:val="00875846"/>
    <w:rsid w:val="00875AB3"/>
    <w:rsid w:val="00884486"/>
    <w:rsid w:val="008871A9"/>
    <w:rsid w:val="008916BA"/>
    <w:rsid w:val="00892176"/>
    <w:rsid w:val="00892540"/>
    <w:rsid w:val="008A1DB7"/>
    <w:rsid w:val="008A403A"/>
    <w:rsid w:val="008A4C13"/>
    <w:rsid w:val="008B4430"/>
    <w:rsid w:val="008B604D"/>
    <w:rsid w:val="008C54A9"/>
    <w:rsid w:val="008C641A"/>
    <w:rsid w:val="008D71E0"/>
    <w:rsid w:val="008E67C3"/>
    <w:rsid w:val="008F21EB"/>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86611"/>
    <w:rsid w:val="00994BE0"/>
    <w:rsid w:val="009A25B1"/>
    <w:rsid w:val="009A4608"/>
    <w:rsid w:val="009A6A57"/>
    <w:rsid w:val="009A70BF"/>
    <w:rsid w:val="009B1A15"/>
    <w:rsid w:val="009C0852"/>
    <w:rsid w:val="009C13CA"/>
    <w:rsid w:val="009C32C6"/>
    <w:rsid w:val="009C665F"/>
    <w:rsid w:val="009C7513"/>
    <w:rsid w:val="009D2E8B"/>
    <w:rsid w:val="009D3882"/>
    <w:rsid w:val="009D7E38"/>
    <w:rsid w:val="009E095B"/>
    <w:rsid w:val="009E1846"/>
    <w:rsid w:val="009E78FF"/>
    <w:rsid w:val="00A01494"/>
    <w:rsid w:val="00A22FA9"/>
    <w:rsid w:val="00A25024"/>
    <w:rsid w:val="00A35F8F"/>
    <w:rsid w:val="00A41377"/>
    <w:rsid w:val="00A4263D"/>
    <w:rsid w:val="00A509B8"/>
    <w:rsid w:val="00A52AB9"/>
    <w:rsid w:val="00A6210B"/>
    <w:rsid w:val="00A64EBF"/>
    <w:rsid w:val="00A71200"/>
    <w:rsid w:val="00A7323A"/>
    <w:rsid w:val="00A831B4"/>
    <w:rsid w:val="00A84C95"/>
    <w:rsid w:val="00A97798"/>
    <w:rsid w:val="00AA49CF"/>
    <w:rsid w:val="00AA4A57"/>
    <w:rsid w:val="00AA5213"/>
    <w:rsid w:val="00AA65A6"/>
    <w:rsid w:val="00AC1D8E"/>
    <w:rsid w:val="00AC30DB"/>
    <w:rsid w:val="00AC48FA"/>
    <w:rsid w:val="00AC7C77"/>
    <w:rsid w:val="00AD0240"/>
    <w:rsid w:val="00AD4137"/>
    <w:rsid w:val="00AF2D68"/>
    <w:rsid w:val="00B037BA"/>
    <w:rsid w:val="00B05589"/>
    <w:rsid w:val="00B20139"/>
    <w:rsid w:val="00B2071B"/>
    <w:rsid w:val="00B218DA"/>
    <w:rsid w:val="00B342FA"/>
    <w:rsid w:val="00B53E8B"/>
    <w:rsid w:val="00B574AF"/>
    <w:rsid w:val="00B774D2"/>
    <w:rsid w:val="00B8015A"/>
    <w:rsid w:val="00B82A57"/>
    <w:rsid w:val="00BA053B"/>
    <w:rsid w:val="00BB35AE"/>
    <w:rsid w:val="00BB4F5B"/>
    <w:rsid w:val="00BC03A1"/>
    <w:rsid w:val="00BC0D25"/>
    <w:rsid w:val="00BD2505"/>
    <w:rsid w:val="00BE592D"/>
    <w:rsid w:val="00BF52B0"/>
    <w:rsid w:val="00BF5697"/>
    <w:rsid w:val="00C14CCC"/>
    <w:rsid w:val="00C1695E"/>
    <w:rsid w:val="00C21390"/>
    <w:rsid w:val="00C22C1C"/>
    <w:rsid w:val="00C25FA9"/>
    <w:rsid w:val="00C33F2E"/>
    <w:rsid w:val="00C34936"/>
    <w:rsid w:val="00C34C14"/>
    <w:rsid w:val="00C355B9"/>
    <w:rsid w:val="00C37EF1"/>
    <w:rsid w:val="00C401C4"/>
    <w:rsid w:val="00C41680"/>
    <w:rsid w:val="00C60A25"/>
    <w:rsid w:val="00C765C5"/>
    <w:rsid w:val="00C775CE"/>
    <w:rsid w:val="00C82479"/>
    <w:rsid w:val="00C867F0"/>
    <w:rsid w:val="00CA06D8"/>
    <w:rsid w:val="00CA345A"/>
    <w:rsid w:val="00CB49FF"/>
    <w:rsid w:val="00CC02CF"/>
    <w:rsid w:val="00CC086A"/>
    <w:rsid w:val="00CC2487"/>
    <w:rsid w:val="00CC6382"/>
    <w:rsid w:val="00CD0E24"/>
    <w:rsid w:val="00CD0F66"/>
    <w:rsid w:val="00CD364B"/>
    <w:rsid w:val="00CD6024"/>
    <w:rsid w:val="00CE23B8"/>
    <w:rsid w:val="00CE284E"/>
    <w:rsid w:val="00CE50D7"/>
    <w:rsid w:val="00CF4CBE"/>
    <w:rsid w:val="00D00344"/>
    <w:rsid w:val="00D1754D"/>
    <w:rsid w:val="00D2223F"/>
    <w:rsid w:val="00D274A4"/>
    <w:rsid w:val="00D277AF"/>
    <w:rsid w:val="00D31163"/>
    <w:rsid w:val="00D320B1"/>
    <w:rsid w:val="00D33AFD"/>
    <w:rsid w:val="00D345C2"/>
    <w:rsid w:val="00D36489"/>
    <w:rsid w:val="00D369E9"/>
    <w:rsid w:val="00D42195"/>
    <w:rsid w:val="00D50704"/>
    <w:rsid w:val="00D5760A"/>
    <w:rsid w:val="00D61410"/>
    <w:rsid w:val="00D8181D"/>
    <w:rsid w:val="00D968D8"/>
    <w:rsid w:val="00DA563D"/>
    <w:rsid w:val="00DA7277"/>
    <w:rsid w:val="00DB3627"/>
    <w:rsid w:val="00DB4724"/>
    <w:rsid w:val="00DB6944"/>
    <w:rsid w:val="00DC4746"/>
    <w:rsid w:val="00DE7149"/>
    <w:rsid w:val="00E0314C"/>
    <w:rsid w:val="00E14448"/>
    <w:rsid w:val="00E1508F"/>
    <w:rsid w:val="00E261DF"/>
    <w:rsid w:val="00E27240"/>
    <w:rsid w:val="00E27EDD"/>
    <w:rsid w:val="00E30584"/>
    <w:rsid w:val="00E310B9"/>
    <w:rsid w:val="00E37E1B"/>
    <w:rsid w:val="00E562C0"/>
    <w:rsid w:val="00E57FAF"/>
    <w:rsid w:val="00E672D6"/>
    <w:rsid w:val="00E76024"/>
    <w:rsid w:val="00E856A2"/>
    <w:rsid w:val="00E967AD"/>
    <w:rsid w:val="00E96884"/>
    <w:rsid w:val="00EA5435"/>
    <w:rsid w:val="00EA5F47"/>
    <w:rsid w:val="00EA715E"/>
    <w:rsid w:val="00EB455E"/>
    <w:rsid w:val="00EC0201"/>
    <w:rsid w:val="00EC0D92"/>
    <w:rsid w:val="00EC79DE"/>
    <w:rsid w:val="00ED4ACE"/>
    <w:rsid w:val="00EE4D35"/>
    <w:rsid w:val="00EF2DA7"/>
    <w:rsid w:val="00F1412B"/>
    <w:rsid w:val="00F15BFA"/>
    <w:rsid w:val="00F275CD"/>
    <w:rsid w:val="00F34FAB"/>
    <w:rsid w:val="00F435AA"/>
    <w:rsid w:val="00F5738A"/>
    <w:rsid w:val="00F612D4"/>
    <w:rsid w:val="00F7389E"/>
    <w:rsid w:val="00F756ED"/>
    <w:rsid w:val="00F77F1D"/>
    <w:rsid w:val="00F87CCB"/>
    <w:rsid w:val="00FA48C7"/>
    <w:rsid w:val="00FB51FB"/>
    <w:rsid w:val="00FB73C1"/>
    <w:rsid w:val="00FF40BE"/>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0826F9"/>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651E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Heading2Char">
    <w:name w:val="Heading 2 Char"/>
    <w:basedOn w:val="DefaultParagraphFont"/>
    <w:link w:val="Heading2"/>
    <w:uiPriority w:val="9"/>
    <w:semiHidden/>
    <w:rsid w:val="005651E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873883923">
      <w:bodyDiv w:val="1"/>
      <w:marLeft w:val="0"/>
      <w:marRight w:val="0"/>
      <w:marTop w:val="0"/>
      <w:marBottom w:val="0"/>
      <w:divBdr>
        <w:top w:val="none" w:sz="0" w:space="0" w:color="auto"/>
        <w:left w:val="none" w:sz="0" w:space="0" w:color="auto"/>
        <w:bottom w:val="none" w:sz="0" w:space="0" w:color="auto"/>
        <w:right w:val="none" w:sz="0" w:space="0" w:color="auto"/>
      </w:divBdr>
    </w:div>
    <w:div w:id="103909071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760365296">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83323871">
      <w:bodyDiv w:val="1"/>
      <w:marLeft w:val="0"/>
      <w:marRight w:val="0"/>
      <w:marTop w:val="0"/>
      <w:marBottom w:val="0"/>
      <w:divBdr>
        <w:top w:val="none" w:sz="0" w:space="0" w:color="auto"/>
        <w:left w:val="none" w:sz="0" w:space="0" w:color="auto"/>
        <w:bottom w:val="none" w:sz="0" w:space="0" w:color="auto"/>
        <w:right w:val="none" w:sz="0" w:space="0" w:color="auto"/>
      </w:divBdr>
    </w:div>
    <w:div w:id="199101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hm.hospitalmedicine.org/acton/media/25526/shm-data-pharmacist-training-part-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hm.hospitalmedicine.org/acton/media/25526/shm---bphm-train-the-trainers-materia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cid:image001.png@01D542DE.A01F33B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9" w:csb1="00000000"/>
  </w:font>
  <w:font w:name="Calibri-BoldItalic">
    <w:altName w:val="Calibri"/>
    <w:charset w:val="00"/>
    <w:family w:val="auto"/>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2314F"/>
    <w:rsid w:val="0005123A"/>
    <w:rsid w:val="00127222"/>
    <w:rsid w:val="001736D7"/>
    <w:rsid w:val="00190AF4"/>
    <w:rsid w:val="00223FA3"/>
    <w:rsid w:val="002771EB"/>
    <w:rsid w:val="002A288F"/>
    <w:rsid w:val="002C65A7"/>
    <w:rsid w:val="002D74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9D243D"/>
    <w:rsid w:val="00A01A18"/>
    <w:rsid w:val="00A43A18"/>
    <w:rsid w:val="00A95183"/>
    <w:rsid w:val="00AB4AF7"/>
    <w:rsid w:val="00AD7C4F"/>
    <w:rsid w:val="00AE6A83"/>
    <w:rsid w:val="00B445F5"/>
    <w:rsid w:val="00B96FC7"/>
    <w:rsid w:val="00BA7A58"/>
    <w:rsid w:val="00BD40CB"/>
    <w:rsid w:val="00C362A2"/>
    <w:rsid w:val="00C90121"/>
    <w:rsid w:val="00C96E73"/>
    <w:rsid w:val="00CA1FE8"/>
    <w:rsid w:val="00CA344F"/>
    <w:rsid w:val="00CA660C"/>
    <w:rsid w:val="00D1676E"/>
    <w:rsid w:val="00DC0246"/>
    <w:rsid w:val="00DC7B49"/>
    <w:rsid w:val="00E6518A"/>
    <w:rsid w:val="00F502B7"/>
    <w:rsid w:val="00F540AB"/>
    <w:rsid w:val="00F915BA"/>
    <w:rsid w:val="00FB2FA3"/>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0E34C16B-AD03-4660-B1AB-C8AA702A5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6051</Words>
  <Characters>34493</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Jenna Goldstein</cp:lastModifiedBy>
  <cp:revision>2</cp:revision>
  <dcterms:created xsi:type="dcterms:W3CDTF">2019-11-19T16:36:00Z</dcterms:created>
  <dcterms:modified xsi:type="dcterms:W3CDTF">2019-11-19T16:36:00Z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y fmtid="{D5CDD505-2E9C-101B-9397-08002B2CF9AE}" pid="3" name="_NewReviewCycle">
    <vt:lpwstr/>
  </property>
  <property fmtid="{D5CDD505-2E9C-101B-9397-08002B2CF9AE}" pid="4" name="_AdHocReviewCycleID">
    <vt:i4>-1256106171</vt:i4>
  </property>
  <property fmtid="{D5CDD505-2E9C-101B-9397-08002B2CF9AE}" pid="5" name="_EmailSubject">
    <vt:lpwstr>Checking in</vt:lpwstr>
  </property>
  <property fmtid="{D5CDD505-2E9C-101B-9397-08002B2CF9AE}" pid="6" name="_AuthorEmail">
    <vt:lpwstr>jschnipper@bwh.harvard.edu</vt:lpwstr>
  </property>
  <property fmtid="{D5CDD505-2E9C-101B-9397-08002B2CF9AE}" pid="7" name="_AuthorEmailDisplayName">
    <vt:lpwstr>Schnipper, Jeffrey Lawrence,M.D.,M.P.H.</vt:lpwstr>
  </property>
  <property fmtid="{D5CDD505-2E9C-101B-9397-08002B2CF9AE}" pid="8" name="_ReviewingToolsShownOnce">
    <vt:lpwstr/>
  </property>
</Properties>
</file>