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6C5517BD"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970F2">
            <w:rPr>
              <w:rStyle w:val="Style1"/>
            </w:rPr>
            <w:t>2456</w:t>
          </w:r>
        </w:sdtContent>
      </w:sdt>
    </w:p>
    <w:p w14:paraId="55B8DA2F" w14:textId="577CDC8B"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0970F2">
            <w:rPr>
              <w:sz w:val="24"/>
              <w:szCs w:val="24"/>
              <w:u w:val="single"/>
            </w:rPr>
            <w:t>Medication Reconciliation: Number of Unintentional Medication Discrepancies per Medication Per Patient</w:t>
          </w:r>
          <w:r w:rsidR="000970F2">
            <w:rPr>
              <w:sz w:val="24"/>
              <w:szCs w:val="24"/>
            </w:rPr>
            <w:t xml:space="preserve">  </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lastRenderedPageBreak/>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AE2135"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AE2135"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AE2135"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38DA8C45" w:rsidR="00D73685" w:rsidRDefault="00AE2135"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0970F2">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6722A3">
            <w:rPr>
              <w:rStyle w:val="Style2"/>
              <w:rFonts w:cstheme="minorHAnsi"/>
            </w:rPr>
            <w:t>Unintentional m</w:t>
          </w:r>
          <w:r w:rsidR="000970F2">
            <w:rPr>
              <w:rStyle w:val="Style2"/>
              <w:rFonts w:cstheme="minorHAnsi"/>
            </w:rPr>
            <w:t xml:space="preserve">edication discrepancies are errors in </w:t>
          </w:r>
          <w:r w:rsidR="006722A3">
            <w:rPr>
              <w:rStyle w:val="Style2"/>
              <w:rFonts w:cstheme="minorHAnsi"/>
            </w:rPr>
            <w:t xml:space="preserve">inpatient </w:t>
          </w:r>
          <w:r w:rsidR="000970F2">
            <w:rPr>
              <w:rStyle w:val="Style2"/>
              <w:rFonts w:cstheme="minorHAnsi"/>
            </w:rPr>
            <w:t>admission or discharge orders</w:t>
          </w:r>
          <w:r w:rsidR="006722A3">
            <w:rPr>
              <w:rStyle w:val="Style2"/>
              <w:rFonts w:cstheme="minorHAnsi"/>
            </w:rPr>
            <w:t xml:space="preserve"> due to faults in the medication reconciliation process.  These errors can lead directly to patient harm.</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AE2135"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AE2135"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AC2789B"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4199C21A" w14:textId="42B83996" w:rsidR="006722A3" w:rsidRDefault="006722A3" w:rsidP="002B06BD">
      <w:pPr>
        <w:ind w:left="432" w:hanging="432"/>
        <w:rPr>
          <w:iCs/>
        </w:rPr>
      </w:pPr>
    </w:p>
    <w:p w14:paraId="3085F6AD" w14:textId="11AB80B0" w:rsidR="006722A3" w:rsidRPr="006B02D8" w:rsidRDefault="006722A3" w:rsidP="002B06BD">
      <w:pPr>
        <w:ind w:left="432" w:hanging="432"/>
        <w:rPr>
          <w:iCs/>
          <w:color w:val="0000FF"/>
        </w:rPr>
      </w:pPr>
      <w:r w:rsidRPr="006B02D8">
        <w:rPr>
          <w:iCs/>
          <w:color w:val="0000FF"/>
        </w:rPr>
        <w:t xml:space="preserve">Errors in the medication reconciliation process </w:t>
      </w:r>
      <w:r w:rsidRPr="006B02D8">
        <w:rPr>
          <w:iCs/>
          <w:color w:val="0000FF"/>
        </w:rPr>
        <w:sym w:font="Wingdings" w:char="F0E0"/>
      </w:r>
      <w:r w:rsidRPr="006B02D8">
        <w:rPr>
          <w:iCs/>
          <w:color w:val="0000FF"/>
        </w:rPr>
        <w:t xml:space="preserve"> Unintentional medication discrepancies in admission or discharge orders </w:t>
      </w:r>
      <w:r w:rsidRPr="006B02D8">
        <w:rPr>
          <w:iCs/>
          <w:color w:val="0000FF"/>
        </w:rPr>
        <w:sym w:font="Wingdings" w:char="F0E0"/>
      </w:r>
      <w:r w:rsidRPr="006B02D8">
        <w:rPr>
          <w:iCs/>
          <w:color w:val="0000FF"/>
        </w:rPr>
        <w:t xml:space="preserve"> adverse drug events </w:t>
      </w:r>
      <w:r w:rsidRPr="006B02D8">
        <w:rPr>
          <w:iCs/>
          <w:color w:val="0000FF"/>
        </w:rPr>
        <w:sym w:font="Wingdings" w:char="F0E0"/>
      </w:r>
      <w:r w:rsidRPr="006B02D8">
        <w:rPr>
          <w:iCs/>
          <w:color w:val="0000FF"/>
        </w:rPr>
        <w:t xml:space="preserve"> patient harm</w:t>
      </w:r>
    </w:p>
    <w:p w14:paraId="0951B79F" w14:textId="77777777" w:rsidR="0043595A" w:rsidRPr="006B02D8" w:rsidRDefault="0043595A" w:rsidP="0043595A">
      <w:pPr>
        <w:pStyle w:val="NormalWeb"/>
        <w:rPr>
          <w:rFonts w:asciiTheme="minorHAnsi" w:hAnsiTheme="minorHAnsi" w:cstheme="minorHAnsi"/>
          <w:bCs/>
          <w:sz w:val="22"/>
          <w:szCs w:val="22"/>
        </w:rPr>
      </w:pPr>
      <w:r w:rsidRPr="006B02D8">
        <w:rPr>
          <w:rFonts w:asciiTheme="minorHAnsi" w:hAnsiTheme="minorHAnsi" w:cstheme="minorHAnsi"/>
          <w:bCs/>
          <w:sz w:val="22"/>
          <w:szCs w:val="22"/>
        </w:rPr>
        <w:t>Faulty medication reconciliation processes lead to unintentional medication discrepancies in admission and discharge orders.  Some of these discrepancies are potentially harmful (i.e., potential adverse drug events), and among these, some will lead to actual adverse drug events, which by definition cause patient injury.</w:t>
      </w:r>
    </w:p>
    <w:p w14:paraId="1EFE1353" w14:textId="3B59FA96" w:rsidR="0043595A" w:rsidRPr="006B02D8" w:rsidRDefault="0043595A" w:rsidP="0043595A">
      <w:pPr>
        <w:pStyle w:val="NormalWeb"/>
        <w:rPr>
          <w:rFonts w:asciiTheme="minorHAnsi" w:hAnsiTheme="minorHAnsi" w:cstheme="minorHAnsi"/>
          <w:bCs/>
          <w:sz w:val="22"/>
          <w:szCs w:val="22"/>
        </w:rPr>
      </w:pPr>
      <w:r w:rsidRPr="006B02D8">
        <w:rPr>
          <w:rFonts w:asciiTheme="minorHAnsi" w:hAnsiTheme="minorHAnsi" w:cstheme="minorHAnsi"/>
          <w:bCs/>
          <w:sz w:val="22"/>
          <w:szCs w:val="22"/>
        </w:rPr>
        <w:t>The intervention data described below (see systematic review #2 in section 1.a.3) clearly demonstrates that our measure is responsive to improvements in the medication reconciliation process.  Moreover, it is also clearly related to more distal and relevant patient outcomes: total number of unintentional medication discrepancies tracks closely with potentially harmful medication discrepancies (a kind of potential adverse drug event (potential ADE))(1). Multiple studies have also shown a clear relationship between potential ADEs and actual ADEs (injury due to a medication), and both are similarly responsive to interventions(2)</w:t>
      </w:r>
      <w:r w:rsidR="000C60A0" w:rsidRPr="006B02D8">
        <w:rPr>
          <w:rFonts w:asciiTheme="minorHAnsi" w:hAnsiTheme="minorHAnsi" w:cstheme="minorHAnsi"/>
          <w:bCs/>
          <w:sz w:val="22"/>
          <w:szCs w:val="22"/>
        </w:rPr>
        <w:t>.</w:t>
      </w:r>
      <w:r w:rsidRPr="006B02D8">
        <w:rPr>
          <w:rFonts w:asciiTheme="minorHAnsi" w:hAnsiTheme="minorHAnsi" w:cstheme="minorHAnsi"/>
          <w:bCs/>
          <w:sz w:val="22"/>
          <w:szCs w:val="22"/>
        </w:rPr>
        <w:t xml:space="preserve"> </w:t>
      </w:r>
    </w:p>
    <w:p w14:paraId="14381259" w14:textId="77777777" w:rsidR="0043595A" w:rsidRPr="006B02D8" w:rsidRDefault="0043595A" w:rsidP="0043595A">
      <w:pPr>
        <w:pStyle w:val="NormalWeb"/>
        <w:spacing w:before="0" w:beforeAutospacing="0" w:after="0" w:afterAutospacing="0"/>
        <w:rPr>
          <w:rFonts w:asciiTheme="minorHAnsi" w:hAnsiTheme="minorHAnsi" w:cstheme="minorHAnsi"/>
          <w:bCs/>
          <w:sz w:val="22"/>
          <w:szCs w:val="22"/>
        </w:rPr>
      </w:pPr>
      <w:r w:rsidRPr="006B02D8">
        <w:rPr>
          <w:rFonts w:asciiTheme="minorHAnsi" w:hAnsiTheme="minorHAnsi" w:cstheme="minorHAnsi"/>
          <w:bCs/>
          <w:sz w:val="22"/>
          <w:szCs w:val="22"/>
        </w:rPr>
        <w:t>References:</w:t>
      </w:r>
    </w:p>
    <w:p w14:paraId="4624A6D7" w14:textId="77777777" w:rsidR="0043595A" w:rsidRPr="006B02D8" w:rsidRDefault="0043595A" w:rsidP="0043595A">
      <w:pPr>
        <w:pStyle w:val="ListParagraph"/>
        <w:numPr>
          <w:ilvl w:val="0"/>
          <w:numId w:val="13"/>
        </w:numPr>
        <w:autoSpaceDE w:val="0"/>
        <w:autoSpaceDN w:val="0"/>
        <w:adjustRightInd w:val="0"/>
        <w:spacing w:after="0" w:line="240" w:lineRule="auto"/>
        <w:rPr>
          <w:rFonts w:cstheme="minorHAnsi"/>
          <w:sz w:val="20"/>
          <w:szCs w:val="20"/>
        </w:rPr>
      </w:pPr>
      <w:r w:rsidRPr="006B02D8">
        <w:rPr>
          <w:rFonts w:cstheme="minorHAnsi"/>
          <w:sz w:val="20"/>
          <w:szCs w:val="20"/>
        </w:rPr>
        <w:t xml:space="preserve">Tam VC, Knowles SR, Cornish PL, Fine N, </w:t>
      </w:r>
      <w:proofErr w:type="spellStart"/>
      <w:r w:rsidRPr="006B02D8">
        <w:rPr>
          <w:rFonts w:cstheme="minorHAnsi"/>
          <w:sz w:val="20"/>
          <w:szCs w:val="20"/>
        </w:rPr>
        <w:t>Marchesano</w:t>
      </w:r>
      <w:proofErr w:type="spellEnd"/>
      <w:r w:rsidRPr="006B02D8">
        <w:rPr>
          <w:rFonts w:cstheme="minorHAnsi"/>
          <w:sz w:val="20"/>
          <w:szCs w:val="20"/>
        </w:rPr>
        <w:t xml:space="preserve"> R, </w:t>
      </w:r>
      <w:proofErr w:type="spellStart"/>
      <w:r w:rsidRPr="006B02D8">
        <w:rPr>
          <w:rFonts w:cstheme="minorHAnsi"/>
          <w:sz w:val="20"/>
          <w:szCs w:val="20"/>
        </w:rPr>
        <w:t>Etchells</w:t>
      </w:r>
      <w:proofErr w:type="spellEnd"/>
      <w:r w:rsidRPr="006B02D8">
        <w:rPr>
          <w:rFonts w:cstheme="minorHAnsi"/>
          <w:sz w:val="20"/>
          <w:szCs w:val="20"/>
        </w:rPr>
        <w:t xml:space="preserve"> EE. Frequency, type and clinical importance of medication history errors at admission to hospital: a systematic review. </w:t>
      </w:r>
      <w:proofErr w:type="spellStart"/>
      <w:r w:rsidRPr="006B02D8">
        <w:rPr>
          <w:rFonts w:cstheme="minorHAnsi"/>
          <w:i/>
          <w:iCs/>
          <w:sz w:val="20"/>
          <w:szCs w:val="20"/>
        </w:rPr>
        <w:t>Cmaj</w:t>
      </w:r>
      <w:proofErr w:type="spellEnd"/>
      <w:r w:rsidRPr="006B02D8">
        <w:rPr>
          <w:rFonts w:cstheme="minorHAnsi"/>
          <w:i/>
          <w:iCs/>
          <w:sz w:val="20"/>
          <w:szCs w:val="20"/>
        </w:rPr>
        <w:t xml:space="preserve">. </w:t>
      </w:r>
      <w:r w:rsidRPr="006B02D8">
        <w:rPr>
          <w:rFonts w:cstheme="minorHAnsi"/>
          <w:sz w:val="20"/>
          <w:szCs w:val="20"/>
        </w:rPr>
        <w:t xml:space="preserve">Aug </w:t>
      </w:r>
      <w:proofErr w:type="gramStart"/>
      <w:r w:rsidRPr="006B02D8">
        <w:rPr>
          <w:rFonts w:cstheme="minorHAnsi"/>
          <w:sz w:val="20"/>
          <w:szCs w:val="20"/>
        </w:rPr>
        <w:t>30</w:t>
      </w:r>
      <w:proofErr w:type="gramEnd"/>
      <w:r w:rsidRPr="006B02D8">
        <w:rPr>
          <w:rFonts w:cstheme="minorHAnsi"/>
          <w:sz w:val="20"/>
          <w:szCs w:val="20"/>
        </w:rPr>
        <w:t xml:space="preserve"> 2005;173(5):510-515.</w:t>
      </w:r>
    </w:p>
    <w:p w14:paraId="07215D07" w14:textId="77777777" w:rsidR="0043595A" w:rsidRPr="006B02D8" w:rsidRDefault="0043595A" w:rsidP="0043595A">
      <w:pPr>
        <w:pStyle w:val="NormalWeb"/>
        <w:numPr>
          <w:ilvl w:val="0"/>
          <w:numId w:val="13"/>
        </w:numPr>
        <w:spacing w:before="0" w:beforeAutospacing="0" w:after="0" w:afterAutospacing="0"/>
        <w:rPr>
          <w:rFonts w:asciiTheme="minorHAnsi" w:hAnsiTheme="minorHAnsi" w:cstheme="minorHAnsi"/>
          <w:sz w:val="20"/>
          <w:szCs w:val="20"/>
        </w:rPr>
      </w:pPr>
      <w:r w:rsidRPr="006B02D8">
        <w:rPr>
          <w:rFonts w:asciiTheme="minorHAnsi" w:hAnsiTheme="minorHAnsi" w:cstheme="minorHAnsi"/>
          <w:bCs/>
          <w:sz w:val="20"/>
          <w:szCs w:val="20"/>
        </w:rPr>
        <w:lastRenderedPageBreak/>
        <w:t>Bates DW, Boyle DL, Vander Vliet MB, Schneider J, Leape L. Relationship between medication errors and adverse drug events.</w:t>
      </w:r>
      <w:r w:rsidRPr="006B02D8">
        <w:rPr>
          <w:rFonts w:asciiTheme="minorHAnsi" w:hAnsiTheme="minorHAnsi" w:cstheme="minorHAnsi"/>
          <w:bCs/>
          <w:iCs/>
          <w:sz w:val="20"/>
          <w:szCs w:val="20"/>
        </w:rPr>
        <w:t xml:space="preserve"> J Gen Intern Med.</w:t>
      </w:r>
      <w:r w:rsidRPr="006B02D8">
        <w:rPr>
          <w:rFonts w:asciiTheme="minorHAnsi" w:hAnsiTheme="minorHAnsi" w:cstheme="minorHAnsi"/>
          <w:bCs/>
          <w:sz w:val="20"/>
          <w:szCs w:val="20"/>
        </w:rPr>
        <w:t xml:space="preserve"> 1995;10(4):199-205</w:t>
      </w:r>
    </w:p>
    <w:p w14:paraId="7B3243E7" w14:textId="77777777" w:rsidR="0043595A" w:rsidRPr="006B02D8" w:rsidRDefault="0043595A" w:rsidP="002B06BD">
      <w:pPr>
        <w:ind w:left="432" w:hanging="432"/>
        <w:rPr>
          <w:iCs/>
        </w:rPr>
      </w:pPr>
    </w:p>
    <w:p w14:paraId="55B8DA5B" w14:textId="77777777" w:rsidR="002B06BD" w:rsidRPr="003B1CC5" w:rsidRDefault="002B06BD" w:rsidP="002E2177">
      <w:pPr>
        <w:ind w:left="432" w:hanging="432"/>
        <w:rPr>
          <w:color w:val="0000FF"/>
        </w:rPr>
      </w:pPr>
    </w:p>
    <w:p w14:paraId="55B8DA5C" w14:textId="47993695" w:rsidR="00676BD4" w:rsidRDefault="00676BD4" w:rsidP="000C60A0">
      <w:pPr>
        <w:ind w:left="0" w:firstLine="0"/>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7BFABF3D" w:rsidR="00676BD4" w:rsidRDefault="006722A3" w:rsidP="002E2177">
      <w:pPr>
        <w:ind w:left="432" w:hanging="432"/>
        <w:rPr>
          <w:b/>
          <w:color w:val="0000FF"/>
        </w:rPr>
      </w:pPr>
      <w:r>
        <w:rPr>
          <w:b/>
          <w:color w:val="0000FF"/>
        </w:rPr>
        <w:t>N/A</w:t>
      </w: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2F9B278E" w:rsidR="00A9011D" w:rsidRDefault="006722A3" w:rsidP="00A9011D">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6E493618" w14:textId="40320CA2" w:rsidR="006722A3" w:rsidRPr="00A9011D" w:rsidRDefault="006722A3" w:rsidP="00A9011D">
      <w:pPr>
        <w:ind w:left="0" w:firstLine="0"/>
        <w:rPr>
          <w:rFonts w:ascii="Calibri" w:eastAsia="Calibri" w:hAnsi="Calibri" w:cs="Times New Roman"/>
        </w:rPr>
      </w:pPr>
      <w:r>
        <w:rPr>
          <w:rFonts w:ascii="Calibri" w:eastAsia="Calibri" w:hAnsi="Calibri" w:cs="Times New Roman"/>
        </w:rPr>
        <w:t>The Joint Commissio</w:t>
      </w:r>
      <w:r w:rsidR="000A3FDA">
        <w:rPr>
          <w:rFonts w:ascii="Calibri" w:eastAsia="Calibri" w:hAnsi="Calibri" w:cs="Times New Roman"/>
        </w:rPr>
        <w:t>n</w:t>
      </w:r>
      <w:r>
        <w:rPr>
          <w:rFonts w:ascii="Calibri" w:eastAsia="Calibri" w:hAnsi="Calibri" w:cs="Times New Roman"/>
        </w:rPr>
        <w:t xml:space="preserve"> National Patient Safety Goal </w:t>
      </w:r>
      <w:r w:rsidR="000A3FDA">
        <w:rPr>
          <w:rFonts w:ascii="Calibri" w:eastAsia="Calibri" w:hAnsi="Calibri" w:cs="Times New Roman"/>
        </w:rPr>
        <w:t>NPSG 03.06.01</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1AA36FD4" w:rsidR="00A9011D" w:rsidRPr="00A9011D" w:rsidRDefault="00DB0068" w:rsidP="00A9011D">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A9011D" w:rsidRPr="00A9011D">
        <w:rPr>
          <w:rFonts w:ascii="Calibri" w:eastAsia="Calibri" w:hAnsi="Calibri" w:cs="Times New Roman"/>
        </w:rPr>
        <w:t xml:space="preserve"> Other systematic review and grading of the body of evidence (</w:t>
      </w:r>
      <w:r w:rsidR="00A9011D" w:rsidRPr="00A9011D">
        <w:rPr>
          <w:rFonts w:ascii="Calibri" w:eastAsia="Calibri" w:hAnsi="Calibri" w:cs="Times New Roman"/>
          <w:i/>
        </w:rPr>
        <w:t>e.g., Cochrane Collaboration, AHRQ Evidence Practice Center</w:t>
      </w:r>
      <w:r w:rsidR="00A9011D"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1971"/>
        <w:gridCol w:w="7379"/>
      </w:tblGrid>
      <w:tr w:rsidR="00AB4ECE" w14:paraId="55B8DA76" w14:textId="77777777" w:rsidTr="000A3FDA">
        <w:tc>
          <w:tcPr>
            <w:tcW w:w="1971" w:type="dxa"/>
          </w:tcPr>
          <w:p w14:paraId="55B8DA6F" w14:textId="29554023" w:rsidR="00AB4ECE" w:rsidRPr="00AB4ECE" w:rsidRDefault="00AB4ECE" w:rsidP="002E2177">
            <w:pPr>
              <w:ind w:left="0" w:firstLine="0"/>
              <w:rPr>
                <w:b/>
              </w:rPr>
            </w:pPr>
            <w:r w:rsidRPr="00AB4ECE">
              <w:rPr>
                <w:b/>
              </w:rPr>
              <w:t>Source of Systematic Review</w:t>
            </w:r>
            <w:r w:rsidR="0043595A">
              <w:rPr>
                <w:b/>
              </w:rPr>
              <w:t xml:space="preserve"> (1)</w:t>
            </w:r>
            <w:r w:rsidRPr="00AB4ECE">
              <w:rPr>
                <w:b/>
              </w:rPr>
              <w:t>:</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 xml:space="preserve">Citation, including </w:t>
            </w:r>
            <w:r w:rsidRPr="00AB4ECE">
              <w:rPr>
                <w:b/>
              </w:rPr>
              <w:lastRenderedPageBreak/>
              <w:t>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7379" w:type="dxa"/>
          </w:tcPr>
          <w:p w14:paraId="2E1F8DF2" w14:textId="77777777" w:rsidR="00AB4ECE" w:rsidRDefault="00AB4ECE" w:rsidP="002E2177">
            <w:pPr>
              <w:ind w:left="0" w:firstLine="0"/>
              <w:rPr>
                <w:b/>
              </w:rPr>
            </w:pPr>
          </w:p>
          <w:p w14:paraId="12D61893" w14:textId="77777777" w:rsidR="000A3FDA" w:rsidRDefault="000A3FDA" w:rsidP="002E2177">
            <w:pPr>
              <w:ind w:left="0" w:firstLine="0"/>
              <w:rPr>
                <w:b/>
              </w:rPr>
            </w:pPr>
            <w:r>
              <w:rPr>
                <w:b/>
              </w:rPr>
              <w:t>The Joint Commission</w:t>
            </w:r>
          </w:p>
          <w:p w14:paraId="2BFFCBE3" w14:textId="0313620C" w:rsidR="000A3FDA" w:rsidRDefault="000A3FDA" w:rsidP="002E2177">
            <w:pPr>
              <w:ind w:left="0" w:firstLine="0"/>
              <w:rPr>
                <w:b/>
              </w:rPr>
            </w:pPr>
            <w:r>
              <w:rPr>
                <w:b/>
              </w:rPr>
              <w:t>National Patient Safety Goals Effective January 2019</w:t>
            </w:r>
          </w:p>
          <w:p w14:paraId="71104089" w14:textId="77777777" w:rsidR="000A3FDA" w:rsidRDefault="000A3FDA" w:rsidP="002E2177">
            <w:pPr>
              <w:ind w:left="0" w:firstLine="0"/>
              <w:rPr>
                <w:b/>
              </w:rPr>
            </w:pPr>
            <w:r>
              <w:rPr>
                <w:b/>
              </w:rPr>
              <w:t>Hospital Accreditation Program</w:t>
            </w:r>
          </w:p>
          <w:p w14:paraId="38C13B5B" w14:textId="77777777" w:rsidR="000A3FDA" w:rsidRDefault="000A3FDA" w:rsidP="002E2177">
            <w:pPr>
              <w:ind w:left="0" w:firstLine="0"/>
              <w:rPr>
                <w:b/>
              </w:rPr>
            </w:pPr>
            <w:r>
              <w:rPr>
                <w:b/>
              </w:rPr>
              <w:t>NPSG.03.06.01</w:t>
            </w:r>
          </w:p>
          <w:p w14:paraId="55B8DA75" w14:textId="4F80116D" w:rsidR="000A3FDA" w:rsidRPr="00AB4ECE" w:rsidRDefault="00AE2135" w:rsidP="002E2177">
            <w:pPr>
              <w:ind w:left="0" w:firstLine="0"/>
              <w:rPr>
                <w:b/>
              </w:rPr>
            </w:pPr>
            <w:hyperlink r:id="rId16" w:history="1">
              <w:r w:rsidR="000A3FDA">
                <w:rPr>
                  <w:rStyle w:val="Hyperlink"/>
                </w:rPr>
                <w:t>https://www.jointcommission.org/assets/1/6/NPSG_Chapter_HAP_Jan2019.pdf</w:t>
              </w:r>
            </w:hyperlink>
          </w:p>
        </w:tc>
      </w:tr>
      <w:tr w:rsidR="00AB4ECE" w14:paraId="55B8DA79" w14:textId="77777777" w:rsidTr="000A3FDA">
        <w:tc>
          <w:tcPr>
            <w:tcW w:w="1971"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7379" w:type="dxa"/>
          </w:tcPr>
          <w:p w14:paraId="2E5773B5" w14:textId="6EF8B5BE" w:rsidR="000A3FDA" w:rsidRDefault="000A3FDA" w:rsidP="002E2177">
            <w:pPr>
              <w:ind w:left="0" w:firstLine="0"/>
            </w:pPr>
            <w:r>
              <w:t>Maintain and communicate accurate patient medication information.</w:t>
            </w:r>
          </w:p>
          <w:p w14:paraId="566121A6" w14:textId="76651EAD" w:rsidR="000A3FDA" w:rsidRDefault="000A3FDA" w:rsidP="002E2177">
            <w:pPr>
              <w:ind w:left="0" w:firstLine="0"/>
            </w:pPr>
            <w:r>
              <w:t>Elements of Performance:</w:t>
            </w:r>
          </w:p>
          <w:p w14:paraId="7BE099B9" w14:textId="77777777" w:rsidR="000A3FDA" w:rsidRDefault="000A3FDA" w:rsidP="000A3FDA">
            <w:pPr>
              <w:pStyle w:val="ListParagraph"/>
              <w:numPr>
                <w:ilvl w:val="0"/>
                <w:numId w:val="12"/>
              </w:numPr>
            </w:pPr>
            <w:r>
              <w:t xml:space="preserve">Obtain information on the medications the patient is currently taking when he or she is admitted to the hospital or is seen in an outpatient setting. This information is documented in a list or other format that is useful to those who manage medications. Note 1: Current medications include those taken at scheduled times and those taken on an as-needed basis. See the Glossary for a definition of medications. Note 2: It is often difficult to obtain complete information on current medications from a patient. A good faith effort to obtain this information from the patient and/or other sources will be considered as meeting the intent of the EP. </w:t>
            </w:r>
          </w:p>
          <w:p w14:paraId="1CBDFF7E" w14:textId="5797A097" w:rsidR="000A3FDA" w:rsidRDefault="000A3FDA" w:rsidP="000A3FDA">
            <w:pPr>
              <w:pStyle w:val="ListParagraph"/>
              <w:numPr>
                <w:ilvl w:val="0"/>
                <w:numId w:val="12"/>
              </w:numPr>
            </w:pPr>
            <w:r>
              <w:t>Define the types of medication information to be collected in non-24-hour settings and different patient circumstances. Note 1: Examples of non-24-hour settings include the emergency department, primary care, outpatient radiology, ambulatory surgery, and diagnostic settings. Note 2: Examples of medication information that may be collected include name, dose, route, frequency, and purpose.</w:t>
            </w:r>
          </w:p>
          <w:p w14:paraId="2BABD8AA" w14:textId="77777777" w:rsidR="000A3FDA" w:rsidRDefault="000A3FDA" w:rsidP="000A3FDA">
            <w:pPr>
              <w:pStyle w:val="ListParagraph"/>
              <w:numPr>
                <w:ilvl w:val="0"/>
                <w:numId w:val="12"/>
              </w:numPr>
            </w:pPr>
            <w:r>
              <w:t xml:space="preserve">Compare the medication information the patient brought to the hospital with the medications ordered for the patient by the hospital in order to identify and resolve discrepancies. Note: Discrepancies include omissions, duplications, contraindications, unclear information, and changes. A qualified individual, identified by the hospital, does the comparison. (See also HR.01.06.01, EP 1) </w:t>
            </w:r>
          </w:p>
          <w:p w14:paraId="3D4A72B6" w14:textId="5089C45D" w:rsidR="000A3FDA" w:rsidRDefault="000A3FDA" w:rsidP="000A3FDA">
            <w:pPr>
              <w:pStyle w:val="ListParagraph"/>
              <w:numPr>
                <w:ilvl w:val="0"/>
                <w:numId w:val="12"/>
              </w:numPr>
            </w:pPr>
            <w:r>
              <w:t xml:space="preserve">Provide the patient (or family as needed) with written information on the medications the patient should be taking when he or she is discharged from the hospital or at the end of an outpatient encounter (for example, name, dose, route, frequency, purpose). Note: When the only additional medications prescribed are for a short duration, the medication information the hospital provides may include only those medications. For more information about communications to other providers of care when the patient is discharged or transferred, refer to Standard PC.04.02.01. </w:t>
            </w:r>
          </w:p>
          <w:p w14:paraId="55B8DA78" w14:textId="265E0AED" w:rsidR="000A3FDA" w:rsidRDefault="000A3FDA" w:rsidP="000A3FDA">
            <w:pPr>
              <w:pStyle w:val="ListParagraph"/>
              <w:numPr>
                <w:ilvl w:val="0"/>
                <w:numId w:val="12"/>
              </w:numPr>
            </w:pPr>
            <w:r>
              <w:t xml:space="preserve">Explain the importance of managing medication information to the patient when he or she is discharged from the hospital or at the end of an outpatient encounter. Note: Examples include instructing the patient to give a list to his or her primary care physician; to update the information when medications are discontinued, doses are changed, or </w:t>
            </w:r>
            <w:r>
              <w:lastRenderedPageBreak/>
              <w:t>new medications (including over-the-counter products) are added; and to carry medication information at all times in the event of emergency situations. (For information on patient education on medications, refer to Standards MM.06.01.03, PC.02.03.01, and PC.04.01.05.)</w:t>
            </w:r>
          </w:p>
        </w:tc>
      </w:tr>
      <w:tr w:rsidR="000A3FDA" w14:paraId="0FF0A8E9" w14:textId="77777777" w:rsidTr="000A3FDA">
        <w:tc>
          <w:tcPr>
            <w:tcW w:w="1971" w:type="dxa"/>
          </w:tcPr>
          <w:p w14:paraId="15977C30" w14:textId="351C0AD1" w:rsidR="000A3FDA" w:rsidRPr="00AB4ECE" w:rsidRDefault="000A3FDA" w:rsidP="000A3FDA">
            <w:pPr>
              <w:ind w:left="0" w:firstLine="0"/>
              <w:rPr>
                <w:b/>
              </w:rPr>
            </w:pPr>
            <w:r w:rsidRPr="00AB4ECE">
              <w:rPr>
                <w:b/>
              </w:rPr>
              <w:lastRenderedPageBreak/>
              <w:t>Source of Systematic Review</w:t>
            </w:r>
            <w:r w:rsidR="0043595A">
              <w:rPr>
                <w:b/>
              </w:rPr>
              <w:t xml:space="preserve"> (2)</w:t>
            </w:r>
            <w:r w:rsidRPr="00AB4ECE">
              <w:rPr>
                <w:b/>
              </w:rPr>
              <w:t>:</w:t>
            </w:r>
          </w:p>
          <w:p w14:paraId="6F84031E" w14:textId="77777777" w:rsidR="000A3FDA" w:rsidRPr="00AB4ECE" w:rsidRDefault="000A3FDA" w:rsidP="000A3FDA">
            <w:pPr>
              <w:pStyle w:val="ListParagraph"/>
              <w:numPr>
                <w:ilvl w:val="0"/>
                <w:numId w:val="9"/>
              </w:numPr>
              <w:rPr>
                <w:b/>
              </w:rPr>
            </w:pPr>
            <w:r w:rsidRPr="00AB4ECE">
              <w:rPr>
                <w:b/>
              </w:rPr>
              <w:t>Title</w:t>
            </w:r>
          </w:p>
          <w:p w14:paraId="36789341" w14:textId="77777777" w:rsidR="000A3FDA" w:rsidRPr="00AB4ECE" w:rsidRDefault="000A3FDA" w:rsidP="000A3FDA">
            <w:pPr>
              <w:pStyle w:val="ListParagraph"/>
              <w:numPr>
                <w:ilvl w:val="0"/>
                <w:numId w:val="9"/>
              </w:numPr>
              <w:rPr>
                <w:b/>
              </w:rPr>
            </w:pPr>
            <w:r w:rsidRPr="00AB4ECE">
              <w:rPr>
                <w:b/>
              </w:rPr>
              <w:t>Author</w:t>
            </w:r>
          </w:p>
          <w:p w14:paraId="4AB5FA1B" w14:textId="77777777" w:rsidR="000A3FDA" w:rsidRPr="00AB4ECE" w:rsidRDefault="000A3FDA" w:rsidP="000A3FDA">
            <w:pPr>
              <w:pStyle w:val="ListParagraph"/>
              <w:numPr>
                <w:ilvl w:val="0"/>
                <w:numId w:val="9"/>
              </w:numPr>
              <w:rPr>
                <w:b/>
              </w:rPr>
            </w:pPr>
            <w:r w:rsidRPr="00AB4ECE">
              <w:rPr>
                <w:b/>
              </w:rPr>
              <w:t>Date</w:t>
            </w:r>
          </w:p>
          <w:p w14:paraId="1C80BBA6" w14:textId="77777777" w:rsidR="0043595A" w:rsidRDefault="000A3FDA" w:rsidP="0043595A">
            <w:pPr>
              <w:pStyle w:val="ListParagraph"/>
              <w:numPr>
                <w:ilvl w:val="0"/>
                <w:numId w:val="9"/>
              </w:numPr>
              <w:rPr>
                <w:b/>
              </w:rPr>
            </w:pPr>
            <w:r w:rsidRPr="00AB4ECE">
              <w:rPr>
                <w:b/>
              </w:rPr>
              <w:t>Citation, including page number</w:t>
            </w:r>
          </w:p>
          <w:p w14:paraId="2BC4D7FB" w14:textId="4E292BC3" w:rsidR="000A3FDA" w:rsidRPr="0043595A" w:rsidRDefault="000A3FDA" w:rsidP="0043595A">
            <w:pPr>
              <w:pStyle w:val="ListParagraph"/>
              <w:numPr>
                <w:ilvl w:val="0"/>
                <w:numId w:val="9"/>
              </w:numPr>
              <w:rPr>
                <w:b/>
              </w:rPr>
            </w:pPr>
            <w:r w:rsidRPr="0043595A">
              <w:rPr>
                <w:b/>
              </w:rPr>
              <w:t>URL</w:t>
            </w:r>
          </w:p>
        </w:tc>
        <w:tc>
          <w:tcPr>
            <w:tcW w:w="7379" w:type="dxa"/>
          </w:tcPr>
          <w:p w14:paraId="64D7A81A" w14:textId="77777777" w:rsidR="000A3FDA" w:rsidRDefault="000A3FDA" w:rsidP="000A3FDA">
            <w:pPr>
              <w:ind w:left="0" w:firstLine="0"/>
              <w:rPr>
                <w:b/>
              </w:rPr>
            </w:pPr>
          </w:p>
          <w:p w14:paraId="66506B9D" w14:textId="6115C8D9" w:rsidR="00F81DE0" w:rsidRPr="0043595A" w:rsidRDefault="00F81DE0" w:rsidP="00F81DE0">
            <w:pPr>
              <w:autoSpaceDE w:val="0"/>
              <w:autoSpaceDN w:val="0"/>
              <w:adjustRightInd w:val="0"/>
              <w:ind w:left="0" w:firstLine="0"/>
              <w:rPr>
                <w:rFonts w:cstheme="minorHAnsi"/>
                <w:color w:val="0000FF"/>
              </w:rPr>
            </w:pPr>
            <w:r w:rsidRPr="0043595A">
              <w:rPr>
                <w:rFonts w:cstheme="minorHAnsi"/>
                <w:color w:val="0000FF"/>
              </w:rPr>
              <w:t xml:space="preserve">Mueller SK, Sponsler KC, Kripalani S, Schnipper JL. Hospital-Based Medication Reconciliation Practices: A Systematic Review. </w:t>
            </w:r>
            <w:r w:rsidRPr="0043595A">
              <w:rPr>
                <w:rFonts w:cstheme="minorHAnsi"/>
                <w:i/>
                <w:iCs/>
                <w:color w:val="0000FF"/>
              </w:rPr>
              <w:t xml:space="preserve">Arch Intern Med. </w:t>
            </w:r>
            <w:r w:rsidRPr="0043595A">
              <w:rPr>
                <w:rFonts w:cstheme="minorHAnsi"/>
                <w:color w:val="0000FF"/>
              </w:rPr>
              <w:t xml:space="preserve">Jun </w:t>
            </w:r>
            <w:proofErr w:type="gramStart"/>
            <w:r w:rsidRPr="0043595A">
              <w:rPr>
                <w:rFonts w:cstheme="minorHAnsi"/>
                <w:color w:val="0000FF"/>
              </w:rPr>
              <w:t>25</w:t>
            </w:r>
            <w:proofErr w:type="gramEnd"/>
            <w:r w:rsidRPr="0043595A">
              <w:rPr>
                <w:rFonts w:cstheme="minorHAnsi"/>
                <w:color w:val="0000FF"/>
              </w:rPr>
              <w:t xml:space="preserve"> 2012:1-13.</w:t>
            </w:r>
          </w:p>
          <w:p w14:paraId="363D511C" w14:textId="77777777" w:rsidR="00F81DE0" w:rsidRPr="0043595A" w:rsidRDefault="00F81DE0" w:rsidP="00F81DE0">
            <w:pPr>
              <w:autoSpaceDE w:val="0"/>
              <w:autoSpaceDN w:val="0"/>
              <w:adjustRightInd w:val="0"/>
              <w:ind w:left="720" w:hanging="720"/>
              <w:rPr>
                <w:rFonts w:cstheme="minorHAnsi"/>
                <w:color w:val="0000FF"/>
              </w:rPr>
            </w:pPr>
          </w:p>
          <w:p w14:paraId="695D684D" w14:textId="77777777" w:rsidR="00F81DE0" w:rsidRPr="0043595A" w:rsidRDefault="00AE2135" w:rsidP="00F81DE0">
            <w:pPr>
              <w:autoSpaceDE w:val="0"/>
              <w:autoSpaceDN w:val="0"/>
              <w:adjustRightInd w:val="0"/>
              <w:ind w:left="720" w:hanging="720"/>
              <w:rPr>
                <w:rFonts w:cstheme="minorHAnsi"/>
                <w:color w:val="0000FF"/>
              </w:rPr>
            </w:pPr>
            <w:hyperlink r:id="rId17" w:history="1">
              <w:r w:rsidR="00F81DE0" w:rsidRPr="0043595A">
                <w:rPr>
                  <w:rStyle w:val="Hyperlink"/>
                  <w:rFonts w:cstheme="minorHAnsi"/>
                  <w:color w:val="0000FF"/>
                </w:rPr>
                <w:t>http://www.ncbi.nlm.nih.gov/pubmed/22733210</w:t>
              </w:r>
            </w:hyperlink>
          </w:p>
          <w:p w14:paraId="399E7B65" w14:textId="3E127CF4" w:rsidR="000A3FDA" w:rsidRDefault="000A3FDA" w:rsidP="000A3FDA">
            <w:pPr>
              <w:ind w:left="0" w:firstLine="0"/>
            </w:pPr>
          </w:p>
        </w:tc>
      </w:tr>
      <w:tr w:rsidR="000A3FDA" w14:paraId="1AB8D8DC" w14:textId="77777777" w:rsidTr="000A3FDA">
        <w:tc>
          <w:tcPr>
            <w:tcW w:w="1971" w:type="dxa"/>
          </w:tcPr>
          <w:p w14:paraId="6FF15A01" w14:textId="430CA5A1" w:rsidR="000A3FDA" w:rsidRDefault="000A3FDA" w:rsidP="000A3FDA">
            <w:pPr>
              <w:ind w:left="0" w:firstLine="0"/>
            </w:pPr>
            <w:r>
              <w:t>Quote the guideline or recommendation verbatim about the process, structure or intermediate outcome being measured. If not a guideline, summarize the conclusions from the SR.</w:t>
            </w:r>
          </w:p>
        </w:tc>
        <w:tc>
          <w:tcPr>
            <w:tcW w:w="7379" w:type="dxa"/>
          </w:tcPr>
          <w:p w14:paraId="350222CC" w14:textId="6E362E64" w:rsidR="00F81DE0" w:rsidRPr="00F81DE0" w:rsidRDefault="00F81DE0" w:rsidP="00F81DE0">
            <w:pPr>
              <w:autoSpaceDE w:val="0"/>
              <w:autoSpaceDN w:val="0"/>
              <w:adjustRightInd w:val="0"/>
              <w:ind w:left="0" w:firstLine="0"/>
              <w:rPr>
                <w:rFonts w:cstheme="minorHAnsi"/>
                <w:color w:val="231F20"/>
                <w:szCs w:val="20"/>
              </w:rPr>
            </w:pPr>
            <w:r w:rsidRPr="00F81DE0">
              <w:rPr>
                <w:rFonts w:cstheme="minorHAnsi"/>
                <w:color w:val="231F20"/>
                <w:szCs w:val="20"/>
              </w:rPr>
              <w:t>Fifteen of 26 studies reported pharmacist-related [medication reconciliation]</w:t>
            </w:r>
          </w:p>
          <w:p w14:paraId="464CB50F" w14:textId="77777777" w:rsidR="000A3FDA" w:rsidRPr="00F81DE0" w:rsidRDefault="00F81DE0" w:rsidP="00F81DE0">
            <w:pPr>
              <w:autoSpaceDE w:val="0"/>
              <w:autoSpaceDN w:val="0"/>
              <w:adjustRightInd w:val="0"/>
              <w:ind w:left="0" w:firstLine="0"/>
              <w:rPr>
                <w:rFonts w:cstheme="minorHAnsi"/>
                <w:color w:val="231F20"/>
                <w:szCs w:val="20"/>
              </w:rPr>
            </w:pPr>
            <w:r w:rsidRPr="00F81DE0">
              <w:rPr>
                <w:rFonts w:cstheme="minorHAnsi"/>
                <w:color w:val="231F20"/>
                <w:szCs w:val="20"/>
              </w:rPr>
              <w:t>interventions, 6 evaluated IT interventions, and 5 studied other interventions. Six studies were classified as good quality. The comparison group for all the studies was usual care; no studies compared different types of interventions. Studies consistently demonstrated a reduction in medication discrepancies (17 of 17 studies).</w:t>
            </w:r>
          </w:p>
          <w:p w14:paraId="0AB52B1D" w14:textId="77777777" w:rsidR="00F81DE0" w:rsidRPr="00F81DE0" w:rsidRDefault="00F81DE0" w:rsidP="00F81DE0">
            <w:pPr>
              <w:autoSpaceDE w:val="0"/>
              <w:autoSpaceDN w:val="0"/>
              <w:adjustRightInd w:val="0"/>
              <w:ind w:left="0" w:firstLine="0"/>
              <w:rPr>
                <w:rFonts w:cstheme="minorHAnsi"/>
                <w:color w:val="231F20"/>
                <w:szCs w:val="20"/>
              </w:rPr>
            </w:pPr>
          </w:p>
          <w:p w14:paraId="1916CCBB" w14:textId="146B594F" w:rsidR="00F81DE0" w:rsidRPr="00F81DE0" w:rsidRDefault="00F81DE0" w:rsidP="00F81DE0">
            <w:pPr>
              <w:autoSpaceDE w:val="0"/>
              <w:autoSpaceDN w:val="0"/>
              <w:adjustRightInd w:val="0"/>
              <w:ind w:left="0" w:firstLine="0"/>
              <w:rPr>
                <w:rFonts w:ascii="Berkeley-Medium" w:hAnsi="Berkeley-Medium" w:cs="Berkeley-Medium"/>
                <w:color w:val="231F20"/>
                <w:sz w:val="20"/>
                <w:szCs w:val="20"/>
              </w:rPr>
            </w:pPr>
            <w:r w:rsidRPr="00F81DE0">
              <w:rPr>
                <w:rFonts w:cstheme="minorHAnsi"/>
                <w:color w:val="231F20"/>
                <w:szCs w:val="20"/>
              </w:rPr>
              <w:t>Rigorously designed studies comparing different inpatient medication reconciliation practices and their effects on clinical outcomes are scarce. Available evidence supports medication reconciliation interventions that heavily use pharmacy staff and focus on patients at high risk for adverse events.</w:t>
            </w:r>
          </w:p>
        </w:tc>
      </w:tr>
      <w:tr w:rsidR="00AB4ECE" w14:paraId="55B8DA7C" w14:textId="77777777" w:rsidTr="000A3FDA">
        <w:tc>
          <w:tcPr>
            <w:tcW w:w="1971"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7379" w:type="dxa"/>
          </w:tcPr>
          <w:p w14:paraId="55B8DA7B" w14:textId="289D7DB7" w:rsidR="00AB4ECE" w:rsidRDefault="00F81DE0" w:rsidP="002E2177">
            <w:pPr>
              <w:ind w:left="0" w:firstLine="0"/>
            </w:pPr>
            <w:r>
              <w:t>6 studies were classified as good quality, 5 studies were classified as fair quality, the remainder were</w:t>
            </w:r>
            <w:r w:rsidR="00DB0068">
              <w:t xml:space="preserve"> classified as poor quality.</w:t>
            </w:r>
          </w:p>
        </w:tc>
      </w:tr>
      <w:tr w:rsidR="00AB4ECE" w14:paraId="55B8DA7F" w14:textId="77777777" w:rsidTr="000A3FDA">
        <w:tc>
          <w:tcPr>
            <w:tcW w:w="1971" w:type="dxa"/>
          </w:tcPr>
          <w:p w14:paraId="55B8DA7D" w14:textId="77777777" w:rsidR="00AB4ECE" w:rsidRDefault="00AB4ECE" w:rsidP="00E42FAA">
            <w:pPr>
              <w:ind w:left="0" w:firstLine="0"/>
            </w:pPr>
            <w:r>
              <w:t>Provide all other grades and definitions from the evidence grading system</w:t>
            </w:r>
          </w:p>
        </w:tc>
        <w:tc>
          <w:tcPr>
            <w:tcW w:w="7379" w:type="dxa"/>
          </w:tcPr>
          <w:p w14:paraId="55B8DA7E" w14:textId="77777777" w:rsidR="00AB4ECE" w:rsidRDefault="00AB4ECE" w:rsidP="002E2177">
            <w:pPr>
              <w:ind w:left="0" w:firstLine="0"/>
            </w:pPr>
          </w:p>
        </w:tc>
      </w:tr>
      <w:tr w:rsidR="00AB4ECE" w14:paraId="55B8DA82" w14:textId="77777777" w:rsidTr="000A3FDA">
        <w:tc>
          <w:tcPr>
            <w:tcW w:w="1971"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7379" w:type="dxa"/>
          </w:tcPr>
          <w:p w14:paraId="6ED2305F" w14:textId="10969F28" w:rsidR="000C60A0" w:rsidRPr="000C60A0" w:rsidRDefault="00DB0068" w:rsidP="000C60A0">
            <w:pPr>
              <w:ind w:left="0" w:firstLine="0"/>
              <w:rPr>
                <w:rFonts w:cstheme="minorHAnsi"/>
                <w:bCs/>
              </w:rPr>
            </w:pPr>
            <w:r>
              <w:t>Overall recommendation not assigned a grade.</w:t>
            </w:r>
            <w:r w:rsidR="000C60A0">
              <w:t xml:space="preserve">  </w:t>
            </w:r>
            <w:r w:rsidR="000C60A0" w:rsidRPr="000C60A0">
              <w:rPr>
                <w:rFonts w:cstheme="minorHAnsi"/>
                <w:bCs/>
              </w:rPr>
              <w:t xml:space="preserve">The evidence for benefit of interventions was fair.  Most studies were small, single-site investigations.  Only ten were randomized controlled trials.  Descriptions of the interventions and usual care were suboptimal.  </w:t>
            </w:r>
          </w:p>
          <w:p w14:paraId="77D42A1E" w14:textId="77777777" w:rsidR="000C60A0" w:rsidRPr="000C60A0" w:rsidRDefault="000C60A0" w:rsidP="000C60A0">
            <w:pPr>
              <w:ind w:left="0" w:firstLine="0"/>
              <w:rPr>
                <w:rFonts w:cstheme="minorHAnsi"/>
                <w:bCs/>
              </w:rPr>
            </w:pPr>
          </w:p>
          <w:p w14:paraId="2160CB71" w14:textId="77777777" w:rsidR="000C60A0" w:rsidRPr="000C60A0" w:rsidRDefault="000C60A0" w:rsidP="000C60A0">
            <w:pPr>
              <w:ind w:left="0" w:firstLine="0"/>
              <w:rPr>
                <w:rFonts w:cstheme="minorHAnsi"/>
                <w:bCs/>
              </w:rPr>
            </w:pPr>
            <w:r w:rsidRPr="000C60A0">
              <w:rPr>
                <w:rFonts w:cstheme="minorHAnsi"/>
                <w:bCs/>
              </w:rPr>
              <w:lastRenderedPageBreak/>
              <w:t xml:space="preserve">Evidence was best for interventions that heavily utilized pharmacy staff and focused on patients at high risk for adverse events.  </w:t>
            </w:r>
          </w:p>
          <w:p w14:paraId="19698259" w14:textId="77777777" w:rsidR="000C60A0" w:rsidRPr="000C60A0" w:rsidRDefault="000C60A0" w:rsidP="000C60A0">
            <w:pPr>
              <w:ind w:left="0" w:firstLine="0"/>
              <w:rPr>
                <w:rFonts w:cstheme="minorHAnsi"/>
                <w:bCs/>
              </w:rPr>
            </w:pPr>
          </w:p>
          <w:p w14:paraId="55B8DA81" w14:textId="7D6471B5" w:rsidR="00AB4ECE" w:rsidRDefault="000C60A0" w:rsidP="000C60A0">
            <w:pPr>
              <w:ind w:left="0" w:firstLine="0"/>
            </w:pPr>
            <w:r w:rsidRPr="000C60A0">
              <w:rPr>
                <w:rFonts w:cstheme="minorHAnsi"/>
                <w:bCs/>
              </w:rPr>
              <w:t xml:space="preserve">Several, although not all, used an outcome measure similar to the one presented here and using similar patient populations.  </w:t>
            </w:r>
          </w:p>
        </w:tc>
      </w:tr>
      <w:tr w:rsidR="00AB4ECE" w14:paraId="55B8DA85" w14:textId="77777777" w:rsidTr="000A3FDA">
        <w:tc>
          <w:tcPr>
            <w:tcW w:w="1971" w:type="dxa"/>
          </w:tcPr>
          <w:p w14:paraId="55B8DA83" w14:textId="77777777" w:rsidR="00AB4ECE" w:rsidRDefault="00AB4ECE" w:rsidP="00E42FAA">
            <w:pPr>
              <w:ind w:left="0" w:firstLine="0"/>
            </w:pPr>
            <w:r>
              <w:lastRenderedPageBreak/>
              <w:t>Provide all other grades and definitions from the recommendation grading system</w:t>
            </w:r>
          </w:p>
        </w:tc>
        <w:tc>
          <w:tcPr>
            <w:tcW w:w="7379" w:type="dxa"/>
          </w:tcPr>
          <w:p w14:paraId="55B8DA84" w14:textId="77777777" w:rsidR="00AB4ECE" w:rsidRDefault="00AB4ECE" w:rsidP="002E2177">
            <w:pPr>
              <w:ind w:left="0" w:firstLine="0"/>
            </w:pPr>
          </w:p>
        </w:tc>
      </w:tr>
      <w:tr w:rsidR="00AB4ECE" w14:paraId="55B8DA8A" w14:textId="77777777" w:rsidTr="000A3FDA">
        <w:tc>
          <w:tcPr>
            <w:tcW w:w="1971"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7379" w:type="dxa"/>
          </w:tcPr>
          <w:p w14:paraId="55B8DA89" w14:textId="2B48EB70" w:rsidR="00AB4ECE" w:rsidRDefault="00DB0068" w:rsidP="002E2177">
            <w:pPr>
              <w:ind w:left="0" w:firstLine="0"/>
            </w:pPr>
            <w:r>
              <w:t>26 studies, including 13 RCTs, 10 non-randomized trials with concurrent controls, and 3 pre-post studies.</w:t>
            </w:r>
          </w:p>
        </w:tc>
      </w:tr>
      <w:tr w:rsidR="00AB4ECE" w14:paraId="55B8DA8D" w14:textId="77777777" w:rsidTr="000A3FDA">
        <w:tc>
          <w:tcPr>
            <w:tcW w:w="1971" w:type="dxa"/>
          </w:tcPr>
          <w:p w14:paraId="55B8DA8B" w14:textId="77777777" w:rsidR="00AB4ECE" w:rsidRDefault="000E5C93" w:rsidP="002E2177">
            <w:pPr>
              <w:ind w:left="0" w:firstLine="0"/>
            </w:pPr>
            <w:r>
              <w:t xml:space="preserve">Estimates of benefit and consistency across studies </w:t>
            </w:r>
          </w:p>
        </w:tc>
        <w:tc>
          <w:tcPr>
            <w:tcW w:w="7379" w:type="dxa"/>
          </w:tcPr>
          <w:p w14:paraId="55B8DA8C" w14:textId="6E86FDBB" w:rsidR="00AB4ECE" w:rsidRDefault="00DB0068" w:rsidP="002E2177">
            <w:pPr>
              <w:ind w:left="0" w:firstLine="0"/>
            </w:pPr>
            <w:r>
              <w:t xml:space="preserve">Reductions in medication discrepancies were consistent in every study that measured this as an outcome (17 of 17). </w:t>
            </w:r>
          </w:p>
        </w:tc>
      </w:tr>
      <w:tr w:rsidR="000E5C93" w14:paraId="55B8DA90" w14:textId="77777777" w:rsidTr="000A3FDA">
        <w:tc>
          <w:tcPr>
            <w:tcW w:w="1971" w:type="dxa"/>
          </w:tcPr>
          <w:p w14:paraId="55B8DA8E" w14:textId="77777777" w:rsidR="000E5C93" w:rsidRDefault="000E5C93" w:rsidP="002E2177">
            <w:pPr>
              <w:ind w:left="0" w:firstLine="0"/>
            </w:pPr>
            <w:r>
              <w:t>What harms were identified?</w:t>
            </w:r>
          </w:p>
        </w:tc>
        <w:tc>
          <w:tcPr>
            <w:tcW w:w="7379" w:type="dxa"/>
          </w:tcPr>
          <w:p w14:paraId="070A2F40" w14:textId="77777777" w:rsidR="000E5C93" w:rsidRDefault="00DB0068" w:rsidP="002E2177">
            <w:pPr>
              <w:ind w:left="0" w:firstLine="0"/>
            </w:pPr>
            <w:r>
              <w:t>None</w:t>
            </w:r>
            <w:r w:rsidR="000C60A0">
              <w:t>, but most studies did not explicitly measure harms</w:t>
            </w:r>
            <w:r w:rsidR="00DD5ED4">
              <w:t xml:space="preserve">.  In the two studies that measured adverse drug events, they were reduced as a result of the medication reconciliation interventions. </w:t>
            </w:r>
            <w:r w:rsidR="000C60A0">
              <w:t xml:space="preserve"> </w:t>
            </w:r>
          </w:p>
          <w:p w14:paraId="55B8DA8F" w14:textId="0B8BA373" w:rsidR="00DD5ED4" w:rsidRDefault="00DD5ED4" w:rsidP="002E2177">
            <w:pPr>
              <w:ind w:left="0" w:firstLine="0"/>
            </w:pPr>
          </w:p>
        </w:tc>
      </w:tr>
      <w:tr w:rsidR="000E5C93" w14:paraId="55B8DA93" w14:textId="77777777" w:rsidTr="000A3FDA">
        <w:tc>
          <w:tcPr>
            <w:tcW w:w="1971" w:type="dxa"/>
          </w:tcPr>
          <w:p w14:paraId="55B8DA91" w14:textId="77777777" w:rsidR="000E5C93" w:rsidRDefault="000E5C93" w:rsidP="000E5C93">
            <w:pPr>
              <w:ind w:left="0" w:firstLine="0"/>
            </w:pPr>
            <w:r>
              <w:t>Identify any new studies conducted since the SR. Do the new studies change the conclusions from the SR?</w:t>
            </w:r>
          </w:p>
        </w:tc>
        <w:tc>
          <w:tcPr>
            <w:tcW w:w="7379" w:type="dxa"/>
          </w:tcPr>
          <w:p w14:paraId="5B8B35CA" w14:textId="77777777" w:rsidR="0043595A" w:rsidRDefault="00DB0068" w:rsidP="002E2177">
            <w:pPr>
              <w:ind w:left="0" w:firstLine="0"/>
              <w:rPr>
                <w:color w:val="000000"/>
              </w:rPr>
            </w:pPr>
            <w:r>
              <w:t xml:space="preserve">Larger multi-site studies have been conducted since then, demonstrating the consistent link between </w:t>
            </w:r>
            <w:r w:rsidRPr="0043595A">
              <w:t xml:space="preserve">medication reconciliation quality improvement interventions and reductions in medication discrepancies as defined by this measure.  These include MARQUIS </w:t>
            </w:r>
            <w:bookmarkStart w:id="7" w:name="_Hlk526422293"/>
            <w:r w:rsidR="0043595A" w:rsidRPr="0043595A">
              <w:t>(</w:t>
            </w:r>
            <w:r w:rsidR="0043595A" w:rsidRPr="0043595A">
              <w:rPr>
                <w:color w:val="000000"/>
              </w:rPr>
              <w:t xml:space="preserve">BMJ Qual Saf. 2018; 27(12): 954-964. </w:t>
            </w:r>
            <w:r w:rsidR="0043595A" w:rsidRPr="0043595A">
              <w:t xml:space="preserve"> </w:t>
            </w:r>
            <w:r w:rsidR="0043595A" w:rsidRPr="0043595A">
              <w:rPr>
                <w:color w:val="000000"/>
              </w:rPr>
              <w:t>PMID: 30126891</w:t>
            </w:r>
            <w:bookmarkEnd w:id="7"/>
            <w:r w:rsidR="0043595A" w:rsidRPr="0043595A">
              <w:rPr>
                <w:color w:val="000000"/>
              </w:rPr>
              <w:t>), which included 1648 patients at 5 hospitals, and MARQUIS2 (</w:t>
            </w:r>
            <w:r w:rsidR="0043595A" w:rsidRPr="0043595A">
              <w:rPr>
                <w:color w:val="000000"/>
                <w:u w:val="single"/>
              </w:rPr>
              <w:t>Plenary</w:t>
            </w:r>
            <w:r w:rsidR="0043595A" w:rsidRPr="0043595A">
              <w:rPr>
                <w:color w:val="000000"/>
              </w:rPr>
              <w:t>, Society of Hospital Medicine Annual Meeting, National Harbor, MD), which included 4947 patients at 17 hospitals.</w:t>
            </w:r>
            <w:r w:rsidR="0043595A">
              <w:rPr>
                <w:color w:val="000000"/>
              </w:rPr>
              <w:t xml:space="preserve">  </w:t>
            </w:r>
            <w:r w:rsidR="000C60A0">
              <w:rPr>
                <w:color w:val="000000"/>
              </w:rPr>
              <w:t>These studies have substantially added to the evidence base linking medication reconciliation QI interventions and reductions in medication discrepancies.</w:t>
            </w:r>
          </w:p>
          <w:p w14:paraId="55B8DA92" w14:textId="2CC34DC4" w:rsidR="00DD5ED4" w:rsidRDefault="00DD5ED4"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8" w:name="Section1a8"/>
      <w:bookmarkEnd w:id="8"/>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D0F06" w14:textId="77777777" w:rsidR="00AE2135" w:rsidRDefault="00AE2135" w:rsidP="007E37A5">
      <w:r>
        <w:separator/>
      </w:r>
    </w:p>
  </w:endnote>
  <w:endnote w:type="continuationSeparator" w:id="0">
    <w:p w14:paraId="458EA35A" w14:textId="77777777" w:rsidR="00AE2135" w:rsidRDefault="00AE2135"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Arial"/>
    <w:panose1 w:val="020B0604020202020204"/>
    <w:charset w:val="80"/>
    <w:family w:val="swiss"/>
    <w:pitch w:val="variable"/>
    <w:sig w:usb0="00000000"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Berkeley-Medium">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913">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FACF1" w14:textId="77777777" w:rsidR="00AE2135" w:rsidRDefault="00AE2135" w:rsidP="007E37A5">
      <w:r>
        <w:separator/>
      </w:r>
    </w:p>
  </w:footnote>
  <w:footnote w:type="continuationSeparator" w:id="0">
    <w:p w14:paraId="2DC8C7C1" w14:textId="77777777" w:rsidR="00AE2135" w:rsidRDefault="00AE2135"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D237C"/>
    <w:multiLevelType w:val="hybridMultilevel"/>
    <w:tmpl w:val="21E23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4C4825"/>
    <w:multiLevelType w:val="hybridMultilevel"/>
    <w:tmpl w:val="60DC7534"/>
    <w:lvl w:ilvl="0" w:tplc="A1CE040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3"/>
  </w:num>
  <w:num w:numId="5">
    <w:abstractNumId w:val="5"/>
  </w:num>
  <w:num w:numId="6">
    <w:abstractNumId w:val="4"/>
  </w:num>
  <w:num w:numId="7">
    <w:abstractNumId w:val="10"/>
  </w:num>
  <w:num w:numId="8">
    <w:abstractNumId w:val="9"/>
  </w:num>
  <w:num w:numId="9">
    <w:abstractNumId w:val="12"/>
  </w:num>
  <w:num w:numId="10">
    <w:abstractNumId w:val="1"/>
  </w:num>
  <w:num w:numId="11">
    <w:abstractNumId w:val="7"/>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970F2"/>
    <w:rsid w:val="000A0810"/>
    <w:rsid w:val="000A3FDA"/>
    <w:rsid w:val="000B627F"/>
    <w:rsid w:val="000C60A0"/>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D4109"/>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3595A"/>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327A"/>
    <w:rsid w:val="00617390"/>
    <w:rsid w:val="00623420"/>
    <w:rsid w:val="00634768"/>
    <w:rsid w:val="0063596F"/>
    <w:rsid w:val="006709EB"/>
    <w:rsid w:val="006722A3"/>
    <w:rsid w:val="00672824"/>
    <w:rsid w:val="00676BD4"/>
    <w:rsid w:val="0068184A"/>
    <w:rsid w:val="006A0249"/>
    <w:rsid w:val="006B02D8"/>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011D"/>
    <w:rsid w:val="00A91A47"/>
    <w:rsid w:val="00A95D2B"/>
    <w:rsid w:val="00AA5587"/>
    <w:rsid w:val="00AB4ECE"/>
    <w:rsid w:val="00AC1E53"/>
    <w:rsid w:val="00AD79C8"/>
    <w:rsid w:val="00AE2135"/>
    <w:rsid w:val="00AE6CE0"/>
    <w:rsid w:val="00B058A6"/>
    <w:rsid w:val="00B117D0"/>
    <w:rsid w:val="00B13998"/>
    <w:rsid w:val="00B35C5F"/>
    <w:rsid w:val="00B439DD"/>
    <w:rsid w:val="00B52E0F"/>
    <w:rsid w:val="00B74629"/>
    <w:rsid w:val="00B804DE"/>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4B55"/>
    <w:rsid w:val="00DA7FA2"/>
    <w:rsid w:val="00DB0068"/>
    <w:rsid w:val="00DC2D8D"/>
    <w:rsid w:val="00DC7F67"/>
    <w:rsid w:val="00DD5ED4"/>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DE0"/>
    <w:rsid w:val="00F81FE3"/>
    <w:rsid w:val="00F90F82"/>
    <w:rsid w:val="00F92D75"/>
    <w:rsid w:val="00F97327"/>
    <w:rsid w:val="00FA18A1"/>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NormalWeb">
    <w:name w:val="Normal (Web)"/>
    <w:basedOn w:val="Normal"/>
    <w:uiPriority w:val="99"/>
    <w:unhideWhenUsed/>
    <w:rsid w:val="0043595A"/>
    <w:pPr>
      <w:spacing w:before="100" w:beforeAutospacing="1" w:after="100" w:afterAutospacing="1"/>
      <w:ind w:left="0" w:firstLine="0"/>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78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ncbi.nlm.nih.gov/pubmed/22733210" TargetMode="External"/><Relationship Id="rId2" Type="http://schemas.openxmlformats.org/officeDocument/2006/relationships/customXml" Target="../customXml/item2.xml"/><Relationship Id="rId16" Type="http://schemas.openxmlformats.org/officeDocument/2006/relationships/hyperlink" Target="https://www.jointcommission.org/assets/1/6/NPSG_Chapter_HAP_Jan2019.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Arial"/>
    <w:panose1 w:val="020B0604020202020204"/>
    <w:charset w:val="80"/>
    <w:family w:val="swiss"/>
    <w:pitch w:val="variable"/>
    <w:sig w:usb0="00000000"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Berkeley-Medium">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D64DC"/>
    <w:rsid w:val="001F47A0"/>
    <w:rsid w:val="002618C8"/>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5B8523E3-41A6-41C0-A4C3-89B8287BF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2429</Words>
  <Characters>13851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Jenna Goldstein</cp:lastModifiedBy>
  <cp:revision>2</cp:revision>
  <dcterms:created xsi:type="dcterms:W3CDTF">2019-11-19T15:37:00Z</dcterms:created>
  <dcterms:modified xsi:type="dcterms:W3CDTF">2019-11-19T15:37:00Z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y fmtid="{D5CDD505-2E9C-101B-9397-08002B2CF9AE}" pid="3" name="_AdHocReviewCycleID">
    <vt:i4>-2101762561</vt:i4>
  </property>
  <property fmtid="{D5CDD505-2E9C-101B-9397-08002B2CF9AE}" pid="4" name="_NewReviewCycle">
    <vt:lpwstr/>
  </property>
  <property fmtid="{D5CDD505-2E9C-101B-9397-08002B2CF9AE}" pid="5" name="_EmailSubject">
    <vt:lpwstr>[NQF] Patient Safety -Measure Submission-Fall 2019 Cycle- #2456</vt:lpwstr>
  </property>
  <property fmtid="{D5CDD505-2E9C-101B-9397-08002B2CF9AE}" pid="6" name="_AuthorEmail">
    <vt:lpwstr>jschnipper@bwh.harvard.edu</vt:lpwstr>
  </property>
  <property fmtid="{D5CDD505-2E9C-101B-9397-08002B2CF9AE}" pid="7" name="_AuthorEmailDisplayName">
    <vt:lpwstr>Schnipper, Jeffrey Lawrence,M.D.,M.P.H.</vt:lpwstr>
  </property>
  <property fmtid="{D5CDD505-2E9C-101B-9397-08002B2CF9AE}" pid="8" name="_ReviewingToolsShownOnce">
    <vt:lpwstr/>
  </property>
</Properties>
</file>