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56A129F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9D0E99">
            <w:rPr>
              <w:rStyle w:val="Style1"/>
            </w:rPr>
            <w:t>0022</w:t>
          </w:r>
        </w:sdtContent>
      </w:sdt>
    </w:p>
    <w:p w14:paraId="0CABCF56" w14:textId="5FF40D44"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A2FF5" w:rsidRPr="000A2FF5">
            <w:rPr>
              <w:rStyle w:val="Style1"/>
              <w:rFonts w:cstheme="minorHAnsi"/>
            </w:rPr>
            <w:t xml:space="preserve">Use of High-Risk Medications in </w:t>
          </w:r>
          <w:r w:rsidR="000A2FF5">
            <w:rPr>
              <w:rStyle w:val="Style1"/>
              <w:rFonts w:cstheme="minorHAnsi"/>
            </w:rPr>
            <w:t xml:space="preserve">Older Adults </w:t>
          </w:r>
        </w:sdtContent>
      </w:sdt>
    </w:p>
    <w:p w14:paraId="0CABCF57" w14:textId="5C50222A"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20-11-02T00:00:00Z">
            <w:dateFormat w:val="M/d/yyyy"/>
            <w:lid w:val="en-US"/>
            <w:storeMappedDataAs w:val="dateTime"/>
            <w:calendar w:val="gregorian"/>
          </w:date>
        </w:sdtPr>
        <w:sdtEndPr>
          <w:rPr>
            <w:rStyle w:val="DefaultParagraphFont"/>
            <w:noProof/>
            <w:color w:val="auto"/>
            <w:u w:val="none"/>
          </w:rPr>
        </w:sdtEndPr>
        <w:sdtContent>
          <w:r w:rsidR="00EA570C">
            <w:rPr>
              <w:rStyle w:val="Style2"/>
              <w:rFonts w:cstheme="minorHAnsi"/>
            </w:rPr>
            <w:t>11/2/2020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EA570C"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A570C"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A570C"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A570C"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0F1D8FA1" w:rsidR="000B7D57" w:rsidRPr="00C775CE" w:rsidRDefault="00EA570C"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C2307E">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EA570C"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A570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EA570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EA570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3839425C" w:rsidR="00A01494" w:rsidRPr="000F1B7A" w:rsidRDefault="00EA570C"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292D7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1BBB878" w:rsidR="00A01494" w:rsidRPr="000F1B7A" w:rsidRDefault="00EA570C"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292D7E">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EA570C"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EA570C"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EA570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EA570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EA570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EA570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EA570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EA570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CBE7C74" w14:textId="77777777" w:rsidR="005D2911" w:rsidRDefault="005D2911" w:rsidP="005D291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FF0000"/>
          <w:sz w:val="22"/>
          <w:szCs w:val="22"/>
          <w:u w:val="single"/>
        </w:rPr>
        <w:t>2020 Submission</w:t>
      </w:r>
      <w:r>
        <w:rPr>
          <w:rStyle w:val="eop"/>
          <w:rFonts w:ascii="Calibri" w:hAnsi="Calibri" w:cs="Calibri"/>
          <w:sz w:val="22"/>
          <w:szCs w:val="22"/>
        </w:rPr>
        <w:t> </w:t>
      </w:r>
    </w:p>
    <w:p w14:paraId="62B9656D" w14:textId="77777777" w:rsidR="005D2911" w:rsidRDefault="005D2911" w:rsidP="005D291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FF0000"/>
          <w:sz w:val="22"/>
          <w:szCs w:val="22"/>
        </w:rPr>
        <w:t>N/A</w:t>
      </w:r>
      <w:r>
        <w:rPr>
          <w:rStyle w:val="eop"/>
          <w:rFonts w:ascii="Calibri" w:hAnsi="Calibri" w:cs="Calibri"/>
          <w:sz w:val="22"/>
          <w:szCs w:val="22"/>
        </w:rPr>
        <w:t> </w:t>
      </w:r>
    </w:p>
    <w:p w14:paraId="7D74E707" w14:textId="77777777" w:rsidR="005D2911" w:rsidRDefault="005D2911" w:rsidP="005D291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71A1315" w14:textId="77777777" w:rsidR="00B51CCD" w:rsidRDefault="005D2911" w:rsidP="005D2911">
      <w:pPr>
        <w:pStyle w:val="paragraph"/>
        <w:spacing w:before="0" w:beforeAutospacing="0" w:after="0" w:afterAutospacing="0"/>
        <w:textAlignment w:val="baseline"/>
        <w:rPr>
          <w:rStyle w:val="normaltextrun"/>
          <w:rFonts w:ascii="Calibri" w:hAnsi="Calibri" w:cs="Calibri"/>
          <w:b/>
          <w:bCs/>
          <w:color w:val="4F81BD"/>
          <w:sz w:val="22"/>
          <w:szCs w:val="22"/>
          <w:u w:val="single"/>
        </w:rPr>
      </w:pPr>
      <w:r>
        <w:rPr>
          <w:rStyle w:val="normaltextrun"/>
          <w:rFonts w:ascii="Calibri" w:hAnsi="Calibri" w:cs="Calibri"/>
          <w:b/>
          <w:bCs/>
          <w:color w:val="4F81BD"/>
          <w:sz w:val="22"/>
          <w:szCs w:val="22"/>
          <w:u w:val="single"/>
        </w:rPr>
        <w:t>2016 Submission</w:t>
      </w:r>
    </w:p>
    <w:p w14:paraId="08CFEEFB" w14:textId="04359DDC" w:rsidR="005D2911" w:rsidRPr="00B51CCD" w:rsidRDefault="00B51CCD" w:rsidP="005D2911">
      <w:pPr>
        <w:pStyle w:val="paragraph"/>
        <w:spacing w:before="0" w:beforeAutospacing="0" w:after="0" w:afterAutospacing="0"/>
        <w:textAlignment w:val="baseline"/>
        <w:rPr>
          <w:rFonts w:ascii="Segoe UI" w:hAnsi="Segoe UI" w:cs="Segoe UI"/>
          <w:sz w:val="18"/>
          <w:szCs w:val="18"/>
        </w:rPr>
      </w:pPr>
      <w:r w:rsidRPr="00B51CCD">
        <w:rPr>
          <w:rStyle w:val="normaltextrun"/>
          <w:rFonts w:ascii="Calibri" w:hAnsi="Calibri" w:cs="Calibri"/>
          <w:color w:val="4F81BD"/>
          <w:sz w:val="22"/>
          <w:szCs w:val="22"/>
        </w:rPr>
        <w:t>N/A</w:t>
      </w:r>
      <w:r w:rsidR="005D2911" w:rsidRPr="00B51CCD">
        <w:rPr>
          <w:rStyle w:val="eop"/>
          <w:rFonts w:ascii="Calibri" w:hAnsi="Calibri" w:cs="Calibri"/>
          <w:sz w:val="22"/>
          <w:szCs w:val="22"/>
        </w:rPr>
        <w:t> </w:t>
      </w:r>
    </w:p>
    <w:p w14:paraId="5EB56EF3" w14:textId="77777777" w:rsidR="005E79A1" w:rsidRDefault="005E79A1" w:rsidP="00DB3627">
      <w:pPr>
        <w:autoSpaceDE w:val="0"/>
        <w:autoSpaceDN w:val="0"/>
        <w:adjustRightInd w:val="0"/>
        <w:spacing w:after="0" w:line="240" w:lineRule="auto"/>
        <w:rPr>
          <w:rFonts w:cstheme="minorHAnsi"/>
          <w:b/>
        </w:rPr>
      </w:pPr>
    </w:p>
    <w:p w14:paraId="0CABCFB0" w14:textId="0057977F"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5D2911">
            <w:rPr>
              <w:rStyle w:val="Style1"/>
            </w:rPr>
            <w:t xml:space="preserve">     </w:t>
          </w:r>
        </w:sdtContent>
      </w:sdt>
    </w:p>
    <w:p w14:paraId="6D6C5C89" w14:textId="77777777" w:rsidR="005D2911" w:rsidRDefault="005D2911" w:rsidP="005D291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FF0000"/>
          <w:sz w:val="22"/>
          <w:szCs w:val="22"/>
          <w:u w:val="single"/>
        </w:rPr>
        <w:t>2020 Submission</w:t>
      </w:r>
      <w:r>
        <w:rPr>
          <w:rStyle w:val="eop"/>
          <w:rFonts w:ascii="Calibri" w:hAnsi="Calibri" w:cs="Calibri"/>
          <w:sz w:val="22"/>
          <w:szCs w:val="22"/>
        </w:rPr>
        <w:t> </w:t>
      </w:r>
    </w:p>
    <w:p w14:paraId="7126D4E0" w14:textId="06AD7FAA" w:rsidR="005D2911" w:rsidRDefault="00EF0FBD" w:rsidP="005D2911">
      <w:pPr>
        <w:pStyle w:val="paragraph"/>
        <w:spacing w:before="0" w:beforeAutospacing="0" w:after="0" w:afterAutospacing="0"/>
        <w:textAlignment w:val="baseline"/>
        <w:rPr>
          <w:rFonts w:ascii="Segoe UI" w:hAnsi="Segoe UI" w:cs="Segoe UI"/>
          <w:sz w:val="18"/>
          <w:szCs w:val="18"/>
        </w:rPr>
      </w:pPr>
      <w:r w:rsidRPr="00EF0FBD">
        <w:rPr>
          <w:rStyle w:val="normaltextrun"/>
          <w:rFonts w:ascii="Calibri" w:hAnsi="Calibri" w:cs="Calibri"/>
          <w:color w:val="FF0000"/>
          <w:sz w:val="22"/>
          <w:szCs w:val="22"/>
        </w:rPr>
        <w:t xml:space="preserve">HEDIS Health Plan performance data from </w:t>
      </w:r>
      <w:r w:rsidR="00D12F08">
        <w:rPr>
          <w:rStyle w:val="normaltextrun"/>
          <w:rFonts w:ascii="Calibri" w:hAnsi="Calibri" w:cs="Calibri"/>
          <w:color w:val="FF0000"/>
          <w:sz w:val="22"/>
          <w:szCs w:val="22"/>
        </w:rPr>
        <w:t>2018</w:t>
      </w:r>
      <w:r w:rsidR="005D2911">
        <w:rPr>
          <w:rStyle w:val="normaltextrun"/>
          <w:rFonts w:ascii="Calibri" w:hAnsi="Calibri" w:cs="Calibri"/>
          <w:color w:val="FF0000"/>
          <w:sz w:val="22"/>
          <w:szCs w:val="22"/>
        </w:rPr>
        <w:t> </w:t>
      </w:r>
      <w:r w:rsidR="005D2911">
        <w:rPr>
          <w:rStyle w:val="eop"/>
          <w:rFonts w:ascii="Calibri" w:hAnsi="Calibri" w:cs="Calibri"/>
          <w:sz w:val="22"/>
          <w:szCs w:val="22"/>
        </w:rPr>
        <w:t> </w:t>
      </w:r>
    </w:p>
    <w:p w14:paraId="79C17ECC" w14:textId="77777777" w:rsidR="005D2911" w:rsidRDefault="005D2911" w:rsidP="005D291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F2A47D5" w14:textId="77777777" w:rsidR="005D2911" w:rsidRDefault="005D2911" w:rsidP="005D291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0CABCFB1" w14:textId="4F0A8F08" w:rsidR="000574AB" w:rsidRDefault="00500178" w:rsidP="00DB3627">
      <w:pPr>
        <w:autoSpaceDE w:val="0"/>
        <w:autoSpaceDN w:val="0"/>
        <w:adjustRightInd w:val="0"/>
        <w:spacing w:after="0" w:line="240" w:lineRule="auto"/>
        <w:rPr>
          <w:rStyle w:val="normaltextrun"/>
          <w:rFonts w:ascii="Calibri" w:eastAsia="Times New Roman" w:hAnsi="Calibri" w:cs="Calibri"/>
          <w:color w:val="4F81BD"/>
        </w:rPr>
      </w:pPr>
      <w:r w:rsidRPr="00500178">
        <w:rPr>
          <w:rStyle w:val="normaltextrun"/>
          <w:rFonts w:ascii="Calibri" w:eastAsia="Times New Roman" w:hAnsi="Calibri" w:cs="Calibri"/>
          <w:color w:val="4F81BD"/>
        </w:rPr>
        <w:t>HEDIS Health Plan performance data from 2012-2014</w:t>
      </w:r>
    </w:p>
    <w:p w14:paraId="631E0656" w14:textId="77777777" w:rsidR="00500178" w:rsidRDefault="00500178"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1D0ED486" w:rsidR="000414E8" w:rsidRPr="00A01494" w:rsidRDefault="00EA570C"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3C22F4">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46888187" w:rsidR="000414E8" w:rsidRPr="00A01494" w:rsidRDefault="00EA570C"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3C22F4">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EA570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C677449" w14:textId="77777777" w:rsidR="00142A93" w:rsidRDefault="00142A93" w:rsidP="00142A9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FF0000"/>
          <w:sz w:val="22"/>
          <w:szCs w:val="22"/>
          <w:u w:val="single"/>
        </w:rPr>
        <w:t>2020 Submission</w:t>
      </w:r>
      <w:r>
        <w:rPr>
          <w:rStyle w:val="eop"/>
          <w:rFonts w:ascii="Calibri" w:hAnsi="Calibri" w:cs="Calibri"/>
          <w:sz w:val="22"/>
          <w:szCs w:val="22"/>
        </w:rPr>
        <w:t> </w:t>
      </w:r>
    </w:p>
    <w:p w14:paraId="4F5AF6C8" w14:textId="3B2C4B67" w:rsidR="00D950E3" w:rsidRDefault="00142A93" w:rsidP="00142A93">
      <w:pPr>
        <w:pStyle w:val="paragraph"/>
        <w:spacing w:before="0" w:beforeAutospacing="0" w:after="0" w:afterAutospacing="0"/>
        <w:textAlignment w:val="baseline"/>
        <w:rPr>
          <w:rStyle w:val="normaltextrun"/>
          <w:rFonts w:ascii="Calibri" w:hAnsi="Calibri" w:cs="Calibri"/>
          <w:color w:val="FF0000"/>
          <w:sz w:val="22"/>
          <w:szCs w:val="22"/>
        </w:rPr>
      </w:pPr>
      <w:r>
        <w:rPr>
          <w:rStyle w:val="normaltextrun"/>
          <w:rFonts w:ascii="Calibri" w:hAnsi="Calibri" w:cs="Calibri"/>
          <w:color w:val="FF0000"/>
          <w:sz w:val="22"/>
          <w:szCs w:val="22"/>
        </w:rPr>
        <w:t xml:space="preserve">This measure assesses whether Medicare members </w:t>
      </w:r>
      <w:r w:rsidR="003929E0">
        <w:rPr>
          <w:rStyle w:val="normaltextrun"/>
          <w:rFonts w:ascii="Calibri" w:hAnsi="Calibri" w:cs="Calibri"/>
          <w:color w:val="FF0000"/>
          <w:sz w:val="22"/>
          <w:szCs w:val="22"/>
        </w:rPr>
        <w:t xml:space="preserve">ages 65 years and older </w:t>
      </w:r>
      <w:r w:rsidR="003E551C">
        <w:rPr>
          <w:rStyle w:val="normaltextrun"/>
          <w:rFonts w:ascii="Calibri" w:hAnsi="Calibri" w:cs="Calibri"/>
          <w:color w:val="FF0000"/>
          <w:sz w:val="22"/>
          <w:szCs w:val="22"/>
        </w:rPr>
        <w:t>had at least</w:t>
      </w:r>
      <w:r w:rsidR="003929E0">
        <w:rPr>
          <w:rStyle w:val="normaltextrun"/>
          <w:rFonts w:ascii="Calibri" w:hAnsi="Calibri" w:cs="Calibri"/>
          <w:color w:val="FF0000"/>
          <w:sz w:val="22"/>
          <w:szCs w:val="22"/>
        </w:rPr>
        <w:t xml:space="preserve"> 2 dispensing events </w:t>
      </w:r>
      <w:r w:rsidR="003424A7">
        <w:rPr>
          <w:rStyle w:val="normaltextrun"/>
          <w:rFonts w:ascii="Calibri" w:hAnsi="Calibri" w:cs="Calibri"/>
          <w:color w:val="FF0000"/>
          <w:sz w:val="22"/>
          <w:szCs w:val="22"/>
        </w:rPr>
        <w:t>for</w:t>
      </w:r>
      <w:r w:rsidR="003929E0">
        <w:rPr>
          <w:rStyle w:val="normaltextrun"/>
          <w:rFonts w:ascii="Calibri" w:hAnsi="Calibri" w:cs="Calibri"/>
          <w:color w:val="FF0000"/>
          <w:sz w:val="22"/>
          <w:szCs w:val="22"/>
        </w:rPr>
        <w:t xml:space="preserve"> </w:t>
      </w:r>
      <w:r w:rsidR="00B509AB">
        <w:rPr>
          <w:rStyle w:val="normaltextrun"/>
          <w:rFonts w:ascii="Calibri" w:hAnsi="Calibri" w:cs="Calibri"/>
          <w:color w:val="FF0000"/>
          <w:sz w:val="22"/>
          <w:szCs w:val="22"/>
        </w:rPr>
        <w:t xml:space="preserve">the same </w:t>
      </w:r>
      <w:r w:rsidR="003929E0">
        <w:rPr>
          <w:rStyle w:val="normaltextrun"/>
          <w:rFonts w:ascii="Calibri" w:hAnsi="Calibri" w:cs="Calibri"/>
          <w:color w:val="FF0000"/>
          <w:sz w:val="22"/>
          <w:szCs w:val="22"/>
        </w:rPr>
        <w:t xml:space="preserve">high-risk medication. </w:t>
      </w:r>
      <w:r w:rsidR="00D950E3">
        <w:rPr>
          <w:rStyle w:val="normaltextrun"/>
          <w:rFonts w:ascii="Calibri" w:hAnsi="Calibri" w:cs="Calibri"/>
          <w:color w:val="FF0000"/>
          <w:sz w:val="22"/>
          <w:szCs w:val="22"/>
        </w:rPr>
        <w:t xml:space="preserve">Testing was completed at the health plan level which is appropriate for the level of reporting for this measure. </w:t>
      </w:r>
    </w:p>
    <w:p w14:paraId="18DD6007" w14:textId="77777777" w:rsidR="00142A93" w:rsidRDefault="00142A93" w:rsidP="00142A9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4634257" w14:textId="21DB4801" w:rsidR="00DD1BD1" w:rsidRDefault="002D7651" w:rsidP="00142A93">
      <w:pPr>
        <w:pStyle w:val="paragraph"/>
        <w:spacing w:before="0" w:beforeAutospacing="0" w:after="0" w:afterAutospacing="0"/>
        <w:textAlignment w:val="baseline"/>
        <w:rPr>
          <w:rStyle w:val="normaltextrun"/>
          <w:rFonts w:ascii="Calibri" w:hAnsi="Calibri" w:cs="Calibri"/>
          <w:color w:val="FF0000"/>
          <w:sz w:val="22"/>
          <w:szCs w:val="22"/>
        </w:rPr>
      </w:pPr>
      <w:r>
        <w:rPr>
          <w:rStyle w:val="normaltextrun"/>
          <w:rFonts w:ascii="Calibri" w:hAnsi="Calibri" w:cs="Calibri"/>
          <w:color w:val="FF0000"/>
          <w:sz w:val="22"/>
          <w:szCs w:val="22"/>
          <w:u w:val="single"/>
        </w:rPr>
        <w:t>M</w:t>
      </w:r>
      <w:r w:rsidR="00142A93">
        <w:rPr>
          <w:rStyle w:val="normaltextrun"/>
          <w:rFonts w:ascii="Calibri" w:hAnsi="Calibri" w:cs="Calibri"/>
          <w:color w:val="FF0000"/>
          <w:sz w:val="22"/>
          <w:szCs w:val="22"/>
          <w:u w:val="single"/>
        </w:rPr>
        <w:t>easure score reliability testing and construct validity testing:</w:t>
      </w:r>
      <w:r w:rsidR="00142A93" w:rsidRPr="00DD1BD1">
        <w:rPr>
          <w:rStyle w:val="normaltextrun"/>
          <w:rFonts w:ascii="Calibri" w:hAnsi="Calibri" w:cs="Calibri"/>
          <w:color w:val="FF0000"/>
          <w:sz w:val="22"/>
          <w:szCs w:val="22"/>
        </w:rPr>
        <w:t> </w:t>
      </w:r>
      <w:r w:rsidR="00DD1BD1" w:rsidRPr="00DD1BD1">
        <w:rPr>
          <w:rStyle w:val="normaltextrun"/>
          <w:rFonts w:ascii="Calibri" w:hAnsi="Calibri" w:cs="Calibri"/>
          <w:color w:val="FF0000"/>
          <w:sz w:val="22"/>
          <w:szCs w:val="22"/>
        </w:rPr>
        <w:t>Dat</w:t>
      </w:r>
      <w:r w:rsidR="00DD1BD1">
        <w:rPr>
          <w:rStyle w:val="normaltextrun"/>
          <w:rFonts w:ascii="Calibri" w:hAnsi="Calibri" w:cs="Calibri"/>
          <w:color w:val="FF0000"/>
          <w:sz w:val="22"/>
          <w:szCs w:val="22"/>
        </w:rPr>
        <w:t xml:space="preserve">a used to assess reliability and validity were calculated from </w:t>
      </w:r>
      <w:r w:rsidR="007900E9">
        <w:rPr>
          <w:rStyle w:val="normaltextrun"/>
          <w:rFonts w:ascii="Calibri" w:hAnsi="Calibri" w:cs="Calibri"/>
          <w:color w:val="FF0000"/>
          <w:sz w:val="22"/>
          <w:szCs w:val="22"/>
        </w:rPr>
        <w:t xml:space="preserve">all </w:t>
      </w:r>
      <w:r w:rsidR="002325A2">
        <w:rPr>
          <w:rStyle w:val="normaltextrun"/>
          <w:rFonts w:ascii="Calibri" w:hAnsi="Calibri" w:cs="Calibri"/>
          <w:color w:val="FF0000"/>
          <w:sz w:val="22"/>
          <w:szCs w:val="22"/>
        </w:rPr>
        <w:t>Medicare plans submitting data to NCQA</w:t>
      </w:r>
      <w:r w:rsidR="002334B9">
        <w:rPr>
          <w:rStyle w:val="normaltextrun"/>
          <w:rFonts w:ascii="Calibri" w:hAnsi="Calibri" w:cs="Calibri"/>
          <w:color w:val="FF0000"/>
          <w:sz w:val="22"/>
          <w:szCs w:val="22"/>
        </w:rPr>
        <w:t xml:space="preserve"> in 2018</w:t>
      </w:r>
      <w:r w:rsidR="002325A2">
        <w:rPr>
          <w:rStyle w:val="normaltextrun"/>
          <w:rFonts w:ascii="Calibri" w:hAnsi="Calibri" w:cs="Calibri"/>
          <w:color w:val="FF0000"/>
          <w:sz w:val="22"/>
          <w:szCs w:val="22"/>
        </w:rPr>
        <w:t xml:space="preserve"> for this HEDIS measure. This data c</w:t>
      </w:r>
      <w:r w:rsidR="00372D96">
        <w:rPr>
          <w:rStyle w:val="normaltextrun"/>
          <w:rFonts w:ascii="Calibri" w:hAnsi="Calibri" w:cs="Calibri"/>
          <w:color w:val="FF0000"/>
          <w:sz w:val="22"/>
          <w:szCs w:val="22"/>
        </w:rPr>
        <w:t>a</w:t>
      </w:r>
      <w:r w:rsidR="002325A2">
        <w:rPr>
          <w:rStyle w:val="normaltextrun"/>
          <w:rFonts w:ascii="Calibri" w:hAnsi="Calibri" w:cs="Calibri"/>
          <w:color w:val="FF0000"/>
          <w:sz w:val="22"/>
          <w:szCs w:val="22"/>
        </w:rPr>
        <w:t xml:space="preserve">me from </w:t>
      </w:r>
      <w:r w:rsidR="00CD6F6D">
        <w:rPr>
          <w:rStyle w:val="normaltextrun"/>
          <w:rFonts w:ascii="Calibri" w:hAnsi="Calibri" w:cs="Calibri"/>
          <w:color w:val="FF0000"/>
          <w:sz w:val="22"/>
          <w:szCs w:val="22"/>
        </w:rPr>
        <w:t>502</w:t>
      </w:r>
      <w:r w:rsidR="002325A2">
        <w:rPr>
          <w:rStyle w:val="normaltextrun"/>
          <w:rFonts w:ascii="Calibri" w:hAnsi="Calibri" w:cs="Calibri"/>
          <w:color w:val="FF0000"/>
          <w:sz w:val="22"/>
          <w:szCs w:val="22"/>
        </w:rPr>
        <w:t xml:space="preserve"> Medicare </w:t>
      </w:r>
      <w:r w:rsidR="007900E9">
        <w:rPr>
          <w:rStyle w:val="normaltextrun"/>
          <w:rFonts w:ascii="Calibri" w:hAnsi="Calibri" w:cs="Calibri"/>
          <w:color w:val="FF0000"/>
          <w:sz w:val="22"/>
          <w:szCs w:val="22"/>
        </w:rPr>
        <w:t xml:space="preserve">plans in total that were geographically </w:t>
      </w:r>
      <w:r w:rsidR="00574C93">
        <w:rPr>
          <w:rStyle w:val="normaltextrun"/>
          <w:rFonts w:ascii="Calibri" w:hAnsi="Calibri" w:cs="Calibri"/>
          <w:color w:val="FF0000"/>
          <w:sz w:val="22"/>
          <w:szCs w:val="22"/>
        </w:rPr>
        <w:t xml:space="preserve">diverse and varied in size. </w:t>
      </w:r>
      <w:r w:rsidR="007900E9">
        <w:rPr>
          <w:rStyle w:val="normaltextrun"/>
          <w:rFonts w:ascii="Calibri" w:hAnsi="Calibri" w:cs="Calibri"/>
          <w:color w:val="FF0000"/>
          <w:sz w:val="22"/>
          <w:szCs w:val="22"/>
        </w:rPr>
        <w:t xml:space="preserve"> </w:t>
      </w:r>
    </w:p>
    <w:p w14:paraId="0D696F56" w14:textId="77777777" w:rsidR="008A765D" w:rsidRDefault="008A765D" w:rsidP="00142A93">
      <w:pPr>
        <w:pStyle w:val="paragraph"/>
        <w:spacing w:before="0" w:beforeAutospacing="0" w:after="0" w:afterAutospacing="0"/>
        <w:textAlignment w:val="baseline"/>
        <w:rPr>
          <w:rStyle w:val="normaltextrun"/>
          <w:rFonts w:ascii="Calibri" w:hAnsi="Calibri" w:cs="Calibri"/>
          <w:color w:val="FF0000"/>
          <w:sz w:val="22"/>
          <w:szCs w:val="22"/>
        </w:rPr>
      </w:pPr>
    </w:p>
    <w:p w14:paraId="4C28BDA3" w14:textId="4BB1FE93" w:rsidR="008A765D" w:rsidRPr="00F1712A" w:rsidRDefault="008A765D" w:rsidP="008A765D">
      <w:pPr>
        <w:pStyle w:val="paragraph"/>
        <w:spacing w:before="0" w:beforeAutospacing="0" w:after="0" w:afterAutospacing="0"/>
        <w:textAlignment w:val="baseline"/>
        <w:rPr>
          <w:color w:val="FF0000"/>
          <w:sz w:val="22"/>
          <w:szCs w:val="22"/>
        </w:rPr>
      </w:pPr>
      <w:r w:rsidRPr="00F1712A">
        <w:rPr>
          <w:rStyle w:val="normaltextrun"/>
          <w:rFonts w:ascii="Calibri" w:hAnsi="Calibri" w:cs="Calibri"/>
          <w:color w:val="FF0000"/>
          <w:sz w:val="22"/>
          <w:szCs w:val="22"/>
          <w:u w:val="single"/>
          <w:lang w:val="en"/>
        </w:rPr>
        <w:t>Systematic evaluation of face validity</w:t>
      </w:r>
      <w:r w:rsidR="006F3CB6" w:rsidRPr="00F1712A">
        <w:rPr>
          <w:rStyle w:val="normaltextrun"/>
          <w:rFonts w:ascii="Calibri" w:hAnsi="Calibri" w:cs="Calibri"/>
          <w:color w:val="FF0000"/>
          <w:sz w:val="22"/>
          <w:szCs w:val="22"/>
          <w:u w:val="single"/>
          <w:lang w:val="en"/>
        </w:rPr>
        <w:t>:</w:t>
      </w:r>
      <w:r w:rsidRPr="00F1712A">
        <w:rPr>
          <w:rStyle w:val="normaltextrun"/>
          <w:color w:val="FF0000"/>
          <w:sz w:val="22"/>
          <w:szCs w:val="22"/>
          <w:lang w:val="en"/>
        </w:rPr>
        <w:t> </w:t>
      </w:r>
      <w:r w:rsidRPr="00F1712A">
        <w:rPr>
          <w:rStyle w:val="eop"/>
          <w:color w:val="FF0000"/>
          <w:sz w:val="22"/>
          <w:szCs w:val="22"/>
        </w:rPr>
        <w:t> </w:t>
      </w:r>
    </w:p>
    <w:p w14:paraId="51FFED48" w14:textId="77777777" w:rsidR="008A765D" w:rsidRPr="00F1712A" w:rsidRDefault="008A765D" w:rsidP="008A765D">
      <w:pPr>
        <w:pStyle w:val="paragraph"/>
        <w:spacing w:before="0" w:beforeAutospacing="0" w:after="0" w:afterAutospacing="0"/>
        <w:textAlignment w:val="baseline"/>
        <w:rPr>
          <w:color w:val="FF0000"/>
          <w:sz w:val="22"/>
          <w:szCs w:val="22"/>
        </w:rPr>
      </w:pPr>
      <w:r w:rsidRPr="00F1712A">
        <w:rPr>
          <w:rStyle w:val="normaltextrun"/>
          <w:rFonts w:ascii="Calibri" w:hAnsi="Calibri" w:cs="Calibri"/>
          <w:color w:val="FF0000"/>
          <w:sz w:val="22"/>
          <w:szCs w:val="22"/>
          <w:lang w:val="en"/>
        </w:rPr>
        <w:t>The measure was</w:t>
      </w:r>
      <w:r w:rsidRPr="00F1712A">
        <w:rPr>
          <w:rStyle w:val="normaltextrun"/>
          <w:color w:val="FF0000"/>
          <w:sz w:val="22"/>
          <w:szCs w:val="22"/>
          <w:lang w:val="en"/>
        </w:rPr>
        <w:t> </w:t>
      </w:r>
      <w:r w:rsidRPr="00F1712A">
        <w:rPr>
          <w:rStyle w:val="normaltextrun"/>
          <w:rFonts w:ascii="Calibri" w:hAnsi="Calibri" w:cs="Calibri"/>
          <w:color w:val="FF0000"/>
          <w:sz w:val="22"/>
          <w:szCs w:val="22"/>
          <w:lang w:val="en"/>
        </w:rPr>
        <w:t>assessed</w:t>
      </w:r>
      <w:r w:rsidRPr="00F1712A">
        <w:rPr>
          <w:rStyle w:val="normaltextrun"/>
          <w:color w:val="FF0000"/>
          <w:sz w:val="22"/>
          <w:szCs w:val="22"/>
          <w:lang w:val="en"/>
        </w:rPr>
        <w:t> </w:t>
      </w:r>
      <w:r w:rsidRPr="00F1712A">
        <w:rPr>
          <w:rStyle w:val="normaltextrun"/>
          <w:rFonts w:ascii="Calibri" w:hAnsi="Calibri" w:cs="Calibri"/>
          <w:color w:val="FF0000"/>
          <w:sz w:val="22"/>
          <w:szCs w:val="22"/>
          <w:lang w:val="en"/>
        </w:rPr>
        <w:t>for face validity with three independent panels of experts</w:t>
      </w:r>
      <w:r w:rsidRPr="00F1712A">
        <w:rPr>
          <w:rStyle w:val="normaltextrun"/>
          <w:color w:val="FF0000"/>
          <w:sz w:val="22"/>
          <w:szCs w:val="22"/>
          <w:lang w:val="en"/>
        </w:rPr>
        <w:t>.</w:t>
      </w:r>
      <w:r w:rsidRPr="00F1712A">
        <w:rPr>
          <w:rStyle w:val="eop"/>
          <w:color w:val="FF0000"/>
          <w:sz w:val="22"/>
          <w:szCs w:val="22"/>
        </w:rPr>
        <w:t> </w:t>
      </w:r>
    </w:p>
    <w:p w14:paraId="275D1C27" w14:textId="664DBF28" w:rsidR="001700B0" w:rsidRPr="00F1712A" w:rsidRDefault="008A765D" w:rsidP="001700B0">
      <w:pPr>
        <w:pStyle w:val="paragraph"/>
        <w:numPr>
          <w:ilvl w:val="0"/>
          <w:numId w:val="38"/>
        </w:numPr>
        <w:spacing w:before="0" w:beforeAutospacing="0" w:after="0" w:afterAutospacing="0"/>
        <w:textAlignment w:val="baseline"/>
        <w:rPr>
          <w:color w:val="FF0000"/>
          <w:sz w:val="22"/>
          <w:szCs w:val="22"/>
        </w:rPr>
      </w:pPr>
      <w:r w:rsidRPr="00F1712A">
        <w:rPr>
          <w:rStyle w:val="normaltextrun"/>
          <w:rFonts w:ascii="Calibri" w:hAnsi="Calibri" w:cs="Calibri"/>
          <w:color w:val="FF0000"/>
          <w:sz w:val="22"/>
          <w:szCs w:val="22"/>
          <w:lang w:val="en"/>
        </w:rPr>
        <w:t>The </w:t>
      </w:r>
      <w:r w:rsidR="001C5004" w:rsidRPr="00F1712A">
        <w:rPr>
          <w:rStyle w:val="normaltextrun"/>
          <w:rFonts w:ascii="Calibri" w:hAnsi="Calibri" w:cs="Calibri"/>
          <w:color w:val="FF0000"/>
          <w:sz w:val="22"/>
          <w:szCs w:val="22"/>
          <w:lang w:val="en"/>
        </w:rPr>
        <w:t>Geriatric</w:t>
      </w:r>
      <w:r w:rsidRPr="00F1712A">
        <w:rPr>
          <w:rStyle w:val="normaltextrun"/>
          <w:rFonts w:ascii="Calibri" w:hAnsi="Calibri" w:cs="Calibri"/>
          <w:color w:val="FF0000"/>
          <w:sz w:val="22"/>
          <w:szCs w:val="22"/>
          <w:lang w:val="en"/>
        </w:rPr>
        <w:t> Measurement Advisory Panel include</w:t>
      </w:r>
      <w:r w:rsidR="008F31F8" w:rsidRPr="00F1712A">
        <w:rPr>
          <w:rStyle w:val="normaltextrun"/>
          <w:rFonts w:ascii="Calibri" w:hAnsi="Calibri" w:cs="Calibri"/>
          <w:color w:val="FF0000"/>
          <w:sz w:val="22"/>
          <w:szCs w:val="22"/>
          <w:lang w:val="en"/>
        </w:rPr>
        <w:t>s</w:t>
      </w:r>
      <w:r w:rsidRPr="00F1712A">
        <w:rPr>
          <w:rStyle w:val="normaltextrun"/>
          <w:rFonts w:ascii="Calibri" w:hAnsi="Calibri" w:cs="Calibri"/>
          <w:color w:val="FF0000"/>
          <w:sz w:val="22"/>
          <w:szCs w:val="22"/>
          <w:lang w:val="en"/>
        </w:rPr>
        <w:t> </w:t>
      </w:r>
      <w:r w:rsidR="00F060F5" w:rsidRPr="00F1712A">
        <w:rPr>
          <w:rStyle w:val="normaltextrun"/>
          <w:rFonts w:ascii="Calibri" w:hAnsi="Calibri" w:cs="Calibri"/>
          <w:color w:val="FF0000"/>
          <w:sz w:val="22"/>
          <w:szCs w:val="22"/>
          <w:lang w:val="en"/>
        </w:rPr>
        <w:t>15</w:t>
      </w:r>
      <w:r w:rsidRPr="00F1712A">
        <w:rPr>
          <w:rStyle w:val="normaltextrun"/>
          <w:rFonts w:ascii="Calibri" w:hAnsi="Calibri" w:cs="Calibri"/>
          <w:color w:val="FF0000"/>
          <w:sz w:val="22"/>
          <w:szCs w:val="22"/>
          <w:lang w:val="en"/>
        </w:rPr>
        <w:t> experts in </w:t>
      </w:r>
      <w:r w:rsidR="00F060F5" w:rsidRPr="00F1712A">
        <w:rPr>
          <w:rStyle w:val="normaltextrun"/>
          <w:rFonts w:ascii="Calibri" w:hAnsi="Calibri" w:cs="Calibri"/>
          <w:color w:val="FF0000"/>
          <w:sz w:val="22"/>
          <w:szCs w:val="22"/>
          <w:lang w:val="en"/>
        </w:rPr>
        <w:t>geriatric</w:t>
      </w:r>
      <w:r w:rsidRPr="00F1712A">
        <w:rPr>
          <w:rStyle w:val="normaltextrun"/>
          <w:rFonts w:ascii="Calibri" w:hAnsi="Calibri" w:cs="Calibri"/>
          <w:color w:val="FF0000"/>
          <w:sz w:val="22"/>
          <w:szCs w:val="22"/>
          <w:lang w:val="en"/>
        </w:rPr>
        <w:t> health, including representation by consumers, health plans, health care providers, and policy makers. </w:t>
      </w:r>
      <w:r w:rsidRPr="00F1712A">
        <w:rPr>
          <w:rStyle w:val="eop"/>
          <w:rFonts w:ascii="Calibri" w:hAnsi="Calibri" w:cs="Calibri"/>
          <w:color w:val="FF0000"/>
          <w:sz w:val="22"/>
          <w:szCs w:val="22"/>
        </w:rPr>
        <w:t> </w:t>
      </w:r>
    </w:p>
    <w:p w14:paraId="21FFFD87" w14:textId="77777777" w:rsidR="001700B0" w:rsidRPr="00F1712A" w:rsidRDefault="008A765D" w:rsidP="001700B0">
      <w:pPr>
        <w:pStyle w:val="paragraph"/>
        <w:numPr>
          <w:ilvl w:val="0"/>
          <w:numId w:val="38"/>
        </w:numPr>
        <w:spacing w:before="0" w:beforeAutospacing="0" w:after="0" w:afterAutospacing="0"/>
        <w:textAlignment w:val="baseline"/>
        <w:rPr>
          <w:color w:val="FF0000"/>
          <w:sz w:val="22"/>
          <w:szCs w:val="22"/>
        </w:rPr>
      </w:pPr>
      <w:r w:rsidRPr="00F1712A">
        <w:rPr>
          <w:rStyle w:val="normaltextrun"/>
          <w:rFonts w:ascii="Calibri" w:hAnsi="Calibri" w:cs="Calibri"/>
          <w:color w:val="FF0000"/>
          <w:sz w:val="22"/>
          <w:szCs w:val="22"/>
          <w:lang w:val="en"/>
        </w:rPr>
        <w:t>The Technical Measurement Advisory Panel includes 12 members, including representation by health plan methodologists, clinicians, HEDIS auditors and state/federal users of measures.  </w:t>
      </w:r>
      <w:r w:rsidRPr="00F1712A">
        <w:rPr>
          <w:rStyle w:val="eop"/>
          <w:rFonts w:ascii="Calibri" w:hAnsi="Calibri" w:cs="Calibri"/>
          <w:color w:val="FF0000"/>
          <w:sz w:val="22"/>
          <w:szCs w:val="22"/>
        </w:rPr>
        <w:t> </w:t>
      </w:r>
    </w:p>
    <w:p w14:paraId="6D3A445E" w14:textId="610F4612" w:rsidR="008A765D" w:rsidRPr="00F1712A" w:rsidRDefault="008A765D" w:rsidP="008F31F8">
      <w:pPr>
        <w:pStyle w:val="paragraph"/>
        <w:numPr>
          <w:ilvl w:val="0"/>
          <w:numId w:val="38"/>
        </w:numPr>
        <w:spacing w:before="0" w:beforeAutospacing="0" w:after="0" w:afterAutospacing="0"/>
        <w:textAlignment w:val="baseline"/>
        <w:rPr>
          <w:color w:val="FF0000"/>
          <w:sz w:val="22"/>
          <w:szCs w:val="22"/>
        </w:rPr>
      </w:pPr>
      <w:r w:rsidRPr="00F1712A">
        <w:rPr>
          <w:rStyle w:val="normaltextrun"/>
          <w:rFonts w:ascii="Calibri" w:hAnsi="Calibri" w:cs="Calibri"/>
          <w:color w:val="FF0000"/>
          <w:sz w:val="22"/>
          <w:szCs w:val="22"/>
          <w:lang w:val="en"/>
        </w:rPr>
        <w:t>NCQA’s Committee on Performance Measurement (CPM) oversees measures used in NCQA programs and includes representation by purchasers, consumers, health plans, health care providers, and policy makers. This panel is composed of 17 independent members that reflect the diversity of constituencies that performance measurement serves. The CPM’s recommendations are reviewed and approved by NCQA’s Board of Directors.</w:t>
      </w:r>
      <w:r w:rsidRPr="00F1712A">
        <w:rPr>
          <w:rStyle w:val="eop"/>
          <w:rFonts w:ascii="Calibri" w:hAnsi="Calibri" w:cs="Calibri"/>
          <w:color w:val="FF0000"/>
          <w:sz w:val="22"/>
          <w:szCs w:val="22"/>
        </w:rPr>
        <w:t> </w:t>
      </w:r>
    </w:p>
    <w:p w14:paraId="28695054" w14:textId="77777777" w:rsidR="00DD1BD1" w:rsidRDefault="00DD1BD1" w:rsidP="00142A93">
      <w:pPr>
        <w:pStyle w:val="paragraph"/>
        <w:spacing w:before="0" w:beforeAutospacing="0" w:after="0" w:afterAutospacing="0"/>
        <w:textAlignment w:val="baseline"/>
        <w:rPr>
          <w:rStyle w:val="normaltextrun"/>
          <w:rFonts w:ascii="Calibri" w:hAnsi="Calibri" w:cs="Calibri"/>
          <w:color w:val="FF0000"/>
          <w:sz w:val="22"/>
          <w:szCs w:val="22"/>
          <w:u w:val="single"/>
        </w:rPr>
      </w:pPr>
    </w:p>
    <w:p w14:paraId="4C68CAAE" w14:textId="77777777"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6B345DF5" w14:textId="34677AB0" w:rsidR="003E1AED" w:rsidRPr="00EB2AF1" w:rsidRDefault="00EB2AF1" w:rsidP="003E1AED">
      <w:pPr>
        <w:autoSpaceDE w:val="0"/>
        <w:autoSpaceDN w:val="0"/>
        <w:adjustRightInd w:val="0"/>
        <w:spacing w:after="0" w:line="240" w:lineRule="auto"/>
        <w:rPr>
          <w:rFonts w:cstheme="minorHAnsi"/>
          <w:bCs/>
          <w:color w:val="4F81BD" w:themeColor="accent1"/>
        </w:rPr>
      </w:pPr>
      <w:r w:rsidRPr="00EB2AF1">
        <w:rPr>
          <w:rFonts w:cstheme="minorHAnsi"/>
          <w:bCs/>
          <w:color w:val="4F81BD" w:themeColor="accent1"/>
        </w:rPr>
        <w:t>Validity statistics were calculated from 2014 HEDIS Health Plan performance data that included 488 Medicare health plans. This included all Medicare health plans submitting data to NCQA for HEDIS. The plans were geographically diverse and varied in size. The average (mean) eligible population for this measure across health plans was 22,043.</w:t>
      </w:r>
    </w:p>
    <w:p w14:paraId="32E21C74" w14:textId="77777777" w:rsidR="00142A93" w:rsidRPr="00A25024" w:rsidRDefault="00142A93" w:rsidP="00DB3627">
      <w:pPr>
        <w:autoSpaceDE w:val="0"/>
        <w:autoSpaceDN w:val="0"/>
        <w:adjustRightInd w:val="0"/>
        <w:spacing w:after="0" w:line="240" w:lineRule="auto"/>
        <w:rPr>
          <w:rFonts w:cstheme="minorHAnsi"/>
          <w:bCs/>
        </w:rPr>
      </w:pPr>
    </w:p>
    <w:p w14:paraId="193AC456" w14:textId="77777777" w:rsidR="00DA1DAC" w:rsidRPr="00DA1DAC" w:rsidRDefault="002B5016" w:rsidP="00DA1DAC">
      <w:pPr>
        <w:autoSpaceDE w:val="0"/>
        <w:autoSpaceDN w:val="0"/>
        <w:adjustRightInd w:val="0"/>
        <w:spacing w:after="0" w:line="240" w:lineRule="auto"/>
        <w:rPr>
          <w:rFonts w:cstheme="minorHAnsi"/>
          <w:b/>
          <w:color w:val="FF000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DA1DAC" w:rsidRPr="00DA1DAC">
        <w:rPr>
          <w:rFonts w:cstheme="minorHAnsi"/>
          <w:b/>
          <w:color w:val="FF0000"/>
          <w:u w:val="single"/>
        </w:rPr>
        <w:t>2020 Submission</w:t>
      </w:r>
      <w:r w:rsidR="00DA1DAC" w:rsidRPr="00DA1DAC">
        <w:rPr>
          <w:rFonts w:cstheme="minorHAnsi"/>
          <w:b/>
          <w:color w:val="FF0000"/>
        </w:rPr>
        <w:t xml:space="preserve"> </w:t>
      </w:r>
    </w:p>
    <w:p w14:paraId="58A9B86E" w14:textId="417864EF" w:rsidR="003E0FC7" w:rsidRPr="00B772BE" w:rsidRDefault="00D45202" w:rsidP="003E0FC7">
      <w:pPr>
        <w:spacing w:after="0" w:line="240" w:lineRule="auto"/>
        <w:textAlignment w:val="baseline"/>
        <w:rPr>
          <w:rFonts w:ascii="Segoe UI" w:eastAsia="Times New Roman" w:hAnsi="Segoe UI" w:cs="Segoe UI"/>
          <w:sz w:val="18"/>
          <w:szCs w:val="18"/>
        </w:rPr>
      </w:pPr>
      <w:r>
        <w:rPr>
          <w:rFonts w:ascii="Calibri" w:eastAsia="Times New Roman" w:hAnsi="Calibri" w:cs="Calibri"/>
          <w:color w:val="FF0000"/>
        </w:rPr>
        <w:t xml:space="preserve">HEDIS data are summarized at the health plan level for the Medicare product line. </w:t>
      </w:r>
      <w:r w:rsidR="003E0FC7" w:rsidRPr="00B772BE">
        <w:rPr>
          <w:rFonts w:ascii="Calibri" w:eastAsia="Times New Roman" w:hAnsi="Calibri" w:cs="Calibri"/>
          <w:color w:val="FF0000"/>
        </w:rPr>
        <w:t xml:space="preserve">Below is a description of the sample. It includes number of health plans </w:t>
      </w:r>
      <w:r w:rsidR="005A3EB5">
        <w:rPr>
          <w:rFonts w:ascii="Calibri" w:eastAsia="Times New Roman" w:hAnsi="Calibri" w:cs="Calibri"/>
          <w:color w:val="FF0000"/>
        </w:rPr>
        <w:t>submitting measure data for HEDIS</w:t>
      </w:r>
      <w:r w:rsidR="00642458">
        <w:rPr>
          <w:rFonts w:ascii="Calibri" w:eastAsia="Times New Roman" w:hAnsi="Calibri" w:cs="Calibri"/>
          <w:color w:val="FF0000"/>
        </w:rPr>
        <w:t xml:space="preserve">, as well as </w:t>
      </w:r>
      <w:r w:rsidR="003E0FC7" w:rsidRPr="00D57AFF">
        <w:rPr>
          <w:rFonts w:ascii="Calibri" w:eastAsia="Times New Roman" w:hAnsi="Calibri" w:cs="Calibri"/>
          <w:color w:val="FF0000"/>
        </w:rPr>
        <w:t>the average</w:t>
      </w:r>
      <w:r w:rsidR="00D57AFF" w:rsidRPr="00D57AFF">
        <w:rPr>
          <w:rFonts w:ascii="Calibri" w:eastAsia="Times New Roman" w:hAnsi="Calibri" w:cs="Calibri"/>
          <w:color w:val="FF0000"/>
        </w:rPr>
        <w:t xml:space="preserve"> and </w:t>
      </w:r>
      <w:r w:rsidR="005A3EB5" w:rsidRPr="00D57AFF">
        <w:rPr>
          <w:rFonts w:ascii="Calibri" w:eastAsia="Times New Roman" w:hAnsi="Calibri" w:cs="Calibri"/>
          <w:color w:val="FF0000"/>
        </w:rPr>
        <w:t>median</w:t>
      </w:r>
      <w:r w:rsidR="003E0FC7" w:rsidRPr="00D57AFF">
        <w:rPr>
          <w:rFonts w:ascii="Calibri" w:eastAsia="Times New Roman" w:hAnsi="Calibri" w:cs="Calibri"/>
          <w:color w:val="FF0000"/>
        </w:rPr>
        <w:t xml:space="preserve"> eligible</w:t>
      </w:r>
      <w:r w:rsidR="003E0FC7" w:rsidRPr="00B772BE">
        <w:rPr>
          <w:rFonts w:ascii="Calibri" w:eastAsia="Times New Roman" w:hAnsi="Calibri" w:cs="Calibri"/>
          <w:color w:val="FF0000"/>
        </w:rPr>
        <w:t xml:space="preserve"> population for the measure across health plans.  </w:t>
      </w:r>
      <w:r w:rsidR="003E0FC7" w:rsidRPr="00B772BE">
        <w:rPr>
          <w:rFonts w:ascii="Calibri" w:eastAsia="Times New Roman" w:hAnsi="Calibri" w:cs="Calibri"/>
        </w:rPr>
        <w:t> </w:t>
      </w:r>
    </w:p>
    <w:p w14:paraId="08EF1C66" w14:textId="77777777" w:rsidR="00B772BE" w:rsidRPr="00B772BE" w:rsidRDefault="00B772BE" w:rsidP="00B772BE">
      <w:pPr>
        <w:spacing w:after="0" w:line="240" w:lineRule="auto"/>
        <w:textAlignment w:val="baseline"/>
        <w:rPr>
          <w:rFonts w:ascii="Segoe UI" w:eastAsia="Times New Roman" w:hAnsi="Segoe UI" w:cs="Segoe UI"/>
          <w:sz w:val="18"/>
          <w:szCs w:val="18"/>
        </w:rPr>
      </w:pPr>
      <w:r w:rsidRPr="00B772BE">
        <w:rPr>
          <w:rFonts w:ascii="Calibri" w:eastAsia="Times New Roman" w:hAnsi="Calibri" w:cs="Calibri"/>
        </w:rPr>
        <w:t> </w:t>
      </w:r>
    </w:p>
    <w:p w14:paraId="582135CB" w14:textId="346CD1EA" w:rsidR="00B772BE" w:rsidRPr="00B772BE" w:rsidRDefault="00B772BE" w:rsidP="00B772BE">
      <w:pPr>
        <w:spacing w:after="0" w:line="240" w:lineRule="auto"/>
        <w:textAlignment w:val="baseline"/>
        <w:rPr>
          <w:rFonts w:ascii="Segoe UI" w:eastAsia="Times New Roman" w:hAnsi="Segoe UI" w:cs="Segoe UI"/>
          <w:sz w:val="18"/>
          <w:szCs w:val="18"/>
        </w:rPr>
      </w:pPr>
      <w:r w:rsidRPr="00B772BE">
        <w:rPr>
          <w:rFonts w:ascii="Calibri" w:eastAsia="Times New Roman" w:hAnsi="Calibri" w:cs="Calibri"/>
          <w:color w:val="FF0000"/>
        </w:rPr>
        <w:t>Table 1. Mean </w:t>
      </w:r>
      <w:r w:rsidR="00360DDF">
        <w:rPr>
          <w:rFonts w:ascii="Calibri" w:eastAsia="Times New Roman" w:hAnsi="Calibri" w:cs="Calibri"/>
          <w:color w:val="FF0000"/>
        </w:rPr>
        <w:t xml:space="preserve">and median </w:t>
      </w:r>
      <w:r w:rsidRPr="00B772BE">
        <w:rPr>
          <w:rFonts w:ascii="Calibri" w:eastAsia="Times New Roman" w:hAnsi="Calibri" w:cs="Calibri"/>
          <w:color w:val="FF0000"/>
        </w:rPr>
        <w:t xml:space="preserve">eligible population for </w:t>
      </w:r>
      <w:r>
        <w:rPr>
          <w:rFonts w:ascii="Calibri" w:eastAsia="Times New Roman" w:hAnsi="Calibri" w:cs="Calibri"/>
          <w:i/>
          <w:iCs/>
          <w:color w:val="FF0000"/>
        </w:rPr>
        <w:t xml:space="preserve">Use of High-Risk Medications in Older Adults, </w:t>
      </w:r>
      <w:r w:rsidRPr="00B772BE">
        <w:rPr>
          <w:rFonts w:ascii="Calibri" w:eastAsia="Times New Roman" w:hAnsi="Calibri" w:cs="Calibri"/>
          <w:color w:val="FF0000"/>
        </w:rPr>
        <w:t>201</w:t>
      </w:r>
      <w:r w:rsidR="00F817D2">
        <w:rPr>
          <w:rFonts w:ascii="Calibri" w:eastAsia="Times New Roman" w:hAnsi="Calibri" w:cs="Calibri"/>
          <w:color w:val="FF0000"/>
        </w:rPr>
        <w:t>8</w:t>
      </w:r>
    </w:p>
    <w:tbl>
      <w:tblPr>
        <w:tblW w:w="76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9"/>
        <w:gridCol w:w="1165"/>
        <w:gridCol w:w="2638"/>
        <w:gridCol w:w="2588"/>
      </w:tblGrid>
      <w:tr w:rsidR="00245DC6" w:rsidRPr="00B772BE" w14:paraId="14EA060B" w14:textId="28F5680B" w:rsidTr="00245DC6">
        <w:tc>
          <w:tcPr>
            <w:tcW w:w="1219" w:type="dxa"/>
            <w:tcBorders>
              <w:top w:val="single" w:sz="6" w:space="0" w:color="000000"/>
              <w:left w:val="single" w:sz="6" w:space="0" w:color="000000"/>
              <w:bottom w:val="single" w:sz="6" w:space="0" w:color="000000"/>
              <w:right w:val="single" w:sz="6" w:space="0" w:color="000000"/>
            </w:tcBorders>
          </w:tcPr>
          <w:p w14:paraId="08C92DCF" w14:textId="12296006" w:rsidR="00245DC6" w:rsidRPr="00C60566" w:rsidRDefault="00245DC6" w:rsidP="00B772BE">
            <w:pPr>
              <w:spacing w:after="0" w:line="240" w:lineRule="auto"/>
              <w:textAlignment w:val="baseline"/>
              <w:rPr>
                <w:rFonts w:eastAsia="Times New Roman" w:cstheme="minorHAnsi"/>
                <w:b/>
                <w:bCs/>
                <w:color w:val="FF0000"/>
              </w:rPr>
            </w:pPr>
            <w:r w:rsidRPr="00C60566">
              <w:rPr>
                <w:rFonts w:eastAsia="Times New Roman" w:cstheme="minorHAnsi"/>
                <w:b/>
                <w:bCs/>
                <w:color w:val="FF0000"/>
              </w:rPr>
              <w:t>Year</w:t>
            </w:r>
          </w:p>
        </w:tc>
        <w:tc>
          <w:tcPr>
            <w:tcW w:w="1165" w:type="dxa"/>
            <w:tcBorders>
              <w:top w:val="single" w:sz="6" w:space="0" w:color="000000"/>
              <w:left w:val="single" w:sz="6" w:space="0" w:color="000000"/>
              <w:bottom w:val="single" w:sz="6" w:space="0" w:color="000000"/>
              <w:right w:val="single" w:sz="6" w:space="0" w:color="000000"/>
            </w:tcBorders>
            <w:shd w:val="clear" w:color="auto" w:fill="auto"/>
            <w:hideMark/>
          </w:tcPr>
          <w:p w14:paraId="26F0FE4E" w14:textId="77777777" w:rsidR="00245DC6" w:rsidRPr="00C60566" w:rsidRDefault="00245DC6" w:rsidP="00B772BE">
            <w:pPr>
              <w:spacing w:after="0" w:line="240" w:lineRule="auto"/>
              <w:textAlignment w:val="baseline"/>
              <w:rPr>
                <w:rFonts w:eastAsia="Times New Roman" w:cstheme="minorHAnsi"/>
                <w:color w:val="FF0000"/>
              </w:rPr>
            </w:pPr>
            <w:r w:rsidRPr="00C60566">
              <w:rPr>
                <w:rFonts w:eastAsia="Times New Roman" w:cstheme="minorHAnsi"/>
                <w:b/>
                <w:bCs/>
                <w:color w:val="FF0000"/>
              </w:rPr>
              <w:t>Number of Plans </w:t>
            </w:r>
            <w:r w:rsidRPr="00C60566">
              <w:rPr>
                <w:rFonts w:eastAsia="Times New Roman" w:cstheme="minorHAnsi"/>
                <w:color w:val="FF0000"/>
              </w:rPr>
              <w:t> </w:t>
            </w:r>
          </w:p>
        </w:tc>
        <w:tc>
          <w:tcPr>
            <w:tcW w:w="2638" w:type="dxa"/>
            <w:tcBorders>
              <w:top w:val="single" w:sz="6" w:space="0" w:color="000000"/>
              <w:left w:val="single" w:sz="6" w:space="0" w:color="000000"/>
              <w:bottom w:val="single" w:sz="6" w:space="0" w:color="000000"/>
              <w:right w:val="single" w:sz="6" w:space="0" w:color="000000"/>
            </w:tcBorders>
            <w:shd w:val="clear" w:color="auto" w:fill="auto"/>
            <w:hideMark/>
          </w:tcPr>
          <w:p w14:paraId="0658BA26" w14:textId="5420CD54" w:rsidR="00245DC6" w:rsidRPr="00C60566" w:rsidRDefault="00245DC6" w:rsidP="00B772BE">
            <w:pPr>
              <w:spacing w:after="0" w:line="240" w:lineRule="auto"/>
              <w:textAlignment w:val="baseline"/>
              <w:rPr>
                <w:rFonts w:eastAsia="Times New Roman" w:cstheme="minorHAnsi"/>
                <w:color w:val="FF0000"/>
              </w:rPr>
            </w:pPr>
            <w:r w:rsidRPr="00C60566">
              <w:rPr>
                <w:rFonts w:eastAsia="Times New Roman" w:cstheme="minorHAnsi"/>
                <w:b/>
                <w:bCs/>
                <w:color w:val="FF0000"/>
              </w:rPr>
              <w:t>Mean number of eligible members per plan </w:t>
            </w:r>
            <w:r w:rsidRPr="00C60566">
              <w:rPr>
                <w:rFonts w:eastAsia="Times New Roman" w:cstheme="minorHAnsi"/>
                <w:color w:val="FF0000"/>
              </w:rPr>
              <w:t> </w:t>
            </w:r>
          </w:p>
        </w:tc>
        <w:tc>
          <w:tcPr>
            <w:tcW w:w="2588" w:type="dxa"/>
            <w:tcBorders>
              <w:top w:val="single" w:sz="6" w:space="0" w:color="000000"/>
              <w:left w:val="single" w:sz="6" w:space="0" w:color="000000"/>
              <w:bottom w:val="single" w:sz="6" w:space="0" w:color="000000"/>
              <w:right w:val="single" w:sz="6" w:space="0" w:color="000000"/>
            </w:tcBorders>
          </w:tcPr>
          <w:p w14:paraId="69A543F0" w14:textId="05A086CD" w:rsidR="00245DC6" w:rsidRPr="00C60566" w:rsidRDefault="00245DC6" w:rsidP="00B772BE">
            <w:pPr>
              <w:spacing w:after="0" w:line="240" w:lineRule="auto"/>
              <w:textAlignment w:val="baseline"/>
              <w:rPr>
                <w:rFonts w:eastAsia="Times New Roman" w:cstheme="minorHAnsi"/>
                <w:b/>
                <w:bCs/>
                <w:color w:val="FF0000"/>
              </w:rPr>
            </w:pPr>
            <w:r w:rsidRPr="00C60566">
              <w:rPr>
                <w:rFonts w:eastAsia="Times New Roman" w:cstheme="minorHAnsi"/>
                <w:b/>
                <w:bCs/>
                <w:color w:val="FF0000"/>
              </w:rPr>
              <w:t>Median number of eligible members per plan </w:t>
            </w:r>
            <w:r w:rsidRPr="00C60566">
              <w:rPr>
                <w:rFonts w:eastAsia="Times New Roman" w:cstheme="minorHAnsi"/>
                <w:color w:val="FF0000"/>
              </w:rPr>
              <w:t> </w:t>
            </w:r>
          </w:p>
        </w:tc>
      </w:tr>
      <w:tr w:rsidR="00245DC6" w:rsidRPr="00B772BE" w14:paraId="3468FD3F" w14:textId="77777777" w:rsidTr="00245DC6">
        <w:tc>
          <w:tcPr>
            <w:tcW w:w="1219" w:type="dxa"/>
            <w:tcBorders>
              <w:top w:val="single" w:sz="6" w:space="0" w:color="000000"/>
              <w:left w:val="single" w:sz="6" w:space="0" w:color="000000"/>
              <w:bottom w:val="single" w:sz="6" w:space="0" w:color="000000"/>
              <w:right w:val="single" w:sz="6" w:space="0" w:color="000000"/>
            </w:tcBorders>
          </w:tcPr>
          <w:p w14:paraId="1DBE66FF" w14:textId="531E2C9F" w:rsidR="00245DC6" w:rsidRPr="00C60566" w:rsidRDefault="00245DC6" w:rsidP="00B772BE">
            <w:pPr>
              <w:spacing w:after="0" w:line="240" w:lineRule="auto"/>
              <w:textAlignment w:val="baseline"/>
              <w:rPr>
                <w:rFonts w:eastAsia="Times New Roman" w:cstheme="minorHAnsi"/>
                <w:color w:val="FF0000"/>
              </w:rPr>
            </w:pPr>
            <w:r w:rsidRPr="00C60566">
              <w:rPr>
                <w:rFonts w:eastAsia="Times New Roman" w:cstheme="minorHAnsi"/>
                <w:color w:val="FF0000"/>
              </w:rPr>
              <w:t>201</w:t>
            </w:r>
            <w:r w:rsidR="00F817D2" w:rsidRPr="00C60566">
              <w:rPr>
                <w:rFonts w:eastAsia="Times New Roman" w:cstheme="minorHAnsi"/>
                <w:color w:val="FF0000"/>
              </w:rPr>
              <w:t>8</w:t>
            </w:r>
          </w:p>
        </w:tc>
        <w:tc>
          <w:tcPr>
            <w:tcW w:w="11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618EEA" w14:textId="0CC49D7E" w:rsidR="00245DC6" w:rsidRPr="00C60566" w:rsidRDefault="00771FAD" w:rsidP="00B772BE">
            <w:pPr>
              <w:spacing w:after="0" w:line="240" w:lineRule="auto"/>
              <w:jc w:val="center"/>
              <w:textAlignment w:val="baseline"/>
              <w:rPr>
                <w:rFonts w:eastAsia="Times New Roman" w:cstheme="minorHAnsi"/>
                <w:color w:val="FF0000"/>
              </w:rPr>
            </w:pPr>
            <w:r w:rsidRPr="00C60566">
              <w:rPr>
                <w:rFonts w:eastAsia="Times New Roman" w:cstheme="minorHAnsi"/>
                <w:color w:val="FF0000"/>
              </w:rPr>
              <w:t>502</w:t>
            </w:r>
          </w:p>
        </w:tc>
        <w:tc>
          <w:tcPr>
            <w:tcW w:w="26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B450DA" w14:textId="079805F4" w:rsidR="00245DC6" w:rsidRPr="00C60566" w:rsidRDefault="0049393B" w:rsidP="00B772BE">
            <w:pPr>
              <w:spacing w:after="0" w:line="240" w:lineRule="auto"/>
              <w:jc w:val="center"/>
              <w:textAlignment w:val="baseline"/>
              <w:rPr>
                <w:rFonts w:eastAsia="Times New Roman" w:cstheme="minorHAnsi"/>
                <w:color w:val="FF0000"/>
              </w:rPr>
            </w:pPr>
            <w:r w:rsidRPr="00C60566">
              <w:rPr>
                <w:rFonts w:eastAsia="Times New Roman" w:cstheme="minorHAnsi"/>
                <w:color w:val="FF0000"/>
              </w:rPr>
              <w:t>28</w:t>
            </w:r>
            <w:r w:rsidR="00AF4A07">
              <w:rPr>
                <w:rFonts w:eastAsia="Times New Roman" w:cstheme="minorHAnsi"/>
                <w:color w:val="FF0000"/>
              </w:rPr>
              <w:t>,</w:t>
            </w:r>
            <w:r w:rsidRPr="00C60566">
              <w:rPr>
                <w:rFonts w:eastAsia="Times New Roman" w:cstheme="minorHAnsi"/>
                <w:color w:val="FF0000"/>
              </w:rPr>
              <w:t>463</w:t>
            </w:r>
          </w:p>
        </w:tc>
        <w:tc>
          <w:tcPr>
            <w:tcW w:w="2588" w:type="dxa"/>
            <w:tcBorders>
              <w:top w:val="single" w:sz="6" w:space="0" w:color="000000"/>
              <w:left w:val="single" w:sz="6" w:space="0" w:color="000000"/>
              <w:bottom w:val="single" w:sz="6" w:space="0" w:color="000000"/>
              <w:right w:val="single" w:sz="6" w:space="0" w:color="000000"/>
            </w:tcBorders>
          </w:tcPr>
          <w:p w14:paraId="2E8EB957" w14:textId="6A1C072C" w:rsidR="00245DC6" w:rsidRPr="00C60566" w:rsidRDefault="0049393B" w:rsidP="00B772BE">
            <w:pPr>
              <w:spacing w:after="0" w:line="240" w:lineRule="auto"/>
              <w:jc w:val="center"/>
              <w:textAlignment w:val="baseline"/>
              <w:rPr>
                <w:rFonts w:eastAsia="Times New Roman" w:cstheme="minorHAnsi"/>
                <w:color w:val="FF0000"/>
              </w:rPr>
            </w:pPr>
            <w:r w:rsidRPr="00C60566">
              <w:rPr>
                <w:rFonts w:eastAsia="Times New Roman" w:cstheme="minorHAnsi"/>
                <w:color w:val="FF0000"/>
              </w:rPr>
              <w:t>5</w:t>
            </w:r>
            <w:r w:rsidR="00AF4A07">
              <w:rPr>
                <w:rFonts w:eastAsia="Times New Roman" w:cstheme="minorHAnsi"/>
                <w:color w:val="FF0000"/>
              </w:rPr>
              <w:t>,</w:t>
            </w:r>
            <w:r w:rsidRPr="00C60566">
              <w:rPr>
                <w:rFonts w:eastAsia="Times New Roman" w:cstheme="minorHAnsi"/>
                <w:color w:val="FF0000"/>
              </w:rPr>
              <w:t>89</w:t>
            </w:r>
            <w:r w:rsidR="008678D3">
              <w:rPr>
                <w:rFonts w:eastAsia="Times New Roman" w:cstheme="minorHAnsi"/>
                <w:color w:val="FF0000"/>
              </w:rPr>
              <w:t>3</w:t>
            </w:r>
          </w:p>
        </w:tc>
      </w:tr>
    </w:tbl>
    <w:p w14:paraId="22F882A9" w14:textId="77777777" w:rsidR="00C220E1" w:rsidRDefault="00C220E1" w:rsidP="003E1AED">
      <w:pPr>
        <w:pStyle w:val="paragraph"/>
        <w:spacing w:before="0" w:beforeAutospacing="0" w:after="0" w:afterAutospacing="0"/>
        <w:textAlignment w:val="baseline"/>
        <w:rPr>
          <w:rStyle w:val="normaltextrun"/>
          <w:rFonts w:ascii="Calibri" w:hAnsi="Calibri" w:cs="Calibri"/>
          <w:b/>
          <w:bCs/>
          <w:color w:val="4F81BD"/>
          <w:sz w:val="22"/>
          <w:szCs w:val="22"/>
          <w:u w:val="single"/>
        </w:rPr>
      </w:pPr>
    </w:p>
    <w:p w14:paraId="781D79A6" w14:textId="77777777" w:rsidR="00611709" w:rsidRDefault="003E1AED" w:rsidP="00DA2577">
      <w:pPr>
        <w:pStyle w:val="paragraph"/>
        <w:spacing w:before="0" w:beforeAutospacing="0" w:after="0" w:afterAutospacing="0"/>
        <w:textAlignment w:val="baseline"/>
        <w:rPr>
          <w:rStyle w:val="normaltextrun"/>
          <w:rFonts w:ascii="Calibri" w:hAnsi="Calibri" w:cs="Calibri"/>
          <w:b/>
          <w:bCs/>
          <w:color w:val="4F81BD"/>
          <w:sz w:val="22"/>
          <w:szCs w:val="22"/>
          <w:u w:val="single"/>
        </w:rPr>
      </w:pPr>
      <w:r>
        <w:rPr>
          <w:rStyle w:val="normaltextrun"/>
          <w:rFonts w:ascii="Calibri" w:hAnsi="Calibri" w:cs="Calibri"/>
          <w:b/>
          <w:bCs/>
          <w:color w:val="4F81BD"/>
          <w:sz w:val="22"/>
          <w:szCs w:val="22"/>
          <w:u w:val="single"/>
        </w:rPr>
        <w:t>2016 Submission</w:t>
      </w:r>
    </w:p>
    <w:p w14:paraId="3D26D617" w14:textId="77777777" w:rsidR="00543985" w:rsidRDefault="00543985" w:rsidP="00012974">
      <w:pPr>
        <w:pStyle w:val="paragraph"/>
        <w:spacing w:before="0" w:beforeAutospacing="0" w:after="0" w:afterAutospacing="0"/>
        <w:textAlignment w:val="baseline"/>
        <w:rPr>
          <w:rStyle w:val="eop"/>
          <w:rFonts w:ascii="Calibri" w:hAnsi="Calibri" w:cs="Calibri"/>
          <w:color w:val="548DD4"/>
          <w:sz w:val="22"/>
          <w:szCs w:val="22"/>
          <w:shd w:val="clear" w:color="auto" w:fill="FFFFFF"/>
        </w:rPr>
      </w:pPr>
      <w:r>
        <w:rPr>
          <w:rStyle w:val="normaltextrun"/>
          <w:rFonts w:ascii="Calibri" w:hAnsi="Calibri" w:cs="Calibri"/>
          <w:i/>
          <w:iCs/>
          <w:color w:val="548DD4"/>
          <w:sz w:val="22"/>
          <w:szCs w:val="22"/>
          <w:shd w:val="clear" w:color="auto" w:fill="FFFFFF"/>
        </w:rPr>
        <w:t>This question was not on the 2016 form. </w:t>
      </w:r>
      <w:r>
        <w:rPr>
          <w:rStyle w:val="eop"/>
          <w:rFonts w:ascii="Calibri" w:hAnsi="Calibri" w:cs="Calibri"/>
          <w:color w:val="548DD4"/>
          <w:sz w:val="22"/>
          <w:szCs w:val="22"/>
          <w:shd w:val="clear" w:color="auto" w:fill="FFFFFF"/>
        </w:rPr>
        <w:t> </w:t>
      </w:r>
    </w:p>
    <w:p w14:paraId="1A5FC7C6" w14:textId="1510B61B" w:rsidR="00574C93" w:rsidRPr="00012974" w:rsidRDefault="000E12A3" w:rsidP="0001297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color w:val="548DD4"/>
          <w:sz w:val="22"/>
          <w:szCs w:val="22"/>
          <w:shd w:val="clear" w:color="auto" w:fill="FFFFFF"/>
        </w:rPr>
        <w:lastRenderedPageBreak/>
        <w:t> </w:t>
      </w: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0A2B258" w14:textId="77777777" w:rsidR="007F22F3" w:rsidRDefault="007F22F3" w:rsidP="007F22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FF0000"/>
          <w:sz w:val="22"/>
          <w:szCs w:val="22"/>
          <w:u w:val="single"/>
        </w:rPr>
        <w:t>2020 Submission</w:t>
      </w:r>
      <w:r>
        <w:rPr>
          <w:rStyle w:val="eop"/>
          <w:rFonts w:ascii="Calibri" w:hAnsi="Calibri" w:cs="Calibri"/>
          <w:sz w:val="22"/>
          <w:szCs w:val="22"/>
        </w:rPr>
        <w:t> </w:t>
      </w:r>
    </w:p>
    <w:p w14:paraId="7CA09310" w14:textId="1D29B717" w:rsidR="007F22F3" w:rsidRDefault="007F22F3" w:rsidP="007F22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FF0000"/>
          <w:sz w:val="22"/>
          <w:szCs w:val="22"/>
        </w:rPr>
        <w:t>No differences in the data used for reliability and construct validity testing. </w:t>
      </w:r>
      <w:r w:rsidR="00C75A27" w:rsidRPr="00C75A27">
        <w:rPr>
          <w:rStyle w:val="normaltextrun"/>
          <w:rFonts w:ascii="Calibri" w:hAnsi="Calibri" w:cs="Calibri"/>
          <w:color w:val="FF0000"/>
          <w:sz w:val="22"/>
          <w:szCs w:val="22"/>
        </w:rPr>
        <w:t xml:space="preserve">The systematic assessment of face validity was done with </w:t>
      </w:r>
      <w:r w:rsidR="00AE34F6">
        <w:rPr>
          <w:rStyle w:val="normaltextrun"/>
          <w:rFonts w:ascii="Calibri" w:hAnsi="Calibri" w:cs="Calibri"/>
          <w:color w:val="FF0000"/>
          <w:sz w:val="22"/>
          <w:szCs w:val="22"/>
        </w:rPr>
        <w:t xml:space="preserve">multiple </w:t>
      </w:r>
      <w:r w:rsidR="00C75A27" w:rsidRPr="00C75A27">
        <w:rPr>
          <w:rStyle w:val="normaltextrun"/>
          <w:rFonts w:ascii="Calibri" w:hAnsi="Calibri" w:cs="Calibri"/>
          <w:color w:val="FF0000"/>
          <w:sz w:val="22"/>
          <w:szCs w:val="22"/>
        </w:rPr>
        <w:t>multi-stakeholder expert panels as described in Section 1.5 above.</w:t>
      </w:r>
      <w:r>
        <w:rPr>
          <w:rStyle w:val="normaltextrun"/>
          <w:rFonts w:ascii="Calibri" w:hAnsi="Calibri" w:cs="Calibri"/>
          <w:color w:val="FF0000"/>
          <w:sz w:val="22"/>
          <w:szCs w:val="22"/>
        </w:rPr>
        <w:t> </w:t>
      </w:r>
      <w:r>
        <w:rPr>
          <w:rStyle w:val="eop"/>
          <w:rFonts w:ascii="Calibri" w:hAnsi="Calibri" w:cs="Calibri"/>
          <w:sz w:val="22"/>
          <w:szCs w:val="22"/>
        </w:rPr>
        <w:t> </w:t>
      </w:r>
    </w:p>
    <w:p w14:paraId="1898E57B" w14:textId="3CA85209" w:rsidR="005A3EB5" w:rsidRDefault="005A3EB5" w:rsidP="00E37E1B">
      <w:pPr>
        <w:autoSpaceDE w:val="0"/>
        <w:autoSpaceDN w:val="0"/>
        <w:adjustRightInd w:val="0"/>
        <w:spacing w:after="0" w:line="240" w:lineRule="auto"/>
        <w:rPr>
          <w:rFonts w:cstheme="minorHAnsi"/>
          <w:bCs/>
        </w:rPr>
      </w:pPr>
    </w:p>
    <w:p w14:paraId="205FFF82" w14:textId="15F0179C" w:rsidR="005A3EB5" w:rsidRDefault="003E1AED" w:rsidP="00012974">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36C67AB0" w14:textId="5408AAF2" w:rsidR="00543985" w:rsidRPr="00543985" w:rsidRDefault="00543985" w:rsidP="00012974">
      <w:pPr>
        <w:pStyle w:val="paragraph"/>
        <w:spacing w:before="0" w:beforeAutospacing="0" w:after="0" w:afterAutospacing="0"/>
        <w:textAlignment w:val="baseline"/>
        <w:rPr>
          <w:rStyle w:val="eop"/>
          <w:rFonts w:ascii="Calibri" w:hAnsi="Calibri" w:cs="Calibri"/>
          <w:color w:val="548DD4"/>
          <w:sz w:val="22"/>
          <w:szCs w:val="22"/>
          <w:shd w:val="clear" w:color="auto" w:fill="FFFFFF"/>
        </w:rPr>
      </w:pPr>
      <w:r>
        <w:rPr>
          <w:rStyle w:val="normaltextrun"/>
          <w:rFonts w:ascii="Calibri" w:hAnsi="Calibri" w:cs="Calibri"/>
          <w:i/>
          <w:iCs/>
          <w:color w:val="548DD4"/>
          <w:sz w:val="22"/>
          <w:szCs w:val="22"/>
          <w:shd w:val="clear" w:color="auto" w:fill="FFFFFF"/>
        </w:rPr>
        <w:t>This question was not on the 2016 form. </w:t>
      </w:r>
      <w:r>
        <w:rPr>
          <w:rStyle w:val="eop"/>
          <w:rFonts w:ascii="Calibri" w:hAnsi="Calibri" w:cs="Calibri"/>
          <w:color w:val="548DD4"/>
          <w:sz w:val="22"/>
          <w:szCs w:val="22"/>
          <w:shd w:val="clear" w:color="auto" w:fill="FFFFFF"/>
        </w:rPr>
        <w:t> </w:t>
      </w:r>
    </w:p>
    <w:p w14:paraId="42737623" w14:textId="77777777" w:rsidR="00012974" w:rsidRPr="00012974" w:rsidRDefault="00012974" w:rsidP="00012974">
      <w:pPr>
        <w:pStyle w:val="paragraph"/>
        <w:spacing w:before="0" w:beforeAutospacing="0" w:after="0" w:afterAutospacing="0"/>
        <w:textAlignment w:val="baseline"/>
        <w:rPr>
          <w:rFonts w:ascii="Segoe UI" w:hAnsi="Segoe UI" w:cs="Segoe UI"/>
          <w:sz w:val="18"/>
          <w:szCs w:val="18"/>
        </w:rPr>
      </w:pPr>
    </w:p>
    <w:p w14:paraId="0CABCFCC" w14:textId="3CD622FF"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8F1EE14" w14:textId="77777777" w:rsidR="002F6ABA" w:rsidRDefault="002F6ABA" w:rsidP="002F6ABA">
      <w:pPr>
        <w:spacing w:after="0" w:line="240" w:lineRule="auto"/>
        <w:textAlignment w:val="baseline"/>
        <w:rPr>
          <w:rStyle w:val="normaltextrun"/>
          <w:rFonts w:ascii="Calibri" w:hAnsi="Calibri" w:cs="Calibri"/>
          <w:color w:val="FF0000"/>
        </w:rPr>
      </w:pPr>
    </w:p>
    <w:p w14:paraId="511AC372" w14:textId="5390E6C5" w:rsidR="002F6ABA" w:rsidRPr="003A61B7" w:rsidRDefault="002F6ABA" w:rsidP="002F6ABA">
      <w:pPr>
        <w:spacing w:after="0" w:line="240" w:lineRule="auto"/>
        <w:textAlignment w:val="baseline"/>
        <w:rPr>
          <w:rFonts w:ascii="Segoe UI" w:eastAsia="Times New Roman" w:hAnsi="Segoe UI" w:cs="Segoe UI"/>
          <w:sz w:val="18"/>
          <w:szCs w:val="18"/>
        </w:rPr>
      </w:pPr>
      <w:r w:rsidRPr="003A61B7">
        <w:rPr>
          <w:rFonts w:ascii="Calibri" w:eastAsia="Times New Roman" w:hAnsi="Calibri" w:cs="Calibri"/>
          <w:b/>
          <w:bCs/>
          <w:color w:val="FF0000"/>
          <w:u w:val="single"/>
        </w:rPr>
        <w:t>2020 Submission</w:t>
      </w:r>
      <w:r w:rsidRPr="003A61B7">
        <w:rPr>
          <w:rFonts w:ascii="Calibri" w:eastAsia="Times New Roman" w:hAnsi="Calibri" w:cs="Calibri"/>
          <w:color w:val="FF0000"/>
        </w:rPr>
        <w:t>  </w:t>
      </w:r>
    </w:p>
    <w:p w14:paraId="0AC8C49C" w14:textId="3244C494" w:rsidR="002F6ABA" w:rsidRDefault="002F6ABA" w:rsidP="002F6ABA">
      <w:pPr>
        <w:pStyle w:val="paragraph"/>
        <w:spacing w:before="0" w:beforeAutospacing="0" w:after="0" w:afterAutospacing="0"/>
        <w:textAlignment w:val="baseline"/>
        <w:rPr>
          <w:rStyle w:val="normaltextrun"/>
          <w:rFonts w:ascii="Calibri" w:hAnsi="Calibri" w:cs="Calibri"/>
          <w:color w:val="FF0000"/>
          <w:sz w:val="22"/>
          <w:szCs w:val="22"/>
        </w:rPr>
      </w:pPr>
      <w:r w:rsidRPr="00E35103">
        <w:rPr>
          <w:rStyle w:val="normaltextrun"/>
          <w:rFonts w:ascii="Calibri" w:hAnsi="Calibri" w:cs="Calibri"/>
          <w:color w:val="FF0000"/>
          <w:sz w:val="22"/>
          <w:szCs w:val="22"/>
        </w:rPr>
        <w:t xml:space="preserve">We did not assess data by social risk factors. Social risk factor data were not available in reported results. </w:t>
      </w:r>
      <w:r w:rsidRPr="004F1863">
        <w:rPr>
          <w:rStyle w:val="normaltextrun"/>
          <w:rFonts w:ascii="Calibri" w:hAnsi="Calibri" w:cs="Calibri"/>
          <w:color w:val="FF0000"/>
          <w:sz w:val="22"/>
          <w:szCs w:val="22"/>
        </w:rPr>
        <w:t xml:space="preserve">This measure is specified </w:t>
      </w:r>
      <w:r>
        <w:rPr>
          <w:rStyle w:val="normaltextrun"/>
          <w:rFonts w:ascii="Calibri" w:hAnsi="Calibri" w:cs="Calibri"/>
          <w:color w:val="FF0000"/>
          <w:sz w:val="22"/>
          <w:szCs w:val="22"/>
        </w:rPr>
        <w:t xml:space="preserve">only </w:t>
      </w:r>
      <w:r w:rsidRPr="004F1863">
        <w:rPr>
          <w:rStyle w:val="normaltextrun"/>
          <w:rFonts w:ascii="Calibri" w:hAnsi="Calibri" w:cs="Calibri"/>
          <w:color w:val="FF0000"/>
          <w:sz w:val="22"/>
          <w:szCs w:val="22"/>
        </w:rPr>
        <w:t>for Medicare older adults, 65 years and older</w:t>
      </w:r>
      <w:r w:rsidRPr="00E35103">
        <w:rPr>
          <w:rStyle w:val="normaltextrun"/>
          <w:rFonts w:ascii="Calibri" w:hAnsi="Calibri" w:cs="Calibri"/>
          <w:color w:val="FF0000"/>
          <w:sz w:val="22"/>
          <w:szCs w:val="22"/>
        </w:rPr>
        <w:t>.</w:t>
      </w:r>
      <w:r>
        <w:rPr>
          <w:rStyle w:val="normaltextrun"/>
          <w:rFonts w:ascii="Calibri" w:hAnsi="Calibri" w:cs="Calibri"/>
          <w:color w:val="FF0000"/>
          <w:sz w:val="22"/>
          <w:szCs w:val="22"/>
        </w:rPr>
        <w:t xml:space="preserve"> NCQA is actively engaged with partners including the CMS Office of Minority Health in identifying feasible methods to further integrate social risk factors into health plan quality measures, with a focus on stratification. This is aligned with recent recommendations from MedPAC and ASPE on optimal methods for addressing social risk in quality measurement and programs.</w:t>
      </w:r>
      <w:r w:rsidRPr="000E5314">
        <w:rPr>
          <w:rStyle w:val="normaltextrun"/>
          <w:rFonts w:ascii="Calibri" w:hAnsi="Calibri" w:cs="Calibri"/>
          <w:color w:val="FF0000"/>
          <w:sz w:val="22"/>
          <w:szCs w:val="22"/>
          <w:vertAlign w:val="superscript"/>
        </w:rPr>
        <w:t>1,2</w:t>
      </w:r>
      <w:r w:rsidRPr="00061A8B">
        <w:rPr>
          <w:rStyle w:val="normaltextrun"/>
          <w:rFonts w:ascii="Calibri" w:hAnsi="Calibri" w:cs="Calibri"/>
          <w:color w:val="FF0000"/>
          <w:sz w:val="22"/>
          <w:szCs w:val="22"/>
        </w:rPr>
        <w:t>This is an NCQA wide initiative</w:t>
      </w:r>
      <w:r>
        <w:rPr>
          <w:rStyle w:val="normaltextrun"/>
          <w:rFonts w:ascii="Calibri" w:hAnsi="Calibri" w:cs="Calibri"/>
          <w:color w:val="FF0000"/>
          <w:sz w:val="22"/>
          <w:szCs w:val="22"/>
        </w:rPr>
        <w:t xml:space="preserve">. Our intent is to implement methods to bridge data concerns in the future. </w:t>
      </w:r>
    </w:p>
    <w:p w14:paraId="532B4021" w14:textId="77777777" w:rsidR="002F6ABA" w:rsidRDefault="002F6ABA" w:rsidP="002F6ABA">
      <w:pPr>
        <w:pStyle w:val="paragraph"/>
        <w:spacing w:before="0" w:beforeAutospacing="0" w:after="0" w:afterAutospacing="0"/>
        <w:textAlignment w:val="baseline"/>
        <w:rPr>
          <w:rStyle w:val="normaltextrun"/>
          <w:rFonts w:ascii="Calibri" w:hAnsi="Calibri" w:cs="Calibri"/>
          <w:color w:val="FF0000"/>
          <w:sz w:val="22"/>
          <w:szCs w:val="22"/>
        </w:rPr>
      </w:pPr>
    </w:p>
    <w:p w14:paraId="3D481951" w14:textId="77777777" w:rsidR="002F6ABA" w:rsidRDefault="002F6ABA" w:rsidP="002F6ABA">
      <w:pPr>
        <w:pStyle w:val="ListParagraph"/>
        <w:numPr>
          <w:ilvl w:val="0"/>
          <w:numId w:val="40"/>
        </w:numPr>
        <w:spacing w:after="0" w:line="240" w:lineRule="auto"/>
        <w:ind w:left="360"/>
        <w:textAlignment w:val="baseline"/>
        <w:rPr>
          <w:rFonts w:ascii="Calibri" w:eastAsia="Times New Roman" w:hAnsi="Calibri" w:cs="Calibri"/>
          <w:color w:val="FF0000"/>
        </w:rPr>
      </w:pPr>
      <w:r w:rsidRPr="00110BFB">
        <w:rPr>
          <w:rFonts w:ascii="Calibri" w:eastAsia="Times New Roman" w:hAnsi="Calibri" w:cs="Calibri"/>
          <w:color w:val="FF0000"/>
        </w:rPr>
        <w:t xml:space="preserve">Medicare Payment Advisory Commission. (2020). The Medicare Advantage program: Status report. In Report to the Congress: Medicare Payment Policy (p. 397). </w:t>
      </w:r>
      <w:hyperlink r:id="rId12" w:history="1">
        <w:r w:rsidRPr="005E7F86">
          <w:rPr>
            <w:rStyle w:val="Hyperlink"/>
            <w:rFonts w:ascii="Calibri" w:eastAsia="Times New Roman" w:hAnsi="Calibri" w:cs="Calibri"/>
          </w:rPr>
          <w:t>http://medpac.gov/docs/default-source/reports/mar20_medpac_ch13_sec.pdf</w:t>
        </w:r>
      </w:hyperlink>
    </w:p>
    <w:p w14:paraId="11FFFE69" w14:textId="77777777" w:rsidR="002F6ABA" w:rsidRDefault="002F6ABA" w:rsidP="002F6ABA">
      <w:pPr>
        <w:pStyle w:val="ListParagraph"/>
        <w:numPr>
          <w:ilvl w:val="0"/>
          <w:numId w:val="40"/>
        </w:numPr>
        <w:spacing w:after="0" w:line="240" w:lineRule="auto"/>
        <w:ind w:left="360"/>
        <w:textAlignment w:val="baseline"/>
        <w:rPr>
          <w:rFonts w:ascii="Calibri" w:eastAsia="Times New Roman" w:hAnsi="Calibri" w:cs="Calibri"/>
          <w:color w:val="FF0000"/>
        </w:rPr>
      </w:pPr>
      <w:r w:rsidRPr="000E5314">
        <w:rPr>
          <w:rFonts w:ascii="Calibri" w:eastAsia="Times New Roman" w:hAnsi="Calibri" w:cs="Calibri"/>
          <w:color w:val="FF0000"/>
        </w:rPr>
        <w:t xml:space="preserve">Office of the Assistant Secretary for Planning and Evaluation, &amp; U.S. Department of Health &amp; Human Services. (2020). Second Report to Congress on Social Risk and Medicare’s Value-Based Purchasing Programs. </w:t>
      </w:r>
      <w:hyperlink r:id="rId13" w:history="1">
        <w:r w:rsidRPr="000E5314">
          <w:rPr>
            <w:rStyle w:val="Hyperlink"/>
            <w:rFonts w:ascii="Calibri" w:eastAsia="Times New Roman" w:hAnsi="Calibri" w:cs="Calibri"/>
          </w:rPr>
          <w:t>https://aspe.hhs.gov/social-risk-factors-and-medicares-value-basedpurchasing-programs</w:t>
        </w:r>
      </w:hyperlink>
    </w:p>
    <w:p w14:paraId="19F720EB" w14:textId="77777777" w:rsidR="00F15C1B" w:rsidRDefault="00F15C1B" w:rsidP="007F22F3">
      <w:pPr>
        <w:pStyle w:val="paragraph"/>
        <w:spacing w:before="0" w:beforeAutospacing="0" w:after="0" w:afterAutospacing="0"/>
        <w:textAlignment w:val="baseline"/>
        <w:rPr>
          <w:rFonts w:ascii="Segoe UI" w:hAnsi="Segoe UI" w:cs="Segoe UI"/>
          <w:sz w:val="18"/>
          <w:szCs w:val="18"/>
        </w:rPr>
      </w:pPr>
    </w:p>
    <w:p w14:paraId="081B0104" w14:textId="77777777" w:rsidR="00174D46" w:rsidRDefault="003E1AED" w:rsidP="00012974">
      <w:pPr>
        <w:pStyle w:val="paragraph"/>
        <w:spacing w:before="0" w:beforeAutospacing="0" w:after="0" w:afterAutospacing="0"/>
        <w:textAlignment w:val="baseline"/>
        <w:rPr>
          <w:rStyle w:val="normaltextrun"/>
          <w:rFonts w:ascii="Calibri" w:hAnsi="Calibri" w:cs="Calibri"/>
          <w:b/>
          <w:bCs/>
          <w:color w:val="4F81BD"/>
          <w:sz w:val="22"/>
          <w:szCs w:val="22"/>
          <w:u w:val="single"/>
        </w:rPr>
      </w:pPr>
      <w:r>
        <w:rPr>
          <w:rStyle w:val="normaltextrun"/>
          <w:rFonts w:ascii="Calibri" w:hAnsi="Calibri" w:cs="Calibri"/>
          <w:b/>
          <w:bCs/>
          <w:color w:val="4F81BD"/>
          <w:sz w:val="22"/>
          <w:szCs w:val="22"/>
          <w:u w:val="single"/>
        </w:rPr>
        <w:t>2016 Submission</w:t>
      </w:r>
    </w:p>
    <w:p w14:paraId="6926C52D" w14:textId="7D7E6C4C" w:rsidR="00012974" w:rsidRPr="00174D46" w:rsidRDefault="00174D46" w:rsidP="00012974">
      <w:pPr>
        <w:pStyle w:val="paragraph"/>
        <w:spacing w:before="0" w:beforeAutospacing="0" w:after="0" w:afterAutospacing="0"/>
        <w:textAlignment w:val="baseline"/>
        <w:rPr>
          <w:rFonts w:ascii="Calibri" w:hAnsi="Calibri" w:cs="Calibri"/>
          <w:color w:val="548DD4"/>
          <w:sz w:val="22"/>
          <w:szCs w:val="22"/>
          <w:shd w:val="clear" w:color="auto" w:fill="FFFFFF"/>
        </w:rPr>
      </w:pPr>
      <w:r>
        <w:rPr>
          <w:rStyle w:val="normaltextrun"/>
          <w:rFonts w:ascii="Calibri" w:hAnsi="Calibri" w:cs="Calibri"/>
          <w:i/>
          <w:iCs/>
          <w:color w:val="548DD4"/>
          <w:sz w:val="22"/>
          <w:szCs w:val="22"/>
          <w:shd w:val="clear" w:color="auto" w:fill="FFFFFF"/>
        </w:rPr>
        <w:t>This question was not on the 2016 form. </w:t>
      </w:r>
      <w:r>
        <w:rPr>
          <w:rStyle w:val="eop"/>
          <w:rFonts w:ascii="Calibri" w:hAnsi="Calibri" w:cs="Calibri"/>
          <w:color w:val="548DD4"/>
          <w:sz w:val="22"/>
          <w:szCs w:val="22"/>
          <w:shd w:val="clear" w:color="auto" w:fill="FFFFFF"/>
        </w:rPr>
        <w:t> </w:t>
      </w:r>
      <w:r w:rsidR="003E1AED">
        <w:rPr>
          <w:rStyle w:val="eop"/>
          <w:rFonts w:ascii="Calibri" w:hAnsi="Calibri" w:cs="Calibri"/>
          <w:sz w:val="22"/>
          <w:szCs w:val="22"/>
        </w:rPr>
        <w:t> </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332F5118"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7D779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9B1C7D5" w14:textId="77777777" w:rsidR="00D960F4" w:rsidRDefault="00D960F4" w:rsidP="00D960F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FF0000"/>
          <w:sz w:val="22"/>
          <w:szCs w:val="22"/>
          <w:u w:val="single"/>
        </w:rPr>
        <w:t>2020 Submission</w:t>
      </w:r>
      <w:r>
        <w:rPr>
          <w:rStyle w:val="eop"/>
          <w:rFonts w:ascii="Calibri" w:hAnsi="Calibri" w:cs="Calibri"/>
          <w:sz w:val="22"/>
          <w:szCs w:val="22"/>
        </w:rPr>
        <w:t> </w:t>
      </w:r>
    </w:p>
    <w:p w14:paraId="444C2499" w14:textId="77777777" w:rsidR="00D960F4" w:rsidRDefault="00D960F4" w:rsidP="00D960F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FF0000"/>
          <w:sz w:val="22"/>
          <w:szCs w:val="22"/>
          <w:u w:val="single"/>
        </w:rPr>
        <w:t>Reliability testing of performance measure score </w:t>
      </w:r>
      <w:r>
        <w:rPr>
          <w:rStyle w:val="normaltextrun"/>
          <w:rFonts w:ascii="Calibri" w:hAnsi="Calibri" w:cs="Calibri"/>
          <w:color w:val="FF0000"/>
          <w:sz w:val="22"/>
          <w:szCs w:val="22"/>
        </w:rPr>
        <w:t> </w:t>
      </w:r>
      <w:r>
        <w:rPr>
          <w:rStyle w:val="eop"/>
          <w:rFonts w:ascii="Calibri" w:hAnsi="Calibri" w:cs="Calibri"/>
          <w:sz w:val="22"/>
          <w:szCs w:val="22"/>
        </w:rPr>
        <w:t> </w:t>
      </w:r>
    </w:p>
    <w:p w14:paraId="7433B719" w14:textId="4A62D45F" w:rsidR="00F67FA1" w:rsidRPr="00F420BB" w:rsidRDefault="00F67FA1" w:rsidP="00F67FA1">
      <w:pPr>
        <w:autoSpaceDE w:val="0"/>
        <w:autoSpaceDN w:val="0"/>
        <w:adjustRightInd w:val="0"/>
        <w:spacing w:before="120" w:after="0" w:line="256" w:lineRule="auto"/>
        <w:rPr>
          <w:rFonts w:cstheme="minorHAnsi"/>
          <w:color w:val="FF0000"/>
          <w:bdr w:val="none" w:sz="0" w:space="0" w:color="auto" w:frame="1"/>
        </w:rPr>
      </w:pPr>
      <w:r w:rsidRPr="00F420BB">
        <w:rPr>
          <w:rFonts w:cstheme="minorHAnsi"/>
          <w:color w:val="FF0000"/>
          <w:bdr w:val="none" w:sz="0" w:space="0" w:color="auto" w:frame="1"/>
        </w:rPr>
        <w:t xml:space="preserve">We utilized the methodology described by John Adams (Adams, J.L. The Reliability of Provider Profiling: A Tutorial. Santa Monica, California: RAND Corporation. TR-653-NCQA, 2009) to calculate signal-to-noise reliability. This methodology uses the Beta-binomial model to assess how well one can confidently distinguish the performance of one reporting entity from another. Conceptually, the Beta-binomial model is the ratio of signal to noise. The signal is the proportion of the variability in measured performance that can be explained by real differences across reporting entities (plans, physicians, etc.) in performance. The Beta-binomial model is an appropriate model when estimating the reliability of simple pass/fail rate measures, such as the </w:t>
      </w:r>
      <w:r w:rsidRPr="00F420BB">
        <w:rPr>
          <w:rFonts w:ascii="Calibri" w:eastAsia="Times New Roman" w:hAnsi="Calibri" w:cs="Calibri"/>
          <w:i/>
          <w:iCs/>
          <w:color w:val="FF0000"/>
        </w:rPr>
        <w:t>Use of High-Risk Medications in Older Adults</w:t>
      </w:r>
      <w:r w:rsidRPr="00F420BB">
        <w:rPr>
          <w:rFonts w:ascii="Calibri" w:eastAsia="Times New Roman" w:hAnsi="Calibri" w:cs="Calibri"/>
          <w:color w:val="FF0000"/>
        </w:rPr>
        <w:t> </w:t>
      </w:r>
      <w:r w:rsidRPr="00F420BB">
        <w:rPr>
          <w:rFonts w:cstheme="minorHAnsi"/>
          <w:color w:val="FF0000"/>
          <w:bdr w:val="none" w:sz="0" w:space="0" w:color="auto" w:frame="1"/>
        </w:rPr>
        <w:t xml:space="preserve">measure. Reliability scores range from 0.0 to 1.0. A score of zero implies that all variation is attributed to measurement error (i.e., noise), whereas a reliability of 1.0 implies that all variation is caused by a real difference in performance across reporting entities. </w:t>
      </w:r>
    </w:p>
    <w:p w14:paraId="7F0439C2" w14:textId="3BA5FF2F" w:rsidR="00F67FA1" w:rsidRDefault="00F67FA1" w:rsidP="00F67FA1">
      <w:pPr>
        <w:autoSpaceDE w:val="0"/>
        <w:autoSpaceDN w:val="0"/>
        <w:adjustRightInd w:val="0"/>
        <w:spacing w:before="180" w:after="0" w:line="256" w:lineRule="auto"/>
        <w:rPr>
          <w:rFonts w:cstheme="minorHAnsi"/>
          <w:color w:val="FF0000"/>
          <w:bdr w:val="none" w:sz="0" w:space="0" w:color="auto" w:frame="1"/>
        </w:rPr>
      </w:pPr>
      <w:r w:rsidRPr="00F420BB">
        <w:rPr>
          <w:rFonts w:cstheme="minorHAnsi"/>
          <w:color w:val="FF0000"/>
          <w:bdr w:val="none" w:sz="0" w:space="0" w:color="auto" w:frame="1"/>
        </w:rPr>
        <w:t>For the</w:t>
      </w:r>
      <w:r w:rsidR="00F420BB" w:rsidRPr="00F420BB">
        <w:rPr>
          <w:rFonts w:ascii="Calibri" w:eastAsia="Times New Roman" w:hAnsi="Calibri" w:cs="Calibri"/>
          <w:i/>
          <w:iCs/>
          <w:color w:val="FF0000"/>
        </w:rPr>
        <w:t xml:space="preserve"> Use of High-Risk Medications in Older Adults</w:t>
      </w:r>
      <w:r w:rsidR="00F420BB" w:rsidRPr="00F420BB">
        <w:rPr>
          <w:rFonts w:cstheme="minorHAnsi"/>
          <w:color w:val="FF0000"/>
          <w:bdr w:val="none" w:sz="0" w:space="0" w:color="auto" w:frame="1"/>
        </w:rPr>
        <w:t xml:space="preserve"> </w:t>
      </w:r>
      <w:r w:rsidRPr="00F420BB">
        <w:rPr>
          <w:rFonts w:cstheme="minorHAnsi"/>
          <w:color w:val="FF0000"/>
          <w:bdr w:val="none" w:sz="0" w:space="0" w:color="auto" w:frame="1"/>
        </w:rPr>
        <w:t>measure,</w:t>
      </w:r>
      <w:r w:rsidR="00120D98">
        <w:rPr>
          <w:rFonts w:cstheme="minorHAnsi"/>
          <w:color w:val="FF0000"/>
          <w:bdr w:val="none" w:sz="0" w:space="0" w:color="auto" w:frame="1"/>
        </w:rPr>
        <w:t xml:space="preserve"> </w:t>
      </w:r>
      <w:r w:rsidR="00F420BB" w:rsidRPr="00F420BB">
        <w:rPr>
          <w:rFonts w:cstheme="minorHAnsi"/>
          <w:color w:val="FF0000"/>
          <w:bdr w:val="none" w:sz="0" w:space="0" w:color="auto" w:frame="1"/>
        </w:rPr>
        <w:t>health plans</w:t>
      </w:r>
      <w:r w:rsidRPr="00F420BB">
        <w:rPr>
          <w:rFonts w:cstheme="minorHAnsi"/>
          <w:color w:val="FF0000"/>
          <w:bdr w:val="none" w:sz="0" w:space="0" w:color="auto" w:frame="1"/>
        </w:rPr>
        <w:t xml:space="preserve"> are the reporting entity. For the formulas and explanations below, we us</w:t>
      </w:r>
      <w:r w:rsidR="00F420BB" w:rsidRPr="00F420BB">
        <w:rPr>
          <w:rFonts w:cstheme="minorHAnsi"/>
          <w:color w:val="FF0000"/>
          <w:bdr w:val="none" w:sz="0" w:space="0" w:color="auto" w:frame="1"/>
        </w:rPr>
        <w:t xml:space="preserve">e health plans </w:t>
      </w:r>
      <w:r w:rsidRPr="00F420BB">
        <w:rPr>
          <w:rFonts w:cstheme="minorHAnsi"/>
          <w:color w:val="FF0000"/>
          <w:bdr w:val="none" w:sz="0" w:space="0" w:color="auto" w:frame="1"/>
        </w:rPr>
        <w:t>as the reporting entity.</w:t>
      </w:r>
    </w:p>
    <w:p w14:paraId="05815439" w14:textId="77777777" w:rsidR="00AD137A" w:rsidRPr="00AD137A" w:rsidRDefault="00AD137A" w:rsidP="00AD137A">
      <w:pPr>
        <w:autoSpaceDE w:val="0"/>
        <w:autoSpaceDN w:val="0"/>
        <w:adjustRightInd w:val="0"/>
        <w:spacing w:before="180" w:after="0" w:line="256" w:lineRule="auto"/>
        <w:rPr>
          <w:rFonts w:cstheme="minorHAnsi"/>
          <w:color w:val="FF0000"/>
          <w:bdr w:val="none" w:sz="0" w:space="0" w:color="auto" w:frame="1"/>
        </w:rPr>
      </w:pPr>
      <w:r w:rsidRPr="00AD137A">
        <w:rPr>
          <w:rFonts w:cstheme="minorHAnsi"/>
          <w:color w:val="FF0000"/>
          <w:bdr w:val="none" w:sz="0" w:space="0" w:color="auto" w:frame="1"/>
        </w:rPr>
        <w:t>The formula for signal-to-noise reliability is:</w:t>
      </w:r>
    </w:p>
    <w:p w14:paraId="4D88C22F" w14:textId="77777777" w:rsidR="00AD137A" w:rsidRPr="00AD137A" w:rsidRDefault="00AD137A" w:rsidP="00AD137A">
      <w:pPr>
        <w:autoSpaceDE w:val="0"/>
        <w:autoSpaceDN w:val="0"/>
        <w:adjustRightInd w:val="0"/>
        <w:spacing w:before="80" w:after="0" w:line="256" w:lineRule="auto"/>
        <w:ind w:firstLine="720"/>
        <w:rPr>
          <w:rFonts w:cstheme="minorHAnsi"/>
          <w:color w:val="FF0000"/>
          <w:bdr w:val="none" w:sz="0" w:space="0" w:color="auto" w:frame="1"/>
        </w:rPr>
      </w:pPr>
      <w:r w:rsidRPr="00AD137A">
        <w:rPr>
          <w:rFonts w:cstheme="minorHAnsi"/>
          <w:color w:val="FF0000"/>
          <w:bdr w:val="none" w:sz="0" w:space="0" w:color="auto" w:frame="1"/>
        </w:rPr>
        <w:t xml:space="preserve">Signal-to-noise reliability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 xml:space="preserve">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 xml:space="preserve">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error</w:t>
      </w:r>
      <w:r w:rsidRPr="00AD137A">
        <w:rPr>
          <w:rFonts w:cstheme="minorHAnsi"/>
          <w:color w:val="FF0000"/>
        </w:rPr>
        <w:t>)</w:t>
      </w:r>
    </w:p>
    <w:p w14:paraId="2EFE942A" w14:textId="77777777" w:rsidR="00436681" w:rsidRPr="00B75E69" w:rsidRDefault="00436681" w:rsidP="00436681">
      <w:pPr>
        <w:autoSpaceDE w:val="0"/>
        <w:autoSpaceDN w:val="0"/>
        <w:adjustRightInd w:val="0"/>
        <w:spacing w:before="180" w:after="0" w:line="256" w:lineRule="auto"/>
        <w:rPr>
          <w:color w:val="FF0000"/>
        </w:rPr>
      </w:pPr>
      <w:r>
        <w:rPr>
          <w:rFonts w:cstheme="minorHAnsi"/>
          <w:color w:val="FF0000"/>
          <w:bdr w:val="none" w:sz="0" w:space="0" w:color="auto" w:frame="1"/>
        </w:rPr>
        <w:t xml:space="preserve">More simply, the </w:t>
      </w:r>
      <w:r w:rsidRPr="00351DDA">
        <w:rPr>
          <w:rFonts w:cstheme="minorHAnsi"/>
          <w:color w:val="FF0000"/>
          <w:bdr w:val="none" w:sz="0" w:space="0" w:color="auto" w:frame="1"/>
        </w:rPr>
        <w:t xml:space="preserve">formula is </w:t>
      </w:r>
      <w:r w:rsidRPr="00B75E69">
        <w:rPr>
          <w:color w:val="FF0000"/>
        </w:rPr>
        <w:t>the numerator is the variation across plans, and the denominator is the sum of the variation across plans plus the variation within the plan (across members).</w:t>
      </w:r>
    </w:p>
    <w:p w14:paraId="128E56C0" w14:textId="451BFE2F" w:rsidR="00AD137A" w:rsidRPr="00AD137A" w:rsidRDefault="00AD137A" w:rsidP="00AD137A">
      <w:pPr>
        <w:autoSpaceDE w:val="0"/>
        <w:autoSpaceDN w:val="0"/>
        <w:adjustRightInd w:val="0"/>
        <w:spacing w:before="180" w:after="0" w:line="256" w:lineRule="auto"/>
        <w:rPr>
          <w:rFonts w:cstheme="minorHAnsi"/>
          <w:color w:val="FF0000"/>
          <w:bdr w:val="none" w:sz="0" w:space="0" w:color="auto" w:frame="1"/>
        </w:rPr>
      </w:pPr>
      <w:r w:rsidRPr="00351DDA">
        <w:rPr>
          <w:rFonts w:cstheme="minorHAnsi"/>
          <w:color w:val="FF0000"/>
          <w:bdr w:val="none" w:sz="0" w:space="0" w:color="auto" w:frame="1"/>
        </w:rPr>
        <w:t xml:space="preserve">Therefore, we need to estimate two variances: 1) variance between </w:t>
      </w:r>
      <w:r w:rsidRPr="00AD137A">
        <w:rPr>
          <w:rFonts w:cstheme="minorHAnsi"/>
          <w:color w:val="FF0000"/>
          <w:bdr w:val="none" w:sz="0" w:space="0" w:color="auto" w:frame="1"/>
        </w:rPr>
        <w:t>plans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w:t>
      </w:r>
      <w:r w:rsidRPr="00AD137A">
        <w:rPr>
          <w:rFonts w:cstheme="minorHAnsi"/>
          <w:color w:val="FF0000"/>
          <w:bdr w:val="none" w:sz="0" w:space="0" w:color="auto" w:frame="1"/>
        </w:rPr>
        <w:t>; 2) variance within plans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error</w:t>
      </w:r>
      <w:r w:rsidRPr="00AD137A">
        <w:rPr>
          <w:rFonts w:cstheme="minorHAnsi"/>
          <w:color w:val="FF0000"/>
        </w:rPr>
        <w:t>)</w:t>
      </w:r>
      <w:r w:rsidRPr="00AD137A">
        <w:rPr>
          <w:rFonts w:cstheme="minorHAnsi"/>
          <w:color w:val="FF0000"/>
          <w:bdr w:val="none" w:sz="0" w:space="0" w:color="auto" w:frame="1"/>
        </w:rPr>
        <w:t>.</w:t>
      </w:r>
    </w:p>
    <w:p w14:paraId="79A2B6C6" w14:textId="77777777" w:rsidR="00AD137A" w:rsidRPr="00AD137A" w:rsidRDefault="00AD137A" w:rsidP="00AD137A">
      <w:pPr>
        <w:pStyle w:val="ListParagraph"/>
        <w:numPr>
          <w:ilvl w:val="0"/>
          <w:numId w:val="34"/>
        </w:numPr>
        <w:autoSpaceDE w:val="0"/>
        <w:autoSpaceDN w:val="0"/>
        <w:adjustRightInd w:val="0"/>
        <w:spacing w:before="180" w:after="0" w:line="256" w:lineRule="auto"/>
        <w:rPr>
          <w:rFonts w:cstheme="minorHAnsi"/>
          <w:color w:val="FF0000"/>
        </w:rPr>
      </w:pPr>
      <w:r w:rsidRPr="00AD137A">
        <w:rPr>
          <w:rFonts w:cstheme="minorHAnsi"/>
          <w:color w:val="FF0000"/>
          <w:bdr w:val="none" w:sz="0" w:space="0" w:color="auto" w:frame="1"/>
        </w:rPr>
        <w:t xml:space="preserve">Variance between plans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 xml:space="preserve"> = (</w:t>
      </w:r>
      <w:r w:rsidRPr="00AD137A">
        <w:rPr>
          <w:rFonts w:cstheme="minorHAnsi"/>
          <w:color w:val="FF0000"/>
          <w:lang w:val="el-GR"/>
        </w:rPr>
        <w:t>α β</w:t>
      </w:r>
      <w:r w:rsidRPr="00AD137A">
        <w:rPr>
          <w:rFonts w:cstheme="minorHAnsi"/>
          <w:color w:val="FF0000"/>
        </w:rPr>
        <w:t>) / (</w:t>
      </w:r>
      <w:r w:rsidRPr="00AD137A">
        <w:rPr>
          <w:rFonts w:cstheme="minorHAnsi"/>
          <w:color w:val="FF0000"/>
          <w:lang w:val="el-GR"/>
        </w:rPr>
        <w:t>α</w:t>
      </w:r>
      <w:r w:rsidRPr="00AD137A">
        <w:rPr>
          <w:rFonts w:cstheme="minorHAnsi"/>
          <w:color w:val="FF0000"/>
        </w:rPr>
        <w:t xml:space="preserve"> + </w:t>
      </w:r>
      <w:r w:rsidRPr="00AD137A">
        <w:rPr>
          <w:rFonts w:cstheme="minorHAnsi"/>
          <w:color w:val="FF0000"/>
          <w:lang w:val="el-GR"/>
        </w:rPr>
        <w:t>β</w:t>
      </w:r>
      <w:r w:rsidRPr="00AD137A">
        <w:rPr>
          <w:rFonts w:cstheme="minorHAnsi"/>
          <w:color w:val="FF0000"/>
        </w:rPr>
        <w:t xml:space="preserve"> + 1)(</w:t>
      </w:r>
      <w:r w:rsidRPr="00AD137A">
        <w:rPr>
          <w:rFonts w:cstheme="minorHAnsi"/>
          <w:color w:val="FF0000"/>
          <w:lang w:val="el-GR"/>
        </w:rPr>
        <w:t>α</w:t>
      </w:r>
      <w:r w:rsidRPr="00AD137A">
        <w:rPr>
          <w:rFonts w:cstheme="minorHAnsi"/>
          <w:color w:val="FF0000"/>
        </w:rPr>
        <w:t xml:space="preserve"> + </w:t>
      </w:r>
      <w:r w:rsidRPr="00AD137A">
        <w:rPr>
          <w:rFonts w:cstheme="minorHAnsi"/>
          <w:color w:val="FF0000"/>
          <w:lang w:val="el-GR"/>
        </w:rPr>
        <w:t>β</w:t>
      </w:r>
      <w:r w:rsidRPr="00AD137A">
        <w:rPr>
          <w:rFonts w:cstheme="minorHAnsi"/>
          <w:color w:val="FF0000"/>
        </w:rPr>
        <w:t>)</w:t>
      </w:r>
      <w:r w:rsidRPr="00AD137A">
        <w:rPr>
          <w:rFonts w:cstheme="minorHAnsi"/>
          <w:color w:val="FF0000"/>
          <w:vertAlign w:val="superscript"/>
        </w:rPr>
        <w:t xml:space="preserve">2  </w:t>
      </w:r>
      <w:r w:rsidRPr="00AD137A">
        <w:rPr>
          <w:rFonts w:cstheme="minorHAnsi"/>
          <w:color w:val="FF0000"/>
        </w:rPr>
        <w:t xml:space="preserve"> </w:t>
      </w:r>
    </w:p>
    <w:p w14:paraId="724ABE84" w14:textId="77777777" w:rsidR="00AD137A" w:rsidRPr="00AD137A" w:rsidRDefault="00AD137A" w:rsidP="00AD137A">
      <w:pPr>
        <w:pStyle w:val="ListParagraph"/>
        <w:autoSpaceDE w:val="0"/>
        <w:autoSpaceDN w:val="0"/>
        <w:adjustRightInd w:val="0"/>
        <w:spacing w:before="80" w:after="0" w:line="256" w:lineRule="auto"/>
        <w:ind w:firstLine="720"/>
        <w:rPr>
          <w:rFonts w:cstheme="minorHAnsi"/>
          <w:color w:val="FF0000"/>
        </w:rPr>
      </w:pPr>
      <w:r w:rsidRPr="00AD137A">
        <w:rPr>
          <w:rFonts w:cstheme="minorHAnsi"/>
          <w:color w:val="FF0000"/>
          <w:lang w:val="el-GR"/>
        </w:rPr>
        <w:t>α</w:t>
      </w:r>
      <w:r w:rsidRPr="00AD137A">
        <w:rPr>
          <w:rFonts w:cstheme="minorHAnsi"/>
          <w:color w:val="FF0000"/>
        </w:rPr>
        <w:t xml:space="preserve"> and </w:t>
      </w:r>
      <w:r w:rsidRPr="00AD137A">
        <w:rPr>
          <w:rFonts w:cstheme="minorHAnsi"/>
          <w:color w:val="FF0000"/>
          <w:lang w:val="el-GR"/>
        </w:rPr>
        <w:t>β</w:t>
      </w:r>
      <w:r w:rsidRPr="00AD137A">
        <w:rPr>
          <w:rFonts w:cstheme="minorHAnsi"/>
          <w:color w:val="FF0000"/>
        </w:rPr>
        <w:t xml:space="preserve"> are two shape parameters of the Beta-Binomial distribution, </w:t>
      </w:r>
      <w:r w:rsidRPr="00AD137A">
        <w:rPr>
          <w:rFonts w:cstheme="minorHAnsi"/>
          <w:color w:val="FF0000"/>
          <w:lang w:val="el-GR"/>
        </w:rPr>
        <w:t>α</w:t>
      </w:r>
      <w:r w:rsidRPr="00AD137A">
        <w:rPr>
          <w:rFonts w:cstheme="minorHAnsi"/>
          <w:color w:val="FF0000"/>
        </w:rPr>
        <w:t xml:space="preserve"> &gt;0, </w:t>
      </w:r>
      <w:r w:rsidRPr="00AD137A">
        <w:rPr>
          <w:rFonts w:cstheme="minorHAnsi"/>
          <w:color w:val="FF0000"/>
          <w:lang w:val="el-GR"/>
        </w:rPr>
        <w:t>β</w:t>
      </w:r>
      <w:r w:rsidRPr="00AD137A">
        <w:rPr>
          <w:rFonts w:cstheme="minorHAnsi"/>
          <w:color w:val="FF0000"/>
        </w:rPr>
        <w:t xml:space="preserve"> &gt; 0</w:t>
      </w:r>
    </w:p>
    <w:p w14:paraId="387BC012" w14:textId="77777777" w:rsidR="00AD137A" w:rsidRPr="00AD137A" w:rsidRDefault="00AD137A" w:rsidP="00AD137A">
      <w:pPr>
        <w:pStyle w:val="ListParagraph"/>
        <w:numPr>
          <w:ilvl w:val="0"/>
          <w:numId w:val="34"/>
        </w:numPr>
        <w:autoSpaceDE w:val="0"/>
        <w:autoSpaceDN w:val="0"/>
        <w:adjustRightInd w:val="0"/>
        <w:spacing w:before="180" w:after="0" w:line="256" w:lineRule="auto"/>
        <w:rPr>
          <w:rFonts w:cstheme="minorHAnsi"/>
          <w:color w:val="FF0000"/>
        </w:rPr>
      </w:pPr>
      <w:r w:rsidRPr="00AD137A">
        <w:rPr>
          <w:rFonts w:cstheme="minorHAnsi"/>
          <w:color w:val="FF0000"/>
        </w:rPr>
        <w:t xml:space="preserve">Variance within plans: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error</w:t>
      </w:r>
      <w:r w:rsidRPr="00AD137A">
        <w:rPr>
          <w:rFonts w:cstheme="minorHAnsi"/>
          <w:color w:val="FF0000"/>
        </w:rPr>
        <w:t xml:space="preserve"> = </w:t>
      </w:r>
      <w:r w:rsidRPr="00AD137A">
        <w:rPr>
          <w:rFonts w:cstheme="minorHAnsi"/>
          <w:color w:val="FF0000"/>
          <w:shd w:val="clear" w:color="auto" w:fill="FFFFFF"/>
        </w:rPr>
        <w:t>p̂(1- p̂)/n</w:t>
      </w:r>
    </w:p>
    <w:p w14:paraId="7E843E96" w14:textId="77777777" w:rsidR="00AD137A" w:rsidRPr="00AD137A" w:rsidRDefault="00AD137A" w:rsidP="00AD137A">
      <w:pPr>
        <w:autoSpaceDE w:val="0"/>
        <w:autoSpaceDN w:val="0"/>
        <w:adjustRightInd w:val="0"/>
        <w:spacing w:before="80" w:after="0" w:line="256" w:lineRule="auto"/>
        <w:ind w:left="720" w:firstLine="720"/>
        <w:rPr>
          <w:rFonts w:cstheme="minorHAnsi"/>
          <w:color w:val="FF0000"/>
          <w:shd w:val="clear" w:color="auto" w:fill="FFFFFF"/>
        </w:rPr>
      </w:pPr>
      <w:r w:rsidRPr="00AD137A">
        <w:rPr>
          <w:rFonts w:cstheme="minorHAnsi"/>
          <w:color w:val="FF0000"/>
          <w:shd w:val="clear" w:color="auto" w:fill="FFFFFF"/>
        </w:rPr>
        <w:t>p̂ = observed rate for the plan</w:t>
      </w:r>
    </w:p>
    <w:p w14:paraId="32620EB5" w14:textId="77777777" w:rsidR="00AD137A" w:rsidRPr="00AD137A" w:rsidRDefault="00AD137A" w:rsidP="00AD137A">
      <w:pPr>
        <w:autoSpaceDE w:val="0"/>
        <w:autoSpaceDN w:val="0"/>
        <w:adjustRightInd w:val="0"/>
        <w:spacing w:before="80" w:after="0" w:line="256" w:lineRule="auto"/>
        <w:ind w:left="720" w:firstLine="720"/>
        <w:rPr>
          <w:rFonts w:cstheme="minorHAnsi"/>
          <w:color w:val="FF0000"/>
          <w:shd w:val="clear" w:color="auto" w:fill="FFFFFF"/>
        </w:rPr>
      </w:pPr>
      <w:r w:rsidRPr="00AD137A">
        <w:rPr>
          <w:rFonts w:cstheme="minorHAnsi"/>
          <w:color w:val="FF0000"/>
          <w:shd w:val="clear" w:color="auto" w:fill="FFFFFF"/>
        </w:rPr>
        <w:t>n = plan-specific denominator for the observed rate (most often the number of eligible plan members)</w:t>
      </w:r>
    </w:p>
    <w:p w14:paraId="76DB064C" w14:textId="77777777" w:rsidR="00AD137A" w:rsidRPr="00AD137A" w:rsidRDefault="00AD137A" w:rsidP="00AD137A">
      <w:pPr>
        <w:autoSpaceDE w:val="0"/>
        <w:autoSpaceDN w:val="0"/>
        <w:adjustRightInd w:val="0"/>
        <w:spacing w:before="180" w:after="0" w:line="256" w:lineRule="auto"/>
        <w:rPr>
          <w:rFonts w:cstheme="minorHAnsi"/>
          <w:color w:val="FF0000"/>
          <w:bdr w:val="none" w:sz="0" w:space="0" w:color="auto" w:frame="1"/>
        </w:rPr>
      </w:pPr>
      <w:r w:rsidRPr="00AD137A">
        <w:rPr>
          <w:rFonts w:cstheme="minorHAnsi"/>
          <w:color w:val="FF0000"/>
          <w:bdr w:val="none" w:sz="0" w:space="0" w:color="auto" w:frame="1"/>
        </w:rPr>
        <w:t>Using Adams’ 2009 methodology, we estimated the reliability for each reporting entity, then averaged these reliability estimates across all reporting entities to produce a point estimate of signal-to-noise reliability. We label this point estimate “mean signal-to-noise reliability”. The mean signal-to-noise reliability measures how well, on average, the measure can differentiate between reporting entity performance on the measure.</w:t>
      </w:r>
    </w:p>
    <w:p w14:paraId="4B8D9BED" w14:textId="77777777" w:rsidR="00AD137A" w:rsidRPr="00AD137A" w:rsidRDefault="00AD137A" w:rsidP="00AD137A">
      <w:pPr>
        <w:autoSpaceDE w:val="0"/>
        <w:autoSpaceDN w:val="0"/>
        <w:adjustRightInd w:val="0"/>
        <w:spacing w:before="180" w:after="0" w:line="256" w:lineRule="auto"/>
        <w:rPr>
          <w:rFonts w:cstheme="minorHAnsi"/>
          <w:color w:val="FF0000"/>
          <w:bdr w:val="none" w:sz="0" w:space="0" w:color="auto" w:frame="1"/>
        </w:rPr>
      </w:pPr>
      <w:r w:rsidRPr="00AD137A">
        <w:rPr>
          <w:rFonts w:cstheme="minorHAnsi"/>
          <w:color w:val="FF0000"/>
          <w:bdr w:val="none" w:sz="0" w:space="0" w:color="auto" w:frame="1"/>
        </w:rPr>
        <w:t xml:space="preserve">Along with the point estimate of mean signal-to-noise reliability, we are also providing: </w:t>
      </w:r>
    </w:p>
    <w:p w14:paraId="12A3B8EE" w14:textId="77777777" w:rsidR="00AD137A" w:rsidRPr="00AD137A" w:rsidRDefault="00AD137A" w:rsidP="00AD137A">
      <w:pPr>
        <w:pStyle w:val="ListParagraph"/>
        <w:numPr>
          <w:ilvl w:val="0"/>
          <w:numId w:val="35"/>
        </w:numPr>
        <w:autoSpaceDE w:val="0"/>
        <w:autoSpaceDN w:val="0"/>
        <w:adjustRightInd w:val="0"/>
        <w:spacing w:before="180" w:after="0" w:line="256" w:lineRule="auto"/>
        <w:rPr>
          <w:rFonts w:cstheme="minorHAnsi"/>
          <w:color w:val="FF0000"/>
          <w:bdr w:val="none" w:sz="0" w:space="0" w:color="auto" w:frame="1"/>
        </w:rPr>
      </w:pPr>
      <w:bookmarkStart w:id="11" w:name="_Hlk41915555"/>
      <w:r w:rsidRPr="00AD137A">
        <w:rPr>
          <w:rFonts w:cstheme="minorHAnsi"/>
          <w:color w:val="FF0000"/>
          <w:u w:val="single"/>
          <w:bdr w:val="none" w:sz="0" w:space="0" w:color="auto" w:frame="1"/>
        </w:rPr>
        <w:t>The standard error (SE) and 95% confidence interval (95% CI) of the mean signal-to-noise reliability for all plans and stratified by the denominator size (number of eligible members per plan)</w:t>
      </w:r>
      <w:r w:rsidRPr="00AD137A">
        <w:rPr>
          <w:rFonts w:cstheme="minorHAnsi"/>
          <w:color w:val="FF0000"/>
          <w:bdr w:val="none" w:sz="0" w:space="0" w:color="auto" w:frame="1"/>
        </w:rPr>
        <w:t xml:space="preserve">. </w:t>
      </w:r>
      <w:bookmarkEnd w:id="11"/>
      <w:r w:rsidRPr="00AD137A">
        <w:rPr>
          <w:rFonts w:cstheme="minorHAnsi"/>
          <w:color w:val="FF0000"/>
          <w:bdr w:val="none" w:sz="0" w:space="0" w:color="auto" w:frame="1"/>
        </w:rPr>
        <w:t xml:space="preserve">The SE and 95% CI of the mean signal-to-noise reliability provides information about the stability of reliability. The 95% CI is the mean signal-to-noise reliability ± (1.96*SE). The narrower </w:t>
      </w:r>
      <w:r w:rsidRPr="00AD137A">
        <w:rPr>
          <w:rFonts w:cstheme="minorHAnsi"/>
          <w:color w:val="FF0000"/>
          <w:bdr w:val="none" w:sz="0" w:space="0" w:color="auto" w:frame="1"/>
        </w:rPr>
        <w:lastRenderedPageBreak/>
        <w:t xml:space="preserve">the confidence interval, the less the mean signal-to-noise reliability estimate will change due to idiosyncratic features of specific plans. We also stratified the results by the denominator size using terciles of the distribution to provide additional information about the stability of reliability. </w:t>
      </w:r>
    </w:p>
    <w:p w14:paraId="2DFA302B" w14:textId="183E4480" w:rsidR="00AD137A" w:rsidRPr="00AD137A" w:rsidRDefault="00AD137A" w:rsidP="00AD137A">
      <w:pPr>
        <w:pStyle w:val="ListParagraph"/>
        <w:numPr>
          <w:ilvl w:val="0"/>
          <w:numId w:val="35"/>
        </w:numPr>
        <w:autoSpaceDE w:val="0"/>
        <w:autoSpaceDN w:val="0"/>
        <w:adjustRightInd w:val="0"/>
        <w:spacing w:before="180" w:after="0" w:line="256" w:lineRule="auto"/>
        <w:rPr>
          <w:rFonts w:cstheme="minorHAnsi"/>
          <w:color w:val="FF0000"/>
          <w:bdr w:val="none" w:sz="0" w:space="0" w:color="auto" w:frame="1"/>
        </w:rPr>
      </w:pPr>
      <w:r w:rsidRPr="00AD137A">
        <w:rPr>
          <w:rFonts w:cstheme="minorHAnsi"/>
          <w:color w:val="FF0000"/>
          <w:u w:val="single"/>
          <w:bdr w:val="none" w:sz="0" w:space="0" w:color="auto" w:frame="1"/>
        </w:rPr>
        <w:t xml:space="preserve">The distribution </w:t>
      </w:r>
      <w:bookmarkStart w:id="12" w:name="_Hlk41915586"/>
      <w:r w:rsidRPr="00AD137A">
        <w:rPr>
          <w:rFonts w:cstheme="minorHAnsi"/>
          <w:color w:val="FF0000"/>
          <w:u w:val="single"/>
          <w:bdr w:val="none" w:sz="0" w:space="0" w:color="auto" w:frame="1"/>
        </w:rPr>
        <w:t>(minimum, 10</w:t>
      </w:r>
      <w:r w:rsidRPr="00AD137A">
        <w:rPr>
          <w:rFonts w:cstheme="minorHAnsi"/>
          <w:color w:val="FF0000"/>
          <w:u w:val="single"/>
          <w:bdr w:val="none" w:sz="0" w:space="0" w:color="auto" w:frame="1"/>
          <w:vertAlign w:val="superscript"/>
        </w:rPr>
        <w:t>th</w:t>
      </w:r>
      <w:r w:rsidRPr="00AD137A">
        <w:rPr>
          <w:rFonts w:cstheme="minorHAnsi"/>
          <w:color w:val="FF0000"/>
          <w:u w:val="single"/>
          <w:bdr w:val="none" w:sz="0" w:space="0" w:color="auto" w:frame="1"/>
        </w:rPr>
        <w:t>, 25</w:t>
      </w:r>
      <w:r w:rsidRPr="00AD137A">
        <w:rPr>
          <w:rFonts w:cstheme="minorHAnsi"/>
          <w:color w:val="FF0000"/>
          <w:u w:val="single"/>
          <w:bdr w:val="none" w:sz="0" w:space="0" w:color="auto" w:frame="1"/>
          <w:vertAlign w:val="superscript"/>
        </w:rPr>
        <w:t>th</w:t>
      </w:r>
      <w:r w:rsidRPr="00AD137A">
        <w:rPr>
          <w:rFonts w:cstheme="minorHAnsi"/>
          <w:color w:val="FF0000"/>
          <w:u w:val="single"/>
          <w:bdr w:val="none" w:sz="0" w:space="0" w:color="auto" w:frame="1"/>
        </w:rPr>
        <w:t>, 50</w:t>
      </w:r>
      <w:r w:rsidRPr="00AD137A">
        <w:rPr>
          <w:rFonts w:cstheme="minorHAnsi"/>
          <w:color w:val="FF0000"/>
          <w:u w:val="single"/>
          <w:bdr w:val="none" w:sz="0" w:space="0" w:color="auto" w:frame="1"/>
          <w:vertAlign w:val="superscript"/>
        </w:rPr>
        <w:t>th</w:t>
      </w:r>
      <w:r w:rsidRPr="00AD137A">
        <w:rPr>
          <w:rFonts w:cstheme="minorHAnsi"/>
          <w:color w:val="FF0000"/>
          <w:u w:val="single"/>
          <w:bdr w:val="none" w:sz="0" w:space="0" w:color="auto" w:frame="1"/>
        </w:rPr>
        <w:t>, 75</w:t>
      </w:r>
      <w:r w:rsidRPr="00AD137A">
        <w:rPr>
          <w:rFonts w:cstheme="minorHAnsi"/>
          <w:color w:val="FF0000"/>
          <w:u w:val="single"/>
          <w:bdr w:val="none" w:sz="0" w:space="0" w:color="auto" w:frame="1"/>
          <w:vertAlign w:val="superscript"/>
        </w:rPr>
        <w:t>th</w:t>
      </w:r>
      <w:r w:rsidRPr="00AD137A">
        <w:rPr>
          <w:rFonts w:cstheme="minorHAnsi"/>
          <w:color w:val="FF0000"/>
          <w:u w:val="single"/>
          <w:bdr w:val="none" w:sz="0" w:space="0" w:color="auto" w:frame="1"/>
        </w:rPr>
        <w:t>, 90</w:t>
      </w:r>
      <w:r w:rsidRPr="00AD137A">
        <w:rPr>
          <w:rFonts w:cstheme="minorHAnsi"/>
          <w:color w:val="FF0000"/>
          <w:u w:val="single"/>
          <w:bdr w:val="none" w:sz="0" w:space="0" w:color="auto" w:frame="1"/>
          <w:vertAlign w:val="superscript"/>
        </w:rPr>
        <w:t>th</w:t>
      </w:r>
      <w:r w:rsidRPr="00AD137A">
        <w:rPr>
          <w:rFonts w:cstheme="minorHAnsi"/>
          <w:color w:val="FF0000"/>
          <w:u w:val="single"/>
          <w:bdr w:val="none" w:sz="0" w:space="0" w:color="auto" w:frame="1"/>
        </w:rPr>
        <w:t xml:space="preserve">, maximum) of the plan-level signal-to-noise reliability </w:t>
      </w:r>
      <w:bookmarkEnd w:id="12"/>
      <w:r w:rsidRPr="00AD137A">
        <w:rPr>
          <w:rFonts w:cstheme="minorHAnsi"/>
          <w:color w:val="FF0000"/>
          <w:u w:val="single"/>
          <w:bdr w:val="none" w:sz="0" w:space="0" w:color="auto" w:frame="1"/>
        </w:rPr>
        <w:t>estimates</w:t>
      </w:r>
      <w:r w:rsidRPr="00AD137A">
        <w:rPr>
          <w:rFonts w:cstheme="minorHAnsi"/>
          <w:color w:val="FF0000"/>
          <w:bdr w:val="none" w:sz="0" w:space="0" w:color="auto" w:frame="1"/>
        </w:rPr>
        <w:t xml:space="preserve">. Each plan’s reliability estimate is a ratio of signal to noise, as described above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 xml:space="preserve">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 xml:space="preserve"> +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error</w:t>
      </w:r>
      <w:r w:rsidRPr="00AD137A">
        <w:rPr>
          <w:rFonts w:cstheme="minorHAnsi"/>
          <w:color w:val="FF0000"/>
        </w:rPr>
        <w:t>)]. Variability between plans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plan-to-plan</w:t>
      </w:r>
      <w:r w:rsidRPr="00AD137A">
        <w:rPr>
          <w:rFonts w:cstheme="minorHAnsi"/>
          <w:color w:val="FF0000"/>
        </w:rPr>
        <w:t>) is the same for each plan, while the specific plan error (</w:t>
      </w:r>
      <w:r w:rsidRPr="00AD137A">
        <w:rPr>
          <w:rFonts w:cstheme="minorHAnsi"/>
          <w:color w:val="FF0000"/>
          <w:lang w:val="el-GR"/>
        </w:rPr>
        <w:t>σ</w:t>
      </w:r>
      <w:r w:rsidRPr="00AD137A">
        <w:rPr>
          <w:rFonts w:cstheme="minorHAnsi"/>
          <w:color w:val="FF0000"/>
          <w:vertAlign w:val="superscript"/>
          <w:lang w:val="el-GR"/>
        </w:rPr>
        <w:t>2</w:t>
      </w:r>
      <w:r w:rsidRPr="00AD137A">
        <w:rPr>
          <w:rFonts w:cstheme="minorHAnsi"/>
          <w:color w:val="FF0000"/>
          <w:vertAlign w:val="subscript"/>
        </w:rPr>
        <w:t>error</w:t>
      </w:r>
      <w:r w:rsidRPr="00AD137A">
        <w:rPr>
          <w:rFonts w:cstheme="minorHAnsi"/>
          <w:color w:val="FF0000"/>
        </w:rPr>
        <w:t xml:space="preserve">) varies. Reliability for each plan is an ordinal measure of how well one can </w:t>
      </w:r>
      <w:r w:rsidRPr="00351DDA">
        <w:rPr>
          <w:rFonts w:cstheme="minorHAnsi"/>
          <w:color w:val="FF0000"/>
        </w:rPr>
        <w:t xml:space="preserve">determine </w:t>
      </w:r>
      <w:r w:rsidRPr="00B75E69">
        <w:rPr>
          <w:color w:val="FF0000"/>
        </w:rPr>
        <w:t xml:space="preserve">where a </w:t>
      </w:r>
      <w:r w:rsidR="0080564F" w:rsidRPr="00B75E69">
        <w:rPr>
          <w:color w:val="FF0000"/>
        </w:rPr>
        <w:t>given plan lies in the distribution of reliability across all plans</w:t>
      </w:r>
      <w:r w:rsidRPr="00351DDA">
        <w:rPr>
          <w:rFonts w:cstheme="minorHAnsi"/>
          <w:color w:val="FF0000"/>
        </w:rPr>
        <w:t>, with higher estimates in</w:t>
      </w:r>
      <w:r w:rsidRPr="00AD137A">
        <w:rPr>
          <w:rFonts w:cstheme="minorHAnsi"/>
          <w:color w:val="FF0000"/>
        </w:rPr>
        <w:t>dicating better reliability. W</w:t>
      </w:r>
      <w:r w:rsidRPr="00AD137A">
        <w:rPr>
          <w:rFonts w:cstheme="minorHAnsi"/>
          <w:color w:val="FF0000"/>
          <w:bdr w:val="none" w:sz="0" w:space="0" w:color="auto" w:frame="1"/>
        </w:rPr>
        <w:t xml:space="preserve">e also stratified the results by the denominator size using terciles of the distribution to provide additional information about the distribution of plan-level signal-to-noise reliability estimates. The </w:t>
      </w:r>
      <w:r w:rsidRPr="00AD137A">
        <w:rPr>
          <w:rFonts w:cstheme="minorHAnsi"/>
          <w:color w:val="FF0000"/>
        </w:rPr>
        <w:t>number of plans in each stratum and the per-plan denominators of the performance rates are displayed in the summary tables.</w:t>
      </w:r>
    </w:p>
    <w:p w14:paraId="7216B3D1" w14:textId="77777777" w:rsidR="00AD137A" w:rsidRPr="00AD137A" w:rsidRDefault="00AD137A" w:rsidP="00AD137A">
      <w:pPr>
        <w:autoSpaceDE w:val="0"/>
        <w:autoSpaceDN w:val="0"/>
        <w:adjustRightInd w:val="0"/>
        <w:spacing w:before="180" w:after="0" w:line="256" w:lineRule="auto"/>
        <w:rPr>
          <w:rFonts w:cstheme="minorHAnsi"/>
          <w:color w:val="FF0000"/>
        </w:rPr>
      </w:pPr>
      <w:r w:rsidRPr="00AD137A">
        <w:rPr>
          <w:rFonts w:cstheme="minorHAnsi"/>
          <w:color w:val="FF0000"/>
        </w:rPr>
        <w:t xml:space="preserve">This methodology allows us to estimate the reliability for each plan and summarize the distribution of these estimates. </w:t>
      </w:r>
    </w:p>
    <w:p w14:paraId="0CABCFD2" w14:textId="3946E27B" w:rsidR="008C54A9" w:rsidRDefault="008C54A9" w:rsidP="008C54A9">
      <w:pPr>
        <w:autoSpaceDE w:val="0"/>
        <w:autoSpaceDN w:val="0"/>
        <w:adjustRightInd w:val="0"/>
        <w:spacing w:after="0" w:line="240" w:lineRule="auto"/>
        <w:rPr>
          <w:rFonts w:cstheme="minorHAnsi"/>
          <w:bCs/>
        </w:rPr>
      </w:pPr>
    </w:p>
    <w:p w14:paraId="06B55B14" w14:textId="77777777"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27EB0865" w14:textId="77777777" w:rsidR="00DB1340" w:rsidRPr="00DB1340" w:rsidRDefault="00DB1340" w:rsidP="00DB1340">
      <w:pPr>
        <w:autoSpaceDE w:val="0"/>
        <w:autoSpaceDN w:val="0"/>
        <w:adjustRightInd w:val="0"/>
        <w:spacing w:after="0" w:line="240" w:lineRule="auto"/>
        <w:rPr>
          <w:rFonts w:cstheme="minorHAnsi"/>
          <w:bCs/>
          <w:color w:val="4F81BD" w:themeColor="accent1"/>
        </w:rPr>
      </w:pPr>
      <w:r w:rsidRPr="00DB1340">
        <w:rPr>
          <w:rFonts w:cstheme="minorHAnsi"/>
          <w:bCs/>
          <w:color w:val="4F81BD" w:themeColor="accent1"/>
        </w:rPr>
        <w:t>Reliability was estimated by using the beta-binomial model. Beta-binomial is a better fit when estimating the reliability of simple pass/fail rate measures as is the case with most HEDIS® health plan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w:t>
      </w:r>
    </w:p>
    <w:p w14:paraId="7EADDEE8" w14:textId="77777777" w:rsidR="00DB1340" w:rsidRPr="00DB1340" w:rsidRDefault="00DB1340" w:rsidP="00DB1340">
      <w:pPr>
        <w:autoSpaceDE w:val="0"/>
        <w:autoSpaceDN w:val="0"/>
        <w:adjustRightInd w:val="0"/>
        <w:spacing w:after="0" w:line="240" w:lineRule="auto"/>
        <w:rPr>
          <w:rFonts w:cstheme="minorHAnsi"/>
          <w:bCs/>
          <w:color w:val="4F81BD" w:themeColor="accent1"/>
        </w:rPr>
      </w:pPr>
    </w:p>
    <w:p w14:paraId="7673D585" w14:textId="6F4D70C6" w:rsidR="003E1AED" w:rsidRPr="00DB1340" w:rsidRDefault="00DB1340" w:rsidP="00DB1340">
      <w:pPr>
        <w:autoSpaceDE w:val="0"/>
        <w:autoSpaceDN w:val="0"/>
        <w:adjustRightInd w:val="0"/>
        <w:spacing w:after="0" w:line="240" w:lineRule="auto"/>
        <w:rPr>
          <w:rFonts w:cstheme="minorHAnsi"/>
          <w:bCs/>
          <w:color w:val="4F81BD" w:themeColor="accent1"/>
        </w:rPr>
      </w:pPr>
      <w:r w:rsidRPr="00DB1340">
        <w:rPr>
          <w:rFonts w:cstheme="minorHAnsi"/>
          <w:bCs/>
          <w:color w:val="4F81BD" w:themeColor="accent1"/>
        </w:rPr>
        <w:t>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p>
    <w:p w14:paraId="39EC21BE" w14:textId="77777777" w:rsidR="007D7796" w:rsidRPr="00A25024" w:rsidRDefault="007D7796" w:rsidP="008C54A9">
      <w:pPr>
        <w:autoSpaceDE w:val="0"/>
        <w:autoSpaceDN w:val="0"/>
        <w:adjustRightInd w:val="0"/>
        <w:spacing w:after="0" w:line="240" w:lineRule="auto"/>
        <w:rPr>
          <w:rFonts w:cstheme="minorHAnsi"/>
          <w:bCs/>
        </w:rPr>
      </w:pPr>
    </w:p>
    <w:p w14:paraId="5F833EFF" w14:textId="3DD09B5C" w:rsidR="00C01348" w:rsidRPr="0013082E" w:rsidRDefault="00092566" w:rsidP="00C01348">
      <w:pPr>
        <w:pStyle w:val="paragraph"/>
        <w:spacing w:before="0" w:beforeAutospacing="0" w:after="0" w:afterAutospacing="0"/>
        <w:textAlignment w:val="baseline"/>
        <w:rPr>
          <w:rFonts w:asciiTheme="minorHAnsi" w:hAnsiTheme="minorHAnsi" w:cstheme="minorHAnsi"/>
          <w:sz w:val="22"/>
          <w:szCs w:val="22"/>
        </w:rPr>
      </w:pPr>
      <w:r w:rsidRPr="0013082E">
        <w:rPr>
          <w:rFonts w:asciiTheme="minorHAnsi" w:hAnsiTheme="minorHAnsi" w:cstheme="minorHAnsi"/>
          <w:b/>
          <w:bCs/>
          <w:sz w:val="22"/>
          <w:szCs w:val="22"/>
        </w:rPr>
        <w:t>2a2.</w:t>
      </w:r>
      <w:r w:rsidR="008C54A9" w:rsidRPr="0013082E">
        <w:rPr>
          <w:rFonts w:asciiTheme="minorHAnsi" w:hAnsiTheme="minorHAnsi" w:cstheme="minorHAnsi"/>
          <w:b/>
          <w:bCs/>
          <w:sz w:val="22"/>
          <w:szCs w:val="22"/>
        </w:rPr>
        <w:t xml:space="preserve">3. For each level </w:t>
      </w:r>
      <w:r w:rsidR="008F7E67" w:rsidRPr="0013082E">
        <w:rPr>
          <w:rFonts w:asciiTheme="minorHAnsi" w:hAnsiTheme="minorHAnsi" w:cstheme="minorHAnsi"/>
          <w:b/>
          <w:bCs/>
          <w:sz w:val="22"/>
          <w:szCs w:val="22"/>
        </w:rPr>
        <w:t xml:space="preserve">of testing </w:t>
      </w:r>
      <w:r w:rsidR="008C54A9" w:rsidRPr="0013082E">
        <w:rPr>
          <w:rFonts w:asciiTheme="minorHAnsi" w:hAnsiTheme="minorHAnsi" w:cstheme="minorHAnsi"/>
          <w:b/>
          <w:bCs/>
          <w:sz w:val="22"/>
          <w:szCs w:val="22"/>
        </w:rPr>
        <w:t>checked above, w</w:t>
      </w:r>
      <w:r w:rsidR="00900DBF" w:rsidRPr="0013082E">
        <w:rPr>
          <w:rFonts w:asciiTheme="minorHAnsi" w:hAnsiTheme="minorHAnsi" w:cstheme="minorHAnsi"/>
          <w:b/>
          <w:bCs/>
          <w:sz w:val="22"/>
          <w:szCs w:val="22"/>
        </w:rPr>
        <w:t>hat were the statistical results</w:t>
      </w:r>
      <w:r w:rsidR="007422FD" w:rsidRPr="0013082E">
        <w:rPr>
          <w:rFonts w:asciiTheme="minorHAnsi" w:hAnsiTheme="minorHAnsi" w:cstheme="minorHAnsi"/>
          <w:b/>
          <w:bCs/>
          <w:sz w:val="22"/>
          <w:szCs w:val="22"/>
        </w:rPr>
        <w:t xml:space="preserve"> from reliability testing</w:t>
      </w:r>
      <w:r w:rsidR="00900DBF" w:rsidRPr="0013082E">
        <w:rPr>
          <w:rFonts w:asciiTheme="minorHAnsi" w:hAnsiTheme="minorHAnsi" w:cstheme="minorHAnsi"/>
          <w:bCs/>
          <w:sz w:val="22"/>
          <w:szCs w:val="22"/>
        </w:rPr>
        <w:t>?</w:t>
      </w:r>
      <w:r w:rsidR="00B037BA" w:rsidRPr="0013082E">
        <w:rPr>
          <w:rFonts w:asciiTheme="minorHAnsi" w:hAnsiTheme="minorHAnsi" w:cstheme="minorHAnsi"/>
          <w:bCs/>
          <w:sz w:val="22"/>
          <w:szCs w:val="22"/>
        </w:rPr>
        <w:t xml:space="preserve"> </w:t>
      </w:r>
      <w:r w:rsidR="00AA5213" w:rsidRPr="0013082E">
        <w:rPr>
          <w:rFonts w:asciiTheme="minorHAnsi" w:hAnsiTheme="minorHAnsi" w:cstheme="minorHAnsi"/>
          <w:bCs/>
          <w:sz w:val="22"/>
          <w:szCs w:val="22"/>
        </w:rPr>
        <w:t xml:space="preserve"> (e</w:t>
      </w:r>
      <w:r w:rsidR="00AA5213" w:rsidRPr="0013082E">
        <w:rPr>
          <w:rFonts w:asciiTheme="minorHAnsi" w:hAnsiTheme="minorHAnsi" w:cstheme="minorHAnsi"/>
          <w:bCs/>
          <w:i/>
          <w:sz w:val="22"/>
          <w:szCs w:val="22"/>
        </w:rPr>
        <w:t>.g., percent agreement and kappa for the critical data elements; distribution of reliability statistics from a signal-to-noise analysis</w:t>
      </w:r>
      <w:r w:rsidR="00AA5213" w:rsidRPr="0013082E">
        <w:rPr>
          <w:rFonts w:asciiTheme="minorHAnsi" w:hAnsiTheme="minorHAnsi" w:cstheme="minorHAnsi"/>
          <w:bCs/>
          <w:sz w:val="22"/>
          <w:szCs w:val="22"/>
        </w:rPr>
        <w:t>)</w:t>
      </w:r>
      <w:r w:rsidR="0048008A" w:rsidRPr="0013082E">
        <w:rPr>
          <w:rFonts w:asciiTheme="minorHAnsi" w:hAnsiTheme="minorHAnsi" w:cstheme="minorHAnsi"/>
          <w:bCs/>
          <w:sz w:val="22"/>
          <w:szCs w:val="22"/>
        </w:rPr>
        <w:br/>
      </w:r>
      <w:r w:rsidR="00C01348" w:rsidRPr="0013082E">
        <w:rPr>
          <w:rFonts w:asciiTheme="minorHAnsi" w:hAnsiTheme="minorHAnsi" w:cstheme="minorHAnsi"/>
          <w:b/>
          <w:bCs/>
          <w:color w:val="FF0000"/>
          <w:sz w:val="22"/>
          <w:szCs w:val="22"/>
          <w:u w:val="single"/>
        </w:rPr>
        <w:t>2020 Submission</w:t>
      </w:r>
      <w:r w:rsidR="00C01348" w:rsidRPr="0013082E">
        <w:rPr>
          <w:rFonts w:asciiTheme="minorHAnsi" w:hAnsiTheme="minorHAnsi" w:cstheme="minorHAnsi"/>
          <w:sz w:val="22"/>
          <w:szCs w:val="22"/>
        </w:rPr>
        <w:t> </w:t>
      </w:r>
    </w:p>
    <w:p w14:paraId="15715A06" w14:textId="77777777" w:rsidR="00055440" w:rsidRDefault="00055440" w:rsidP="003E1AED">
      <w:pPr>
        <w:pStyle w:val="paragraph"/>
        <w:spacing w:before="0" w:beforeAutospacing="0" w:after="0" w:afterAutospacing="0"/>
        <w:textAlignment w:val="baseline"/>
        <w:rPr>
          <w:rStyle w:val="normaltextrun"/>
          <w:rFonts w:ascii="Calibri" w:hAnsi="Calibri" w:cs="Calibri"/>
          <w:b/>
          <w:bCs/>
          <w:color w:val="4F81BD"/>
          <w:sz w:val="22"/>
          <w:szCs w:val="22"/>
          <w:u w:val="single"/>
        </w:rPr>
      </w:pPr>
    </w:p>
    <w:p w14:paraId="5CD610E3" w14:textId="61B30AC9" w:rsidR="006814C6" w:rsidRPr="007B64FD" w:rsidRDefault="006814C6" w:rsidP="009A2E4F">
      <w:pPr>
        <w:spacing w:after="0" w:line="240" w:lineRule="auto"/>
        <w:rPr>
          <w:rFonts w:cstheme="minorHAnsi"/>
          <w:color w:val="FF0000"/>
        </w:rPr>
      </w:pPr>
      <w:r w:rsidRPr="00F6404C">
        <w:rPr>
          <w:rFonts w:cstheme="minorHAnsi"/>
          <w:color w:val="FF0000"/>
        </w:rPr>
        <w:t>Table 2</w:t>
      </w:r>
      <w:r w:rsidR="00E75598">
        <w:rPr>
          <w:rFonts w:cstheme="minorHAnsi"/>
          <w:color w:val="FF0000"/>
        </w:rPr>
        <w:t>a</w:t>
      </w:r>
      <w:r w:rsidRPr="00F6404C">
        <w:rPr>
          <w:rFonts w:cstheme="minorHAnsi"/>
          <w:color w:val="FF0000"/>
        </w:rPr>
        <w:t>.</w:t>
      </w:r>
      <w:r w:rsidRPr="007B64FD">
        <w:rPr>
          <w:rFonts w:cstheme="minorHAnsi"/>
          <w:color w:val="FF0000"/>
        </w:rPr>
        <w:t xml:space="preserve"> Mean Signal-To-Noise Reliability, Standard Error (SE) and 95% Confidence Interval (95% CI) for the </w:t>
      </w:r>
      <w:r w:rsidR="007B64FD" w:rsidRPr="007B64FD">
        <w:rPr>
          <w:rFonts w:ascii="Calibri" w:eastAsia="Times New Roman" w:hAnsi="Calibri" w:cs="Calibri"/>
          <w:i/>
          <w:iCs/>
          <w:color w:val="FF0000"/>
        </w:rPr>
        <w:t>Use of High-Risk Medications in Older Adults</w:t>
      </w:r>
      <w:r w:rsidRPr="007B64FD">
        <w:rPr>
          <w:rFonts w:cstheme="minorHAnsi"/>
          <w:i/>
          <w:iCs/>
          <w:color w:val="FF0000"/>
        </w:rPr>
        <w:t xml:space="preserve"> </w:t>
      </w:r>
      <w:r w:rsidRPr="007B64FD">
        <w:rPr>
          <w:rFonts w:cstheme="minorHAnsi"/>
          <w:color w:val="FF0000"/>
        </w:rPr>
        <w:t xml:space="preserve">Measure by Terciles of the Denominator Size and for All Submissions, </w:t>
      </w:r>
      <w:r w:rsidR="007B64FD" w:rsidRPr="007B64FD">
        <w:rPr>
          <w:rFonts w:cstheme="minorHAnsi"/>
          <w:color w:val="FF0000"/>
        </w:rPr>
        <w:t>2018</w:t>
      </w:r>
      <w:r w:rsidRPr="007B64FD">
        <w:rPr>
          <w:rFonts w:cstheme="minorHAnsi"/>
          <w:color w:val="FF0000"/>
        </w:rPr>
        <w:t xml:space="preserve"> </w:t>
      </w:r>
    </w:p>
    <w:tbl>
      <w:tblPr>
        <w:tblStyle w:val="TableGrid"/>
        <w:tblW w:w="0" w:type="auto"/>
        <w:tblLook w:val="04A0" w:firstRow="1" w:lastRow="0" w:firstColumn="1" w:lastColumn="0" w:noHBand="0" w:noVBand="1"/>
      </w:tblPr>
      <w:tblGrid>
        <w:gridCol w:w="1975"/>
        <w:gridCol w:w="1022"/>
        <w:gridCol w:w="2058"/>
        <w:gridCol w:w="1702"/>
        <w:gridCol w:w="896"/>
        <w:gridCol w:w="1697"/>
      </w:tblGrid>
      <w:tr w:rsidR="002C10E8" w:rsidRPr="002C10E8" w14:paraId="72DF7807" w14:textId="77777777" w:rsidTr="00C46D0A">
        <w:tc>
          <w:tcPr>
            <w:tcW w:w="1975" w:type="dxa"/>
            <w:tcBorders>
              <w:top w:val="single" w:sz="4" w:space="0" w:color="auto"/>
              <w:left w:val="single" w:sz="4" w:space="0" w:color="auto"/>
              <w:bottom w:val="single" w:sz="4" w:space="0" w:color="auto"/>
              <w:right w:val="single" w:sz="4" w:space="0" w:color="auto"/>
            </w:tcBorders>
            <w:vAlign w:val="center"/>
            <w:hideMark/>
          </w:tcPr>
          <w:p w14:paraId="1B52CCA7"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Stratification</w:t>
            </w:r>
          </w:p>
        </w:tc>
        <w:tc>
          <w:tcPr>
            <w:tcW w:w="1022" w:type="dxa"/>
            <w:tcBorders>
              <w:top w:val="single" w:sz="4" w:space="0" w:color="auto"/>
              <w:left w:val="single" w:sz="4" w:space="0" w:color="auto"/>
              <w:bottom w:val="single" w:sz="4" w:space="0" w:color="auto"/>
              <w:right w:val="single" w:sz="4" w:space="0" w:color="auto"/>
            </w:tcBorders>
            <w:vAlign w:val="center"/>
            <w:hideMark/>
          </w:tcPr>
          <w:p w14:paraId="5281E3A1"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Number of Plans</w:t>
            </w:r>
          </w:p>
        </w:tc>
        <w:tc>
          <w:tcPr>
            <w:tcW w:w="2058" w:type="dxa"/>
            <w:tcBorders>
              <w:top w:val="single" w:sz="4" w:space="0" w:color="auto"/>
              <w:left w:val="single" w:sz="4" w:space="0" w:color="auto"/>
              <w:bottom w:val="single" w:sz="4" w:space="0" w:color="auto"/>
              <w:right w:val="single" w:sz="4" w:space="0" w:color="auto"/>
            </w:tcBorders>
            <w:vAlign w:val="center"/>
            <w:hideMark/>
          </w:tcPr>
          <w:p w14:paraId="5C0683D5"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Number of Eligible Members per Plan (min - max)</w:t>
            </w:r>
          </w:p>
        </w:tc>
        <w:tc>
          <w:tcPr>
            <w:tcW w:w="1702" w:type="dxa"/>
            <w:tcBorders>
              <w:top w:val="single" w:sz="4" w:space="0" w:color="auto"/>
              <w:left w:val="single" w:sz="4" w:space="0" w:color="auto"/>
              <w:bottom w:val="single" w:sz="4" w:space="0" w:color="auto"/>
              <w:right w:val="single" w:sz="4" w:space="0" w:color="auto"/>
            </w:tcBorders>
            <w:vAlign w:val="center"/>
            <w:hideMark/>
          </w:tcPr>
          <w:p w14:paraId="00FC7540"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Mean Signal-To-Noise Reliability</w:t>
            </w:r>
          </w:p>
        </w:tc>
        <w:tc>
          <w:tcPr>
            <w:tcW w:w="896" w:type="dxa"/>
            <w:tcBorders>
              <w:top w:val="single" w:sz="4" w:space="0" w:color="auto"/>
              <w:left w:val="single" w:sz="4" w:space="0" w:color="auto"/>
              <w:bottom w:val="single" w:sz="4" w:space="0" w:color="auto"/>
              <w:right w:val="single" w:sz="4" w:space="0" w:color="auto"/>
            </w:tcBorders>
            <w:vAlign w:val="center"/>
            <w:hideMark/>
          </w:tcPr>
          <w:p w14:paraId="702AB6D1"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SE</w:t>
            </w:r>
          </w:p>
        </w:tc>
        <w:tc>
          <w:tcPr>
            <w:tcW w:w="1697" w:type="dxa"/>
            <w:tcBorders>
              <w:top w:val="single" w:sz="4" w:space="0" w:color="auto"/>
              <w:left w:val="single" w:sz="4" w:space="0" w:color="auto"/>
              <w:bottom w:val="single" w:sz="4" w:space="0" w:color="auto"/>
              <w:right w:val="single" w:sz="4" w:space="0" w:color="auto"/>
            </w:tcBorders>
            <w:vAlign w:val="center"/>
            <w:hideMark/>
          </w:tcPr>
          <w:p w14:paraId="31B47454"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95% CI</w:t>
            </w:r>
          </w:p>
        </w:tc>
      </w:tr>
      <w:tr w:rsidR="002C10E8" w:rsidRPr="002C10E8" w14:paraId="277FE456" w14:textId="77777777" w:rsidTr="00C46D0A">
        <w:tc>
          <w:tcPr>
            <w:tcW w:w="1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59C6DA" w14:textId="59EA18E7" w:rsidR="006814C6" w:rsidRPr="002C10E8" w:rsidRDefault="007F2C7F" w:rsidP="00C46D0A">
            <w:pPr>
              <w:autoSpaceDE w:val="0"/>
              <w:autoSpaceDN w:val="0"/>
              <w:adjustRightInd w:val="0"/>
              <w:spacing w:after="60"/>
              <w:rPr>
                <w:rFonts w:cstheme="minorHAnsi"/>
                <w:b/>
                <w:bCs/>
                <w:color w:val="FF0000"/>
              </w:rPr>
            </w:pPr>
            <w:r w:rsidRPr="007B64FD">
              <w:rPr>
                <w:rFonts w:ascii="Calibri" w:eastAsia="Times New Roman" w:hAnsi="Calibri" w:cs="Calibri"/>
                <w:i/>
                <w:iCs/>
                <w:color w:val="FF0000"/>
              </w:rPr>
              <w:lastRenderedPageBreak/>
              <w:t>Use of High-Risk Medications in Older Adults</w:t>
            </w:r>
          </w:p>
        </w:tc>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2E82D9" w14:textId="7E94CEBE" w:rsidR="006814C6" w:rsidRPr="002C10E8" w:rsidRDefault="00507760" w:rsidP="00C46D0A">
            <w:pPr>
              <w:autoSpaceDE w:val="0"/>
              <w:autoSpaceDN w:val="0"/>
              <w:adjustRightInd w:val="0"/>
              <w:spacing w:after="60"/>
              <w:jc w:val="right"/>
              <w:rPr>
                <w:rFonts w:cstheme="minorHAnsi"/>
                <w:b/>
                <w:bCs/>
                <w:color w:val="FF0000"/>
              </w:rPr>
            </w:pPr>
            <w:r w:rsidRPr="002C10E8">
              <w:rPr>
                <w:rFonts w:cstheme="minorHAnsi"/>
                <w:b/>
                <w:bCs/>
                <w:color w:val="FF0000"/>
              </w:rPr>
              <w:t>502</w:t>
            </w:r>
          </w:p>
        </w:tc>
        <w:tc>
          <w:tcPr>
            <w:tcW w:w="2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5E76CD" w14:textId="68222E7C" w:rsidR="006814C6" w:rsidRPr="002C10E8" w:rsidRDefault="000673A2" w:rsidP="00C46D0A">
            <w:pPr>
              <w:autoSpaceDE w:val="0"/>
              <w:autoSpaceDN w:val="0"/>
              <w:adjustRightInd w:val="0"/>
              <w:spacing w:after="60"/>
              <w:jc w:val="right"/>
              <w:rPr>
                <w:rFonts w:cstheme="minorHAnsi"/>
                <w:b/>
                <w:bCs/>
                <w:color w:val="FF0000"/>
              </w:rPr>
            </w:pPr>
            <w:r w:rsidRPr="002C10E8">
              <w:rPr>
                <w:rFonts w:cstheme="minorHAnsi"/>
                <w:b/>
                <w:bCs/>
                <w:color w:val="FF0000"/>
              </w:rPr>
              <w:t>32</w:t>
            </w:r>
            <w:r w:rsidR="006814C6" w:rsidRPr="002C10E8">
              <w:rPr>
                <w:rFonts w:cstheme="minorHAnsi"/>
                <w:b/>
                <w:bCs/>
                <w:color w:val="FF0000"/>
              </w:rPr>
              <w:t xml:space="preserve"> - </w:t>
            </w:r>
            <w:r w:rsidRPr="002C10E8">
              <w:rPr>
                <w:rFonts w:cstheme="minorHAnsi"/>
                <w:b/>
                <w:bCs/>
                <w:color w:val="FF0000"/>
              </w:rPr>
              <w:t>679844</w:t>
            </w: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008A9D" w14:textId="60A4C3EA" w:rsidR="006814C6" w:rsidRPr="002C10E8" w:rsidRDefault="006814C6" w:rsidP="00C46D0A">
            <w:pPr>
              <w:autoSpaceDE w:val="0"/>
              <w:autoSpaceDN w:val="0"/>
              <w:adjustRightInd w:val="0"/>
              <w:spacing w:after="60"/>
              <w:jc w:val="right"/>
              <w:rPr>
                <w:rFonts w:cstheme="minorHAnsi"/>
                <w:b/>
                <w:bCs/>
                <w:color w:val="FF0000"/>
              </w:rPr>
            </w:pPr>
            <w:r w:rsidRPr="002C10E8">
              <w:rPr>
                <w:rFonts w:cstheme="minorHAnsi"/>
                <w:b/>
                <w:bCs/>
                <w:color w:val="FF0000"/>
              </w:rPr>
              <w:t>0.</w:t>
            </w:r>
            <w:r w:rsidR="00507760" w:rsidRPr="002C10E8">
              <w:rPr>
                <w:rFonts w:cstheme="minorHAnsi"/>
                <w:b/>
                <w:bCs/>
                <w:color w:val="FF0000"/>
              </w:rPr>
              <w:t>936</w:t>
            </w:r>
          </w:p>
        </w:tc>
        <w:tc>
          <w:tcPr>
            <w:tcW w:w="8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D27157" w14:textId="1B381536" w:rsidR="006814C6" w:rsidRPr="002C10E8" w:rsidRDefault="006814C6" w:rsidP="00C46D0A">
            <w:pPr>
              <w:autoSpaceDE w:val="0"/>
              <w:autoSpaceDN w:val="0"/>
              <w:adjustRightInd w:val="0"/>
              <w:spacing w:after="60"/>
              <w:jc w:val="right"/>
              <w:rPr>
                <w:rFonts w:cstheme="minorHAnsi"/>
                <w:b/>
                <w:bCs/>
                <w:color w:val="FF0000"/>
              </w:rPr>
            </w:pPr>
            <w:r w:rsidRPr="002C10E8">
              <w:rPr>
                <w:rFonts w:cstheme="minorHAnsi"/>
                <w:b/>
                <w:bCs/>
                <w:color w:val="FF0000"/>
              </w:rPr>
              <w:t>0.</w:t>
            </w:r>
            <w:r w:rsidR="00507760" w:rsidRPr="002C10E8">
              <w:rPr>
                <w:rFonts w:cstheme="minorHAnsi"/>
                <w:b/>
                <w:bCs/>
                <w:color w:val="FF0000"/>
              </w:rPr>
              <w:t>006</w:t>
            </w:r>
          </w:p>
        </w:tc>
        <w:tc>
          <w:tcPr>
            <w:tcW w:w="1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52FB4F" w14:textId="4231D8D9" w:rsidR="006814C6" w:rsidRPr="002C10E8" w:rsidRDefault="006814C6" w:rsidP="00C46D0A">
            <w:pPr>
              <w:autoSpaceDE w:val="0"/>
              <w:autoSpaceDN w:val="0"/>
              <w:adjustRightInd w:val="0"/>
              <w:spacing w:after="60"/>
              <w:jc w:val="right"/>
              <w:rPr>
                <w:rFonts w:cstheme="minorHAnsi"/>
                <w:b/>
                <w:bCs/>
                <w:color w:val="FF0000"/>
              </w:rPr>
            </w:pPr>
            <w:r w:rsidRPr="002C10E8">
              <w:rPr>
                <w:rFonts w:cstheme="minorHAnsi"/>
                <w:b/>
                <w:bCs/>
                <w:color w:val="FF0000"/>
              </w:rPr>
              <w:t>(0.</w:t>
            </w:r>
            <w:r w:rsidR="00C162F7" w:rsidRPr="002C10E8">
              <w:rPr>
                <w:rFonts w:cstheme="minorHAnsi"/>
                <w:b/>
                <w:bCs/>
                <w:color w:val="FF0000"/>
              </w:rPr>
              <w:t>924</w:t>
            </w:r>
            <w:r w:rsidRPr="002C10E8">
              <w:rPr>
                <w:rFonts w:cstheme="minorHAnsi"/>
                <w:b/>
                <w:bCs/>
                <w:color w:val="FF0000"/>
              </w:rPr>
              <w:t>, 0.</w:t>
            </w:r>
            <w:r w:rsidR="00C162F7" w:rsidRPr="002C10E8">
              <w:rPr>
                <w:rFonts w:cstheme="minorHAnsi"/>
                <w:b/>
                <w:bCs/>
                <w:color w:val="FF0000"/>
              </w:rPr>
              <w:t>947</w:t>
            </w:r>
            <w:r w:rsidRPr="002C10E8">
              <w:rPr>
                <w:rFonts w:cstheme="minorHAnsi"/>
                <w:b/>
                <w:bCs/>
                <w:color w:val="FF0000"/>
              </w:rPr>
              <w:t>)</w:t>
            </w:r>
          </w:p>
        </w:tc>
      </w:tr>
      <w:tr w:rsidR="002C10E8" w:rsidRPr="002C10E8" w14:paraId="36F52C2D" w14:textId="77777777" w:rsidTr="00C46D0A">
        <w:tc>
          <w:tcPr>
            <w:tcW w:w="1975" w:type="dxa"/>
            <w:tcBorders>
              <w:top w:val="single" w:sz="4" w:space="0" w:color="auto"/>
              <w:left w:val="single" w:sz="4" w:space="0" w:color="auto"/>
              <w:bottom w:val="single" w:sz="4" w:space="0" w:color="auto"/>
              <w:right w:val="single" w:sz="4" w:space="0" w:color="auto"/>
            </w:tcBorders>
            <w:hideMark/>
          </w:tcPr>
          <w:p w14:paraId="70677A86"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Tercile 1</w:t>
            </w:r>
          </w:p>
        </w:tc>
        <w:tc>
          <w:tcPr>
            <w:tcW w:w="1022" w:type="dxa"/>
            <w:tcBorders>
              <w:top w:val="single" w:sz="4" w:space="0" w:color="auto"/>
              <w:left w:val="single" w:sz="4" w:space="0" w:color="auto"/>
              <w:bottom w:val="single" w:sz="4" w:space="0" w:color="auto"/>
              <w:right w:val="single" w:sz="4" w:space="0" w:color="auto"/>
            </w:tcBorders>
          </w:tcPr>
          <w:p w14:paraId="4CD46B3A" w14:textId="3D98CED4" w:rsidR="006814C6" w:rsidRPr="002C10E8" w:rsidRDefault="003823C6" w:rsidP="00C46D0A">
            <w:pPr>
              <w:autoSpaceDE w:val="0"/>
              <w:autoSpaceDN w:val="0"/>
              <w:adjustRightInd w:val="0"/>
              <w:spacing w:after="60"/>
              <w:jc w:val="right"/>
              <w:rPr>
                <w:rFonts w:cstheme="minorHAnsi"/>
                <w:color w:val="FF0000"/>
              </w:rPr>
            </w:pPr>
            <w:r w:rsidRPr="002C10E8">
              <w:rPr>
                <w:rFonts w:cstheme="minorHAnsi"/>
                <w:color w:val="FF0000"/>
              </w:rPr>
              <w:t>166</w:t>
            </w:r>
          </w:p>
        </w:tc>
        <w:tc>
          <w:tcPr>
            <w:tcW w:w="2058" w:type="dxa"/>
            <w:tcBorders>
              <w:top w:val="single" w:sz="4" w:space="0" w:color="auto"/>
              <w:left w:val="single" w:sz="4" w:space="0" w:color="auto"/>
              <w:bottom w:val="single" w:sz="4" w:space="0" w:color="auto"/>
              <w:right w:val="single" w:sz="4" w:space="0" w:color="auto"/>
            </w:tcBorders>
            <w:vAlign w:val="bottom"/>
          </w:tcPr>
          <w:p w14:paraId="0C22765A" w14:textId="37D3B173" w:rsidR="006814C6" w:rsidRPr="002C10E8" w:rsidRDefault="007A60E0" w:rsidP="00C46D0A">
            <w:pPr>
              <w:autoSpaceDE w:val="0"/>
              <w:autoSpaceDN w:val="0"/>
              <w:adjustRightInd w:val="0"/>
              <w:spacing w:after="60"/>
              <w:jc w:val="right"/>
              <w:rPr>
                <w:rFonts w:cstheme="minorHAnsi"/>
                <w:color w:val="FF0000"/>
              </w:rPr>
            </w:pPr>
            <w:r w:rsidRPr="002C10E8">
              <w:rPr>
                <w:rFonts w:cstheme="minorHAnsi"/>
                <w:color w:val="FF0000"/>
              </w:rPr>
              <w:t>32</w:t>
            </w:r>
            <w:r w:rsidR="006814C6" w:rsidRPr="002C10E8">
              <w:rPr>
                <w:rFonts w:cstheme="minorHAnsi"/>
                <w:color w:val="FF0000"/>
              </w:rPr>
              <w:t xml:space="preserve"> </w:t>
            </w:r>
            <w:r w:rsidR="004D53F1">
              <w:rPr>
                <w:rFonts w:cstheme="minorHAnsi"/>
                <w:color w:val="FF0000"/>
              </w:rPr>
              <w:t>-</w:t>
            </w:r>
            <w:r w:rsidR="006814C6" w:rsidRPr="002C10E8">
              <w:rPr>
                <w:rFonts w:cstheme="minorHAnsi"/>
                <w:color w:val="FF0000"/>
              </w:rPr>
              <w:t xml:space="preserve"> </w:t>
            </w:r>
            <w:r w:rsidR="00CF5727" w:rsidRPr="002C10E8">
              <w:rPr>
                <w:rFonts w:cstheme="minorHAnsi"/>
                <w:color w:val="FF0000"/>
              </w:rPr>
              <w:t>2456</w:t>
            </w:r>
          </w:p>
        </w:tc>
        <w:tc>
          <w:tcPr>
            <w:tcW w:w="1702" w:type="dxa"/>
            <w:tcBorders>
              <w:top w:val="single" w:sz="4" w:space="0" w:color="auto"/>
              <w:left w:val="single" w:sz="4" w:space="0" w:color="auto"/>
              <w:bottom w:val="single" w:sz="4" w:space="0" w:color="auto"/>
              <w:right w:val="single" w:sz="4" w:space="0" w:color="auto"/>
            </w:tcBorders>
            <w:vAlign w:val="bottom"/>
          </w:tcPr>
          <w:p w14:paraId="21230BDA" w14:textId="42745A6E" w:rsidR="006814C6" w:rsidRPr="002C10E8" w:rsidRDefault="00975C55" w:rsidP="00C46D0A">
            <w:pPr>
              <w:autoSpaceDE w:val="0"/>
              <w:autoSpaceDN w:val="0"/>
              <w:adjustRightInd w:val="0"/>
              <w:spacing w:after="60"/>
              <w:jc w:val="right"/>
              <w:rPr>
                <w:rFonts w:cstheme="minorHAnsi"/>
                <w:color w:val="FF0000"/>
              </w:rPr>
            </w:pPr>
            <w:r w:rsidRPr="002C10E8">
              <w:rPr>
                <w:rFonts w:cstheme="minorHAnsi"/>
                <w:color w:val="FF0000"/>
              </w:rPr>
              <w:t>0.8</w:t>
            </w:r>
            <w:r w:rsidR="00366183" w:rsidRPr="002C10E8">
              <w:rPr>
                <w:rFonts w:cstheme="minorHAnsi"/>
                <w:color w:val="FF0000"/>
              </w:rPr>
              <w:t>57</w:t>
            </w:r>
          </w:p>
        </w:tc>
        <w:tc>
          <w:tcPr>
            <w:tcW w:w="896" w:type="dxa"/>
            <w:tcBorders>
              <w:top w:val="single" w:sz="4" w:space="0" w:color="auto"/>
              <w:left w:val="single" w:sz="4" w:space="0" w:color="auto"/>
              <w:bottom w:val="single" w:sz="4" w:space="0" w:color="auto"/>
              <w:right w:val="single" w:sz="4" w:space="0" w:color="auto"/>
            </w:tcBorders>
            <w:vAlign w:val="bottom"/>
          </w:tcPr>
          <w:p w14:paraId="588A63AA" w14:textId="022E476A" w:rsidR="006814C6" w:rsidRPr="002C10E8" w:rsidRDefault="00933195" w:rsidP="00C46D0A">
            <w:pPr>
              <w:autoSpaceDE w:val="0"/>
              <w:autoSpaceDN w:val="0"/>
              <w:adjustRightInd w:val="0"/>
              <w:spacing w:after="60"/>
              <w:jc w:val="right"/>
              <w:rPr>
                <w:rFonts w:cstheme="minorHAnsi"/>
                <w:color w:val="FF0000"/>
              </w:rPr>
            </w:pPr>
            <w:r w:rsidRPr="002C10E8">
              <w:rPr>
                <w:rFonts w:cstheme="minorHAnsi"/>
                <w:color w:val="FF0000"/>
              </w:rPr>
              <w:t>0.012</w:t>
            </w:r>
          </w:p>
        </w:tc>
        <w:tc>
          <w:tcPr>
            <w:tcW w:w="1697" w:type="dxa"/>
            <w:tcBorders>
              <w:top w:val="single" w:sz="4" w:space="0" w:color="auto"/>
              <w:left w:val="single" w:sz="4" w:space="0" w:color="auto"/>
              <w:bottom w:val="single" w:sz="4" w:space="0" w:color="auto"/>
              <w:right w:val="single" w:sz="4" w:space="0" w:color="auto"/>
            </w:tcBorders>
            <w:vAlign w:val="bottom"/>
          </w:tcPr>
          <w:p w14:paraId="501E56CF" w14:textId="26A40F26"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(0.</w:t>
            </w:r>
            <w:r w:rsidR="00D95D8E" w:rsidRPr="002C10E8">
              <w:rPr>
                <w:rFonts w:cstheme="minorHAnsi"/>
                <w:color w:val="FF0000"/>
              </w:rPr>
              <w:t>833</w:t>
            </w:r>
            <w:r w:rsidRPr="002C10E8">
              <w:rPr>
                <w:rFonts w:cstheme="minorHAnsi"/>
                <w:color w:val="FF0000"/>
              </w:rPr>
              <w:t>, 0.</w:t>
            </w:r>
            <w:r w:rsidR="00D95D8E" w:rsidRPr="002C10E8">
              <w:rPr>
                <w:rFonts w:cstheme="minorHAnsi"/>
                <w:color w:val="FF0000"/>
              </w:rPr>
              <w:t>881</w:t>
            </w:r>
            <w:r w:rsidRPr="002C10E8">
              <w:rPr>
                <w:rFonts w:cstheme="minorHAnsi"/>
                <w:color w:val="FF0000"/>
              </w:rPr>
              <w:t>)</w:t>
            </w:r>
          </w:p>
        </w:tc>
      </w:tr>
      <w:tr w:rsidR="002C10E8" w:rsidRPr="002C10E8" w14:paraId="6003CEEE" w14:textId="77777777" w:rsidTr="00C46D0A">
        <w:tc>
          <w:tcPr>
            <w:tcW w:w="1975" w:type="dxa"/>
            <w:tcBorders>
              <w:top w:val="single" w:sz="4" w:space="0" w:color="auto"/>
              <w:left w:val="single" w:sz="4" w:space="0" w:color="auto"/>
              <w:bottom w:val="single" w:sz="4" w:space="0" w:color="auto"/>
              <w:right w:val="single" w:sz="4" w:space="0" w:color="auto"/>
            </w:tcBorders>
            <w:hideMark/>
          </w:tcPr>
          <w:p w14:paraId="76AC802E"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Tercile 2</w:t>
            </w:r>
          </w:p>
        </w:tc>
        <w:tc>
          <w:tcPr>
            <w:tcW w:w="1022" w:type="dxa"/>
            <w:tcBorders>
              <w:top w:val="single" w:sz="4" w:space="0" w:color="auto"/>
              <w:left w:val="single" w:sz="4" w:space="0" w:color="auto"/>
              <w:bottom w:val="single" w:sz="4" w:space="0" w:color="auto"/>
              <w:right w:val="single" w:sz="4" w:space="0" w:color="auto"/>
            </w:tcBorders>
          </w:tcPr>
          <w:p w14:paraId="52BE49A3" w14:textId="4EC6398C" w:rsidR="006814C6" w:rsidRPr="002C10E8" w:rsidRDefault="003823C6" w:rsidP="00C46D0A">
            <w:pPr>
              <w:autoSpaceDE w:val="0"/>
              <w:autoSpaceDN w:val="0"/>
              <w:adjustRightInd w:val="0"/>
              <w:spacing w:after="60"/>
              <w:jc w:val="right"/>
              <w:rPr>
                <w:rFonts w:cstheme="minorHAnsi"/>
                <w:color w:val="FF0000"/>
              </w:rPr>
            </w:pPr>
            <w:r w:rsidRPr="002C10E8">
              <w:rPr>
                <w:rFonts w:cstheme="minorHAnsi"/>
                <w:color w:val="FF0000"/>
              </w:rPr>
              <w:t>165</w:t>
            </w:r>
          </w:p>
        </w:tc>
        <w:tc>
          <w:tcPr>
            <w:tcW w:w="2058" w:type="dxa"/>
            <w:tcBorders>
              <w:top w:val="single" w:sz="4" w:space="0" w:color="auto"/>
              <w:left w:val="single" w:sz="4" w:space="0" w:color="auto"/>
              <w:bottom w:val="single" w:sz="4" w:space="0" w:color="auto"/>
              <w:right w:val="single" w:sz="4" w:space="0" w:color="auto"/>
            </w:tcBorders>
            <w:vAlign w:val="bottom"/>
          </w:tcPr>
          <w:p w14:paraId="691BE5D4" w14:textId="1B2FAC45" w:rsidR="006814C6" w:rsidRPr="002C10E8" w:rsidRDefault="007A60E0" w:rsidP="00C46D0A">
            <w:pPr>
              <w:autoSpaceDE w:val="0"/>
              <w:autoSpaceDN w:val="0"/>
              <w:adjustRightInd w:val="0"/>
              <w:spacing w:after="60"/>
              <w:jc w:val="right"/>
              <w:rPr>
                <w:rFonts w:cstheme="minorHAnsi"/>
                <w:color w:val="FF0000"/>
              </w:rPr>
            </w:pPr>
            <w:r w:rsidRPr="002C10E8">
              <w:rPr>
                <w:rFonts w:cstheme="minorHAnsi"/>
                <w:color w:val="FF0000"/>
              </w:rPr>
              <w:t>2469</w:t>
            </w:r>
            <w:r w:rsidR="006814C6" w:rsidRPr="002C10E8">
              <w:rPr>
                <w:rFonts w:cstheme="minorHAnsi"/>
                <w:color w:val="FF0000"/>
              </w:rPr>
              <w:t xml:space="preserve"> </w:t>
            </w:r>
            <w:r w:rsidR="004D53F1">
              <w:rPr>
                <w:rFonts w:cstheme="minorHAnsi"/>
                <w:color w:val="FF0000"/>
              </w:rPr>
              <w:t>-</w:t>
            </w:r>
            <w:r w:rsidR="006814C6" w:rsidRPr="002C10E8">
              <w:rPr>
                <w:rFonts w:cstheme="minorHAnsi"/>
                <w:color w:val="FF0000"/>
              </w:rPr>
              <w:t xml:space="preserve"> </w:t>
            </w:r>
            <w:r w:rsidRPr="002C10E8">
              <w:rPr>
                <w:rFonts w:cstheme="minorHAnsi"/>
                <w:color w:val="FF0000"/>
              </w:rPr>
              <w:t>15564</w:t>
            </w:r>
          </w:p>
        </w:tc>
        <w:tc>
          <w:tcPr>
            <w:tcW w:w="1702" w:type="dxa"/>
            <w:tcBorders>
              <w:top w:val="single" w:sz="4" w:space="0" w:color="auto"/>
              <w:left w:val="single" w:sz="4" w:space="0" w:color="auto"/>
              <w:bottom w:val="single" w:sz="4" w:space="0" w:color="auto"/>
              <w:right w:val="single" w:sz="4" w:space="0" w:color="auto"/>
            </w:tcBorders>
            <w:vAlign w:val="bottom"/>
          </w:tcPr>
          <w:p w14:paraId="6E4CDA44" w14:textId="0213B7D4" w:rsidR="006814C6" w:rsidRPr="002C10E8" w:rsidRDefault="00975C55" w:rsidP="00C46D0A">
            <w:pPr>
              <w:autoSpaceDE w:val="0"/>
              <w:autoSpaceDN w:val="0"/>
              <w:adjustRightInd w:val="0"/>
              <w:spacing w:after="60"/>
              <w:jc w:val="right"/>
              <w:rPr>
                <w:rFonts w:cstheme="minorHAnsi"/>
                <w:color w:val="FF0000"/>
              </w:rPr>
            </w:pPr>
            <w:r w:rsidRPr="002C10E8">
              <w:rPr>
                <w:rFonts w:cstheme="minorHAnsi"/>
                <w:color w:val="FF0000"/>
              </w:rPr>
              <w:t>0.9</w:t>
            </w:r>
            <w:r w:rsidR="00366183" w:rsidRPr="002C10E8">
              <w:rPr>
                <w:rFonts w:cstheme="minorHAnsi"/>
                <w:color w:val="FF0000"/>
              </w:rPr>
              <w:t>86</w:t>
            </w:r>
          </w:p>
        </w:tc>
        <w:tc>
          <w:tcPr>
            <w:tcW w:w="896" w:type="dxa"/>
            <w:tcBorders>
              <w:top w:val="single" w:sz="4" w:space="0" w:color="auto"/>
              <w:left w:val="single" w:sz="4" w:space="0" w:color="auto"/>
              <w:bottom w:val="single" w:sz="4" w:space="0" w:color="auto"/>
              <w:right w:val="single" w:sz="4" w:space="0" w:color="auto"/>
            </w:tcBorders>
            <w:vAlign w:val="bottom"/>
          </w:tcPr>
          <w:p w14:paraId="155E6442" w14:textId="0FAC8F59" w:rsidR="006814C6" w:rsidRPr="002C10E8" w:rsidRDefault="00933195" w:rsidP="00C46D0A">
            <w:pPr>
              <w:autoSpaceDE w:val="0"/>
              <w:autoSpaceDN w:val="0"/>
              <w:adjustRightInd w:val="0"/>
              <w:spacing w:after="60"/>
              <w:jc w:val="right"/>
              <w:rPr>
                <w:rFonts w:cstheme="minorHAnsi"/>
                <w:color w:val="FF0000"/>
              </w:rPr>
            </w:pPr>
            <w:r w:rsidRPr="002C10E8">
              <w:rPr>
                <w:rFonts w:cstheme="minorHAnsi"/>
                <w:color w:val="FF0000"/>
              </w:rPr>
              <w:t>0.001</w:t>
            </w:r>
          </w:p>
        </w:tc>
        <w:tc>
          <w:tcPr>
            <w:tcW w:w="1697" w:type="dxa"/>
            <w:tcBorders>
              <w:top w:val="single" w:sz="4" w:space="0" w:color="auto"/>
              <w:left w:val="single" w:sz="4" w:space="0" w:color="auto"/>
              <w:bottom w:val="single" w:sz="4" w:space="0" w:color="auto"/>
              <w:right w:val="single" w:sz="4" w:space="0" w:color="auto"/>
            </w:tcBorders>
            <w:vAlign w:val="bottom"/>
          </w:tcPr>
          <w:p w14:paraId="6138EDB3" w14:textId="2047351F"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(0.</w:t>
            </w:r>
            <w:r w:rsidR="00D95D8E" w:rsidRPr="002C10E8">
              <w:rPr>
                <w:rFonts w:cstheme="minorHAnsi"/>
                <w:color w:val="FF0000"/>
              </w:rPr>
              <w:t>985</w:t>
            </w:r>
            <w:r w:rsidRPr="002C10E8">
              <w:rPr>
                <w:rFonts w:cstheme="minorHAnsi"/>
                <w:color w:val="FF0000"/>
              </w:rPr>
              <w:t>, 0.</w:t>
            </w:r>
            <w:r w:rsidR="00D95D8E" w:rsidRPr="002C10E8">
              <w:rPr>
                <w:rFonts w:cstheme="minorHAnsi"/>
                <w:color w:val="FF0000"/>
              </w:rPr>
              <w:t>988</w:t>
            </w:r>
            <w:r w:rsidRPr="002C10E8">
              <w:rPr>
                <w:rFonts w:cstheme="minorHAnsi"/>
                <w:color w:val="FF0000"/>
              </w:rPr>
              <w:t>)</w:t>
            </w:r>
          </w:p>
        </w:tc>
      </w:tr>
      <w:tr w:rsidR="002C10E8" w:rsidRPr="002C10E8" w14:paraId="5BB7A650" w14:textId="77777777" w:rsidTr="00C46D0A">
        <w:tc>
          <w:tcPr>
            <w:tcW w:w="1975" w:type="dxa"/>
            <w:tcBorders>
              <w:top w:val="single" w:sz="4" w:space="0" w:color="auto"/>
              <w:left w:val="single" w:sz="4" w:space="0" w:color="auto"/>
              <w:bottom w:val="single" w:sz="4" w:space="0" w:color="auto"/>
              <w:right w:val="single" w:sz="4" w:space="0" w:color="auto"/>
            </w:tcBorders>
            <w:hideMark/>
          </w:tcPr>
          <w:p w14:paraId="0D2677AD"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Tercile 3</w:t>
            </w:r>
          </w:p>
        </w:tc>
        <w:tc>
          <w:tcPr>
            <w:tcW w:w="1022" w:type="dxa"/>
            <w:tcBorders>
              <w:top w:val="single" w:sz="4" w:space="0" w:color="auto"/>
              <w:left w:val="single" w:sz="4" w:space="0" w:color="auto"/>
              <w:bottom w:val="single" w:sz="4" w:space="0" w:color="auto"/>
              <w:right w:val="single" w:sz="4" w:space="0" w:color="auto"/>
            </w:tcBorders>
          </w:tcPr>
          <w:p w14:paraId="17C9DAF4" w14:textId="0F96ED9C" w:rsidR="006814C6" w:rsidRPr="002C10E8" w:rsidRDefault="00975C55" w:rsidP="00C46D0A">
            <w:pPr>
              <w:autoSpaceDE w:val="0"/>
              <w:autoSpaceDN w:val="0"/>
              <w:adjustRightInd w:val="0"/>
              <w:spacing w:after="60"/>
              <w:jc w:val="right"/>
              <w:rPr>
                <w:rFonts w:cstheme="minorHAnsi"/>
                <w:color w:val="FF0000"/>
              </w:rPr>
            </w:pPr>
            <w:r w:rsidRPr="002C10E8">
              <w:rPr>
                <w:rFonts w:cstheme="minorHAnsi"/>
                <w:color w:val="FF0000"/>
              </w:rPr>
              <w:t>171</w:t>
            </w:r>
          </w:p>
        </w:tc>
        <w:tc>
          <w:tcPr>
            <w:tcW w:w="2058" w:type="dxa"/>
            <w:tcBorders>
              <w:top w:val="single" w:sz="4" w:space="0" w:color="auto"/>
              <w:left w:val="single" w:sz="4" w:space="0" w:color="auto"/>
              <w:bottom w:val="single" w:sz="4" w:space="0" w:color="auto"/>
              <w:right w:val="single" w:sz="4" w:space="0" w:color="auto"/>
            </w:tcBorders>
            <w:vAlign w:val="bottom"/>
          </w:tcPr>
          <w:p w14:paraId="35E17179" w14:textId="66ADA61C" w:rsidR="006814C6" w:rsidRPr="002C10E8" w:rsidRDefault="007A60E0" w:rsidP="00C46D0A">
            <w:pPr>
              <w:autoSpaceDE w:val="0"/>
              <w:autoSpaceDN w:val="0"/>
              <w:adjustRightInd w:val="0"/>
              <w:spacing w:after="60"/>
              <w:jc w:val="right"/>
              <w:rPr>
                <w:rFonts w:cstheme="minorHAnsi"/>
                <w:color w:val="FF0000"/>
              </w:rPr>
            </w:pPr>
            <w:r w:rsidRPr="002C10E8">
              <w:rPr>
                <w:rFonts w:cstheme="minorHAnsi"/>
                <w:color w:val="FF0000"/>
              </w:rPr>
              <w:t>15856</w:t>
            </w:r>
            <w:r w:rsidR="006814C6" w:rsidRPr="002C10E8">
              <w:rPr>
                <w:rFonts w:cstheme="minorHAnsi"/>
                <w:color w:val="FF0000"/>
              </w:rPr>
              <w:t xml:space="preserve"> - </w:t>
            </w:r>
            <w:r w:rsidRPr="002C10E8">
              <w:rPr>
                <w:rFonts w:cstheme="minorHAnsi"/>
                <w:color w:val="FF0000"/>
              </w:rPr>
              <w:t>67</w:t>
            </w:r>
            <w:r w:rsidR="004F2EBA" w:rsidRPr="002C10E8">
              <w:rPr>
                <w:rFonts w:cstheme="minorHAnsi"/>
                <w:color w:val="FF0000"/>
              </w:rPr>
              <w:t>9844</w:t>
            </w:r>
          </w:p>
        </w:tc>
        <w:tc>
          <w:tcPr>
            <w:tcW w:w="1702" w:type="dxa"/>
            <w:tcBorders>
              <w:top w:val="single" w:sz="4" w:space="0" w:color="auto"/>
              <w:left w:val="single" w:sz="4" w:space="0" w:color="auto"/>
              <w:bottom w:val="single" w:sz="4" w:space="0" w:color="auto"/>
              <w:right w:val="single" w:sz="4" w:space="0" w:color="auto"/>
            </w:tcBorders>
            <w:vAlign w:val="bottom"/>
          </w:tcPr>
          <w:p w14:paraId="24CAF697" w14:textId="0414AD96" w:rsidR="006814C6" w:rsidRPr="002C10E8" w:rsidRDefault="00366183" w:rsidP="00C46D0A">
            <w:pPr>
              <w:autoSpaceDE w:val="0"/>
              <w:autoSpaceDN w:val="0"/>
              <w:adjustRightInd w:val="0"/>
              <w:spacing w:after="60"/>
              <w:jc w:val="right"/>
              <w:rPr>
                <w:rFonts w:cstheme="minorHAnsi"/>
                <w:color w:val="FF0000"/>
              </w:rPr>
            </w:pPr>
            <w:r w:rsidRPr="002C10E8">
              <w:rPr>
                <w:rFonts w:cstheme="minorHAnsi"/>
                <w:color w:val="FF0000"/>
              </w:rPr>
              <w:t>0.997</w:t>
            </w:r>
          </w:p>
        </w:tc>
        <w:tc>
          <w:tcPr>
            <w:tcW w:w="896" w:type="dxa"/>
            <w:tcBorders>
              <w:top w:val="single" w:sz="4" w:space="0" w:color="auto"/>
              <w:left w:val="single" w:sz="4" w:space="0" w:color="auto"/>
              <w:bottom w:val="single" w:sz="4" w:space="0" w:color="auto"/>
              <w:right w:val="single" w:sz="4" w:space="0" w:color="auto"/>
            </w:tcBorders>
            <w:vAlign w:val="bottom"/>
          </w:tcPr>
          <w:p w14:paraId="1962CB36" w14:textId="3871C915" w:rsidR="006814C6" w:rsidRPr="002C10E8" w:rsidRDefault="00933195" w:rsidP="00C46D0A">
            <w:pPr>
              <w:autoSpaceDE w:val="0"/>
              <w:autoSpaceDN w:val="0"/>
              <w:adjustRightInd w:val="0"/>
              <w:spacing w:after="60"/>
              <w:jc w:val="right"/>
              <w:rPr>
                <w:rFonts w:cstheme="minorHAnsi"/>
                <w:color w:val="FF0000"/>
              </w:rPr>
            </w:pPr>
            <w:r w:rsidRPr="002C10E8">
              <w:rPr>
                <w:rFonts w:cstheme="minorHAnsi"/>
                <w:color w:val="FF0000"/>
              </w:rPr>
              <w:t>0.000</w:t>
            </w:r>
          </w:p>
        </w:tc>
        <w:tc>
          <w:tcPr>
            <w:tcW w:w="1697" w:type="dxa"/>
            <w:tcBorders>
              <w:top w:val="single" w:sz="4" w:space="0" w:color="auto"/>
              <w:left w:val="single" w:sz="4" w:space="0" w:color="auto"/>
              <w:bottom w:val="single" w:sz="4" w:space="0" w:color="auto"/>
              <w:right w:val="single" w:sz="4" w:space="0" w:color="auto"/>
            </w:tcBorders>
            <w:vAlign w:val="bottom"/>
          </w:tcPr>
          <w:p w14:paraId="7E1A8D9C" w14:textId="56DF2CC9"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(0.</w:t>
            </w:r>
            <w:r w:rsidR="00D95D8E" w:rsidRPr="002C10E8">
              <w:rPr>
                <w:rFonts w:cstheme="minorHAnsi"/>
                <w:color w:val="FF0000"/>
              </w:rPr>
              <w:t>997</w:t>
            </w:r>
            <w:r w:rsidRPr="002C10E8">
              <w:rPr>
                <w:rFonts w:cstheme="minorHAnsi"/>
                <w:color w:val="FF0000"/>
              </w:rPr>
              <w:t>, 0.</w:t>
            </w:r>
            <w:r w:rsidR="00CF5727" w:rsidRPr="002C10E8">
              <w:rPr>
                <w:rFonts w:cstheme="minorHAnsi"/>
                <w:color w:val="FF0000"/>
              </w:rPr>
              <w:t>997</w:t>
            </w:r>
            <w:r w:rsidRPr="002C10E8">
              <w:rPr>
                <w:rFonts w:cstheme="minorHAnsi"/>
                <w:color w:val="FF0000"/>
              </w:rPr>
              <w:t>)</w:t>
            </w:r>
          </w:p>
        </w:tc>
      </w:tr>
    </w:tbl>
    <w:p w14:paraId="2F7422A8" w14:textId="77777777" w:rsidR="006814C6" w:rsidRPr="007B64FD" w:rsidRDefault="006814C6" w:rsidP="006814C6">
      <w:pPr>
        <w:spacing w:after="0" w:line="256" w:lineRule="auto"/>
        <w:rPr>
          <w:rFonts w:cstheme="minorHAnsi"/>
          <w:color w:val="FF0000"/>
          <w:sz w:val="18"/>
          <w:szCs w:val="18"/>
        </w:rPr>
      </w:pPr>
      <w:r w:rsidRPr="007B64FD">
        <w:rPr>
          <w:rFonts w:cstheme="minorHAnsi"/>
          <w:color w:val="FF0000"/>
          <w:sz w:val="18"/>
          <w:szCs w:val="18"/>
        </w:rPr>
        <w:t>SE: Standard Error of the mean.</w:t>
      </w:r>
    </w:p>
    <w:p w14:paraId="5BBA0607" w14:textId="78825E03" w:rsidR="006814C6" w:rsidRPr="007B64FD" w:rsidRDefault="006814C6" w:rsidP="007B64FD">
      <w:pPr>
        <w:spacing w:after="0" w:line="256" w:lineRule="auto"/>
        <w:rPr>
          <w:rFonts w:cstheme="minorHAnsi"/>
          <w:color w:val="FF0000"/>
          <w:sz w:val="18"/>
          <w:szCs w:val="18"/>
        </w:rPr>
      </w:pPr>
      <w:r w:rsidRPr="007B64FD">
        <w:rPr>
          <w:rFonts w:cstheme="minorHAnsi"/>
          <w:color w:val="FF0000"/>
          <w:sz w:val="18"/>
          <w:szCs w:val="18"/>
        </w:rPr>
        <w:t>95% CI: 95% confidence interval.</w:t>
      </w:r>
    </w:p>
    <w:p w14:paraId="5707AB68" w14:textId="77777777" w:rsidR="006814C6" w:rsidRPr="009C3DC9" w:rsidRDefault="006814C6" w:rsidP="009A2E4F">
      <w:pPr>
        <w:spacing w:after="0" w:line="240" w:lineRule="auto"/>
        <w:rPr>
          <w:rFonts w:cstheme="minorHAnsi"/>
        </w:rPr>
      </w:pPr>
    </w:p>
    <w:p w14:paraId="5C47A1F3" w14:textId="2CB1AE57" w:rsidR="006814C6" w:rsidRPr="00D6600E" w:rsidRDefault="006814C6" w:rsidP="009A2E4F">
      <w:pPr>
        <w:spacing w:after="0" w:line="240" w:lineRule="auto"/>
        <w:rPr>
          <w:rFonts w:cstheme="minorHAnsi"/>
          <w:color w:val="FF0000"/>
        </w:rPr>
      </w:pPr>
      <w:r w:rsidRPr="00D6600E">
        <w:rPr>
          <w:rFonts w:cstheme="minorHAnsi"/>
          <w:color w:val="FF0000"/>
        </w:rPr>
        <w:t xml:space="preserve">Table </w:t>
      </w:r>
      <w:r w:rsidR="00D722E2">
        <w:rPr>
          <w:rFonts w:cstheme="minorHAnsi"/>
          <w:color w:val="FF0000"/>
        </w:rPr>
        <w:t>2</w:t>
      </w:r>
      <w:r w:rsidR="00E75598">
        <w:rPr>
          <w:rFonts w:cstheme="minorHAnsi"/>
          <w:color w:val="FF0000"/>
        </w:rPr>
        <w:t>b</w:t>
      </w:r>
      <w:r w:rsidRPr="00D6600E">
        <w:rPr>
          <w:rFonts w:cstheme="minorHAnsi"/>
          <w:color w:val="FF0000"/>
        </w:rPr>
        <w:t xml:space="preserve">. Distribution of Plan-Level Signal-To-Noise Reliability for the </w:t>
      </w:r>
      <w:r w:rsidR="00D6600E" w:rsidRPr="00D6600E">
        <w:rPr>
          <w:rFonts w:ascii="Calibri" w:eastAsia="Times New Roman" w:hAnsi="Calibri" w:cs="Calibri"/>
          <w:i/>
          <w:iCs/>
          <w:color w:val="FF0000"/>
        </w:rPr>
        <w:t>Use of High-Risk Medications in Older Adults</w:t>
      </w:r>
      <w:r w:rsidR="00D6600E" w:rsidRPr="00D6600E">
        <w:rPr>
          <w:rFonts w:cstheme="minorHAnsi"/>
          <w:i/>
          <w:iCs/>
          <w:color w:val="FF0000"/>
        </w:rPr>
        <w:t xml:space="preserve"> </w:t>
      </w:r>
      <w:r w:rsidRPr="00D6600E">
        <w:rPr>
          <w:rFonts w:cstheme="minorHAnsi"/>
          <w:color w:val="FF0000"/>
        </w:rPr>
        <w:t xml:space="preserve">Measure by Terciles of the Denominator Size and for All Submissions, </w:t>
      </w:r>
      <w:r w:rsidR="00D6600E" w:rsidRPr="00D6600E">
        <w:rPr>
          <w:rFonts w:cstheme="minorHAnsi"/>
          <w:color w:val="FF0000"/>
        </w:rPr>
        <w:t>2018</w:t>
      </w:r>
    </w:p>
    <w:tbl>
      <w:tblPr>
        <w:tblStyle w:val="TableGrid"/>
        <w:tblW w:w="0" w:type="auto"/>
        <w:tblLook w:val="04A0" w:firstRow="1" w:lastRow="0" w:firstColumn="1" w:lastColumn="0" w:noHBand="0" w:noVBand="1"/>
      </w:tblPr>
      <w:tblGrid>
        <w:gridCol w:w="1857"/>
        <w:gridCol w:w="1074"/>
        <w:gridCol w:w="854"/>
        <w:gridCol w:w="926"/>
        <w:gridCol w:w="926"/>
        <w:gridCol w:w="926"/>
        <w:gridCol w:w="926"/>
        <w:gridCol w:w="926"/>
        <w:gridCol w:w="935"/>
      </w:tblGrid>
      <w:tr w:rsidR="006814C6" w:rsidRPr="009C3DC9" w14:paraId="7A9AC4B4" w14:textId="77777777" w:rsidTr="00C46D0A">
        <w:tc>
          <w:tcPr>
            <w:tcW w:w="1857" w:type="dxa"/>
            <w:tcBorders>
              <w:top w:val="single" w:sz="4" w:space="0" w:color="auto"/>
              <w:left w:val="single" w:sz="4" w:space="0" w:color="auto"/>
              <w:bottom w:val="single" w:sz="4" w:space="0" w:color="auto"/>
              <w:right w:val="single" w:sz="4" w:space="0" w:color="auto"/>
            </w:tcBorders>
          </w:tcPr>
          <w:p w14:paraId="431CDA11" w14:textId="77777777" w:rsidR="006814C6" w:rsidRPr="002C10E8" w:rsidRDefault="006814C6" w:rsidP="00C46D0A">
            <w:pPr>
              <w:autoSpaceDE w:val="0"/>
              <w:autoSpaceDN w:val="0"/>
              <w:adjustRightInd w:val="0"/>
              <w:spacing w:after="60"/>
              <w:rPr>
                <w:rFonts w:cstheme="minorHAnsi"/>
                <w:color w:val="FF0000"/>
              </w:rPr>
            </w:pPr>
          </w:p>
        </w:tc>
        <w:tc>
          <w:tcPr>
            <w:tcW w:w="1074" w:type="dxa"/>
            <w:tcBorders>
              <w:top w:val="single" w:sz="4" w:space="0" w:color="auto"/>
              <w:left w:val="single" w:sz="4" w:space="0" w:color="auto"/>
              <w:bottom w:val="single" w:sz="4" w:space="0" w:color="auto"/>
              <w:right w:val="single" w:sz="4" w:space="0" w:color="auto"/>
            </w:tcBorders>
          </w:tcPr>
          <w:p w14:paraId="44E6A281" w14:textId="77777777" w:rsidR="006814C6" w:rsidRPr="002C10E8" w:rsidRDefault="006814C6" w:rsidP="00C46D0A">
            <w:pPr>
              <w:autoSpaceDE w:val="0"/>
              <w:autoSpaceDN w:val="0"/>
              <w:adjustRightInd w:val="0"/>
              <w:spacing w:after="60"/>
              <w:rPr>
                <w:rFonts w:cstheme="minorHAnsi"/>
                <w:color w:val="FF0000"/>
              </w:rPr>
            </w:pPr>
          </w:p>
        </w:tc>
        <w:tc>
          <w:tcPr>
            <w:tcW w:w="6419" w:type="dxa"/>
            <w:gridSpan w:val="7"/>
            <w:tcBorders>
              <w:top w:val="single" w:sz="4" w:space="0" w:color="auto"/>
              <w:left w:val="single" w:sz="4" w:space="0" w:color="auto"/>
              <w:bottom w:val="single" w:sz="4" w:space="0" w:color="auto"/>
              <w:right w:val="single" w:sz="4" w:space="0" w:color="auto"/>
            </w:tcBorders>
            <w:hideMark/>
          </w:tcPr>
          <w:p w14:paraId="5EF51105" w14:textId="77777777" w:rsidR="006814C6" w:rsidRPr="002C10E8" w:rsidRDefault="006814C6" w:rsidP="00C46D0A">
            <w:pPr>
              <w:autoSpaceDE w:val="0"/>
              <w:autoSpaceDN w:val="0"/>
              <w:adjustRightInd w:val="0"/>
              <w:spacing w:after="60"/>
              <w:jc w:val="center"/>
              <w:rPr>
                <w:rFonts w:cstheme="minorHAnsi"/>
                <w:color w:val="FF0000"/>
              </w:rPr>
            </w:pPr>
            <w:r w:rsidRPr="002C10E8">
              <w:rPr>
                <w:rFonts w:cstheme="minorHAnsi"/>
                <w:color w:val="FF0000"/>
              </w:rPr>
              <w:t>Distribution of Plan Estimates of Signal-to-Noise Reliability</w:t>
            </w:r>
          </w:p>
        </w:tc>
      </w:tr>
      <w:tr w:rsidR="006814C6" w:rsidRPr="009C3DC9" w14:paraId="57E5E061" w14:textId="77777777" w:rsidTr="00C46D0A">
        <w:tc>
          <w:tcPr>
            <w:tcW w:w="1857" w:type="dxa"/>
            <w:tcBorders>
              <w:top w:val="single" w:sz="4" w:space="0" w:color="auto"/>
              <w:left w:val="single" w:sz="4" w:space="0" w:color="auto"/>
              <w:bottom w:val="single" w:sz="4" w:space="0" w:color="auto"/>
              <w:right w:val="single" w:sz="4" w:space="0" w:color="auto"/>
            </w:tcBorders>
            <w:vAlign w:val="center"/>
            <w:hideMark/>
          </w:tcPr>
          <w:p w14:paraId="1E793011"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Stratification</w:t>
            </w:r>
          </w:p>
        </w:tc>
        <w:tc>
          <w:tcPr>
            <w:tcW w:w="1074" w:type="dxa"/>
            <w:tcBorders>
              <w:top w:val="single" w:sz="4" w:space="0" w:color="auto"/>
              <w:left w:val="single" w:sz="4" w:space="0" w:color="auto"/>
              <w:bottom w:val="single" w:sz="4" w:space="0" w:color="auto"/>
              <w:right w:val="single" w:sz="4" w:space="0" w:color="auto"/>
            </w:tcBorders>
            <w:vAlign w:val="center"/>
            <w:hideMark/>
          </w:tcPr>
          <w:p w14:paraId="2A35CDA0"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Number of Plans</w:t>
            </w:r>
          </w:p>
        </w:tc>
        <w:tc>
          <w:tcPr>
            <w:tcW w:w="854" w:type="dxa"/>
            <w:tcBorders>
              <w:top w:val="single" w:sz="4" w:space="0" w:color="auto"/>
              <w:left w:val="single" w:sz="4" w:space="0" w:color="auto"/>
              <w:bottom w:val="single" w:sz="4" w:space="0" w:color="auto"/>
              <w:right w:val="single" w:sz="4" w:space="0" w:color="auto"/>
            </w:tcBorders>
            <w:vAlign w:val="center"/>
            <w:hideMark/>
          </w:tcPr>
          <w:p w14:paraId="6D1E379B"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Min</w:t>
            </w:r>
          </w:p>
        </w:tc>
        <w:tc>
          <w:tcPr>
            <w:tcW w:w="926" w:type="dxa"/>
            <w:tcBorders>
              <w:top w:val="single" w:sz="4" w:space="0" w:color="auto"/>
              <w:left w:val="single" w:sz="4" w:space="0" w:color="auto"/>
              <w:bottom w:val="single" w:sz="4" w:space="0" w:color="auto"/>
              <w:right w:val="single" w:sz="4" w:space="0" w:color="auto"/>
            </w:tcBorders>
            <w:vAlign w:val="center"/>
            <w:hideMark/>
          </w:tcPr>
          <w:p w14:paraId="3B483643"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P10</w:t>
            </w:r>
          </w:p>
        </w:tc>
        <w:tc>
          <w:tcPr>
            <w:tcW w:w="926" w:type="dxa"/>
            <w:tcBorders>
              <w:top w:val="single" w:sz="4" w:space="0" w:color="auto"/>
              <w:left w:val="single" w:sz="4" w:space="0" w:color="auto"/>
              <w:bottom w:val="single" w:sz="4" w:space="0" w:color="auto"/>
              <w:right w:val="single" w:sz="4" w:space="0" w:color="auto"/>
            </w:tcBorders>
            <w:vAlign w:val="center"/>
            <w:hideMark/>
          </w:tcPr>
          <w:p w14:paraId="5C56730B"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P25</w:t>
            </w:r>
          </w:p>
        </w:tc>
        <w:tc>
          <w:tcPr>
            <w:tcW w:w="926" w:type="dxa"/>
            <w:tcBorders>
              <w:top w:val="single" w:sz="4" w:space="0" w:color="auto"/>
              <w:left w:val="single" w:sz="4" w:space="0" w:color="auto"/>
              <w:bottom w:val="single" w:sz="4" w:space="0" w:color="auto"/>
              <w:right w:val="single" w:sz="4" w:space="0" w:color="auto"/>
            </w:tcBorders>
            <w:vAlign w:val="center"/>
            <w:hideMark/>
          </w:tcPr>
          <w:p w14:paraId="7B884A81"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P50</w:t>
            </w:r>
          </w:p>
        </w:tc>
        <w:tc>
          <w:tcPr>
            <w:tcW w:w="926" w:type="dxa"/>
            <w:tcBorders>
              <w:top w:val="single" w:sz="4" w:space="0" w:color="auto"/>
              <w:left w:val="single" w:sz="4" w:space="0" w:color="auto"/>
              <w:bottom w:val="single" w:sz="4" w:space="0" w:color="auto"/>
              <w:right w:val="single" w:sz="4" w:space="0" w:color="auto"/>
            </w:tcBorders>
            <w:vAlign w:val="center"/>
            <w:hideMark/>
          </w:tcPr>
          <w:p w14:paraId="369F2B14"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P75</w:t>
            </w:r>
          </w:p>
        </w:tc>
        <w:tc>
          <w:tcPr>
            <w:tcW w:w="926" w:type="dxa"/>
            <w:tcBorders>
              <w:top w:val="single" w:sz="4" w:space="0" w:color="auto"/>
              <w:left w:val="single" w:sz="4" w:space="0" w:color="auto"/>
              <w:bottom w:val="single" w:sz="4" w:space="0" w:color="auto"/>
              <w:right w:val="single" w:sz="4" w:space="0" w:color="auto"/>
            </w:tcBorders>
            <w:vAlign w:val="center"/>
            <w:hideMark/>
          </w:tcPr>
          <w:p w14:paraId="13446D9E"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P90</w:t>
            </w:r>
          </w:p>
        </w:tc>
        <w:tc>
          <w:tcPr>
            <w:tcW w:w="935" w:type="dxa"/>
            <w:tcBorders>
              <w:top w:val="single" w:sz="4" w:space="0" w:color="auto"/>
              <w:left w:val="single" w:sz="4" w:space="0" w:color="auto"/>
              <w:bottom w:val="single" w:sz="4" w:space="0" w:color="auto"/>
              <w:right w:val="single" w:sz="4" w:space="0" w:color="auto"/>
            </w:tcBorders>
            <w:vAlign w:val="center"/>
            <w:hideMark/>
          </w:tcPr>
          <w:p w14:paraId="432E0796" w14:textId="77777777" w:rsidR="006814C6" w:rsidRPr="002C10E8" w:rsidRDefault="006814C6" w:rsidP="00C46D0A">
            <w:pPr>
              <w:autoSpaceDE w:val="0"/>
              <w:autoSpaceDN w:val="0"/>
              <w:adjustRightInd w:val="0"/>
              <w:spacing w:after="60"/>
              <w:jc w:val="right"/>
              <w:rPr>
                <w:rFonts w:cstheme="minorHAnsi"/>
                <w:color w:val="FF0000"/>
              </w:rPr>
            </w:pPr>
            <w:r w:rsidRPr="002C10E8">
              <w:rPr>
                <w:rFonts w:cstheme="minorHAnsi"/>
                <w:color w:val="FF0000"/>
              </w:rPr>
              <w:t>Max</w:t>
            </w:r>
          </w:p>
        </w:tc>
      </w:tr>
      <w:tr w:rsidR="006814C6" w:rsidRPr="009C3DC9" w14:paraId="258A0B99" w14:textId="77777777" w:rsidTr="00C46D0A">
        <w:tc>
          <w:tcPr>
            <w:tcW w:w="1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AECA0E" w14:textId="5DC1BE30" w:rsidR="006814C6" w:rsidRPr="002C10E8" w:rsidRDefault="007F2C7F" w:rsidP="00C46D0A">
            <w:pPr>
              <w:autoSpaceDE w:val="0"/>
              <w:autoSpaceDN w:val="0"/>
              <w:adjustRightInd w:val="0"/>
              <w:spacing w:after="60"/>
              <w:rPr>
                <w:rFonts w:cstheme="minorHAnsi"/>
                <w:b/>
                <w:bCs/>
                <w:color w:val="FF0000"/>
              </w:rPr>
            </w:pPr>
            <w:r w:rsidRPr="007B64FD">
              <w:rPr>
                <w:rFonts w:ascii="Calibri" w:eastAsia="Times New Roman" w:hAnsi="Calibri" w:cs="Calibri"/>
                <w:i/>
                <w:iCs/>
                <w:color w:val="FF0000"/>
              </w:rPr>
              <w:t>Use of High-Risk Medications in Older Adults</w:t>
            </w:r>
          </w:p>
        </w:tc>
        <w:tc>
          <w:tcPr>
            <w:tcW w:w="1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218A5E85" w14:textId="18F96058" w:rsidR="006814C6" w:rsidRPr="002C10E8" w:rsidRDefault="002C10E8" w:rsidP="00C46D0A">
            <w:pPr>
              <w:autoSpaceDE w:val="0"/>
              <w:autoSpaceDN w:val="0"/>
              <w:adjustRightInd w:val="0"/>
              <w:spacing w:after="60"/>
              <w:jc w:val="right"/>
              <w:rPr>
                <w:rFonts w:cstheme="minorHAnsi"/>
                <w:b/>
                <w:bCs/>
                <w:color w:val="FF0000"/>
              </w:rPr>
            </w:pPr>
            <w:r w:rsidRPr="002C10E8">
              <w:rPr>
                <w:rFonts w:cstheme="minorHAnsi"/>
                <w:color w:val="FF0000"/>
              </w:rPr>
              <w:t>502</w:t>
            </w:r>
          </w:p>
        </w:tc>
        <w:tc>
          <w:tcPr>
            <w:tcW w:w="8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458C937" w14:textId="5749B804"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0.</w:t>
            </w:r>
            <w:r w:rsidR="00C008C7" w:rsidRPr="00C008C7">
              <w:rPr>
                <w:rFonts w:cstheme="minorHAnsi"/>
                <w:color w:val="FF0000"/>
              </w:rPr>
              <w:t>193</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D2C25F5" w14:textId="4015528E"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0.</w:t>
            </w:r>
            <w:r w:rsidR="00C008C7" w:rsidRPr="00C008C7">
              <w:rPr>
                <w:rFonts w:cstheme="minorHAnsi"/>
                <w:color w:val="FF0000"/>
              </w:rPr>
              <w:t>798</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1B9262F" w14:textId="53B11D19"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0.</w:t>
            </w:r>
            <w:r w:rsidR="00C008C7" w:rsidRPr="00C008C7">
              <w:rPr>
                <w:rFonts w:cstheme="minorHAnsi"/>
                <w:color w:val="FF0000"/>
              </w:rPr>
              <w:t>950</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6FAAE6B" w14:textId="5698C058"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0.</w:t>
            </w:r>
            <w:r w:rsidR="00C008C7" w:rsidRPr="00C008C7">
              <w:rPr>
                <w:rFonts w:cstheme="minorHAnsi"/>
                <w:color w:val="FF0000"/>
              </w:rPr>
              <w:t>988</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1A021471" w14:textId="0664C1DD"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0.</w:t>
            </w:r>
            <w:r w:rsidR="00C008C7" w:rsidRPr="00C008C7">
              <w:rPr>
                <w:rFonts w:cstheme="minorHAnsi"/>
                <w:color w:val="FF0000"/>
              </w:rPr>
              <w:t>998</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CD6F729" w14:textId="77777777"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0.999</w:t>
            </w:r>
          </w:p>
        </w:tc>
        <w:tc>
          <w:tcPr>
            <w:tcW w:w="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DD4BE01" w14:textId="77777777" w:rsidR="006814C6" w:rsidRPr="00C008C7" w:rsidRDefault="006814C6" w:rsidP="00C46D0A">
            <w:pPr>
              <w:autoSpaceDE w:val="0"/>
              <w:autoSpaceDN w:val="0"/>
              <w:adjustRightInd w:val="0"/>
              <w:spacing w:after="60"/>
              <w:jc w:val="right"/>
              <w:rPr>
                <w:rFonts w:cstheme="minorHAnsi"/>
                <w:b/>
                <w:bCs/>
                <w:color w:val="FF0000"/>
              </w:rPr>
            </w:pPr>
            <w:r w:rsidRPr="00C008C7">
              <w:rPr>
                <w:rFonts w:cstheme="minorHAnsi"/>
                <w:color w:val="FF0000"/>
              </w:rPr>
              <w:t>1.000</w:t>
            </w:r>
          </w:p>
        </w:tc>
      </w:tr>
      <w:tr w:rsidR="002C10E8" w:rsidRPr="009C3DC9" w14:paraId="34B5E959" w14:textId="77777777" w:rsidTr="00C46D0A">
        <w:tc>
          <w:tcPr>
            <w:tcW w:w="1857" w:type="dxa"/>
            <w:tcBorders>
              <w:top w:val="single" w:sz="4" w:space="0" w:color="auto"/>
              <w:left w:val="single" w:sz="4" w:space="0" w:color="auto"/>
              <w:bottom w:val="single" w:sz="4" w:space="0" w:color="auto"/>
              <w:right w:val="single" w:sz="4" w:space="0" w:color="auto"/>
            </w:tcBorders>
            <w:hideMark/>
          </w:tcPr>
          <w:p w14:paraId="3BEBC140" w14:textId="77777777" w:rsidR="002C10E8" w:rsidRPr="002C10E8" w:rsidRDefault="002C10E8" w:rsidP="002C10E8">
            <w:pPr>
              <w:autoSpaceDE w:val="0"/>
              <w:autoSpaceDN w:val="0"/>
              <w:adjustRightInd w:val="0"/>
              <w:spacing w:after="60"/>
              <w:jc w:val="right"/>
              <w:rPr>
                <w:rFonts w:cstheme="minorHAnsi"/>
                <w:color w:val="FF0000"/>
              </w:rPr>
            </w:pPr>
            <w:r w:rsidRPr="002C10E8">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hideMark/>
          </w:tcPr>
          <w:p w14:paraId="5E6197D4" w14:textId="0738493C" w:rsidR="002C10E8" w:rsidRPr="002C10E8" w:rsidRDefault="002C10E8" w:rsidP="002C10E8">
            <w:pPr>
              <w:autoSpaceDE w:val="0"/>
              <w:autoSpaceDN w:val="0"/>
              <w:adjustRightInd w:val="0"/>
              <w:spacing w:after="60"/>
              <w:jc w:val="right"/>
              <w:rPr>
                <w:rFonts w:cstheme="minorHAnsi"/>
                <w:color w:val="FF0000"/>
              </w:rPr>
            </w:pPr>
            <w:r w:rsidRPr="002C10E8">
              <w:rPr>
                <w:rFonts w:cstheme="minorHAnsi"/>
                <w:color w:val="FF0000"/>
              </w:rPr>
              <w:t>166</w:t>
            </w:r>
          </w:p>
        </w:tc>
        <w:tc>
          <w:tcPr>
            <w:tcW w:w="854" w:type="dxa"/>
            <w:tcBorders>
              <w:top w:val="single" w:sz="4" w:space="0" w:color="auto"/>
              <w:left w:val="single" w:sz="4" w:space="0" w:color="auto"/>
              <w:bottom w:val="single" w:sz="4" w:space="0" w:color="auto"/>
              <w:right w:val="single" w:sz="4" w:space="0" w:color="auto"/>
            </w:tcBorders>
            <w:vAlign w:val="bottom"/>
            <w:hideMark/>
          </w:tcPr>
          <w:p w14:paraId="610A8937" w14:textId="7B8A8B54"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249</w:t>
            </w:r>
          </w:p>
        </w:tc>
        <w:tc>
          <w:tcPr>
            <w:tcW w:w="926" w:type="dxa"/>
            <w:tcBorders>
              <w:top w:val="single" w:sz="4" w:space="0" w:color="auto"/>
              <w:left w:val="single" w:sz="4" w:space="0" w:color="auto"/>
              <w:bottom w:val="single" w:sz="4" w:space="0" w:color="auto"/>
              <w:right w:val="single" w:sz="4" w:space="0" w:color="auto"/>
            </w:tcBorders>
            <w:vAlign w:val="bottom"/>
            <w:hideMark/>
          </w:tcPr>
          <w:p w14:paraId="6C3EDDB7" w14:textId="2A137100"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615</w:t>
            </w:r>
          </w:p>
        </w:tc>
        <w:tc>
          <w:tcPr>
            <w:tcW w:w="926" w:type="dxa"/>
            <w:tcBorders>
              <w:top w:val="single" w:sz="4" w:space="0" w:color="auto"/>
              <w:left w:val="single" w:sz="4" w:space="0" w:color="auto"/>
              <w:bottom w:val="single" w:sz="4" w:space="0" w:color="auto"/>
              <w:right w:val="single" w:sz="4" w:space="0" w:color="auto"/>
            </w:tcBorders>
            <w:vAlign w:val="bottom"/>
            <w:hideMark/>
          </w:tcPr>
          <w:p w14:paraId="42CCB469" w14:textId="16BA788B"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812</w:t>
            </w:r>
          </w:p>
        </w:tc>
        <w:tc>
          <w:tcPr>
            <w:tcW w:w="926" w:type="dxa"/>
            <w:tcBorders>
              <w:top w:val="single" w:sz="4" w:space="0" w:color="auto"/>
              <w:left w:val="single" w:sz="4" w:space="0" w:color="auto"/>
              <w:bottom w:val="single" w:sz="4" w:space="0" w:color="auto"/>
              <w:right w:val="single" w:sz="4" w:space="0" w:color="auto"/>
            </w:tcBorders>
            <w:vAlign w:val="bottom"/>
            <w:hideMark/>
          </w:tcPr>
          <w:p w14:paraId="4231EE98" w14:textId="2850FC16"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928</w:t>
            </w:r>
          </w:p>
        </w:tc>
        <w:tc>
          <w:tcPr>
            <w:tcW w:w="926" w:type="dxa"/>
            <w:tcBorders>
              <w:top w:val="single" w:sz="4" w:space="0" w:color="auto"/>
              <w:left w:val="single" w:sz="4" w:space="0" w:color="auto"/>
              <w:bottom w:val="single" w:sz="4" w:space="0" w:color="auto"/>
              <w:right w:val="single" w:sz="4" w:space="0" w:color="auto"/>
            </w:tcBorders>
            <w:vAlign w:val="bottom"/>
            <w:hideMark/>
          </w:tcPr>
          <w:p w14:paraId="109B1DE1" w14:textId="43798FEF"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962</w:t>
            </w:r>
          </w:p>
        </w:tc>
        <w:tc>
          <w:tcPr>
            <w:tcW w:w="926" w:type="dxa"/>
            <w:tcBorders>
              <w:top w:val="single" w:sz="4" w:space="0" w:color="auto"/>
              <w:left w:val="single" w:sz="4" w:space="0" w:color="auto"/>
              <w:bottom w:val="single" w:sz="4" w:space="0" w:color="auto"/>
              <w:right w:val="single" w:sz="4" w:space="0" w:color="auto"/>
            </w:tcBorders>
            <w:vAlign w:val="bottom"/>
            <w:hideMark/>
          </w:tcPr>
          <w:p w14:paraId="29D6005B" w14:textId="622D0684"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980</w:t>
            </w:r>
          </w:p>
        </w:tc>
        <w:tc>
          <w:tcPr>
            <w:tcW w:w="935" w:type="dxa"/>
            <w:tcBorders>
              <w:top w:val="single" w:sz="4" w:space="0" w:color="auto"/>
              <w:left w:val="single" w:sz="4" w:space="0" w:color="auto"/>
              <w:bottom w:val="single" w:sz="4" w:space="0" w:color="auto"/>
              <w:right w:val="single" w:sz="4" w:space="0" w:color="auto"/>
            </w:tcBorders>
            <w:vAlign w:val="bottom"/>
            <w:hideMark/>
          </w:tcPr>
          <w:p w14:paraId="11D85EB4" w14:textId="30DC64C1" w:rsidR="002C10E8" w:rsidRPr="00143F33" w:rsidRDefault="00143F33" w:rsidP="002C10E8">
            <w:pPr>
              <w:autoSpaceDE w:val="0"/>
              <w:autoSpaceDN w:val="0"/>
              <w:adjustRightInd w:val="0"/>
              <w:spacing w:after="60"/>
              <w:jc w:val="right"/>
              <w:rPr>
                <w:rFonts w:cstheme="minorHAnsi"/>
                <w:color w:val="FF0000"/>
              </w:rPr>
            </w:pPr>
            <w:r w:rsidRPr="00143F33">
              <w:rPr>
                <w:rFonts w:cstheme="minorHAnsi"/>
                <w:color w:val="FF0000"/>
              </w:rPr>
              <w:t>1.000</w:t>
            </w:r>
          </w:p>
        </w:tc>
      </w:tr>
      <w:tr w:rsidR="002C10E8" w:rsidRPr="009C3DC9" w14:paraId="30C212A4" w14:textId="77777777" w:rsidTr="00C46D0A">
        <w:tc>
          <w:tcPr>
            <w:tcW w:w="1857" w:type="dxa"/>
            <w:tcBorders>
              <w:top w:val="single" w:sz="4" w:space="0" w:color="auto"/>
              <w:left w:val="single" w:sz="4" w:space="0" w:color="auto"/>
              <w:bottom w:val="single" w:sz="4" w:space="0" w:color="auto"/>
              <w:right w:val="single" w:sz="4" w:space="0" w:color="auto"/>
            </w:tcBorders>
            <w:hideMark/>
          </w:tcPr>
          <w:p w14:paraId="41C5B986" w14:textId="77777777" w:rsidR="002C10E8" w:rsidRPr="002C10E8" w:rsidRDefault="002C10E8" w:rsidP="002C10E8">
            <w:pPr>
              <w:autoSpaceDE w:val="0"/>
              <w:autoSpaceDN w:val="0"/>
              <w:adjustRightInd w:val="0"/>
              <w:spacing w:after="60"/>
              <w:jc w:val="right"/>
              <w:rPr>
                <w:rFonts w:cstheme="minorHAnsi"/>
                <w:color w:val="FF0000"/>
              </w:rPr>
            </w:pPr>
            <w:r w:rsidRPr="002C10E8">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hideMark/>
          </w:tcPr>
          <w:p w14:paraId="596B1A60" w14:textId="5D0119D2" w:rsidR="002C10E8" w:rsidRPr="002C10E8" w:rsidRDefault="002C10E8" w:rsidP="002C10E8">
            <w:pPr>
              <w:autoSpaceDE w:val="0"/>
              <w:autoSpaceDN w:val="0"/>
              <w:adjustRightInd w:val="0"/>
              <w:spacing w:after="60"/>
              <w:jc w:val="right"/>
              <w:rPr>
                <w:rFonts w:cstheme="minorHAnsi"/>
                <w:color w:val="FF0000"/>
              </w:rPr>
            </w:pPr>
            <w:r w:rsidRPr="002C10E8">
              <w:rPr>
                <w:rFonts w:cstheme="minorHAnsi"/>
                <w:color w:val="FF0000"/>
              </w:rPr>
              <w:t>165</w:t>
            </w:r>
          </w:p>
        </w:tc>
        <w:tc>
          <w:tcPr>
            <w:tcW w:w="854" w:type="dxa"/>
            <w:tcBorders>
              <w:top w:val="single" w:sz="4" w:space="0" w:color="auto"/>
              <w:left w:val="single" w:sz="4" w:space="0" w:color="auto"/>
              <w:bottom w:val="single" w:sz="4" w:space="0" w:color="auto"/>
              <w:right w:val="single" w:sz="4" w:space="0" w:color="auto"/>
            </w:tcBorders>
            <w:vAlign w:val="bottom"/>
            <w:hideMark/>
          </w:tcPr>
          <w:p w14:paraId="7CDFC6C3" w14:textId="4A4FC51B"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962</w:t>
            </w:r>
          </w:p>
        </w:tc>
        <w:tc>
          <w:tcPr>
            <w:tcW w:w="926" w:type="dxa"/>
            <w:tcBorders>
              <w:top w:val="single" w:sz="4" w:space="0" w:color="auto"/>
              <w:left w:val="single" w:sz="4" w:space="0" w:color="auto"/>
              <w:bottom w:val="single" w:sz="4" w:space="0" w:color="auto"/>
              <w:right w:val="single" w:sz="4" w:space="0" w:color="auto"/>
            </w:tcBorders>
            <w:vAlign w:val="bottom"/>
            <w:hideMark/>
          </w:tcPr>
          <w:p w14:paraId="2FD92AA4" w14:textId="4295EDA2"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975</w:t>
            </w:r>
          </w:p>
        </w:tc>
        <w:tc>
          <w:tcPr>
            <w:tcW w:w="926" w:type="dxa"/>
            <w:tcBorders>
              <w:top w:val="single" w:sz="4" w:space="0" w:color="auto"/>
              <w:left w:val="single" w:sz="4" w:space="0" w:color="auto"/>
              <w:bottom w:val="single" w:sz="4" w:space="0" w:color="auto"/>
              <w:right w:val="single" w:sz="4" w:space="0" w:color="auto"/>
            </w:tcBorders>
            <w:vAlign w:val="bottom"/>
            <w:hideMark/>
          </w:tcPr>
          <w:p w14:paraId="39459C89" w14:textId="1948D5C5"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982</w:t>
            </w:r>
          </w:p>
        </w:tc>
        <w:tc>
          <w:tcPr>
            <w:tcW w:w="926" w:type="dxa"/>
            <w:tcBorders>
              <w:top w:val="single" w:sz="4" w:space="0" w:color="auto"/>
              <w:left w:val="single" w:sz="4" w:space="0" w:color="auto"/>
              <w:bottom w:val="single" w:sz="4" w:space="0" w:color="auto"/>
              <w:right w:val="single" w:sz="4" w:space="0" w:color="auto"/>
            </w:tcBorders>
            <w:vAlign w:val="bottom"/>
            <w:hideMark/>
          </w:tcPr>
          <w:p w14:paraId="3E930E22" w14:textId="457806E1"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988</w:t>
            </w:r>
          </w:p>
        </w:tc>
        <w:tc>
          <w:tcPr>
            <w:tcW w:w="926" w:type="dxa"/>
            <w:tcBorders>
              <w:top w:val="single" w:sz="4" w:space="0" w:color="auto"/>
              <w:left w:val="single" w:sz="4" w:space="0" w:color="auto"/>
              <w:bottom w:val="single" w:sz="4" w:space="0" w:color="auto"/>
              <w:right w:val="single" w:sz="4" w:space="0" w:color="auto"/>
            </w:tcBorders>
            <w:vAlign w:val="bottom"/>
            <w:hideMark/>
          </w:tcPr>
          <w:p w14:paraId="2A920A71" w14:textId="5A49F6A6"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993</w:t>
            </w:r>
          </w:p>
        </w:tc>
        <w:tc>
          <w:tcPr>
            <w:tcW w:w="926" w:type="dxa"/>
            <w:tcBorders>
              <w:top w:val="single" w:sz="4" w:space="0" w:color="auto"/>
              <w:left w:val="single" w:sz="4" w:space="0" w:color="auto"/>
              <w:bottom w:val="single" w:sz="4" w:space="0" w:color="auto"/>
              <w:right w:val="single" w:sz="4" w:space="0" w:color="auto"/>
            </w:tcBorders>
            <w:vAlign w:val="bottom"/>
            <w:hideMark/>
          </w:tcPr>
          <w:p w14:paraId="3FA74D98" w14:textId="77777777"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0.995</w:t>
            </w:r>
          </w:p>
        </w:tc>
        <w:tc>
          <w:tcPr>
            <w:tcW w:w="935" w:type="dxa"/>
            <w:tcBorders>
              <w:top w:val="single" w:sz="4" w:space="0" w:color="auto"/>
              <w:left w:val="single" w:sz="4" w:space="0" w:color="auto"/>
              <w:bottom w:val="single" w:sz="4" w:space="0" w:color="auto"/>
              <w:right w:val="single" w:sz="4" w:space="0" w:color="auto"/>
            </w:tcBorders>
            <w:vAlign w:val="bottom"/>
            <w:hideMark/>
          </w:tcPr>
          <w:p w14:paraId="10589112" w14:textId="5B59B9A4"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997</w:t>
            </w:r>
          </w:p>
        </w:tc>
      </w:tr>
      <w:tr w:rsidR="002C10E8" w:rsidRPr="009C3DC9" w14:paraId="494B62B9" w14:textId="77777777" w:rsidTr="00C46D0A">
        <w:tc>
          <w:tcPr>
            <w:tcW w:w="1857" w:type="dxa"/>
            <w:tcBorders>
              <w:top w:val="single" w:sz="4" w:space="0" w:color="auto"/>
              <w:left w:val="single" w:sz="4" w:space="0" w:color="auto"/>
              <w:bottom w:val="single" w:sz="4" w:space="0" w:color="auto"/>
              <w:right w:val="single" w:sz="4" w:space="0" w:color="auto"/>
            </w:tcBorders>
            <w:hideMark/>
          </w:tcPr>
          <w:p w14:paraId="2051F2C6" w14:textId="77777777" w:rsidR="002C10E8" w:rsidRPr="002C10E8" w:rsidRDefault="002C10E8" w:rsidP="002C10E8">
            <w:pPr>
              <w:autoSpaceDE w:val="0"/>
              <w:autoSpaceDN w:val="0"/>
              <w:adjustRightInd w:val="0"/>
              <w:spacing w:after="60"/>
              <w:jc w:val="right"/>
              <w:rPr>
                <w:rFonts w:cstheme="minorHAnsi"/>
                <w:color w:val="FF0000"/>
              </w:rPr>
            </w:pPr>
            <w:r w:rsidRPr="002C10E8">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hideMark/>
          </w:tcPr>
          <w:p w14:paraId="02DB5D91" w14:textId="0F48097C" w:rsidR="002C10E8" w:rsidRPr="002C10E8" w:rsidRDefault="002C10E8" w:rsidP="002C10E8">
            <w:pPr>
              <w:autoSpaceDE w:val="0"/>
              <w:autoSpaceDN w:val="0"/>
              <w:adjustRightInd w:val="0"/>
              <w:spacing w:after="60"/>
              <w:jc w:val="right"/>
              <w:rPr>
                <w:rFonts w:cstheme="minorHAnsi"/>
                <w:color w:val="FF0000"/>
              </w:rPr>
            </w:pPr>
            <w:r w:rsidRPr="002C10E8">
              <w:rPr>
                <w:rFonts w:cstheme="minorHAnsi"/>
                <w:color w:val="FF0000"/>
              </w:rPr>
              <w:t>171</w:t>
            </w:r>
          </w:p>
        </w:tc>
        <w:tc>
          <w:tcPr>
            <w:tcW w:w="854" w:type="dxa"/>
            <w:tcBorders>
              <w:top w:val="single" w:sz="4" w:space="0" w:color="auto"/>
              <w:left w:val="single" w:sz="4" w:space="0" w:color="auto"/>
              <w:bottom w:val="single" w:sz="4" w:space="0" w:color="auto"/>
              <w:right w:val="single" w:sz="4" w:space="0" w:color="auto"/>
            </w:tcBorders>
            <w:vAlign w:val="bottom"/>
            <w:hideMark/>
          </w:tcPr>
          <w:p w14:paraId="34A129AA" w14:textId="6E222272"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987</w:t>
            </w:r>
          </w:p>
        </w:tc>
        <w:tc>
          <w:tcPr>
            <w:tcW w:w="926" w:type="dxa"/>
            <w:tcBorders>
              <w:top w:val="single" w:sz="4" w:space="0" w:color="auto"/>
              <w:left w:val="single" w:sz="4" w:space="0" w:color="auto"/>
              <w:bottom w:val="single" w:sz="4" w:space="0" w:color="auto"/>
              <w:right w:val="single" w:sz="4" w:space="0" w:color="auto"/>
            </w:tcBorders>
            <w:vAlign w:val="bottom"/>
            <w:hideMark/>
          </w:tcPr>
          <w:p w14:paraId="25C83C1F" w14:textId="52535A58"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994</w:t>
            </w:r>
          </w:p>
        </w:tc>
        <w:tc>
          <w:tcPr>
            <w:tcW w:w="926" w:type="dxa"/>
            <w:tcBorders>
              <w:top w:val="single" w:sz="4" w:space="0" w:color="auto"/>
              <w:left w:val="single" w:sz="4" w:space="0" w:color="auto"/>
              <w:bottom w:val="single" w:sz="4" w:space="0" w:color="auto"/>
              <w:right w:val="single" w:sz="4" w:space="0" w:color="auto"/>
            </w:tcBorders>
            <w:vAlign w:val="bottom"/>
            <w:hideMark/>
          </w:tcPr>
          <w:p w14:paraId="0DB7482F" w14:textId="03B185B1"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996</w:t>
            </w:r>
          </w:p>
        </w:tc>
        <w:tc>
          <w:tcPr>
            <w:tcW w:w="926" w:type="dxa"/>
            <w:tcBorders>
              <w:top w:val="single" w:sz="4" w:space="0" w:color="auto"/>
              <w:left w:val="single" w:sz="4" w:space="0" w:color="auto"/>
              <w:bottom w:val="single" w:sz="4" w:space="0" w:color="auto"/>
              <w:right w:val="single" w:sz="4" w:space="0" w:color="auto"/>
            </w:tcBorders>
            <w:vAlign w:val="bottom"/>
            <w:hideMark/>
          </w:tcPr>
          <w:p w14:paraId="4B58DB29" w14:textId="6037E81B"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998</w:t>
            </w:r>
          </w:p>
        </w:tc>
        <w:tc>
          <w:tcPr>
            <w:tcW w:w="926" w:type="dxa"/>
            <w:tcBorders>
              <w:top w:val="single" w:sz="4" w:space="0" w:color="auto"/>
              <w:left w:val="single" w:sz="4" w:space="0" w:color="auto"/>
              <w:bottom w:val="single" w:sz="4" w:space="0" w:color="auto"/>
              <w:right w:val="single" w:sz="4" w:space="0" w:color="auto"/>
            </w:tcBorders>
            <w:vAlign w:val="bottom"/>
            <w:hideMark/>
          </w:tcPr>
          <w:p w14:paraId="2ADC948E" w14:textId="606596AA"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999</w:t>
            </w:r>
          </w:p>
        </w:tc>
        <w:tc>
          <w:tcPr>
            <w:tcW w:w="926" w:type="dxa"/>
            <w:tcBorders>
              <w:top w:val="single" w:sz="4" w:space="0" w:color="auto"/>
              <w:left w:val="single" w:sz="4" w:space="0" w:color="auto"/>
              <w:bottom w:val="single" w:sz="4" w:space="0" w:color="auto"/>
              <w:right w:val="single" w:sz="4" w:space="0" w:color="auto"/>
            </w:tcBorders>
            <w:vAlign w:val="bottom"/>
            <w:hideMark/>
          </w:tcPr>
          <w:p w14:paraId="6B3BCB33" w14:textId="609EC2D2" w:rsidR="002C10E8" w:rsidRPr="00143F33" w:rsidRDefault="002C10E8" w:rsidP="002C10E8">
            <w:pPr>
              <w:autoSpaceDE w:val="0"/>
              <w:autoSpaceDN w:val="0"/>
              <w:adjustRightInd w:val="0"/>
              <w:spacing w:after="60"/>
              <w:jc w:val="right"/>
              <w:rPr>
                <w:rFonts w:cstheme="minorHAnsi"/>
                <w:color w:val="FF0000"/>
              </w:rPr>
            </w:pPr>
            <w:r w:rsidRPr="00143F33">
              <w:rPr>
                <w:rFonts w:cstheme="minorHAnsi"/>
                <w:color w:val="FF0000"/>
              </w:rPr>
              <w:t>0.</w:t>
            </w:r>
            <w:r w:rsidR="00143F33" w:rsidRPr="00143F33">
              <w:rPr>
                <w:rFonts w:cstheme="minorHAnsi"/>
                <w:color w:val="FF0000"/>
              </w:rPr>
              <w:t>999</w:t>
            </w:r>
          </w:p>
        </w:tc>
        <w:tc>
          <w:tcPr>
            <w:tcW w:w="935" w:type="dxa"/>
            <w:tcBorders>
              <w:top w:val="single" w:sz="4" w:space="0" w:color="auto"/>
              <w:left w:val="single" w:sz="4" w:space="0" w:color="auto"/>
              <w:bottom w:val="single" w:sz="4" w:space="0" w:color="auto"/>
              <w:right w:val="single" w:sz="4" w:space="0" w:color="auto"/>
            </w:tcBorders>
            <w:vAlign w:val="bottom"/>
            <w:hideMark/>
          </w:tcPr>
          <w:p w14:paraId="6FEF4588" w14:textId="601AD9C5" w:rsidR="002C10E8" w:rsidRPr="00143F33" w:rsidRDefault="00143F33" w:rsidP="002C10E8">
            <w:pPr>
              <w:autoSpaceDE w:val="0"/>
              <w:autoSpaceDN w:val="0"/>
              <w:adjustRightInd w:val="0"/>
              <w:spacing w:after="60"/>
              <w:jc w:val="right"/>
              <w:rPr>
                <w:rFonts w:cstheme="minorHAnsi"/>
                <w:color w:val="FF0000"/>
              </w:rPr>
            </w:pPr>
            <w:r w:rsidRPr="00143F33">
              <w:rPr>
                <w:rFonts w:cstheme="minorHAnsi"/>
                <w:color w:val="FF0000"/>
              </w:rPr>
              <w:t>1.000</w:t>
            </w:r>
          </w:p>
        </w:tc>
      </w:tr>
    </w:tbl>
    <w:p w14:paraId="4C7D9C0F" w14:textId="77777777" w:rsidR="006814C6" w:rsidRDefault="006814C6" w:rsidP="003E1AED">
      <w:pPr>
        <w:pStyle w:val="paragraph"/>
        <w:spacing w:before="0" w:beforeAutospacing="0" w:after="0" w:afterAutospacing="0"/>
        <w:textAlignment w:val="baseline"/>
        <w:rPr>
          <w:rStyle w:val="normaltextrun"/>
          <w:rFonts w:ascii="Calibri" w:hAnsi="Calibri" w:cs="Calibri"/>
          <w:b/>
          <w:bCs/>
          <w:color w:val="4F81BD"/>
          <w:sz w:val="22"/>
          <w:szCs w:val="22"/>
          <w:u w:val="single"/>
        </w:rPr>
      </w:pPr>
    </w:p>
    <w:p w14:paraId="54D3458D" w14:textId="141EE996"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1AB7D295" w14:textId="7DD78D41" w:rsidR="00C33B44" w:rsidRPr="00012974" w:rsidRDefault="001C5635" w:rsidP="008C54A9">
      <w:pPr>
        <w:autoSpaceDE w:val="0"/>
        <w:autoSpaceDN w:val="0"/>
        <w:adjustRightInd w:val="0"/>
        <w:spacing w:after="0" w:line="240" w:lineRule="auto"/>
        <w:rPr>
          <w:rFonts w:cstheme="minorHAnsi"/>
          <w:bCs/>
          <w:color w:val="4F81BD" w:themeColor="accent1"/>
        </w:rPr>
      </w:pPr>
      <w:r w:rsidRPr="001C5635">
        <w:rPr>
          <w:rFonts w:cstheme="minorHAnsi"/>
          <w:bCs/>
          <w:color w:val="4F81BD" w:themeColor="accent1"/>
        </w:rPr>
        <w:t xml:space="preserve">Using 2014 HEDIS Health Plan performance data, reliability for this measure was calculated as 0.99814 for receipt of one or more high-risk prescriptions and 0.99594 for receipt of two or more high-risk prescriptions. </w:t>
      </w:r>
    </w:p>
    <w:p w14:paraId="0B75D441" w14:textId="77777777" w:rsidR="00C33B44" w:rsidRPr="0013082E" w:rsidRDefault="00C33B44" w:rsidP="008C54A9">
      <w:pPr>
        <w:autoSpaceDE w:val="0"/>
        <w:autoSpaceDN w:val="0"/>
        <w:adjustRightInd w:val="0"/>
        <w:spacing w:after="0" w:line="240" w:lineRule="auto"/>
        <w:rPr>
          <w:rFonts w:cstheme="minorHAnsi"/>
          <w:bCs/>
        </w:rPr>
      </w:pPr>
    </w:p>
    <w:p w14:paraId="26745108" w14:textId="1D226484" w:rsidR="0013082E" w:rsidRPr="0013082E" w:rsidRDefault="00092566" w:rsidP="0013082E">
      <w:pPr>
        <w:autoSpaceDE w:val="0"/>
        <w:autoSpaceDN w:val="0"/>
        <w:adjustRightInd w:val="0"/>
        <w:spacing w:after="0" w:line="240" w:lineRule="auto"/>
        <w:rPr>
          <w:rFonts w:cstheme="minorHAnsi"/>
          <w:bCs/>
        </w:rPr>
      </w:pPr>
      <w:r w:rsidRPr="0013082E">
        <w:rPr>
          <w:rFonts w:cstheme="minorHAnsi"/>
          <w:b/>
          <w:bCs/>
        </w:rPr>
        <w:t xml:space="preserve">2a2.4 </w:t>
      </w:r>
      <w:r w:rsidR="007422FD" w:rsidRPr="0013082E">
        <w:rPr>
          <w:rFonts w:cstheme="minorHAnsi"/>
          <w:b/>
          <w:bCs/>
        </w:rPr>
        <w:t xml:space="preserve">What </w:t>
      </w:r>
      <w:r w:rsidR="000B2DF7" w:rsidRPr="0013082E">
        <w:rPr>
          <w:rFonts w:cstheme="minorHAnsi"/>
          <w:b/>
          <w:bCs/>
        </w:rPr>
        <w:t>is your interpretation of the results in terms of</w:t>
      </w:r>
      <w:r w:rsidR="007422FD" w:rsidRPr="0013082E">
        <w:rPr>
          <w:rFonts w:cstheme="minorHAnsi"/>
          <w:b/>
          <w:bCs/>
        </w:rPr>
        <w:t xml:space="preserve"> demonstrating reliability</w:t>
      </w:r>
      <w:r w:rsidR="007422FD" w:rsidRPr="0013082E">
        <w:rPr>
          <w:rFonts w:cstheme="minorHAnsi"/>
          <w:bCs/>
        </w:rPr>
        <w:t xml:space="preserve">? </w:t>
      </w:r>
      <w:r w:rsidR="000B2DF7" w:rsidRPr="0013082E">
        <w:rPr>
          <w:rFonts w:cstheme="minorHAnsi"/>
          <w:bCs/>
        </w:rPr>
        <w:t>(i</w:t>
      </w:r>
      <w:r w:rsidR="000B2DF7" w:rsidRPr="0013082E">
        <w:rPr>
          <w:rFonts w:cstheme="minorHAnsi"/>
          <w:bCs/>
          <w:i/>
        </w:rPr>
        <w:t>.e., what do the results mean and what are the norms for the test conducted</w:t>
      </w:r>
      <w:r w:rsidR="007757CE" w:rsidRPr="0013082E">
        <w:rPr>
          <w:rFonts w:cstheme="minorHAnsi"/>
          <w:bCs/>
          <w:i/>
        </w:rPr>
        <w:t>?</w:t>
      </w:r>
      <w:r w:rsidR="000B2DF7" w:rsidRPr="0013082E">
        <w:rPr>
          <w:rFonts w:cstheme="minorHAnsi"/>
          <w:bCs/>
        </w:rPr>
        <w:t>)</w:t>
      </w:r>
      <w:r w:rsidR="007422FD" w:rsidRPr="0013082E">
        <w:rPr>
          <w:rFonts w:cstheme="minorHAnsi"/>
          <w:bCs/>
        </w:rPr>
        <w:br/>
      </w:r>
      <w:r w:rsidR="0013082E" w:rsidRPr="0013082E">
        <w:rPr>
          <w:rFonts w:cstheme="minorHAnsi"/>
          <w:b/>
          <w:color w:val="FF0000"/>
          <w:u w:val="single"/>
        </w:rPr>
        <w:t>2020 Submission</w:t>
      </w:r>
      <w:r w:rsidR="0013082E" w:rsidRPr="0013082E">
        <w:rPr>
          <w:rFonts w:cstheme="minorHAnsi"/>
          <w:bCs/>
          <w:color w:val="FF0000"/>
        </w:rPr>
        <w:t xml:space="preserve"> </w:t>
      </w:r>
    </w:p>
    <w:p w14:paraId="238C6243" w14:textId="1EEA4C19" w:rsidR="00233503" w:rsidRDefault="00F6404C" w:rsidP="00F6404C">
      <w:pPr>
        <w:spacing w:before="180" w:after="0" w:line="256" w:lineRule="auto"/>
        <w:rPr>
          <w:rFonts w:cstheme="minorHAnsi"/>
          <w:color w:val="7030A0"/>
          <w:highlight w:val="cyan"/>
        </w:rPr>
      </w:pPr>
      <w:r w:rsidRPr="00B92727">
        <w:rPr>
          <w:rFonts w:cstheme="minorHAnsi"/>
          <w:color w:val="FF0000"/>
        </w:rPr>
        <w:t>Table 2</w:t>
      </w:r>
      <w:r w:rsidR="00523C66">
        <w:rPr>
          <w:rFonts w:cstheme="minorHAnsi"/>
          <w:color w:val="FF0000"/>
        </w:rPr>
        <w:t>a</w:t>
      </w:r>
      <w:r w:rsidRPr="00B92727">
        <w:rPr>
          <w:rFonts w:cstheme="minorHAnsi"/>
          <w:color w:val="FF0000"/>
        </w:rPr>
        <w:t xml:space="preserve"> provides </w:t>
      </w:r>
      <w:r w:rsidRPr="00467D1C">
        <w:rPr>
          <w:rFonts w:cstheme="minorHAnsi"/>
          <w:color w:val="FF0000"/>
        </w:rPr>
        <w:t xml:space="preserve">the point estimate of mean signal-to-noise reliability, its standard error, and the 95% CI for the </w:t>
      </w:r>
      <w:r w:rsidRPr="00467D1C">
        <w:rPr>
          <w:rFonts w:ascii="Calibri" w:eastAsia="Times New Roman" w:hAnsi="Calibri" w:cs="Calibri"/>
          <w:i/>
          <w:iCs/>
          <w:color w:val="FF0000"/>
        </w:rPr>
        <w:t xml:space="preserve">Use </w:t>
      </w:r>
      <w:r w:rsidRPr="007B64FD">
        <w:rPr>
          <w:rFonts w:ascii="Calibri" w:eastAsia="Times New Roman" w:hAnsi="Calibri" w:cs="Calibri"/>
          <w:i/>
          <w:iCs/>
          <w:color w:val="FF0000"/>
        </w:rPr>
        <w:t xml:space="preserve">of High-Risk Medications in Older </w:t>
      </w:r>
      <w:r w:rsidRPr="00467D1C">
        <w:rPr>
          <w:rFonts w:ascii="Calibri" w:eastAsia="Times New Roman" w:hAnsi="Calibri" w:cs="Calibri"/>
          <w:i/>
          <w:iCs/>
          <w:color w:val="FF0000"/>
        </w:rPr>
        <w:t>Adults</w:t>
      </w:r>
      <w:r w:rsidRPr="00467D1C">
        <w:rPr>
          <w:rFonts w:cstheme="minorHAnsi"/>
          <w:i/>
          <w:iCs/>
          <w:color w:val="FF0000"/>
        </w:rPr>
        <w:t xml:space="preserve"> </w:t>
      </w:r>
      <w:r w:rsidRPr="00467D1C">
        <w:rPr>
          <w:rFonts w:cstheme="minorHAnsi"/>
          <w:color w:val="FF0000"/>
        </w:rPr>
        <w:t>measure stratified by the denominator size (distribution of the number of eligible members per plan</w:t>
      </w:r>
      <w:r w:rsidRPr="00233503">
        <w:rPr>
          <w:rFonts w:cstheme="minorHAnsi"/>
          <w:color w:val="FF0000"/>
        </w:rPr>
        <w:t xml:space="preserve">). </w:t>
      </w:r>
      <w:r w:rsidR="002D0871">
        <w:rPr>
          <w:rFonts w:cstheme="minorHAnsi"/>
          <w:color w:val="FF0000"/>
        </w:rPr>
        <w:t>The</w:t>
      </w:r>
      <w:r w:rsidR="00EC7FED" w:rsidRPr="00233503">
        <w:rPr>
          <w:rFonts w:cstheme="minorHAnsi"/>
          <w:color w:val="FF0000"/>
        </w:rPr>
        <w:t xml:space="preserve"> reliability estimate is 0.936</w:t>
      </w:r>
      <w:r w:rsidRPr="00233503">
        <w:rPr>
          <w:rFonts w:cstheme="minorHAnsi"/>
          <w:color w:val="FF0000"/>
        </w:rPr>
        <w:t>,</w:t>
      </w:r>
      <w:r w:rsidR="00EC7FED" w:rsidRPr="00233503">
        <w:rPr>
          <w:rFonts w:cstheme="minorHAnsi"/>
          <w:color w:val="FF0000"/>
        </w:rPr>
        <w:t xml:space="preserve"> and the 95% CI is (0.924, 0.947),</w:t>
      </w:r>
      <w:r w:rsidRPr="00233503">
        <w:rPr>
          <w:rFonts w:cstheme="minorHAnsi"/>
          <w:color w:val="FF0000"/>
        </w:rPr>
        <w:t xml:space="preserve"> indicating very good reliability</w:t>
      </w:r>
      <w:r w:rsidR="00EC7FED" w:rsidRPr="00233503">
        <w:rPr>
          <w:rFonts w:cstheme="minorHAnsi"/>
          <w:color w:val="FF0000"/>
        </w:rPr>
        <w:t xml:space="preserve"> for </w:t>
      </w:r>
      <w:r w:rsidR="002D0871">
        <w:rPr>
          <w:rFonts w:cstheme="minorHAnsi"/>
          <w:color w:val="FF0000"/>
        </w:rPr>
        <w:t>the measure</w:t>
      </w:r>
      <w:r w:rsidRPr="00233503">
        <w:rPr>
          <w:rFonts w:cstheme="minorHAnsi"/>
          <w:color w:val="FF0000"/>
        </w:rPr>
        <w:t>. Stratified analyses show that reliability increase</w:t>
      </w:r>
      <w:r w:rsidR="001C69B3">
        <w:rPr>
          <w:rFonts w:cstheme="minorHAnsi"/>
          <w:color w:val="FF0000"/>
        </w:rPr>
        <w:t>s</w:t>
      </w:r>
      <w:r w:rsidRPr="00233503">
        <w:rPr>
          <w:rFonts w:cstheme="minorHAnsi"/>
          <w:color w:val="FF0000"/>
        </w:rPr>
        <w:t xml:space="preserve"> as plan size gets larger. </w:t>
      </w:r>
    </w:p>
    <w:p w14:paraId="4FACD8CA" w14:textId="3B88F8CC" w:rsidR="00F6404C" w:rsidRPr="00EE3FD2" w:rsidRDefault="00F6404C" w:rsidP="00F6404C">
      <w:pPr>
        <w:spacing w:before="180" w:after="0" w:line="256" w:lineRule="auto"/>
        <w:rPr>
          <w:rFonts w:cstheme="minorHAnsi"/>
          <w:color w:val="FF0000"/>
          <w:highlight w:val="cyan"/>
        </w:rPr>
      </w:pPr>
      <w:r w:rsidRPr="00B92727">
        <w:rPr>
          <w:rFonts w:cstheme="minorHAnsi"/>
          <w:color w:val="FF0000"/>
        </w:rPr>
        <w:t>Table 2</w:t>
      </w:r>
      <w:r w:rsidR="00523C66">
        <w:rPr>
          <w:rFonts w:cstheme="minorHAnsi"/>
          <w:color w:val="FF0000"/>
        </w:rPr>
        <w:t>b</w:t>
      </w:r>
      <w:r w:rsidRPr="00B92727">
        <w:rPr>
          <w:rFonts w:cstheme="minorHAnsi"/>
          <w:color w:val="FF0000"/>
        </w:rPr>
        <w:t xml:space="preserve"> summarizes </w:t>
      </w:r>
      <w:r w:rsidRPr="00467D1C">
        <w:rPr>
          <w:rFonts w:cstheme="minorHAnsi"/>
          <w:color w:val="FF0000"/>
        </w:rPr>
        <w:t xml:space="preserve">the distribution of plan-level signal-to-noise reliability estimates for the </w:t>
      </w:r>
      <w:r w:rsidRPr="00467D1C">
        <w:rPr>
          <w:rFonts w:ascii="Calibri" w:eastAsia="Times New Roman" w:hAnsi="Calibri" w:cs="Calibri"/>
          <w:i/>
          <w:iCs/>
          <w:color w:val="FF0000"/>
        </w:rPr>
        <w:t>Use of High-Risk Medications in Older Adults</w:t>
      </w:r>
      <w:r w:rsidRPr="00467D1C">
        <w:rPr>
          <w:rFonts w:cstheme="minorHAnsi"/>
          <w:i/>
          <w:iCs/>
          <w:color w:val="FF0000"/>
        </w:rPr>
        <w:t xml:space="preserve"> </w:t>
      </w:r>
      <w:r w:rsidRPr="00467D1C">
        <w:rPr>
          <w:rFonts w:cstheme="minorHAnsi"/>
          <w:color w:val="FF0000"/>
        </w:rPr>
        <w:t>measure.</w:t>
      </w:r>
      <w:r w:rsidRPr="00B770F1">
        <w:rPr>
          <w:rFonts w:cstheme="minorHAnsi"/>
          <w:color w:val="FF0000"/>
        </w:rPr>
        <w:t xml:space="preserve"> </w:t>
      </w:r>
      <w:r w:rsidR="0098626C">
        <w:rPr>
          <w:rFonts w:cstheme="minorHAnsi"/>
          <w:color w:val="FF0000"/>
        </w:rPr>
        <w:t>The</w:t>
      </w:r>
      <w:r w:rsidR="00B770F1" w:rsidRPr="00B770F1">
        <w:rPr>
          <w:rFonts w:cstheme="minorHAnsi"/>
          <w:color w:val="FF0000"/>
        </w:rPr>
        <w:t xml:space="preserve"> estimates range from 0.193 to 1.000. The 50</w:t>
      </w:r>
      <w:r w:rsidR="00B770F1" w:rsidRPr="00B770F1">
        <w:rPr>
          <w:rFonts w:cstheme="minorHAnsi"/>
          <w:color w:val="FF0000"/>
          <w:vertAlign w:val="superscript"/>
        </w:rPr>
        <w:t>th</w:t>
      </w:r>
      <w:r w:rsidR="00B770F1" w:rsidRPr="00B770F1">
        <w:rPr>
          <w:rFonts w:cstheme="minorHAnsi"/>
          <w:color w:val="FF0000"/>
        </w:rPr>
        <w:t xml:space="preserve"> percentile is 0.988, which exceeds the 0.70 threshold for reliability</w:t>
      </w:r>
      <w:r w:rsidR="00B770F1" w:rsidRPr="00EE3FD2">
        <w:rPr>
          <w:rFonts w:cstheme="minorHAnsi"/>
          <w:color w:val="FF0000"/>
        </w:rPr>
        <w:t>.</w:t>
      </w:r>
      <w:r w:rsidR="00EE3FD2" w:rsidRPr="00EE3FD2">
        <w:rPr>
          <w:rFonts w:cstheme="minorHAnsi"/>
          <w:color w:val="FF0000"/>
        </w:rPr>
        <w:t xml:space="preserve"> </w:t>
      </w:r>
      <w:r w:rsidRPr="00EE3FD2">
        <w:rPr>
          <w:rFonts w:cstheme="minorHAnsi"/>
          <w:color w:val="FF0000"/>
        </w:rPr>
        <w:t>This table also include</w:t>
      </w:r>
      <w:r w:rsidR="00EE3FD2" w:rsidRPr="00EE3FD2">
        <w:rPr>
          <w:rFonts w:cstheme="minorHAnsi"/>
          <w:color w:val="FF0000"/>
        </w:rPr>
        <w:t>s</w:t>
      </w:r>
      <w:r w:rsidRPr="00EE3FD2">
        <w:rPr>
          <w:rFonts w:cstheme="minorHAnsi"/>
          <w:color w:val="FF0000"/>
        </w:rPr>
        <w:t xml:space="preserve"> the distribution of plan-level signal-to-noise reliability estimates stratified </w:t>
      </w:r>
      <w:r w:rsidRPr="00C96FAB">
        <w:rPr>
          <w:rFonts w:cstheme="minorHAnsi"/>
          <w:color w:val="FF0000"/>
        </w:rPr>
        <w:t xml:space="preserve">by </w:t>
      </w:r>
      <w:r w:rsidR="002B7AAE" w:rsidRPr="00B75E69">
        <w:rPr>
          <w:rFonts w:cstheme="minorHAnsi"/>
          <w:color w:val="FF0000"/>
        </w:rPr>
        <w:t xml:space="preserve">the tercile of the </w:t>
      </w:r>
      <w:r w:rsidRPr="00C96FAB">
        <w:rPr>
          <w:rFonts w:cstheme="minorHAnsi"/>
          <w:color w:val="FF0000"/>
        </w:rPr>
        <w:t xml:space="preserve">denominator </w:t>
      </w:r>
      <w:r w:rsidRPr="00EE3FD2">
        <w:rPr>
          <w:rFonts w:cstheme="minorHAnsi"/>
          <w:color w:val="FF0000"/>
        </w:rPr>
        <w:t xml:space="preserve">size. </w:t>
      </w:r>
      <w:r w:rsidR="00392B17">
        <w:rPr>
          <w:rFonts w:cstheme="minorHAnsi"/>
          <w:color w:val="FF0000"/>
        </w:rPr>
        <w:t xml:space="preserve">Note that the low </w:t>
      </w:r>
      <w:r w:rsidR="001B2638">
        <w:rPr>
          <w:rFonts w:cstheme="minorHAnsi"/>
          <w:color w:val="FF0000"/>
        </w:rPr>
        <w:t xml:space="preserve">minimum </w:t>
      </w:r>
      <w:r w:rsidR="00C326C7">
        <w:rPr>
          <w:rFonts w:cstheme="minorHAnsi"/>
          <w:color w:val="FF0000"/>
        </w:rPr>
        <w:t xml:space="preserve">reliability estimate (0.193) and low observed </w:t>
      </w:r>
      <w:r w:rsidR="00392B17">
        <w:rPr>
          <w:rFonts w:cstheme="minorHAnsi"/>
          <w:color w:val="FF0000"/>
        </w:rPr>
        <w:t>reliability in the first tercile</w:t>
      </w:r>
      <w:r w:rsidR="001B2638">
        <w:rPr>
          <w:rFonts w:cstheme="minorHAnsi"/>
          <w:color w:val="FF0000"/>
        </w:rPr>
        <w:t xml:space="preserve"> </w:t>
      </w:r>
      <w:r w:rsidR="00783BB8">
        <w:rPr>
          <w:rFonts w:cstheme="minorHAnsi"/>
          <w:color w:val="FF0000"/>
        </w:rPr>
        <w:t>is</w:t>
      </w:r>
      <w:r w:rsidR="00392B17">
        <w:rPr>
          <w:rFonts w:cstheme="minorHAnsi"/>
          <w:color w:val="FF0000"/>
        </w:rPr>
        <w:t xml:space="preserve"> likely explained by a handful of very small plans (small denominators</w:t>
      </w:r>
      <w:r w:rsidR="00C326C7">
        <w:rPr>
          <w:rFonts w:cstheme="minorHAnsi"/>
          <w:color w:val="FF0000"/>
        </w:rPr>
        <w:t>) who</w:t>
      </w:r>
      <w:r w:rsidR="00392B17">
        <w:rPr>
          <w:rFonts w:cstheme="minorHAnsi"/>
          <w:color w:val="FF0000"/>
        </w:rPr>
        <w:t xml:space="preserve"> </w:t>
      </w:r>
      <w:r w:rsidR="000A431F">
        <w:rPr>
          <w:rFonts w:cstheme="minorHAnsi"/>
          <w:color w:val="FF0000"/>
        </w:rPr>
        <w:t>inflat</w:t>
      </w:r>
      <w:r w:rsidR="00C326C7">
        <w:rPr>
          <w:rFonts w:cstheme="minorHAnsi"/>
          <w:color w:val="FF0000"/>
        </w:rPr>
        <w:t>e</w:t>
      </w:r>
      <w:r w:rsidR="000A431F">
        <w:rPr>
          <w:rFonts w:cstheme="minorHAnsi"/>
          <w:color w:val="FF0000"/>
        </w:rPr>
        <w:t xml:space="preserve"> the sigma-squared error in the signal-to-noise calculation (see 2a2.2, above)</w:t>
      </w:r>
      <w:r w:rsidR="001B2638">
        <w:rPr>
          <w:rFonts w:cstheme="minorHAnsi"/>
          <w:color w:val="FF0000"/>
        </w:rPr>
        <w:t xml:space="preserve">. Very high reliability </w:t>
      </w:r>
      <w:r w:rsidR="00783BB8">
        <w:rPr>
          <w:rFonts w:cstheme="minorHAnsi"/>
          <w:color w:val="FF0000"/>
        </w:rPr>
        <w:t>is</w:t>
      </w:r>
      <w:r w:rsidR="001B2638">
        <w:rPr>
          <w:rFonts w:cstheme="minorHAnsi"/>
          <w:color w:val="FF0000"/>
        </w:rPr>
        <w:t xml:space="preserve"> observed in a majority of plans</w:t>
      </w:r>
      <w:r w:rsidR="00783BB8">
        <w:rPr>
          <w:rFonts w:cstheme="minorHAnsi"/>
          <w:color w:val="FF0000"/>
        </w:rPr>
        <w:t xml:space="preserve"> and r</w:t>
      </w:r>
      <w:r w:rsidRPr="00EE3FD2">
        <w:rPr>
          <w:rFonts w:cstheme="minorHAnsi"/>
          <w:color w:val="FF0000"/>
        </w:rPr>
        <w:t>eliability estimates are higher for plans with a larger denominator.</w:t>
      </w:r>
    </w:p>
    <w:p w14:paraId="1BDDF825" w14:textId="77777777" w:rsidR="0013082E" w:rsidRPr="00A25024" w:rsidRDefault="0013082E" w:rsidP="00DB3627">
      <w:pPr>
        <w:autoSpaceDE w:val="0"/>
        <w:autoSpaceDN w:val="0"/>
        <w:adjustRightInd w:val="0"/>
        <w:spacing w:after="0" w:line="240" w:lineRule="auto"/>
        <w:rPr>
          <w:rFonts w:cstheme="minorHAnsi"/>
          <w:bCs/>
        </w:rPr>
      </w:pPr>
    </w:p>
    <w:p w14:paraId="25FF799C" w14:textId="77777777"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lastRenderedPageBreak/>
        <w:t>2016 Submission</w:t>
      </w:r>
      <w:r>
        <w:rPr>
          <w:rStyle w:val="eop"/>
          <w:rFonts w:ascii="Calibri" w:hAnsi="Calibri" w:cs="Calibri"/>
          <w:sz w:val="22"/>
          <w:szCs w:val="22"/>
        </w:rPr>
        <w:t> </w:t>
      </w:r>
    </w:p>
    <w:p w14:paraId="54E92B51" w14:textId="640E3B19" w:rsidR="003E1AED" w:rsidRDefault="006B3E38" w:rsidP="003E1AED">
      <w:pPr>
        <w:autoSpaceDE w:val="0"/>
        <w:autoSpaceDN w:val="0"/>
        <w:adjustRightInd w:val="0"/>
        <w:spacing w:after="0" w:line="240" w:lineRule="auto"/>
        <w:rPr>
          <w:rFonts w:cstheme="minorHAnsi"/>
          <w:b/>
        </w:rPr>
      </w:pPr>
      <w:r w:rsidRPr="001C5635">
        <w:rPr>
          <w:rFonts w:cstheme="minorHAnsi"/>
          <w:bCs/>
          <w:color w:val="4F81BD" w:themeColor="accent1"/>
        </w:rPr>
        <w:t>Reliability scores can vary from 0.0 to 1.0.  A score of zero implies that all variation is attributed to measurement error (noise) whereas a reliability of 1.0 implies that all variation is caused by a real difference in performance (signal). Generally, a minimum reliability score of 0.7 is used to indicate sufficient signal strength to discriminate performance between accountable entities. The testing suggests that both indicators in this measure are highly reliable.</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C8CA4B2" w:rsidR="00696262" w:rsidRPr="00A25024" w:rsidRDefault="00EA570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F13C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3114AB0D" w:rsidR="000574AB" w:rsidRPr="00A25024" w:rsidRDefault="00EA570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9F13C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9F13C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2E9F5C17" w:rsidR="00833325"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F115B63" w14:textId="77777777" w:rsidR="0011379A"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b/>
          <w:bCs/>
          <w:color w:val="FF0000"/>
          <w:u w:val="single"/>
        </w:rPr>
        <w:t>2020 Submission</w:t>
      </w:r>
      <w:r w:rsidRPr="00C52ABF">
        <w:rPr>
          <w:rFonts w:ascii="Calibri" w:eastAsia="Times New Roman" w:hAnsi="Calibri" w:cs="Calibri"/>
        </w:rPr>
        <w:t> </w:t>
      </w:r>
    </w:p>
    <w:p w14:paraId="5F9E8EC4" w14:textId="30156005"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 </w:t>
      </w:r>
      <w:r w:rsidRPr="00C52ABF">
        <w:rPr>
          <w:rFonts w:ascii="Calibri" w:eastAsia="Times New Roman" w:hAnsi="Calibri" w:cs="Calibri"/>
        </w:rPr>
        <w:t> </w:t>
      </w:r>
    </w:p>
    <w:p w14:paraId="60D7D915"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u w:val="single"/>
        </w:rPr>
        <w:t>Method of testing construct validity  </w:t>
      </w:r>
      <w:r w:rsidRPr="00C52ABF">
        <w:rPr>
          <w:rFonts w:ascii="Calibri" w:eastAsia="Times New Roman" w:hAnsi="Calibri" w:cs="Calibri"/>
          <w:color w:val="FF0000"/>
        </w:rPr>
        <w:t> </w:t>
      </w:r>
      <w:r w:rsidRPr="00C52ABF">
        <w:rPr>
          <w:rFonts w:ascii="Calibri" w:eastAsia="Times New Roman" w:hAnsi="Calibri" w:cs="Calibri"/>
        </w:rPr>
        <w:t> </w:t>
      </w:r>
    </w:p>
    <w:p w14:paraId="53AFD956"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We tested for construct validity by exploring the following:  </w:t>
      </w:r>
      <w:r w:rsidRPr="00C52ABF">
        <w:rPr>
          <w:rFonts w:ascii="Calibri" w:eastAsia="Times New Roman" w:hAnsi="Calibri" w:cs="Calibri"/>
        </w:rPr>
        <w:t> </w:t>
      </w:r>
    </w:p>
    <w:p w14:paraId="3827D9FD" w14:textId="1192D95C" w:rsidR="00C52ABF" w:rsidRPr="0011379A" w:rsidRDefault="00C52ABF" w:rsidP="0011379A">
      <w:pPr>
        <w:pStyle w:val="ListParagraph"/>
        <w:numPr>
          <w:ilvl w:val="0"/>
          <w:numId w:val="32"/>
        </w:numPr>
        <w:spacing w:after="0" w:line="240" w:lineRule="auto"/>
        <w:textAlignment w:val="baseline"/>
        <w:rPr>
          <w:rFonts w:ascii="Calibri" w:eastAsia="Times New Roman" w:hAnsi="Calibri" w:cs="Calibri"/>
        </w:rPr>
      </w:pPr>
      <w:r w:rsidRPr="0011379A">
        <w:rPr>
          <w:rFonts w:ascii="Calibri" w:eastAsia="Times New Roman" w:hAnsi="Calibri" w:cs="Calibri"/>
          <w:color w:val="FF0000"/>
        </w:rPr>
        <w:t>Is </w:t>
      </w:r>
      <w:r w:rsidR="00AB2B1A">
        <w:rPr>
          <w:rFonts w:ascii="Calibri" w:eastAsia="Times New Roman" w:hAnsi="Calibri" w:cs="Calibri"/>
          <w:color w:val="FF0000"/>
        </w:rPr>
        <w:t xml:space="preserve">the </w:t>
      </w:r>
      <w:r w:rsidR="00763D9B">
        <w:rPr>
          <w:rFonts w:ascii="Calibri" w:eastAsia="Times New Roman" w:hAnsi="Calibri" w:cs="Calibri"/>
          <w:i/>
          <w:iCs/>
          <w:color w:val="FF0000"/>
        </w:rPr>
        <w:t>Use of High-Risk Medications in Older Adults</w:t>
      </w:r>
      <w:r w:rsidRPr="0011379A">
        <w:rPr>
          <w:rFonts w:ascii="Calibri" w:eastAsia="Times New Roman" w:hAnsi="Calibri" w:cs="Calibri"/>
          <w:color w:val="FF0000"/>
        </w:rPr>
        <w:t> </w:t>
      </w:r>
      <w:r w:rsidR="00AB2B1A">
        <w:rPr>
          <w:rFonts w:ascii="Calibri" w:eastAsia="Times New Roman" w:hAnsi="Calibri" w:cs="Calibri"/>
          <w:color w:val="FF0000"/>
        </w:rPr>
        <w:t xml:space="preserve">measure </w:t>
      </w:r>
      <w:r w:rsidRPr="0011379A">
        <w:rPr>
          <w:rFonts w:ascii="Calibri" w:eastAsia="Times New Roman" w:hAnsi="Calibri" w:cs="Calibri"/>
          <w:color w:val="FF0000"/>
        </w:rPr>
        <w:t xml:space="preserve">correlated with the HEDIS </w:t>
      </w:r>
      <w:r w:rsidR="00B8438D">
        <w:rPr>
          <w:rFonts w:ascii="Calibri" w:eastAsia="Times New Roman" w:hAnsi="Calibri" w:cs="Calibri"/>
          <w:i/>
          <w:iCs/>
          <w:color w:val="FF0000"/>
        </w:rPr>
        <w:t>Potentially Harmful Drug-Disease Interactions in Older Adults</w:t>
      </w:r>
      <w:r w:rsidR="00AB2B1A">
        <w:rPr>
          <w:rFonts w:ascii="Calibri" w:eastAsia="Times New Roman" w:hAnsi="Calibri" w:cs="Calibri"/>
          <w:i/>
          <w:iCs/>
          <w:color w:val="FF0000"/>
        </w:rPr>
        <w:t xml:space="preserve"> </w:t>
      </w:r>
      <w:r w:rsidR="00AB2B1A">
        <w:rPr>
          <w:rFonts w:ascii="Calibri" w:eastAsia="Times New Roman" w:hAnsi="Calibri" w:cs="Calibri"/>
          <w:color w:val="FF0000"/>
        </w:rPr>
        <w:t>measure</w:t>
      </w:r>
      <w:r w:rsidRPr="0011379A">
        <w:rPr>
          <w:rFonts w:ascii="Calibri" w:eastAsia="Times New Roman" w:hAnsi="Calibri" w:cs="Calibri"/>
          <w:color w:val="FF0000"/>
        </w:rPr>
        <w:t xml:space="preserve">, which assesses the </w:t>
      </w:r>
      <w:r w:rsidR="00940D86">
        <w:rPr>
          <w:rFonts w:ascii="Calibri" w:eastAsia="Times New Roman" w:hAnsi="Calibri" w:cs="Calibri"/>
          <w:color w:val="FF0000"/>
        </w:rPr>
        <w:t>percentage</w:t>
      </w:r>
      <w:r w:rsidRPr="0011379A">
        <w:rPr>
          <w:rFonts w:ascii="Calibri" w:eastAsia="Times New Roman" w:hAnsi="Calibri" w:cs="Calibri"/>
          <w:color w:val="FF0000"/>
        </w:rPr>
        <w:t xml:space="preserve"> o</w:t>
      </w:r>
      <w:r w:rsidR="00A41BE8">
        <w:rPr>
          <w:rFonts w:ascii="Calibri" w:eastAsia="Times New Roman" w:hAnsi="Calibri" w:cs="Calibri"/>
          <w:color w:val="FF0000"/>
        </w:rPr>
        <w:t xml:space="preserve">f Medicare members 65 years and older who </w:t>
      </w:r>
      <w:r w:rsidR="007F5C26" w:rsidRPr="007F5C26">
        <w:rPr>
          <w:rFonts w:ascii="Calibri" w:eastAsia="Times New Roman" w:hAnsi="Calibri" w:cs="Calibri"/>
          <w:color w:val="FF0000"/>
        </w:rPr>
        <w:t>have evidence of an underlying disease, condition or health concern and who were dispensed an ambulatory prescription for a potentially harmful medication, concurrent with or after the diagnosis</w:t>
      </w:r>
      <w:r w:rsidR="00254686">
        <w:rPr>
          <w:rFonts w:ascii="Calibri" w:eastAsia="Times New Roman" w:hAnsi="Calibri" w:cs="Calibri"/>
          <w:color w:val="FF0000"/>
        </w:rPr>
        <w:t>?</w:t>
      </w:r>
    </w:p>
    <w:p w14:paraId="6BE27F1F"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rPr>
        <w:t> </w:t>
      </w:r>
    </w:p>
    <w:p w14:paraId="462C8FB1" w14:textId="5CD5E262" w:rsidR="009E0A5D" w:rsidRDefault="00C52ABF" w:rsidP="00C52ABF">
      <w:pPr>
        <w:spacing w:after="0" w:line="240" w:lineRule="auto"/>
        <w:textAlignment w:val="baseline"/>
        <w:rPr>
          <w:rFonts w:ascii="Calibri" w:eastAsia="Times New Roman" w:hAnsi="Calibri" w:cs="Calibri"/>
          <w:color w:val="FF0000"/>
        </w:rPr>
      </w:pPr>
      <w:r w:rsidRPr="001B7B35">
        <w:rPr>
          <w:rFonts w:ascii="Calibri" w:eastAsia="Times New Roman" w:hAnsi="Calibri" w:cs="Calibri"/>
          <w:color w:val="FF0000"/>
        </w:rPr>
        <w:t>We hypothesized that</w:t>
      </w:r>
      <w:r w:rsidR="007F5C26" w:rsidRPr="001B7B35">
        <w:rPr>
          <w:rFonts w:ascii="Calibri" w:eastAsia="Times New Roman" w:hAnsi="Calibri" w:cs="Calibri"/>
          <w:color w:val="FF0000"/>
        </w:rPr>
        <w:t xml:space="preserve"> the </w:t>
      </w:r>
      <w:r w:rsidR="007F5C26" w:rsidRPr="001B7B35">
        <w:rPr>
          <w:rFonts w:ascii="Calibri" w:eastAsia="Times New Roman" w:hAnsi="Calibri" w:cs="Calibri"/>
          <w:i/>
          <w:iCs/>
          <w:color w:val="FF0000"/>
        </w:rPr>
        <w:t xml:space="preserve">Use of High-Risk Medications in Older </w:t>
      </w:r>
      <w:r w:rsidR="00E04808">
        <w:rPr>
          <w:rFonts w:ascii="Calibri" w:eastAsia="Times New Roman" w:hAnsi="Calibri" w:cs="Calibri"/>
          <w:i/>
          <w:iCs/>
          <w:color w:val="FF0000"/>
        </w:rPr>
        <w:t xml:space="preserve">Adults </w:t>
      </w:r>
      <w:r w:rsidR="00E35130">
        <w:rPr>
          <w:rFonts w:ascii="Calibri" w:eastAsia="Times New Roman" w:hAnsi="Calibri" w:cs="Calibri"/>
          <w:color w:val="FF0000"/>
        </w:rPr>
        <w:t xml:space="preserve">measure </w:t>
      </w:r>
      <w:r w:rsidRPr="001B7B35">
        <w:rPr>
          <w:rFonts w:ascii="Calibri" w:eastAsia="Times New Roman" w:hAnsi="Calibri" w:cs="Calibri"/>
          <w:color w:val="FF0000"/>
        </w:rPr>
        <w:t>would be correlated</w:t>
      </w:r>
      <w:r w:rsidR="007F5C26" w:rsidRPr="001B7B35">
        <w:rPr>
          <w:rFonts w:ascii="Calibri" w:eastAsia="Times New Roman" w:hAnsi="Calibri" w:cs="Calibri"/>
          <w:color w:val="FF0000"/>
        </w:rPr>
        <w:t xml:space="preserve"> with the rates of </w:t>
      </w:r>
      <w:r w:rsidR="00CB5DD8" w:rsidRPr="001B7B35">
        <w:rPr>
          <w:rFonts w:ascii="Calibri" w:eastAsia="Times New Roman" w:hAnsi="Calibri" w:cs="Calibri"/>
          <w:i/>
          <w:iCs/>
          <w:color w:val="FF0000"/>
        </w:rPr>
        <w:t>Potentially Harmful Drug-Disease Interactions in Older Adults</w:t>
      </w:r>
      <w:r w:rsidR="00E35130">
        <w:rPr>
          <w:rFonts w:ascii="Calibri" w:eastAsia="Times New Roman" w:hAnsi="Calibri" w:cs="Calibri"/>
          <w:i/>
          <w:iCs/>
          <w:color w:val="FF0000"/>
        </w:rPr>
        <w:t xml:space="preserve"> </w:t>
      </w:r>
      <w:r w:rsidR="00E35130">
        <w:rPr>
          <w:rFonts w:ascii="Calibri" w:eastAsia="Times New Roman" w:hAnsi="Calibri" w:cs="Calibri"/>
          <w:color w:val="FF0000"/>
        </w:rPr>
        <w:t>measure</w:t>
      </w:r>
      <w:r w:rsidRPr="001B7B35">
        <w:rPr>
          <w:rFonts w:ascii="Calibri" w:eastAsia="Times New Roman" w:hAnsi="Calibri" w:cs="Calibri"/>
          <w:color w:val="FF0000"/>
        </w:rPr>
        <w:t xml:space="preserve">, </w:t>
      </w:r>
      <w:r w:rsidR="009B17AF" w:rsidRPr="001B7B35">
        <w:rPr>
          <w:rFonts w:ascii="Calibri" w:eastAsia="Times New Roman" w:hAnsi="Calibri" w:cs="Calibri"/>
          <w:color w:val="FF0000"/>
        </w:rPr>
        <w:t xml:space="preserve">particularly </w:t>
      </w:r>
      <w:r w:rsidR="00302D3C">
        <w:rPr>
          <w:rFonts w:ascii="Calibri" w:eastAsia="Times New Roman" w:hAnsi="Calibri" w:cs="Calibri"/>
          <w:color w:val="FF0000"/>
        </w:rPr>
        <w:t>R</w:t>
      </w:r>
      <w:r w:rsidR="009B17AF" w:rsidRPr="001B7B35">
        <w:rPr>
          <w:rFonts w:ascii="Calibri" w:eastAsia="Times New Roman" w:hAnsi="Calibri" w:cs="Calibri"/>
          <w:color w:val="FF0000"/>
        </w:rPr>
        <w:t xml:space="preserve">ate </w:t>
      </w:r>
      <w:r w:rsidR="00E25337" w:rsidRPr="001B7B35">
        <w:rPr>
          <w:rFonts w:ascii="Calibri" w:eastAsia="Times New Roman" w:hAnsi="Calibri" w:cs="Calibri"/>
          <w:color w:val="FF0000"/>
        </w:rPr>
        <w:t>2</w:t>
      </w:r>
      <w:r w:rsidR="00483A11">
        <w:rPr>
          <w:rFonts w:ascii="Calibri" w:eastAsia="Times New Roman" w:hAnsi="Calibri" w:cs="Calibri"/>
          <w:color w:val="FF0000"/>
        </w:rPr>
        <w:t xml:space="preserve"> (Dementia)</w:t>
      </w:r>
      <w:r w:rsidR="00E25337" w:rsidRPr="001B7B35">
        <w:rPr>
          <w:rFonts w:ascii="Calibri" w:eastAsia="Times New Roman" w:hAnsi="Calibri" w:cs="Calibri"/>
          <w:color w:val="FF0000"/>
        </w:rPr>
        <w:t xml:space="preserve"> and </w:t>
      </w:r>
      <w:r w:rsidR="0076752F">
        <w:rPr>
          <w:rFonts w:ascii="Calibri" w:eastAsia="Times New Roman" w:hAnsi="Calibri" w:cs="Calibri"/>
          <w:color w:val="FF0000"/>
        </w:rPr>
        <w:t xml:space="preserve">Rate </w:t>
      </w:r>
      <w:r w:rsidR="00E25337" w:rsidRPr="001B7B35">
        <w:rPr>
          <w:rFonts w:ascii="Calibri" w:eastAsia="Times New Roman" w:hAnsi="Calibri" w:cs="Calibri"/>
          <w:color w:val="FF0000"/>
        </w:rPr>
        <w:t>3</w:t>
      </w:r>
      <w:r w:rsidR="00483A11">
        <w:rPr>
          <w:rFonts w:ascii="Calibri" w:eastAsia="Times New Roman" w:hAnsi="Calibri" w:cs="Calibri"/>
          <w:color w:val="FF0000"/>
        </w:rPr>
        <w:t xml:space="preserve"> (Chronic kidney disease)</w:t>
      </w:r>
      <w:r w:rsidR="00667D54" w:rsidRPr="001B7B35">
        <w:rPr>
          <w:rFonts w:ascii="Calibri" w:eastAsia="Times New Roman" w:hAnsi="Calibri" w:cs="Calibri"/>
          <w:color w:val="FF0000"/>
        </w:rPr>
        <w:t xml:space="preserve">. </w:t>
      </w:r>
      <w:r w:rsidR="00A97DEB">
        <w:rPr>
          <w:rFonts w:ascii="Calibri" w:eastAsia="Times New Roman" w:hAnsi="Calibri" w:cs="Calibri"/>
          <w:color w:val="FF0000"/>
        </w:rPr>
        <w:t xml:space="preserve">In addition, </w:t>
      </w:r>
      <w:r w:rsidRPr="001B7B35">
        <w:rPr>
          <w:rFonts w:ascii="Calibri" w:eastAsia="Times New Roman" w:hAnsi="Calibri" w:cs="Calibri"/>
          <w:color w:val="FF0000"/>
        </w:rPr>
        <w:t>organizations that perform well on </w:t>
      </w:r>
      <w:r w:rsidR="000D7912" w:rsidRPr="001B7B35">
        <w:rPr>
          <w:rFonts w:ascii="Calibri" w:eastAsia="Times New Roman" w:hAnsi="Calibri" w:cs="Calibri"/>
          <w:i/>
          <w:iCs/>
          <w:color w:val="FF0000"/>
        </w:rPr>
        <w:t>Use of High-Risk Medications in Older</w:t>
      </w:r>
      <w:r w:rsidR="000D7912">
        <w:rPr>
          <w:rFonts w:ascii="Calibri" w:eastAsia="Times New Roman" w:hAnsi="Calibri" w:cs="Calibri"/>
          <w:i/>
          <w:color w:val="FF0000"/>
        </w:rPr>
        <w:t xml:space="preserve"> </w:t>
      </w:r>
      <w:r w:rsidR="0028365B">
        <w:rPr>
          <w:rFonts w:ascii="Calibri" w:eastAsia="Times New Roman" w:hAnsi="Calibri" w:cs="Calibri"/>
          <w:i/>
          <w:iCs/>
          <w:color w:val="FF0000"/>
        </w:rPr>
        <w:t>Adults</w:t>
      </w:r>
      <w:r w:rsidR="000D7912" w:rsidRPr="001B7B35">
        <w:rPr>
          <w:rFonts w:ascii="Calibri" w:eastAsia="Times New Roman" w:hAnsi="Calibri" w:cs="Calibri"/>
          <w:color w:val="FF0000"/>
        </w:rPr>
        <w:t xml:space="preserve"> </w:t>
      </w:r>
      <w:r w:rsidRPr="001B7B35">
        <w:rPr>
          <w:rFonts w:ascii="Calibri" w:eastAsia="Times New Roman" w:hAnsi="Calibri" w:cs="Calibri"/>
          <w:color w:val="FF0000"/>
        </w:rPr>
        <w:t xml:space="preserve">should perform well on the other </w:t>
      </w:r>
      <w:r w:rsidR="000D7912" w:rsidRPr="001B7B35">
        <w:rPr>
          <w:rFonts w:ascii="Calibri" w:eastAsia="Times New Roman" w:hAnsi="Calibri" w:cs="Calibri"/>
          <w:color w:val="FF0000"/>
        </w:rPr>
        <w:t xml:space="preserve">medication safety </w:t>
      </w:r>
      <w:r w:rsidRPr="001B7B35">
        <w:rPr>
          <w:rFonts w:ascii="Calibri" w:eastAsia="Times New Roman" w:hAnsi="Calibri" w:cs="Calibri"/>
          <w:color w:val="FF0000"/>
        </w:rPr>
        <w:t>measure, </w:t>
      </w:r>
      <w:r w:rsidR="000D7912" w:rsidRPr="001B7B35">
        <w:rPr>
          <w:rFonts w:ascii="Calibri" w:eastAsia="Times New Roman" w:hAnsi="Calibri" w:cs="Calibri"/>
          <w:i/>
          <w:iCs/>
          <w:color w:val="FF0000"/>
        </w:rPr>
        <w:t>Potentially Harmful Drug-Disease Interactions in Older Adults</w:t>
      </w:r>
      <w:r w:rsidRPr="001B7B35">
        <w:rPr>
          <w:rFonts w:ascii="Calibri" w:eastAsia="Times New Roman" w:hAnsi="Calibri" w:cs="Calibri"/>
          <w:color w:val="FF0000"/>
        </w:rPr>
        <w:t xml:space="preserve">, given that they address the </w:t>
      </w:r>
      <w:r w:rsidR="000D7912" w:rsidRPr="001B7B35">
        <w:rPr>
          <w:rFonts w:ascii="Calibri" w:eastAsia="Times New Roman" w:hAnsi="Calibri" w:cs="Calibri"/>
          <w:color w:val="FF0000"/>
        </w:rPr>
        <w:t>same older adult</w:t>
      </w:r>
      <w:r w:rsidRPr="001B7B35">
        <w:rPr>
          <w:rFonts w:ascii="Calibri" w:eastAsia="Times New Roman" w:hAnsi="Calibri" w:cs="Calibri"/>
          <w:color w:val="FF0000"/>
        </w:rPr>
        <w:t xml:space="preserve"> population.</w:t>
      </w:r>
      <w:r w:rsidRPr="00C52ABF">
        <w:rPr>
          <w:rFonts w:ascii="Calibri" w:eastAsia="Times New Roman" w:hAnsi="Calibri" w:cs="Calibri"/>
          <w:color w:val="FF0000"/>
        </w:rPr>
        <w:t xml:space="preserve"> </w:t>
      </w:r>
    </w:p>
    <w:p w14:paraId="00ED1538" w14:textId="77777777" w:rsidR="009E0A5D" w:rsidRDefault="009E0A5D" w:rsidP="00C52ABF">
      <w:pPr>
        <w:spacing w:after="0" w:line="240" w:lineRule="auto"/>
        <w:textAlignment w:val="baseline"/>
        <w:rPr>
          <w:rFonts w:ascii="Calibri" w:eastAsia="Times New Roman" w:hAnsi="Calibri" w:cs="Calibri"/>
          <w:color w:val="FF0000"/>
        </w:rPr>
      </w:pPr>
    </w:p>
    <w:p w14:paraId="6602ACB1" w14:textId="261B3BAE" w:rsidR="00F558A1" w:rsidRDefault="0078572B" w:rsidP="00C52ABF">
      <w:pPr>
        <w:spacing w:after="0" w:line="240" w:lineRule="auto"/>
        <w:textAlignment w:val="baseline"/>
        <w:rPr>
          <w:rFonts w:ascii="Calibri" w:eastAsia="Times New Roman" w:hAnsi="Calibri" w:cs="Calibri"/>
          <w:color w:val="FF0000"/>
        </w:rPr>
      </w:pPr>
      <w:r w:rsidRPr="0078572B">
        <w:rPr>
          <w:rFonts w:ascii="Calibri" w:eastAsia="Times New Roman" w:hAnsi="Calibri" w:cs="Calibri"/>
          <w:color w:val="FF0000"/>
        </w:rPr>
        <w:t>NCQA performs Pearson correlation for construct validity using HEDIS health plan data. The test estimates the strength of linear association between two continuous variables; the magnitude of correlation ranges from -1 and +1. A value of 1 indicates a strong positive linear association: an increase in values of one variable is associated with increase in value of another variable. A value of 0 indicates no linear association. A value of -1 indicates a strong negative relationship in which an increase in values of the first variable is associated with a decrease in values of the second variable. The significance of a correlation coefficient is evaluated by testing the hypothesis that an observed coefficient calculated for the sample is different from zero</w:t>
      </w:r>
      <w:r w:rsidRPr="00D77CC3">
        <w:rPr>
          <w:rFonts w:ascii="Calibri" w:eastAsia="Times New Roman" w:hAnsi="Calibri" w:cs="Calibri"/>
          <w:color w:val="FF0000"/>
        </w:rPr>
        <w:t xml:space="preserve">. </w:t>
      </w:r>
      <w:r w:rsidR="00567AEA" w:rsidRPr="00B75E69">
        <w:rPr>
          <w:rFonts w:cstheme="minorHAnsi"/>
          <w:bCs/>
          <w:color w:val="FF0000"/>
        </w:rPr>
        <w:t xml:space="preserve">The sample size for the correlation analysis is the number of plans that reported both measures. </w:t>
      </w:r>
      <w:r w:rsidRPr="00D77CC3">
        <w:rPr>
          <w:rFonts w:ascii="Calibri" w:eastAsia="Times New Roman" w:hAnsi="Calibri" w:cs="Calibri"/>
          <w:color w:val="FF0000"/>
        </w:rPr>
        <w:t xml:space="preserve">The resulting </w:t>
      </w:r>
      <w:r w:rsidRPr="0078572B">
        <w:rPr>
          <w:rFonts w:ascii="Calibri" w:eastAsia="Times New Roman" w:hAnsi="Calibri" w:cs="Calibri"/>
          <w:color w:val="FF0000"/>
        </w:rPr>
        <w:t xml:space="preserve">p-value indicates the probability of obtaining a difference at least </w:t>
      </w:r>
      <w:r w:rsidRPr="0078572B">
        <w:rPr>
          <w:rFonts w:ascii="Calibri" w:eastAsia="Times New Roman" w:hAnsi="Calibri" w:cs="Calibri"/>
          <w:color w:val="FF0000"/>
        </w:rPr>
        <w:lastRenderedPageBreak/>
        <w:t>as large as the one observed due to chance alone. We adjusted our p-values to account for testing multiple correlations and used a threshold of 0.05 to evaluate the test results. P-values less than this threshold imply that it is unlikely that a non-zero coefficient was observed due to chance alone.</w:t>
      </w:r>
    </w:p>
    <w:p w14:paraId="3AB2C505" w14:textId="65B18330"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rPr>
        <w:t> </w:t>
      </w:r>
    </w:p>
    <w:p w14:paraId="6D6806D6" w14:textId="695C04FA" w:rsidR="00926917" w:rsidRDefault="00926917" w:rsidP="00C52ABF">
      <w:pPr>
        <w:spacing w:after="0" w:line="240" w:lineRule="auto"/>
        <w:textAlignment w:val="baseline"/>
        <w:rPr>
          <w:rFonts w:ascii="Calibri" w:eastAsia="Times New Roman" w:hAnsi="Calibri" w:cs="Calibri"/>
          <w:color w:val="FF0000"/>
          <w:u w:val="single"/>
        </w:rPr>
      </w:pPr>
      <w:r w:rsidRPr="00926917">
        <w:rPr>
          <w:rFonts w:ascii="Calibri" w:eastAsia="Times New Roman" w:hAnsi="Calibri" w:cs="Calibri"/>
          <w:color w:val="FF0000"/>
          <w:u w:val="single"/>
        </w:rPr>
        <w:t xml:space="preserve">Systematic Assessment of Face Validity of Performance Measure Score </w:t>
      </w:r>
    </w:p>
    <w:p w14:paraId="7CEB6B1E" w14:textId="16FFC652"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NCQA develops measures using a standardized process. For new measures, face validity is assessed at various steps as described below.   </w:t>
      </w:r>
      <w:r w:rsidRPr="00C52ABF">
        <w:rPr>
          <w:rFonts w:ascii="Calibri" w:eastAsia="Times New Roman" w:hAnsi="Calibri" w:cs="Calibri"/>
        </w:rPr>
        <w:t> </w:t>
      </w:r>
    </w:p>
    <w:p w14:paraId="6E7966CA"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 </w:t>
      </w:r>
      <w:r w:rsidRPr="00C52ABF">
        <w:rPr>
          <w:rFonts w:ascii="Calibri" w:eastAsia="Times New Roman" w:hAnsi="Calibri" w:cs="Calibri"/>
        </w:rPr>
        <w:t> </w:t>
      </w:r>
    </w:p>
    <w:p w14:paraId="42694E31" w14:textId="587D790F"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 xml:space="preserve">STEP 1: NCQA staff identifies areas of interest or gaps in care. Clinical measurement advisory panels (MAPs), whose members are authorities on clinical priorities for measurement, participate in this process. Once topics are identified, a literature review is conducted to find supporting documentation on their importance, scientific soundness, and feasibility. </w:t>
      </w:r>
      <w:r w:rsidR="00B00974">
        <w:rPr>
          <w:rFonts w:ascii="Calibri" w:eastAsia="Times New Roman" w:hAnsi="Calibri" w:cs="Calibri"/>
          <w:color w:val="FF0000"/>
        </w:rPr>
        <w:t>Measures are aligned with clinical guidelines whenever possible</w:t>
      </w:r>
      <w:r w:rsidR="002B5D50">
        <w:rPr>
          <w:rFonts w:ascii="Calibri" w:eastAsia="Times New Roman" w:hAnsi="Calibri" w:cs="Calibri"/>
          <w:color w:val="FF0000"/>
        </w:rPr>
        <w:t>; t</w:t>
      </w:r>
      <w:r w:rsidR="00B00974">
        <w:rPr>
          <w:rFonts w:ascii="Calibri" w:eastAsia="Times New Roman" w:hAnsi="Calibri" w:cs="Calibri"/>
          <w:color w:val="FF0000"/>
        </w:rPr>
        <w:t xml:space="preserve">he </w:t>
      </w:r>
      <w:r w:rsidR="00B00974" w:rsidRPr="001B7B35">
        <w:rPr>
          <w:rFonts w:ascii="Calibri" w:eastAsia="Times New Roman" w:hAnsi="Calibri" w:cs="Calibri"/>
          <w:i/>
          <w:iCs/>
          <w:color w:val="FF0000"/>
        </w:rPr>
        <w:t xml:space="preserve">Use of High-Risk Medications in Older </w:t>
      </w:r>
      <w:r w:rsidR="000C7688">
        <w:rPr>
          <w:rFonts w:ascii="Calibri" w:eastAsia="Times New Roman" w:hAnsi="Calibri" w:cs="Calibri"/>
          <w:i/>
          <w:iCs/>
          <w:color w:val="FF0000"/>
        </w:rPr>
        <w:t>Adults</w:t>
      </w:r>
      <w:r w:rsidR="00B00974" w:rsidRPr="001B7B35">
        <w:rPr>
          <w:rFonts w:ascii="Calibri" w:eastAsia="Times New Roman" w:hAnsi="Calibri" w:cs="Calibri"/>
          <w:i/>
          <w:iCs/>
          <w:color w:val="FF0000"/>
        </w:rPr>
        <w:t xml:space="preserve"> </w:t>
      </w:r>
      <w:r w:rsidR="00EC0A4C">
        <w:rPr>
          <w:rFonts w:ascii="Calibri" w:eastAsia="Times New Roman" w:hAnsi="Calibri" w:cs="Calibri"/>
          <w:color w:val="FF0000"/>
        </w:rPr>
        <w:t xml:space="preserve">measure </w:t>
      </w:r>
      <w:r w:rsidR="00B00974">
        <w:rPr>
          <w:rFonts w:ascii="Calibri" w:eastAsia="Times New Roman" w:hAnsi="Calibri" w:cs="Calibri"/>
          <w:color w:val="FF0000"/>
        </w:rPr>
        <w:t xml:space="preserve">is aligned with the American </w:t>
      </w:r>
      <w:r w:rsidR="00E620CC">
        <w:rPr>
          <w:rFonts w:ascii="Calibri" w:eastAsia="Times New Roman" w:hAnsi="Calibri" w:cs="Calibri"/>
          <w:color w:val="FF0000"/>
        </w:rPr>
        <w:t>Geriatrics</w:t>
      </w:r>
      <w:r w:rsidR="00B00974">
        <w:rPr>
          <w:rFonts w:ascii="Calibri" w:eastAsia="Times New Roman" w:hAnsi="Calibri" w:cs="Calibri"/>
          <w:color w:val="FF0000"/>
        </w:rPr>
        <w:t xml:space="preserve"> </w:t>
      </w:r>
      <w:r w:rsidR="00E620CC">
        <w:rPr>
          <w:rFonts w:ascii="Calibri" w:eastAsia="Times New Roman" w:hAnsi="Calibri" w:cs="Calibri"/>
          <w:color w:val="FF0000"/>
        </w:rPr>
        <w:t>Society</w:t>
      </w:r>
      <w:r w:rsidR="00B00974">
        <w:rPr>
          <w:rFonts w:ascii="Calibri" w:eastAsia="Times New Roman" w:hAnsi="Calibri" w:cs="Calibri"/>
          <w:color w:val="FF0000"/>
        </w:rPr>
        <w:t xml:space="preserve"> </w:t>
      </w:r>
      <w:r w:rsidR="00973D04">
        <w:rPr>
          <w:rFonts w:ascii="Calibri" w:eastAsia="Times New Roman" w:hAnsi="Calibri" w:cs="Calibri"/>
          <w:color w:val="FF0000"/>
        </w:rPr>
        <w:t>(AGS)</w:t>
      </w:r>
      <w:r w:rsidR="00B00974">
        <w:rPr>
          <w:rFonts w:ascii="Calibri" w:eastAsia="Times New Roman" w:hAnsi="Calibri" w:cs="Calibri"/>
          <w:color w:val="FF0000"/>
        </w:rPr>
        <w:t xml:space="preserve"> </w:t>
      </w:r>
      <w:r w:rsidR="00E620CC">
        <w:rPr>
          <w:rFonts w:ascii="Calibri" w:eastAsia="Times New Roman" w:hAnsi="Calibri" w:cs="Calibri"/>
          <w:color w:val="FF0000"/>
        </w:rPr>
        <w:t xml:space="preserve">Beers Criteria, which recommends drugs to be avoided in older adults. </w:t>
      </w:r>
      <w:r w:rsidRPr="00C52ABF">
        <w:rPr>
          <w:rFonts w:ascii="Calibri" w:eastAsia="Times New Roman" w:hAnsi="Calibri" w:cs="Calibri"/>
          <w:color w:val="FF0000"/>
        </w:rPr>
        <w:t xml:space="preserve">This information is gathered into a work-up format, which is vetted by the MAPs, </w:t>
      </w:r>
      <w:r w:rsidR="0082057A">
        <w:rPr>
          <w:rFonts w:ascii="Calibri" w:eastAsia="Times New Roman" w:hAnsi="Calibri" w:cs="Calibri"/>
          <w:color w:val="FF0000"/>
        </w:rPr>
        <w:t xml:space="preserve">including </w:t>
      </w:r>
      <w:r w:rsidR="001B7B35">
        <w:rPr>
          <w:rFonts w:ascii="Calibri" w:eastAsia="Times New Roman" w:hAnsi="Calibri" w:cs="Calibri"/>
          <w:color w:val="FF0000"/>
        </w:rPr>
        <w:t xml:space="preserve">the Geriatric Measurement Advisory Panel (GMAP), </w:t>
      </w:r>
      <w:r w:rsidRPr="00C52ABF">
        <w:rPr>
          <w:rFonts w:ascii="Calibri" w:eastAsia="Times New Roman" w:hAnsi="Calibri" w:cs="Calibri"/>
          <w:color w:val="FF0000"/>
        </w:rPr>
        <w:t>the Technical Measurement Advisory Panel (TMAP) and the Committee on Performance Measurement (CPM)</w:t>
      </w:r>
      <w:r w:rsidR="0082057A">
        <w:rPr>
          <w:rFonts w:ascii="Calibri" w:eastAsia="Times New Roman" w:hAnsi="Calibri" w:cs="Calibri"/>
          <w:color w:val="FF0000"/>
        </w:rPr>
        <w:t>,</w:t>
      </w:r>
      <w:r w:rsidRPr="00C52ABF">
        <w:rPr>
          <w:rFonts w:ascii="Calibri" w:eastAsia="Times New Roman" w:hAnsi="Calibri" w:cs="Calibri"/>
          <w:color w:val="FF0000"/>
        </w:rPr>
        <w:t xml:space="preserve"> as well as other panels as necessary.     </w:t>
      </w:r>
      <w:r w:rsidRPr="00C52ABF">
        <w:rPr>
          <w:rFonts w:ascii="Calibri" w:eastAsia="Times New Roman" w:hAnsi="Calibri" w:cs="Calibri"/>
        </w:rPr>
        <w:t> </w:t>
      </w:r>
    </w:p>
    <w:p w14:paraId="5CE97C8D"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 </w:t>
      </w:r>
      <w:r w:rsidRPr="00C52ABF">
        <w:rPr>
          <w:rFonts w:ascii="Calibri" w:eastAsia="Times New Roman" w:hAnsi="Calibri" w:cs="Calibri"/>
        </w:rPr>
        <w:t> </w:t>
      </w:r>
    </w:p>
    <w:p w14:paraId="045C0365"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At this step, face validity is systematically determined by the CPM, which uses testing results and proposed final specifications to determine if the measure will move forward to Public Comment. </w:t>
      </w:r>
      <w:r w:rsidRPr="00C52ABF">
        <w:rPr>
          <w:rFonts w:ascii="Calibri" w:eastAsia="Times New Roman" w:hAnsi="Calibri" w:cs="Calibri"/>
        </w:rPr>
        <w:t> </w:t>
      </w:r>
    </w:p>
    <w:p w14:paraId="58FAE8D2"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 </w:t>
      </w:r>
      <w:r w:rsidRPr="00C52ABF">
        <w:rPr>
          <w:rFonts w:ascii="Calibri" w:eastAsia="Times New Roman" w:hAnsi="Calibri" w:cs="Calibri"/>
        </w:rPr>
        <w:t> </w:t>
      </w:r>
    </w:p>
    <w:p w14:paraId="2CC2A3CC" w14:textId="77777777" w:rsidR="00C52ABF" w:rsidRPr="00C52ABF" w:rsidRDefault="00C52ABF" w:rsidP="00C52ABF">
      <w:pPr>
        <w:spacing w:after="0" w:line="240" w:lineRule="auto"/>
        <w:textAlignment w:val="baseline"/>
        <w:rPr>
          <w:rFonts w:ascii="Segoe UI" w:eastAsia="Times New Roman" w:hAnsi="Segoe UI" w:cs="Segoe UI"/>
          <w:sz w:val="18"/>
          <w:szCs w:val="18"/>
        </w:rPr>
      </w:pPr>
      <w:r w:rsidRPr="00C52ABF">
        <w:rPr>
          <w:rFonts w:ascii="Calibri" w:eastAsia="Times New Roman" w:hAnsi="Calibri" w:cs="Calibri"/>
          <w:color w:val="FF0000"/>
        </w:rPr>
        <w:t>STEP 3: Public Comment is a 30-day period of review that allows interested parties to offer feedback to NCQA about proposed new measures. Public comment offers an opportunity to assess the validity, feasibility, importance and other attributes of a measure from a wider audience. For this measure, a majority of public comment respondents supported the measure. NCQA MAPs and the technical panels consider all comments and advise NCQA staff on appropriate recommendations brought to the CPM.  Face validity is then again systematically assessed by the CPM. The CPM reviews all comments before making a final decision and votes to recommend approval of new measures for HEDIS. NCQA’s Board of Directors then approves new measures.  </w:t>
      </w:r>
    </w:p>
    <w:p w14:paraId="0CABCFDD" w14:textId="102F9902" w:rsidR="00833325" w:rsidRDefault="00833325" w:rsidP="00DB3627">
      <w:pPr>
        <w:autoSpaceDE w:val="0"/>
        <w:autoSpaceDN w:val="0"/>
        <w:adjustRightInd w:val="0"/>
        <w:spacing w:after="0" w:line="240" w:lineRule="auto"/>
        <w:rPr>
          <w:rFonts w:cstheme="minorHAnsi"/>
          <w:bCs/>
        </w:rPr>
      </w:pPr>
    </w:p>
    <w:p w14:paraId="5F580415" w14:textId="77777777"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11E63687" w14:textId="77777777" w:rsidR="009C75D4" w:rsidRPr="009C75D4" w:rsidRDefault="009C75D4" w:rsidP="009C75D4">
      <w:pPr>
        <w:autoSpaceDE w:val="0"/>
        <w:autoSpaceDN w:val="0"/>
        <w:adjustRightInd w:val="0"/>
        <w:spacing w:after="0" w:line="240" w:lineRule="auto"/>
        <w:rPr>
          <w:rFonts w:cstheme="minorHAnsi"/>
          <w:bCs/>
          <w:color w:val="4F81BD" w:themeColor="accent1"/>
        </w:rPr>
      </w:pPr>
      <w:r w:rsidRPr="009C75D4">
        <w:rPr>
          <w:rFonts w:cstheme="minorHAnsi"/>
          <w:b/>
          <w:color w:val="4F81BD" w:themeColor="accent1"/>
        </w:rPr>
        <w:t>Method of Assessing Face Validity:</w:t>
      </w:r>
      <w:r w:rsidRPr="009C75D4">
        <w:rPr>
          <w:rFonts w:cstheme="minorHAnsi"/>
          <w:bCs/>
          <w:color w:val="4F81BD" w:themeColor="accent1"/>
        </w:rPr>
        <w:t xml:space="preserve"> This measure was tested for face validity with two panels of experts. See Additional Information: Ad.1. Workgroup/Expert Panel Involved in Measure Development for names and affiliations of expert panel members.</w:t>
      </w:r>
    </w:p>
    <w:p w14:paraId="03224691" w14:textId="77777777" w:rsidR="009C75D4" w:rsidRDefault="009C75D4" w:rsidP="009C75D4">
      <w:pPr>
        <w:pStyle w:val="ListParagraph"/>
        <w:numPr>
          <w:ilvl w:val="0"/>
          <w:numId w:val="33"/>
        </w:numPr>
        <w:autoSpaceDE w:val="0"/>
        <w:autoSpaceDN w:val="0"/>
        <w:adjustRightInd w:val="0"/>
        <w:spacing w:after="0" w:line="240" w:lineRule="auto"/>
        <w:rPr>
          <w:rFonts w:cstheme="minorHAnsi"/>
          <w:bCs/>
          <w:color w:val="4F81BD" w:themeColor="accent1"/>
        </w:rPr>
      </w:pPr>
      <w:r w:rsidRPr="009C75D4">
        <w:rPr>
          <w:rFonts w:cstheme="minorHAnsi"/>
          <w:bCs/>
          <w:color w:val="4F81BD" w:themeColor="accent1"/>
        </w:rPr>
        <w:t xml:space="preserve">The Geriatric Measurement Advisory Panel (GMAP) included 11 experts in geriatrics, including representation by consumers, health plans, health care providers and policy makers.  </w:t>
      </w:r>
    </w:p>
    <w:p w14:paraId="28290F0F" w14:textId="3DFF385E" w:rsidR="009C75D4" w:rsidRPr="009C75D4" w:rsidRDefault="009C75D4" w:rsidP="009C75D4">
      <w:pPr>
        <w:pStyle w:val="ListParagraph"/>
        <w:numPr>
          <w:ilvl w:val="0"/>
          <w:numId w:val="33"/>
        </w:numPr>
        <w:autoSpaceDE w:val="0"/>
        <w:autoSpaceDN w:val="0"/>
        <w:adjustRightInd w:val="0"/>
        <w:spacing w:after="0" w:line="240" w:lineRule="auto"/>
        <w:rPr>
          <w:rFonts w:cstheme="minorHAnsi"/>
          <w:bCs/>
          <w:color w:val="4F81BD" w:themeColor="accent1"/>
        </w:rPr>
      </w:pPr>
      <w:r w:rsidRPr="009C75D4">
        <w:rPr>
          <w:rFonts w:cstheme="minorHAnsi"/>
          <w:bCs/>
          <w:color w:val="4F81BD" w:themeColor="accent1"/>
        </w:rPr>
        <w:t xml:space="preserve">NCQA’s Committee on Performance Measurement (CPM) oversees the evolution of the measurement set and includes representation by purchasers, consumers, health plans, health care providers and policy makers. This panel is made up of 16 members. The CPM is organized and managed by NCQA and reports to the NCQA Board of Directors and is responsible for advising NCQA staff on the development and maintenance of performance measures. CPM members reflect the diversity of constituencies that performance measurement serves; some </w:t>
      </w:r>
      <w:r w:rsidRPr="009C75D4">
        <w:rPr>
          <w:rFonts w:cstheme="minorHAnsi"/>
          <w:bCs/>
          <w:color w:val="4F81BD" w:themeColor="accent1"/>
        </w:rPr>
        <w:lastRenderedPageBreak/>
        <w:t>bring other perspectives and additional expertise in quality management and the science of measurement.</w:t>
      </w:r>
    </w:p>
    <w:p w14:paraId="4A336F5E" w14:textId="77777777" w:rsidR="009C75D4" w:rsidRPr="009C75D4" w:rsidRDefault="009C75D4" w:rsidP="009C75D4">
      <w:pPr>
        <w:autoSpaceDE w:val="0"/>
        <w:autoSpaceDN w:val="0"/>
        <w:adjustRightInd w:val="0"/>
        <w:spacing w:after="0" w:line="240" w:lineRule="auto"/>
        <w:rPr>
          <w:rFonts w:cstheme="minorHAnsi"/>
          <w:bCs/>
          <w:color w:val="4F81BD" w:themeColor="accent1"/>
        </w:rPr>
      </w:pPr>
    </w:p>
    <w:p w14:paraId="4EA19329" w14:textId="3244367A" w:rsidR="003E1AED" w:rsidRPr="009C75D4" w:rsidRDefault="009C75D4" w:rsidP="009C75D4">
      <w:pPr>
        <w:autoSpaceDE w:val="0"/>
        <w:autoSpaceDN w:val="0"/>
        <w:adjustRightInd w:val="0"/>
        <w:spacing w:after="0" w:line="240" w:lineRule="auto"/>
        <w:rPr>
          <w:rFonts w:cstheme="minorHAnsi"/>
          <w:bCs/>
          <w:color w:val="4F81BD" w:themeColor="accent1"/>
        </w:rPr>
      </w:pPr>
      <w:r w:rsidRPr="009C75D4">
        <w:rPr>
          <w:rFonts w:cstheme="minorHAnsi"/>
          <w:b/>
          <w:color w:val="4F81BD" w:themeColor="accent1"/>
        </w:rPr>
        <w:t>Method of Testing Construct Validity:</w:t>
      </w:r>
      <w:r w:rsidRPr="009C75D4">
        <w:rPr>
          <w:rFonts w:cstheme="minorHAnsi"/>
          <w:bCs/>
          <w:color w:val="4F81BD" w:themeColor="accent1"/>
        </w:rPr>
        <w:t xml:space="preserve"> We tested for construct validity by exploring whether the two rates within this measure were correlated with each other and with another measure of medication safety. We hypothesized that organizations that perform well on one of the indicators should perform well on the other indicator as well as the other medication safety measure. To test these correlations we used a Pearson correlation test. This test estimates the strength of the linear association between two continuous variables; the magnitude of correlation ranges from -1 and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w:t>
      </w:r>
    </w:p>
    <w:p w14:paraId="0D0DA3F7" w14:textId="77777777" w:rsidR="003E1AED" w:rsidRPr="00A25024" w:rsidRDefault="003E1AED" w:rsidP="00DB3627">
      <w:pPr>
        <w:autoSpaceDE w:val="0"/>
        <w:autoSpaceDN w:val="0"/>
        <w:adjustRightInd w:val="0"/>
        <w:spacing w:after="0" w:line="240" w:lineRule="auto"/>
        <w:rPr>
          <w:rFonts w:cstheme="minorHAnsi"/>
          <w:bCs/>
        </w:rPr>
      </w:pPr>
    </w:p>
    <w:p w14:paraId="63AC5D26" w14:textId="265D263E" w:rsidR="00E723A5" w:rsidRPr="00E723A5" w:rsidRDefault="009C7513" w:rsidP="00E723A5">
      <w:pPr>
        <w:autoSpaceDE w:val="0"/>
        <w:autoSpaceDN w:val="0"/>
        <w:adjustRightInd w:val="0"/>
        <w:spacing w:after="0" w:line="240" w:lineRule="auto"/>
        <w:rPr>
          <w:rFonts w:ascii="Segoe UI" w:eastAsia="Times New Roman" w:hAnsi="Segoe UI" w:cs="Segoe UI"/>
          <w:sz w:val="18"/>
          <w:szCs w:val="18"/>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E723A5" w:rsidRPr="00E723A5">
        <w:rPr>
          <w:rFonts w:ascii="Calibri" w:eastAsia="Times New Roman" w:hAnsi="Calibri" w:cs="Calibri"/>
          <w:b/>
          <w:bCs/>
          <w:color w:val="FF0000"/>
          <w:u w:val="single"/>
        </w:rPr>
        <w:t>2020 Submission</w:t>
      </w:r>
      <w:r w:rsidR="00E723A5" w:rsidRPr="00E723A5">
        <w:rPr>
          <w:rFonts w:ascii="Calibri" w:eastAsia="Times New Roman" w:hAnsi="Calibri" w:cs="Calibri"/>
        </w:rPr>
        <w:t> </w:t>
      </w:r>
    </w:p>
    <w:p w14:paraId="667E6846" w14:textId="77777777" w:rsidR="00E723A5" w:rsidRPr="00E723A5" w:rsidRDefault="00E723A5" w:rsidP="00E723A5">
      <w:pPr>
        <w:spacing w:after="0" w:line="240" w:lineRule="auto"/>
        <w:textAlignment w:val="baseline"/>
        <w:rPr>
          <w:rFonts w:ascii="Segoe UI" w:eastAsia="Times New Roman" w:hAnsi="Segoe UI" w:cs="Segoe UI"/>
          <w:sz w:val="18"/>
          <w:szCs w:val="18"/>
        </w:rPr>
      </w:pPr>
      <w:r w:rsidRPr="00E723A5">
        <w:rPr>
          <w:rFonts w:ascii="Calibri" w:eastAsia="Times New Roman" w:hAnsi="Calibri" w:cs="Calibri"/>
          <w:color w:val="FF0000"/>
        </w:rPr>
        <w:t> </w:t>
      </w:r>
      <w:r w:rsidRPr="00E723A5">
        <w:rPr>
          <w:rFonts w:ascii="Calibri" w:eastAsia="Times New Roman" w:hAnsi="Calibri" w:cs="Calibri"/>
        </w:rPr>
        <w:t> </w:t>
      </w:r>
    </w:p>
    <w:p w14:paraId="4FAE32C7" w14:textId="12EF49D9" w:rsidR="00E723A5" w:rsidRPr="00E723A5" w:rsidRDefault="00E723A5" w:rsidP="00E723A5">
      <w:pPr>
        <w:spacing w:after="0" w:line="240" w:lineRule="auto"/>
        <w:textAlignment w:val="baseline"/>
        <w:rPr>
          <w:rFonts w:ascii="Segoe UI" w:eastAsia="Times New Roman" w:hAnsi="Segoe UI" w:cs="Segoe UI"/>
          <w:sz w:val="18"/>
          <w:szCs w:val="18"/>
        </w:rPr>
      </w:pPr>
      <w:r w:rsidRPr="00E723A5">
        <w:rPr>
          <w:rFonts w:ascii="Calibri" w:eastAsia="Times New Roman" w:hAnsi="Calibri" w:cs="Calibri"/>
          <w:color w:val="FF0000"/>
        </w:rPr>
        <w:t>Table </w:t>
      </w:r>
      <w:r w:rsidR="00D722E2">
        <w:rPr>
          <w:rFonts w:ascii="Calibri" w:eastAsia="Times New Roman" w:hAnsi="Calibri" w:cs="Calibri"/>
          <w:color w:val="FF0000"/>
        </w:rPr>
        <w:t>3</w:t>
      </w:r>
      <w:r w:rsidRPr="00E723A5">
        <w:rPr>
          <w:rFonts w:ascii="Calibri" w:eastAsia="Times New Roman" w:hAnsi="Calibri" w:cs="Calibri"/>
          <w:color w:val="FF0000"/>
        </w:rPr>
        <w:t>. Health-Plan Level Pearson Correlation Coefficients Among </w:t>
      </w:r>
      <w:r w:rsidR="001A76AA">
        <w:rPr>
          <w:rFonts w:ascii="Calibri" w:eastAsia="Times New Roman" w:hAnsi="Calibri" w:cs="Calibri"/>
          <w:i/>
          <w:iCs/>
          <w:color w:val="FF0000"/>
        </w:rPr>
        <w:t>Use of High-Risk Medications in Older Adults</w:t>
      </w:r>
      <w:r w:rsidR="001A76AA" w:rsidRPr="0011379A">
        <w:rPr>
          <w:rFonts w:ascii="Calibri" w:eastAsia="Times New Roman" w:hAnsi="Calibri" w:cs="Calibri"/>
          <w:color w:val="FF0000"/>
        </w:rPr>
        <w:t> </w:t>
      </w:r>
      <w:r w:rsidR="001A76AA">
        <w:rPr>
          <w:rFonts w:ascii="Calibri" w:eastAsia="Times New Roman" w:hAnsi="Calibri" w:cs="Calibri"/>
          <w:color w:val="FF0000"/>
        </w:rPr>
        <w:t xml:space="preserve">and </w:t>
      </w:r>
      <w:r w:rsidR="001A76AA">
        <w:rPr>
          <w:rFonts w:ascii="Calibri" w:eastAsia="Times New Roman" w:hAnsi="Calibri" w:cs="Calibri"/>
          <w:i/>
          <w:iCs/>
          <w:color w:val="FF0000"/>
        </w:rPr>
        <w:t>Potentially Harmful Drug-Disease Interactions in Older Adults</w:t>
      </w:r>
      <w:r w:rsidR="001A76AA" w:rsidRPr="00E723A5">
        <w:rPr>
          <w:rFonts w:ascii="Calibri" w:eastAsia="Times New Roman" w:hAnsi="Calibri" w:cs="Calibri"/>
          <w:color w:val="FF0000"/>
        </w:rPr>
        <w:t xml:space="preserve"> </w:t>
      </w:r>
      <w:r w:rsidR="001A76AA">
        <w:rPr>
          <w:rFonts w:ascii="Calibri" w:eastAsia="Times New Roman" w:hAnsi="Calibri" w:cs="Calibri"/>
          <w:color w:val="FF0000"/>
        </w:rPr>
        <w:t>Performance Scores</w:t>
      </w:r>
      <w:r w:rsidR="00B3195E">
        <w:rPr>
          <w:rFonts w:ascii="Calibri" w:eastAsia="Times New Roman" w:hAnsi="Calibri" w:cs="Calibri"/>
          <w:color w:val="FF0000"/>
        </w:rPr>
        <w:t xml:space="preserve">, </w:t>
      </w:r>
      <w:r w:rsidRPr="00E723A5">
        <w:rPr>
          <w:rFonts w:ascii="Calibri" w:eastAsia="Times New Roman" w:hAnsi="Calibri" w:cs="Calibri"/>
          <w:color w:val="FF0000"/>
        </w:rPr>
        <w:t>201</w:t>
      </w:r>
      <w:r w:rsidR="00816507">
        <w:rPr>
          <w:rFonts w:ascii="Calibri" w:eastAsia="Times New Roman" w:hAnsi="Calibri" w:cs="Calibri"/>
          <w:color w:val="FF0000"/>
        </w:rPr>
        <w:t>8</w:t>
      </w:r>
    </w:p>
    <w:p w14:paraId="68DEDFF2" w14:textId="77777777" w:rsidR="00E723A5" w:rsidRPr="00E723A5" w:rsidRDefault="00E723A5" w:rsidP="00E723A5">
      <w:pPr>
        <w:spacing w:after="0" w:line="240" w:lineRule="auto"/>
        <w:textAlignment w:val="baseline"/>
        <w:rPr>
          <w:rFonts w:ascii="Segoe UI" w:eastAsia="Times New Roman" w:hAnsi="Segoe UI" w:cs="Segoe UI"/>
          <w:sz w:val="18"/>
          <w:szCs w:val="18"/>
        </w:rPr>
      </w:pPr>
      <w:r w:rsidRPr="00E723A5">
        <w:rPr>
          <w:rFonts w:ascii="Calibri" w:eastAsia="Times New Roman" w:hAnsi="Calibri" w:cs="Calibri"/>
          <w:color w:val="FF0000"/>
        </w:rPr>
        <w:t> </w:t>
      </w:r>
      <w:r w:rsidRPr="00E723A5">
        <w:rPr>
          <w:rFonts w:ascii="Calibri" w:eastAsia="Times New Roman" w:hAnsi="Calibri" w:cs="Calibri"/>
        </w:rPr>
        <w:t> </w:t>
      </w:r>
    </w:p>
    <w:tbl>
      <w:tblPr>
        <w:tblW w:w="63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2"/>
        <w:gridCol w:w="2790"/>
      </w:tblGrid>
      <w:tr w:rsidR="005002B3" w:rsidRPr="005002B3" w14:paraId="3FE504D4" w14:textId="0BB511DC" w:rsidTr="00191432">
        <w:trPr>
          <w:trHeight w:val="300"/>
        </w:trPr>
        <w:tc>
          <w:tcPr>
            <w:tcW w:w="3592" w:type="dxa"/>
            <w:tcBorders>
              <w:top w:val="single" w:sz="6" w:space="0" w:color="auto"/>
              <w:left w:val="single" w:sz="6" w:space="0" w:color="auto"/>
              <w:bottom w:val="single" w:sz="6" w:space="0" w:color="auto"/>
              <w:right w:val="single" w:sz="6" w:space="0" w:color="auto"/>
            </w:tcBorders>
            <w:shd w:val="clear" w:color="auto" w:fill="auto"/>
            <w:hideMark/>
          </w:tcPr>
          <w:p w14:paraId="49423715" w14:textId="14CCDE34" w:rsidR="003B0E1A" w:rsidRPr="005002B3" w:rsidRDefault="003B0E1A" w:rsidP="00E723A5">
            <w:pPr>
              <w:spacing w:after="0" w:line="240" w:lineRule="auto"/>
              <w:jc w:val="center"/>
              <w:textAlignment w:val="baseline"/>
              <w:rPr>
                <w:rFonts w:eastAsia="Times New Roman" w:cstheme="minorHAnsi"/>
                <w:color w:val="FF0000"/>
              </w:rPr>
            </w:pPr>
            <w:r w:rsidRPr="005002B3">
              <w:rPr>
                <w:rFonts w:eastAsia="Times New Roman" w:cstheme="minorHAnsi"/>
                <w:b/>
                <w:bCs/>
                <w:color w:val="FF0000"/>
              </w:rPr>
              <w:t>Measure</w:t>
            </w:r>
          </w:p>
        </w:tc>
        <w:tc>
          <w:tcPr>
            <w:tcW w:w="2790" w:type="dxa"/>
            <w:tcBorders>
              <w:top w:val="single" w:sz="6" w:space="0" w:color="auto"/>
              <w:left w:val="single" w:sz="6" w:space="0" w:color="auto"/>
              <w:bottom w:val="single" w:sz="4" w:space="0" w:color="auto"/>
              <w:right w:val="single" w:sz="6" w:space="0" w:color="auto"/>
            </w:tcBorders>
          </w:tcPr>
          <w:p w14:paraId="3C7ADC25" w14:textId="4101F2B9" w:rsidR="003B0E1A" w:rsidRPr="005002B3" w:rsidRDefault="003B0E1A" w:rsidP="00E723A5">
            <w:pPr>
              <w:spacing w:after="0" w:line="240" w:lineRule="auto"/>
              <w:jc w:val="center"/>
              <w:textAlignment w:val="baseline"/>
              <w:rPr>
                <w:rFonts w:eastAsia="Times New Roman" w:cstheme="minorHAnsi"/>
                <w:b/>
                <w:bCs/>
                <w:color w:val="FF0000"/>
              </w:rPr>
            </w:pPr>
            <w:r w:rsidRPr="005002B3">
              <w:rPr>
                <w:rFonts w:eastAsia="Times New Roman" w:cstheme="minorHAnsi"/>
                <w:b/>
                <w:bCs/>
                <w:color w:val="FF0000"/>
              </w:rPr>
              <w:t>Correlation Coefficient</w:t>
            </w:r>
          </w:p>
        </w:tc>
      </w:tr>
      <w:tr w:rsidR="00191432" w:rsidRPr="005002B3" w14:paraId="4AD9E5CD" w14:textId="7F20F615" w:rsidTr="00191432">
        <w:trPr>
          <w:trHeight w:val="300"/>
        </w:trPr>
        <w:tc>
          <w:tcPr>
            <w:tcW w:w="3592" w:type="dxa"/>
            <w:tcBorders>
              <w:top w:val="single" w:sz="6" w:space="0" w:color="auto"/>
              <w:left w:val="single" w:sz="6" w:space="0" w:color="auto"/>
              <w:bottom w:val="single" w:sz="6" w:space="0" w:color="auto"/>
              <w:right w:val="single" w:sz="4" w:space="0" w:color="auto"/>
            </w:tcBorders>
            <w:shd w:val="clear" w:color="auto" w:fill="auto"/>
            <w:hideMark/>
          </w:tcPr>
          <w:p w14:paraId="4FF703CB" w14:textId="77777777" w:rsidR="00191432" w:rsidRPr="005002B3" w:rsidRDefault="00191432" w:rsidP="00E723A5">
            <w:pPr>
              <w:spacing w:after="0" w:line="240" w:lineRule="auto"/>
              <w:textAlignment w:val="baseline"/>
              <w:rPr>
                <w:rFonts w:eastAsia="Times New Roman" w:cstheme="minorHAnsi"/>
                <w:color w:val="FF0000"/>
              </w:rPr>
            </w:pPr>
            <w:r w:rsidRPr="005002B3">
              <w:rPr>
                <w:rFonts w:eastAsia="Times New Roman" w:cstheme="minorHAnsi"/>
                <w:color w:val="FF0000"/>
              </w:rPr>
              <w:t>  </w:t>
            </w:r>
          </w:p>
        </w:tc>
        <w:tc>
          <w:tcPr>
            <w:tcW w:w="2790" w:type="dxa"/>
            <w:tcBorders>
              <w:top w:val="single" w:sz="4" w:space="0" w:color="auto"/>
              <w:left w:val="single" w:sz="4" w:space="0" w:color="auto"/>
              <w:bottom w:val="single" w:sz="4" w:space="0" w:color="auto"/>
              <w:right w:val="single" w:sz="4" w:space="0" w:color="auto"/>
            </w:tcBorders>
          </w:tcPr>
          <w:p w14:paraId="08DA1493" w14:textId="5C8F02F0" w:rsidR="00191432" w:rsidRPr="005002B3" w:rsidRDefault="007F2C7F" w:rsidP="00E723A5">
            <w:pPr>
              <w:spacing w:after="0" w:line="240" w:lineRule="auto"/>
              <w:jc w:val="center"/>
              <w:textAlignment w:val="baseline"/>
              <w:rPr>
                <w:rFonts w:eastAsia="Times New Roman" w:cstheme="minorHAnsi"/>
                <w:color w:val="FF0000"/>
              </w:rPr>
            </w:pPr>
            <w:r w:rsidRPr="007B64FD">
              <w:rPr>
                <w:rFonts w:ascii="Calibri" w:eastAsia="Times New Roman" w:hAnsi="Calibri" w:cs="Calibri"/>
                <w:i/>
                <w:iCs/>
                <w:color w:val="FF0000"/>
              </w:rPr>
              <w:t>Use of High-Risk Medications in Older Adults</w:t>
            </w:r>
          </w:p>
        </w:tc>
      </w:tr>
      <w:tr w:rsidR="00191432" w:rsidRPr="005002B3" w14:paraId="0574BC9D" w14:textId="77777777" w:rsidTr="00191432">
        <w:tc>
          <w:tcPr>
            <w:tcW w:w="3592" w:type="dxa"/>
            <w:tcBorders>
              <w:top w:val="single" w:sz="6" w:space="0" w:color="auto"/>
              <w:left w:val="single" w:sz="6" w:space="0" w:color="auto"/>
              <w:bottom w:val="single" w:sz="6" w:space="0" w:color="auto"/>
              <w:right w:val="single" w:sz="4" w:space="0" w:color="auto"/>
            </w:tcBorders>
            <w:shd w:val="clear" w:color="auto" w:fill="auto"/>
          </w:tcPr>
          <w:p w14:paraId="40A18DA7" w14:textId="79925D36" w:rsidR="00191432" w:rsidRPr="005002B3" w:rsidRDefault="007F2C7F" w:rsidP="00E723A5">
            <w:pPr>
              <w:spacing w:after="0" w:line="240" w:lineRule="auto"/>
              <w:textAlignment w:val="baseline"/>
              <w:rPr>
                <w:rFonts w:eastAsia="Times New Roman" w:cstheme="minorHAnsi"/>
                <w:color w:val="FF0000"/>
              </w:rPr>
            </w:pPr>
            <w:r w:rsidRPr="007B64FD">
              <w:rPr>
                <w:rFonts w:ascii="Calibri" w:eastAsia="Times New Roman" w:hAnsi="Calibri" w:cs="Calibri"/>
                <w:i/>
                <w:iCs/>
                <w:color w:val="FF0000"/>
              </w:rPr>
              <w:t>Use of High-Risk Medications in Older Adults</w:t>
            </w:r>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519A95" w14:textId="45B23917" w:rsidR="00191432" w:rsidRPr="005002B3" w:rsidRDefault="00191432" w:rsidP="00E723A5">
            <w:pPr>
              <w:spacing w:after="0" w:line="240" w:lineRule="auto"/>
              <w:jc w:val="center"/>
              <w:textAlignment w:val="baseline"/>
              <w:rPr>
                <w:rFonts w:eastAsia="Times New Roman" w:cstheme="minorHAnsi"/>
                <w:color w:val="FF0000"/>
              </w:rPr>
            </w:pPr>
          </w:p>
        </w:tc>
      </w:tr>
      <w:tr w:rsidR="00191432" w:rsidRPr="005002B3" w14:paraId="524FE94E" w14:textId="77777777" w:rsidTr="00191432">
        <w:tc>
          <w:tcPr>
            <w:tcW w:w="3592" w:type="dxa"/>
            <w:tcBorders>
              <w:top w:val="single" w:sz="6" w:space="0" w:color="auto"/>
              <w:left w:val="single" w:sz="6" w:space="0" w:color="auto"/>
              <w:bottom w:val="single" w:sz="6" w:space="0" w:color="auto"/>
              <w:right w:val="single" w:sz="4" w:space="0" w:color="auto"/>
            </w:tcBorders>
            <w:shd w:val="clear" w:color="auto" w:fill="auto"/>
          </w:tcPr>
          <w:p w14:paraId="6A5DEFA5" w14:textId="0C799BC2" w:rsidR="00191432" w:rsidRPr="005002B3" w:rsidRDefault="00191432" w:rsidP="00E723A5">
            <w:pPr>
              <w:spacing w:after="0" w:line="240" w:lineRule="auto"/>
              <w:textAlignment w:val="baseline"/>
              <w:rPr>
                <w:rFonts w:eastAsia="Times New Roman" w:cstheme="minorHAnsi"/>
                <w:color w:val="FF0000"/>
              </w:rPr>
            </w:pPr>
            <w:r w:rsidRPr="005002B3">
              <w:rPr>
                <w:rStyle w:val="Style1"/>
                <w:rFonts w:cstheme="minorHAnsi"/>
                <w:color w:val="FF0000"/>
              </w:rPr>
              <w:t>Drug-disease interaction: History of Falls</w:t>
            </w:r>
            <w:r>
              <w:rPr>
                <w:rStyle w:val="Style1"/>
                <w:rFonts w:cstheme="minorHAnsi"/>
                <w:color w:val="FF0000"/>
              </w:rPr>
              <w:t>*</w:t>
            </w:r>
          </w:p>
        </w:tc>
        <w:tc>
          <w:tcPr>
            <w:tcW w:w="2790" w:type="dxa"/>
            <w:tcBorders>
              <w:top w:val="single" w:sz="4" w:space="0" w:color="auto"/>
              <w:left w:val="single" w:sz="4" w:space="0" w:color="auto"/>
              <w:bottom w:val="single" w:sz="4" w:space="0" w:color="auto"/>
              <w:right w:val="single" w:sz="4" w:space="0" w:color="auto"/>
            </w:tcBorders>
          </w:tcPr>
          <w:p w14:paraId="056BFFF2" w14:textId="05A77746" w:rsidR="00191432" w:rsidRPr="005002B3" w:rsidRDefault="00191432" w:rsidP="00E723A5">
            <w:pPr>
              <w:spacing w:after="0" w:line="240" w:lineRule="auto"/>
              <w:jc w:val="center"/>
              <w:textAlignment w:val="baseline"/>
              <w:rPr>
                <w:rFonts w:eastAsia="Times New Roman" w:cstheme="minorHAnsi"/>
                <w:color w:val="FF0000"/>
              </w:rPr>
            </w:pPr>
            <w:r w:rsidRPr="005002B3">
              <w:rPr>
                <w:rFonts w:eastAsia="Times New Roman" w:cstheme="minorHAnsi"/>
                <w:color w:val="FF0000"/>
              </w:rPr>
              <w:t>0.6</w:t>
            </w:r>
            <w:r>
              <w:rPr>
                <w:rFonts w:eastAsia="Times New Roman" w:cstheme="minorHAnsi"/>
                <w:color w:val="FF0000"/>
              </w:rPr>
              <w:t>2</w:t>
            </w:r>
          </w:p>
        </w:tc>
      </w:tr>
      <w:tr w:rsidR="00191432" w:rsidRPr="005002B3" w14:paraId="24673BD0" w14:textId="77777777" w:rsidTr="00191432">
        <w:tc>
          <w:tcPr>
            <w:tcW w:w="3592" w:type="dxa"/>
            <w:tcBorders>
              <w:top w:val="single" w:sz="6" w:space="0" w:color="auto"/>
              <w:left w:val="single" w:sz="6" w:space="0" w:color="auto"/>
              <w:bottom w:val="single" w:sz="6" w:space="0" w:color="auto"/>
              <w:right w:val="single" w:sz="4" w:space="0" w:color="auto"/>
            </w:tcBorders>
            <w:shd w:val="clear" w:color="auto" w:fill="auto"/>
          </w:tcPr>
          <w:p w14:paraId="2EEB3B8F" w14:textId="305925D0" w:rsidR="00191432" w:rsidRPr="005002B3" w:rsidRDefault="00191432" w:rsidP="00E723A5">
            <w:pPr>
              <w:spacing w:after="0" w:line="240" w:lineRule="auto"/>
              <w:textAlignment w:val="baseline"/>
              <w:rPr>
                <w:rFonts w:eastAsia="Times New Roman" w:cstheme="minorHAnsi"/>
                <w:color w:val="FF0000"/>
              </w:rPr>
            </w:pPr>
            <w:r w:rsidRPr="005002B3">
              <w:rPr>
                <w:rStyle w:val="Style1"/>
                <w:rFonts w:cstheme="minorHAnsi"/>
                <w:color w:val="FF0000"/>
              </w:rPr>
              <w:t>Drug-disease interaction: Dementia</w:t>
            </w:r>
            <w:r>
              <w:rPr>
                <w:rStyle w:val="Style1"/>
                <w:rFonts w:cstheme="minorHAnsi"/>
                <w:color w:val="FF0000"/>
              </w:rPr>
              <w:t>*</w:t>
            </w:r>
          </w:p>
        </w:tc>
        <w:tc>
          <w:tcPr>
            <w:tcW w:w="2790" w:type="dxa"/>
            <w:tcBorders>
              <w:top w:val="single" w:sz="4" w:space="0" w:color="auto"/>
              <w:left w:val="single" w:sz="4" w:space="0" w:color="auto"/>
              <w:bottom w:val="single" w:sz="4" w:space="0" w:color="auto"/>
              <w:right w:val="single" w:sz="4" w:space="0" w:color="auto"/>
            </w:tcBorders>
          </w:tcPr>
          <w:p w14:paraId="3049EAFC" w14:textId="04977294" w:rsidR="00191432" w:rsidRPr="005002B3" w:rsidRDefault="00191432" w:rsidP="00E723A5">
            <w:pPr>
              <w:spacing w:after="0" w:line="240" w:lineRule="auto"/>
              <w:jc w:val="center"/>
              <w:textAlignment w:val="baseline"/>
              <w:rPr>
                <w:rFonts w:eastAsia="Times New Roman" w:cstheme="minorHAnsi"/>
                <w:color w:val="FF0000"/>
              </w:rPr>
            </w:pPr>
            <w:r w:rsidRPr="005002B3">
              <w:rPr>
                <w:rFonts w:eastAsia="Times New Roman" w:cstheme="minorHAnsi"/>
                <w:color w:val="FF0000"/>
              </w:rPr>
              <w:t>0.53</w:t>
            </w:r>
          </w:p>
        </w:tc>
      </w:tr>
      <w:tr w:rsidR="00191432" w:rsidRPr="005002B3" w14:paraId="28A6FFA0" w14:textId="77777777" w:rsidTr="00191432">
        <w:tc>
          <w:tcPr>
            <w:tcW w:w="3592" w:type="dxa"/>
            <w:tcBorders>
              <w:top w:val="single" w:sz="6" w:space="0" w:color="auto"/>
              <w:left w:val="single" w:sz="6" w:space="0" w:color="auto"/>
              <w:bottom w:val="single" w:sz="6" w:space="0" w:color="auto"/>
              <w:right w:val="single" w:sz="4" w:space="0" w:color="auto"/>
            </w:tcBorders>
            <w:shd w:val="clear" w:color="auto" w:fill="auto"/>
          </w:tcPr>
          <w:p w14:paraId="0B01B1B6" w14:textId="670C6936" w:rsidR="00191432" w:rsidRPr="005002B3" w:rsidRDefault="00191432" w:rsidP="00E723A5">
            <w:pPr>
              <w:spacing w:after="0" w:line="240" w:lineRule="auto"/>
              <w:textAlignment w:val="baseline"/>
              <w:rPr>
                <w:rFonts w:eastAsia="Times New Roman" w:cstheme="minorHAnsi"/>
                <w:color w:val="FF0000"/>
              </w:rPr>
            </w:pPr>
            <w:r w:rsidRPr="005002B3">
              <w:rPr>
                <w:rStyle w:val="Style1"/>
                <w:rFonts w:cstheme="minorHAnsi"/>
                <w:color w:val="FF0000"/>
              </w:rPr>
              <w:t>Drug-disease interaction: Chronic Kidney Disease</w:t>
            </w:r>
            <w:r>
              <w:rPr>
                <w:rStyle w:val="Style1"/>
                <w:rFonts w:cstheme="minorHAnsi"/>
                <w:color w:val="FF0000"/>
              </w:rPr>
              <w:t>*</w:t>
            </w:r>
          </w:p>
        </w:tc>
        <w:tc>
          <w:tcPr>
            <w:tcW w:w="2790" w:type="dxa"/>
            <w:tcBorders>
              <w:top w:val="single" w:sz="4" w:space="0" w:color="auto"/>
              <w:left w:val="single" w:sz="4" w:space="0" w:color="auto"/>
              <w:bottom w:val="single" w:sz="4" w:space="0" w:color="auto"/>
              <w:right w:val="single" w:sz="4" w:space="0" w:color="auto"/>
            </w:tcBorders>
          </w:tcPr>
          <w:p w14:paraId="086E5EAD" w14:textId="41134971" w:rsidR="00191432" w:rsidRPr="005002B3" w:rsidRDefault="00191432" w:rsidP="00E723A5">
            <w:pPr>
              <w:spacing w:after="0" w:line="240" w:lineRule="auto"/>
              <w:jc w:val="center"/>
              <w:textAlignment w:val="baseline"/>
              <w:rPr>
                <w:rFonts w:eastAsia="Times New Roman" w:cstheme="minorHAnsi"/>
                <w:color w:val="FF0000"/>
              </w:rPr>
            </w:pPr>
            <w:r w:rsidRPr="005002B3">
              <w:rPr>
                <w:rFonts w:eastAsia="Times New Roman" w:cstheme="minorHAnsi"/>
                <w:color w:val="FF0000"/>
              </w:rPr>
              <w:t>0.2</w:t>
            </w:r>
            <w:r>
              <w:rPr>
                <w:rFonts w:eastAsia="Times New Roman" w:cstheme="minorHAnsi"/>
                <w:color w:val="FF0000"/>
              </w:rPr>
              <w:t>4</w:t>
            </w:r>
          </w:p>
        </w:tc>
      </w:tr>
    </w:tbl>
    <w:p w14:paraId="7E7140E7" w14:textId="7709451D" w:rsidR="00D62C8E" w:rsidRPr="00D62C8E" w:rsidRDefault="00D62C8E" w:rsidP="00D62C8E">
      <w:pPr>
        <w:spacing w:after="0" w:line="240" w:lineRule="auto"/>
        <w:textAlignment w:val="baseline"/>
        <w:rPr>
          <w:rFonts w:ascii="Calibri" w:eastAsia="Times New Roman" w:hAnsi="Calibri" w:cs="Calibri"/>
          <w:color w:val="FF0000"/>
        </w:rPr>
      </w:pPr>
      <w:r w:rsidRPr="00D62C8E">
        <w:rPr>
          <w:rFonts w:ascii="Calibri" w:eastAsia="Times New Roman" w:hAnsi="Calibri" w:cs="Calibri"/>
          <w:color w:val="FF0000"/>
        </w:rPr>
        <w:t>Note: All correlations are significant at p&lt;</w:t>
      </w:r>
      <w:r w:rsidR="00BA5378">
        <w:rPr>
          <w:rFonts w:ascii="Calibri" w:eastAsia="Times New Roman" w:hAnsi="Calibri" w:cs="Calibri"/>
          <w:color w:val="FF0000"/>
        </w:rPr>
        <w:t>0</w:t>
      </w:r>
      <w:r w:rsidRPr="00D62C8E">
        <w:rPr>
          <w:rFonts w:ascii="Calibri" w:eastAsia="Times New Roman" w:hAnsi="Calibri" w:cs="Calibri"/>
          <w:color w:val="FF0000"/>
        </w:rPr>
        <w:t>.0</w:t>
      </w:r>
      <w:r>
        <w:rPr>
          <w:rFonts w:ascii="Calibri" w:eastAsia="Times New Roman" w:hAnsi="Calibri" w:cs="Calibri"/>
          <w:color w:val="FF0000"/>
        </w:rPr>
        <w:t>01</w:t>
      </w:r>
    </w:p>
    <w:p w14:paraId="649915C1" w14:textId="180DEAE7" w:rsidR="00E723A5" w:rsidRDefault="00864B48" w:rsidP="00D62C8E">
      <w:pPr>
        <w:spacing w:after="0" w:line="240" w:lineRule="auto"/>
        <w:textAlignment w:val="baseline"/>
        <w:rPr>
          <w:rFonts w:ascii="Calibri" w:eastAsia="Times New Roman" w:hAnsi="Calibri" w:cs="Calibri"/>
          <w:color w:val="FF0000"/>
        </w:rPr>
      </w:pPr>
      <w:r>
        <w:rPr>
          <w:rFonts w:ascii="Calibri" w:eastAsia="Times New Roman" w:hAnsi="Calibri" w:cs="Calibri"/>
          <w:color w:val="FF0000"/>
          <w:vertAlign w:val="superscript"/>
        </w:rPr>
        <w:t>*</w:t>
      </w:r>
      <w:r w:rsidR="00D62C8E" w:rsidRPr="00D62C8E">
        <w:rPr>
          <w:rFonts w:ascii="Calibri" w:eastAsia="Times New Roman" w:hAnsi="Calibri" w:cs="Calibri"/>
          <w:color w:val="FF0000"/>
        </w:rPr>
        <w:t xml:space="preserve">The </w:t>
      </w:r>
      <w:r w:rsidR="00D62C8E" w:rsidRPr="00BA5378">
        <w:rPr>
          <w:rFonts w:ascii="Calibri" w:eastAsia="Times New Roman" w:hAnsi="Calibri" w:cs="Calibri"/>
          <w:i/>
          <w:iCs/>
          <w:color w:val="FF0000"/>
        </w:rPr>
        <w:t xml:space="preserve">Potentially Harmful Drug-Disease Interactions in </w:t>
      </w:r>
      <w:r w:rsidR="00BA5378">
        <w:rPr>
          <w:rFonts w:ascii="Calibri" w:eastAsia="Times New Roman" w:hAnsi="Calibri" w:cs="Calibri"/>
          <w:i/>
          <w:iCs/>
          <w:color w:val="FF0000"/>
        </w:rPr>
        <w:t xml:space="preserve">Older Adults </w:t>
      </w:r>
      <w:r w:rsidR="00D62C8E" w:rsidRPr="00D62C8E">
        <w:rPr>
          <w:rFonts w:ascii="Calibri" w:eastAsia="Times New Roman" w:hAnsi="Calibri" w:cs="Calibri"/>
          <w:color w:val="FF0000"/>
        </w:rPr>
        <w:t xml:space="preserve">measure has </w:t>
      </w:r>
      <w:r w:rsidR="00461091">
        <w:rPr>
          <w:rFonts w:ascii="Calibri" w:eastAsia="Times New Roman" w:hAnsi="Calibri" w:cs="Calibri"/>
          <w:color w:val="FF0000"/>
        </w:rPr>
        <w:t>three</w:t>
      </w:r>
      <w:r w:rsidR="00D62C8E" w:rsidRPr="00D62C8E">
        <w:rPr>
          <w:rFonts w:ascii="Calibri" w:eastAsia="Times New Roman" w:hAnsi="Calibri" w:cs="Calibri"/>
          <w:color w:val="FF0000"/>
        </w:rPr>
        <w:t xml:space="preserve"> rates. The first rate assesses the percentage of patients 65 and older with a history of falls who received a high-risk medication. The second rate assesses the percentage of patients 65 and older with dementia who received a high-risk medication. The third rate assesses the percentage of patients 65 and older with chronic kidney disease who received a high-risk medication. </w:t>
      </w:r>
    </w:p>
    <w:p w14:paraId="34EC30A9" w14:textId="77777777" w:rsidR="00D62C8E" w:rsidRDefault="00D62C8E" w:rsidP="00D62C8E">
      <w:pPr>
        <w:spacing w:after="0" w:line="240" w:lineRule="auto"/>
        <w:textAlignment w:val="baseline"/>
        <w:rPr>
          <w:rFonts w:cstheme="minorHAnsi"/>
          <w:bCs/>
        </w:rPr>
      </w:pPr>
    </w:p>
    <w:p w14:paraId="689AB196" w14:textId="77777777" w:rsidR="00705EE9" w:rsidRPr="00705EE9" w:rsidRDefault="00705EE9" w:rsidP="00705EE9">
      <w:pPr>
        <w:spacing w:after="0" w:line="240" w:lineRule="auto"/>
        <w:textAlignment w:val="baseline"/>
        <w:rPr>
          <w:rFonts w:ascii="Segoe UI" w:eastAsia="Times New Roman" w:hAnsi="Segoe UI" w:cs="Segoe UI"/>
          <w:sz w:val="18"/>
          <w:szCs w:val="18"/>
        </w:rPr>
      </w:pPr>
      <w:r w:rsidRPr="00705EE9">
        <w:rPr>
          <w:rFonts w:ascii="Calibri" w:eastAsia="Times New Roman" w:hAnsi="Calibri" w:cs="Calibri"/>
          <w:color w:val="FF0000"/>
          <w:u w:val="single"/>
        </w:rPr>
        <w:t>Results of face validity assessment </w:t>
      </w:r>
      <w:r w:rsidRPr="00705EE9">
        <w:rPr>
          <w:rFonts w:ascii="Calibri" w:eastAsia="Times New Roman" w:hAnsi="Calibri" w:cs="Calibri"/>
          <w:color w:val="FF0000"/>
        </w:rPr>
        <w:t>  </w:t>
      </w:r>
    </w:p>
    <w:p w14:paraId="1935E1E7" w14:textId="624094A1" w:rsidR="00BB2348" w:rsidRDefault="005B5800" w:rsidP="00705EE9">
      <w:pPr>
        <w:spacing w:after="0" w:line="240" w:lineRule="auto"/>
        <w:textAlignment w:val="baseline"/>
        <w:rPr>
          <w:rFonts w:ascii="Calibri" w:eastAsia="Times New Roman" w:hAnsi="Calibri" w:cs="Calibri"/>
          <w:color w:val="FF0000"/>
        </w:rPr>
      </w:pPr>
      <w:r w:rsidRPr="005B5800">
        <w:rPr>
          <w:rFonts w:ascii="Calibri" w:eastAsia="Times New Roman" w:hAnsi="Calibri" w:cs="Calibri"/>
          <w:color w:val="FF0000"/>
        </w:rPr>
        <w:t xml:space="preserve">NCQA </w:t>
      </w:r>
      <w:r>
        <w:rPr>
          <w:rFonts w:ascii="Calibri" w:eastAsia="Times New Roman" w:hAnsi="Calibri" w:cs="Calibri"/>
          <w:color w:val="FF0000"/>
        </w:rPr>
        <w:t>worked closely with our multi-</w:t>
      </w:r>
      <w:r w:rsidR="00BB2348">
        <w:rPr>
          <w:rFonts w:ascii="Calibri" w:eastAsia="Times New Roman" w:hAnsi="Calibri" w:cs="Calibri"/>
          <w:color w:val="FF0000"/>
        </w:rPr>
        <w:t xml:space="preserve">stakeholder </w:t>
      </w:r>
      <w:r w:rsidR="00BD439C">
        <w:rPr>
          <w:rFonts w:ascii="Calibri" w:eastAsia="Times New Roman" w:hAnsi="Calibri" w:cs="Calibri"/>
          <w:color w:val="FF0000"/>
        </w:rPr>
        <w:t>MAPs</w:t>
      </w:r>
      <w:r w:rsidRPr="005B5800">
        <w:rPr>
          <w:rFonts w:ascii="Calibri" w:eastAsia="Times New Roman" w:hAnsi="Calibri" w:cs="Calibri"/>
          <w:color w:val="FF0000"/>
        </w:rPr>
        <w:t xml:space="preserve"> to </w:t>
      </w:r>
      <w:r w:rsidR="00DC6250">
        <w:rPr>
          <w:rFonts w:ascii="Calibri" w:eastAsia="Times New Roman" w:hAnsi="Calibri" w:cs="Calibri"/>
          <w:color w:val="FF0000"/>
        </w:rPr>
        <w:t xml:space="preserve">re-evaluate the measure </w:t>
      </w:r>
      <w:r w:rsidRPr="005B5800">
        <w:rPr>
          <w:rFonts w:ascii="Calibri" w:eastAsia="Times New Roman" w:hAnsi="Calibri" w:cs="Calibri"/>
          <w:color w:val="FF0000"/>
        </w:rPr>
        <w:t xml:space="preserve">based on </w:t>
      </w:r>
      <w:r w:rsidR="00AF6EC5">
        <w:rPr>
          <w:rFonts w:ascii="Calibri" w:eastAsia="Times New Roman" w:hAnsi="Calibri" w:cs="Calibri"/>
          <w:color w:val="FF0000"/>
        </w:rPr>
        <w:t xml:space="preserve">the latest </w:t>
      </w:r>
      <w:r w:rsidRPr="005B5800">
        <w:rPr>
          <w:rFonts w:ascii="Calibri" w:eastAsia="Times New Roman" w:hAnsi="Calibri" w:cs="Calibri"/>
          <w:color w:val="FF0000"/>
        </w:rPr>
        <w:t>recommendations in the A</w:t>
      </w:r>
      <w:r w:rsidR="00191432">
        <w:rPr>
          <w:rFonts w:ascii="Calibri" w:eastAsia="Times New Roman" w:hAnsi="Calibri" w:cs="Calibri"/>
          <w:color w:val="FF0000"/>
        </w:rPr>
        <w:t xml:space="preserve">merican </w:t>
      </w:r>
      <w:r w:rsidRPr="005B5800">
        <w:rPr>
          <w:rFonts w:ascii="Calibri" w:eastAsia="Times New Roman" w:hAnsi="Calibri" w:cs="Calibri"/>
          <w:color w:val="FF0000"/>
        </w:rPr>
        <w:t>G</w:t>
      </w:r>
      <w:r w:rsidR="00191432">
        <w:rPr>
          <w:rFonts w:ascii="Calibri" w:eastAsia="Times New Roman" w:hAnsi="Calibri" w:cs="Calibri"/>
          <w:color w:val="FF0000"/>
        </w:rPr>
        <w:t xml:space="preserve">eriatric </w:t>
      </w:r>
      <w:r w:rsidRPr="005B5800">
        <w:rPr>
          <w:rFonts w:ascii="Calibri" w:eastAsia="Times New Roman" w:hAnsi="Calibri" w:cs="Calibri"/>
          <w:color w:val="FF0000"/>
        </w:rPr>
        <w:t>S</w:t>
      </w:r>
      <w:r w:rsidR="00191432">
        <w:rPr>
          <w:rFonts w:ascii="Calibri" w:eastAsia="Times New Roman" w:hAnsi="Calibri" w:cs="Calibri"/>
          <w:color w:val="FF0000"/>
        </w:rPr>
        <w:t>ociety’s</w:t>
      </w:r>
      <w:r w:rsidRPr="005B5800">
        <w:rPr>
          <w:rFonts w:ascii="Calibri" w:eastAsia="Times New Roman" w:hAnsi="Calibri" w:cs="Calibri"/>
          <w:color w:val="FF0000"/>
        </w:rPr>
        <w:t xml:space="preserve"> </w:t>
      </w:r>
      <w:r w:rsidR="00DE6474">
        <w:rPr>
          <w:rFonts w:ascii="Calibri" w:eastAsia="Times New Roman" w:hAnsi="Calibri" w:cs="Calibri"/>
          <w:color w:val="FF0000"/>
        </w:rPr>
        <w:t xml:space="preserve">2019 </w:t>
      </w:r>
      <w:r w:rsidRPr="00D77CC3">
        <w:rPr>
          <w:rFonts w:ascii="Calibri" w:eastAsia="Times New Roman" w:hAnsi="Calibri" w:cs="Calibri"/>
          <w:color w:val="FF0000"/>
        </w:rPr>
        <w:t xml:space="preserve">Beers Criteria. </w:t>
      </w:r>
      <w:r w:rsidR="00191432" w:rsidRPr="00D77CC3">
        <w:rPr>
          <w:rFonts w:ascii="Calibri" w:eastAsia="Times New Roman" w:hAnsi="Calibri" w:cs="Calibri"/>
          <w:color w:val="FF0000"/>
        </w:rPr>
        <w:t>The l</w:t>
      </w:r>
      <w:r w:rsidR="00191432" w:rsidRPr="00D77CC3">
        <w:rPr>
          <w:color w:val="FF0000"/>
        </w:rPr>
        <w:t xml:space="preserve">ast Beers </w:t>
      </w:r>
      <w:r w:rsidR="00FF546B" w:rsidRPr="00D77CC3">
        <w:rPr>
          <w:color w:val="FF0000"/>
        </w:rPr>
        <w:t xml:space="preserve">Criteria </w:t>
      </w:r>
      <w:r w:rsidR="00191432" w:rsidRPr="00D77CC3">
        <w:rPr>
          <w:color w:val="FF0000"/>
        </w:rPr>
        <w:t xml:space="preserve">update prior to this publication was in 2015. </w:t>
      </w:r>
      <w:r w:rsidR="00534F16" w:rsidRPr="00D77CC3">
        <w:rPr>
          <w:rFonts w:ascii="Calibri" w:eastAsia="Times New Roman" w:hAnsi="Calibri" w:cs="Calibri"/>
          <w:color w:val="FF0000"/>
        </w:rPr>
        <w:t>Based on the 2019 Beers Criteria, t</w:t>
      </w:r>
      <w:r w:rsidR="00B628A4" w:rsidRPr="00D77CC3">
        <w:rPr>
          <w:rFonts w:ascii="Calibri" w:eastAsia="Times New Roman" w:hAnsi="Calibri" w:cs="Calibri"/>
          <w:color w:val="FF0000"/>
        </w:rPr>
        <w:t xml:space="preserve">he primary changes </w:t>
      </w:r>
      <w:r w:rsidR="00191432" w:rsidRPr="00D77CC3">
        <w:rPr>
          <w:rFonts w:ascii="Calibri" w:eastAsia="Times New Roman" w:hAnsi="Calibri" w:cs="Calibri"/>
          <w:color w:val="FF0000"/>
        </w:rPr>
        <w:t xml:space="preserve">to the measure </w:t>
      </w:r>
      <w:r w:rsidR="00B628A4" w:rsidRPr="00D77CC3">
        <w:rPr>
          <w:rFonts w:ascii="Calibri" w:eastAsia="Times New Roman" w:hAnsi="Calibri" w:cs="Calibri"/>
          <w:color w:val="FF0000"/>
        </w:rPr>
        <w:t>were updates to medications and retirement of rate 1</w:t>
      </w:r>
      <w:r w:rsidR="00DE6474" w:rsidRPr="00D77CC3">
        <w:rPr>
          <w:rFonts w:ascii="Calibri" w:eastAsia="Times New Roman" w:hAnsi="Calibri" w:cs="Calibri"/>
          <w:color w:val="FF0000"/>
        </w:rPr>
        <w:t xml:space="preserve">, which </w:t>
      </w:r>
      <w:r w:rsidR="00DE6474">
        <w:rPr>
          <w:rFonts w:ascii="Calibri" w:eastAsia="Times New Roman" w:hAnsi="Calibri" w:cs="Calibri"/>
          <w:color w:val="FF0000"/>
        </w:rPr>
        <w:t xml:space="preserve">focused on </w:t>
      </w:r>
      <w:r w:rsidR="00610FF6">
        <w:rPr>
          <w:rFonts w:ascii="Calibri" w:eastAsia="Times New Roman" w:hAnsi="Calibri" w:cs="Calibri"/>
          <w:color w:val="FF0000"/>
        </w:rPr>
        <w:t>one dispensing event for a high-risk medication</w:t>
      </w:r>
      <w:r w:rsidR="00995CB0">
        <w:rPr>
          <w:rFonts w:ascii="Calibri" w:eastAsia="Times New Roman" w:hAnsi="Calibri" w:cs="Calibri"/>
          <w:color w:val="FF0000"/>
        </w:rPr>
        <w:t xml:space="preserve">. </w:t>
      </w:r>
      <w:r w:rsidRPr="005B5800">
        <w:rPr>
          <w:rFonts w:ascii="Calibri" w:eastAsia="Times New Roman" w:hAnsi="Calibri" w:cs="Calibri"/>
          <w:color w:val="FF0000"/>
        </w:rPr>
        <w:t>The measure</w:t>
      </w:r>
      <w:r w:rsidR="00553B21">
        <w:rPr>
          <w:rFonts w:ascii="Calibri" w:eastAsia="Times New Roman" w:hAnsi="Calibri" w:cs="Calibri"/>
          <w:color w:val="FF0000"/>
        </w:rPr>
        <w:t xml:space="preserve"> changes were </w:t>
      </w:r>
      <w:r w:rsidR="003C72BE">
        <w:rPr>
          <w:rFonts w:ascii="Calibri" w:eastAsia="Times New Roman" w:hAnsi="Calibri" w:cs="Calibri"/>
          <w:color w:val="FF0000"/>
        </w:rPr>
        <w:t>evaluated</w:t>
      </w:r>
      <w:r w:rsidR="003C72BE" w:rsidRPr="005B5800">
        <w:rPr>
          <w:rFonts w:ascii="Calibri" w:eastAsia="Times New Roman" w:hAnsi="Calibri" w:cs="Calibri"/>
          <w:color w:val="FF0000"/>
        </w:rPr>
        <w:t xml:space="preserve"> </w:t>
      </w:r>
      <w:r w:rsidR="00553B21">
        <w:rPr>
          <w:rFonts w:ascii="Calibri" w:eastAsia="Times New Roman" w:hAnsi="Calibri" w:cs="Calibri"/>
          <w:color w:val="FF0000"/>
        </w:rPr>
        <w:t xml:space="preserve">in </w:t>
      </w:r>
      <w:r w:rsidR="00E96E41">
        <w:rPr>
          <w:rFonts w:ascii="Calibri" w:eastAsia="Times New Roman" w:hAnsi="Calibri" w:cs="Calibri"/>
          <w:color w:val="FF0000"/>
        </w:rPr>
        <w:t>2019</w:t>
      </w:r>
      <w:r w:rsidRPr="005B5800">
        <w:rPr>
          <w:rFonts w:ascii="Calibri" w:eastAsia="Times New Roman" w:hAnsi="Calibri" w:cs="Calibri"/>
          <w:color w:val="FF0000"/>
        </w:rPr>
        <w:t>. After reviewing</w:t>
      </w:r>
      <w:r w:rsidR="00995CB0">
        <w:rPr>
          <w:rFonts w:ascii="Calibri" w:eastAsia="Times New Roman" w:hAnsi="Calibri" w:cs="Calibri"/>
          <w:color w:val="FF0000"/>
        </w:rPr>
        <w:t xml:space="preserve">, </w:t>
      </w:r>
      <w:r w:rsidRPr="005B5800">
        <w:rPr>
          <w:rFonts w:ascii="Calibri" w:eastAsia="Times New Roman" w:hAnsi="Calibri" w:cs="Calibri"/>
          <w:color w:val="FF0000"/>
        </w:rPr>
        <w:t xml:space="preserve"> the CPM recommended to send the </w:t>
      </w:r>
      <w:r w:rsidR="00553B21">
        <w:rPr>
          <w:rFonts w:ascii="Calibri" w:eastAsia="Times New Roman" w:hAnsi="Calibri" w:cs="Calibri"/>
          <w:color w:val="FF0000"/>
        </w:rPr>
        <w:t xml:space="preserve">updated </w:t>
      </w:r>
      <w:r w:rsidRPr="005B5800">
        <w:rPr>
          <w:rFonts w:ascii="Calibri" w:eastAsia="Times New Roman" w:hAnsi="Calibri" w:cs="Calibri"/>
          <w:color w:val="FF0000"/>
        </w:rPr>
        <w:t xml:space="preserve">measure to public comment with a majority vote in </w:t>
      </w:r>
      <w:r w:rsidR="00553B21">
        <w:rPr>
          <w:rFonts w:ascii="Calibri" w:eastAsia="Times New Roman" w:hAnsi="Calibri" w:cs="Calibri"/>
          <w:color w:val="FF0000"/>
        </w:rPr>
        <w:t>2019</w:t>
      </w:r>
      <w:r w:rsidRPr="005B5800">
        <w:rPr>
          <w:rFonts w:ascii="Calibri" w:eastAsia="Times New Roman" w:hAnsi="Calibri" w:cs="Calibri"/>
          <w:color w:val="FF0000"/>
        </w:rPr>
        <w:t xml:space="preserve">. The measure was released for Public Comment in </w:t>
      </w:r>
      <w:r w:rsidR="00553B21">
        <w:rPr>
          <w:rFonts w:ascii="Calibri" w:eastAsia="Times New Roman" w:hAnsi="Calibri" w:cs="Calibri"/>
          <w:color w:val="FF0000"/>
        </w:rPr>
        <w:t>2019</w:t>
      </w:r>
      <w:r w:rsidRPr="005B5800">
        <w:rPr>
          <w:rFonts w:ascii="Calibri" w:eastAsia="Times New Roman" w:hAnsi="Calibri" w:cs="Calibri"/>
          <w:color w:val="FF0000"/>
        </w:rPr>
        <w:t xml:space="preserve"> prior to publication in HEDIS. </w:t>
      </w:r>
      <w:r w:rsidR="00127342">
        <w:rPr>
          <w:rFonts w:ascii="Calibri" w:eastAsia="Times New Roman" w:hAnsi="Calibri" w:cs="Calibri"/>
          <w:color w:val="FF0000"/>
        </w:rPr>
        <w:t>Input from advisory panels and the public comment</w:t>
      </w:r>
      <w:r w:rsidR="00087A8A">
        <w:rPr>
          <w:rFonts w:ascii="Calibri" w:eastAsia="Times New Roman" w:hAnsi="Calibri" w:cs="Calibri"/>
          <w:color w:val="FF0000"/>
        </w:rPr>
        <w:t xml:space="preserve"> indicate </w:t>
      </w:r>
      <w:r w:rsidR="00684B0B">
        <w:rPr>
          <w:rFonts w:ascii="Calibri" w:eastAsia="Times New Roman" w:hAnsi="Calibri" w:cs="Calibri"/>
          <w:color w:val="FF0000"/>
        </w:rPr>
        <w:t xml:space="preserve">the measure has face validity. </w:t>
      </w:r>
    </w:p>
    <w:p w14:paraId="2963D8C3" w14:textId="77777777" w:rsidR="00705EE9" w:rsidRDefault="00705EE9" w:rsidP="00092566">
      <w:pPr>
        <w:autoSpaceDE w:val="0"/>
        <w:autoSpaceDN w:val="0"/>
        <w:adjustRightInd w:val="0"/>
        <w:spacing w:after="0" w:line="240" w:lineRule="auto"/>
        <w:rPr>
          <w:rFonts w:cstheme="minorHAnsi"/>
          <w:bCs/>
        </w:rPr>
      </w:pPr>
    </w:p>
    <w:p w14:paraId="27977D90" w14:textId="77777777"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lastRenderedPageBreak/>
        <w:t>2016 Submission</w:t>
      </w:r>
      <w:r>
        <w:rPr>
          <w:rStyle w:val="eop"/>
          <w:rFonts w:ascii="Calibri" w:hAnsi="Calibri" w:cs="Calibri"/>
          <w:sz w:val="22"/>
          <w:szCs w:val="22"/>
        </w:rPr>
        <w:t> </w:t>
      </w:r>
    </w:p>
    <w:p w14:paraId="6E36B7A8" w14:textId="502A2F40" w:rsidR="00B06E65" w:rsidRPr="004434C3" w:rsidRDefault="00B06E65" w:rsidP="004434C3">
      <w:pPr>
        <w:pStyle w:val="NoSpacing"/>
        <w:rPr>
          <w:rStyle w:val="Style1"/>
          <w:rFonts w:cstheme="minorHAnsi"/>
          <w:b/>
          <w:color w:val="4F81BD" w:themeColor="accent1"/>
        </w:rPr>
      </w:pPr>
      <w:r w:rsidRPr="004434C3">
        <w:rPr>
          <w:rStyle w:val="Style1"/>
          <w:rFonts w:cstheme="minorHAnsi"/>
          <w:b/>
          <w:color w:val="4F81BD" w:themeColor="accent1"/>
        </w:rPr>
        <w:t xml:space="preserve">Results of Face Validity Assessment: </w:t>
      </w:r>
      <w:r w:rsidRPr="004434C3">
        <w:rPr>
          <w:rStyle w:val="Style1"/>
          <w:rFonts w:cstheme="minorHAnsi"/>
          <w:color w:val="4F81BD" w:themeColor="accent1"/>
        </w:rPr>
        <w:t xml:space="preserve">This measure was developed to address high-risk medication use in the elderly. NCQA and the GMAP worked together to assess which medications to include based on recommendations in the AGS Beers Criteria. The measure was field-tested from 2004-2005. After reviewing field test results the CPM recommended to send the measure to public comment with a majority vote in 2006. The measure was released for Public Comment in 2006 prior to publication in HEDIS. The CPM recommended moving this measure to first year data collection by a majority vote. The measure was then introduced in HEDIS 2007. Organizations reported the measures in the first year and the results were analyzed for public reporting in the following year. The CPM recommended moving this measure public reporting with a majority vote. In summary, the measure was deemed to have the desirable attributes of a HEDIS measure in 2006 (relevance, scientific soundness, and feasibility). </w:t>
      </w:r>
      <w:r w:rsidRPr="004434C3">
        <w:rPr>
          <w:color w:val="4F81BD" w:themeColor="accent1"/>
        </w:rPr>
        <w:t>These results indicate the MAPs and CPM showed agreement that the measures as specified will accurately differentiate quality across health plans. Our interpretation of these results is that this measure has sufficient face validity.</w:t>
      </w:r>
      <w:r w:rsidRPr="004434C3">
        <w:rPr>
          <w:rStyle w:val="Style1"/>
          <w:rFonts w:cstheme="minorHAnsi"/>
          <w:color w:val="4F81BD" w:themeColor="accent1"/>
        </w:rPr>
        <w:t xml:space="preserve"> </w:t>
      </w:r>
    </w:p>
    <w:p w14:paraId="63CFC96B" w14:textId="77777777" w:rsidR="004434C3" w:rsidRDefault="004434C3" w:rsidP="004434C3">
      <w:pPr>
        <w:pStyle w:val="NoSpacing"/>
        <w:rPr>
          <w:rStyle w:val="Style1"/>
          <w:rFonts w:cstheme="minorHAnsi"/>
          <w:b/>
          <w:color w:val="4F81BD" w:themeColor="accent1"/>
        </w:rPr>
      </w:pPr>
    </w:p>
    <w:p w14:paraId="17CA2D88" w14:textId="34D829FE" w:rsidR="00B06E65" w:rsidRPr="004434C3" w:rsidRDefault="00B06E65" w:rsidP="004434C3">
      <w:pPr>
        <w:pStyle w:val="NoSpacing"/>
        <w:rPr>
          <w:rStyle w:val="Style1"/>
          <w:rFonts w:cstheme="minorHAnsi"/>
          <w:color w:val="4F81BD" w:themeColor="accent1"/>
        </w:rPr>
      </w:pPr>
      <w:r w:rsidRPr="004434C3">
        <w:rPr>
          <w:rStyle w:val="Style1"/>
          <w:rFonts w:cstheme="minorHAnsi"/>
          <w:b/>
          <w:color w:val="4F81BD" w:themeColor="accent1"/>
        </w:rPr>
        <w:t>Results of Construct Validity Testing:</w:t>
      </w:r>
      <w:r w:rsidRPr="004434C3">
        <w:rPr>
          <w:rStyle w:val="Style1"/>
          <w:rFonts w:cstheme="minorHAnsi"/>
          <w:color w:val="4F81BD" w:themeColor="accent1"/>
        </w:rPr>
        <w:t xml:space="preserve"> The results in Table 1a indicate that there was a high correlation between the first and second rate in the measure. There were moderate correlations between both rates and the four rates in the other medication safety measure.  </w:t>
      </w:r>
    </w:p>
    <w:tbl>
      <w:tblPr>
        <w:tblW w:w="9545" w:type="dxa"/>
        <w:tblInd w:w="93" w:type="dxa"/>
        <w:tblLayout w:type="fixed"/>
        <w:tblLook w:val="04A0" w:firstRow="1" w:lastRow="0" w:firstColumn="1" w:lastColumn="0" w:noHBand="0" w:noVBand="1"/>
      </w:tblPr>
      <w:tblGrid>
        <w:gridCol w:w="3425"/>
        <w:gridCol w:w="3060"/>
        <w:gridCol w:w="3060"/>
      </w:tblGrid>
      <w:tr w:rsidR="00B06E65" w:rsidRPr="00B06E65" w14:paraId="659C8C31" w14:textId="77777777" w:rsidTr="00C46D0A">
        <w:trPr>
          <w:trHeight w:val="300"/>
        </w:trPr>
        <w:tc>
          <w:tcPr>
            <w:tcW w:w="9545" w:type="dxa"/>
            <w:gridSpan w:val="3"/>
            <w:tcBorders>
              <w:top w:val="nil"/>
              <w:left w:val="nil"/>
              <w:bottom w:val="nil"/>
              <w:right w:val="nil"/>
            </w:tcBorders>
            <w:shd w:val="clear" w:color="auto" w:fill="auto"/>
            <w:noWrap/>
            <w:vAlign w:val="bottom"/>
            <w:hideMark/>
          </w:tcPr>
          <w:p w14:paraId="42417E71"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Table 1a. Correlations among both rates in the measure and a drug-disease interaction measure</w:t>
            </w:r>
            <w:r w:rsidRPr="00B06E65">
              <w:rPr>
                <w:rStyle w:val="Style1"/>
                <w:rFonts w:ascii="Arial Narrow" w:hAnsi="Arial Narrow"/>
                <w:color w:val="4F81BD" w:themeColor="accent1"/>
                <w:vertAlign w:val="superscript"/>
              </w:rPr>
              <w:t>1</w:t>
            </w:r>
          </w:p>
        </w:tc>
      </w:tr>
      <w:tr w:rsidR="00B06E65" w:rsidRPr="00B06E65" w14:paraId="210EDEC2" w14:textId="77777777" w:rsidTr="00580EC0">
        <w:trPr>
          <w:trHeight w:val="322"/>
        </w:trPr>
        <w:tc>
          <w:tcPr>
            <w:tcW w:w="34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1BB1728"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Measure</w:t>
            </w:r>
          </w:p>
        </w:tc>
        <w:tc>
          <w:tcPr>
            <w:tcW w:w="6120" w:type="dxa"/>
            <w:gridSpan w:val="2"/>
            <w:tcBorders>
              <w:top w:val="single" w:sz="8" w:space="0" w:color="auto"/>
              <w:left w:val="nil"/>
              <w:bottom w:val="single" w:sz="4" w:space="0" w:color="auto"/>
              <w:right w:val="single" w:sz="4" w:space="0" w:color="auto"/>
            </w:tcBorders>
            <w:shd w:val="clear" w:color="auto" w:fill="auto"/>
            <w:vAlign w:val="center"/>
            <w:hideMark/>
          </w:tcPr>
          <w:p w14:paraId="41742DD3"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Pearson Correlation Coefficients</w:t>
            </w:r>
          </w:p>
        </w:tc>
      </w:tr>
      <w:tr w:rsidR="00B06E65" w:rsidRPr="00B06E65" w14:paraId="67ABF0E0" w14:textId="77777777" w:rsidTr="00580EC0">
        <w:trPr>
          <w:trHeight w:val="349"/>
        </w:trPr>
        <w:tc>
          <w:tcPr>
            <w:tcW w:w="342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5284698E" w14:textId="77777777" w:rsidR="00B06E65" w:rsidRPr="00B06E65" w:rsidRDefault="00B06E65" w:rsidP="00580EC0">
            <w:pPr>
              <w:pStyle w:val="NoSpacing"/>
              <w:rPr>
                <w:rStyle w:val="Style1"/>
                <w:rFonts w:ascii="Arial Narrow" w:hAnsi="Arial Narrow"/>
                <w:color w:val="4F81BD" w:themeColor="accent1"/>
              </w:rPr>
            </w:pPr>
          </w:p>
        </w:tc>
        <w:tc>
          <w:tcPr>
            <w:tcW w:w="30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CD24574"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Rate 1: One high-risk medication</w:t>
            </w:r>
          </w:p>
        </w:tc>
        <w:tc>
          <w:tcPr>
            <w:tcW w:w="3060" w:type="dxa"/>
            <w:tcBorders>
              <w:top w:val="nil"/>
              <w:left w:val="single" w:sz="8" w:space="0" w:color="auto"/>
              <w:bottom w:val="single" w:sz="4" w:space="0" w:color="auto"/>
              <w:right w:val="single" w:sz="4" w:space="0" w:color="auto"/>
            </w:tcBorders>
            <w:shd w:val="clear" w:color="auto" w:fill="auto"/>
            <w:noWrap/>
            <w:vAlign w:val="bottom"/>
            <w:hideMark/>
          </w:tcPr>
          <w:p w14:paraId="69BF36F3"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Rate 2: Two high-risk medications</w:t>
            </w:r>
          </w:p>
        </w:tc>
      </w:tr>
      <w:tr w:rsidR="00B06E65" w:rsidRPr="00B06E65" w14:paraId="2827B6E2" w14:textId="77777777" w:rsidTr="00C46D0A">
        <w:trPr>
          <w:trHeight w:val="288"/>
        </w:trPr>
        <w:tc>
          <w:tcPr>
            <w:tcW w:w="3425" w:type="dxa"/>
            <w:tcBorders>
              <w:top w:val="nil"/>
              <w:left w:val="single" w:sz="8" w:space="0" w:color="auto"/>
              <w:bottom w:val="single" w:sz="4" w:space="0" w:color="auto"/>
              <w:right w:val="single" w:sz="4" w:space="0" w:color="auto"/>
            </w:tcBorders>
            <w:shd w:val="clear" w:color="auto" w:fill="auto"/>
            <w:noWrap/>
            <w:vAlign w:val="bottom"/>
            <w:hideMark/>
          </w:tcPr>
          <w:p w14:paraId="4A44B118"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Rate 1: One high-risk medication</w:t>
            </w:r>
          </w:p>
        </w:tc>
        <w:tc>
          <w:tcPr>
            <w:tcW w:w="3060" w:type="dxa"/>
            <w:tcBorders>
              <w:top w:val="single" w:sz="8" w:space="0" w:color="auto"/>
              <w:left w:val="nil"/>
              <w:bottom w:val="single" w:sz="4" w:space="0" w:color="auto"/>
              <w:right w:val="single" w:sz="4" w:space="0" w:color="auto"/>
            </w:tcBorders>
            <w:shd w:val="clear" w:color="auto" w:fill="D9D9D9" w:themeFill="background1" w:themeFillShade="D9"/>
            <w:noWrap/>
            <w:hideMark/>
          </w:tcPr>
          <w:p w14:paraId="484AB8E4" w14:textId="77777777" w:rsidR="00B06E65" w:rsidRPr="00B06E65" w:rsidRDefault="00B06E65" w:rsidP="00580EC0">
            <w:pPr>
              <w:pStyle w:val="NoSpacing"/>
              <w:rPr>
                <w:rStyle w:val="Style1"/>
                <w:rFonts w:ascii="Arial Narrow" w:hAnsi="Arial Narrow"/>
                <w:color w:val="4F81BD" w:themeColor="accent1"/>
              </w:rPr>
            </w:pPr>
          </w:p>
        </w:tc>
        <w:tc>
          <w:tcPr>
            <w:tcW w:w="3060" w:type="dxa"/>
            <w:tcBorders>
              <w:top w:val="single" w:sz="8" w:space="0" w:color="auto"/>
              <w:left w:val="nil"/>
              <w:bottom w:val="single" w:sz="4" w:space="0" w:color="auto"/>
              <w:right w:val="single" w:sz="4" w:space="0" w:color="auto"/>
            </w:tcBorders>
            <w:shd w:val="clear" w:color="auto" w:fill="D9D9D9" w:themeFill="background1" w:themeFillShade="D9"/>
            <w:noWrap/>
            <w:hideMark/>
          </w:tcPr>
          <w:p w14:paraId="75A3CE21" w14:textId="77777777" w:rsidR="00B06E65" w:rsidRPr="00B06E65" w:rsidRDefault="00B06E65" w:rsidP="00580EC0">
            <w:pPr>
              <w:pStyle w:val="NoSpacing"/>
              <w:rPr>
                <w:rStyle w:val="Style1"/>
                <w:rFonts w:ascii="Arial Narrow" w:hAnsi="Arial Narrow"/>
                <w:color w:val="4F81BD" w:themeColor="accent1"/>
              </w:rPr>
            </w:pPr>
          </w:p>
        </w:tc>
      </w:tr>
      <w:tr w:rsidR="00B06E65" w:rsidRPr="00B06E65" w14:paraId="25D81F77" w14:textId="77777777" w:rsidTr="00C46D0A">
        <w:trPr>
          <w:trHeight w:val="288"/>
        </w:trPr>
        <w:tc>
          <w:tcPr>
            <w:tcW w:w="3425" w:type="dxa"/>
            <w:tcBorders>
              <w:top w:val="nil"/>
              <w:left w:val="single" w:sz="8" w:space="0" w:color="auto"/>
              <w:bottom w:val="single" w:sz="4" w:space="0" w:color="auto"/>
              <w:right w:val="single" w:sz="4" w:space="0" w:color="auto"/>
            </w:tcBorders>
            <w:shd w:val="clear" w:color="auto" w:fill="auto"/>
            <w:noWrap/>
            <w:vAlign w:val="bottom"/>
            <w:hideMark/>
          </w:tcPr>
          <w:p w14:paraId="169FCF5A"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Rate 2: Two high-risk medications</w:t>
            </w:r>
          </w:p>
        </w:tc>
        <w:tc>
          <w:tcPr>
            <w:tcW w:w="3060" w:type="dxa"/>
            <w:tcBorders>
              <w:top w:val="nil"/>
              <w:left w:val="nil"/>
              <w:bottom w:val="single" w:sz="4" w:space="0" w:color="auto"/>
              <w:right w:val="single" w:sz="4" w:space="0" w:color="auto"/>
            </w:tcBorders>
            <w:shd w:val="clear" w:color="auto" w:fill="auto"/>
            <w:noWrap/>
          </w:tcPr>
          <w:p w14:paraId="0BE25B9B"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.8745</w:t>
            </w:r>
          </w:p>
        </w:tc>
        <w:tc>
          <w:tcPr>
            <w:tcW w:w="3060" w:type="dxa"/>
            <w:tcBorders>
              <w:top w:val="nil"/>
              <w:left w:val="nil"/>
              <w:bottom w:val="single" w:sz="4" w:space="0" w:color="auto"/>
              <w:right w:val="single" w:sz="4" w:space="0" w:color="auto"/>
            </w:tcBorders>
            <w:shd w:val="clear" w:color="auto" w:fill="D9D9D9" w:themeFill="background1" w:themeFillShade="D9"/>
            <w:noWrap/>
          </w:tcPr>
          <w:p w14:paraId="05E10DB9" w14:textId="77777777" w:rsidR="00B06E65" w:rsidRPr="00B06E65" w:rsidRDefault="00B06E65" w:rsidP="00580EC0">
            <w:pPr>
              <w:pStyle w:val="NoSpacing"/>
              <w:rPr>
                <w:rStyle w:val="Style1"/>
                <w:rFonts w:ascii="Arial Narrow" w:hAnsi="Arial Narrow"/>
                <w:color w:val="4F81BD" w:themeColor="accent1"/>
              </w:rPr>
            </w:pPr>
          </w:p>
        </w:tc>
      </w:tr>
      <w:tr w:rsidR="00B06E65" w:rsidRPr="00B06E65" w14:paraId="4C3467AF" w14:textId="77777777" w:rsidTr="00C46D0A">
        <w:trPr>
          <w:trHeight w:val="288"/>
        </w:trPr>
        <w:tc>
          <w:tcPr>
            <w:tcW w:w="3425" w:type="dxa"/>
            <w:tcBorders>
              <w:top w:val="nil"/>
              <w:left w:val="single" w:sz="8" w:space="0" w:color="auto"/>
              <w:bottom w:val="single" w:sz="4" w:space="0" w:color="auto"/>
              <w:right w:val="single" w:sz="4" w:space="0" w:color="auto"/>
            </w:tcBorders>
            <w:shd w:val="clear" w:color="auto" w:fill="auto"/>
            <w:noWrap/>
            <w:vAlign w:val="bottom"/>
            <w:hideMark/>
          </w:tcPr>
          <w:p w14:paraId="6F3BE6FA"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Drug-disease interaction: History of Falls</w:t>
            </w:r>
          </w:p>
        </w:tc>
        <w:tc>
          <w:tcPr>
            <w:tcW w:w="3060" w:type="dxa"/>
            <w:tcBorders>
              <w:top w:val="nil"/>
              <w:left w:val="nil"/>
              <w:bottom w:val="single" w:sz="4" w:space="0" w:color="auto"/>
              <w:right w:val="single" w:sz="4" w:space="0" w:color="auto"/>
            </w:tcBorders>
            <w:shd w:val="clear" w:color="auto" w:fill="auto"/>
            <w:noWrap/>
          </w:tcPr>
          <w:p w14:paraId="68190159"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0.307</w:t>
            </w:r>
          </w:p>
        </w:tc>
        <w:tc>
          <w:tcPr>
            <w:tcW w:w="3060" w:type="dxa"/>
            <w:tcBorders>
              <w:top w:val="nil"/>
              <w:left w:val="nil"/>
              <w:bottom w:val="single" w:sz="4" w:space="0" w:color="auto"/>
              <w:right w:val="single" w:sz="4" w:space="0" w:color="auto"/>
            </w:tcBorders>
            <w:shd w:val="clear" w:color="auto" w:fill="auto"/>
            <w:noWrap/>
          </w:tcPr>
          <w:p w14:paraId="2255AF57"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.2735</w:t>
            </w:r>
          </w:p>
        </w:tc>
      </w:tr>
      <w:tr w:rsidR="00B06E65" w:rsidRPr="00B06E65" w14:paraId="104B2414" w14:textId="77777777" w:rsidTr="00C46D0A">
        <w:trPr>
          <w:trHeight w:val="288"/>
        </w:trPr>
        <w:tc>
          <w:tcPr>
            <w:tcW w:w="3425" w:type="dxa"/>
            <w:tcBorders>
              <w:top w:val="nil"/>
              <w:left w:val="single" w:sz="8" w:space="0" w:color="auto"/>
              <w:bottom w:val="single" w:sz="4" w:space="0" w:color="auto"/>
              <w:right w:val="single" w:sz="4" w:space="0" w:color="auto"/>
            </w:tcBorders>
            <w:shd w:val="clear" w:color="auto" w:fill="auto"/>
            <w:noWrap/>
            <w:vAlign w:val="bottom"/>
            <w:hideMark/>
          </w:tcPr>
          <w:p w14:paraId="117A7E91"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Drug-disease interaction: Dementia</w:t>
            </w:r>
          </w:p>
        </w:tc>
        <w:tc>
          <w:tcPr>
            <w:tcW w:w="3060" w:type="dxa"/>
            <w:tcBorders>
              <w:top w:val="nil"/>
              <w:left w:val="nil"/>
              <w:bottom w:val="single" w:sz="4" w:space="0" w:color="auto"/>
              <w:right w:val="single" w:sz="4" w:space="0" w:color="auto"/>
            </w:tcBorders>
            <w:shd w:val="clear" w:color="auto" w:fill="auto"/>
            <w:noWrap/>
          </w:tcPr>
          <w:p w14:paraId="235639EC"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0.454</w:t>
            </w:r>
          </w:p>
        </w:tc>
        <w:tc>
          <w:tcPr>
            <w:tcW w:w="3060" w:type="dxa"/>
            <w:tcBorders>
              <w:top w:val="nil"/>
              <w:left w:val="nil"/>
              <w:bottom w:val="single" w:sz="4" w:space="0" w:color="auto"/>
              <w:right w:val="single" w:sz="4" w:space="0" w:color="auto"/>
            </w:tcBorders>
            <w:shd w:val="clear" w:color="auto" w:fill="auto"/>
            <w:noWrap/>
          </w:tcPr>
          <w:p w14:paraId="3DF8E3E2"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.4390</w:t>
            </w:r>
          </w:p>
        </w:tc>
      </w:tr>
      <w:tr w:rsidR="00B06E65" w:rsidRPr="00B06E65" w14:paraId="5B1E9BF2" w14:textId="77777777" w:rsidTr="00C46D0A">
        <w:trPr>
          <w:trHeight w:val="288"/>
        </w:trPr>
        <w:tc>
          <w:tcPr>
            <w:tcW w:w="3425" w:type="dxa"/>
            <w:tcBorders>
              <w:top w:val="nil"/>
              <w:left w:val="single" w:sz="8" w:space="0" w:color="auto"/>
              <w:bottom w:val="single" w:sz="4" w:space="0" w:color="auto"/>
              <w:right w:val="single" w:sz="4" w:space="0" w:color="auto"/>
            </w:tcBorders>
            <w:shd w:val="clear" w:color="auto" w:fill="auto"/>
            <w:noWrap/>
            <w:vAlign w:val="bottom"/>
          </w:tcPr>
          <w:p w14:paraId="2DB3D7FA"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Drug-disease interaction: Chronic Kidney Disease</w:t>
            </w:r>
          </w:p>
        </w:tc>
        <w:tc>
          <w:tcPr>
            <w:tcW w:w="3060" w:type="dxa"/>
            <w:tcBorders>
              <w:top w:val="nil"/>
              <w:left w:val="nil"/>
              <w:bottom w:val="single" w:sz="4" w:space="0" w:color="auto"/>
              <w:right w:val="single" w:sz="4" w:space="0" w:color="auto"/>
            </w:tcBorders>
            <w:shd w:val="clear" w:color="auto" w:fill="auto"/>
            <w:noWrap/>
          </w:tcPr>
          <w:p w14:paraId="67715AF3"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0.367</w:t>
            </w:r>
          </w:p>
        </w:tc>
        <w:tc>
          <w:tcPr>
            <w:tcW w:w="3060" w:type="dxa"/>
            <w:tcBorders>
              <w:top w:val="nil"/>
              <w:left w:val="nil"/>
              <w:bottom w:val="single" w:sz="4" w:space="0" w:color="auto"/>
              <w:right w:val="single" w:sz="4" w:space="0" w:color="auto"/>
            </w:tcBorders>
            <w:shd w:val="clear" w:color="auto" w:fill="auto"/>
            <w:noWrap/>
          </w:tcPr>
          <w:p w14:paraId="02BB00E9"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.3552</w:t>
            </w:r>
          </w:p>
        </w:tc>
      </w:tr>
      <w:tr w:rsidR="00B06E65" w:rsidRPr="00B06E65" w14:paraId="0F8A75BE" w14:textId="77777777" w:rsidTr="00C46D0A">
        <w:trPr>
          <w:trHeight w:val="288"/>
        </w:trPr>
        <w:tc>
          <w:tcPr>
            <w:tcW w:w="3425" w:type="dxa"/>
            <w:tcBorders>
              <w:top w:val="nil"/>
              <w:left w:val="single" w:sz="8" w:space="0" w:color="auto"/>
              <w:bottom w:val="single" w:sz="4" w:space="0" w:color="auto"/>
              <w:right w:val="single" w:sz="4" w:space="0" w:color="auto"/>
            </w:tcBorders>
            <w:shd w:val="clear" w:color="auto" w:fill="auto"/>
            <w:noWrap/>
            <w:vAlign w:val="bottom"/>
          </w:tcPr>
          <w:p w14:paraId="405180B0"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Drug-disease interaction: Total</w:t>
            </w:r>
          </w:p>
        </w:tc>
        <w:tc>
          <w:tcPr>
            <w:tcW w:w="3060" w:type="dxa"/>
            <w:tcBorders>
              <w:top w:val="nil"/>
              <w:left w:val="nil"/>
              <w:bottom w:val="single" w:sz="4" w:space="0" w:color="auto"/>
              <w:right w:val="single" w:sz="4" w:space="0" w:color="auto"/>
            </w:tcBorders>
            <w:shd w:val="clear" w:color="auto" w:fill="auto"/>
            <w:noWrap/>
          </w:tcPr>
          <w:p w14:paraId="11C2AE64"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0.386</w:t>
            </w:r>
          </w:p>
        </w:tc>
        <w:tc>
          <w:tcPr>
            <w:tcW w:w="3060" w:type="dxa"/>
            <w:tcBorders>
              <w:top w:val="nil"/>
              <w:left w:val="nil"/>
              <w:bottom w:val="single" w:sz="4" w:space="0" w:color="auto"/>
              <w:right w:val="single" w:sz="4" w:space="0" w:color="auto"/>
            </w:tcBorders>
            <w:shd w:val="clear" w:color="auto" w:fill="auto"/>
            <w:noWrap/>
          </w:tcPr>
          <w:p w14:paraId="74A8EC9F"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.3913</w:t>
            </w:r>
          </w:p>
        </w:tc>
      </w:tr>
      <w:tr w:rsidR="00B06E65" w:rsidRPr="00B06E65" w14:paraId="0CE0C65A" w14:textId="77777777" w:rsidTr="00C46D0A">
        <w:trPr>
          <w:trHeight w:val="422"/>
        </w:trPr>
        <w:tc>
          <w:tcPr>
            <w:tcW w:w="9545" w:type="dxa"/>
            <w:gridSpan w:val="3"/>
            <w:tcBorders>
              <w:top w:val="nil"/>
              <w:left w:val="nil"/>
              <w:bottom w:val="nil"/>
              <w:right w:val="nil"/>
            </w:tcBorders>
            <w:shd w:val="clear" w:color="auto" w:fill="auto"/>
            <w:noWrap/>
            <w:hideMark/>
          </w:tcPr>
          <w:p w14:paraId="4DD3B5BE"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rPr>
              <w:t>Note: All correlations are significant at p&lt;.05</w:t>
            </w:r>
          </w:p>
          <w:p w14:paraId="4DF00AF2" w14:textId="77777777" w:rsidR="00B06E65" w:rsidRPr="00B06E65" w:rsidRDefault="00B06E65" w:rsidP="00580EC0">
            <w:pPr>
              <w:pStyle w:val="NoSpacing"/>
              <w:rPr>
                <w:rStyle w:val="Style1"/>
                <w:rFonts w:ascii="Arial Narrow" w:hAnsi="Arial Narrow"/>
                <w:color w:val="4F81BD" w:themeColor="accent1"/>
              </w:rPr>
            </w:pPr>
            <w:r w:rsidRPr="00B06E65">
              <w:rPr>
                <w:rStyle w:val="Style1"/>
                <w:rFonts w:ascii="Arial Narrow" w:hAnsi="Arial Narrow"/>
                <w:color w:val="4F81BD" w:themeColor="accent1"/>
                <w:vertAlign w:val="superscript"/>
              </w:rPr>
              <w:t>1</w:t>
            </w:r>
            <w:r w:rsidRPr="00B06E65">
              <w:rPr>
                <w:rStyle w:val="Style1"/>
                <w:rFonts w:ascii="Arial Narrow" w:hAnsi="Arial Narrow"/>
                <w:color w:val="4F81BD" w:themeColor="accent1"/>
              </w:rPr>
              <w:t xml:space="preserve">The </w:t>
            </w:r>
            <w:r w:rsidRPr="00B06E65">
              <w:rPr>
                <w:rStyle w:val="Style1"/>
                <w:rFonts w:ascii="Arial Narrow" w:hAnsi="Arial Narrow"/>
                <w:i/>
                <w:color w:val="4F81BD" w:themeColor="accent1"/>
              </w:rPr>
              <w:t>Potentially Harmful Drug-Disease Interactions in the Elderly</w:t>
            </w:r>
            <w:r w:rsidRPr="00B06E65">
              <w:rPr>
                <w:rStyle w:val="Style1"/>
                <w:rFonts w:ascii="Arial Narrow" w:hAnsi="Arial Narrow"/>
                <w:color w:val="4F81BD" w:themeColor="accent1"/>
              </w:rPr>
              <w:t xml:space="preserve"> measure has four rates. The first rate assesses the percentage of patients 65 and older with a history of falls who received a high-risk medication. The second rate assesses the percentage of patients 65 and older with dementia who received a high-risk medication. The third rate assesses the percentage of patients 65 and older with chronic kidney disease who received a high-risk medication. The fourth rate is the sum of the three numerators divided by the sum of the three denominators for the three previous rates. Note: “high-risk” medications for each condition are based on recommendations in Table 3 of the American Geriatrics Society Beers Criteria.</w:t>
            </w:r>
          </w:p>
        </w:tc>
      </w:tr>
    </w:tbl>
    <w:p w14:paraId="597962DD" w14:textId="77777777" w:rsidR="00E723A5" w:rsidRPr="00092566" w:rsidRDefault="00E723A5" w:rsidP="00092566">
      <w:pPr>
        <w:autoSpaceDE w:val="0"/>
        <w:autoSpaceDN w:val="0"/>
        <w:adjustRightInd w:val="0"/>
        <w:spacing w:after="0" w:line="240" w:lineRule="auto"/>
        <w:rPr>
          <w:rFonts w:cstheme="minorHAnsi"/>
          <w:bCs/>
        </w:rPr>
      </w:pPr>
    </w:p>
    <w:p w14:paraId="0CABCFDF" w14:textId="02E8F036" w:rsidR="007422FD" w:rsidRDefault="009C7513" w:rsidP="00DB3627">
      <w:pPr>
        <w:autoSpaceDE w:val="0"/>
        <w:autoSpaceDN w:val="0"/>
        <w:adjustRightInd w:val="0"/>
        <w:spacing w:after="0" w:line="240" w:lineRule="auto"/>
        <w:rPr>
          <w:rFonts w:ascii="Calibri" w:eastAsia="Times New Roman" w:hAnsi="Calibri" w:cs="Calibri"/>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0A6386" w:rsidRPr="00E723A5">
        <w:rPr>
          <w:rFonts w:ascii="Calibri" w:eastAsia="Times New Roman" w:hAnsi="Calibri" w:cs="Calibri"/>
          <w:b/>
          <w:bCs/>
          <w:color w:val="FF0000"/>
          <w:u w:val="single"/>
        </w:rPr>
        <w:t>2020 Submission</w:t>
      </w:r>
      <w:r w:rsidR="000A6386" w:rsidRPr="00E723A5">
        <w:rPr>
          <w:rFonts w:ascii="Calibri" w:eastAsia="Times New Roman" w:hAnsi="Calibri" w:cs="Calibri"/>
        </w:rPr>
        <w:t> </w:t>
      </w:r>
    </w:p>
    <w:p w14:paraId="3D540163" w14:textId="3B152562" w:rsidR="000A6386" w:rsidRDefault="00A775FF" w:rsidP="00DB3627">
      <w:pPr>
        <w:autoSpaceDE w:val="0"/>
        <w:autoSpaceDN w:val="0"/>
        <w:adjustRightInd w:val="0"/>
        <w:spacing w:after="0" w:line="240" w:lineRule="auto"/>
        <w:rPr>
          <w:rFonts w:cstheme="minorHAnsi"/>
          <w:bCs/>
          <w:color w:val="FF0000"/>
        </w:rPr>
      </w:pPr>
      <w:r w:rsidRPr="00A775FF">
        <w:rPr>
          <w:rFonts w:cstheme="minorHAnsi"/>
          <w:bCs/>
          <w:color w:val="FF0000"/>
        </w:rPr>
        <w:t>For the purposes of this analysis and the intended use of this measure to evaluate the quality of care for members across health plans, correlation was considered high (strong) if the correlation coefficient is 0.75 to 1, moderate if 0.25 to 0.75, and low (weak) if 0 to 0.25.  </w:t>
      </w:r>
    </w:p>
    <w:p w14:paraId="5424FAA9" w14:textId="29B0F964" w:rsidR="00D62C8E" w:rsidRDefault="00D62C8E" w:rsidP="00DB3627">
      <w:pPr>
        <w:autoSpaceDE w:val="0"/>
        <w:autoSpaceDN w:val="0"/>
        <w:adjustRightInd w:val="0"/>
        <w:spacing w:after="0" w:line="240" w:lineRule="auto"/>
        <w:rPr>
          <w:rFonts w:cstheme="minorHAnsi"/>
          <w:bCs/>
          <w:color w:val="FF0000"/>
        </w:rPr>
      </w:pPr>
    </w:p>
    <w:p w14:paraId="055C3C8F" w14:textId="227B7664" w:rsidR="00D62C8E" w:rsidRPr="00817073" w:rsidRDefault="00567DCE" w:rsidP="00DB3627">
      <w:pPr>
        <w:autoSpaceDE w:val="0"/>
        <w:autoSpaceDN w:val="0"/>
        <w:adjustRightInd w:val="0"/>
        <w:spacing w:after="0" w:line="240" w:lineRule="auto"/>
        <w:rPr>
          <w:rFonts w:cstheme="minorHAnsi"/>
          <w:bCs/>
          <w:color w:val="FF0000"/>
        </w:rPr>
      </w:pPr>
      <w:r w:rsidRPr="00817073">
        <w:rPr>
          <w:rStyle w:val="normaltextrun"/>
          <w:rFonts w:ascii="Calibri" w:hAnsi="Calibri" w:cs="Calibri"/>
          <w:color w:val="FF0000"/>
          <w:shd w:val="clear" w:color="auto" w:fill="FFFFFF"/>
        </w:rPr>
        <w:t>Correlations between the </w:t>
      </w:r>
      <w:r w:rsidRPr="00817073">
        <w:rPr>
          <w:rFonts w:ascii="Calibri" w:eastAsia="Times New Roman" w:hAnsi="Calibri" w:cs="Calibri"/>
          <w:i/>
          <w:iCs/>
          <w:color w:val="FF0000"/>
        </w:rPr>
        <w:t>Use of High-Risk Medications in Older Adults</w:t>
      </w:r>
      <w:r w:rsidRPr="00817073">
        <w:rPr>
          <w:rFonts w:ascii="Calibri" w:eastAsia="Times New Roman" w:hAnsi="Calibri" w:cs="Calibri"/>
          <w:color w:val="FF0000"/>
        </w:rPr>
        <w:t xml:space="preserve"> and</w:t>
      </w:r>
      <w:r w:rsidRPr="00817073">
        <w:rPr>
          <w:rStyle w:val="normaltextrun"/>
          <w:rFonts w:ascii="Calibri" w:hAnsi="Calibri" w:cs="Calibri"/>
          <w:color w:val="FF0000"/>
          <w:shd w:val="clear" w:color="auto" w:fill="FFFFFF"/>
        </w:rPr>
        <w:t xml:space="preserve"> the </w:t>
      </w:r>
      <w:r w:rsidRPr="00817073">
        <w:rPr>
          <w:rFonts w:ascii="Calibri" w:eastAsia="Times New Roman" w:hAnsi="Calibri" w:cs="Calibri"/>
          <w:i/>
          <w:iCs/>
          <w:color w:val="FF0000"/>
        </w:rPr>
        <w:t>Potentially Harmful Drug-Disease Interactions in Older Adults</w:t>
      </w:r>
      <w:r w:rsidRPr="00817073">
        <w:rPr>
          <w:rStyle w:val="normaltextrun"/>
          <w:rFonts w:ascii="Calibri" w:hAnsi="Calibri" w:cs="Calibri"/>
          <w:i/>
          <w:iCs/>
          <w:color w:val="FF0000"/>
          <w:shd w:val="clear" w:color="auto" w:fill="FFFFFF"/>
        </w:rPr>
        <w:t> </w:t>
      </w:r>
      <w:r w:rsidRPr="00817073">
        <w:rPr>
          <w:rStyle w:val="normaltextrun"/>
          <w:rFonts w:ascii="Calibri" w:hAnsi="Calibri" w:cs="Calibri"/>
          <w:color w:val="FF0000"/>
          <w:shd w:val="clear" w:color="auto" w:fill="FFFFFF"/>
        </w:rPr>
        <w:t xml:space="preserve">measure rates were moderate. </w:t>
      </w:r>
      <w:r w:rsidR="00817073" w:rsidRPr="00817073">
        <w:rPr>
          <w:rFonts w:cstheme="minorHAnsi"/>
          <w:bCs/>
          <w:color w:val="FF0000"/>
        </w:rPr>
        <w:t xml:space="preserve">This suggests that plans that </w:t>
      </w:r>
      <w:r w:rsidR="00817073" w:rsidRPr="00817073">
        <w:rPr>
          <w:rFonts w:cstheme="minorHAnsi"/>
          <w:bCs/>
          <w:color w:val="FF0000"/>
        </w:rPr>
        <w:lastRenderedPageBreak/>
        <w:t xml:space="preserve">perform well on </w:t>
      </w:r>
      <w:r w:rsidR="00282E6F">
        <w:rPr>
          <w:rFonts w:cstheme="minorHAnsi"/>
          <w:bCs/>
          <w:color w:val="FF0000"/>
        </w:rPr>
        <w:t xml:space="preserve">the </w:t>
      </w:r>
      <w:r w:rsidR="00282E6F" w:rsidRPr="00817073">
        <w:rPr>
          <w:rFonts w:ascii="Calibri" w:eastAsia="Times New Roman" w:hAnsi="Calibri" w:cs="Calibri"/>
          <w:i/>
          <w:iCs/>
          <w:color w:val="FF0000"/>
        </w:rPr>
        <w:t>Use of High-Risk Medications in Older Adults</w:t>
      </w:r>
      <w:r w:rsidR="00282E6F" w:rsidRPr="00817073">
        <w:rPr>
          <w:rFonts w:ascii="Calibri" w:eastAsia="Times New Roman" w:hAnsi="Calibri" w:cs="Calibri"/>
          <w:color w:val="FF0000"/>
        </w:rPr>
        <w:t> </w:t>
      </w:r>
      <w:r w:rsidR="00817073" w:rsidRPr="00817073">
        <w:rPr>
          <w:rFonts w:cstheme="minorHAnsi"/>
          <w:bCs/>
          <w:color w:val="FF0000"/>
        </w:rPr>
        <w:t xml:space="preserve">measure are moderately likely to perform well on the </w:t>
      </w:r>
      <w:r w:rsidR="00817073" w:rsidRPr="00817073">
        <w:rPr>
          <w:rFonts w:ascii="Calibri" w:eastAsia="Times New Roman" w:hAnsi="Calibri" w:cs="Calibri"/>
          <w:i/>
          <w:iCs/>
          <w:color w:val="FF0000"/>
        </w:rPr>
        <w:t xml:space="preserve">Potentially Harmful Drug-Disease Interactions in Older Adults </w:t>
      </w:r>
      <w:r w:rsidR="00817073" w:rsidRPr="00817073">
        <w:rPr>
          <w:rFonts w:ascii="Calibri" w:eastAsia="Times New Roman" w:hAnsi="Calibri" w:cs="Calibri"/>
          <w:color w:val="FF0000"/>
        </w:rPr>
        <w:t>measure</w:t>
      </w:r>
      <w:r w:rsidR="00817073" w:rsidRPr="00817073">
        <w:rPr>
          <w:rFonts w:cstheme="minorHAnsi"/>
          <w:bCs/>
          <w:color w:val="FF0000"/>
        </w:rPr>
        <w:t xml:space="preserve">. </w:t>
      </w:r>
      <w:r w:rsidR="00817073" w:rsidRPr="00817073">
        <w:rPr>
          <w:rStyle w:val="normaltextrun"/>
          <w:rFonts w:ascii="Calibri" w:hAnsi="Calibri" w:cs="Calibri"/>
          <w:color w:val="FF0000"/>
          <w:shd w:val="clear" w:color="auto" w:fill="FFFFFF"/>
        </w:rPr>
        <w:t>The results indicate that th</w:t>
      </w:r>
      <w:r w:rsidR="00282E6F">
        <w:rPr>
          <w:rStyle w:val="normaltextrun"/>
          <w:rFonts w:ascii="Calibri" w:hAnsi="Calibri" w:cs="Calibri"/>
          <w:color w:val="FF0000"/>
          <w:shd w:val="clear" w:color="auto" w:fill="FFFFFF"/>
        </w:rPr>
        <w:t>e</w:t>
      </w:r>
      <w:r w:rsidR="00282E6F" w:rsidRPr="00817073">
        <w:rPr>
          <w:rStyle w:val="normaltextrun"/>
          <w:rFonts w:ascii="Calibri" w:hAnsi="Calibri" w:cs="Calibri"/>
          <w:color w:val="FF0000"/>
          <w:shd w:val="clear" w:color="auto" w:fill="FFFFFF"/>
        </w:rPr>
        <w:t xml:space="preserve"> </w:t>
      </w:r>
      <w:r w:rsidR="00817073" w:rsidRPr="00817073">
        <w:rPr>
          <w:rStyle w:val="normaltextrun"/>
          <w:rFonts w:ascii="Calibri" w:hAnsi="Calibri" w:cs="Calibri"/>
          <w:color w:val="FF0000"/>
          <w:shd w:val="clear" w:color="auto" w:fill="FFFFFF"/>
        </w:rPr>
        <w:t>measure has good validity.</w:t>
      </w:r>
    </w:p>
    <w:p w14:paraId="4F1B4A0A" w14:textId="77777777" w:rsidR="000A6386" w:rsidRPr="00A25024" w:rsidRDefault="000A6386" w:rsidP="00DB3627">
      <w:pPr>
        <w:autoSpaceDE w:val="0"/>
        <w:autoSpaceDN w:val="0"/>
        <w:adjustRightInd w:val="0"/>
        <w:spacing w:after="0" w:line="240" w:lineRule="auto"/>
        <w:rPr>
          <w:rFonts w:cstheme="minorHAnsi"/>
          <w:bCs/>
        </w:rPr>
      </w:pPr>
    </w:p>
    <w:p w14:paraId="408AC2B7" w14:textId="77777777" w:rsidR="003E1AED" w:rsidRDefault="003E1AED" w:rsidP="003E1A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265CB8D4" w14:textId="5D43B64B" w:rsidR="003E1AED" w:rsidRDefault="004434C3" w:rsidP="003E1AED">
      <w:pPr>
        <w:autoSpaceDE w:val="0"/>
        <w:autoSpaceDN w:val="0"/>
        <w:adjustRightInd w:val="0"/>
        <w:spacing w:after="0" w:line="240" w:lineRule="auto"/>
        <w:rPr>
          <w:rFonts w:cstheme="minorHAnsi"/>
          <w:bCs/>
          <w:color w:val="4F81BD" w:themeColor="accent1"/>
        </w:rPr>
      </w:pPr>
      <w:r w:rsidRPr="004434C3">
        <w:rPr>
          <w:rFonts w:cstheme="minorHAnsi"/>
          <w:bCs/>
          <w:color w:val="4F81BD" w:themeColor="accent1"/>
        </w:rPr>
        <w:t xml:space="preserve">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 The results confirmed the hypothesis that rates in the measure are correlated with each other as well as with another measure of medication safety, suggesting they represent the same underlying quality construct of prescribing inappropriate medications for patients with the corresponding illnesses. These results indicate the measure is a valid measure of a plan’s quality at managing use of high-risk medications in the elderly.  </w:t>
      </w:r>
    </w:p>
    <w:p w14:paraId="09B55382" w14:textId="77777777" w:rsidR="00BF5624" w:rsidRPr="004434C3" w:rsidRDefault="00BF5624" w:rsidP="003E1AED">
      <w:pPr>
        <w:autoSpaceDE w:val="0"/>
        <w:autoSpaceDN w:val="0"/>
        <w:adjustRightInd w:val="0"/>
        <w:spacing w:after="0" w:line="240" w:lineRule="auto"/>
        <w:rPr>
          <w:rFonts w:cstheme="minorHAnsi"/>
          <w:bCs/>
          <w:color w:val="4F81BD" w:themeColor="accent1"/>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4D43BE0"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E66993">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7A6CA8" w:rsidRDefault="00092566" w:rsidP="00DB3627">
      <w:pPr>
        <w:autoSpaceDE w:val="0"/>
        <w:autoSpaceDN w:val="0"/>
        <w:adjustRightInd w:val="0"/>
        <w:spacing w:after="0" w:line="240" w:lineRule="auto"/>
        <w:rPr>
          <w:rFonts w:cstheme="minorHAnsi"/>
          <w:bCs/>
          <w:color w:val="BFBFBF" w:themeColor="background1" w:themeShade="BF"/>
          <w:sz w:val="12"/>
        </w:rPr>
      </w:pPr>
      <w:r w:rsidRPr="007A6CA8">
        <w:rPr>
          <w:rFonts w:cstheme="minorHAnsi"/>
          <w:b/>
          <w:bCs/>
          <w:color w:val="BFBFBF" w:themeColor="background1" w:themeShade="BF"/>
        </w:rPr>
        <w:t>2b</w:t>
      </w:r>
      <w:r w:rsidR="009C7513" w:rsidRPr="007A6CA8">
        <w:rPr>
          <w:rFonts w:cstheme="minorHAnsi"/>
          <w:b/>
          <w:bCs/>
          <w:color w:val="BFBFBF" w:themeColor="background1" w:themeShade="BF"/>
        </w:rPr>
        <w:t>2</w:t>
      </w:r>
      <w:r w:rsidRPr="007A6CA8">
        <w:rPr>
          <w:rFonts w:cstheme="minorHAnsi"/>
          <w:b/>
          <w:bCs/>
          <w:color w:val="BFBFBF" w:themeColor="background1" w:themeShade="BF"/>
        </w:rPr>
        <w:t>.</w:t>
      </w:r>
      <w:r w:rsidR="00A25024" w:rsidRPr="007A6CA8">
        <w:rPr>
          <w:rFonts w:cstheme="minorHAnsi"/>
          <w:b/>
          <w:bCs/>
          <w:color w:val="BFBFBF" w:themeColor="background1" w:themeShade="BF"/>
        </w:rPr>
        <w:t>1. Describe the method of</w:t>
      </w:r>
      <w:r w:rsidR="00E672D6" w:rsidRPr="007A6CA8">
        <w:rPr>
          <w:rFonts w:cstheme="minorHAnsi"/>
          <w:b/>
          <w:bCs/>
          <w:color w:val="BFBFBF" w:themeColor="background1" w:themeShade="BF"/>
        </w:rPr>
        <w:t xml:space="preserve"> </w:t>
      </w:r>
      <w:r w:rsidR="005333CC" w:rsidRPr="007A6CA8">
        <w:rPr>
          <w:rFonts w:cstheme="minorHAnsi"/>
          <w:b/>
          <w:bCs/>
          <w:color w:val="BFBFBF" w:themeColor="background1" w:themeShade="BF"/>
        </w:rPr>
        <w:t>testing</w:t>
      </w:r>
      <w:r w:rsidR="00833325" w:rsidRPr="007A6CA8">
        <w:rPr>
          <w:rFonts w:cstheme="minorHAnsi"/>
          <w:b/>
          <w:bCs/>
          <w:color w:val="BFBFBF" w:themeColor="background1" w:themeShade="BF"/>
        </w:rPr>
        <w:t xml:space="preserve"> </w:t>
      </w:r>
      <w:r w:rsidR="004B6CEE" w:rsidRPr="007A6CA8">
        <w:rPr>
          <w:rFonts w:cstheme="minorHAnsi"/>
          <w:b/>
          <w:bCs/>
          <w:color w:val="BFBFBF" w:themeColor="background1" w:themeShade="BF"/>
        </w:rPr>
        <w:t xml:space="preserve">exclusions </w:t>
      </w:r>
      <w:r w:rsidR="00A25024" w:rsidRPr="007A6CA8">
        <w:rPr>
          <w:rFonts w:cstheme="minorHAnsi"/>
          <w:b/>
          <w:bCs/>
          <w:color w:val="BFBFBF" w:themeColor="background1" w:themeShade="BF"/>
        </w:rPr>
        <w:t>and what it tests</w:t>
      </w:r>
      <w:r w:rsidR="00833325" w:rsidRPr="007A6CA8">
        <w:rPr>
          <w:rFonts w:cstheme="minorHAnsi"/>
          <w:bCs/>
          <w:color w:val="BFBFBF" w:themeColor="background1" w:themeShade="BF"/>
        </w:rPr>
        <w:t xml:space="preserve"> (</w:t>
      </w:r>
      <w:r w:rsidR="00A25024" w:rsidRPr="007A6CA8">
        <w:rPr>
          <w:rFonts w:cstheme="minorHAnsi"/>
          <w:bCs/>
          <w:i/>
          <w:color w:val="BFBFBF" w:themeColor="background1" w:themeShade="BF"/>
        </w:rPr>
        <w:t>describe the steps―do not just name a method; what was tested, e.g., whether exclusions affect overall performance scores</w:t>
      </w:r>
      <w:r w:rsidR="0022691B" w:rsidRPr="007A6CA8">
        <w:rPr>
          <w:rFonts w:cstheme="minorHAnsi"/>
          <w:bCs/>
          <w:i/>
          <w:color w:val="BFBFBF" w:themeColor="background1" w:themeShade="BF"/>
        </w:rPr>
        <w:t>; what statistical analysis was used</w:t>
      </w:r>
      <w:r w:rsidR="00833325" w:rsidRPr="007A6CA8">
        <w:rPr>
          <w:rFonts w:cstheme="minorHAnsi"/>
          <w:bCs/>
          <w:color w:val="BFBFBF" w:themeColor="background1" w:themeShade="BF"/>
        </w:rPr>
        <w:t>)</w:t>
      </w:r>
      <w:r w:rsidR="00833325" w:rsidRPr="007A6CA8">
        <w:rPr>
          <w:rFonts w:cstheme="minorHAnsi"/>
          <w:bCs/>
          <w:color w:val="BFBFBF" w:themeColor="background1" w:themeShade="BF"/>
        </w:rPr>
        <w:br/>
        <w:t xml:space="preserve"> </w:t>
      </w:r>
    </w:p>
    <w:p w14:paraId="0CABCFE5" w14:textId="77777777" w:rsidR="00833325" w:rsidRPr="007A6CA8" w:rsidRDefault="00833325" w:rsidP="00DB3627">
      <w:pPr>
        <w:autoSpaceDE w:val="0"/>
        <w:autoSpaceDN w:val="0"/>
        <w:adjustRightInd w:val="0"/>
        <w:spacing w:after="0" w:line="240" w:lineRule="auto"/>
        <w:rPr>
          <w:rFonts w:cstheme="minorHAnsi"/>
          <w:bCs/>
          <w:color w:val="BFBFBF" w:themeColor="background1" w:themeShade="BF"/>
        </w:rPr>
      </w:pPr>
    </w:p>
    <w:p w14:paraId="0CABCFE6" w14:textId="38532CDE" w:rsidR="007422FD" w:rsidRPr="007A6CA8" w:rsidRDefault="00092566" w:rsidP="00092566">
      <w:pPr>
        <w:autoSpaceDE w:val="0"/>
        <w:autoSpaceDN w:val="0"/>
        <w:adjustRightInd w:val="0"/>
        <w:spacing w:after="0" w:line="240" w:lineRule="auto"/>
        <w:rPr>
          <w:rFonts w:cstheme="minorHAnsi"/>
          <w:bCs/>
          <w:color w:val="BFBFBF" w:themeColor="background1" w:themeShade="BF"/>
        </w:rPr>
      </w:pPr>
      <w:r w:rsidRPr="007A6CA8">
        <w:rPr>
          <w:rFonts w:cstheme="minorHAnsi"/>
          <w:b/>
          <w:bCs/>
          <w:color w:val="BFBFBF" w:themeColor="background1" w:themeShade="BF"/>
        </w:rPr>
        <w:t>2b</w:t>
      </w:r>
      <w:r w:rsidR="009C7513" w:rsidRPr="007A6CA8">
        <w:rPr>
          <w:rFonts w:cstheme="minorHAnsi"/>
          <w:b/>
          <w:bCs/>
          <w:color w:val="BFBFBF" w:themeColor="background1" w:themeShade="BF"/>
        </w:rPr>
        <w:t>2</w:t>
      </w:r>
      <w:r w:rsidRPr="007A6CA8">
        <w:rPr>
          <w:rFonts w:cstheme="minorHAnsi"/>
          <w:b/>
          <w:bCs/>
          <w:color w:val="BFBFBF" w:themeColor="background1" w:themeShade="BF"/>
        </w:rPr>
        <w:t>.</w:t>
      </w:r>
      <w:r w:rsidR="00A25024" w:rsidRPr="007A6CA8">
        <w:rPr>
          <w:rFonts w:cstheme="minorHAnsi"/>
          <w:b/>
          <w:bCs/>
          <w:color w:val="BFBFBF" w:themeColor="background1" w:themeShade="BF"/>
        </w:rPr>
        <w:t xml:space="preserve">2. </w:t>
      </w:r>
      <w:r w:rsidR="00833325" w:rsidRPr="007A6CA8">
        <w:rPr>
          <w:rFonts w:cstheme="minorHAnsi"/>
          <w:b/>
          <w:bCs/>
          <w:color w:val="BFBFBF" w:themeColor="background1" w:themeShade="BF"/>
        </w:rPr>
        <w:t xml:space="preserve">What were the statistical results </w:t>
      </w:r>
      <w:r w:rsidR="007422FD" w:rsidRPr="007A6CA8">
        <w:rPr>
          <w:rFonts w:cstheme="minorHAnsi"/>
          <w:b/>
          <w:bCs/>
          <w:color w:val="BFBFBF" w:themeColor="background1" w:themeShade="BF"/>
        </w:rPr>
        <w:t>from testing exclusions</w:t>
      </w:r>
      <w:r w:rsidR="00833325" w:rsidRPr="007A6CA8">
        <w:rPr>
          <w:rFonts w:cstheme="minorHAnsi"/>
          <w:bCs/>
          <w:color w:val="BFBFBF" w:themeColor="background1" w:themeShade="BF"/>
        </w:rPr>
        <w:t>?</w:t>
      </w:r>
      <w:r w:rsidR="000B2DF7" w:rsidRPr="007A6CA8">
        <w:rPr>
          <w:rFonts w:cstheme="minorHAnsi"/>
          <w:bCs/>
          <w:color w:val="BFBFBF" w:themeColor="background1" w:themeShade="BF"/>
        </w:rPr>
        <w:t xml:space="preserve"> (</w:t>
      </w:r>
      <w:r w:rsidR="000B2DF7" w:rsidRPr="007A6CA8">
        <w:rPr>
          <w:rFonts w:cstheme="minorHAnsi"/>
          <w:bCs/>
          <w:i/>
          <w:color w:val="BFBFBF" w:themeColor="background1" w:themeShade="BF"/>
        </w:rPr>
        <w:t xml:space="preserve">include </w:t>
      </w:r>
      <w:r w:rsidR="00356BAD" w:rsidRPr="007A6CA8">
        <w:rPr>
          <w:rFonts w:cstheme="minorHAnsi"/>
          <w:bCs/>
          <w:i/>
          <w:color w:val="BFBFBF" w:themeColor="background1" w:themeShade="BF"/>
        </w:rPr>
        <w:t xml:space="preserve">overall </w:t>
      </w:r>
      <w:r w:rsidR="000B2DF7" w:rsidRPr="007A6CA8">
        <w:rPr>
          <w:rFonts w:cstheme="minorHAnsi"/>
          <w:bCs/>
          <w:i/>
          <w:color w:val="BFBFBF" w:themeColor="background1" w:themeShade="BF"/>
        </w:rPr>
        <w:t>number and percentage of individuals excluded</w:t>
      </w:r>
      <w:r w:rsidR="0025762F" w:rsidRPr="007A6CA8">
        <w:rPr>
          <w:rFonts w:cstheme="minorHAnsi"/>
          <w:bCs/>
          <w:i/>
          <w:color w:val="BFBFBF" w:themeColor="background1" w:themeShade="BF"/>
        </w:rPr>
        <w:t>, frequency distribution of exclusions across measured entities,</w:t>
      </w:r>
      <w:r w:rsidR="000B2DF7" w:rsidRPr="007A6CA8">
        <w:rPr>
          <w:rFonts w:cstheme="minorHAnsi"/>
          <w:bCs/>
          <w:i/>
          <w:color w:val="BFBFBF" w:themeColor="background1" w:themeShade="BF"/>
        </w:rPr>
        <w:t xml:space="preserve"> and impact on performance measure scores</w:t>
      </w:r>
      <w:r w:rsidR="000B2DF7" w:rsidRPr="007A6CA8">
        <w:rPr>
          <w:rFonts w:cstheme="minorHAnsi"/>
          <w:bCs/>
          <w:color w:val="BFBFBF" w:themeColor="background1" w:themeShade="BF"/>
        </w:rPr>
        <w:t>)</w:t>
      </w:r>
      <w:r w:rsidR="00833325" w:rsidRPr="007A6CA8">
        <w:rPr>
          <w:rFonts w:cstheme="minorHAnsi"/>
          <w:bCs/>
          <w:color w:val="BFBFBF" w:themeColor="background1" w:themeShade="BF"/>
        </w:rPr>
        <w:br/>
      </w:r>
    </w:p>
    <w:p w14:paraId="0CABCFE7" w14:textId="77777777" w:rsidR="00092566" w:rsidRPr="007A6CA8" w:rsidRDefault="00092566" w:rsidP="00092566">
      <w:pPr>
        <w:autoSpaceDE w:val="0"/>
        <w:autoSpaceDN w:val="0"/>
        <w:adjustRightInd w:val="0"/>
        <w:spacing w:after="0" w:line="240" w:lineRule="auto"/>
        <w:rPr>
          <w:rFonts w:cstheme="minorHAnsi"/>
          <w:bCs/>
          <w:color w:val="BFBFBF" w:themeColor="background1" w:themeShade="BF"/>
          <w:sz w:val="12"/>
        </w:rPr>
      </w:pPr>
    </w:p>
    <w:p w14:paraId="0CABCFE8" w14:textId="06255C2C" w:rsidR="007422FD" w:rsidRPr="00A25024" w:rsidRDefault="00092566" w:rsidP="00DB3627">
      <w:pPr>
        <w:autoSpaceDE w:val="0"/>
        <w:autoSpaceDN w:val="0"/>
        <w:adjustRightInd w:val="0"/>
        <w:spacing w:after="0" w:line="240" w:lineRule="auto"/>
        <w:rPr>
          <w:rFonts w:cstheme="minorHAnsi"/>
          <w:bCs/>
        </w:rPr>
      </w:pPr>
      <w:r w:rsidRPr="007A6CA8">
        <w:rPr>
          <w:rFonts w:cstheme="minorHAnsi"/>
          <w:b/>
          <w:bCs/>
          <w:color w:val="BFBFBF" w:themeColor="background1" w:themeShade="BF"/>
        </w:rPr>
        <w:t>2b</w:t>
      </w:r>
      <w:r w:rsidR="009C7513" w:rsidRPr="007A6CA8">
        <w:rPr>
          <w:rFonts w:cstheme="minorHAnsi"/>
          <w:b/>
          <w:bCs/>
          <w:color w:val="BFBFBF" w:themeColor="background1" w:themeShade="BF"/>
        </w:rPr>
        <w:t>2</w:t>
      </w:r>
      <w:r w:rsidRPr="007A6CA8">
        <w:rPr>
          <w:rFonts w:cstheme="minorHAnsi"/>
          <w:b/>
          <w:bCs/>
          <w:color w:val="BFBFBF" w:themeColor="background1" w:themeShade="BF"/>
        </w:rPr>
        <w:t>.</w:t>
      </w:r>
      <w:r w:rsidR="00A25024" w:rsidRPr="007A6CA8">
        <w:rPr>
          <w:rFonts w:cstheme="minorHAnsi"/>
          <w:b/>
          <w:bCs/>
          <w:color w:val="BFBFBF" w:themeColor="background1" w:themeShade="BF"/>
        </w:rPr>
        <w:t xml:space="preserve">3. </w:t>
      </w:r>
      <w:r w:rsidR="000B2DF7" w:rsidRPr="007A6CA8">
        <w:rPr>
          <w:rFonts w:cstheme="minorHAnsi"/>
          <w:b/>
          <w:bCs/>
          <w:color w:val="BFBFBF" w:themeColor="background1" w:themeShade="BF"/>
        </w:rPr>
        <w:t xml:space="preserve">What is your interpretation of the results </w:t>
      </w:r>
      <w:r w:rsidR="007422FD" w:rsidRPr="007A6CA8">
        <w:rPr>
          <w:rFonts w:cstheme="minorHAnsi"/>
          <w:b/>
          <w:bCs/>
          <w:color w:val="BFBFBF" w:themeColor="background1" w:themeShade="BF"/>
        </w:rPr>
        <w:t xml:space="preserve">in terms of </w:t>
      </w:r>
      <w:r w:rsidR="00713394" w:rsidRPr="007A6CA8">
        <w:rPr>
          <w:rFonts w:cstheme="minorHAnsi"/>
          <w:b/>
          <w:bCs/>
          <w:color w:val="BFBFBF" w:themeColor="background1" w:themeShade="BF"/>
        </w:rPr>
        <w:t>demonstrating</w:t>
      </w:r>
      <w:r w:rsidR="007422FD" w:rsidRPr="007A6CA8">
        <w:rPr>
          <w:rFonts w:cstheme="minorHAnsi"/>
          <w:b/>
          <w:bCs/>
          <w:color w:val="BFBFBF" w:themeColor="background1" w:themeShade="BF"/>
        </w:rPr>
        <w:t xml:space="preserve"> </w:t>
      </w:r>
      <w:r w:rsidR="00713394" w:rsidRPr="007A6CA8">
        <w:rPr>
          <w:rFonts w:cstheme="minorHAnsi"/>
          <w:b/>
          <w:bCs/>
          <w:color w:val="BFBFBF" w:themeColor="background1" w:themeShade="BF"/>
        </w:rPr>
        <w:t>that exclusions are needed to prevent unfair distortion of performance results</w:t>
      </w:r>
      <w:r w:rsidR="007422FD" w:rsidRPr="007A6CA8">
        <w:rPr>
          <w:rFonts w:cstheme="minorHAnsi"/>
          <w:b/>
          <w:bCs/>
          <w:color w:val="BFBFBF" w:themeColor="background1" w:themeShade="BF"/>
        </w:rPr>
        <w:t>?</w:t>
      </w:r>
      <w:r w:rsidR="007422FD" w:rsidRPr="007A6CA8">
        <w:rPr>
          <w:rFonts w:cstheme="minorHAnsi"/>
          <w:bCs/>
          <w:color w:val="BFBFBF" w:themeColor="background1" w:themeShade="BF"/>
        </w:rPr>
        <w:t xml:space="preserve"> </w:t>
      </w:r>
      <w:r w:rsidR="000B2DF7" w:rsidRPr="007A6CA8">
        <w:rPr>
          <w:rFonts w:cstheme="minorHAnsi"/>
          <w:bCs/>
          <w:color w:val="BFBFBF" w:themeColor="background1" w:themeShade="BF"/>
        </w:rPr>
        <w:t>(</w:t>
      </w:r>
      <w:r w:rsidR="00713394" w:rsidRPr="007A6CA8">
        <w:rPr>
          <w:rFonts w:cstheme="minorHAnsi"/>
          <w:bCs/>
          <w:i/>
          <w:color w:val="BFBFBF" w:themeColor="background1" w:themeShade="BF"/>
        </w:rPr>
        <w:t>i.e.,</w:t>
      </w:r>
      <w:r w:rsidR="000B2DF7" w:rsidRPr="007A6CA8">
        <w:rPr>
          <w:rFonts w:cstheme="minorHAnsi"/>
          <w:bCs/>
          <w:i/>
          <w:color w:val="BFBFBF" w:themeColor="background1" w:themeShade="BF"/>
        </w:rPr>
        <w:t xml:space="preserve"> the value </w:t>
      </w:r>
      <w:r w:rsidR="00713394" w:rsidRPr="007A6CA8">
        <w:rPr>
          <w:rFonts w:cstheme="minorHAnsi"/>
          <w:bCs/>
          <w:i/>
          <w:color w:val="BFBFBF" w:themeColor="background1" w:themeShade="BF"/>
        </w:rPr>
        <w:t>outweighs the</w:t>
      </w:r>
      <w:r w:rsidR="000B2DF7" w:rsidRPr="007A6CA8">
        <w:rPr>
          <w:rFonts w:cstheme="minorHAnsi"/>
          <w:bCs/>
          <w:i/>
          <w:color w:val="BFBFBF" w:themeColor="background1" w:themeShade="BF"/>
        </w:rPr>
        <w:t xml:space="preserve"> burden of increased data collection and analysi</w:t>
      </w:r>
      <w:r w:rsidR="00CC086A" w:rsidRPr="007A6CA8">
        <w:rPr>
          <w:rFonts w:cstheme="minorHAnsi"/>
          <w:bCs/>
          <w:i/>
          <w:color w:val="BFBFBF" w:themeColor="background1" w:themeShade="BF"/>
        </w:rPr>
        <w:t xml:space="preserve">s. </w:t>
      </w:r>
      <w:r w:rsidR="00713394" w:rsidRPr="007A6CA8">
        <w:rPr>
          <w:rFonts w:cstheme="minorHAnsi"/>
          <w:bCs/>
          <w:color w:val="BFBFBF" w:themeColor="background1" w:themeShade="BF"/>
        </w:rPr>
        <w:t xml:space="preserve"> </w:t>
      </w:r>
      <w:r w:rsidR="00713394" w:rsidRPr="007A6CA8">
        <w:rPr>
          <w:rFonts w:cstheme="minorHAnsi"/>
          <w:bCs/>
          <w:i/>
          <w:color w:val="BFBFBF" w:themeColor="background1" w:themeShade="BF"/>
          <w:u w:val="single"/>
        </w:rPr>
        <w:t>Note</w:t>
      </w:r>
      <w:r w:rsidR="00713394" w:rsidRPr="007A6CA8">
        <w:rPr>
          <w:rFonts w:cstheme="minorHAnsi"/>
          <w:bCs/>
          <w:i/>
          <w:color w:val="BFBFBF" w:themeColor="background1" w:themeShade="BF"/>
        </w:rPr>
        <w:t xml:space="preserve">: </w:t>
      </w:r>
      <w:r w:rsidR="00713394" w:rsidRPr="007A6CA8">
        <w:rPr>
          <w:rFonts w:cstheme="minorHAnsi"/>
          <w:b/>
          <w:bCs/>
          <w:i/>
          <w:color w:val="BFBFBF" w:themeColor="background1" w:themeShade="BF"/>
        </w:rPr>
        <w:t>If patient preference is an exclusion</w:t>
      </w:r>
      <w:r w:rsidR="00713394" w:rsidRPr="007A6CA8">
        <w:rPr>
          <w:rFonts w:cstheme="minorHAnsi"/>
          <w:bCs/>
          <w:i/>
          <w:color w:val="BFBFBF" w:themeColor="background1" w:themeShade="BF"/>
        </w:rPr>
        <w:t>, the measure must be specified so that the effect on the performance score is transparent, e.g., scores with and without exclusion</w:t>
      </w:r>
      <w:r w:rsidR="00713394" w:rsidRPr="007A6CA8">
        <w:rPr>
          <w:rFonts w:cstheme="minorHAnsi"/>
          <w:bCs/>
          <w:color w:val="BFBFBF" w:themeColor="background1" w:themeShade="BF"/>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6506FF6E" w14:textId="77777777" w:rsidR="00BB4750" w:rsidRPr="00BB4750" w:rsidRDefault="00BB4750" w:rsidP="00BB4750">
      <w:pPr>
        <w:spacing w:after="0" w:line="240" w:lineRule="auto"/>
        <w:textAlignment w:val="baseline"/>
        <w:rPr>
          <w:rFonts w:ascii="Segoe UI" w:eastAsia="Times New Roman" w:hAnsi="Segoe UI" w:cs="Segoe UI"/>
          <w:sz w:val="18"/>
          <w:szCs w:val="18"/>
        </w:rPr>
      </w:pPr>
      <w:r w:rsidRPr="00BB4750">
        <w:rPr>
          <w:rFonts w:ascii="Calibri" w:eastAsia="Times New Roman" w:hAnsi="Calibri" w:cs="Calibri"/>
          <w:b/>
          <w:bCs/>
          <w:color w:val="FF0000"/>
          <w:u w:val="single"/>
        </w:rPr>
        <w:t>2020 Submission</w:t>
      </w:r>
      <w:r w:rsidRPr="00BB4750">
        <w:rPr>
          <w:rFonts w:ascii="Calibri" w:eastAsia="Times New Roman" w:hAnsi="Calibri" w:cs="Calibri"/>
          <w:color w:val="FF0000"/>
        </w:rPr>
        <w:t> </w:t>
      </w:r>
      <w:r w:rsidRPr="00BB4750">
        <w:rPr>
          <w:rFonts w:ascii="Calibri" w:eastAsia="Times New Roman" w:hAnsi="Calibri" w:cs="Calibri"/>
        </w:rPr>
        <w:t> </w:t>
      </w:r>
    </w:p>
    <w:p w14:paraId="5881FC18" w14:textId="5A28E990" w:rsidR="00BB4750" w:rsidRDefault="00BB4750" w:rsidP="00BB4750">
      <w:pPr>
        <w:spacing w:after="0" w:line="240" w:lineRule="auto"/>
        <w:textAlignment w:val="baseline"/>
        <w:rPr>
          <w:rFonts w:ascii="Calibri" w:eastAsia="Times New Roman" w:hAnsi="Calibri" w:cs="Calibri"/>
        </w:rPr>
      </w:pPr>
      <w:r w:rsidRPr="00BB4750">
        <w:rPr>
          <w:rFonts w:ascii="Calibri" w:eastAsia="Times New Roman" w:hAnsi="Calibri" w:cs="Calibri"/>
          <w:color w:val="FF0000"/>
        </w:rPr>
        <w:t>N/A. Not an intermediate or health outcome, PRO-PM, or resource use measure. </w:t>
      </w:r>
      <w:r w:rsidRPr="00BB4750">
        <w:rPr>
          <w:rFonts w:ascii="Calibri" w:eastAsia="Times New Roman" w:hAnsi="Calibri" w:cs="Calibri"/>
        </w:rPr>
        <w:t> </w:t>
      </w:r>
    </w:p>
    <w:p w14:paraId="48999943" w14:textId="77777777" w:rsidR="00DC44B7" w:rsidRDefault="00DC44B7" w:rsidP="00DC44B7">
      <w:pPr>
        <w:pStyle w:val="paragraph"/>
        <w:spacing w:before="0" w:beforeAutospacing="0" w:after="0" w:afterAutospacing="0"/>
        <w:textAlignment w:val="baseline"/>
        <w:rPr>
          <w:rStyle w:val="normaltextrun"/>
          <w:rFonts w:ascii="Calibri" w:hAnsi="Calibri" w:cs="Calibri"/>
          <w:b/>
          <w:bCs/>
          <w:color w:val="4F81BD"/>
          <w:sz w:val="22"/>
          <w:szCs w:val="22"/>
          <w:u w:val="single"/>
        </w:rPr>
      </w:pPr>
    </w:p>
    <w:p w14:paraId="6E951878" w14:textId="3A9A32BF" w:rsidR="00DC44B7" w:rsidRPr="00BB4750" w:rsidRDefault="00DC44B7" w:rsidP="00DC44B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52CDFAA5" w14:textId="77777777" w:rsidR="009F1E33" w:rsidRPr="009F1E33" w:rsidRDefault="009F1E33" w:rsidP="00092566">
      <w:pPr>
        <w:autoSpaceDE w:val="0"/>
        <w:autoSpaceDN w:val="0"/>
        <w:adjustRightInd w:val="0"/>
        <w:spacing w:after="0" w:line="240" w:lineRule="auto"/>
        <w:rPr>
          <w:rFonts w:cstheme="minorHAnsi"/>
          <w:color w:val="4F81BD" w:themeColor="accent1"/>
        </w:rPr>
      </w:pPr>
    </w:p>
    <w:p w14:paraId="0CABCFEC" w14:textId="166E6E8B" w:rsidR="00743E46" w:rsidRPr="007A6CA8" w:rsidRDefault="00092566" w:rsidP="00092566">
      <w:pPr>
        <w:autoSpaceDE w:val="0"/>
        <w:autoSpaceDN w:val="0"/>
        <w:adjustRightInd w:val="0"/>
        <w:spacing w:after="0" w:line="240" w:lineRule="auto"/>
        <w:rPr>
          <w:rFonts w:cstheme="minorHAnsi"/>
          <w:b/>
          <w:bCs/>
          <w:color w:val="BFBFBF" w:themeColor="background1" w:themeShade="BF"/>
        </w:rPr>
      </w:pPr>
      <w:r w:rsidRPr="007A6CA8">
        <w:rPr>
          <w:rFonts w:cstheme="minorHAnsi"/>
          <w:b/>
          <w:bCs/>
          <w:color w:val="BFBFBF" w:themeColor="background1" w:themeShade="BF"/>
        </w:rPr>
        <w:t>2b</w:t>
      </w:r>
      <w:r w:rsidR="009C7513" w:rsidRPr="007A6CA8">
        <w:rPr>
          <w:rFonts w:cstheme="minorHAnsi"/>
          <w:b/>
          <w:bCs/>
          <w:color w:val="BFBFBF" w:themeColor="background1" w:themeShade="BF"/>
        </w:rPr>
        <w:t>3</w:t>
      </w:r>
      <w:r w:rsidRPr="007A6CA8">
        <w:rPr>
          <w:rFonts w:cstheme="minorHAnsi"/>
          <w:b/>
          <w:bCs/>
          <w:color w:val="BFBFBF" w:themeColor="background1" w:themeShade="BF"/>
        </w:rPr>
        <w:t xml:space="preserve">.1. </w:t>
      </w:r>
      <w:r w:rsidR="00743E46" w:rsidRPr="007A6CA8">
        <w:rPr>
          <w:rFonts w:cstheme="minorHAnsi"/>
          <w:b/>
          <w:bCs/>
          <w:color w:val="BFBFBF" w:themeColor="background1" w:themeShade="BF"/>
        </w:rPr>
        <w:t>What method of controlling for differences in case mix is used?</w:t>
      </w:r>
    </w:p>
    <w:p w14:paraId="0CABCFED" w14:textId="77777777" w:rsidR="00033038" w:rsidRPr="007A6CA8" w:rsidRDefault="00EA570C"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450705013"/>
          <w14:checkbox>
            <w14:checked w14:val="0"/>
            <w14:checkedState w14:val="2612" w14:font="MS Gothic"/>
            <w14:uncheckedState w14:val="2610" w14:font="MS Gothic"/>
          </w14:checkbox>
        </w:sdtPr>
        <w:sdtEndPr/>
        <w:sdtContent>
          <w:r w:rsidR="00033038" w:rsidRPr="007A6CA8">
            <w:rPr>
              <w:rFonts w:ascii="MS Gothic" w:eastAsia="MS Gothic" w:hAnsi="MS Gothic" w:cstheme="minorHAnsi" w:hint="eastAsia"/>
              <w:bCs/>
              <w:color w:val="BFBFBF" w:themeColor="background1" w:themeShade="BF"/>
            </w:rPr>
            <w:t>☐</w:t>
          </w:r>
        </w:sdtContent>
      </w:sdt>
      <w:r w:rsidR="00033038" w:rsidRPr="007A6CA8">
        <w:rPr>
          <w:rFonts w:eastAsia="MS Mincho" w:cstheme="minorHAnsi"/>
          <w:b/>
          <w:bCs/>
          <w:color w:val="BFBFBF" w:themeColor="background1" w:themeShade="BF"/>
        </w:rPr>
        <w:t xml:space="preserve"> </w:t>
      </w:r>
      <w:r w:rsidR="00033038" w:rsidRPr="007A6CA8">
        <w:rPr>
          <w:rFonts w:cstheme="minorHAnsi"/>
          <w:b/>
          <w:bCs/>
          <w:color w:val="BFBFBF" w:themeColor="background1" w:themeShade="BF"/>
        </w:rPr>
        <w:t>No risk adjustment or stratification</w:t>
      </w:r>
    </w:p>
    <w:p w14:paraId="0CABCFEE" w14:textId="77777777" w:rsidR="00743E46" w:rsidRPr="007A6CA8" w:rsidRDefault="00EA570C"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912162535"/>
          <w14:checkbox>
            <w14:checked w14:val="0"/>
            <w14:checkedState w14:val="2612" w14:font="MS Gothic"/>
            <w14:uncheckedState w14:val="2610" w14:font="MS Gothic"/>
          </w14:checkbox>
        </w:sdtPr>
        <w:sdtEndPr/>
        <w:sdtContent>
          <w:r w:rsidR="006574D2" w:rsidRPr="007A6CA8">
            <w:rPr>
              <w:rFonts w:ascii="MS Gothic" w:eastAsia="MS Gothic" w:cstheme="minorHAnsi" w:hint="eastAsia"/>
              <w:bCs/>
              <w:color w:val="BFBFBF" w:themeColor="background1" w:themeShade="BF"/>
            </w:rPr>
            <w:t>☐</w:t>
          </w:r>
        </w:sdtContent>
      </w:sdt>
      <w:r w:rsidR="006574D2" w:rsidRPr="007A6CA8">
        <w:rPr>
          <w:rFonts w:cstheme="minorHAnsi"/>
          <w:bCs/>
          <w:color w:val="BFBFBF" w:themeColor="background1" w:themeShade="BF"/>
        </w:rPr>
        <w:t xml:space="preserve"> </w:t>
      </w:r>
      <w:r w:rsidR="00743E46" w:rsidRPr="007A6CA8">
        <w:rPr>
          <w:rFonts w:cstheme="minorHAnsi"/>
          <w:b/>
          <w:bCs/>
          <w:color w:val="BFBFBF" w:themeColor="background1" w:themeShade="BF"/>
        </w:rPr>
        <w:t xml:space="preserve">Statistical risk model with </w:t>
      </w:r>
      <w:sdt>
        <w:sdtPr>
          <w:rPr>
            <w:rStyle w:val="Style4"/>
            <w:color w:val="BFBFBF" w:themeColor="background1" w:themeShade="BF"/>
            <w:u w:val="none"/>
          </w:rPr>
          <w:id w:val="309760327"/>
          <w:showingPlcHdr/>
          <w:text/>
        </w:sdtPr>
        <w:sdtEndPr>
          <w:rPr>
            <w:rStyle w:val="DefaultParagraphFont"/>
            <w:rFonts w:asciiTheme="minorHAnsi" w:hAnsiTheme="minorHAnsi" w:cstheme="minorHAnsi"/>
            <w:b w:val="0"/>
            <w:bCs/>
          </w:rPr>
        </w:sdtEndPr>
        <w:sdtContent>
          <w:r w:rsidR="00E562C0" w:rsidRPr="007A6CA8">
            <w:rPr>
              <w:rStyle w:val="PlaceholderText"/>
              <w:color w:val="BFBFBF" w:themeColor="background1" w:themeShade="BF"/>
            </w:rPr>
            <w:t>Click here to enter number of factors</w:t>
          </w:r>
        </w:sdtContent>
      </w:sdt>
      <w:r w:rsidR="00E562C0" w:rsidRPr="007A6CA8">
        <w:rPr>
          <w:rStyle w:val="Style4"/>
          <w:color w:val="BFBFBF" w:themeColor="background1" w:themeShade="BF"/>
          <w:u w:val="none"/>
        </w:rPr>
        <w:t xml:space="preserve"> </w:t>
      </w:r>
      <w:r w:rsidR="00743E46" w:rsidRPr="007A6CA8">
        <w:rPr>
          <w:rFonts w:cstheme="minorHAnsi"/>
          <w:b/>
          <w:bCs/>
          <w:color w:val="BFBFBF" w:themeColor="background1" w:themeShade="BF"/>
        </w:rPr>
        <w:t>risk factors</w:t>
      </w:r>
    </w:p>
    <w:p w14:paraId="0CABCFEF" w14:textId="77777777" w:rsidR="00743E46" w:rsidRPr="007A6CA8" w:rsidRDefault="00EA570C"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831823302"/>
          <w14:checkbox>
            <w14:checked w14:val="0"/>
            <w14:checkedState w14:val="2612" w14:font="MS Gothic"/>
            <w14:uncheckedState w14:val="2610" w14:font="MS Gothic"/>
          </w14:checkbox>
        </w:sdtPr>
        <w:sdtEndPr/>
        <w:sdtContent>
          <w:r w:rsidR="006574D2" w:rsidRPr="007A6CA8">
            <w:rPr>
              <w:rFonts w:ascii="MS Gothic" w:eastAsia="MS Gothic" w:cstheme="minorHAnsi" w:hint="eastAsia"/>
              <w:bCs/>
              <w:color w:val="BFBFBF" w:themeColor="background1" w:themeShade="BF"/>
            </w:rPr>
            <w:t>☐</w:t>
          </w:r>
        </w:sdtContent>
      </w:sdt>
      <w:r w:rsidR="000414E8" w:rsidRPr="007A6CA8">
        <w:rPr>
          <w:rFonts w:eastAsia="MS Mincho" w:cstheme="minorHAnsi"/>
          <w:b/>
          <w:bCs/>
          <w:color w:val="BFBFBF" w:themeColor="background1" w:themeShade="BF"/>
        </w:rPr>
        <w:t xml:space="preserve"> </w:t>
      </w:r>
      <w:r w:rsidR="00743E46" w:rsidRPr="007A6CA8">
        <w:rPr>
          <w:rFonts w:cstheme="minorHAnsi"/>
          <w:b/>
          <w:bCs/>
          <w:color w:val="BFBFBF" w:themeColor="background1" w:themeShade="BF"/>
        </w:rPr>
        <w:t xml:space="preserve">Stratification by </w:t>
      </w:r>
      <w:sdt>
        <w:sdtPr>
          <w:rPr>
            <w:rStyle w:val="Style4"/>
            <w:color w:val="BFBFBF" w:themeColor="background1" w:themeShade="BF"/>
            <w:u w:val="none"/>
          </w:rPr>
          <w:id w:val="-52006544"/>
          <w:showingPlcHdr/>
          <w:text/>
        </w:sdtPr>
        <w:sdtEndPr>
          <w:rPr>
            <w:rStyle w:val="DefaultParagraphFont"/>
            <w:rFonts w:asciiTheme="minorHAnsi" w:hAnsiTheme="minorHAnsi" w:cstheme="minorHAnsi"/>
            <w:b w:val="0"/>
            <w:bCs/>
          </w:rPr>
        </w:sdtEndPr>
        <w:sdtContent>
          <w:r w:rsidR="00E562C0" w:rsidRPr="007A6CA8">
            <w:rPr>
              <w:rStyle w:val="PlaceholderText"/>
              <w:color w:val="BFBFBF" w:themeColor="background1" w:themeShade="BF"/>
            </w:rPr>
            <w:t>Click here to enter number of categories</w:t>
          </w:r>
        </w:sdtContent>
      </w:sdt>
      <w:r w:rsidR="00E562C0" w:rsidRPr="007A6CA8">
        <w:rPr>
          <w:rStyle w:val="Style4"/>
          <w:color w:val="BFBFBF" w:themeColor="background1" w:themeShade="BF"/>
          <w:u w:val="none"/>
        </w:rPr>
        <w:t xml:space="preserve"> </w:t>
      </w:r>
      <w:r w:rsidR="00C33F2E" w:rsidRPr="007A6CA8">
        <w:rPr>
          <w:rFonts w:cstheme="minorHAnsi"/>
          <w:b/>
          <w:bCs/>
          <w:color w:val="BFBFBF" w:themeColor="background1" w:themeShade="BF"/>
        </w:rPr>
        <w:t xml:space="preserve">risk </w:t>
      </w:r>
      <w:r w:rsidR="00743E46" w:rsidRPr="007A6CA8">
        <w:rPr>
          <w:rFonts w:cstheme="minorHAnsi"/>
          <w:b/>
          <w:bCs/>
          <w:color w:val="BFBFBF" w:themeColor="background1" w:themeShade="BF"/>
        </w:rPr>
        <w:t>categories</w:t>
      </w:r>
    </w:p>
    <w:p w14:paraId="0CABCFF0" w14:textId="77777777" w:rsidR="00743E46" w:rsidRPr="007A6CA8" w:rsidRDefault="00EA570C"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2076930997"/>
          <w14:checkbox>
            <w14:checked w14:val="0"/>
            <w14:checkedState w14:val="2612" w14:font="MS Gothic"/>
            <w14:uncheckedState w14:val="2610" w14:font="MS Gothic"/>
          </w14:checkbox>
        </w:sdtPr>
        <w:sdtEndPr/>
        <w:sdtContent>
          <w:r w:rsidR="006574D2" w:rsidRPr="007A6CA8">
            <w:rPr>
              <w:rFonts w:ascii="MS Gothic" w:eastAsia="MS Gothic" w:cstheme="minorHAnsi" w:hint="eastAsia"/>
              <w:bCs/>
              <w:color w:val="BFBFBF" w:themeColor="background1" w:themeShade="BF"/>
            </w:rPr>
            <w:t>☐</w:t>
          </w:r>
        </w:sdtContent>
      </w:sdt>
      <w:r w:rsidR="000414E8" w:rsidRPr="007A6CA8">
        <w:rPr>
          <w:rFonts w:eastAsia="MS Mincho" w:cstheme="minorHAnsi"/>
          <w:b/>
          <w:bCs/>
          <w:color w:val="BFBFBF" w:themeColor="background1" w:themeShade="BF"/>
        </w:rPr>
        <w:t xml:space="preserve"> </w:t>
      </w:r>
      <w:r w:rsidR="00743E46" w:rsidRPr="007A6CA8">
        <w:rPr>
          <w:rFonts w:cstheme="minorHAnsi"/>
          <w:b/>
          <w:bCs/>
          <w:color w:val="BFBFBF" w:themeColor="background1" w:themeShade="BF"/>
        </w:rPr>
        <w:t xml:space="preserve">Other, </w:t>
      </w:r>
      <w:sdt>
        <w:sdtPr>
          <w:rPr>
            <w:rStyle w:val="Style1"/>
            <w:color w:val="BFBFBF" w:themeColor="background1" w:themeShade="BF"/>
          </w:rPr>
          <w:id w:val="-1471512333"/>
          <w:showingPlcHdr/>
          <w:text/>
        </w:sdtPr>
        <w:sdtEndPr>
          <w:rPr>
            <w:rStyle w:val="DefaultParagraphFont"/>
            <w:rFonts w:cstheme="minorHAnsi"/>
            <w:b/>
            <w:bCs/>
          </w:rPr>
        </w:sdtEndPr>
        <w:sdtContent>
          <w:r w:rsidR="00E562C0" w:rsidRPr="007A6CA8">
            <w:rPr>
              <w:rStyle w:val="PlaceholderText"/>
              <w:color w:val="BFBFBF" w:themeColor="background1" w:themeShade="BF"/>
            </w:rPr>
            <w:t>Click here to enter description</w:t>
          </w:r>
        </w:sdtContent>
      </w:sdt>
    </w:p>
    <w:p w14:paraId="0CABCFF1" w14:textId="77777777" w:rsidR="00743E46" w:rsidRPr="007A6CA8" w:rsidRDefault="00743E46" w:rsidP="00092566">
      <w:pPr>
        <w:autoSpaceDE w:val="0"/>
        <w:autoSpaceDN w:val="0"/>
        <w:adjustRightInd w:val="0"/>
        <w:spacing w:after="0" w:line="240" w:lineRule="auto"/>
        <w:rPr>
          <w:rFonts w:cstheme="minorHAnsi"/>
          <w:b/>
          <w:bCs/>
          <w:color w:val="BFBFBF" w:themeColor="background1" w:themeShade="BF"/>
        </w:rPr>
      </w:pPr>
    </w:p>
    <w:p w14:paraId="0CABCFF2" w14:textId="7B192693" w:rsidR="00092566" w:rsidRPr="007A6CA8" w:rsidRDefault="000B7D57" w:rsidP="00F34FAB">
      <w:pPr>
        <w:autoSpaceDE w:val="0"/>
        <w:autoSpaceDN w:val="0"/>
        <w:adjustRightInd w:val="0"/>
        <w:spacing w:after="0" w:line="240" w:lineRule="auto"/>
        <w:rPr>
          <w:rFonts w:cstheme="minorHAnsi"/>
          <w:bCs/>
          <w:color w:val="BFBFBF" w:themeColor="background1" w:themeShade="BF"/>
        </w:rPr>
      </w:pPr>
      <w:r w:rsidRPr="007A6CA8">
        <w:rPr>
          <w:rFonts w:cstheme="minorHAnsi"/>
          <w:b/>
          <w:bCs/>
          <w:color w:val="BFBFBF" w:themeColor="background1" w:themeShade="BF"/>
        </w:rPr>
        <w:t>2b</w:t>
      </w:r>
      <w:r w:rsidR="009C7513" w:rsidRPr="007A6CA8">
        <w:rPr>
          <w:rFonts w:cstheme="minorHAnsi"/>
          <w:b/>
          <w:bCs/>
          <w:color w:val="BFBFBF" w:themeColor="background1" w:themeShade="BF"/>
        </w:rPr>
        <w:t>3</w:t>
      </w:r>
      <w:r w:rsidRPr="007A6CA8">
        <w:rPr>
          <w:rFonts w:cstheme="minorHAnsi"/>
          <w:b/>
          <w:bCs/>
          <w:color w:val="BFBFBF" w:themeColor="background1" w:themeShade="BF"/>
        </w:rPr>
        <w:t xml:space="preserve">.1.1 </w:t>
      </w:r>
      <w:r w:rsidR="00F34FAB" w:rsidRPr="007A6CA8">
        <w:rPr>
          <w:rFonts w:ascii="Calibri" w:eastAsia="MS Mincho" w:hAnsi="Calibri" w:cs="Calibri"/>
          <w:b/>
          <w:bCs/>
          <w:color w:val="BFBFBF" w:themeColor="background1" w:themeShade="BF"/>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7A6CA8" w:rsidRDefault="00AF2D68" w:rsidP="009D3882">
      <w:pPr>
        <w:rPr>
          <w:rFonts w:cs="Calibri"/>
          <w:b/>
          <w:bCs/>
          <w:color w:val="BFBFBF" w:themeColor="background1" w:themeShade="BF"/>
        </w:rPr>
      </w:pPr>
    </w:p>
    <w:p w14:paraId="0CABCFF4" w14:textId="72F05C9F" w:rsidR="009D3882" w:rsidRPr="007A6CA8" w:rsidRDefault="009C7513" w:rsidP="009D3882">
      <w:pPr>
        <w:rPr>
          <w:rFonts w:cstheme="minorHAnsi"/>
          <w:b/>
          <w:bCs/>
          <w:color w:val="BFBFBF" w:themeColor="background1" w:themeShade="BF"/>
          <w:sz w:val="14"/>
        </w:rPr>
      </w:pPr>
      <w:r w:rsidRPr="007A6CA8">
        <w:rPr>
          <w:rFonts w:cs="Calibri"/>
          <w:b/>
          <w:bCs/>
          <w:color w:val="BFBFBF" w:themeColor="background1" w:themeShade="BF"/>
        </w:rPr>
        <w:t>2b3</w:t>
      </w:r>
      <w:r w:rsidR="009D3882" w:rsidRPr="007A6CA8">
        <w:rPr>
          <w:rFonts w:cs="Calibri"/>
          <w:b/>
          <w:bCs/>
          <w:color w:val="BFBFBF" w:themeColor="background1" w:themeShade="BF"/>
        </w:rPr>
        <w:t xml:space="preserve">.2. If an outcome or resource use component measure is </w:t>
      </w:r>
      <w:r w:rsidR="009D3882" w:rsidRPr="007A6CA8">
        <w:rPr>
          <w:rFonts w:cs="Calibri"/>
          <w:b/>
          <w:bCs/>
          <w:color w:val="BFBFBF" w:themeColor="background1" w:themeShade="BF"/>
          <w:u w:val="single"/>
        </w:rPr>
        <w:t>not risk adjusted or stratified</w:t>
      </w:r>
      <w:r w:rsidR="009D3882" w:rsidRPr="007A6CA8">
        <w:rPr>
          <w:rFonts w:cs="Calibri"/>
          <w:b/>
          <w:bCs/>
          <w:color w:val="BFBFBF" w:themeColor="background1" w:themeShade="BF"/>
        </w:rPr>
        <w:t xml:space="preserve">, provide </w:t>
      </w:r>
      <w:r w:rsidR="009D3882" w:rsidRPr="007A6CA8">
        <w:rPr>
          <w:rFonts w:cs="Calibri"/>
          <w:b/>
          <w:bCs/>
          <w:color w:val="BFBFBF" w:themeColor="background1" w:themeShade="BF"/>
          <w:u w:val="single"/>
        </w:rPr>
        <w:t>rationale and analyses</w:t>
      </w:r>
      <w:r w:rsidR="009D3882" w:rsidRPr="007A6CA8">
        <w:rPr>
          <w:rFonts w:cs="Calibri"/>
          <w:b/>
          <w:bCs/>
          <w:color w:val="BFBFBF" w:themeColor="background1" w:themeShade="BF"/>
        </w:rPr>
        <w:t xml:space="preserve"> to demonstrate that controlling for differences in patient characteristics (case mix) is not needed to achieve fair comparisons across measured entities</w:t>
      </w:r>
      <w:r w:rsidR="009D3882" w:rsidRPr="007A6CA8">
        <w:rPr>
          <w:rFonts w:cs="Calibri"/>
          <w:bCs/>
          <w:color w:val="BFBFBF" w:themeColor="background1" w:themeShade="BF"/>
        </w:rPr>
        <w:t xml:space="preserve">. </w:t>
      </w:r>
      <w:r w:rsidR="009D3882" w:rsidRPr="007A6CA8">
        <w:rPr>
          <w:rFonts w:cs="Calibri"/>
          <w:bCs/>
          <w:color w:val="BFBFBF" w:themeColor="background1" w:themeShade="BF"/>
        </w:rPr>
        <w:br/>
      </w:r>
    </w:p>
    <w:p w14:paraId="0CABCFF6" w14:textId="6B194552" w:rsidR="00001D73" w:rsidRPr="007A6CA8" w:rsidRDefault="009C7513" w:rsidP="00AF2D68">
      <w:pPr>
        <w:rPr>
          <w:rFonts w:cstheme="minorHAnsi"/>
          <w:bCs/>
          <w:color w:val="BFBFBF" w:themeColor="background1" w:themeShade="BF"/>
          <w:sz w:val="4"/>
        </w:rPr>
      </w:pPr>
      <w:r w:rsidRPr="007A6CA8">
        <w:rPr>
          <w:rFonts w:cstheme="minorHAnsi"/>
          <w:b/>
          <w:bCs/>
          <w:color w:val="BFBFBF" w:themeColor="background1" w:themeShade="BF"/>
        </w:rPr>
        <w:t>2b3</w:t>
      </w:r>
      <w:r w:rsidR="00092566" w:rsidRPr="007A6CA8">
        <w:rPr>
          <w:rFonts w:cstheme="minorHAnsi"/>
          <w:b/>
          <w:bCs/>
          <w:color w:val="BFBFBF" w:themeColor="background1" w:themeShade="BF"/>
        </w:rPr>
        <w:t>.3</w:t>
      </w:r>
      <w:r w:rsidR="00275563" w:rsidRPr="007A6CA8">
        <w:rPr>
          <w:rFonts w:cstheme="minorHAnsi"/>
          <w:b/>
          <w:bCs/>
          <w:color w:val="BFBFBF" w:themeColor="background1" w:themeShade="BF"/>
        </w:rPr>
        <w:t>a</w:t>
      </w:r>
      <w:r w:rsidR="00092566" w:rsidRPr="007A6CA8">
        <w:rPr>
          <w:rFonts w:cstheme="minorHAnsi"/>
          <w:b/>
          <w:bCs/>
          <w:color w:val="BFBFBF" w:themeColor="background1" w:themeShade="BF"/>
        </w:rPr>
        <w:t xml:space="preserve">. </w:t>
      </w:r>
      <w:r w:rsidR="00927027" w:rsidRPr="007A6CA8">
        <w:rPr>
          <w:rFonts w:cstheme="minorHAnsi"/>
          <w:b/>
          <w:bCs/>
          <w:color w:val="BFBFBF" w:themeColor="background1" w:themeShade="BF"/>
        </w:rPr>
        <w:t>Describe</w:t>
      </w:r>
      <w:r w:rsidR="00092566" w:rsidRPr="007A6CA8">
        <w:rPr>
          <w:rFonts w:cstheme="minorHAnsi"/>
          <w:b/>
          <w:bCs/>
          <w:color w:val="BFBFBF" w:themeColor="background1" w:themeShade="BF"/>
        </w:rPr>
        <w:t xml:space="preserve"> the conceptual/clinical </w:t>
      </w:r>
      <w:r w:rsidR="00092566" w:rsidRPr="007A6CA8">
        <w:rPr>
          <w:rFonts w:cstheme="minorHAnsi"/>
          <w:b/>
          <w:bCs/>
          <w:color w:val="BFBFBF" w:themeColor="background1" w:themeShade="BF"/>
          <w:u w:val="single"/>
        </w:rPr>
        <w:t>and</w:t>
      </w:r>
      <w:r w:rsidR="00092566" w:rsidRPr="007A6CA8">
        <w:rPr>
          <w:rFonts w:cstheme="minorHAnsi"/>
          <w:b/>
          <w:bCs/>
          <w:color w:val="BFBFBF" w:themeColor="background1" w:themeShade="BF"/>
        </w:rPr>
        <w:t xml:space="preserve"> statistical methods and criteria used to select </w:t>
      </w:r>
      <w:r w:rsidR="005363F1" w:rsidRPr="007A6CA8">
        <w:rPr>
          <w:rFonts w:cstheme="minorHAnsi"/>
          <w:b/>
          <w:bCs/>
          <w:color w:val="BFBFBF" w:themeColor="background1" w:themeShade="BF"/>
        </w:rPr>
        <w:t xml:space="preserve">patient </w:t>
      </w:r>
      <w:r w:rsidR="00092566" w:rsidRPr="007A6CA8">
        <w:rPr>
          <w:rFonts w:cstheme="minorHAnsi"/>
          <w:b/>
          <w:bCs/>
          <w:color w:val="BFBFBF" w:themeColor="background1" w:themeShade="BF"/>
        </w:rPr>
        <w:t xml:space="preserve">factors </w:t>
      </w:r>
      <w:r w:rsidR="0021054A" w:rsidRPr="007A6CA8">
        <w:rPr>
          <w:rFonts w:cstheme="minorHAnsi"/>
          <w:b/>
          <w:bCs/>
          <w:color w:val="BFBFBF" w:themeColor="background1" w:themeShade="BF"/>
        </w:rPr>
        <w:t>(</w:t>
      </w:r>
      <w:r w:rsidR="00E967AD" w:rsidRPr="007A6CA8">
        <w:rPr>
          <w:rFonts w:cstheme="minorHAnsi"/>
          <w:b/>
          <w:bCs/>
          <w:color w:val="BFBFBF" w:themeColor="background1" w:themeShade="BF"/>
        </w:rPr>
        <w:t xml:space="preserve">clinical factors or </w:t>
      </w:r>
      <w:r w:rsidR="00AF2D68" w:rsidRPr="007A6CA8">
        <w:rPr>
          <w:rFonts w:cstheme="minorHAnsi"/>
          <w:b/>
          <w:bCs/>
          <w:color w:val="BFBFBF" w:themeColor="background1" w:themeShade="BF"/>
        </w:rPr>
        <w:t xml:space="preserve">social risk </w:t>
      </w:r>
      <w:r w:rsidR="0021054A" w:rsidRPr="007A6CA8">
        <w:rPr>
          <w:rFonts w:cstheme="minorHAnsi"/>
          <w:b/>
          <w:bCs/>
          <w:color w:val="BFBFBF" w:themeColor="background1" w:themeShade="BF"/>
        </w:rPr>
        <w:t xml:space="preserve">factors) </w:t>
      </w:r>
      <w:r w:rsidR="00092566" w:rsidRPr="007A6CA8">
        <w:rPr>
          <w:rFonts w:cstheme="minorHAnsi"/>
          <w:b/>
          <w:bCs/>
          <w:color w:val="BFBFBF" w:themeColor="background1" w:themeShade="BF"/>
        </w:rPr>
        <w:t>used in the statistical risk model or for stratification by risk</w:t>
      </w:r>
      <w:r w:rsidR="00927027" w:rsidRPr="007A6CA8">
        <w:rPr>
          <w:rFonts w:cstheme="minorHAnsi"/>
          <w:b/>
          <w:bCs/>
          <w:color w:val="BFBFBF" w:themeColor="background1" w:themeShade="BF"/>
        </w:rPr>
        <w:t xml:space="preserve"> </w:t>
      </w:r>
      <w:r w:rsidR="00092566" w:rsidRPr="007A6CA8">
        <w:rPr>
          <w:rFonts w:cstheme="minorHAnsi"/>
          <w:bCs/>
          <w:color w:val="BFBFBF" w:themeColor="background1" w:themeShade="BF"/>
        </w:rPr>
        <w:t>(</w:t>
      </w:r>
      <w:r w:rsidR="00092566" w:rsidRPr="007A6CA8">
        <w:rPr>
          <w:rFonts w:cstheme="minorHAnsi"/>
          <w:bCs/>
          <w:i/>
          <w:color w:val="BFBFBF" w:themeColor="background1" w:themeShade="BF"/>
        </w:rPr>
        <w:t xml:space="preserve">e.g., potential factors identified in </w:t>
      </w:r>
      <w:r w:rsidR="005363F1" w:rsidRPr="007A6CA8">
        <w:rPr>
          <w:rFonts w:cstheme="minorHAnsi"/>
          <w:bCs/>
          <w:i/>
          <w:color w:val="BFBFBF" w:themeColor="background1" w:themeShade="BF"/>
        </w:rPr>
        <w:t xml:space="preserve">the </w:t>
      </w:r>
      <w:r w:rsidR="00092566" w:rsidRPr="007A6CA8">
        <w:rPr>
          <w:rFonts w:cstheme="minorHAnsi"/>
          <w:bCs/>
          <w:i/>
          <w:color w:val="BFBFBF" w:themeColor="background1" w:themeShade="BF"/>
        </w:rPr>
        <w:t>literature and/or expert panel; regression analysis; statistical significance of p&lt;0.10; correlation of x or higher</w:t>
      </w:r>
      <w:r w:rsidR="005363F1" w:rsidRPr="007A6CA8">
        <w:rPr>
          <w:rFonts w:cstheme="minorHAnsi"/>
          <w:bCs/>
          <w:i/>
          <w:color w:val="BFBFBF" w:themeColor="background1" w:themeShade="BF"/>
        </w:rPr>
        <w:t>; patient factors should be present at the start of care</w:t>
      </w:r>
      <w:r w:rsidR="00092566" w:rsidRPr="007A6CA8">
        <w:rPr>
          <w:rFonts w:cstheme="minorHAnsi"/>
          <w:bCs/>
          <w:color w:val="BFBFBF" w:themeColor="background1" w:themeShade="BF"/>
        </w:rPr>
        <w:t>)</w:t>
      </w:r>
      <w:r w:rsidR="00AF2D68" w:rsidRPr="007A6CA8">
        <w:rPr>
          <w:rFonts w:cstheme="minorHAnsi"/>
          <w:bCs/>
          <w:color w:val="BFBFBF" w:themeColor="background1" w:themeShade="BF"/>
        </w:rPr>
        <w:t xml:space="preserve">  </w:t>
      </w:r>
      <w:r w:rsidR="00AF2D68" w:rsidRPr="007A6CA8">
        <w:rPr>
          <w:rFonts w:cstheme="minorHAnsi"/>
          <w:b/>
          <w:bCs/>
          <w:color w:val="BFBFBF" w:themeColor="background1" w:themeShade="BF"/>
        </w:rPr>
        <w:t>Also discuss any “ordering” of risk factor inclusion</w:t>
      </w:r>
      <w:r w:rsidR="00CE284E" w:rsidRPr="007A6CA8">
        <w:rPr>
          <w:rFonts w:cstheme="minorHAnsi"/>
          <w:bCs/>
          <w:color w:val="BFBFBF" w:themeColor="background1" w:themeShade="BF"/>
        </w:rPr>
        <w:t>; for example, a</w:t>
      </w:r>
      <w:r w:rsidR="00AF2D68" w:rsidRPr="007A6CA8">
        <w:rPr>
          <w:rFonts w:cstheme="minorHAnsi"/>
          <w:bCs/>
          <w:color w:val="BFBFBF" w:themeColor="background1" w:themeShade="BF"/>
        </w:rPr>
        <w:t>re social risk factors added after all clinical factors?</w:t>
      </w:r>
      <w:r w:rsidR="00092566" w:rsidRPr="007A6CA8">
        <w:rPr>
          <w:rFonts w:cstheme="minorHAnsi"/>
          <w:bCs/>
          <w:color w:val="BFBFBF" w:themeColor="background1" w:themeShade="BF"/>
        </w:rPr>
        <w:br/>
      </w:r>
    </w:p>
    <w:p w14:paraId="4260792A" w14:textId="019483A8" w:rsidR="00275563" w:rsidRPr="007A6CA8" w:rsidRDefault="00275563" w:rsidP="00001D73">
      <w:pPr>
        <w:autoSpaceDE w:val="0"/>
        <w:autoSpaceDN w:val="0"/>
        <w:adjustRightInd w:val="0"/>
        <w:spacing w:after="0" w:line="240" w:lineRule="auto"/>
        <w:rPr>
          <w:rFonts w:cstheme="minorHAnsi"/>
          <w:b/>
          <w:bCs/>
          <w:color w:val="BFBFBF" w:themeColor="background1" w:themeShade="BF"/>
        </w:rPr>
      </w:pPr>
      <w:r w:rsidRPr="007A6CA8">
        <w:rPr>
          <w:rFonts w:cstheme="minorHAnsi"/>
          <w:b/>
          <w:bCs/>
          <w:color w:val="BFBFBF" w:themeColor="background1" w:themeShade="BF"/>
        </w:rPr>
        <w:t xml:space="preserve">2b3.3b. How was the conceptual model </w:t>
      </w:r>
      <w:r w:rsidR="00CE284E" w:rsidRPr="007A6CA8">
        <w:rPr>
          <w:rFonts w:cstheme="minorHAnsi"/>
          <w:b/>
          <w:bCs/>
          <w:color w:val="BFBFBF" w:themeColor="background1" w:themeShade="BF"/>
        </w:rPr>
        <w:t xml:space="preserve">of how social risk impacts this outcome </w:t>
      </w:r>
      <w:r w:rsidRPr="007A6CA8">
        <w:rPr>
          <w:rFonts w:cstheme="minorHAnsi"/>
          <w:b/>
          <w:bCs/>
          <w:color w:val="BFBFBF" w:themeColor="background1" w:themeShade="BF"/>
        </w:rPr>
        <w:t>developed?  Please check all that apply:</w:t>
      </w:r>
    </w:p>
    <w:p w14:paraId="2B47DA83" w14:textId="30659D6E" w:rsidR="00275563" w:rsidRPr="007A6CA8" w:rsidRDefault="00EA570C"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319728797"/>
          <w14:checkbox>
            <w14:checked w14:val="0"/>
            <w14:checkedState w14:val="2612" w14:font="MS Gothic"/>
            <w14:uncheckedState w14:val="2610" w14:font="MS Gothic"/>
          </w14:checkbox>
        </w:sdtPr>
        <w:sdtEndPr/>
        <w:sdtContent>
          <w:r w:rsidR="00275563" w:rsidRPr="007A6CA8">
            <w:rPr>
              <w:rFonts w:ascii="MS Gothic" w:eastAsia="MS Gothic" w:hAnsi="MS Gothic" w:cstheme="minorHAnsi" w:hint="eastAsia"/>
              <w:bCs/>
              <w:color w:val="BFBFBF" w:themeColor="background1" w:themeShade="BF"/>
            </w:rPr>
            <w:t>☐</w:t>
          </w:r>
        </w:sdtContent>
      </w:sdt>
      <w:r w:rsidR="00275563" w:rsidRPr="007A6CA8">
        <w:rPr>
          <w:rFonts w:eastAsia="MS Mincho" w:cstheme="minorHAnsi"/>
          <w:b/>
          <w:bCs/>
          <w:color w:val="BFBFBF" w:themeColor="background1" w:themeShade="BF"/>
        </w:rPr>
        <w:t xml:space="preserve"> </w:t>
      </w:r>
      <w:r w:rsidR="00CE284E" w:rsidRPr="007A6CA8">
        <w:rPr>
          <w:rFonts w:cstheme="minorHAnsi"/>
          <w:b/>
          <w:bCs/>
          <w:color w:val="BFBFBF" w:themeColor="background1" w:themeShade="BF"/>
        </w:rPr>
        <w:t>Published l</w:t>
      </w:r>
      <w:r w:rsidR="00275563" w:rsidRPr="007A6CA8">
        <w:rPr>
          <w:rFonts w:cstheme="minorHAnsi"/>
          <w:b/>
          <w:bCs/>
          <w:color w:val="BFBFBF" w:themeColor="background1" w:themeShade="BF"/>
        </w:rPr>
        <w:t>iterature</w:t>
      </w:r>
    </w:p>
    <w:p w14:paraId="7E969A3E" w14:textId="6BA683BB" w:rsidR="00275563" w:rsidRPr="007A6CA8" w:rsidRDefault="00EA570C"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1418363777"/>
          <w14:checkbox>
            <w14:checked w14:val="0"/>
            <w14:checkedState w14:val="2612" w14:font="MS Gothic"/>
            <w14:uncheckedState w14:val="2610" w14:font="MS Gothic"/>
          </w14:checkbox>
        </w:sdtPr>
        <w:sdtEndPr/>
        <w:sdtContent>
          <w:r w:rsidR="00275563" w:rsidRPr="007A6CA8">
            <w:rPr>
              <w:rFonts w:ascii="MS Gothic" w:eastAsia="MS Gothic" w:hAnsi="MS Gothic" w:cstheme="minorHAnsi" w:hint="eastAsia"/>
              <w:bCs/>
              <w:color w:val="BFBFBF" w:themeColor="background1" w:themeShade="BF"/>
            </w:rPr>
            <w:t>☐</w:t>
          </w:r>
        </w:sdtContent>
      </w:sdt>
      <w:r w:rsidR="00275563" w:rsidRPr="007A6CA8">
        <w:rPr>
          <w:rFonts w:cstheme="minorHAnsi"/>
          <w:bCs/>
          <w:color w:val="BFBFBF" w:themeColor="background1" w:themeShade="BF"/>
        </w:rPr>
        <w:t xml:space="preserve"> </w:t>
      </w:r>
      <w:r w:rsidR="00CE284E" w:rsidRPr="007A6CA8">
        <w:rPr>
          <w:rFonts w:cstheme="minorHAnsi"/>
          <w:b/>
          <w:bCs/>
          <w:color w:val="BFBFBF" w:themeColor="background1" w:themeShade="BF"/>
        </w:rPr>
        <w:t>Internal d</w:t>
      </w:r>
      <w:r w:rsidR="00275563" w:rsidRPr="007A6CA8">
        <w:rPr>
          <w:rFonts w:cstheme="minorHAnsi"/>
          <w:b/>
          <w:bCs/>
          <w:color w:val="BFBFBF" w:themeColor="background1" w:themeShade="BF"/>
        </w:rPr>
        <w:t>ata</w:t>
      </w:r>
      <w:r w:rsidR="00CE284E" w:rsidRPr="007A6CA8">
        <w:rPr>
          <w:rFonts w:cstheme="minorHAnsi"/>
          <w:b/>
          <w:bCs/>
          <w:color w:val="BFBFBF" w:themeColor="background1" w:themeShade="BF"/>
        </w:rPr>
        <w:t xml:space="preserve"> analysis</w:t>
      </w:r>
    </w:p>
    <w:p w14:paraId="72A847BD" w14:textId="1489D6C2" w:rsidR="00275563" w:rsidRPr="007A6CA8" w:rsidRDefault="00EA570C"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776755179"/>
          <w14:checkbox>
            <w14:checked w14:val="0"/>
            <w14:checkedState w14:val="2612" w14:font="MS Gothic"/>
            <w14:uncheckedState w14:val="2610" w14:font="MS Gothic"/>
          </w14:checkbox>
        </w:sdtPr>
        <w:sdtEndPr/>
        <w:sdtContent>
          <w:r w:rsidR="00275563" w:rsidRPr="007A6CA8">
            <w:rPr>
              <w:rFonts w:ascii="MS Gothic" w:eastAsia="MS Gothic" w:cstheme="minorHAnsi" w:hint="eastAsia"/>
              <w:bCs/>
              <w:color w:val="BFBFBF" w:themeColor="background1" w:themeShade="BF"/>
            </w:rPr>
            <w:t>☐</w:t>
          </w:r>
        </w:sdtContent>
      </w:sdt>
      <w:r w:rsidR="00275563" w:rsidRPr="007A6CA8">
        <w:rPr>
          <w:rFonts w:eastAsia="MS Mincho" w:cstheme="minorHAnsi"/>
          <w:b/>
          <w:bCs/>
          <w:color w:val="BFBFBF" w:themeColor="background1" w:themeShade="BF"/>
        </w:rPr>
        <w:t xml:space="preserve"> </w:t>
      </w:r>
      <w:r w:rsidR="00275563" w:rsidRPr="007A6CA8">
        <w:rPr>
          <w:rFonts w:cstheme="minorHAnsi"/>
          <w:b/>
          <w:bCs/>
          <w:color w:val="BFBFBF" w:themeColor="background1" w:themeShade="BF"/>
        </w:rPr>
        <w:t>Other (please describe)</w:t>
      </w:r>
    </w:p>
    <w:p w14:paraId="7C5644B4" w14:textId="77777777" w:rsidR="00275563" w:rsidRPr="007A6CA8" w:rsidRDefault="00275563" w:rsidP="00001D73">
      <w:pPr>
        <w:autoSpaceDE w:val="0"/>
        <w:autoSpaceDN w:val="0"/>
        <w:adjustRightInd w:val="0"/>
        <w:spacing w:after="0" w:line="240" w:lineRule="auto"/>
        <w:rPr>
          <w:rFonts w:cstheme="minorHAnsi"/>
          <w:b/>
          <w:bCs/>
          <w:color w:val="BFBFBF" w:themeColor="background1" w:themeShade="BF"/>
        </w:rPr>
      </w:pPr>
    </w:p>
    <w:p w14:paraId="0CABCFF7" w14:textId="434655CC" w:rsidR="00092566" w:rsidRPr="007A6CA8" w:rsidRDefault="009C7513" w:rsidP="00001D73">
      <w:pPr>
        <w:autoSpaceDE w:val="0"/>
        <w:autoSpaceDN w:val="0"/>
        <w:adjustRightInd w:val="0"/>
        <w:spacing w:after="0" w:line="240" w:lineRule="auto"/>
        <w:rPr>
          <w:rFonts w:cstheme="minorHAnsi"/>
          <w:b/>
          <w:bCs/>
          <w:color w:val="BFBFBF" w:themeColor="background1" w:themeShade="BF"/>
        </w:rPr>
      </w:pPr>
      <w:r w:rsidRPr="007A6CA8">
        <w:rPr>
          <w:rFonts w:cstheme="minorHAnsi"/>
          <w:b/>
          <w:bCs/>
          <w:color w:val="BFBFBF" w:themeColor="background1" w:themeShade="BF"/>
        </w:rPr>
        <w:t>2b3</w:t>
      </w:r>
      <w:r w:rsidR="00092566" w:rsidRPr="007A6CA8">
        <w:rPr>
          <w:rFonts w:cstheme="minorHAnsi"/>
          <w:b/>
          <w:bCs/>
          <w:color w:val="BFBFBF" w:themeColor="background1" w:themeShade="BF"/>
        </w:rPr>
        <w:t>.4</w:t>
      </w:r>
      <w:r w:rsidR="00193F21" w:rsidRPr="007A6CA8">
        <w:rPr>
          <w:rFonts w:cstheme="minorHAnsi"/>
          <w:b/>
          <w:bCs/>
          <w:color w:val="BFBFBF" w:themeColor="background1" w:themeShade="BF"/>
        </w:rPr>
        <w:t>a</w:t>
      </w:r>
      <w:r w:rsidR="00092566" w:rsidRPr="007A6CA8">
        <w:rPr>
          <w:rFonts w:cstheme="minorHAnsi"/>
          <w:b/>
          <w:bCs/>
          <w:color w:val="BFBFBF" w:themeColor="background1" w:themeShade="BF"/>
        </w:rPr>
        <w:t>. What were the statistical results of the analyses used to select risk factors?</w:t>
      </w:r>
      <w:r w:rsidR="00001D73" w:rsidRPr="007A6CA8">
        <w:rPr>
          <w:rFonts w:cstheme="minorHAnsi"/>
          <w:b/>
          <w:bCs/>
          <w:color w:val="BFBFBF" w:themeColor="background1" w:themeShade="BF"/>
        </w:rPr>
        <w:br/>
      </w:r>
    </w:p>
    <w:p w14:paraId="0CABCFF8" w14:textId="350A0D85" w:rsidR="00001D73" w:rsidRPr="007A6CA8" w:rsidRDefault="009C7513" w:rsidP="00001D73">
      <w:pPr>
        <w:autoSpaceDE w:val="0"/>
        <w:autoSpaceDN w:val="0"/>
        <w:adjustRightInd w:val="0"/>
        <w:spacing w:after="0" w:line="240" w:lineRule="auto"/>
        <w:rPr>
          <w:rFonts w:cstheme="minorHAnsi"/>
          <w:b/>
          <w:bCs/>
          <w:color w:val="BFBFBF" w:themeColor="background1" w:themeShade="BF"/>
        </w:rPr>
      </w:pPr>
      <w:r w:rsidRPr="007A6CA8">
        <w:rPr>
          <w:rFonts w:cstheme="minorHAnsi"/>
          <w:b/>
          <w:bCs/>
          <w:color w:val="BFBFBF" w:themeColor="background1" w:themeShade="BF"/>
        </w:rPr>
        <w:t>2b3</w:t>
      </w:r>
      <w:r w:rsidR="00C1695E" w:rsidRPr="007A6CA8">
        <w:rPr>
          <w:rFonts w:cstheme="minorHAnsi"/>
          <w:b/>
          <w:bCs/>
          <w:color w:val="BFBFBF" w:themeColor="background1" w:themeShade="BF"/>
        </w:rPr>
        <w:t xml:space="preserve">.4b. Describe the analyses and interpretation resulting in the decision to select </w:t>
      </w:r>
      <w:r w:rsidR="00AF2D68" w:rsidRPr="007A6CA8">
        <w:rPr>
          <w:rFonts w:cstheme="minorHAnsi"/>
          <w:b/>
          <w:bCs/>
          <w:color w:val="BFBFBF" w:themeColor="background1" w:themeShade="BF"/>
        </w:rPr>
        <w:t>social risk</w:t>
      </w:r>
      <w:r w:rsidR="00C1695E" w:rsidRPr="007A6CA8">
        <w:rPr>
          <w:rFonts w:cstheme="minorHAnsi"/>
          <w:b/>
          <w:bCs/>
          <w:color w:val="BFBFBF" w:themeColor="background1" w:themeShade="BF"/>
        </w:rPr>
        <w:t xml:space="preserve"> factors </w:t>
      </w:r>
      <w:r w:rsidR="00C1695E" w:rsidRPr="007A6CA8">
        <w:rPr>
          <w:rFonts w:cstheme="minorHAnsi"/>
          <w:bCs/>
          <w:i/>
          <w:color w:val="BFBFBF" w:themeColor="background1" w:themeShade="BF"/>
        </w:rPr>
        <w:t>(e.g. prevalence of the factor across measured entities, empirical association with the outcome, contribution of unique variation in the outcome, assessment of between-unit effects and within-unit effects</w:t>
      </w:r>
      <w:r w:rsidR="00CE284E" w:rsidRPr="007A6CA8">
        <w:rPr>
          <w:rFonts w:cstheme="minorHAnsi"/>
          <w:bCs/>
          <w:i/>
          <w:color w:val="BFBFBF" w:themeColor="background1" w:themeShade="BF"/>
        </w:rPr>
        <w:t xml:space="preserve">.)  </w:t>
      </w:r>
      <w:r w:rsidR="00CE284E" w:rsidRPr="007A6CA8">
        <w:rPr>
          <w:rFonts w:cstheme="minorHAnsi"/>
          <w:b/>
          <w:bCs/>
          <w:color w:val="BFBFBF" w:themeColor="background1" w:themeShade="BF"/>
        </w:rPr>
        <w:t>Also describe the</w:t>
      </w:r>
      <w:r w:rsidR="00AF2D68" w:rsidRPr="007A6CA8">
        <w:rPr>
          <w:rFonts w:cstheme="minorHAnsi"/>
          <w:b/>
          <w:bCs/>
          <w:color w:val="BFBFBF" w:themeColor="background1" w:themeShade="BF"/>
        </w:rPr>
        <w:t xml:space="preserve"> impact of adjusting for social risk (or not) on providers</w:t>
      </w:r>
      <w:r w:rsidR="00CE284E" w:rsidRPr="007A6CA8">
        <w:rPr>
          <w:rFonts w:cstheme="minorHAnsi"/>
          <w:b/>
          <w:bCs/>
          <w:color w:val="BFBFBF" w:themeColor="background1" w:themeShade="BF"/>
        </w:rPr>
        <w:t xml:space="preserve"> at high or low extremes of risk.</w:t>
      </w:r>
    </w:p>
    <w:p w14:paraId="0CABCFF9" w14:textId="77777777" w:rsidR="00C1695E" w:rsidRPr="007A6CA8" w:rsidRDefault="00C1695E" w:rsidP="00001D73">
      <w:pPr>
        <w:autoSpaceDE w:val="0"/>
        <w:autoSpaceDN w:val="0"/>
        <w:adjustRightInd w:val="0"/>
        <w:spacing w:after="0" w:line="240" w:lineRule="auto"/>
        <w:rPr>
          <w:rFonts w:cstheme="minorHAnsi"/>
          <w:b/>
          <w:bCs/>
          <w:color w:val="BFBFBF" w:themeColor="background1" w:themeShade="BF"/>
        </w:rPr>
      </w:pPr>
    </w:p>
    <w:p w14:paraId="0CABCFFA" w14:textId="5F1D568F" w:rsidR="00092566" w:rsidRPr="007A6CA8" w:rsidRDefault="009C7513" w:rsidP="00092566">
      <w:pPr>
        <w:autoSpaceDE w:val="0"/>
        <w:autoSpaceDN w:val="0"/>
        <w:adjustRightInd w:val="0"/>
        <w:spacing w:after="0" w:line="240" w:lineRule="auto"/>
        <w:rPr>
          <w:rFonts w:cstheme="minorHAnsi"/>
          <w:bCs/>
          <w:color w:val="BFBFBF" w:themeColor="background1" w:themeShade="BF"/>
        </w:rPr>
      </w:pPr>
      <w:r w:rsidRPr="007A6CA8">
        <w:rPr>
          <w:rFonts w:cstheme="minorHAnsi"/>
          <w:b/>
          <w:bCs/>
          <w:color w:val="BFBFBF" w:themeColor="background1" w:themeShade="BF"/>
        </w:rPr>
        <w:t>2b3</w:t>
      </w:r>
      <w:r w:rsidR="00E1508F" w:rsidRPr="007A6CA8">
        <w:rPr>
          <w:rFonts w:cstheme="minorHAnsi"/>
          <w:b/>
          <w:bCs/>
          <w:color w:val="BFBFBF" w:themeColor="background1" w:themeShade="BF"/>
        </w:rPr>
        <w:t>.</w:t>
      </w:r>
      <w:r w:rsidR="00092566" w:rsidRPr="007A6CA8">
        <w:rPr>
          <w:rFonts w:cstheme="minorHAnsi"/>
          <w:b/>
          <w:bCs/>
          <w:color w:val="BFBFBF" w:themeColor="background1" w:themeShade="BF"/>
        </w:rPr>
        <w:t xml:space="preserve">5. </w:t>
      </w:r>
      <w:r w:rsidR="008871A9" w:rsidRPr="007A6CA8">
        <w:rPr>
          <w:rFonts w:cstheme="minorHAnsi"/>
          <w:b/>
          <w:bCs/>
          <w:color w:val="BFBFBF" w:themeColor="background1" w:themeShade="BF"/>
        </w:rPr>
        <w:t>Describe the method of</w:t>
      </w:r>
      <w:r w:rsidR="00092566" w:rsidRPr="007A6CA8">
        <w:rPr>
          <w:rFonts w:cstheme="minorHAnsi"/>
          <w:b/>
          <w:bCs/>
          <w:color w:val="BFBFBF" w:themeColor="background1" w:themeShade="BF"/>
        </w:rPr>
        <w:t xml:space="preserve"> </w:t>
      </w:r>
      <w:r w:rsidR="008871A9" w:rsidRPr="007A6CA8">
        <w:rPr>
          <w:rFonts w:cstheme="minorHAnsi"/>
          <w:b/>
          <w:bCs/>
          <w:color w:val="BFBFBF" w:themeColor="background1" w:themeShade="BF"/>
        </w:rPr>
        <w:t xml:space="preserve">testing/analysis used </w:t>
      </w:r>
      <w:r w:rsidR="00092566" w:rsidRPr="007A6CA8">
        <w:rPr>
          <w:rFonts w:cstheme="minorHAnsi"/>
          <w:b/>
          <w:bCs/>
          <w:color w:val="BFBFBF" w:themeColor="background1" w:themeShade="BF"/>
        </w:rPr>
        <w:t xml:space="preserve">to develop and validate the adequacy of the statistical model </w:t>
      </w:r>
      <w:r w:rsidR="00092566" w:rsidRPr="007A6CA8">
        <w:rPr>
          <w:rFonts w:cstheme="minorHAnsi"/>
          <w:b/>
          <w:bCs/>
          <w:color w:val="BFBFBF" w:themeColor="background1" w:themeShade="BF"/>
          <w:u w:val="single"/>
        </w:rPr>
        <w:t>or</w:t>
      </w:r>
      <w:r w:rsidR="00092566" w:rsidRPr="007A6CA8">
        <w:rPr>
          <w:rFonts w:cstheme="minorHAnsi"/>
          <w:b/>
          <w:bCs/>
          <w:color w:val="BFBFBF" w:themeColor="background1" w:themeShade="BF"/>
        </w:rPr>
        <w:t xml:space="preserve"> stratification approach</w:t>
      </w:r>
      <w:r w:rsidR="00092566" w:rsidRPr="007A6CA8">
        <w:rPr>
          <w:rFonts w:cstheme="minorHAnsi"/>
          <w:bCs/>
          <w:color w:val="BFBFBF" w:themeColor="background1" w:themeShade="BF"/>
        </w:rPr>
        <w:t xml:space="preserve"> (</w:t>
      </w:r>
      <w:r w:rsidR="008871A9" w:rsidRPr="007A6CA8">
        <w:rPr>
          <w:rFonts w:cstheme="minorHAnsi"/>
          <w:bCs/>
          <w:i/>
          <w:color w:val="BFBFBF" w:themeColor="background1" w:themeShade="BF"/>
        </w:rPr>
        <w:t>describe the steps―do not just name a method</w:t>
      </w:r>
      <w:r w:rsidR="006C3A4F" w:rsidRPr="007A6CA8">
        <w:rPr>
          <w:rFonts w:cstheme="minorHAnsi"/>
          <w:bCs/>
          <w:i/>
          <w:color w:val="BFBFBF" w:themeColor="background1" w:themeShade="BF"/>
        </w:rPr>
        <w:t>; what statistical analysis was used</w:t>
      </w:r>
      <w:r w:rsidR="00092566" w:rsidRPr="007A6CA8">
        <w:rPr>
          <w:rFonts w:cstheme="minorHAnsi"/>
          <w:bCs/>
          <w:color w:val="BFBFBF" w:themeColor="background1" w:themeShade="BF"/>
        </w:rPr>
        <w:t>)</w:t>
      </w:r>
      <w:r w:rsidR="00092566" w:rsidRPr="007A6CA8">
        <w:rPr>
          <w:rFonts w:cstheme="minorHAnsi"/>
          <w:bCs/>
          <w:color w:val="BFBFBF" w:themeColor="background1" w:themeShade="BF"/>
        </w:rPr>
        <w:br/>
      </w:r>
    </w:p>
    <w:p w14:paraId="0CABCFFB" w14:textId="78FCA6D3" w:rsidR="00E1508F" w:rsidRPr="007A6CA8" w:rsidRDefault="00001D73" w:rsidP="00092566">
      <w:pPr>
        <w:autoSpaceDE w:val="0"/>
        <w:autoSpaceDN w:val="0"/>
        <w:adjustRightInd w:val="0"/>
        <w:spacing w:after="0" w:line="240" w:lineRule="auto"/>
        <w:rPr>
          <w:rFonts w:cstheme="minorHAnsi"/>
          <w:b/>
          <w:bCs/>
          <w:color w:val="BFBFBF" w:themeColor="background1" w:themeShade="BF"/>
        </w:rPr>
      </w:pPr>
      <w:r w:rsidRPr="007A6CA8">
        <w:rPr>
          <w:rFonts w:cstheme="minorHAnsi"/>
          <w:bCs/>
          <w:i/>
          <w:color w:val="BFBFBF" w:themeColor="background1" w:themeShade="BF"/>
        </w:rPr>
        <w:t>Provide</w:t>
      </w:r>
      <w:r w:rsidR="00092566" w:rsidRPr="007A6CA8">
        <w:rPr>
          <w:rFonts w:cstheme="minorHAnsi"/>
          <w:bCs/>
          <w:i/>
          <w:color w:val="BFBFBF" w:themeColor="background1" w:themeShade="BF"/>
        </w:rPr>
        <w:t xml:space="preserve"> the statistical results from testing the approach to controlling for differences in patient characteristics (case mix)</w:t>
      </w:r>
      <w:r w:rsidRPr="007A6CA8">
        <w:rPr>
          <w:rFonts w:cstheme="minorHAnsi"/>
          <w:bCs/>
          <w:i/>
          <w:color w:val="BFBFBF" w:themeColor="background1" w:themeShade="BF"/>
        </w:rPr>
        <w:t xml:space="preserve"> below</w:t>
      </w:r>
      <w:r w:rsidRPr="007A6CA8">
        <w:rPr>
          <w:rFonts w:cstheme="minorHAnsi"/>
          <w:bCs/>
          <w:color w:val="BFBFBF" w:themeColor="background1" w:themeShade="BF"/>
        </w:rPr>
        <w:t>.</w:t>
      </w:r>
      <w:r w:rsidR="00092566" w:rsidRPr="007A6CA8">
        <w:rPr>
          <w:rFonts w:cstheme="minorHAnsi"/>
          <w:bCs/>
          <w:color w:val="BFBFBF" w:themeColor="background1" w:themeShade="BF"/>
        </w:rPr>
        <w:br/>
      </w:r>
      <w:r w:rsidR="001F7A20" w:rsidRPr="007A6CA8">
        <w:rPr>
          <w:rFonts w:cstheme="minorHAnsi"/>
          <w:b/>
          <w:bCs/>
          <w:i/>
          <w:color w:val="BFBFBF" w:themeColor="background1" w:themeShade="BF"/>
        </w:rPr>
        <w:t>If</w:t>
      </w:r>
      <w:r w:rsidR="00743E46" w:rsidRPr="007A6CA8">
        <w:rPr>
          <w:rFonts w:cstheme="minorHAnsi"/>
          <w:b/>
          <w:bCs/>
          <w:i/>
          <w:color w:val="BFBFBF" w:themeColor="background1" w:themeShade="BF"/>
        </w:rPr>
        <w:t xml:space="preserve"> stratified, skip to </w:t>
      </w:r>
      <w:hyperlink w:anchor="question2b49" w:history="1">
        <w:r w:rsidR="009C7513" w:rsidRPr="007A6CA8">
          <w:rPr>
            <w:rStyle w:val="Hyperlink"/>
            <w:rFonts w:cstheme="minorHAnsi"/>
            <w:b/>
            <w:bCs/>
            <w:i/>
            <w:color w:val="BFBFBF" w:themeColor="background1" w:themeShade="BF"/>
          </w:rPr>
          <w:t>2b3.9</w:t>
        </w:r>
      </w:hyperlink>
    </w:p>
    <w:p w14:paraId="0CABCFFC" w14:textId="77777777" w:rsidR="00743E46" w:rsidRPr="007A6CA8" w:rsidRDefault="00743E46" w:rsidP="00092566">
      <w:pPr>
        <w:autoSpaceDE w:val="0"/>
        <w:autoSpaceDN w:val="0"/>
        <w:adjustRightInd w:val="0"/>
        <w:spacing w:after="0" w:line="240" w:lineRule="auto"/>
        <w:rPr>
          <w:rFonts w:cstheme="minorHAnsi"/>
          <w:b/>
          <w:bCs/>
          <w:color w:val="BFBFBF" w:themeColor="background1" w:themeShade="BF"/>
        </w:rPr>
      </w:pPr>
    </w:p>
    <w:p w14:paraId="0CABCFFD" w14:textId="79D5D7A7" w:rsidR="00001D73" w:rsidRPr="007A6CA8" w:rsidRDefault="00743E46" w:rsidP="00092566">
      <w:pPr>
        <w:autoSpaceDE w:val="0"/>
        <w:autoSpaceDN w:val="0"/>
        <w:adjustRightInd w:val="0"/>
        <w:spacing w:after="0" w:line="240" w:lineRule="auto"/>
        <w:rPr>
          <w:rFonts w:cstheme="minorHAnsi"/>
          <w:b/>
          <w:bCs/>
          <w:color w:val="BFBFBF" w:themeColor="background1" w:themeShade="BF"/>
        </w:rPr>
      </w:pPr>
      <w:r w:rsidRPr="007A6CA8">
        <w:rPr>
          <w:rFonts w:cstheme="minorHAnsi"/>
          <w:b/>
          <w:bCs/>
          <w:color w:val="BFBFBF" w:themeColor="background1" w:themeShade="BF"/>
        </w:rPr>
        <w:t>2b</w:t>
      </w:r>
      <w:r w:rsidR="009C7513" w:rsidRPr="007A6CA8">
        <w:rPr>
          <w:rFonts w:cstheme="minorHAnsi"/>
          <w:b/>
          <w:bCs/>
          <w:color w:val="BFBFBF" w:themeColor="background1" w:themeShade="BF"/>
        </w:rPr>
        <w:t>3</w:t>
      </w:r>
      <w:r w:rsidRPr="007A6CA8">
        <w:rPr>
          <w:rFonts w:cstheme="minorHAnsi"/>
          <w:b/>
          <w:bCs/>
          <w:color w:val="BFBFBF" w:themeColor="background1" w:themeShade="BF"/>
        </w:rPr>
        <w:t xml:space="preserve">.6. </w:t>
      </w:r>
      <w:r w:rsidR="00001D73" w:rsidRPr="007A6CA8">
        <w:rPr>
          <w:rFonts w:cstheme="minorHAnsi"/>
          <w:b/>
          <w:bCs/>
          <w:color w:val="BFBFBF" w:themeColor="background1" w:themeShade="BF"/>
        </w:rPr>
        <w:t xml:space="preserve">Statistical </w:t>
      </w:r>
      <w:r w:rsidR="00092566" w:rsidRPr="007A6CA8">
        <w:rPr>
          <w:rFonts w:cstheme="minorHAnsi"/>
          <w:b/>
          <w:bCs/>
          <w:color w:val="BFBFBF" w:themeColor="background1" w:themeShade="BF"/>
        </w:rPr>
        <w:t>Risk Model Discrimination Statistics</w:t>
      </w:r>
      <w:r w:rsidR="003605B4" w:rsidRPr="007A6CA8">
        <w:rPr>
          <w:rFonts w:cstheme="minorHAnsi"/>
          <w:bCs/>
          <w:color w:val="BFBFBF" w:themeColor="background1" w:themeShade="BF"/>
        </w:rPr>
        <w:t xml:space="preserve"> (</w:t>
      </w:r>
      <w:r w:rsidR="003605B4" w:rsidRPr="007A6CA8">
        <w:rPr>
          <w:rFonts w:cstheme="minorHAnsi"/>
          <w:bCs/>
          <w:i/>
          <w:color w:val="BFBFBF" w:themeColor="background1" w:themeShade="BF"/>
        </w:rPr>
        <w:t>e.g., c-statistic, R-squared</w:t>
      </w:r>
      <w:r w:rsidR="003605B4" w:rsidRPr="007A6CA8">
        <w:rPr>
          <w:rFonts w:cstheme="minorHAnsi"/>
          <w:bCs/>
          <w:color w:val="BFBFBF" w:themeColor="background1" w:themeShade="BF"/>
        </w:rPr>
        <w:t>)</w:t>
      </w:r>
      <w:r w:rsidRPr="007A6CA8">
        <w:rPr>
          <w:rFonts w:cstheme="minorHAnsi"/>
          <w:b/>
          <w:bCs/>
          <w:color w:val="BFBFBF" w:themeColor="background1" w:themeShade="BF"/>
        </w:rPr>
        <w:t>:</w:t>
      </w:r>
      <w:r w:rsidR="00092566" w:rsidRPr="007A6CA8">
        <w:rPr>
          <w:rFonts w:cstheme="minorHAnsi"/>
          <w:b/>
          <w:bCs/>
          <w:color w:val="BFBFBF" w:themeColor="background1" w:themeShade="BF"/>
        </w:rPr>
        <w:t xml:space="preserve">  </w:t>
      </w:r>
      <w:r w:rsidR="00092566" w:rsidRPr="007A6CA8">
        <w:rPr>
          <w:rFonts w:cstheme="minorHAnsi"/>
          <w:b/>
          <w:color w:val="BFBFBF" w:themeColor="background1" w:themeShade="BF"/>
        </w:rPr>
        <w:br/>
      </w:r>
    </w:p>
    <w:p w14:paraId="0CABCFFE" w14:textId="57E7DDD4" w:rsidR="00001D73" w:rsidRPr="007A6CA8" w:rsidRDefault="009C7513" w:rsidP="00092566">
      <w:pPr>
        <w:autoSpaceDE w:val="0"/>
        <w:autoSpaceDN w:val="0"/>
        <w:adjustRightInd w:val="0"/>
        <w:spacing w:after="0" w:line="240" w:lineRule="auto"/>
        <w:rPr>
          <w:rFonts w:cstheme="minorHAnsi"/>
          <w:b/>
          <w:bCs/>
          <w:color w:val="BFBFBF" w:themeColor="background1" w:themeShade="BF"/>
        </w:rPr>
      </w:pPr>
      <w:r w:rsidRPr="007A6CA8">
        <w:rPr>
          <w:rFonts w:cstheme="minorHAnsi"/>
          <w:b/>
          <w:bCs/>
          <w:color w:val="BFBFBF" w:themeColor="background1" w:themeShade="BF"/>
        </w:rPr>
        <w:t>2b3</w:t>
      </w:r>
      <w:r w:rsidR="00743E46" w:rsidRPr="007A6CA8">
        <w:rPr>
          <w:rFonts w:cstheme="minorHAnsi"/>
          <w:b/>
          <w:bCs/>
          <w:color w:val="BFBFBF" w:themeColor="background1" w:themeShade="BF"/>
        </w:rPr>
        <w:t>.7</w:t>
      </w:r>
      <w:r w:rsidR="00001D73" w:rsidRPr="007A6CA8">
        <w:rPr>
          <w:rFonts w:cstheme="minorHAnsi"/>
          <w:b/>
          <w:bCs/>
          <w:color w:val="BFBFBF" w:themeColor="background1" w:themeShade="BF"/>
        </w:rPr>
        <w:t xml:space="preserve">. </w:t>
      </w:r>
      <w:r w:rsidR="00743E46" w:rsidRPr="007A6CA8">
        <w:rPr>
          <w:rFonts w:cstheme="minorHAnsi"/>
          <w:b/>
          <w:bCs/>
          <w:color w:val="BFBFBF" w:themeColor="background1" w:themeShade="BF"/>
        </w:rPr>
        <w:t xml:space="preserve">Statistical </w:t>
      </w:r>
      <w:r w:rsidR="00092566" w:rsidRPr="007A6CA8">
        <w:rPr>
          <w:rFonts w:cstheme="minorHAnsi"/>
          <w:b/>
          <w:bCs/>
          <w:color w:val="BFBFBF" w:themeColor="background1" w:themeShade="BF"/>
        </w:rPr>
        <w:t>Risk Model Calibration Statistics</w:t>
      </w:r>
      <w:r w:rsidR="003605B4" w:rsidRPr="007A6CA8">
        <w:rPr>
          <w:rFonts w:cstheme="minorHAnsi"/>
          <w:b/>
          <w:bCs/>
          <w:color w:val="BFBFBF" w:themeColor="background1" w:themeShade="BF"/>
        </w:rPr>
        <w:t xml:space="preserve"> </w:t>
      </w:r>
      <w:r w:rsidR="003605B4" w:rsidRPr="007A6CA8">
        <w:rPr>
          <w:rFonts w:cstheme="minorHAnsi"/>
          <w:bCs/>
          <w:color w:val="BFBFBF" w:themeColor="background1" w:themeShade="BF"/>
        </w:rPr>
        <w:t>(</w:t>
      </w:r>
      <w:r w:rsidR="003605B4" w:rsidRPr="007A6CA8">
        <w:rPr>
          <w:rFonts w:cstheme="minorHAnsi"/>
          <w:bCs/>
          <w:i/>
          <w:color w:val="BFBFBF" w:themeColor="background1" w:themeShade="BF"/>
        </w:rPr>
        <w:t>e.g., Hosmer-Lemeshow statistic</w:t>
      </w:r>
      <w:r w:rsidR="003605B4" w:rsidRPr="007A6CA8">
        <w:rPr>
          <w:rFonts w:cstheme="minorHAnsi"/>
          <w:bCs/>
          <w:color w:val="BFBFBF" w:themeColor="background1" w:themeShade="BF"/>
        </w:rPr>
        <w:t>)</w:t>
      </w:r>
      <w:r w:rsidR="00092566" w:rsidRPr="007A6CA8">
        <w:rPr>
          <w:rFonts w:cstheme="minorHAnsi"/>
          <w:bCs/>
          <w:color w:val="BFBFBF" w:themeColor="background1" w:themeShade="BF"/>
        </w:rPr>
        <w:t xml:space="preserve">:  </w:t>
      </w:r>
      <w:r w:rsidR="00092566" w:rsidRPr="007A6CA8">
        <w:rPr>
          <w:rFonts w:cstheme="minorHAnsi"/>
          <w:bCs/>
          <w:color w:val="BFBFBF" w:themeColor="background1" w:themeShade="BF"/>
        </w:rPr>
        <w:br/>
      </w:r>
    </w:p>
    <w:p w14:paraId="0CABCFFF" w14:textId="7ECFB7AA" w:rsidR="00743E46" w:rsidRPr="007A6CA8" w:rsidRDefault="009C7513" w:rsidP="00092566">
      <w:pPr>
        <w:autoSpaceDE w:val="0"/>
        <w:autoSpaceDN w:val="0"/>
        <w:adjustRightInd w:val="0"/>
        <w:spacing w:after="0" w:line="240" w:lineRule="auto"/>
        <w:rPr>
          <w:rFonts w:cstheme="minorHAnsi"/>
          <w:b/>
          <w:color w:val="BFBFBF" w:themeColor="background1" w:themeShade="BF"/>
        </w:rPr>
      </w:pPr>
      <w:r w:rsidRPr="007A6CA8">
        <w:rPr>
          <w:rFonts w:cstheme="minorHAnsi"/>
          <w:b/>
          <w:bCs/>
          <w:color w:val="BFBFBF" w:themeColor="background1" w:themeShade="BF"/>
        </w:rPr>
        <w:t>2b3</w:t>
      </w:r>
      <w:r w:rsidR="00743E46" w:rsidRPr="007A6CA8">
        <w:rPr>
          <w:rFonts w:cstheme="minorHAnsi"/>
          <w:b/>
          <w:bCs/>
          <w:color w:val="BFBFBF" w:themeColor="background1" w:themeShade="BF"/>
        </w:rPr>
        <w:t>.8</w:t>
      </w:r>
      <w:r w:rsidR="00001D73" w:rsidRPr="007A6CA8">
        <w:rPr>
          <w:rFonts w:cstheme="minorHAnsi"/>
          <w:b/>
          <w:bCs/>
          <w:color w:val="BFBFBF" w:themeColor="background1" w:themeShade="BF"/>
        </w:rPr>
        <w:t xml:space="preserve">. </w:t>
      </w:r>
      <w:r w:rsidR="00743E46" w:rsidRPr="007A6CA8">
        <w:rPr>
          <w:rFonts w:cstheme="minorHAnsi"/>
          <w:b/>
          <w:bCs/>
          <w:color w:val="BFBFBF" w:themeColor="background1" w:themeShade="BF"/>
        </w:rPr>
        <w:t xml:space="preserve">Statistical </w:t>
      </w:r>
      <w:r w:rsidR="00092566" w:rsidRPr="007A6CA8">
        <w:rPr>
          <w:rFonts w:cstheme="minorHAnsi"/>
          <w:b/>
          <w:bCs/>
          <w:color w:val="BFBFBF" w:themeColor="background1" w:themeShade="BF"/>
        </w:rPr>
        <w:t>Risk Model Calibration – Risk decile plots or calibration curves</w:t>
      </w:r>
      <w:r w:rsidR="00092566" w:rsidRPr="007A6CA8">
        <w:rPr>
          <w:rFonts w:cstheme="minorHAnsi"/>
          <w:bCs/>
          <w:color w:val="BFBFBF" w:themeColor="background1" w:themeShade="BF"/>
        </w:rPr>
        <w:t>:</w:t>
      </w:r>
      <w:r w:rsidR="00092566" w:rsidRPr="007A6CA8">
        <w:rPr>
          <w:rFonts w:cstheme="minorHAnsi"/>
          <w:bCs/>
          <w:color w:val="BFBFBF" w:themeColor="background1" w:themeShade="BF"/>
        </w:rPr>
        <w:br/>
      </w:r>
    </w:p>
    <w:p w14:paraId="0CABD000" w14:textId="2277C090" w:rsidR="00092566" w:rsidRPr="007A6CA8" w:rsidRDefault="009C7513" w:rsidP="00092566">
      <w:pPr>
        <w:autoSpaceDE w:val="0"/>
        <w:autoSpaceDN w:val="0"/>
        <w:adjustRightInd w:val="0"/>
        <w:spacing w:after="0" w:line="240" w:lineRule="auto"/>
        <w:rPr>
          <w:rFonts w:cstheme="minorHAnsi"/>
          <w:bCs/>
          <w:color w:val="BFBFBF" w:themeColor="background1" w:themeShade="BF"/>
        </w:rPr>
      </w:pPr>
      <w:bookmarkStart w:id="14" w:name="question2b49"/>
      <w:bookmarkEnd w:id="14"/>
      <w:r w:rsidRPr="007A6CA8">
        <w:rPr>
          <w:rFonts w:cstheme="minorHAnsi"/>
          <w:b/>
          <w:color w:val="BFBFBF" w:themeColor="background1" w:themeShade="BF"/>
        </w:rPr>
        <w:t>2b3</w:t>
      </w:r>
      <w:r w:rsidR="00743E46" w:rsidRPr="007A6CA8">
        <w:rPr>
          <w:rFonts w:cstheme="minorHAnsi"/>
          <w:b/>
          <w:color w:val="BFBFBF" w:themeColor="background1" w:themeShade="BF"/>
        </w:rPr>
        <w:t>.9</w:t>
      </w:r>
      <w:r w:rsidR="00001D73" w:rsidRPr="007A6CA8">
        <w:rPr>
          <w:rFonts w:cstheme="minorHAnsi"/>
          <w:b/>
          <w:color w:val="BFBFBF" w:themeColor="background1" w:themeShade="BF"/>
        </w:rPr>
        <w:t xml:space="preserve">. Results of </w:t>
      </w:r>
      <w:r w:rsidR="00092566" w:rsidRPr="007A6CA8">
        <w:rPr>
          <w:rFonts w:cstheme="minorHAnsi"/>
          <w:b/>
          <w:color w:val="BFBFBF" w:themeColor="background1" w:themeShade="BF"/>
        </w:rPr>
        <w:t>Risk Stratification Analysis</w:t>
      </w:r>
      <w:r w:rsidR="00092566" w:rsidRPr="007A6CA8">
        <w:rPr>
          <w:rFonts w:cstheme="minorHAnsi"/>
          <w:color w:val="BFBFBF" w:themeColor="background1" w:themeShade="BF"/>
        </w:rPr>
        <w:t xml:space="preserve">: </w:t>
      </w:r>
      <w:r w:rsidR="00092566" w:rsidRPr="007A6CA8">
        <w:rPr>
          <w:rFonts w:cstheme="minorHAnsi"/>
          <w:bCs/>
          <w:color w:val="BFBFBF" w:themeColor="background1" w:themeShade="BF"/>
        </w:rPr>
        <w:t xml:space="preserve"> </w:t>
      </w:r>
    </w:p>
    <w:p w14:paraId="0CABD001" w14:textId="77777777" w:rsidR="00092566" w:rsidRPr="007A6CA8" w:rsidRDefault="00092566" w:rsidP="00092566">
      <w:pPr>
        <w:pStyle w:val="ListParagraph"/>
        <w:rPr>
          <w:rFonts w:cstheme="minorHAnsi"/>
          <w:bCs/>
          <w:color w:val="BFBFBF" w:themeColor="background1" w:themeShade="BF"/>
        </w:rPr>
      </w:pPr>
    </w:p>
    <w:p w14:paraId="0CABD002" w14:textId="35305BFC" w:rsidR="00092566" w:rsidRPr="007A6CA8" w:rsidRDefault="009C7513" w:rsidP="00092566">
      <w:pPr>
        <w:autoSpaceDE w:val="0"/>
        <w:autoSpaceDN w:val="0"/>
        <w:adjustRightInd w:val="0"/>
        <w:spacing w:after="0" w:line="240" w:lineRule="auto"/>
        <w:rPr>
          <w:rFonts w:cstheme="minorHAnsi"/>
          <w:bCs/>
          <w:color w:val="BFBFBF" w:themeColor="background1" w:themeShade="BF"/>
        </w:rPr>
      </w:pPr>
      <w:r w:rsidRPr="007A6CA8">
        <w:rPr>
          <w:rFonts w:cstheme="minorHAnsi"/>
          <w:b/>
          <w:bCs/>
          <w:color w:val="BFBFBF" w:themeColor="background1" w:themeShade="BF"/>
        </w:rPr>
        <w:t>2b3</w:t>
      </w:r>
      <w:r w:rsidR="00743E46" w:rsidRPr="007A6CA8">
        <w:rPr>
          <w:rFonts w:cstheme="minorHAnsi"/>
          <w:b/>
          <w:bCs/>
          <w:color w:val="BFBFBF" w:themeColor="background1" w:themeShade="BF"/>
        </w:rPr>
        <w:t>.10</w:t>
      </w:r>
      <w:r w:rsidR="00001D73" w:rsidRPr="007A6CA8">
        <w:rPr>
          <w:rFonts w:cstheme="minorHAnsi"/>
          <w:b/>
          <w:bCs/>
          <w:color w:val="BFBFBF" w:themeColor="background1" w:themeShade="BF"/>
        </w:rPr>
        <w:t xml:space="preserve">. </w:t>
      </w:r>
      <w:r w:rsidR="00092566" w:rsidRPr="007A6CA8">
        <w:rPr>
          <w:rFonts w:cstheme="minorHAnsi"/>
          <w:b/>
          <w:bCs/>
          <w:color w:val="BFBFBF" w:themeColor="background1" w:themeShade="BF"/>
        </w:rPr>
        <w:t>What is your interpretation of the results in terms of demonstrating adequacy of controlling for differences in patient characteristics (case mix)?</w:t>
      </w:r>
      <w:r w:rsidR="00092566" w:rsidRPr="007A6CA8">
        <w:rPr>
          <w:rFonts w:cstheme="minorHAnsi"/>
          <w:bCs/>
          <w:color w:val="BFBFBF" w:themeColor="background1" w:themeShade="BF"/>
        </w:rPr>
        <w:t xml:space="preserve"> (i</w:t>
      </w:r>
      <w:r w:rsidR="00092566" w:rsidRPr="007A6CA8">
        <w:rPr>
          <w:rFonts w:cstheme="minorHAnsi"/>
          <w:bCs/>
          <w:i/>
          <w:color w:val="BFBFBF" w:themeColor="background1" w:themeShade="BF"/>
        </w:rPr>
        <w:t>.e., what do the results mean and what are the norms for the test conducted</w:t>
      </w:r>
      <w:r w:rsidR="00092566" w:rsidRPr="007A6CA8">
        <w:rPr>
          <w:rFonts w:cstheme="minorHAnsi"/>
          <w:bCs/>
          <w:color w:val="BFBFBF" w:themeColor="background1" w:themeShade="BF"/>
        </w:rPr>
        <w:t>)</w:t>
      </w:r>
      <w:r w:rsidR="00092566" w:rsidRPr="007A6CA8">
        <w:rPr>
          <w:rFonts w:cstheme="minorHAnsi"/>
          <w:bCs/>
          <w:color w:val="BFBFBF" w:themeColor="background1" w:themeShade="BF"/>
        </w:rPr>
        <w:br/>
      </w:r>
    </w:p>
    <w:p w14:paraId="0CABD003" w14:textId="77777777" w:rsidR="00092566" w:rsidRPr="007A6CA8" w:rsidRDefault="00092566" w:rsidP="00092566">
      <w:pPr>
        <w:spacing w:after="0" w:line="240" w:lineRule="auto"/>
        <w:rPr>
          <w:rFonts w:cstheme="minorHAnsi"/>
          <w:color w:val="BFBFBF" w:themeColor="background1" w:themeShade="BF"/>
        </w:rPr>
      </w:pPr>
    </w:p>
    <w:p w14:paraId="0CABD004" w14:textId="74D8FEB4" w:rsidR="00021170" w:rsidRPr="007A6CA8" w:rsidRDefault="009C7513" w:rsidP="009B1A15">
      <w:pPr>
        <w:spacing w:after="0" w:line="240" w:lineRule="auto"/>
        <w:rPr>
          <w:rFonts w:cstheme="minorHAnsi"/>
          <w:color w:val="BFBFBF" w:themeColor="background1" w:themeShade="BF"/>
        </w:rPr>
      </w:pPr>
      <w:r w:rsidRPr="007A6CA8">
        <w:rPr>
          <w:rFonts w:cstheme="minorHAnsi"/>
          <w:b/>
          <w:color w:val="BFBFBF" w:themeColor="background1" w:themeShade="BF"/>
        </w:rPr>
        <w:t>2b3</w:t>
      </w:r>
      <w:r w:rsidR="009B1A15" w:rsidRPr="007A6CA8">
        <w:rPr>
          <w:rFonts w:cstheme="minorHAnsi"/>
          <w:b/>
          <w:color w:val="BFBFBF" w:themeColor="background1" w:themeShade="BF"/>
        </w:rPr>
        <w:t>.11.</w:t>
      </w:r>
      <w:r w:rsidR="009B1A15" w:rsidRPr="007A6CA8">
        <w:rPr>
          <w:rFonts w:cstheme="minorHAnsi"/>
          <w:color w:val="BFBFBF" w:themeColor="background1" w:themeShade="BF"/>
        </w:rPr>
        <w:t xml:space="preserve"> </w:t>
      </w:r>
      <w:r w:rsidR="00092566" w:rsidRPr="007A6CA8">
        <w:rPr>
          <w:rFonts w:cstheme="minorHAnsi"/>
          <w:b/>
          <w:color w:val="BFBFBF" w:themeColor="background1" w:themeShade="BF"/>
        </w:rPr>
        <w:t>Optional</w:t>
      </w:r>
      <w:r w:rsidR="009B1A15" w:rsidRPr="007A6CA8">
        <w:rPr>
          <w:rFonts w:cstheme="minorHAnsi"/>
          <w:b/>
          <w:color w:val="BFBFBF" w:themeColor="background1" w:themeShade="BF"/>
        </w:rPr>
        <w:t xml:space="preserve"> Additional Testing</w:t>
      </w:r>
      <w:r w:rsidR="004756E1" w:rsidRPr="007A6CA8">
        <w:rPr>
          <w:rFonts w:cstheme="minorHAnsi"/>
          <w:b/>
          <w:color w:val="BFBFBF" w:themeColor="background1" w:themeShade="BF"/>
        </w:rPr>
        <w:t xml:space="preserve"> for Risk Adjustment</w:t>
      </w:r>
      <w:r w:rsidR="00092566" w:rsidRPr="007A6CA8">
        <w:rPr>
          <w:rFonts w:cstheme="minorHAnsi"/>
          <w:b/>
          <w:color w:val="BFBFBF" w:themeColor="background1" w:themeShade="BF"/>
        </w:rPr>
        <w:t xml:space="preserve"> </w:t>
      </w:r>
      <w:r w:rsidR="00092566" w:rsidRPr="007A6CA8">
        <w:rPr>
          <w:rFonts w:cstheme="minorHAnsi"/>
          <w:color w:val="BFBFBF" w:themeColor="background1" w:themeShade="BF"/>
        </w:rPr>
        <w:t>(</w:t>
      </w:r>
      <w:r w:rsidR="00092566" w:rsidRPr="007A6CA8">
        <w:rPr>
          <w:rFonts w:cstheme="minorHAnsi"/>
          <w:i/>
          <w:color w:val="BFBFBF" w:themeColor="background1" w:themeShade="BF"/>
          <w:u w:val="single"/>
        </w:rPr>
        <w:t>not required</w:t>
      </w:r>
      <w:r w:rsidR="00092566" w:rsidRPr="007A6CA8">
        <w:rPr>
          <w:rFonts w:cstheme="minorHAnsi"/>
          <w:i/>
          <w:color w:val="BFBFBF" w:themeColor="background1" w:themeShade="BF"/>
        </w:rPr>
        <w:t>, but would provide additional support of adequacy of risk model</w:t>
      </w:r>
      <w:r w:rsidR="009B1A15" w:rsidRPr="007A6CA8">
        <w:rPr>
          <w:rFonts w:cstheme="minorHAnsi"/>
          <w:i/>
          <w:color w:val="BFBFBF" w:themeColor="background1" w:themeShade="BF"/>
        </w:rPr>
        <w:t>, e.g., testing of risk model in another data se</w:t>
      </w:r>
      <w:r w:rsidR="002408E4" w:rsidRPr="007A6CA8">
        <w:rPr>
          <w:rFonts w:cstheme="minorHAnsi"/>
          <w:i/>
          <w:color w:val="BFBFBF" w:themeColor="background1" w:themeShade="BF"/>
        </w:rPr>
        <w:t>t</w:t>
      </w:r>
      <w:r w:rsidR="009B1A15" w:rsidRPr="007A6CA8">
        <w:rPr>
          <w:rFonts w:cstheme="minorHAnsi"/>
          <w:i/>
          <w:color w:val="BFBFBF" w:themeColor="background1" w:themeShade="BF"/>
        </w:rPr>
        <w:t>; sensitivity analysis for missing data</w:t>
      </w:r>
      <w:r w:rsidR="002408E4" w:rsidRPr="007A6CA8">
        <w:rPr>
          <w:rFonts w:cstheme="minorHAnsi"/>
          <w:i/>
          <w:color w:val="BFBFBF" w:themeColor="background1" w:themeShade="BF"/>
        </w:rPr>
        <w:t>;</w:t>
      </w:r>
      <w:r w:rsidR="009B1A15" w:rsidRPr="007A6CA8">
        <w:rPr>
          <w:rFonts w:cstheme="minorHAnsi"/>
          <w:i/>
          <w:color w:val="BFBFBF" w:themeColor="background1" w:themeShade="BF"/>
        </w:rPr>
        <w:t xml:space="preserve"> other methods</w:t>
      </w:r>
      <w:r w:rsidR="008F7E67" w:rsidRPr="007A6CA8">
        <w:rPr>
          <w:rFonts w:cstheme="minorHAnsi"/>
          <w:i/>
          <w:color w:val="BFBFBF" w:themeColor="background1" w:themeShade="BF"/>
        </w:rPr>
        <w:t xml:space="preserve"> that were assessed</w:t>
      </w:r>
      <w:r w:rsidR="009B1A15" w:rsidRPr="007A6CA8">
        <w:rPr>
          <w:rFonts w:cstheme="minorHAnsi"/>
          <w:color w:val="BFBFBF" w:themeColor="background1" w:themeShade="BF"/>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5" w:name="section2b5"/>
      <w:bookmarkEnd w:id="15"/>
      <w:r>
        <w:rPr>
          <w:rFonts w:cstheme="minorHAnsi"/>
          <w:b/>
          <w:bCs/>
        </w:rPr>
        <w:t>2b4</w:t>
      </w:r>
      <w:r w:rsidR="00D61410" w:rsidRPr="00A25024">
        <w:rPr>
          <w:rFonts w:cstheme="minorHAnsi"/>
          <w:b/>
          <w:bCs/>
        </w:rPr>
        <w:t>. IDENTIFICATION OF STATISTICALLY SIGNIFICANT &amp; MEANINGFUL DIFFERENCES IN PERFORMANCE</w:t>
      </w:r>
    </w:p>
    <w:p w14:paraId="0CABD008" w14:textId="0B3D46AE" w:rsidR="00D61410" w:rsidRDefault="009C7513" w:rsidP="00D61410">
      <w:pPr>
        <w:autoSpaceDE w:val="0"/>
        <w:autoSpaceDN w:val="0"/>
        <w:adjustRightInd w:val="0"/>
        <w:spacing w:after="0" w:line="240" w:lineRule="auto"/>
        <w:rPr>
          <w:rFonts w:cstheme="minorHAnsi"/>
          <w:b/>
          <w:color w:val="FF0000"/>
          <w:u w:val="single"/>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C23126">
        <w:rPr>
          <w:rFonts w:cstheme="minorHAnsi"/>
          <w:b/>
          <w:color w:val="FF0000"/>
          <w:u w:val="single"/>
        </w:rPr>
        <w:t>2020 Submission</w:t>
      </w:r>
    </w:p>
    <w:p w14:paraId="6CC5F235" w14:textId="77777777" w:rsidR="00505F98" w:rsidRPr="00505F98" w:rsidRDefault="00505F98" w:rsidP="00505F98">
      <w:pPr>
        <w:autoSpaceDE w:val="0"/>
        <w:autoSpaceDN w:val="0"/>
        <w:adjustRightInd w:val="0"/>
        <w:spacing w:after="0" w:line="240" w:lineRule="auto"/>
        <w:rPr>
          <w:rFonts w:cstheme="minorHAnsi"/>
          <w:bCs/>
          <w:color w:val="FF0000"/>
        </w:rPr>
      </w:pPr>
      <w:r w:rsidRPr="00505F98">
        <w:rPr>
          <w:rFonts w:cstheme="minorHAnsi"/>
          <w:bCs/>
          <w:color w:val="FF0000"/>
        </w:rPr>
        <w:t xml:space="preserve">To demonstrate meaningful differences in performance, NCQA calculates an inter-quartile range (IQR) for each indicator. The IQR provides a measure of the dispersion of performance. The IQR can be interpreted as the difference between the 25th and 75th percentile on a measure. </w:t>
      </w:r>
    </w:p>
    <w:p w14:paraId="4E012851" w14:textId="77777777" w:rsidR="00505F98" w:rsidRDefault="00505F98" w:rsidP="00505F98">
      <w:pPr>
        <w:autoSpaceDE w:val="0"/>
        <w:autoSpaceDN w:val="0"/>
        <w:adjustRightInd w:val="0"/>
        <w:spacing w:after="0" w:line="240" w:lineRule="auto"/>
        <w:rPr>
          <w:rFonts w:cstheme="minorHAnsi"/>
          <w:bCs/>
          <w:color w:val="FF0000"/>
        </w:rPr>
      </w:pPr>
    </w:p>
    <w:p w14:paraId="0CABD009" w14:textId="27268620" w:rsidR="00D61410" w:rsidRDefault="00505F98" w:rsidP="00505F98">
      <w:pPr>
        <w:autoSpaceDE w:val="0"/>
        <w:autoSpaceDN w:val="0"/>
        <w:adjustRightInd w:val="0"/>
        <w:spacing w:after="0" w:line="240" w:lineRule="auto"/>
      </w:pPr>
      <w:r w:rsidRPr="77A55900">
        <w:rPr>
          <w:color w:val="FF0000"/>
        </w:rPr>
        <w:t xml:space="preserve">To determine if this difference is statistically significant, NCQA calculates an independent sample t-test of the performance difference between two randomly selected plans at the below 25th and above 75th percentile groups. The t-test method calculates a testing statistic based on the sample size, performance rate, and standard error of each plan. The test statistic is then compared against a </w:t>
      </w:r>
      <w:r w:rsidR="006F48BE">
        <w:rPr>
          <w:color w:val="FF0000"/>
        </w:rPr>
        <w:t xml:space="preserve">t distribution, which is similar to a </w:t>
      </w:r>
      <w:r w:rsidRPr="77A55900">
        <w:rPr>
          <w:color w:val="FF0000"/>
        </w:rPr>
        <w:t>normal distribution. If the p-value of the test statistic is less than .05, then the two plans’ performance is significantly different from each other.</w:t>
      </w:r>
    </w:p>
    <w:p w14:paraId="1A7E1F9A" w14:textId="77777777" w:rsidR="00505F98" w:rsidRDefault="00505F98" w:rsidP="007D2E83">
      <w:pPr>
        <w:pStyle w:val="paragraph"/>
        <w:spacing w:before="0" w:beforeAutospacing="0" w:after="0" w:afterAutospacing="0"/>
        <w:textAlignment w:val="baseline"/>
        <w:rPr>
          <w:rStyle w:val="normaltextrun"/>
          <w:rFonts w:ascii="Calibri" w:hAnsi="Calibri" w:cs="Calibri"/>
          <w:b/>
          <w:bCs/>
          <w:color w:val="4F81BD"/>
          <w:sz w:val="22"/>
          <w:szCs w:val="22"/>
          <w:u w:val="single"/>
        </w:rPr>
      </w:pPr>
    </w:p>
    <w:p w14:paraId="3E398BE0" w14:textId="1D74877A" w:rsidR="007D2E83" w:rsidRDefault="007D2E83" w:rsidP="007D2E8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40B7D875" w14:textId="0E68B114" w:rsidR="007D2E83" w:rsidRPr="00DB7A30" w:rsidRDefault="00DB7A30" w:rsidP="007D2E83">
      <w:pPr>
        <w:autoSpaceDE w:val="0"/>
        <w:autoSpaceDN w:val="0"/>
        <w:adjustRightInd w:val="0"/>
        <w:spacing w:after="0" w:line="240" w:lineRule="auto"/>
        <w:rPr>
          <w:rFonts w:cstheme="minorHAnsi"/>
          <w:bCs/>
          <w:color w:val="4F81BD" w:themeColor="accent1"/>
        </w:rPr>
      </w:pPr>
      <w:r w:rsidRPr="00DB7A30">
        <w:rPr>
          <w:rFonts w:cstheme="minorHAnsi"/>
          <w:bCs/>
          <w:color w:val="4F81BD" w:themeColor="accent1"/>
        </w:rPr>
        <w:t>Comparison of means and percentiles; analysis of variance against established benchmarks: if sample size is &gt;400, we would use an analysis of variance.</w:t>
      </w:r>
    </w:p>
    <w:p w14:paraId="0F68B021" w14:textId="77777777" w:rsidR="007D2E83" w:rsidRPr="00A25024" w:rsidRDefault="007D2E83" w:rsidP="00D61410">
      <w:pPr>
        <w:autoSpaceDE w:val="0"/>
        <w:autoSpaceDN w:val="0"/>
        <w:adjustRightInd w:val="0"/>
        <w:spacing w:after="0" w:line="240" w:lineRule="auto"/>
        <w:rPr>
          <w:rFonts w:cstheme="minorHAnsi"/>
          <w:bCs/>
        </w:rPr>
      </w:pPr>
    </w:p>
    <w:p w14:paraId="0CABD00A" w14:textId="28AAE499" w:rsidR="00D61410" w:rsidRDefault="009C7513" w:rsidP="00D61410">
      <w:pPr>
        <w:autoSpaceDE w:val="0"/>
        <w:autoSpaceDN w:val="0"/>
        <w:adjustRightInd w:val="0"/>
        <w:spacing w:after="0" w:line="240" w:lineRule="auto"/>
        <w:rPr>
          <w:rFonts w:cstheme="minorHAnsi"/>
          <w:b/>
          <w:color w:val="FF0000"/>
          <w:u w:val="single"/>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DE401B">
        <w:rPr>
          <w:rFonts w:cstheme="minorHAnsi"/>
          <w:b/>
          <w:color w:val="FF0000"/>
          <w:u w:val="single"/>
        </w:rPr>
        <w:t>2020 Submission</w:t>
      </w:r>
    </w:p>
    <w:p w14:paraId="3F109341" w14:textId="4D727E9C" w:rsidR="00DA520B" w:rsidRDefault="00DA520B" w:rsidP="00D61410">
      <w:pPr>
        <w:autoSpaceDE w:val="0"/>
        <w:autoSpaceDN w:val="0"/>
        <w:adjustRightInd w:val="0"/>
        <w:spacing w:after="0" w:line="240" w:lineRule="auto"/>
        <w:rPr>
          <w:rFonts w:cstheme="minorHAnsi"/>
          <w:bCs/>
          <w:color w:val="FF0000"/>
        </w:rPr>
      </w:pPr>
    </w:p>
    <w:p w14:paraId="3C6FF2A6" w14:textId="281E6B98" w:rsidR="00DA520B" w:rsidRDefault="00DA520B" w:rsidP="00D61410">
      <w:pPr>
        <w:autoSpaceDE w:val="0"/>
        <w:autoSpaceDN w:val="0"/>
        <w:adjustRightInd w:val="0"/>
        <w:spacing w:after="0" w:line="240" w:lineRule="auto"/>
        <w:rPr>
          <w:rFonts w:cstheme="minorHAnsi"/>
          <w:bCs/>
          <w:color w:val="FF0000"/>
        </w:rPr>
      </w:pPr>
      <w:r>
        <w:rPr>
          <w:rFonts w:cstheme="minorHAnsi"/>
          <w:bCs/>
          <w:color w:val="FF0000"/>
        </w:rPr>
        <w:t xml:space="preserve">Table </w:t>
      </w:r>
      <w:r w:rsidR="00D722E2">
        <w:rPr>
          <w:rFonts w:cstheme="minorHAnsi"/>
          <w:bCs/>
          <w:color w:val="FF0000"/>
        </w:rPr>
        <w:t>4</w:t>
      </w:r>
      <w:r>
        <w:rPr>
          <w:rFonts w:cstheme="minorHAnsi"/>
          <w:bCs/>
          <w:color w:val="FF0000"/>
        </w:rPr>
        <w:t xml:space="preserve">. </w:t>
      </w:r>
      <w:r w:rsidR="00AF5305">
        <w:rPr>
          <w:rFonts w:cstheme="minorHAnsi"/>
          <w:bCs/>
          <w:color w:val="FF0000"/>
        </w:rPr>
        <w:t xml:space="preserve">Variation in Performance, </w:t>
      </w:r>
      <w:r w:rsidR="0049549E">
        <w:rPr>
          <w:rFonts w:cstheme="minorHAnsi"/>
          <w:bCs/>
          <w:color w:val="FF0000"/>
        </w:rPr>
        <w:t>2018</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5"/>
        <w:gridCol w:w="1514"/>
        <w:gridCol w:w="526"/>
        <w:gridCol w:w="1260"/>
        <w:gridCol w:w="810"/>
        <w:gridCol w:w="558"/>
        <w:gridCol w:w="558"/>
        <w:gridCol w:w="558"/>
        <w:gridCol w:w="558"/>
        <w:gridCol w:w="558"/>
        <w:gridCol w:w="558"/>
        <w:gridCol w:w="558"/>
        <w:gridCol w:w="558"/>
        <w:gridCol w:w="396"/>
        <w:gridCol w:w="720"/>
      </w:tblGrid>
      <w:tr w:rsidR="00092CFD" w:rsidRPr="00940F45" w14:paraId="52BD527C" w14:textId="77777777" w:rsidTr="00DA0EAE">
        <w:trPr>
          <w:trHeight w:val="420"/>
        </w:trPr>
        <w:tc>
          <w:tcPr>
            <w:tcW w:w="565" w:type="dxa"/>
            <w:shd w:val="clear" w:color="auto" w:fill="auto"/>
            <w:hideMark/>
          </w:tcPr>
          <w:p w14:paraId="1BCCFFEC" w14:textId="52D81BB5"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Year </w:t>
            </w:r>
          </w:p>
        </w:tc>
        <w:tc>
          <w:tcPr>
            <w:tcW w:w="1514" w:type="dxa"/>
          </w:tcPr>
          <w:p w14:paraId="3EC38F28" w14:textId="67AA2229" w:rsidR="002B6167" w:rsidRPr="00940F45" w:rsidRDefault="00FF20E8"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Measure</w:t>
            </w:r>
          </w:p>
        </w:tc>
        <w:tc>
          <w:tcPr>
            <w:tcW w:w="526" w:type="dxa"/>
            <w:shd w:val="clear" w:color="auto" w:fill="auto"/>
            <w:hideMark/>
          </w:tcPr>
          <w:p w14:paraId="2282B782" w14:textId="43C8D04B" w:rsidR="002B6167" w:rsidRPr="00940F45" w:rsidRDefault="004A6A30"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N</w:t>
            </w:r>
            <w:r w:rsidR="002B6167" w:rsidRPr="00940F45">
              <w:rPr>
                <w:rFonts w:eastAsia="Times New Roman" w:cstheme="minorHAnsi"/>
                <w:color w:val="FF0000"/>
                <w:sz w:val="20"/>
                <w:szCs w:val="20"/>
              </w:rPr>
              <w:t> </w:t>
            </w:r>
          </w:p>
        </w:tc>
        <w:tc>
          <w:tcPr>
            <w:tcW w:w="1260" w:type="dxa"/>
            <w:shd w:val="clear" w:color="auto" w:fill="auto"/>
            <w:hideMark/>
          </w:tcPr>
          <w:p w14:paraId="0BC6C79A" w14:textId="77777777"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Mean eligible population </w:t>
            </w:r>
          </w:p>
        </w:tc>
        <w:tc>
          <w:tcPr>
            <w:tcW w:w="810" w:type="dxa"/>
            <w:shd w:val="clear" w:color="auto" w:fill="auto"/>
            <w:hideMark/>
          </w:tcPr>
          <w:p w14:paraId="38912B44" w14:textId="77777777" w:rsidR="00FF20E8"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Mean </w:t>
            </w:r>
          </w:p>
          <w:p w14:paraId="63E41C76" w14:textId="3A506075"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rate (%) </w:t>
            </w:r>
          </w:p>
        </w:tc>
        <w:tc>
          <w:tcPr>
            <w:tcW w:w="558" w:type="dxa"/>
          </w:tcPr>
          <w:p w14:paraId="514A4F36" w14:textId="3F148889"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SD</w:t>
            </w:r>
          </w:p>
        </w:tc>
        <w:tc>
          <w:tcPr>
            <w:tcW w:w="558" w:type="dxa"/>
            <w:shd w:val="clear" w:color="auto" w:fill="auto"/>
            <w:hideMark/>
          </w:tcPr>
          <w:p w14:paraId="4124B994" w14:textId="680635C9"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Min </w:t>
            </w:r>
          </w:p>
        </w:tc>
        <w:tc>
          <w:tcPr>
            <w:tcW w:w="558" w:type="dxa"/>
          </w:tcPr>
          <w:p w14:paraId="418B935E" w14:textId="0C559467" w:rsidR="002B6167" w:rsidRPr="00940F45" w:rsidRDefault="00152E4D"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w:t>
            </w:r>
            <w:r w:rsidR="002B6167" w:rsidRPr="00940F45">
              <w:rPr>
                <w:rFonts w:eastAsia="Times New Roman" w:cstheme="minorHAnsi"/>
                <w:color w:val="FF0000"/>
                <w:sz w:val="20"/>
                <w:szCs w:val="20"/>
              </w:rPr>
              <w:t>10</w:t>
            </w:r>
          </w:p>
        </w:tc>
        <w:tc>
          <w:tcPr>
            <w:tcW w:w="558" w:type="dxa"/>
            <w:shd w:val="clear" w:color="auto" w:fill="auto"/>
            <w:hideMark/>
          </w:tcPr>
          <w:p w14:paraId="38F02D05" w14:textId="3327C848" w:rsidR="002B6167" w:rsidRPr="00940F45" w:rsidRDefault="00152E4D"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w:t>
            </w:r>
            <w:r w:rsidR="002B6167" w:rsidRPr="00940F45">
              <w:rPr>
                <w:rFonts w:eastAsia="Times New Roman" w:cstheme="minorHAnsi"/>
                <w:color w:val="FF0000"/>
                <w:sz w:val="20"/>
                <w:szCs w:val="20"/>
              </w:rPr>
              <w:t>25   </w:t>
            </w:r>
          </w:p>
        </w:tc>
        <w:tc>
          <w:tcPr>
            <w:tcW w:w="558" w:type="dxa"/>
            <w:shd w:val="clear" w:color="auto" w:fill="auto"/>
            <w:hideMark/>
          </w:tcPr>
          <w:p w14:paraId="70FBF2E1" w14:textId="573AA0B3" w:rsidR="002B6167" w:rsidRPr="00940F45" w:rsidRDefault="006A08A6"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P50</w:t>
            </w:r>
          </w:p>
        </w:tc>
        <w:tc>
          <w:tcPr>
            <w:tcW w:w="558" w:type="dxa"/>
            <w:shd w:val="clear" w:color="auto" w:fill="auto"/>
            <w:hideMark/>
          </w:tcPr>
          <w:p w14:paraId="0CA18852" w14:textId="26D19CDD" w:rsidR="002B6167" w:rsidRPr="00940F45" w:rsidRDefault="006A08A6"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P75</w:t>
            </w:r>
            <w:r w:rsidR="002B6167" w:rsidRPr="00940F45">
              <w:rPr>
                <w:rFonts w:eastAsia="Times New Roman" w:cstheme="minorHAnsi"/>
                <w:color w:val="FF0000"/>
                <w:sz w:val="20"/>
                <w:szCs w:val="20"/>
              </w:rPr>
              <w:t>   </w:t>
            </w:r>
          </w:p>
        </w:tc>
        <w:tc>
          <w:tcPr>
            <w:tcW w:w="558" w:type="dxa"/>
            <w:shd w:val="clear" w:color="auto" w:fill="auto"/>
            <w:hideMark/>
          </w:tcPr>
          <w:p w14:paraId="2BF75887" w14:textId="4A4E093D" w:rsidR="002B6167" w:rsidRPr="00940F45" w:rsidRDefault="006A08A6"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P90</w:t>
            </w:r>
            <w:r w:rsidR="002B6167" w:rsidRPr="00940F45">
              <w:rPr>
                <w:rFonts w:eastAsia="Times New Roman" w:cstheme="minorHAnsi"/>
                <w:color w:val="FF0000"/>
                <w:sz w:val="20"/>
                <w:szCs w:val="20"/>
              </w:rPr>
              <w:t>  </w:t>
            </w:r>
          </w:p>
        </w:tc>
        <w:tc>
          <w:tcPr>
            <w:tcW w:w="558" w:type="dxa"/>
            <w:shd w:val="clear" w:color="auto" w:fill="auto"/>
            <w:hideMark/>
          </w:tcPr>
          <w:p w14:paraId="4B0C095C" w14:textId="77777777"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Max </w:t>
            </w:r>
          </w:p>
        </w:tc>
        <w:tc>
          <w:tcPr>
            <w:tcW w:w="396" w:type="dxa"/>
            <w:shd w:val="clear" w:color="auto" w:fill="auto"/>
            <w:hideMark/>
          </w:tcPr>
          <w:p w14:paraId="27CFF1DB" w14:textId="77777777"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IQR </w:t>
            </w:r>
          </w:p>
        </w:tc>
        <w:tc>
          <w:tcPr>
            <w:tcW w:w="720" w:type="dxa"/>
            <w:shd w:val="clear" w:color="auto" w:fill="auto"/>
            <w:hideMark/>
          </w:tcPr>
          <w:p w14:paraId="6F7E1375" w14:textId="77777777" w:rsidR="002B6167" w:rsidRPr="00940F45" w:rsidRDefault="002B6167" w:rsidP="00756948">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p-value </w:t>
            </w:r>
          </w:p>
        </w:tc>
      </w:tr>
      <w:tr w:rsidR="00092CFD" w:rsidRPr="00940F45" w14:paraId="04DCBCDC" w14:textId="77777777" w:rsidTr="00DA0EAE">
        <w:tc>
          <w:tcPr>
            <w:tcW w:w="565" w:type="dxa"/>
            <w:shd w:val="clear" w:color="auto" w:fill="auto"/>
          </w:tcPr>
          <w:p w14:paraId="224D2743" w14:textId="62130BDD" w:rsidR="00E56377" w:rsidRPr="00940F45" w:rsidRDefault="00E56377" w:rsidP="00E56377">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2018</w:t>
            </w:r>
          </w:p>
        </w:tc>
        <w:tc>
          <w:tcPr>
            <w:tcW w:w="1514" w:type="dxa"/>
          </w:tcPr>
          <w:p w14:paraId="4516F635" w14:textId="0A4A33B4" w:rsidR="00E56377" w:rsidRPr="00940F45" w:rsidRDefault="007F2C7F" w:rsidP="00E56377">
            <w:pPr>
              <w:spacing w:after="0" w:line="240" w:lineRule="auto"/>
              <w:textAlignment w:val="baseline"/>
              <w:rPr>
                <w:rFonts w:eastAsia="Times New Roman" w:cstheme="minorHAnsi"/>
                <w:color w:val="FF0000"/>
                <w:sz w:val="20"/>
                <w:szCs w:val="20"/>
              </w:rPr>
            </w:pPr>
            <w:r w:rsidRPr="007F2C7F">
              <w:rPr>
                <w:rFonts w:eastAsia="Times New Roman" w:cstheme="minorHAnsi"/>
                <w:i/>
                <w:iCs/>
                <w:color w:val="FF0000"/>
                <w:sz w:val="20"/>
                <w:szCs w:val="20"/>
              </w:rPr>
              <w:t>Use of High-Risk Medications in Older Adults</w:t>
            </w:r>
          </w:p>
        </w:tc>
        <w:tc>
          <w:tcPr>
            <w:tcW w:w="526" w:type="dxa"/>
            <w:shd w:val="clear" w:color="auto" w:fill="auto"/>
          </w:tcPr>
          <w:p w14:paraId="04E7EBBE" w14:textId="58300DDC" w:rsidR="00E56377" w:rsidRPr="00940F45" w:rsidRDefault="00AB6978" w:rsidP="00E56377">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502</w:t>
            </w:r>
          </w:p>
        </w:tc>
        <w:tc>
          <w:tcPr>
            <w:tcW w:w="1260" w:type="dxa"/>
            <w:shd w:val="clear" w:color="auto" w:fill="auto"/>
          </w:tcPr>
          <w:p w14:paraId="504B868E" w14:textId="0602B4ED" w:rsidR="00E56377" w:rsidRPr="00940F45" w:rsidRDefault="00514448" w:rsidP="00E56377">
            <w:pPr>
              <w:spacing w:after="0" w:line="240" w:lineRule="auto"/>
              <w:textAlignment w:val="baseline"/>
              <w:rPr>
                <w:rFonts w:eastAsia="Times New Roman" w:cstheme="minorHAnsi"/>
                <w:color w:val="FF0000"/>
                <w:sz w:val="20"/>
                <w:szCs w:val="20"/>
              </w:rPr>
            </w:pPr>
            <w:r w:rsidRPr="00514448">
              <w:rPr>
                <w:rFonts w:eastAsia="Times New Roman" w:cstheme="minorHAnsi"/>
                <w:color w:val="FF0000"/>
                <w:sz w:val="20"/>
                <w:szCs w:val="20"/>
              </w:rPr>
              <w:t>28</w:t>
            </w:r>
            <w:r>
              <w:rPr>
                <w:rFonts w:eastAsia="Times New Roman" w:cstheme="minorHAnsi"/>
                <w:color w:val="FF0000"/>
                <w:sz w:val="20"/>
                <w:szCs w:val="20"/>
              </w:rPr>
              <w:t>,</w:t>
            </w:r>
            <w:r w:rsidRPr="00514448">
              <w:rPr>
                <w:rFonts w:eastAsia="Times New Roman" w:cstheme="minorHAnsi"/>
                <w:color w:val="FF0000"/>
                <w:sz w:val="20"/>
                <w:szCs w:val="20"/>
              </w:rPr>
              <w:t>463</w:t>
            </w:r>
          </w:p>
        </w:tc>
        <w:tc>
          <w:tcPr>
            <w:tcW w:w="810" w:type="dxa"/>
            <w:shd w:val="clear" w:color="auto" w:fill="auto"/>
          </w:tcPr>
          <w:p w14:paraId="7C75C7B4" w14:textId="7D104D65" w:rsidR="00E56377" w:rsidRPr="00940F45" w:rsidRDefault="000D1567"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9.6</w:t>
            </w:r>
          </w:p>
        </w:tc>
        <w:tc>
          <w:tcPr>
            <w:tcW w:w="558" w:type="dxa"/>
          </w:tcPr>
          <w:p w14:paraId="52ED6F48" w14:textId="2D8CC221" w:rsidR="00E56377" w:rsidRPr="00940F45" w:rsidRDefault="00F927ED"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3.9</w:t>
            </w:r>
          </w:p>
        </w:tc>
        <w:tc>
          <w:tcPr>
            <w:tcW w:w="558" w:type="dxa"/>
            <w:shd w:val="clear" w:color="auto" w:fill="auto"/>
          </w:tcPr>
          <w:p w14:paraId="4D7B4797" w14:textId="513279D4" w:rsidR="00E56377" w:rsidRPr="00940F45" w:rsidRDefault="00E37A6D"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0</w:t>
            </w:r>
            <w:r w:rsidR="000D1567">
              <w:rPr>
                <w:rFonts w:eastAsia="Times New Roman" w:cstheme="minorHAnsi"/>
                <w:color w:val="FF0000"/>
                <w:sz w:val="20"/>
                <w:szCs w:val="20"/>
              </w:rPr>
              <w:t>.0</w:t>
            </w:r>
          </w:p>
        </w:tc>
        <w:tc>
          <w:tcPr>
            <w:tcW w:w="558" w:type="dxa"/>
          </w:tcPr>
          <w:p w14:paraId="383EEBE3" w14:textId="6616D274" w:rsidR="00E56377" w:rsidRPr="00940F45" w:rsidRDefault="000D1567"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5.8</w:t>
            </w:r>
          </w:p>
        </w:tc>
        <w:tc>
          <w:tcPr>
            <w:tcW w:w="558" w:type="dxa"/>
            <w:shd w:val="clear" w:color="auto" w:fill="auto"/>
          </w:tcPr>
          <w:p w14:paraId="0D7647CC" w14:textId="21BF3607" w:rsidR="00E56377" w:rsidRPr="00940F45" w:rsidRDefault="00F4278E"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7</w:t>
            </w:r>
            <w:r w:rsidR="000D1567">
              <w:rPr>
                <w:rFonts w:eastAsia="Times New Roman" w:cstheme="minorHAnsi"/>
                <w:color w:val="FF0000"/>
                <w:sz w:val="20"/>
                <w:szCs w:val="20"/>
              </w:rPr>
              <w:t>.1</w:t>
            </w:r>
          </w:p>
        </w:tc>
        <w:tc>
          <w:tcPr>
            <w:tcW w:w="558" w:type="dxa"/>
            <w:shd w:val="clear" w:color="auto" w:fill="auto"/>
          </w:tcPr>
          <w:p w14:paraId="0DAD0BB8" w14:textId="36265BB4" w:rsidR="00E56377" w:rsidRPr="00940F45" w:rsidRDefault="00CC3CEE"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8.6</w:t>
            </w:r>
          </w:p>
        </w:tc>
        <w:tc>
          <w:tcPr>
            <w:tcW w:w="558" w:type="dxa"/>
            <w:shd w:val="clear" w:color="auto" w:fill="auto"/>
          </w:tcPr>
          <w:p w14:paraId="42A74492" w14:textId="1D20181D" w:rsidR="00E56377" w:rsidRPr="00940F45" w:rsidRDefault="00F4278E"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11</w:t>
            </w:r>
            <w:r w:rsidR="00CC3CEE">
              <w:rPr>
                <w:rFonts w:eastAsia="Times New Roman" w:cstheme="minorHAnsi"/>
                <w:color w:val="FF0000"/>
                <w:sz w:val="20"/>
                <w:szCs w:val="20"/>
              </w:rPr>
              <w:t>.4</w:t>
            </w:r>
          </w:p>
        </w:tc>
        <w:tc>
          <w:tcPr>
            <w:tcW w:w="558" w:type="dxa"/>
            <w:shd w:val="clear" w:color="auto" w:fill="auto"/>
          </w:tcPr>
          <w:p w14:paraId="25FE6DC2" w14:textId="2644A8EA" w:rsidR="00E56377" w:rsidRPr="00940F45" w:rsidRDefault="00CC3CEE"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14.9</w:t>
            </w:r>
          </w:p>
        </w:tc>
        <w:tc>
          <w:tcPr>
            <w:tcW w:w="558" w:type="dxa"/>
            <w:shd w:val="clear" w:color="auto" w:fill="auto"/>
          </w:tcPr>
          <w:p w14:paraId="2CC5615A" w14:textId="799E6795" w:rsidR="00E56377" w:rsidRPr="00940F45" w:rsidRDefault="00CC3CEE" w:rsidP="00E56377">
            <w:pPr>
              <w:spacing w:after="0" w:line="240" w:lineRule="auto"/>
              <w:textAlignment w:val="baseline"/>
              <w:rPr>
                <w:rFonts w:eastAsia="Times New Roman" w:cstheme="minorHAnsi"/>
                <w:color w:val="FF0000"/>
                <w:sz w:val="20"/>
                <w:szCs w:val="20"/>
              </w:rPr>
            </w:pPr>
            <w:r>
              <w:rPr>
                <w:rFonts w:eastAsia="Times New Roman" w:cstheme="minorHAnsi"/>
                <w:color w:val="FF0000"/>
                <w:sz w:val="20"/>
                <w:szCs w:val="20"/>
              </w:rPr>
              <w:t>27.3</w:t>
            </w:r>
          </w:p>
        </w:tc>
        <w:tc>
          <w:tcPr>
            <w:tcW w:w="396" w:type="dxa"/>
            <w:shd w:val="clear" w:color="auto" w:fill="auto"/>
          </w:tcPr>
          <w:p w14:paraId="2B34842D" w14:textId="47D73CFD" w:rsidR="00E56377" w:rsidRPr="00940F45" w:rsidRDefault="00F4278E" w:rsidP="00E56377">
            <w:pPr>
              <w:spacing w:after="0" w:line="240" w:lineRule="auto"/>
              <w:textAlignment w:val="baseline"/>
              <w:rPr>
                <w:rFonts w:eastAsia="Times New Roman"/>
                <w:color w:val="FF0000"/>
                <w:sz w:val="20"/>
                <w:szCs w:val="20"/>
              </w:rPr>
            </w:pPr>
            <w:r w:rsidRPr="2FD7C79E">
              <w:rPr>
                <w:rFonts w:eastAsia="Times New Roman"/>
                <w:color w:val="FF0000"/>
                <w:sz w:val="20"/>
                <w:szCs w:val="20"/>
              </w:rPr>
              <w:t>4</w:t>
            </w:r>
            <w:r w:rsidR="00B75E69">
              <w:rPr>
                <w:rFonts w:eastAsia="Times New Roman"/>
                <w:color w:val="FF0000"/>
                <w:sz w:val="20"/>
                <w:szCs w:val="20"/>
              </w:rPr>
              <w:t>.3</w:t>
            </w:r>
          </w:p>
        </w:tc>
        <w:tc>
          <w:tcPr>
            <w:tcW w:w="720" w:type="dxa"/>
            <w:shd w:val="clear" w:color="auto" w:fill="auto"/>
          </w:tcPr>
          <w:p w14:paraId="18BF7AF5" w14:textId="008C73B3" w:rsidR="00E56377" w:rsidRPr="00940F45" w:rsidRDefault="00DB47CB" w:rsidP="00E56377">
            <w:pPr>
              <w:spacing w:after="0" w:line="240" w:lineRule="auto"/>
              <w:textAlignment w:val="baseline"/>
              <w:rPr>
                <w:rFonts w:eastAsia="Times New Roman" w:cstheme="minorHAnsi"/>
                <w:color w:val="FF0000"/>
                <w:sz w:val="20"/>
                <w:szCs w:val="20"/>
              </w:rPr>
            </w:pPr>
            <w:r w:rsidRPr="00940F45">
              <w:rPr>
                <w:rFonts w:eastAsia="Times New Roman" w:cstheme="minorHAnsi"/>
                <w:color w:val="FF0000"/>
                <w:sz w:val="20"/>
                <w:szCs w:val="20"/>
              </w:rPr>
              <w:t>p &lt;0.001</w:t>
            </w:r>
          </w:p>
        </w:tc>
      </w:tr>
    </w:tbl>
    <w:p w14:paraId="3CB173C1" w14:textId="77777777" w:rsidR="00BB3968" w:rsidRPr="00BB3968" w:rsidRDefault="00BB3968" w:rsidP="00BB3968">
      <w:pPr>
        <w:autoSpaceDE w:val="0"/>
        <w:autoSpaceDN w:val="0"/>
        <w:adjustRightInd w:val="0"/>
        <w:spacing w:after="0" w:line="240" w:lineRule="auto"/>
        <w:rPr>
          <w:rFonts w:ascii="Calibri" w:eastAsia="Times New Roman" w:hAnsi="Calibri" w:cs="Calibri"/>
          <w:i/>
          <w:iCs/>
          <w:color w:val="FF0000"/>
          <w:sz w:val="20"/>
          <w:szCs w:val="20"/>
        </w:rPr>
      </w:pPr>
      <w:r w:rsidRPr="00BB3968">
        <w:rPr>
          <w:rFonts w:ascii="Calibri" w:eastAsia="Times New Roman" w:hAnsi="Calibri" w:cs="Calibri"/>
          <w:i/>
          <w:iCs/>
          <w:color w:val="FF0000"/>
          <w:sz w:val="20"/>
          <w:szCs w:val="20"/>
        </w:rPr>
        <w:t>N = Number of plans reporting</w:t>
      </w:r>
    </w:p>
    <w:p w14:paraId="7EB28A1A" w14:textId="77777777" w:rsidR="00BB3968" w:rsidRPr="00BB3968" w:rsidRDefault="00BB3968" w:rsidP="00BB3968">
      <w:pPr>
        <w:autoSpaceDE w:val="0"/>
        <w:autoSpaceDN w:val="0"/>
        <w:adjustRightInd w:val="0"/>
        <w:spacing w:after="0" w:line="240" w:lineRule="auto"/>
        <w:rPr>
          <w:rFonts w:ascii="Calibri" w:eastAsia="Times New Roman" w:hAnsi="Calibri" w:cs="Calibri"/>
          <w:i/>
          <w:iCs/>
          <w:color w:val="FF0000"/>
          <w:sz w:val="20"/>
          <w:szCs w:val="20"/>
        </w:rPr>
      </w:pPr>
      <w:r w:rsidRPr="00BB3968">
        <w:rPr>
          <w:rFonts w:ascii="Calibri" w:eastAsia="Times New Roman" w:hAnsi="Calibri" w:cs="Calibri"/>
          <w:i/>
          <w:iCs/>
          <w:color w:val="FF0000"/>
          <w:sz w:val="20"/>
          <w:szCs w:val="20"/>
        </w:rPr>
        <w:t>IQR = Interquartile range</w:t>
      </w:r>
    </w:p>
    <w:p w14:paraId="763619BD" w14:textId="31ADA49C" w:rsidR="00AF5305" w:rsidRDefault="00BB3968" w:rsidP="00BB3968">
      <w:pPr>
        <w:autoSpaceDE w:val="0"/>
        <w:autoSpaceDN w:val="0"/>
        <w:adjustRightInd w:val="0"/>
        <w:spacing w:after="0" w:line="240" w:lineRule="auto"/>
        <w:rPr>
          <w:rFonts w:ascii="Calibri" w:eastAsia="Times New Roman" w:hAnsi="Calibri" w:cs="Calibri"/>
          <w:i/>
          <w:iCs/>
          <w:color w:val="FF0000"/>
          <w:sz w:val="20"/>
          <w:szCs w:val="20"/>
        </w:rPr>
      </w:pPr>
      <w:r w:rsidRPr="00BB3968">
        <w:rPr>
          <w:rFonts w:ascii="Calibri" w:eastAsia="Times New Roman" w:hAnsi="Calibri" w:cs="Calibri"/>
          <w:i/>
          <w:iCs/>
          <w:color w:val="FF0000"/>
          <w:sz w:val="20"/>
          <w:szCs w:val="20"/>
        </w:rPr>
        <w:lastRenderedPageBreak/>
        <w:t>p-value = p-value of independent samples t-test comparing plans at the 25th percentile to plans at the 75th percentile</w:t>
      </w:r>
    </w:p>
    <w:p w14:paraId="6D90B4A8" w14:textId="77777777" w:rsidR="00BB3968" w:rsidRDefault="00BB3968" w:rsidP="00BB3968">
      <w:pPr>
        <w:autoSpaceDE w:val="0"/>
        <w:autoSpaceDN w:val="0"/>
        <w:adjustRightInd w:val="0"/>
        <w:spacing w:after="0" w:line="240" w:lineRule="auto"/>
        <w:rPr>
          <w:rFonts w:cstheme="minorHAnsi"/>
          <w:bCs/>
        </w:rPr>
      </w:pPr>
    </w:p>
    <w:p w14:paraId="5A6E869E" w14:textId="77777777" w:rsidR="007D2E83" w:rsidRDefault="007D2E83" w:rsidP="007D2E8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2EA36C2E" w14:textId="77777777" w:rsidR="00DD5F57" w:rsidRPr="00DD5F57" w:rsidRDefault="00DD5F57" w:rsidP="00DD5F57">
      <w:pPr>
        <w:autoSpaceDE w:val="0"/>
        <w:autoSpaceDN w:val="0"/>
        <w:adjustRightInd w:val="0"/>
        <w:spacing w:after="0" w:line="240" w:lineRule="auto"/>
        <w:rPr>
          <w:rFonts w:cstheme="minorHAnsi"/>
          <w:b/>
          <w:color w:val="4F81BD" w:themeColor="accent1"/>
          <w:u w:val="single"/>
        </w:rPr>
      </w:pPr>
      <w:r w:rsidRPr="00DD5F57">
        <w:rPr>
          <w:rFonts w:cstheme="minorHAnsi"/>
          <w:b/>
          <w:color w:val="4F81BD" w:themeColor="accent1"/>
          <w:u w:val="single"/>
        </w:rPr>
        <w:t>2012 to 2014 HEDIS Health Plan Performance Data</w:t>
      </w:r>
    </w:p>
    <w:p w14:paraId="4E79E545" w14:textId="77777777" w:rsidR="00DD5F57" w:rsidRPr="00DD5F57" w:rsidRDefault="00DD5F57" w:rsidP="00DD5F57">
      <w:pPr>
        <w:autoSpaceDE w:val="0"/>
        <w:autoSpaceDN w:val="0"/>
        <w:adjustRightInd w:val="0"/>
        <w:spacing w:after="0" w:line="240" w:lineRule="auto"/>
        <w:rPr>
          <w:rFonts w:cstheme="minorHAnsi"/>
          <w:bCs/>
          <w:color w:val="4F81BD" w:themeColor="accent1"/>
        </w:rPr>
      </w:pPr>
      <w:r w:rsidRPr="00DD5F57">
        <w:rPr>
          <w:rFonts w:cstheme="minorHAnsi"/>
          <w:bCs/>
          <w:color w:val="4F81BD" w:themeColor="accent1"/>
        </w:rPr>
        <w:t xml:space="preserve">At least one high-risk prescription             </w:t>
      </w:r>
    </w:p>
    <w:tbl>
      <w:tblPr>
        <w:tblStyle w:val="TableGrid"/>
        <w:tblW w:w="10265" w:type="dxa"/>
        <w:tblLayout w:type="fixed"/>
        <w:tblLook w:val="04A0" w:firstRow="1" w:lastRow="0" w:firstColumn="1" w:lastColumn="0" w:noHBand="0" w:noVBand="1"/>
      </w:tblPr>
      <w:tblGrid>
        <w:gridCol w:w="725"/>
        <w:gridCol w:w="980"/>
        <w:gridCol w:w="730"/>
        <w:gridCol w:w="990"/>
        <w:gridCol w:w="720"/>
        <w:gridCol w:w="720"/>
        <w:gridCol w:w="1080"/>
        <w:gridCol w:w="1080"/>
        <w:gridCol w:w="1080"/>
        <w:gridCol w:w="1080"/>
        <w:gridCol w:w="1080"/>
      </w:tblGrid>
      <w:tr w:rsidR="00DD5F57" w:rsidRPr="00DD5F57" w14:paraId="2E952990" w14:textId="77777777" w:rsidTr="00C02ACC">
        <w:trPr>
          <w:trHeight w:val="845"/>
        </w:trPr>
        <w:tc>
          <w:tcPr>
            <w:tcW w:w="725" w:type="dxa"/>
          </w:tcPr>
          <w:p w14:paraId="355D69A0" w14:textId="77777777" w:rsidR="00DD5F57" w:rsidRPr="00DD5F57" w:rsidRDefault="00DD5F57" w:rsidP="00DD5F57">
            <w:pPr>
              <w:autoSpaceDE w:val="0"/>
              <w:autoSpaceDN w:val="0"/>
              <w:adjustRightInd w:val="0"/>
              <w:rPr>
                <w:rFonts w:cstheme="minorHAnsi"/>
                <w:bCs/>
                <w:color w:val="4F81BD" w:themeColor="accent1"/>
              </w:rPr>
            </w:pPr>
          </w:p>
        </w:tc>
        <w:tc>
          <w:tcPr>
            <w:tcW w:w="980" w:type="dxa"/>
          </w:tcPr>
          <w:p w14:paraId="5BA9E5A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Number of Plans</w:t>
            </w:r>
          </w:p>
        </w:tc>
        <w:tc>
          <w:tcPr>
            <w:tcW w:w="730" w:type="dxa"/>
          </w:tcPr>
          <w:p w14:paraId="1FDB4EC5"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Mean</w:t>
            </w:r>
          </w:p>
        </w:tc>
        <w:tc>
          <w:tcPr>
            <w:tcW w:w="990" w:type="dxa"/>
          </w:tcPr>
          <w:p w14:paraId="3B69AA04"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Standard Deviation</w:t>
            </w:r>
          </w:p>
        </w:tc>
        <w:tc>
          <w:tcPr>
            <w:tcW w:w="720" w:type="dxa"/>
          </w:tcPr>
          <w:p w14:paraId="5FAC3C1C"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Min</w:t>
            </w:r>
          </w:p>
        </w:tc>
        <w:tc>
          <w:tcPr>
            <w:tcW w:w="720" w:type="dxa"/>
          </w:tcPr>
          <w:p w14:paraId="6D8AE42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Max</w:t>
            </w:r>
          </w:p>
        </w:tc>
        <w:tc>
          <w:tcPr>
            <w:tcW w:w="1080" w:type="dxa"/>
          </w:tcPr>
          <w:p w14:paraId="045F67D1"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10</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5B1E6084"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25</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37698C8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50</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674027EC"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75</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23487AA1"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90</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r>
      <w:tr w:rsidR="00DD5F57" w:rsidRPr="00DD5F57" w14:paraId="2C3B0B99" w14:textId="77777777" w:rsidTr="00C02ACC">
        <w:tc>
          <w:tcPr>
            <w:tcW w:w="725" w:type="dxa"/>
          </w:tcPr>
          <w:p w14:paraId="2B68403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2012</w:t>
            </w:r>
          </w:p>
        </w:tc>
        <w:tc>
          <w:tcPr>
            <w:tcW w:w="980" w:type="dxa"/>
          </w:tcPr>
          <w:p w14:paraId="5973918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498</w:t>
            </w:r>
          </w:p>
        </w:tc>
        <w:tc>
          <w:tcPr>
            <w:tcW w:w="730" w:type="dxa"/>
          </w:tcPr>
          <w:p w14:paraId="41A3FB28"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21.0</w:t>
            </w:r>
          </w:p>
        </w:tc>
        <w:tc>
          <w:tcPr>
            <w:tcW w:w="990" w:type="dxa"/>
          </w:tcPr>
          <w:p w14:paraId="4AE71010"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6.4</w:t>
            </w:r>
          </w:p>
        </w:tc>
        <w:tc>
          <w:tcPr>
            <w:tcW w:w="720" w:type="dxa"/>
          </w:tcPr>
          <w:p w14:paraId="1D600A2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5.5</w:t>
            </w:r>
          </w:p>
        </w:tc>
        <w:tc>
          <w:tcPr>
            <w:tcW w:w="720" w:type="dxa"/>
          </w:tcPr>
          <w:p w14:paraId="087374C9"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54.6</w:t>
            </w:r>
          </w:p>
          <w:p w14:paraId="5053EFFA" w14:textId="77777777" w:rsidR="00DD5F57" w:rsidRPr="00DD5F57" w:rsidRDefault="00DD5F57" w:rsidP="00DD5F57">
            <w:pPr>
              <w:autoSpaceDE w:val="0"/>
              <w:autoSpaceDN w:val="0"/>
              <w:adjustRightInd w:val="0"/>
              <w:rPr>
                <w:rFonts w:cstheme="minorHAnsi"/>
                <w:bCs/>
                <w:color w:val="4F81BD" w:themeColor="accent1"/>
              </w:rPr>
            </w:pPr>
          </w:p>
        </w:tc>
        <w:tc>
          <w:tcPr>
            <w:tcW w:w="1080" w:type="dxa"/>
          </w:tcPr>
          <w:p w14:paraId="3F2A230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14.0</w:t>
            </w:r>
          </w:p>
        </w:tc>
        <w:tc>
          <w:tcPr>
            <w:tcW w:w="1080" w:type="dxa"/>
          </w:tcPr>
          <w:p w14:paraId="4E8FDD1A"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16.5</w:t>
            </w:r>
          </w:p>
        </w:tc>
        <w:tc>
          <w:tcPr>
            <w:tcW w:w="1080" w:type="dxa"/>
          </w:tcPr>
          <w:p w14:paraId="0022027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19.9</w:t>
            </w:r>
          </w:p>
        </w:tc>
        <w:tc>
          <w:tcPr>
            <w:tcW w:w="1080" w:type="dxa"/>
          </w:tcPr>
          <w:p w14:paraId="33C47448"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24.5</w:t>
            </w:r>
          </w:p>
        </w:tc>
        <w:tc>
          <w:tcPr>
            <w:tcW w:w="1080" w:type="dxa"/>
          </w:tcPr>
          <w:p w14:paraId="12ADAFB9"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30.0</w:t>
            </w:r>
          </w:p>
        </w:tc>
      </w:tr>
      <w:tr w:rsidR="00DD5F57" w:rsidRPr="00DD5F57" w14:paraId="107CDAC3" w14:textId="77777777" w:rsidTr="00C02ACC">
        <w:tc>
          <w:tcPr>
            <w:tcW w:w="725" w:type="dxa"/>
          </w:tcPr>
          <w:p w14:paraId="7038B9AE"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2013</w:t>
            </w:r>
          </w:p>
        </w:tc>
        <w:tc>
          <w:tcPr>
            <w:tcW w:w="980" w:type="dxa"/>
          </w:tcPr>
          <w:p w14:paraId="4B3844E4"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494</w:t>
            </w:r>
          </w:p>
        </w:tc>
        <w:tc>
          <w:tcPr>
            <w:tcW w:w="730" w:type="dxa"/>
          </w:tcPr>
          <w:p w14:paraId="48B7C24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18.0</w:t>
            </w:r>
          </w:p>
        </w:tc>
        <w:tc>
          <w:tcPr>
            <w:tcW w:w="990" w:type="dxa"/>
          </w:tcPr>
          <w:p w14:paraId="4CA4393D"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6.1</w:t>
            </w:r>
          </w:p>
        </w:tc>
        <w:tc>
          <w:tcPr>
            <w:tcW w:w="720" w:type="dxa"/>
          </w:tcPr>
          <w:p w14:paraId="5334BC24"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1.0</w:t>
            </w:r>
          </w:p>
        </w:tc>
        <w:tc>
          <w:tcPr>
            <w:tcW w:w="720" w:type="dxa"/>
          </w:tcPr>
          <w:p w14:paraId="292288E5"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50.5</w:t>
            </w:r>
          </w:p>
          <w:p w14:paraId="2CEA8E89" w14:textId="77777777" w:rsidR="00DD5F57" w:rsidRPr="00DD5F57" w:rsidRDefault="00DD5F57" w:rsidP="00DD5F57">
            <w:pPr>
              <w:autoSpaceDE w:val="0"/>
              <w:autoSpaceDN w:val="0"/>
              <w:adjustRightInd w:val="0"/>
              <w:rPr>
                <w:rFonts w:cstheme="minorHAnsi"/>
                <w:bCs/>
                <w:color w:val="4F81BD" w:themeColor="accent1"/>
              </w:rPr>
            </w:pPr>
          </w:p>
        </w:tc>
        <w:tc>
          <w:tcPr>
            <w:tcW w:w="1080" w:type="dxa"/>
          </w:tcPr>
          <w:p w14:paraId="3D6AF357"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11.5</w:t>
            </w:r>
          </w:p>
        </w:tc>
        <w:tc>
          <w:tcPr>
            <w:tcW w:w="1080" w:type="dxa"/>
          </w:tcPr>
          <w:p w14:paraId="4B0614B7"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13.8</w:t>
            </w:r>
          </w:p>
        </w:tc>
        <w:tc>
          <w:tcPr>
            <w:tcW w:w="1080" w:type="dxa"/>
          </w:tcPr>
          <w:p w14:paraId="43558E97"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16.7</w:t>
            </w:r>
          </w:p>
        </w:tc>
        <w:tc>
          <w:tcPr>
            <w:tcW w:w="1080" w:type="dxa"/>
          </w:tcPr>
          <w:p w14:paraId="444C1617"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21.1</w:t>
            </w:r>
          </w:p>
        </w:tc>
        <w:tc>
          <w:tcPr>
            <w:tcW w:w="1080" w:type="dxa"/>
          </w:tcPr>
          <w:p w14:paraId="35F8450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25.8</w:t>
            </w:r>
          </w:p>
        </w:tc>
      </w:tr>
      <w:tr w:rsidR="00DD5F57" w:rsidRPr="00DD5F57" w14:paraId="33094A70" w14:textId="77777777" w:rsidTr="00C02ACC">
        <w:tc>
          <w:tcPr>
            <w:tcW w:w="725" w:type="dxa"/>
          </w:tcPr>
          <w:p w14:paraId="20E12DAE"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2014</w:t>
            </w:r>
          </w:p>
        </w:tc>
        <w:tc>
          <w:tcPr>
            <w:tcW w:w="980" w:type="dxa"/>
          </w:tcPr>
          <w:p w14:paraId="79A22095"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488</w:t>
            </w:r>
          </w:p>
        </w:tc>
        <w:tc>
          <w:tcPr>
            <w:tcW w:w="730" w:type="dxa"/>
          </w:tcPr>
          <w:p w14:paraId="5BC8F30E"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13.2</w:t>
            </w:r>
          </w:p>
        </w:tc>
        <w:tc>
          <w:tcPr>
            <w:tcW w:w="990" w:type="dxa"/>
          </w:tcPr>
          <w:p w14:paraId="472154E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6.0</w:t>
            </w:r>
          </w:p>
        </w:tc>
        <w:tc>
          <w:tcPr>
            <w:tcW w:w="720" w:type="dxa"/>
          </w:tcPr>
          <w:p w14:paraId="64C2DC3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2.6</w:t>
            </w:r>
          </w:p>
        </w:tc>
        <w:tc>
          <w:tcPr>
            <w:tcW w:w="720" w:type="dxa"/>
          </w:tcPr>
          <w:p w14:paraId="2286E999"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46.8</w:t>
            </w:r>
          </w:p>
          <w:p w14:paraId="2CBC4E3A" w14:textId="77777777" w:rsidR="00DD5F57" w:rsidRPr="00DD5F57" w:rsidRDefault="00DD5F57" w:rsidP="00DD5F57">
            <w:pPr>
              <w:autoSpaceDE w:val="0"/>
              <w:autoSpaceDN w:val="0"/>
              <w:adjustRightInd w:val="0"/>
              <w:rPr>
                <w:rFonts w:cstheme="minorHAnsi"/>
                <w:bCs/>
                <w:color w:val="4F81BD" w:themeColor="accent1"/>
              </w:rPr>
            </w:pPr>
          </w:p>
        </w:tc>
        <w:tc>
          <w:tcPr>
            <w:tcW w:w="1080" w:type="dxa"/>
          </w:tcPr>
          <w:p w14:paraId="4F11D10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7.6</w:t>
            </w:r>
          </w:p>
        </w:tc>
        <w:tc>
          <w:tcPr>
            <w:tcW w:w="1080" w:type="dxa"/>
          </w:tcPr>
          <w:p w14:paraId="798CB7BB"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9.2</w:t>
            </w:r>
          </w:p>
        </w:tc>
        <w:tc>
          <w:tcPr>
            <w:tcW w:w="1080" w:type="dxa"/>
          </w:tcPr>
          <w:p w14:paraId="267177F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11.6</w:t>
            </w:r>
          </w:p>
        </w:tc>
        <w:tc>
          <w:tcPr>
            <w:tcW w:w="1080" w:type="dxa"/>
          </w:tcPr>
          <w:p w14:paraId="6A153D3D"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16.1</w:t>
            </w:r>
          </w:p>
        </w:tc>
        <w:tc>
          <w:tcPr>
            <w:tcW w:w="1080" w:type="dxa"/>
          </w:tcPr>
          <w:p w14:paraId="4BDB3190"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21.7</w:t>
            </w:r>
          </w:p>
        </w:tc>
      </w:tr>
    </w:tbl>
    <w:p w14:paraId="06797E76" w14:textId="77777777" w:rsidR="00DD5F57" w:rsidRPr="00DD5F57" w:rsidRDefault="00DD5F57" w:rsidP="00DD5F57">
      <w:pPr>
        <w:autoSpaceDE w:val="0"/>
        <w:autoSpaceDN w:val="0"/>
        <w:adjustRightInd w:val="0"/>
        <w:spacing w:after="0" w:line="240" w:lineRule="auto"/>
        <w:rPr>
          <w:rFonts w:cstheme="minorHAnsi"/>
          <w:bCs/>
          <w:color w:val="4F81BD" w:themeColor="accent1"/>
        </w:rPr>
      </w:pPr>
    </w:p>
    <w:p w14:paraId="7DF52B30" w14:textId="77777777" w:rsidR="00DD5F57" w:rsidRPr="00DD5F57" w:rsidRDefault="00DD5F57" w:rsidP="00DD5F57">
      <w:pPr>
        <w:autoSpaceDE w:val="0"/>
        <w:autoSpaceDN w:val="0"/>
        <w:adjustRightInd w:val="0"/>
        <w:spacing w:after="0" w:line="240" w:lineRule="auto"/>
        <w:rPr>
          <w:rFonts w:cstheme="minorHAnsi"/>
          <w:bCs/>
          <w:color w:val="4F81BD" w:themeColor="accent1"/>
        </w:rPr>
      </w:pPr>
      <w:r w:rsidRPr="00DD5F57">
        <w:rPr>
          <w:rFonts w:cstheme="minorHAnsi"/>
          <w:bCs/>
          <w:color w:val="4F81BD" w:themeColor="accent1"/>
        </w:rPr>
        <w:t xml:space="preserve">At least two high-risk prescriptions             </w:t>
      </w:r>
    </w:p>
    <w:tbl>
      <w:tblPr>
        <w:tblStyle w:val="TableGrid"/>
        <w:tblW w:w="0" w:type="auto"/>
        <w:tblLayout w:type="fixed"/>
        <w:tblLook w:val="04A0" w:firstRow="1" w:lastRow="0" w:firstColumn="1" w:lastColumn="0" w:noHBand="0" w:noVBand="1"/>
      </w:tblPr>
      <w:tblGrid>
        <w:gridCol w:w="725"/>
        <w:gridCol w:w="900"/>
        <w:gridCol w:w="810"/>
        <w:gridCol w:w="990"/>
        <w:gridCol w:w="720"/>
        <w:gridCol w:w="720"/>
        <w:gridCol w:w="1080"/>
        <w:gridCol w:w="1080"/>
        <w:gridCol w:w="1080"/>
        <w:gridCol w:w="1080"/>
        <w:gridCol w:w="1080"/>
      </w:tblGrid>
      <w:tr w:rsidR="00DD5F57" w:rsidRPr="00DD5F57" w14:paraId="48D3A59C" w14:textId="77777777" w:rsidTr="00C46D0A">
        <w:tc>
          <w:tcPr>
            <w:tcW w:w="725" w:type="dxa"/>
          </w:tcPr>
          <w:p w14:paraId="4186C4BA" w14:textId="77777777" w:rsidR="00DD5F57" w:rsidRPr="00DD5F57" w:rsidRDefault="00DD5F57" w:rsidP="00DD5F57">
            <w:pPr>
              <w:autoSpaceDE w:val="0"/>
              <w:autoSpaceDN w:val="0"/>
              <w:adjustRightInd w:val="0"/>
              <w:rPr>
                <w:rFonts w:cstheme="minorHAnsi"/>
                <w:bCs/>
                <w:color w:val="4F81BD" w:themeColor="accent1"/>
              </w:rPr>
            </w:pPr>
          </w:p>
        </w:tc>
        <w:tc>
          <w:tcPr>
            <w:tcW w:w="900" w:type="dxa"/>
          </w:tcPr>
          <w:p w14:paraId="6A35E9C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Number of Plans</w:t>
            </w:r>
          </w:p>
        </w:tc>
        <w:tc>
          <w:tcPr>
            <w:tcW w:w="810" w:type="dxa"/>
          </w:tcPr>
          <w:p w14:paraId="3157AD0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Mean</w:t>
            </w:r>
          </w:p>
        </w:tc>
        <w:tc>
          <w:tcPr>
            <w:tcW w:w="990" w:type="dxa"/>
          </w:tcPr>
          <w:p w14:paraId="0B959E91"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Standard Deviation</w:t>
            </w:r>
          </w:p>
        </w:tc>
        <w:tc>
          <w:tcPr>
            <w:tcW w:w="720" w:type="dxa"/>
          </w:tcPr>
          <w:p w14:paraId="05F0DCEC"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Min</w:t>
            </w:r>
          </w:p>
        </w:tc>
        <w:tc>
          <w:tcPr>
            <w:tcW w:w="720" w:type="dxa"/>
          </w:tcPr>
          <w:p w14:paraId="0457FEB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Max</w:t>
            </w:r>
          </w:p>
        </w:tc>
        <w:tc>
          <w:tcPr>
            <w:tcW w:w="1080" w:type="dxa"/>
          </w:tcPr>
          <w:p w14:paraId="3ED34FB4"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10</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4BA5801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25</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272FA1B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50</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695B9529"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75</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c>
          <w:tcPr>
            <w:tcW w:w="1080" w:type="dxa"/>
          </w:tcPr>
          <w:p w14:paraId="7976421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90</w:t>
            </w:r>
            <w:r w:rsidRPr="00DD5F57">
              <w:rPr>
                <w:rFonts w:cstheme="minorHAnsi"/>
                <w:bCs/>
                <w:color w:val="4F81BD" w:themeColor="accent1"/>
                <w:vertAlign w:val="superscript"/>
              </w:rPr>
              <w:t>th</w:t>
            </w:r>
            <w:r w:rsidRPr="00DD5F57">
              <w:rPr>
                <w:rFonts w:cstheme="minorHAnsi"/>
                <w:bCs/>
                <w:color w:val="4F81BD" w:themeColor="accent1"/>
              </w:rPr>
              <w:t xml:space="preserve"> Percentile</w:t>
            </w:r>
          </w:p>
        </w:tc>
      </w:tr>
      <w:tr w:rsidR="00DD5F57" w:rsidRPr="00DD5F57" w14:paraId="18895193" w14:textId="77777777" w:rsidTr="00C46D0A">
        <w:tc>
          <w:tcPr>
            <w:tcW w:w="725" w:type="dxa"/>
          </w:tcPr>
          <w:p w14:paraId="7A851F5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2012</w:t>
            </w:r>
          </w:p>
        </w:tc>
        <w:tc>
          <w:tcPr>
            <w:tcW w:w="900" w:type="dxa"/>
          </w:tcPr>
          <w:p w14:paraId="6011673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498</w:t>
            </w:r>
          </w:p>
        </w:tc>
        <w:tc>
          <w:tcPr>
            <w:tcW w:w="810" w:type="dxa"/>
          </w:tcPr>
          <w:p w14:paraId="16B16B7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6.5</w:t>
            </w:r>
          </w:p>
        </w:tc>
        <w:tc>
          <w:tcPr>
            <w:tcW w:w="990" w:type="dxa"/>
          </w:tcPr>
          <w:p w14:paraId="2F73AC50"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2.9</w:t>
            </w:r>
          </w:p>
        </w:tc>
        <w:tc>
          <w:tcPr>
            <w:tcW w:w="720" w:type="dxa"/>
          </w:tcPr>
          <w:p w14:paraId="03A63FE0"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1.2</w:t>
            </w:r>
          </w:p>
        </w:tc>
        <w:tc>
          <w:tcPr>
            <w:tcW w:w="720" w:type="dxa"/>
          </w:tcPr>
          <w:p w14:paraId="1BED1A71"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25.2</w:t>
            </w:r>
          </w:p>
          <w:p w14:paraId="721C1F04" w14:textId="77777777" w:rsidR="00DD5F57" w:rsidRPr="00DD5F57" w:rsidRDefault="00DD5F57" w:rsidP="00DD5F57">
            <w:pPr>
              <w:autoSpaceDE w:val="0"/>
              <w:autoSpaceDN w:val="0"/>
              <w:adjustRightInd w:val="0"/>
              <w:rPr>
                <w:rFonts w:cstheme="minorHAnsi"/>
                <w:bCs/>
                <w:color w:val="4F81BD" w:themeColor="accent1"/>
              </w:rPr>
            </w:pPr>
          </w:p>
        </w:tc>
        <w:tc>
          <w:tcPr>
            <w:tcW w:w="1080" w:type="dxa"/>
          </w:tcPr>
          <w:p w14:paraId="3BDEBE9C"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3.5</w:t>
            </w:r>
          </w:p>
        </w:tc>
        <w:tc>
          <w:tcPr>
            <w:tcW w:w="1080" w:type="dxa"/>
          </w:tcPr>
          <w:p w14:paraId="6B433EB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4.7</w:t>
            </w:r>
          </w:p>
        </w:tc>
        <w:tc>
          <w:tcPr>
            <w:tcW w:w="1080" w:type="dxa"/>
          </w:tcPr>
          <w:p w14:paraId="0DC9B65E"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6.0</w:t>
            </w:r>
          </w:p>
        </w:tc>
        <w:tc>
          <w:tcPr>
            <w:tcW w:w="1080" w:type="dxa"/>
          </w:tcPr>
          <w:p w14:paraId="0E65FD82"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7.8</w:t>
            </w:r>
          </w:p>
        </w:tc>
        <w:tc>
          <w:tcPr>
            <w:tcW w:w="1080" w:type="dxa"/>
          </w:tcPr>
          <w:p w14:paraId="79BB1108"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10.1</w:t>
            </w:r>
          </w:p>
        </w:tc>
      </w:tr>
      <w:tr w:rsidR="00DD5F57" w:rsidRPr="00DD5F57" w14:paraId="71F11FDF" w14:textId="77777777" w:rsidTr="00C46D0A">
        <w:tc>
          <w:tcPr>
            <w:tcW w:w="725" w:type="dxa"/>
          </w:tcPr>
          <w:p w14:paraId="670B3D01"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2013</w:t>
            </w:r>
          </w:p>
        </w:tc>
        <w:tc>
          <w:tcPr>
            <w:tcW w:w="900" w:type="dxa"/>
          </w:tcPr>
          <w:p w14:paraId="35304FF1"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494</w:t>
            </w:r>
          </w:p>
        </w:tc>
        <w:tc>
          <w:tcPr>
            <w:tcW w:w="810" w:type="dxa"/>
          </w:tcPr>
          <w:p w14:paraId="19779EB4"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3.1</w:t>
            </w:r>
          </w:p>
        </w:tc>
        <w:tc>
          <w:tcPr>
            <w:tcW w:w="990" w:type="dxa"/>
          </w:tcPr>
          <w:p w14:paraId="1D10242D"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2.3</w:t>
            </w:r>
          </w:p>
        </w:tc>
        <w:tc>
          <w:tcPr>
            <w:tcW w:w="720" w:type="dxa"/>
          </w:tcPr>
          <w:p w14:paraId="0F48A273"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0.0</w:t>
            </w:r>
          </w:p>
        </w:tc>
        <w:tc>
          <w:tcPr>
            <w:tcW w:w="720" w:type="dxa"/>
          </w:tcPr>
          <w:p w14:paraId="708CCFEB"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20.6</w:t>
            </w:r>
          </w:p>
          <w:p w14:paraId="651168C6" w14:textId="77777777" w:rsidR="00DD5F57" w:rsidRPr="00DD5F57" w:rsidRDefault="00DD5F57" w:rsidP="00DD5F57">
            <w:pPr>
              <w:autoSpaceDE w:val="0"/>
              <w:autoSpaceDN w:val="0"/>
              <w:adjustRightInd w:val="0"/>
              <w:rPr>
                <w:rFonts w:cstheme="minorHAnsi"/>
                <w:bCs/>
                <w:color w:val="4F81BD" w:themeColor="accent1"/>
              </w:rPr>
            </w:pPr>
          </w:p>
        </w:tc>
        <w:tc>
          <w:tcPr>
            <w:tcW w:w="1080" w:type="dxa"/>
          </w:tcPr>
          <w:p w14:paraId="67ED5E40"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1.1</w:t>
            </w:r>
          </w:p>
        </w:tc>
        <w:tc>
          <w:tcPr>
            <w:tcW w:w="1080" w:type="dxa"/>
          </w:tcPr>
          <w:p w14:paraId="1845B3CA"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1.7</w:t>
            </w:r>
          </w:p>
        </w:tc>
        <w:tc>
          <w:tcPr>
            <w:tcW w:w="1080" w:type="dxa"/>
          </w:tcPr>
          <w:p w14:paraId="450F0D7F"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2.4</w:t>
            </w:r>
          </w:p>
        </w:tc>
        <w:tc>
          <w:tcPr>
            <w:tcW w:w="1080" w:type="dxa"/>
          </w:tcPr>
          <w:p w14:paraId="6D85950E"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4.0</w:t>
            </w:r>
          </w:p>
        </w:tc>
        <w:tc>
          <w:tcPr>
            <w:tcW w:w="1080" w:type="dxa"/>
          </w:tcPr>
          <w:p w14:paraId="38B424B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6.0</w:t>
            </w:r>
          </w:p>
        </w:tc>
      </w:tr>
      <w:tr w:rsidR="00DD5F57" w:rsidRPr="00DD5F57" w14:paraId="5E1EFDCD" w14:textId="77777777" w:rsidTr="00C46D0A">
        <w:tc>
          <w:tcPr>
            <w:tcW w:w="725" w:type="dxa"/>
          </w:tcPr>
          <w:p w14:paraId="4A60B25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2014</w:t>
            </w:r>
          </w:p>
        </w:tc>
        <w:tc>
          <w:tcPr>
            <w:tcW w:w="900" w:type="dxa"/>
          </w:tcPr>
          <w:p w14:paraId="7AA65EB0"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488</w:t>
            </w:r>
          </w:p>
        </w:tc>
        <w:tc>
          <w:tcPr>
            <w:tcW w:w="810" w:type="dxa"/>
          </w:tcPr>
          <w:p w14:paraId="5B8B70C9"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2.1</w:t>
            </w:r>
          </w:p>
        </w:tc>
        <w:tc>
          <w:tcPr>
            <w:tcW w:w="990" w:type="dxa"/>
          </w:tcPr>
          <w:p w14:paraId="0F72A9C3"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w:t>
            </w:r>
          </w:p>
        </w:tc>
        <w:tc>
          <w:tcPr>
            <w:tcW w:w="720" w:type="dxa"/>
          </w:tcPr>
          <w:p w14:paraId="3CE7500B"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0.0</w:t>
            </w:r>
          </w:p>
        </w:tc>
        <w:tc>
          <w:tcPr>
            <w:tcW w:w="720" w:type="dxa"/>
          </w:tcPr>
          <w:p w14:paraId="10F6844D"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20.8</w:t>
            </w:r>
          </w:p>
          <w:p w14:paraId="5C3E2A54" w14:textId="77777777" w:rsidR="00DD5F57" w:rsidRPr="00DD5F57" w:rsidRDefault="00DD5F57" w:rsidP="00DD5F57">
            <w:pPr>
              <w:autoSpaceDE w:val="0"/>
              <w:autoSpaceDN w:val="0"/>
              <w:adjustRightInd w:val="0"/>
              <w:rPr>
                <w:rFonts w:cstheme="minorHAnsi"/>
                <w:bCs/>
                <w:color w:val="4F81BD" w:themeColor="accent1"/>
              </w:rPr>
            </w:pPr>
          </w:p>
        </w:tc>
        <w:tc>
          <w:tcPr>
            <w:tcW w:w="1080" w:type="dxa"/>
          </w:tcPr>
          <w:p w14:paraId="57EAC6BC"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0.6</w:t>
            </w:r>
          </w:p>
        </w:tc>
        <w:tc>
          <w:tcPr>
            <w:tcW w:w="1080" w:type="dxa"/>
          </w:tcPr>
          <w:p w14:paraId="64D6FB8D"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0.9</w:t>
            </w:r>
          </w:p>
        </w:tc>
        <w:tc>
          <w:tcPr>
            <w:tcW w:w="1080" w:type="dxa"/>
          </w:tcPr>
          <w:p w14:paraId="267D4796"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1.4</w:t>
            </w:r>
          </w:p>
        </w:tc>
        <w:tc>
          <w:tcPr>
            <w:tcW w:w="1080" w:type="dxa"/>
          </w:tcPr>
          <w:p w14:paraId="2F300688"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2.5</w:t>
            </w:r>
          </w:p>
        </w:tc>
        <w:tc>
          <w:tcPr>
            <w:tcW w:w="1080" w:type="dxa"/>
          </w:tcPr>
          <w:p w14:paraId="60775C5B" w14:textId="77777777" w:rsidR="00DD5F57" w:rsidRPr="00DD5F57" w:rsidRDefault="00DD5F57" w:rsidP="00DD5F57">
            <w:pPr>
              <w:autoSpaceDE w:val="0"/>
              <w:autoSpaceDN w:val="0"/>
              <w:adjustRightInd w:val="0"/>
              <w:rPr>
                <w:rFonts w:cstheme="minorHAnsi"/>
                <w:bCs/>
                <w:color w:val="4F81BD" w:themeColor="accent1"/>
              </w:rPr>
            </w:pPr>
            <w:r w:rsidRPr="00DD5F57">
              <w:rPr>
                <w:rFonts w:cstheme="minorHAnsi"/>
                <w:bCs/>
                <w:color w:val="4F81BD" w:themeColor="accent1"/>
              </w:rPr>
              <w:t>4.6</w:t>
            </w:r>
          </w:p>
        </w:tc>
      </w:tr>
    </w:tbl>
    <w:p w14:paraId="28FF04F9" w14:textId="77777777" w:rsidR="007D2E83" w:rsidRPr="00DA520B" w:rsidRDefault="007D2E83"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15B9E44D" w:rsidR="00D61410" w:rsidRDefault="009C7513" w:rsidP="00D61410">
      <w:pPr>
        <w:autoSpaceDE w:val="0"/>
        <w:autoSpaceDN w:val="0"/>
        <w:adjustRightInd w:val="0"/>
        <w:spacing w:after="0" w:line="240" w:lineRule="auto"/>
        <w:rPr>
          <w:rFonts w:cstheme="minorHAnsi"/>
          <w:b/>
          <w:color w:val="FF0000"/>
          <w:u w:val="single"/>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DE401B">
        <w:rPr>
          <w:rFonts w:cstheme="minorHAnsi"/>
          <w:b/>
          <w:color w:val="FF0000"/>
          <w:u w:val="single"/>
        </w:rPr>
        <w:t>2020 Submission</w:t>
      </w:r>
    </w:p>
    <w:p w14:paraId="749A10FE" w14:textId="5003AAD8" w:rsidR="00EB4BFC" w:rsidRDefault="00FA2B12" w:rsidP="00D61410">
      <w:pPr>
        <w:autoSpaceDE w:val="0"/>
        <w:autoSpaceDN w:val="0"/>
        <w:adjustRightInd w:val="0"/>
        <w:spacing w:after="0" w:line="240" w:lineRule="auto"/>
        <w:rPr>
          <w:rFonts w:cstheme="minorHAnsi"/>
          <w:bCs/>
          <w:color w:val="FF0000"/>
        </w:rPr>
      </w:pPr>
      <w:r>
        <w:rPr>
          <w:rFonts w:cstheme="minorHAnsi"/>
          <w:bCs/>
          <w:color w:val="FF0000"/>
        </w:rPr>
        <w:t>T</w:t>
      </w:r>
      <w:r w:rsidR="00EB4BFC" w:rsidRPr="00DB1357">
        <w:rPr>
          <w:rFonts w:cstheme="minorHAnsi"/>
          <w:bCs/>
          <w:color w:val="FF0000"/>
        </w:rPr>
        <w:t xml:space="preserve">here is a </w:t>
      </w:r>
      <w:r w:rsidR="0076560E" w:rsidRPr="00DB1357">
        <w:rPr>
          <w:rFonts w:cstheme="minorHAnsi"/>
          <w:bCs/>
          <w:color w:val="FF0000"/>
        </w:rPr>
        <w:t>4</w:t>
      </w:r>
      <w:r w:rsidR="00241514">
        <w:rPr>
          <w:rFonts w:cstheme="minorHAnsi"/>
          <w:bCs/>
          <w:color w:val="FF0000"/>
        </w:rPr>
        <w:t>.3</w:t>
      </w:r>
      <w:r w:rsidR="00EC4A20">
        <w:rPr>
          <w:rFonts w:cstheme="minorHAnsi"/>
          <w:bCs/>
          <w:color w:val="FF0000"/>
        </w:rPr>
        <w:t xml:space="preserve"> percentage point</w:t>
      </w:r>
      <w:r w:rsidR="00EB4BFC" w:rsidRPr="00DB1357">
        <w:rPr>
          <w:rFonts w:cstheme="minorHAnsi"/>
          <w:bCs/>
          <w:color w:val="FF0000"/>
        </w:rPr>
        <w:t xml:space="preserve"> gap in performance between Medicare plans at the 25</w:t>
      </w:r>
      <w:r w:rsidR="00EB4BFC" w:rsidRPr="00DB1357">
        <w:rPr>
          <w:rFonts w:cstheme="minorHAnsi"/>
          <w:bCs/>
          <w:color w:val="FF0000"/>
          <w:vertAlign w:val="superscript"/>
        </w:rPr>
        <w:t>th</w:t>
      </w:r>
      <w:r w:rsidR="00EB4BFC" w:rsidRPr="00DB1357">
        <w:rPr>
          <w:rFonts w:cstheme="minorHAnsi"/>
          <w:bCs/>
          <w:color w:val="FF0000"/>
        </w:rPr>
        <w:t xml:space="preserve"> and 75</w:t>
      </w:r>
      <w:r w:rsidR="00EB4BFC" w:rsidRPr="00DB1357">
        <w:rPr>
          <w:rFonts w:cstheme="minorHAnsi"/>
          <w:bCs/>
          <w:color w:val="FF0000"/>
          <w:vertAlign w:val="superscript"/>
        </w:rPr>
        <w:t>th</w:t>
      </w:r>
      <w:r w:rsidR="00EB4BFC" w:rsidRPr="00DB1357">
        <w:rPr>
          <w:rFonts w:cstheme="minorHAnsi"/>
          <w:bCs/>
          <w:color w:val="FF0000"/>
        </w:rPr>
        <w:t xml:space="preserve"> percentiles</w:t>
      </w:r>
      <w:r w:rsidR="00632A6E" w:rsidRPr="00DB1357">
        <w:rPr>
          <w:rFonts w:cstheme="minorHAnsi"/>
          <w:bCs/>
          <w:color w:val="FF0000"/>
        </w:rPr>
        <w:t xml:space="preserve">. </w:t>
      </w:r>
      <w:r w:rsidR="00DB1357" w:rsidRPr="00DB1357">
        <w:rPr>
          <w:rStyle w:val="normaltextrun"/>
          <w:rFonts w:ascii="Calibri" w:hAnsi="Calibri" w:cs="Calibri"/>
          <w:color w:val="FF0000"/>
          <w:shd w:val="clear" w:color="auto" w:fill="FFFFFF"/>
        </w:rPr>
        <w:t xml:space="preserve">This gap represents on average 1,138 more older adults </w:t>
      </w:r>
      <w:r w:rsidR="006B6CFE">
        <w:rPr>
          <w:rStyle w:val="normaltextrun"/>
          <w:rFonts w:ascii="Calibri" w:hAnsi="Calibri" w:cs="Calibri"/>
          <w:color w:val="FF0000"/>
          <w:shd w:val="clear" w:color="auto" w:fill="FFFFFF"/>
        </w:rPr>
        <w:t>with</w:t>
      </w:r>
      <w:r w:rsidR="00DB1357" w:rsidRPr="00DB1357">
        <w:rPr>
          <w:rStyle w:val="normaltextrun"/>
          <w:rFonts w:ascii="Calibri" w:hAnsi="Calibri" w:cs="Calibri"/>
          <w:color w:val="FF0000"/>
          <w:shd w:val="clear" w:color="auto" w:fill="FFFFFF"/>
        </w:rPr>
        <w:t xml:space="preserve"> at least two high-risk medications in </w:t>
      </w:r>
      <w:r w:rsidR="006B6CFE">
        <w:rPr>
          <w:rStyle w:val="normaltextrun"/>
          <w:rFonts w:ascii="Calibri" w:hAnsi="Calibri" w:cs="Calibri"/>
          <w:color w:val="FF0000"/>
          <w:shd w:val="clear" w:color="auto" w:fill="FFFFFF"/>
        </w:rPr>
        <w:t>low</w:t>
      </w:r>
      <w:r w:rsidR="00DB1357" w:rsidRPr="00DB1357">
        <w:rPr>
          <w:rStyle w:val="normaltextrun"/>
          <w:rFonts w:ascii="Calibri" w:hAnsi="Calibri" w:cs="Calibri"/>
          <w:color w:val="FF0000"/>
          <w:shd w:val="clear" w:color="auto" w:fill="FFFFFF"/>
        </w:rPr>
        <w:t xml:space="preserve"> performing</w:t>
      </w:r>
      <w:r w:rsidR="00DB1357">
        <w:rPr>
          <w:rStyle w:val="normaltextrun"/>
          <w:rFonts w:ascii="Calibri" w:hAnsi="Calibri" w:cs="Calibri"/>
          <w:color w:val="FF0000"/>
          <w:shd w:val="clear" w:color="auto" w:fill="FFFFFF"/>
        </w:rPr>
        <w:t xml:space="preserve"> Medicare plans compared to </w:t>
      </w:r>
      <w:r w:rsidR="006B6CFE">
        <w:rPr>
          <w:rStyle w:val="normaltextrun"/>
          <w:rFonts w:ascii="Calibri" w:hAnsi="Calibri" w:cs="Calibri"/>
          <w:color w:val="FF0000"/>
          <w:shd w:val="clear" w:color="auto" w:fill="FFFFFF"/>
        </w:rPr>
        <w:t>high</w:t>
      </w:r>
      <w:r w:rsidR="00DB1357">
        <w:rPr>
          <w:rStyle w:val="normaltextrun"/>
          <w:rFonts w:ascii="Calibri" w:hAnsi="Calibri" w:cs="Calibri"/>
          <w:color w:val="FF0000"/>
          <w:shd w:val="clear" w:color="auto" w:fill="FFFFFF"/>
        </w:rPr>
        <w:t xml:space="preserve"> performing plans. </w:t>
      </w:r>
      <w:r w:rsidR="00F200CC" w:rsidRPr="006C7728">
        <w:rPr>
          <w:rStyle w:val="normaltextrun"/>
          <w:rFonts w:ascii="Calibri" w:hAnsi="Calibri" w:cs="Calibri"/>
          <w:color w:val="FF0000"/>
          <w:shd w:val="clear" w:color="auto" w:fill="FFFFFF"/>
        </w:rPr>
        <w:t>The difference in performance between plans in the 25</w:t>
      </w:r>
      <w:r w:rsidR="00F200CC" w:rsidRPr="006C7728">
        <w:rPr>
          <w:rStyle w:val="normaltextrun"/>
          <w:rFonts w:ascii="Calibri" w:hAnsi="Calibri" w:cs="Calibri"/>
          <w:color w:val="FF0000"/>
          <w:shd w:val="clear" w:color="auto" w:fill="FFFFFF"/>
          <w:vertAlign w:val="superscript"/>
        </w:rPr>
        <w:t>th</w:t>
      </w:r>
      <w:r w:rsidR="00F200CC" w:rsidRPr="006C7728">
        <w:rPr>
          <w:rStyle w:val="normaltextrun"/>
          <w:rFonts w:ascii="Calibri" w:hAnsi="Calibri" w:cs="Calibri"/>
          <w:color w:val="FF0000"/>
          <w:shd w:val="clear" w:color="auto" w:fill="FFFFFF"/>
        </w:rPr>
        <w:t xml:space="preserve"> percentile and 75</w:t>
      </w:r>
      <w:r w:rsidR="00F200CC" w:rsidRPr="006C7728">
        <w:rPr>
          <w:rStyle w:val="normaltextrun"/>
          <w:rFonts w:ascii="Calibri" w:hAnsi="Calibri" w:cs="Calibri"/>
          <w:color w:val="FF0000"/>
          <w:shd w:val="clear" w:color="auto" w:fill="FFFFFF"/>
          <w:vertAlign w:val="superscript"/>
        </w:rPr>
        <w:t>th</w:t>
      </w:r>
      <w:r w:rsidR="00F200CC" w:rsidRPr="006C7728">
        <w:rPr>
          <w:rStyle w:val="normaltextrun"/>
          <w:rFonts w:ascii="Calibri" w:hAnsi="Calibri" w:cs="Calibri"/>
          <w:color w:val="FF0000"/>
          <w:shd w:val="clear" w:color="auto" w:fill="FFFFFF"/>
        </w:rPr>
        <w:t xml:space="preserve"> percentile is statistically significant.</w:t>
      </w:r>
      <w:r w:rsidR="00B85D1E">
        <w:rPr>
          <w:rStyle w:val="normaltextrun"/>
          <w:rFonts w:ascii="Calibri" w:hAnsi="Calibri" w:cs="Calibri"/>
          <w:color w:val="FF0000"/>
          <w:shd w:val="clear" w:color="auto" w:fill="FFFFFF"/>
        </w:rPr>
        <w:t xml:space="preserve"> </w:t>
      </w:r>
    </w:p>
    <w:p w14:paraId="5D693083" w14:textId="77777777" w:rsidR="005137AE" w:rsidRDefault="005137AE" w:rsidP="00D61410">
      <w:pPr>
        <w:autoSpaceDE w:val="0"/>
        <w:autoSpaceDN w:val="0"/>
        <w:adjustRightInd w:val="0"/>
        <w:spacing w:after="0" w:line="240" w:lineRule="auto"/>
        <w:rPr>
          <w:rFonts w:cstheme="minorHAnsi"/>
          <w:bCs/>
          <w:color w:val="FF0000"/>
        </w:rPr>
      </w:pPr>
    </w:p>
    <w:p w14:paraId="67197209" w14:textId="77777777" w:rsidR="00DB68BA" w:rsidRDefault="00106428" w:rsidP="00106428">
      <w:pPr>
        <w:pStyle w:val="paragraph"/>
        <w:spacing w:before="0" w:beforeAutospacing="0" w:after="0" w:afterAutospacing="0"/>
        <w:textAlignment w:val="baseline"/>
        <w:rPr>
          <w:rStyle w:val="normaltextrun"/>
          <w:rFonts w:ascii="Calibri" w:hAnsi="Calibri" w:cs="Calibri"/>
          <w:b/>
          <w:bCs/>
          <w:color w:val="4F81BD"/>
          <w:sz w:val="22"/>
          <w:szCs w:val="22"/>
          <w:u w:val="single"/>
        </w:rPr>
      </w:pPr>
      <w:r>
        <w:rPr>
          <w:rStyle w:val="normaltextrun"/>
          <w:rFonts w:ascii="Calibri" w:hAnsi="Calibri" w:cs="Calibri"/>
          <w:b/>
          <w:bCs/>
          <w:color w:val="4F81BD"/>
          <w:sz w:val="22"/>
          <w:szCs w:val="22"/>
          <w:u w:val="single"/>
        </w:rPr>
        <w:t>2016 Submission</w:t>
      </w:r>
    </w:p>
    <w:p w14:paraId="78FFECF2" w14:textId="5A37100F" w:rsidR="00106428" w:rsidRDefault="00DB68BA" w:rsidP="00106428">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color w:val="548DD4"/>
          <w:sz w:val="22"/>
          <w:szCs w:val="22"/>
          <w:shd w:val="clear" w:color="auto" w:fill="FFFFFF"/>
        </w:rPr>
        <w:t>This question was not on the 2016 form.</w:t>
      </w:r>
      <w:r w:rsidR="00106428">
        <w:rPr>
          <w:rStyle w:val="eop"/>
          <w:rFonts w:ascii="Calibri" w:hAnsi="Calibri" w:cs="Calibri"/>
          <w:sz w:val="22"/>
          <w:szCs w:val="22"/>
        </w:rPr>
        <w:t> </w:t>
      </w:r>
    </w:p>
    <w:p w14:paraId="65058F32" w14:textId="77777777" w:rsidR="00C02ACC" w:rsidRDefault="00C02ACC" w:rsidP="00106428">
      <w:pPr>
        <w:pStyle w:val="paragraph"/>
        <w:spacing w:before="0" w:beforeAutospacing="0" w:after="0" w:afterAutospacing="0"/>
        <w:textAlignment w:val="baseline"/>
        <w:rPr>
          <w:rFonts w:ascii="Segoe UI" w:hAnsi="Segoe UI" w:cs="Segoe UI"/>
          <w:sz w:val="18"/>
          <w:szCs w:val="18"/>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38A7ED40" w14:textId="77777777" w:rsidR="0049306D" w:rsidRPr="0049306D" w:rsidRDefault="0049306D" w:rsidP="0049306D">
      <w:pPr>
        <w:spacing w:after="0" w:line="240" w:lineRule="auto"/>
        <w:textAlignment w:val="baseline"/>
        <w:rPr>
          <w:rFonts w:ascii="Segoe UI" w:eastAsia="Times New Roman" w:hAnsi="Segoe UI" w:cs="Segoe UI"/>
          <w:sz w:val="18"/>
          <w:szCs w:val="18"/>
        </w:rPr>
      </w:pPr>
      <w:r w:rsidRPr="0049306D">
        <w:rPr>
          <w:rFonts w:ascii="Calibri" w:eastAsia="Times New Roman" w:hAnsi="Calibri" w:cs="Calibri"/>
          <w:b/>
          <w:bCs/>
          <w:color w:val="FF0000"/>
          <w:u w:val="single"/>
        </w:rPr>
        <w:t>2020 Submission</w:t>
      </w:r>
      <w:r w:rsidRPr="0049306D">
        <w:rPr>
          <w:rFonts w:ascii="Calibri" w:eastAsia="Times New Roman" w:hAnsi="Calibri" w:cs="Calibri"/>
          <w:color w:val="FF0000"/>
        </w:rPr>
        <w:t>  </w:t>
      </w:r>
      <w:r w:rsidRPr="0049306D">
        <w:rPr>
          <w:rFonts w:ascii="Calibri" w:eastAsia="Times New Roman" w:hAnsi="Calibri" w:cs="Calibri"/>
        </w:rPr>
        <w:t> </w:t>
      </w:r>
    </w:p>
    <w:p w14:paraId="1D458E23" w14:textId="77777777" w:rsidR="0049306D" w:rsidRPr="0049306D" w:rsidRDefault="0049306D" w:rsidP="0049306D">
      <w:pPr>
        <w:spacing w:after="0" w:line="240" w:lineRule="auto"/>
        <w:textAlignment w:val="baseline"/>
        <w:rPr>
          <w:rFonts w:ascii="Segoe UI" w:eastAsia="Times New Roman" w:hAnsi="Segoe UI" w:cs="Segoe UI"/>
          <w:sz w:val="18"/>
          <w:szCs w:val="18"/>
        </w:rPr>
      </w:pPr>
      <w:r w:rsidRPr="0049306D">
        <w:rPr>
          <w:rFonts w:ascii="Calibri" w:eastAsia="Times New Roman" w:hAnsi="Calibri" w:cs="Calibri"/>
          <w:color w:val="FF0000"/>
        </w:rPr>
        <w:t>This measure has only one set of specifications.</w:t>
      </w:r>
      <w:r w:rsidRPr="0049306D">
        <w:rPr>
          <w:rFonts w:ascii="Calibri" w:eastAsia="Times New Roman" w:hAnsi="Calibri" w:cs="Calibri"/>
        </w:rPr>
        <w:t> </w:t>
      </w:r>
    </w:p>
    <w:p w14:paraId="2FE314BA" w14:textId="77777777" w:rsidR="00106428" w:rsidRPr="00A25024" w:rsidRDefault="00106428" w:rsidP="00DB3627">
      <w:pPr>
        <w:autoSpaceDE w:val="0"/>
        <w:autoSpaceDN w:val="0"/>
        <w:adjustRightInd w:val="0"/>
        <w:spacing w:after="0" w:line="240" w:lineRule="auto"/>
        <w:rPr>
          <w:rFonts w:cstheme="minorHAnsi"/>
          <w:b/>
          <w:bCs/>
        </w:rPr>
      </w:pPr>
    </w:p>
    <w:p w14:paraId="0CABD011" w14:textId="52777D4F" w:rsidR="00052A6F" w:rsidRPr="007864D8" w:rsidRDefault="002B2116" w:rsidP="00DB3627">
      <w:pPr>
        <w:autoSpaceDE w:val="0"/>
        <w:autoSpaceDN w:val="0"/>
        <w:adjustRightInd w:val="0"/>
        <w:spacing w:after="0" w:line="240" w:lineRule="auto"/>
        <w:rPr>
          <w:rFonts w:cstheme="minorHAnsi"/>
          <w:bCs/>
          <w:i/>
          <w:color w:val="BFBFBF" w:themeColor="background1" w:themeShade="BF"/>
        </w:rPr>
      </w:pPr>
      <w:r w:rsidRPr="007864D8">
        <w:rPr>
          <w:rFonts w:cstheme="minorHAnsi"/>
          <w:b/>
          <w:bCs/>
          <w:color w:val="BFBFBF" w:themeColor="background1" w:themeShade="BF"/>
          <w:u w:val="single"/>
        </w:rPr>
        <w:lastRenderedPageBreak/>
        <w:t>Note</w:t>
      </w:r>
      <w:r w:rsidRPr="007864D8">
        <w:rPr>
          <w:rFonts w:cstheme="minorHAnsi"/>
          <w:bCs/>
          <w:i/>
          <w:color w:val="BFBFBF" w:themeColor="background1" w:themeShade="BF"/>
        </w:rPr>
        <w:t xml:space="preserve">: </w:t>
      </w:r>
      <w:r w:rsidR="00F1412B" w:rsidRPr="007864D8">
        <w:rPr>
          <w:rFonts w:ascii="Calibri-Italic" w:eastAsiaTheme="minorHAnsi" w:hAnsi="Calibri-Italic" w:cs="Calibri-Italic"/>
          <w:i/>
          <w:iCs/>
          <w:color w:val="BFBFBF" w:themeColor="background1" w:themeShade="BF"/>
        </w:rPr>
        <w:t xml:space="preserve">This item is directed to measures that are risk-adjusted (with or without </w:t>
      </w:r>
      <w:r w:rsidR="00AF2D68" w:rsidRPr="007864D8">
        <w:rPr>
          <w:rFonts w:ascii="Calibri-Italic" w:eastAsiaTheme="minorHAnsi" w:hAnsi="Calibri-Italic" w:cs="Calibri-Italic"/>
          <w:i/>
          <w:iCs/>
          <w:color w:val="BFBFBF" w:themeColor="background1" w:themeShade="BF"/>
        </w:rPr>
        <w:t>social risk</w:t>
      </w:r>
      <w:r w:rsidR="00F1412B" w:rsidRPr="007864D8">
        <w:rPr>
          <w:rFonts w:ascii="Calibri-Italic" w:eastAsiaTheme="minorHAnsi" w:hAnsi="Calibri-Italic" w:cs="Calibri-Italic"/>
          <w:i/>
          <w:iCs/>
          <w:color w:val="BFBFBF" w:themeColor="background1" w:themeShade="BF"/>
        </w:rPr>
        <w:t xml:space="preserve"> factors) </w:t>
      </w:r>
      <w:r w:rsidR="00F1412B" w:rsidRPr="007864D8">
        <w:rPr>
          <w:rFonts w:ascii="Calibri-Italic" w:eastAsiaTheme="minorHAnsi" w:hAnsi="Calibri-Italic" w:cs="Calibri-Italic"/>
          <w:b/>
          <w:i/>
          <w:iCs/>
          <w:color w:val="BFBFBF" w:themeColor="background1" w:themeShade="BF"/>
        </w:rPr>
        <w:t>OR</w:t>
      </w:r>
      <w:r w:rsidR="00F1412B" w:rsidRPr="007864D8">
        <w:rPr>
          <w:rFonts w:ascii="Calibri-Italic" w:eastAsiaTheme="minorHAnsi" w:hAnsi="Calibri-Italic" w:cs="Calibri-Italic"/>
          <w:i/>
          <w:iCs/>
          <w:color w:val="BFBFBF" w:themeColor="background1" w:themeShade="BF"/>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7864D8">
        <w:rPr>
          <w:rFonts w:ascii="Calibri-BoldItalic" w:eastAsiaTheme="minorHAnsi" w:hAnsi="Calibri-BoldItalic" w:cs="Calibri-BoldItalic"/>
          <w:b/>
          <w:bCs/>
          <w:i/>
          <w:iCs/>
          <w:color w:val="BFBFBF" w:themeColor="background1" w:themeShade="BF"/>
        </w:rPr>
        <w:t xml:space="preserve">Comparability is not required when comparing performance scores with and without </w:t>
      </w:r>
      <w:r w:rsidR="00AF2D68" w:rsidRPr="007864D8">
        <w:rPr>
          <w:rFonts w:ascii="Calibri-BoldItalic" w:eastAsiaTheme="minorHAnsi" w:hAnsi="Calibri-BoldItalic" w:cs="Calibri-BoldItalic"/>
          <w:b/>
          <w:bCs/>
          <w:i/>
          <w:iCs/>
          <w:color w:val="BFBFBF" w:themeColor="background1" w:themeShade="BF"/>
        </w:rPr>
        <w:t>social risk</w:t>
      </w:r>
      <w:r w:rsidR="00F1412B" w:rsidRPr="007864D8">
        <w:rPr>
          <w:rFonts w:ascii="Calibri-BoldItalic" w:eastAsiaTheme="minorHAnsi" w:hAnsi="Calibri-BoldItalic" w:cs="Calibri-BoldItalic"/>
          <w:b/>
          <w:bCs/>
          <w:i/>
          <w:iCs/>
          <w:color w:val="BFBFBF" w:themeColor="background1" w:themeShade="BF"/>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7864D8" w:rsidRDefault="000F06B5" w:rsidP="00DB3627">
      <w:pPr>
        <w:autoSpaceDE w:val="0"/>
        <w:autoSpaceDN w:val="0"/>
        <w:adjustRightInd w:val="0"/>
        <w:spacing w:after="0" w:line="240" w:lineRule="auto"/>
        <w:rPr>
          <w:rFonts w:cstheme="minorHAnsi"/>
          <w:bCs/>
          <w:color w:val="BFBFBF" w:themeColor="background1" w:themeShade="BF"/>
        </w:rPr>
      </w:pPr>
    </w:p>
    <w:p w14:paraId="0CABD013" w14:textId="4CF76BF4" w:rsidR="000F06B5" w:rsidRPr="007864D8" w:rsidRDefault="009C7513" w:rsidP="00DB3627">
      <w:pPr>
        <w:autoSpaceDE w:val="0"/>
        <w:autoSpaceDN w:val="0"/>
        <w:adjustRightInd w:val="0"/>
        <w:spacing w:after="0" w:line="240" w:lineRule="auto"/>
        <w:rPr>
          <w:rFonts w:cstheme="minorHAnsi"/>
          <w:bCs/>
          <w:color w:val="BFBFBF" w:themeColor="background1" w:themeShade="BF"/>
          <w:sz w:val="14"/>
        </w:rPr>
      </w:pPr>
      <w:r w:rsidRPr="007864D8">
        <w:rPr>
          <w:rFonts w:cstheme="minorHAnsi"/>
          <w:b/>
          <w:bCs/>
          <w:color w:val="BFBFBF" w:themeColor="background1" w:themeShade="BF"/>
        </w:rPr>
        <w:t>2b5</w:t>
      </w:r>
      <w:r w:rsidR="00E1508F" w:rsidRPr="007864D8">
        <w:rPr>
          <w:rFonts w:cstheme="minorHAnsi"/>
          <w:b/>
          <w:bCs/>
          <w:color w:val="BFBFBF" w:themeColor="background1" w:themeShade="BF"/>
        </w:rPr>
        <w:t xml:space="preserve">.1. </w:t>
      </w:r>
      <w:r w:rsidR="008871A9" w:rsidRPr="007864D8">
        <w:rPr>
          <w:rFonts w:cstheme="minorHAnsi"/>
          <w:b/>
          <w:bCs/>
          <w:color w:val="BFBFBF" w:themeColor="background1" w:themeShade="BF"/>
        </w:rPr>
        <w:t xml:space="preserve">Describe the method of </w:t>
      </w:r>
      <w:r w:rsidR="000F06B5" w:rsidRPr="007864D8">
        <w:rPr>
          <w:rFonts w:cstheme="minorHAnsi"/>
          <w:b/>
          <w:bCs/>
          <w:color w:val="BFBFBF" w:themeColor="background1" w:themeShade="BF"/>
        </w:rPr>
        <w:t>testing conducted</w:t>
      </w:r>
      <w:r w:rsidR="008871A9" w:rsidRPr="007864D8">
        <w:rPr>
          <w:rFonts w:cstheme="minorHAnsi"/>
          <w:b/>
          <w:bCs/>
          <w:color w:val="BFBFBF" w:themeColor="background1" w:themeShade="BF"/>
        </w:rPr>
        <w:t xml:space="preserve"> to </w:t>
      </w:r>
      <w:r w:rsidR="00F1412B" w:rsidRPr="007864D8">
        <w:rPr>
          <w:rFonts w:cstheme="minorHAnsi"/>
          <w:b/>
          <w:bCs/>
          <w:color w:val="BFBFBF" w:themeColor="background1" w:themeShade="BF"/>
        </w:rPr>
        <w:t>compare</w:t>
      </w:r>
      <w:r w:rsidR="004B6CEE" w:rsidRPr="007864D8">
        <w:rPr>
          <w:rFonts w:cstheme="minorHAnsi"/>
          <w:b/>
          <w:bCs/>
          <w:color w:val="BFBFBF" w:themeColor="background1" w:themeShade="BF"/>
        </w:rPr>
        <w:t xml:space="preserve"> performance scores </w:t>
      </w:r>
      <w:r w:rsidR="00A35F8F" w:rsidRPr="007864D8">
        <w:rPr>
          <w:rFonts w:cstheme="minorHAnsi"/>
          <w:b/>
          <w:bCs/>
          <w:color w:val="BFBFBF" w:themeColor="background1" w:themeShade="BF"/>
        </w:rPr>
        <w:t xml:space="preserve">for the same entities </w:t>
      </w:r>
      <w:r w:rsidR="00287649" w:rsidRPr="007864D8">
        <w:rPr>
          <w:rFonts w:cstheme="minorHAnsi"/>
          <w:b/>
          <w:bCs/>
          <w:color w:val="BFBFBF" w:themeColor="background1" w:themeShade="BF"/>
        </w:rPr>
        <w:t xml:space="preserve">across the different </w:t>
      </w:r>
      <w:r w:rsidR="00864CA8" w:rsidRPr="007864D8">
        <w:rPr>
          <w:rFonts w:cstheme="minorHAnsi"/>
          <w:b/>
          <w:bCs/>
          <w:color w:val="BFBFBF" w:themeColor="background1" w:themeShade="BF"/>
        </w:rPr>
        <w:t>data</w:t>
      </w:r>
      <w:r w:rsidR="0028114D" w:rsidRPr="007864D8">
        <w:rPr>
          <w:rFonts w:cstheme="minorHAnsi"/>
          <w:b/>
          <w:bCs/>
          <w:color w:val="BFBFBF" w:themeColor="background1" w:themeShade="BF"/>
        </w:rPr>
        <w:t xml:space="preserve"> </w:t>
      </w:r>
      <w:r w:rsidR="00864CA8" w:rsidRPr="007864D8">
        <w:rPr>
          <w:rFonts w:cstheme="minorHAnsi"/>
          <w:b/>
          <w:bCs/>
          <w:color w:val="BFBFBF" w:themeColor="background1" w:themeShade="BF"/>
        </w:rPr>
        <w:t>sources/</w:t>
      </w:r>
      <w:r w:rsidR="00287649" w:rsidRPr="007864D8">
        <w:rPr>
          <w:rFonts w:cstheme="minorHAnsi"/>
          <w:b/>
          <w:bCs/>
          <w:color w:val="BFBFBF" w:themeColor="background1" w:themeShade="BF"/>
        </w:rPr>
        <w:t>specifications</w:t>
      </w:r>
      <w:r w:rsidR="000F06B5" w:rsidRPr="007864D8">
        <w:rPr>
          <w:rFonts w:cstheme="minorHAnsi"/>
          <w:bCs/>
          <w:color w:val="BFBFBF" w:themeColor="background1" w:themeShade="BF"/>
        </w:rPr>
        <w:t xml:space="preserve"> (</w:t>
      </w:r>
      <w:r w:rsidR="008871A9" w:rsidRPr="007864D8">
        <w:rPr>
          <w:rFonts w:cstheme="minorHAnsi"/>
          <w:bCs/>
          <w:i/>
          <w:color w:val="BFBFBF" w:themeColor="background1" w:themeShade="BF"/>
        </w:rPr>
        <w:t>describe the steps―do not just name a method</w:t>
      </w:r>
      <w:r w:rsidR="006C3A4F" w:rsidRPr="007864D8">
        <w:rPr>
          <w:rFonts w:cstheme="minorHAnsi"/>
          <w:bCs/>
          <w:i/>
          <w:color w:val="BFBFBF" w:themeColor="background1" w:themeShade="BF"/>
        </w:rPr>
        <w:t>; what statistical analysis was used</w:t>
      </w:r>
      <w:r w:rsidR="000F06B5" w:rsidRPr="007864D8">
        <w:rPr>
          <w:rFonts w:cstheme="minorHAnsi"/>
          <w:bCs/>
          <w:color w:val="BFBFBF" w:themeColor="background1" w:themeShade="BF"/>
        </w:rPr>
        <w:t>)</w:t>
      </w:r>
    </w:p>
    <w:p w14:paraId="0CABD014" w14:textId="77777777" w:rsidR="000F06B5" w:rsidRPr="007864D8" w:rsidRDefault="000F06B5" w:rsidP="00DB3627">
      <w:pPr>
        <w:pStyle w:val="ListParagraph"/>
        <w:autoSpaceDE w:val="0"/>
        <w:autoSpaceDN w:val="0"/>
        <w:adjustRightInd w:val="0"/>
        <w:spacing w:after="0" w:line="240" w:lineRule="auto"/>
        <w:ind w:left="0"/>
        <w:rPr>
          <w:rFonts w:cstheme="minorHAnsi"/>
          <w:bCs/>
          <w:color w:val="BFBFBF" w:themeColor="background1" w:themeShade="BF"/>
        </w:rPr>
      </w:pPr>
    </w:p>
    <w:p w14:paraId="0CABD015" w14:textId="52D205A2" w:rsidR="00A35F8F" w:rsidRPr="007864D8" w:rsidRDefault="009C7513" w:rsidP="00E1508F">
      <w:pPr>
        <w:autoSpaceDE w:val="0"/>
        <w:autoSpaceDN w:val="0"/>
        <w:adjustRightInd w:val="0"/>
        <w:spacing w:after="0" w:line="240" w:lineRule="auto"/>
        <w:rPr>
          <w:rFonts w:cstheme="minorHAnsi"/>
          <w:bCs/>
          <w:color w:val="BFBFBF" w:themeColor="background1" w:themeShade="BF"/>
        </w:rPr>
      </w:pPr>
      <w:r w:rsidRPr="007864D8">
        <w:rPr>
          <w:rFonts w:cstheme="minorHAnsi"/>
          <w:b/>
          <w:bCs/>
          <w:color w:val="BFBFBF" w:themeColor="background1" w:themeShade="BF"/>
        </w:rPr>
        <w:t>2b5</w:t>
      </w:r>
      <w:r w:rsidR="00E1508F" w:rsidRPr="007864D8">
        <w:rPr>
          <w:rFonts w:cstheme="minorHAnsi"/>
          <w:b/>
          <w:bCs/>
          <w:color w:val="BFBFBF" w:themeColor="background1" w:themeShade="BF"/>
        </w:rPr>
        <w:t xml:space="preserve">.2. </w:t>
      </w:r>
      <w:r w:rsidR="000F06B5" w:rsidRPr="007864D8">
        <w:rPr>
          <w:rFonts w:cstheme="minorHAnsi"/>
          <w:b/>
          <w:bCs/>
          <w:color w:val="BFBFBF" w:themeColor="background1" w:themeShade="BF"/>
        </w:rPr>
        <w:t xml:space="preserve">What were the statistical results </w:t>
      </w:r>
      <w:r w:rsidR="00A35F8F" w:rsidRPr="007864D8">
        <w:rPr>
          <w:rFonts w:cstheme="minorHAnsi"/>
          <w:b/>
          <w:bCs/>
          <w:color w:val="BFBFBF" w:themeColor="background1" w:themeShade="BF"/>
        </w:rPr>
        <w:t>from testing</w:t>
      </w:r>
      <w:r w:rsidR="000F06B5" w:rsidRPr="007864D8">
        <w:rPr>
          <w:rFonts w:cstheme="minorHAnsi"/>
          <w:b/>
          <w:bCs/>
          <w:color w:val="BFBFBF" w:themeColor="background1" w:themeShade="BF"/>
        </w:rPr>
        <w:t xml:space="preserve"> comparability of performance scores for the same entities when using different </w:t>
      </w:r>
      <w:r w:rsidR="00864CA8" w:rsidRPr="007864D8">
        <w:rPr>
          <w:rFonts w:cstheme="minorHAnsi"/>
          <w:b/>
          <w:bCs/>
          <w:color w:val="BFBFBF" w:themeColor="background1" w:themeShade="BF"/>
        </w:rPr>
        <w:t>data sources/</w:t>
      </w:r>
      <w:r w:rsidR="000F06B5" w:rsidRPr="007864D8">
        <w:rPr>
          <w:rFonts w:cstheme="minorHAnsi"/>
          <w:b/>
          <w:bCs/>
          <w:color w:val="BFBFBF" w:themeColor="background1" w:themeShade="BF"/>
        </w:rPr>
        <w:t>specifications?</w:t>
      </w:r>
      <w:r w:rsidR="000F06B5" w:rsidRPr="007864D8">
        <w:rPr>
          <w:rFonts w:cstheme="minorHAnsi"/>
          <w:bCs/>
          <w:color w:val="BFBFBF" w:themeColor="background1" w:themeShade="BF"/>
        </w:rPr>
        <w:t xml:space="preserve"> </w:t>
      </w:r>
      <w:r w:rsidR="00287649" w:rsidRPr="007864D8">
        <w:rPr>
          <w:rFonts w:cstheme="minorHAnsi"/>
          <w:bCs/>
          <w:color w:val="BFBFBF" w:themeColor="background1" w:themeShade="BF"/>
        </w:rPr>
        <w:t>(</w:t>
      </w:r>
      <w:r w:rsidR="00287649" w:rsidRPr="007864D8">
        <w:rPr>
          <w:rFonts w:cstheme="minorHAnsi"/>
          <w:bCs/>
          <w:i/>
          <w:color w:val="BFBFBF" w:themeColor="background1" w:themeShade="BF"/>
        </w:rPr>
        <w:t>e.g., correlation</w:t>
      </w:r>
      <w:r w:rsidR="006C3A4F" w:rsidRPr="007864D8">
        <w:rPr>
          <w:rFonts w:cstheme="minorHAnsi"/>
          <w:bCs/>
          <w:i/>
          <w:color w:val="BFBFBF" w:themeColor="background1" w:themeShade="BF"/>
        </w:rPr>
        <w:t>, rank order</w:t>
      </w:r>
      <w:r w:rsidR="00287649" w:rsidRPr="007864D8">
        <w:rPr>
          <w:rFonts w:cstheme="minorHAnsi"/>
          <w:bCs/>
          <w:color w:val="BFBFBF" w:themeColor="background1" w:themeShade="BF"/>
        </w:rPr>
        <w:t>)</w:t>
      </w:r>
    </w:p>
    <w:p w14:paraId="0CABD016" w14:textId="77777777" w:rsidR="00E1508F" w:rsidRPr="007864D8" w:rsidRDefault="00E1508F" w:rsidP="00E1508F">
      <w:pPr>
        <w:autoSpaceDE w:val="0"/>
        <w:autoSpaceDN w:val="0"/>
        <w:adjustRightInd w:val="0"/>
        <w:spacing w:after="0" w:line="240" w:lineRule="auto"/>
        <w:rPr>
          <w:rFonts w:cstheme="minorHAnsi"/>
          <w:bCs/>
          <w:color w:val="BFBFBF" w:themeColor="background1" w:themeShade="BF"/>
        </w:rPr>
      </w:pPr>
    </w:p>
    <w:p w14:paraId="0CABD017" w14:textId="48967502" w:rsidR="0079180E" w:rsidRPr="007864D8" w:rsidRDefault="009C7513" w:rsidP="00DB3627">
      <w:pPr>
        <w:autoSpaceDE w:val="0"/>
        <w:autoSpaceDN w:val="0"/>
        <w:adjustRightInd w:val="0"/>
        <w:spacing w:after="0" w:line="240" w:lineRule="auto"/>
        <w:rPr>
          <w:rFonts w:cstheme="minorHAnsi"/>
          <w:bCs/>
          <w:color w:val="BFBFBF" w:themeColor="background1" w:themeShade="BF"/>
        </w:rPr>
      </w:pPr>
      <w:r w:rsidRPr="007864D8">
        <w:rPr>
          <w:rFonts w:cstheme="minorHAnsi"/>
          <w:b/>
          <w:bCs/>
          <w:color w:val="BFBFBF" w:themeColor="background1" w:themeShade="BF"/>
        </w:rPr>
        <w:t>2b5</w:t>
      </w:r>
      <w:r w:rsidR="00E1508F" w:rsidRPr="007864D8">
        <w:rPr>
          <w:rFonts w:cstheme="minorHAnsi"/>
          <w:b/>
          <w:bCs/>
          <w:color w:val="BFBFBF" w:themeColor="background1" w:themeShade="BF"/>
        </w:rPr>
        <w:t xml:space="preserve">.3. </w:t>
      </w:r>
      <w:r w:rsidR="002B0C3A" w:rsidRPr="007864D8">
        <w:rPr>
          <w:rFonts w:cstheme="minorHAnsi"/>
          <w:b/>
          <w:bCs/>
          <w:color w:val="BFBFBF" w:themeColor="background1" w:themeShade="BF"/>
        </w:rPr>
        <w:t xml:space="preserve">What is your interpretation of the results </w:t>
      </w:r>
      <w:r w:rsidR="00A35F8F" w:rsidRPr="007864D8">
        <w:rPr>
          <w:rFonts w:cstheme="minorHAnsi"/>
          <w:b/>
          <w:bCs/>
          <w:color w:val="BFBFBF" w:themeColor="background1" w:themeShade="BF"/>
        </w:rPr>
        <w:t xml:space="preserve">in terms of </w:t>
      </w:r>
      <w:r w:rsidR="00F1412B" w:rsidRPr="007864D8">
        <w:rPr>
          <w:rFonts w:cstheme="minorHAnsi"/>
          <w:b/>
          <w:bCs/>
          <w:color w:val="BFBFBF" w:themeColor="background1" w:themeShade="BF"/>
        </w:rPr>
        <w:t>the differences in</w:t>
      </w:r>
      <w:r w:rsidR="002B0C3A" w:rsidRPr="007864D8">
        <w:rPr>
          <w:rFonts w:cstheme="minorHAnsi"/>
          <w:b/>
          <w:bCs/>
          <w:color w:val="BFBFBF" w:themeColor="background1" w:themeShade="BF"/>
        </w:rPr>
        <w:t xml:space="preserve"> performance measure scores </w:t>
      </w:r>
      <w:r w:rsidR="00287649" w:rsidRPr="007864D8">
        <w:rPr>
          <w:rFonts w:cstheme="minorHAnsi"/>
          <w:b/>
          <w:bCs/>
          <w:color w:val="BFBFBF" w:themeColor="background1" w:themeShade="BF"/>
        </w:rPr>
        <w:t xml:space="preserve">for the same entities across the different </w:t>
      </w:r>
      <w:r w:rsidR="00864CA8" w:rsidRPr="007864D8">
        <w:rPr>
          <w:rFonts w:cstheme="minorHAnsi"/>
          <w:b/>
          <w:bCs/>
          <w:color w:val="BFBFBF" w:themeColor="background1" w:themeShade="BF"/>
        </w:rPr>
        <w:t>data sources/</w:t>
      </w:r>
      <w:r w:rsidR="00287649" w:rsidRPr="007864D8">
        <w:rPr>
          <w:rFonts w:cstheme="minorHAnsi"/>
          <w:b/>
          <w:bCs/>
          <w:color w:val="BFBFBF" w:themeColor="background1" w:themeShade="BF"/>
        </w:rPr>
        <w:t>specifications</w:t>
      </w:r>
      <w:r w:rsidR="002B0C3A" w:rsidRPr="007864D8">
        <w:rPr>
          <w:rFonts w:cstheme="minorHAnsi"/>
          <w:b/>
          <w:bCs/>
          <w:color w:val="BFBFBF" w:themeColor="background1" w:themeShade="BF"/>
        </w:rPr>
        <w:t>?</w:t>
      </w:r>
      <w:r w:rsidR="00A35F8F" w:rsidRPr="007864D8">
        <w:rPr>
          <w:rFonts w:cstheme="minorHAnsi"/>
          <w:bCs/>
          <w:color w:val="BFBFBF" w:themeColor="background1" w:themeShade="BF"/>
        </w:rPr>
        <w:t xml:space="preserve"> </w:t>
      </w:r>
      <w:r w:rsidR="002B0C3A" w:rsidRPr="007864D8">
        <w:rPr>
          <w:rFonts w:cstheme="minorHAnsi"/>
          <w:bCs/>
          <w:color w:val="BFBFBF" w:themeColor="background1" w:themeShade="BF"/>
        </w:rPr>
        <w:t>(i</w:t>
      </w:r>
      <w:r w:rsidR="002B0C3A" w:rsidRPr="007864D8">
        <w:rPr>
          <w:rFonts w:cstheme="minorHAnsi"/>
          <w:bCs/>
          <w:i/>
          <w:color w:val="BFBFBF" w:themeColor="background1" w:themeShade="BF"/>
        </w:rPr>
        <w:t>.e., what do the results mean and what are the norms for the test conducted</w:t>
      </w:r>
      <w:r w:rsidR="002B0C3A" w:rsidRPr="007864D8">
        <w:rPr>
          <w:rFonts w:cstheme="minorHAnsi"/>
          <w:bCs/>
          <w:color w:val="BFBFBF" w:themeColor="background1" w:themeShade="BF"/>
        </w:rPr>
        <w:t>)</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4F3D3571"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DE401B">
        <w:rPr>
          <w:rFonts w:cstheme="minorHAnsi"/>
          <w:b/>
          <w:color w:val="FF0000"/>
          <w:u w:val="single"/>
        </w:rPr>
        <w:t>2020 Submission</w:t>
      </w:r>
    </w:p>
    <w:p w14:paraId="225F7DFA" w14:textId="77777777" w:rsidR="00D42C4F" w:rsidRPr="00D42C4F" w:rsidRDefault="00D42C4F" w:rsidP="00D42C4F">
      <w:pPr>
        <w:spacing w:after="0" w:line="240" w:lineRule="auto"/>
        <w:textAlignment w:val="baseline"/>
        <w:rPr>
          <w:rFonts w:ascii="Segoe UI" w:eastAsia="Times New Roman" w:hAnsi="Segoe UI" w:cs="Segoe UI"/>
          <w:sz w:val="18"/>
          <w:szCs w:val="18"/>
        </w:rPr>
      </w:pPr>
      <w:r w:rsidRPr="00D42C4F">
        <w:rPr>
          <w:rFonts w:ascii="Calibri" w:eastAsia="Times New Roman" w:hAnsi="Calibri" w:cs="Calibri"/>
          <w:color w:val="FF0000"/>
        </w:rPr>
        <w:t>HEDIS measures apply to enrolled members in a health plan, and NCQA has a rigorous audit process to ensure the eligible population and numerator events for each measure are correctly identified and reported. The audit process is designed to verify primary data sources used to populate measures and ensure specifications are correctly implemented.   </w:t>
      </w:r>
      <w:r w:rsidRPr="00D42C4F">
        <w:rPr>
          <w:rFonts w:ascii="Calibri" w:eastAsia="Times New Roman" w:hAnsi="Calibri" w:cs="Calibri"/>
        </w:rPr>
        <w:t> </w:t>
      </w:r>
    </w:p>
    <w:p w14:paraId="463EF276" w14:textId="77777777" w:rsidR="006101E6" w:rsidRDefault="006101E6" w:rsidP="00D42C4F">
      <w:pPr>
        <w:spacing w:after="0" w:line="240" w:lineRule="auto"/>
        <w:textAlignment w:val="baseline"/>
        <w:rPr>
          <w:rFonts w:ascii="Calibri" w:eastAsia="Times New Roman" w:hAnsi="Calibri" w:cs="Calibri"/>
          <w:color w:val="FF0000"/>
        </w:rPr>
      </w:pPr>
    </w:p>
    <w:p w14:paraId="4470A6A1" w14:textId="78934EB2" w:rsidR="00D42C4F" w:rsidRPr="00D42C4F" w:rsidRDefault="00D42C4F" w:rsidP="00D42C4F">
      <w:pPr>
        <w:spacing w:after="0" w:line="240" w:lineRule="auto"/>
        <w:textAlignment w:val="baseline"/>
        <w:rPr>
          <w:rFonts w:ascii="Segoe UI" w:eastAsia="Times New Roman" w:hAnsi="Segoe UI" w:cs="Segoe UI"/>
          <w:sz w:val="18"/>
          <w:szCs w:val="18"/>
        </w:rPr>
      </w:pPr>
      <w:r w:rsidRPr="00D42C4F">
        <w:rPr>
          <w:rFonts w:ascii="Calibri" w:eastAsia="Times New Roman" w:hAnsi="Calibri" w:cs="Calibri"/>
          <w:color w:val="FF0000"/>
        </w:rPr>
        <w:t>The HEDIS Compliance Audit addresses the following functions:    </w:t>
      </w:r>
      <w:r w:rsidRPr="00D42C4F">
        <w:rPr>
          <w:rFonts w:ascii="Calibri" w:eastAsia="Times New Roman" w:hAnsi="Calibri" w:cs="Calibri"/>
        </w:rPr>
        <w:t> </w:t>
      </w:r>
    </w:p>
    <w:p w14:paraId="30B53AEB" w14:textId="2946754B" w:rsidR="00D42C4F" w:rsidRPr="006101E6" w:rsidRDefault="00D42C4F" w:rsidP="006101E6">
      <w:pPr>
        <w:pStyle w:val="ListParagraph"/>
        <w:numPr>
          <w:ilvl w:val="0"/>
          <w:numId w:val="32"/>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Information practices and control procedures   </w:t>
      </w:r>
      <w:r w:rsidRPr="006101E6">
        <w:rPr>
          <w:rFonts w:ascii="Calibri" w:eastAsia="Times New Roman" w:hAnsi="Calibri" w:cs="Calibri"/>
        </w:rPr>
        <w:t> </w:t>
      </w:r>
    </w:p>
    <w:p w14:paraId="33A20756" w14:textId="3AEAF853" w:rsidR="00D42C4F" w:rsidRPr="006101E6" w:rsidRDefault="00D42C4F" w:rsidP="006101E6">
      <w:pPr>
        <w:pStyle w:val="ListParagraph"/>
        <w:numPr>
          <w:ilvl w:val="0"/>
          <w:numId w:val="32"/>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Sampling methods and procedures   </w:t>
      </w:r>
      <w:r w:rsidRPr="006101E6">
        <w:rPr>
          <w:rFonts w:ascii="Calibri" w:eastAsia="Times New Roman" w:hAnsi="Calibri" w:cs="Calibri"/>
        </w:rPr>
        <w:t> </w:t>
      </w:r>
    </w:p>
    <w:p w14:paraId="6A005065" w14:textId="76856DAF" w:rsidR="00D42C4F" w:rsidRPr="006101E6" w:rsidRDefault="00D42C4F" w:rsidP="006101E6">
      <w:pPr>
        <w:pStyle w:val="ListParagraph"/>
        <w:numPr>
          <w:ilvl w:val="0"/>
          <w:numId w:val="32"/>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Data integrity   </w:t>
      </w:r>
      <w:r w:rsidRPr="006101E6">
        <w:rPr>
          <w:rFonts w:ascii="Calibri" w:eastAsia="Times New Roman" w:hAnsi="Calibri" w:cs="Calibri"/>
        </w:rPr>
        <w:t> </w:t>
      </w:r>
    </w:p>
    <w:p w14:paraId="291930F3" w14:textId="2F74DE86" w:rsidR="00D42C4F" w:rsidRPr="006101E6" w:rsidRDefault="00D42C4F" w:rsidP="006101E6">
      <w:pPr>
        <w:pStyle w:val="ListParagraph"/>
        <w:numPr>
          <w:ilvl w:val="0"/>
          <w:numId w:val="32"/>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Compliance with HEDIS specifications   </w:t>
      </w:r>
      <w:r w:rsidRPr="006101E6">
        <w:rPr>
          <w:rFonts w:ascii="Calibri" w:eastAsia="Times New Roman" w:hAnsi="Calibri" w:cs="Calibri"/>
        </w:rPr>
        <w:t> </w:t>
      </w:r>
    </w:p>
    <w:p w14:paraId="4677903A" w14:textId="01F1B396" w:rsidR="00D42C4F" w:rsidRPr="006101E6" w:rsidRDefault="00D42C4F" w:rsidP="006101E6">
      <w:pPr>
        <w:pStyle w:val="ListParagraph"/>
        <w:numPr>
          <w:ilvl w:val="0"/>
          <w:numId w:val="32"/>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Analytic file production    </w:t>
      </w:r>
      <w:r w:rsidRPr="006101E6">
        <w:rPr>
          <w:rFonts w:ascii="Calibri" w:eastAsia="Times New Roman" w:hAnsi="Calibri" w:cs="Calibri"/>
        </w:rPr>
        <w:t> </w:t>
      </w:r>
    </w:p>
    <w:p w14:paraId="73E4D284" w14:textId="31D0BF95" w:rsidR="00D42C4F" w:rsidRPr="006101E6" w:rsidRDefault="00D42C4F" w:rsidP="006101E6">
      <w:pPr>
        <w:pStyle w:val="ListParagraph"/>
        <w:numPr>
          <w:ilvl w:val="0"/>
          <w:numId w:val="32"/>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Reporting and documentation  </w:t>
      </w:r>
      <w:r w:rsidRPr="006101E6">
        <w:rPr>
          <w:rFonts w:ascii="Calibri" w:eastAsia="Times New Roman" w:hAnsi="Calibri" w:cs="Calibri"/>
        </w:rPr>
        <w:t> </w:t>
      </w:r>
    </w:p>
    <w:p w14:paraId="0CABD01C" w14:textId="411FECBB" w:rsidR="008F7E67" w:rsidRDefault="008F7E67" w:rsidP="008F7E67">
      <w:pPr>
        <w:pStyle w:val="ListParagraph"/>
        <w:autoSpaceDE w:val="0"/>
        <w:autoSpaceDN w:val="0"/>
        <w:adjustRightInd w:val="0"/>
        <w:spacing w:after="0" w:line="240" w:lineRule="auto"/>
        <w:ind w:left="0"/>
        <w:rPr>
          <w:rFonts w:cstheme="minorHAnsi"/>
          <w:bCs/>
          <w:sz w:val="18"/>
        </w:rPr>
      </w:pPr>
    </w:p>
    <w:p w14:paraId="50391A4F" w14:textId="297F182A" w:rsidR="007D2E83" w:rsidRDefault="007D2E83" w:rsidP="007D2E83">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186F8BFE" w14:textId="77777777" w:rsidR="00DB68BA" w:rsidRDefault="00DB68BA" w:rsidP="00DB68BA">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color w:val="548DD4"/>
          <w:sz w:val="22"/>
          <w:szCs w:val="22"/>
          <w:shd w:val="clear" w:color="auto" w:fill="FFFFFF"/>
        </w:rPr>
        <w:t>This question was not on the 2016 form.</w:t>
      </w:r>
      <w:r>
        <w:rPr>
          <w:rStyle w:val="eop"/>
          <w:rFonts w:ascii="Calibri" w:hAnsi="Calibri" w:cs="Calibri"/>
          <w:sz w:val="22"/>
          <w:szCs w:val="22"/>
        </w:rPr>
        <w:t> </w:t>
      </w:r>
    </w:p>
    <w:p w14:paraId="00C993D6" w14:textId="77777777" w:rsidR="007D2E83" w:rsidRDefault="007D2E83" w:rsidP="008F7E67">
      <w:pPr>
        <w:pStyle w:val="ListParagraph"/>
        <w:autoSpaceDE w:val="0"/>
        <w:autoSpaceDN w:val="0"/>
        <w:adjustRightInd w:val="0"/>
        <w:spacing w:after="0" w:line="240" w:lineRule="auto"/>
        <w:ind w:left="0"/>
        <w:rPr>
          <w:rFonts w:cstheme="minorHAnsi"/>
          <w:bCs/>
          <w:sz w:val="18"/>
        </w:rPr>
      </w:pPr>
    </w:p>
    <w:p w14:paraId="5771BB01" w14:textId="77777777" w:rsidR="007D2E83" w:rsidRPr="009D3882" w:rsidRDefault="007D2E83" w:rsidP="008F7E67">
      <w:pPr>
        <w:pStyle w:val="ListParagraph"/>
        <w:autoSpaceDE w:val="0"/>
        <w:autoSpaceDN w:val="0"/>
        <w:adjustRightInd w:val="0"/>
        <w:spacing w:after="0" w:line="240" w:lineRule="auto"/>
        <w:ind w:left="0"/>
        <w:rPr>
          <w:rFonts w:cstheme="minorHAnsi"/>
          <w:bCs/>
          <w:sz w:val="18"/>
        </w:rPr>
      </w:pPr>
    </w:p>
    <w:p w14:paraId="0CABD01D" w14:textId="3C959EA1"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 xml:space="preserve">effect of </w:t>
      </w:r>
      <w:r w:rsidR="00145D4F" w:rsidRPr="00FC5DE1">
        <w:rPr>
          <w:rFonts w:cstheme="minorHAnsi"/>
          <w:bCs/>
          <w:i/>
        </w:rPr>
        <w:lastRenderedPageBreak/>
        <w:t>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DE401B">
        <w:rPr>
          <w:rFonts w:cstheme="minorHAnsi"/>
          <w:b/>
          <w:color w:val="FF0000"/>
          <w:u w:val="single"/>
        </w:rPr>
        <w:t>2020 Submission</w:t>
      </w:r>
    </w:p>
    <w:p w14:paraId="0CABD01E" w14:textId="108D26C5" w:rsidR="008F7E67" w:rsidRPr="00EB3297" w:rsidRDefault="00EB3297" w:rsidP="008F7E67">
      <w:pPr>
        <w:autoSpaceDE w:val="0"/>
        <w:autoSpaceDN w:val="0"/>
        <w:adjustRightInd w:val="0"/>
        <w:spacing w:after="0" w:line="240" w:lineRule="auto"/>
        <w:rPr>
          <w:rStyle w:val="normaltextrun"/>
          <w:rFonts w:ascii="Calibri" w:hAnsi="Calibri" w:cs="Calibri"/>
          <w:color w:val="FF0000"/>
          <w:shd w:val="clear" w:color="auto" w:fill="FFFFFF"/>
        </w:rPr>
      </w:pPr>
      <w:r w:rsidRPr="00EB3297">
        <w:rPr>
          <w:rStyle w:val="normaltextrun"/>
          <w:rFonts w:ascii="Calibri" w:hAnsi="Calibri" w:cs="Calibri"/>
          <w:color w:val="FF0000"/>
          <w:shd w:val="clear" w:color="auto" w:fill="FFFFFF"/>
        </w:rPr>
        <w:t>HEDIS addresses missing data in a structured way through its audit process. HEDIS measures apply to enrolled members in a health plan, and NCQA-certified auditors use standard audit methodologies to assess whether data sources are missing data. If a data source is found to be missing data, and the issues cannot be rectified, the auditor will assign a “materially biased” designation to the measure for that reporting plan, and the rate will not be used. Once measures are added to HEDIS, NCQA conducts a first-year analysis to assess the feasibility of the measure when widely implemented in the field. This analysis includes an assessment of how many plans report valid rates vs. rates that are materially biased (or have other issues, such as small denominators). These considerations are weighed in the deliberation process before measures are approved for public reporting.</w:t>
      </w:r>
    </w:p>
    <w:p w14:paraId="121508B2" w14:textId="2A68CC71" w:rsidR="00EB3297" w:rsidRDefault="00EB3297" w:rsidP="008F7E67">
      <w:pPr>
        <w:autoSpaceDE w:val="0"/>
        <w:autoSpaceDN w:val="0"/>
        <w:adjustRightInd w:val="0"/>
        <w:spacing w:after="0" w:line="240" w:lineRule="auto"/>
        <w:rPr>
          <w:rFonts w:cstheme="minorHAnsi"/>
          <w:bCs/>
        </w:rPr>
      </w:pPr>
    </w:p>
    <w:p w14:paraId="75E82757" w14:textId="77777777" w:rsidR="00DB68BA" w:rsidRDefault="007D2E83" w:rsidP="00C02ACC">
      <w:pPr>
        <w:pStyle w:val="paragraph"/>
        <w:spacing w:before="0" w:beforeAutospacing="0" w:after="0" w:afterAutospacing="0"/>
        <w:textAlignment w:val="baseline"/>
        <w:rPr>
          <w:rStyle w:val="normaltextrun"/>
          <w:rFonts w:ascii="Calibri" w:hAnsi="Calibri" w:cs="Calibri"/>
          <w:b/>
          <w:bCs/>
          <w:color w:val="4F81BD"/>
          <w:sz w:val="22"/>
          <w:szCs w:val="22"/>
          <w:u w:val="single"/>
        </w:rPr>
      </w:pPr>
      <w:r>
        <w:rPr>
          <w:rStyle w:val="normaltextrun"/>
          <w:rFonts w:ascii="Calibri" w:hAnsi="Calibri" w:cs="Calibri"/>
          <w:b/>
          <w:bCs/>
          <w:color w:val="4F81BD"/>
          <w:sz w:val="22"/>
          <w:szCs w:val="22"/>
          <w:u w:val="single"/>
        </w:rPr>
        <w:t>2016 Submission</w:t>
      </w:r>
    </w:p>
    <w:p w14:paraId="663A19E8" w14:textId="77777777" w:rsidR="00DB68BA" w:rsidRDefault="00DB68BA" w:rsidP="00DB68BA">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color w:val="548DD4"/>
          <w:sz w:val="22"/>
          <w:szCs w:val="22"/>
          <w:shd w:val="clear" w:color="auto" w:fill="FFFFFF"/>
        </w:rPr>
        <w:t>This question was not on the 2016 form.</w:t>
      </w:r>
      <w:r>
        <w:rPr>
          <w:rStyle w:val="eop"/>
          <w:rFonts w:ascii="Calibri" w:hAnsi="Calibri" w:cs="Calibri"/>
          <w:sz w:val="22"/>
          <w:szCs w:val="22"/>
        </w:rPr>
        <w:t> </w:t>
      </w:r>
    </w:p>
    <w:p w14:paraId="1BA7A5EB" w14:textId="77777777" w:rsidR="00C66F59" w:rsidRPr="00E1508F" w:rsidRDefault="00C66F59" w:rsidP="00C02ACC">
      <w:pPr>
        <w:pStyle w:val="paragraph"/>
        <w:spacing w:before="0" w:beforeAutospacing="0" w:after="0" w:afterAutospacing="0"/>
        <w:textAlignment w:val="baseline"/>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0FDB7D34" w:rsidR="00BA053B" w:rsidRDefault="00DE401B">
      <w:pPr>
        <w:autoSpaceDE w:val="0"/>
        <w:autoSpaceDN w:val="0"/>
        <w:adjustRightInd w:val="0"/>
        <w:spacing w:after="0" w:line="240" w:lineRule="auto"/>
        <w:rPr>
          <w:rFonts w:cstheme="minorHAnsi"/>
          <w:b/>
          <w:color w:val="FF0000"/>
          <w:u w:val="single"/>
        </w:rPr>
      </w:pPr>
      <w:r>
        <w:rPr>
          <w:rFonts w:cstheme="minorHAnsi"/>
          <w:b/>
          <w:color w:val="FF0000"/>
          <w:u w:val="single"/>
        </w:rPr>
        <w:t>2020 Submission</w:t>
      </w:r>
    </w:p>
    <w:p w14:paraId="725EE32B" w14:textId="1354FC40" w:rsidR="00C15C52" w:rsidRDefault="000A7C95">
      <w:pPr>
        <w:autoSpaceDE w:val="0"/>
        <w:autoSpaceDN w:val="0"/>
        <w:adjustRightInd w:val="0"/>
        <w:spacing w:after="0" w:line="240" w:lineRule="auto"/>
        <w:rPr>
          <w:rFonts w:cstheme="minorHAnsi"/>
          <w:bCs/>
          <w:color w:val="FF0000"/>
        </w:rPr>
      </w:pPr>
      <w:r>
        <w:rPr>
          <w:rFonts w:cstheme="minorHAnsi"/>
          <w:bCs/>
          <w:color w:val="FF0000"/>
        </w:rPr>
        <w:t xml:space="preserve">All health plans that reported </w:t>
      </w:r>
      <w:r w:rsidR="0021403D">
        <w:rPr>
          <w:rFonts w:cstheme="minorHAnsi"/>
          <w:bCs/>
          <w:color w:val="FF0000"/>
        </w:rPr>
        <w:t>2018</w:t>
      </w:r>
      <w:r>
        <w:rPr>
          <w:rFonts w:cstheme="minorHAnsi"/>
          <w:bCs/>
          <w:color w:val="FF0000"/>
        </w:rPr>
        <w:t xml:space="preserve"> HEDIS data for this measure reported </w:t>
      </w:r>
      <w:r w:rsidR="006F4B9F">
        <w:rPr>
          <w:rFonts w:cstheme="minorHAnsi"/>
          <w:bCs/>
          <w:color w:val="FF0000"/>
        </w:rPr>
        <w:t>v</w:t>
      </w:r>
      <w:r>
        <w:rPr>
          <w:rFonts w:cstheme="minorHAnsi"/>
          <w:bCs/>
          <w:color w:val="FF0000"/>
        </w:rPr>
        <w:t>alid rates as determined by NCQA-certified auditors</w:t>
      </w:r>
      <w:r w:rsidR="00210A91">
        <w:rPr>
          <w:rFonts w:cstheme="minorHAnsi"/>
          <w:bCs/>
          <w:color w:val="FF0000"/>
        </w:rPr>
        <w:t xml:space="preserve">. </w:t>
      </w:r>
      <w:r w:rsidR="00667B44" w:rsidRPr="001B688E">
        <w:rPr>
          <w:rStyle w:val="normaltextrun"/>
          <w:rFonts w:ascii="Calibri" w:hAnsi="Calibri" w:cs="Calibri"/>
          <w:color w:val="FF0000"/>
          <w:bdr w:val="none" w:sz="0" w:space="0" w:color="auto" w:frame="1"/>
        </w:rPr>
        <w:t>This means that auditors did not find any missing data sources for any of the health plan data submissions and determined that none of the rates were materially biased. </w:t>
      </w:r>
      <w:r w:rsidR="00667B44" w:rsidRPr="001B688E">
        <w:rPr>
          <w:rFonts w:cstheme="minorHAnsi"/>
          <w:bCs/>
          <w:color w:val="FF0000"/>
        </w:rPr>
        <w:t xml:space="preserve"> </w:t>
      </w:r>
    </w:p>
    <w:p w14:paraId="58C1A210" w14:textId="17732199" w:rsidR="007D2E83" w:rsidRDefault="007D2E83">
      <w:pPr>
        <w:autoSpaceDE w:val="0"/>
        <w:autoSpaceDN w:val="0"/>
        <w:adjustRightInd w:val="0"/>
        <w:spacing w:after="0" w:line="240" w:lineRule="auto"/>
        <w:rPr>
          <w:rFonts w:cstheme="minorHAnsi"/>
          <w:bCs/>
          <w:color w:val="FF0000"/>
        </w:rPr>
      </w:pPr>
    </w:p>
    <w:p w14:paraId="48E4D468" w14:textId="1EEAAF3A" w:rsidR="007D2E83" w:rsidRDefault="007D2E83" w:rsidP="007D2E83">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color w:val="4F81BD"/>
          <w:sz w:val="22"/>
          <w:szCs w:val="22"/>
          <w:u w:val="single"/>
        </w:rPr>
        <w:t>2016 Submission</w:t>
      </w:r>
      <w:r>
        <w:rPr>
          <w:rStyle w:val="eop"/>
          <w:rFonts w:ascii="Calibri" w:hAnsi="Calibri" w:cs="Calibri"/>
          <w:sz w:val="22"/>
          <w:szCs w:val="22"/>
        </w:rPr>
        <w:t> </w:t>
      </w:r>
    </w:p>
    <w:p w14:paraId="2C51093B" w14:textId="328DBE49" w:rsidR="00DB68BA" w:rsidRPr="006121C6" w:rsidRDefault="00DB68BA" w:rsidP="007D2E83">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i/>
          <w:iCs/>
          <w:color w:val="548DD4"/>
          <w:sz w:val="22"/>
          <w:szCs w:val="22"/>
          <w:shd w:val="clear" w:color="auto" w:fill="FFFFFF"/>
        </w:rPr>
        <w:t>This question was not on the 2016 form.</w:t>
      </w:r>
      <w:r>
        <w:rPr>
          <w:rStyle w:val="eop"/>
          <w:rFonts w:ascii="Calibri" w:hAnsi="Calibri" w:cs="Calibri"/>
          <w:sz w:val="22"/>
          <w:szCs w:val="22"/>
        </w:rPr>
        <w:t> </w:t>
      </w:r>
    </w:p>
    <w:p w14:paraId="36DC9FA2" w14:textId="77777777" w:rsidR="007D2E83" w:rsidRPr="000A7C95" w:rsidRDefault="007D2E83">
      <w:pPr>
        <w:autoSpaceDE w:val="0"/>
        <w:autoSpaceDN w:val="0"/>
        <w:adjustRightInd w:val="0"/>
        <w:spacing w:after="0" w:line="240" w:lineRule="auto"/>
        <w:rPr>
          <w:rFonts w:cstheme="minorHAnsi"/>
          <w:bCs/>
          <w:color w:val="FF0000"/>
        </w:rPr>
      </w:pPr>
    </w:p>
    <w:sectPr w:rsidR="007D2E83" w:rsidRPr="000A7C95"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49E41" w14:textId="77777777" w:rsidR="001A56B5" w:rsidRDefault="001A56B5" w:rsidP="005C73CA">
      <w:pPr>
        <w:spacing w:after="0" w:line="240" w:lineRule="auto"/>
      </w:pPr>
      <w:r>
        <w:separator/>
      </w:r>
    </w:p>
  </w:endnote>
  <w:endnote w:type="continuationSeparator" w:id="0">
    <w:p w14:paraId="1AB636DA" w14:textId="77777777" w:rsidR="001A56B5" w:rsidRDefault="001A56B5" w:rsidP="005C73CA">
      <w:pPr>
        <w:spacing w:after="0" w:line="240" w:lineRule="auto"/>
      </w:pPr>
      <w:r>
        <w:continuationSeparator/>
      </w:r>
    </w:p>
  </w:endnote>
  <w:endnote w:type="continuationNotice" w:id="1">
    <w:p w14:paraId="7EC94C8F" w14:textId="77777777" w:rsidR="001A56B5" w:rsidRDefault="001A56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6" w14:textId="0ECAE404"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5D2579">
      <w:rPr>
        <w:noProof/>
      </w:rPr>
      <w:t>1</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0A4F4" w14:textId="77777777" w:rsidR="001A56B5" w:rsidRDefault="001A56B5" w:rsidP="005C73CA">
      <w:pPr>
        <w:spacing w:after="0" w:line="240" w:lineRule="auto"/>
      </w:pPr>
      <w:r>
        <w:separator/>
      </w:r>
    </w:p>
  </w:footnote>
  <w:footnote w:type="continuationSeparator" w:id="0">
    <w:p w14:paraId="47B6BB6C" w14:textId="77777777" w:rsidR="001A56B5" w:rsidRDefault="001A56B5" w:rsidP="005C73CA">
      <w:pPr>
        <w:spacing w:after="0" w:line="240" w:lineRule="auto"/>
      </w:pPr>
      <w:r>
        <w:continuationSeparator/>
      </w:r>
    </w:p>
  </w:footnote>
  <w:footnote w:type="continuationNotice" w:id="1">
    <w:p w14:paraId="7EB64B5D" w14:textId="77777777" w:rsidR="001A56B5" w:rsidRDefault="001A56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96643B"/>
    <w:multiLevelType w:val="hybridMultilevel"/>
    <w:tmpl w:val="DD186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464811"/>
    <w:multiLevelType w:val="hybridMultilevel"/>
    <w:tmpl w:val="F2EAC4DE"/>
    <w:lvl w:ilvl="0" w:tplc="31DC16DA">
      <w:start w:val="1"/>
      <w:numFmt w:val="decimal"/>
      <w:lvlText w:val="%1."/>
      <w:lvlJc w:val="left"/>
      <w:pPr>
        <w:ind w:left="720" w:hanging="360"/>
      </w:pPr>
      <w:rPr>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2C42411"/>
    <w:multiLevelType w:val="hybridMultilevel"/>
    <w:tmpl w:val="96E8B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F4072D"/>
    <w:multiLevelType w:val="hybridMultilevel"/>
    <w:tmpl w:val="DFB2480E"/>
    <w:lvl w:ilvl="0" w:tplc="B2BE9D68">
      <w:start w:val="1"/>
      <w:numFmt w:val="bullet"/>
      <w:lvlText w:val=""/>
      <w:lvlJc w:val="left"/>
      <w:pPr>
        <w:tabs>
          <w:tab w:val="num" w:pos="720"/>
        </w:tabs>
        <w:ind w:left="720" w:hanging="360"/>
      </w:pPr>
      <w:rPr>
        <w:rFonts w:ascii="Symbol" w:hAnsi="Symbol" w:hint="default"/>
        <w:sz w:val="20"/>
      </w:rPr>
    </w:lvl>
    <w:lvl w:ilvl="1" w:tplc="0FB0199A" w:tentative="1">
      <w:start w:val="1"/>
      <w:numFmt w:val="bullet"/>
      <w:lvlText w:val=""/>
      <w:lvlJc w:val="left"/>
      <w:pPr>
        <w:tabs>
          <w:tab w:val="num" w:pos="1440"/>
        </w:tabs>
        <w:ind w:left="1440" w:hanging="360"/>
      </w:pPr>
      <w:rPr>
        <w:rFonts w:ascii="Symbol" w:hAnsi="Symbol" w:hint="default"/>
        <w:sz w:val="20"/>
      </w:rPr>
    </w:lvl>
    <w:lvl w:ilvl="2" w:tplc="A5E48E14" w:tentative="1">
      <w:start w:val="1"/>
      <w:numFmt w:val="bullet"/>
      <w:lvlText w:val=""/>
      <w:lvlJc w:val="left"/>
      <w:pPr>
        <w:tabs>
          <w:tab w:val="num" w:pos="2160"/>
        </w:tabs>
        <w:ind w:left="2160" w:hanging="360"/>
      </w:pPr>
      <w:rPr>
        <w:rFonts w:ascii="Symbol" w:hAnsi="Symbol" w:hint="default"/>
        <w:sz w:val="20"/>
      </w:rPr>
    </w:lvl>
    <w:lvl w:ilvl="3" w:tplc="130AAB20" w:tentative="1">
      <w:start w:val="1"/>
      <w:numFmt w:val="bullet"/>
      <w:lvlText w:val=""/>
      <w:lvlJc w:val="left"/>
      <w:pPr>
        <w:tabs>
          <w:tab w:val="num" w:pos="2880"/>
        </w:tabs>
        <w:ind w:left="2880" w:hanging="360"/>
      </w:pPr>
      <w:rPr>
        <w:rFonts w:ascii="Symbol" w:hAnsi="Symbol" w:hint="default"/>
        <w:sz w:val="20"/>
      </w:rPr>
    </w:lvl>
    <w:lvl w:ilvl="4" w:tplc="5AE2E498" w:tentative="1">
      <w:start w:val="1"/>
      <w:numFmt w:val="bullet"/>
      <w:lvlText w:val=""/>
      <w:lvlJc w:val="left"/>
      <w:pPr>
        <w:tabs>
          <w:tab w:val="num" w:pos="3600"/>
        </w:tabs>
        <w:ind w:left="3600" w:hanging="360"/>
      </w:pPr>
      <w:rPr>
        <w:rFonts w:ascii="Symbol" w:hAnsi="Symbol" w:hint="default"/>
        <w:sz w:val="20"/>
      </w:rPr>
    </w:lvl>
    <w:lvl w:ilvl="5" w:tplc="273EE008" w:tentative="1">
      <w:start w:val="1"/>
      <w:numFmt w:val="bullet"/>
      <w:lvlText w:val=""/>
      <w:lvlJc w:val="left"/>
      <w:pPr>
        <w:tabs>
          <w:tab w:val="num" w:pos="4320"/>
        </w:tabs>
        <w:ind w:left="4320" w:hanging="360"/>
      </w:pPr>
      <w:rPr>
        <w:rFonts w:ascii="Symbol" w:hAnsi="Symbol" w:hint="default"/>
        <w:sz w:val="20"/>
      </w:rPr>
    </w:lvl>
    <w:lvl w:ilvl="6" w:tplc="24202F8A" w:tentative="1">
      <w:start w:val="1"/>
      <w:numFmt w:val="bullet"/>
      <w:lvlText w:val=""/>
      <w:lvlJc w:val="left"/>
      <w:pPr>
        <w:tabs>
          <w:tab w:val="num" w:pos="5040"/>
        </w:tabs>
        <w:ind w:left="5040" w:hanging="360"/>
      </w:pPr>
      <w:rPr>
        <w:rFonts w:ascii="Symbol" w:hAnsi="Symbol" w:hint="default"/>
        <w:sz w:val="20"/>
      </w:rPr>
    </w:lvl>
    <w:lvl w:ilvl="7" w:tplc="4D7269B8" w:tentative="1">
      <w:start w:val="1"/>
      <w:numFmt w:val="bullet"/>
      <w:lvlText w:val=""/>
      <w:lvlJc w:val="left"/>
      <w:pPr>
        <w:tabs>
          <w:tab w:val="num" w:pos="5760"/>
        </w:tabs>
        <w:ind w:left="5760" w:hanging="360"/>
      </w:pPr>
      <w:rPr>
        <w:rFonts w:ascii="Symbol" w:hAnsi="Symbol" w:hint="default"/>
        <w:sz w:val="20"/>
      </w:rPr>
    </w:lvl>
    <w:lvl w:ilvl="8" w:tplc="1792AAA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313E46"/>
    <w:multiLevelType w:val="hybridMultilevel"/>
    <w:tmpl w:val="60A4D546"/>
    <w:lvl w:ilvl="0" w:tplc="78802EB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E1783"/>
    <w:multiLevelType w:val="hybridMultilevel"/>
    <w:tmpl w:val="6BE83CAE"/>
    <w:lvl w:ilvl="0" w:tplc="8D9294D8">
      <w:start w:val="1"/>
      <w:numFmt w:val="bullet"/>
      <w:lvlText w:val=""/>
      <w:lvlJc w:val="left"/>
      <w:pPr>
        <w:tabs>
          <w:tab w:val="num" w:pos="720"/>
        </w:tabs>
        <w:ind w:left="720" w:hanging="360"/>
      </w:pPr>
      <w:rPr>
        <w:rFonts w:ascii="Symbol" w:hAnsi="Symbol" w:hint="default"/>
        <w:sz w:val="20"/>
      </w:rPr>
    </w:lvl>
    <w:lvl w:ilvl="1" w:tplc="A5C04ABC" w:tentative="1">
      <w:start w:val="1"/>
      <w:numFmt w:val="bullet"/>
      <w:lvlText w:val=""/>
      <w:lvlJc w:val="left"/>
      <w:pPr>
        <w:tabs>
          <w:tab w:val="num" w:pos="1440"/>
        </w:tabs>
        <w:ind w:left="1440" w:hanging="360"/>
      </w:pPr>
      <w:rPr>
        <w:rFonts w:ascii="Symbol" w:hAnsi="Symbol" w:hint="default"/>
        <w:sz w:val="20"/>
      </w:rPr>
    </w:lvl>
    <w:lvl w:ilvl="2" w:tplc="7F541616" w:tentative="1">
      <w:start w:val="1"/>
      <w:numFmt w:val="bullet"/>
      <w:lvlText w:val=""/>
      <w:lvlJc w:val="left"/>
      <w:pPr>
        <w:tabs>
          <w:tab w:val="num" w:pos="2160"/>
        </w:tabs>
        <w:ind w:left="2160" w:hanging="360"/>
      </w:pPr>
      <w:rPr>
        <w:rFonts w:ascii="Symbol" w:hAnsi="Symbol" w:hint="default"/>
        <w:sz w:val="20"/>
      </w:rPr>
    </w:lvl>
    <w:lvl w:ilvl="3" w:tplc="B50286B0" w:tentative="1">
      <w:start w:val="1"/>
      <w:numFmt w:val="bullet"/>
      <w:lvlText w:val=""/>
      <w:lvlJc w:val="left"/>
      <w:pPr>
        <w:tabs>
          <w:tab w:val="num" w:pos="2880"/>
        </w:tabs>
        <w:ind w:left="2880" w:hanging="360"/>
      </w:pPr>
      <w:rPr>
        <w:rFonts w:ascii="Symbol" w:hAnsi="Symbol" w:hint="default"/>
        <w:sz w:val="20"/>
      </w:rPr>
    </w:lvl>
    <w:lvl w:ilvl="4" w:tplc="82C08CDC" w:tentative="1">
      <w:start w:val="1"/>
      <w:numFmt w:val="bullet"/>
      <w:lvlText w:val=""/>
      <w:lvlJc w:val="left"/>
      <w:pPr>
        <w:tabs>
          <w:tab w:val="num" w:pos="3600"/>
        </w:tabs>
        <w:ind w:left="3600" w:hanging="360"/>
      </w:pPr>
      <w:rPr>
        <w:rFonts w:ascii="Symbol" w:hAnsi="Symbol" w:hint="default"/>
        <w:sz w:val="20"/>
      </w:rPr>
    </w:lvl>
    <w:lvl w:ilvl="5" w:tplc="40F68A7C" w:tentative="1">
      <w:start w:val="1"/>
      <w:numFmt w:val="bullet"/>
      <w:lvlText w:val=""/>
      <w:lvlJc w:val="left"/>
      <w:pPr>
        <w:tabs>
          <w:tab w:val="num" w:pos="4320"/>
        </w:tabs>
        <w:ind w:left="4320" w:hanging="360"/>
      </w:pPr>
      <w:rPr>
        <w:rFonts w:ascii="Symbol" w:hAnsi="Symbol" w:hint="default"/>
        <w:sz w:val="20"/>
      </w:rPr>
    </w:lvl>
    <w:lvl w:ilvl="6" w:tplc="176E42F8" w:tentative="1">
      <w:start w:val="1"/>
      <w:numFmt w:val="bullet"/>
      <w:lvlText w:val=""/>
      <w:lvlJc w:val="left"/>
      <w:pPr>
        <w:tabs>
          <w:tab w:val="num" w:pos="5040"/>
        </w:tabs>
        <w:ind w:left="5040" w:hanging="360"/>
      </w:pPr>
      <w:rPr>
        <w:rFonts w:ascii="Symbol" w:hAnsi="Symbol" w:hint="default"/>
        <w:sz w:val="20"/>
      </w:rPr>
    </w:lvl>
    <w:lvl w:ilvl="7" w:tplc="7BD62F7C" w:tentative="1">
      <w:start w:val="1"/>
      <w:numFmt w:val="bullet"/>
      <w:lvlText w:val=""/>
      <w:lvlJc w:val="left"/>
      <w:pPr>
        <w:tabs>
          <w:tab w:val="num" w:pos="5760"/>
        </w:tabs>
        <w:ind w:left="5760" w:hanging="360"/>
      </w:pPr>
      <w:rPr>
        <w:rFonts w:ascii="Symbol" w:hAnsi="Symbol" w:hint="default"/>
        <w:sz w:val="20"/>
      </w:rPr>
    </w:lvl>
    <w:lvl w:ilvl="8" w:tplc="30D6CDD6"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A16FA5"/>
    <w:multiLevelType w:val="multilevel"/>
    <w:tmpl w:val="B7F8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915A49"/>
    <w:multiLevelType w:val="hybridMultilevel"/>
    <w:tmpl w:val="71901086"/>
    <w:lvl w:ilvl="0" w:tplc="B54C95BA">
      <w:start w:val="20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F1332E"/>
    <w:multiLevelType w:val="hybridMultilevel"/>
    <w:tmpl w:val="1CC07620"/>
    <w:lvl w:ilvl="0" w:tplc="B0BA5890">
      <w:start w:val="5"/>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74754DA"/>
    <w:multiLevelType w:val="hybridMultilevel"/>
    <w:tmpl w:val="47CA7982"/>
    <w:lvl w:ilvl="0" w:tplc="E3943BDE">
      <w:start w:val="1"/>
      <w:numFmt w:val="decimal"/>
      <w:lvlText w:val="%1."/>
      <w:lvlJc w:val="left"/>
      <w:pPr>
        <w:ind w:left="720" w:hanging="360"/>
      </w:pPr>
      <w:rPr>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0466AA"/>
    <w:multiLevelType w:val="hybridMultilevel"/>
    <w:tmpl w:val="D7D6A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3"/>
  </w:num>
  <w:num w:numId="4">
    <w:abstractNumId w:val="6"/>
  </w:num>
  <w:num w:numId="5">
    <w:abstractNumId w:val="2"/>
  </w:num>
  <w:num w:numId="6">
    <w:abstractNumId w:val="1"/>
  </w:num>
  <w:num w:numId="7">
    <w:abstractNumId w:val="4"/>
  </w:num>
  <w:num w:numId="8">
    <w:abstractNumId w:val="27"/>
  </w:num>
  <w:num w:numId="9">
    <w:abstractNumId w:val="16"/>
  </w:num>
  <w:num w:numId="10">
    <w:abstractNumId w:val="35"/>
  </w:num>
  <w:num w:numId="11">
    <w:abstractNumId w:val="18"/>
  </w:num>
  <w:num w:numId="12">
    <w:abstractNumId w:val="30"/>
  </w:num>
  <w:num w:numId="13">
    <w:abstractNumId w:val="25"/>
  </w:num>
  <w:num w:numId="14">
    <w:abstractNumId w:val="25"/>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4"/>
  </w:num>
  <w:num w:numId="16">
    <w:abstractNumId w:val="12"/>
  </w:num>
  <w:num w:numId="17">
    <w:abstractNumId w:val="34"/>
  </w:num>
  <w:num w:numId="18">
    <w:abstractNumId w:val="29"/>
  </w:num>
  <w:num w:numId="19">
    <w:abstractNumId w:val="28"/>
  </w:num>
  <w:num w:numId="20">
    <w:abstractNumId w:val="22"/>
  </w:num>
  <w:num w:numId="21">
    <w:abstractNumId w:val="26"/>
  </w:num>
  <w:num w:numId="22">
    <w:abstractNumId w:val="21"/>
  </w:num>
  <w:num w:numId="23">
    <w:abstractNumId w:val="10"/>
  </w:num>
  <w:num w:numId="24">
    <w:abstractNumId w:val="20"/>
  </w:num>
  <w:num w:numId="25">
    <w:abstractNumId w:val="19"/>
  </w:num>
  <w:num w:numId="26">
    <w:abstractNumId w:val="37"/>
  </w:num>
  <w:num w:numId="27">
    <w:abstractNumId w:val="0"/>
  </w:num>
  <w:num w:numId="28">
    <w:abstractNumId w:val="15"/>
  </w:num>
  <w:num w:numId="29">
    <w:abstractNumId w:val="23"/>
  </w:num>
  <w:num w:numId="30">
    <w:abstractNumId w:val="14"/>
  </w:num>
  <w:num w:numId="31">
    <w:abstractNumId w:val="11"/>
  </w:num>
  <w:num w:numId="32">
    <w:abstractNumId w:val="13"/>
  </w:num>
  <w:num w:numId="33">
    <w:abstractNumId w:val="7"/>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1"/>
  </w:num>
  <w:num w:numId="38">
    <w:abstractNumId w:val="9"/>
  </w:num>
  <w:num w:numId="39">
    <w:abstractNumId w:val="32"/>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27A0"/>
    <w:rsid w:val="00003469"/>
    <w:rsid w:val="0001094F"/>
    <w:rsid w:val="00011992"/>
    <w:rsid w:val="00012974"/>
    <w:rsid w:val="00013825"/>
    <w:rsid w:val="00014915"/>
    <w:rsid w:val="00017FBA"/>
    <w:rsid w:val="00021170"/>
    <w:rsid w:val="0002128B"/>
    <w:rsid w:val="0002326D"/>
    <w:rsid w:val="00024DFD"/>
    <w:rsid w:val="00025C58"/>
    <w:rsid w:val="00027114"/>
    <w:rsid w:val="00027AB8"/>
    <w:rsid w:val="000309DD"/>
    <w:rsid w:val="00031414"/>
    <w:rsid w:val="00033038"/>
    <w:rsid w:val="00033D63"/>
    <w:rsid w:val="000340B7"/>
    <w:rsid w:val="0003436F"/>
    <w:rsid w:val="00034647"/>
    <w:rsid w:val="0003540D"/>
    <w:rsid w:val="00036951"/>
    <w:rsid w:val="000414E8"/>
    <w:rsid w:val="0004593A"/>
    <w:rsid w:val="00050A3E"/>
    <w:rsid w:val="00052A6F"/>
    <w:rsid w:val="00053F02"/>
    <w:rsid w:val="00055377"/>
    <w:rsid w:val="00055440"/>
    <w:rsid w:val="0005612B"/>
    <w:rsid w:val="000574AB"/>
    <w:rsid w:val="0006147A"/>
    <w:rsid w:val="00061BD3"/>
    <w:rsid w:val="0006234F"/>
    <w:rsid w:val="000673A2"/>
    <w:rsid w:val="0007124E"/>
    <w:rsid w:val="000745DA"/>
    <w:rsid w:val="000775F8"/>
    <w:rsid w:val="00080CF7"/>
    <w:rsid w:val="00082F84"/>
    <w:rsid w:val="00083117"/>
    <w:rsid w:val="000851B2"/>
    <w:rsid w:val="00087A8A"/>
    <w:rsid w:val="00087D29"/>
    <w:rsid w:val="00090A3E"/>
    <w:rsid w:val="00092566"/>
    <w:rsid w:val="00092CFD"/>
    <w:rsid w:val="000968F8"/>
    <w:rsid w:val="00097012"/>
    <w:rsid w:val="00097681"/>
    <w:rsid w:val="000A2FF5"/>
    <w:rsid w:val="000A3AF7"/>
    <w:rsid w:val="000A3FD3"/>
    <w:rsid w:val="000A431F"/>
    <w:rsid w:val="000A6386"/>
    <w:rsid w:val="000A7455"/>
    <w:rsid w:val="000A7C95"/>
    <w:rsid w:val="000B032A"/>
    <w:rsid w:val="000B2DF7"/>
    <w:rsid w:val="000B3880"/>
    <w:rsid w:val="000B46F4"/>
    <w:rsid w:val="000B5027"/>
    <w:rsid w:val="000B7D57"/>
    <w:rsid w:val="000C036D"/>
    <w:rsid w:val="000C0FF8"/>
    <w:rsid w:val="000C5764"/>
    <w:rsid w:val="000C7688"/>
    <w:rsid w:val="000D1567"/>
    <w:rsid w:val="000D2722"/>
    <w:rsid w:val="000D4740"/>
    <w:rsid w:val="000D65D0"/>
    <w:rsid w:val="000D7912"/>
    <w:rsid w:val="000D7948"/>
    <w:rsid w:val="000D7C84"/>
    <w:rsid w:val="000E0DA3"/>
    <w:rsid w:val="000E12A3"/>
    <w:rsid w:val="000E310E"/>
    <w:rsid w:val="000E4E13"/>
    <w:rsid w:val="000E78F6"/>
    <w:rsid w:val="000F034A"/>
    <w:rsid w:val="000F06B5"/>
    <w:rsid w:val="000F1B7A"/>
    <w:rsid w:val="000F254D"/>
    <w:rsid w:val="000F39E9"/>
    <w:rsid w:val="0010014E"/>
    <w:rsid w:val="00104B45"/>
    <w:rsid w:val="00105D8B"/>
    <w:rsid w:val="00106428"/>
    <w:rsid w:val="0011342F"/>
    <w:rsid w:val="0011379A"/>
    <w:rsid w:val="00114EC6"/>
    <w:rsid w:val="001202E9"/>
    <w:rsid w:val="00120D98"/>
    <w:rsid w:val="0012454F"/>
    <w:rsid w:val="00125273"/>
    <w:rsid w:val="0012575E"/>
    <w:rsid w:val="00127342"/>
    <w:rsid w:val="00127C06"/>
    <w:rsid w:val="0013030B"/>
    <w:rsid w:val="0013082E"/>
    <w:rsid w:val="00134A8E"/>
    <w:rsid w:val="00142A93"/>
    <w:rsid w:val="00143F33"/>
    <w:rsid w:val="00145149"/>
    <w:rsid w:val="00145D4F"/>
    <w:rsid w:val="0014773C"/>
    <w:rsid w:val="00152E4D"/>
    <w:rsid w:val="001550D6"/>
    <w:rsid w:val="00156539"/>
    <w:rsid w:val="00165F9F"/>
    <w:rsid w:val="001677FC"/>
    <w:rsid w:val="001700B0"/>
    <w:rsid w:val="00172767"/>
    <w:rsid w:val="00174D46"/>
    <w:rsid w:val="0017696D"/>
    <w:rsid w:val="00177C87"/>
    <w:rsid w:val="0018098A"/>
    <w:rsid w:val="00180BEF"/>
    <w:rsid w:val="00181E9C"/>
    <w:rsid w:val="0018219A"/>
    <w:rsid w:val="001848FC"/>
    <w:rsid w:val="001849B5"/>
    <w:rsid w:val="001863D9"/>
    <w:rsid w:val="00186A00"/>
    <w:rsid w:val="00191432"/>
    <w:rsid w:val="00193F21"/>
    <w:rsid w:val="00194854"/>
    <w:rsid w:val="001957A1"/>
    <w:rsid w:val="001969C5"/>
    <w:rsid w:val="001972DC"/>
    <w:rsid w:val="001A56B5"/>
    <w:rsid w:val="001A6CDD"/>
    <w:rsid w:val="001A76AA"/>
    <w:rsid w:val="001B2638"/>
    <w:rsid w:val="001B688E"/>
    <w:rsid w:val="001B7B35"/>
    <w:rsid w:val="001C12EE"/>
    <w:rsid w:val="001C5004"/>
    <w:rsid w:val="001C5635"/>
    <w:rsid w:val="001C69B3"/>
    <w:rsid w:val="001C7B02"/>
    <w:rsid w:val="001D6086"/>
    <w:rsid w:val="001E4DD4"/>
    <w:rsid w:val="001E69DC"/>
    <w:rsid w:val="001F169D"/>
    <w:rsid w:val="001F1DA1"/>
    <w:rsid w:val="001F6F93"/>
    <w:rsid w:val="001F7A20"/>
    <w:rsid w:val="00201E79"/>
    <w:rsid w:val="00203E8B"/>
    <w:rsid w:val="0021054A"/>
    <w:rsid w:val="00210A91"/>
    <w:rsid w:val="0021195A"/>
    <w:rsid w:val="00213383"/>
    <w:rsid w:val="0021403D"/>
    <w:rsid w:val="00220250"/>
    <w:rsid w:val="00221403"/>
    <w:rsid w:val="00222444"/>
    <w:rsid w:val="00222B37"/>
    <w:rsid w:val="00222C63"/>
    <w:rsid w:val="00224ACB"/>
    <w:rsid w:val="0022691B"/>
    <w:rsid w:val="00232163"/>
    <w:rsid w:val="002325A2"/>
    <w:rsid w:val="002334B9"/>
    <w:rsid w:val="00233503"/>
    <w:rsid w:val="002376F8"/>
    <w:rsid w:val="002408E4"/>
    <w:rsid w:val="00240CB2"/>
    <w:rsid w:val="00241514"/>
    <w:rsid w:val="00241591"/>
    <w:rsid w:val="0024283C"/>
    <w:rsid w:val="002454F2"/>
    <w:rsid w:val="00245AD5"/>
    <w:rsid w:val="00245DC6"/>
    <w:rsid w:val="00250B4F"/>
    <w:rsid w:val="00254686"/>
    <w:rsid w:val="0025762F"/>
    <w:rsid w:val="002656C1"/>
    <w:rsid w:val="0027091F"/>
    <w:rsid w:val="00275563"/>
    <w:rsid w:val="00281024"/>
    <w:rsid w:val="0028114D"/>
    <w:rsid w:val="00281EE0"/>
    <w:rsid w:val="00282E6F"/>
    <w:rsid w:val="0028365B"/>
    <w:rsid w:val="00287649"/>
    <w:rsid w:val="00287BF4"/>
    <w:rsid w:val="00287E84"/>
    <w:rsid w:val="0029113B"/>
    <w:rsid w:val="00291422"/>
    <w:rsid w:val="0029286C"/>
    <w:rsid w:val="00292D7E"/>
    <w:rsid w:val="0029300E"/>
    <w:rsid w:val="00297D2C"/>
    <w:rsid w:val="002A20F2"/>
    <w:rsid w:val="002A4338"/>
    <w:rsid w:val="002A6277"/>
    <w:rsid w:val="002B0C3A"/>
    <w:rsid w:val="002B2116"/>
    <w:rsid w:val="002B2D9B"/>
    <w:rsid w:val="002B4B9B"/>
    <w:rsid w:val="002B5016"/>
    <w:rsid w:val="002B5D50"/>
    <w:rsid w:val="002B6167"/>
    <w:rsid w:val="002B6CAC"/>
    <w:rsid w:val="002B742C"/>
    <w:rsid w:val="002B7AAE"/>
    <w:rsid w:val="002B7F4D"/>
    <w:rsid w:val="002C10E8"/>
    <w:rsid w:val="002C285C"/>
    <w:rsid w:val="002C7BE4"/>
    <w:rsid w:val="002D0871"/>
    <w:rsid w:val="002D2869"/>
    <w:rsid w:val="002D417D"/>
    <w:rsid w:val="002D5E5D"/>
    <w:rsid w:val="002D709A"/>
    <w:rsid w:val="002D7651"/>
    <w:rsid w:val="002E016F"/>
    <w:rsid w:val="002E0A09"/>
    <w:rsid w:val="002E2BAD"/>
    <w:rsid w:val="002E78A0"/>
    <w:rsid w:val="002F2687"/>
    <w:rsid w:val="002F48E1"/>
    <w:rsid w:val="002F4F3B"/>
    <w:rsid w:val="002F6ABA"/>
    <w:rsid w:val="00302D3C"/>
    <w:rsid w:val="00304C86"/>
    <w:rsid w:val="003059EB"/>
    <w:rsid w:val="00305A44"/>
    <w:rsid w:val="003064E3"/>
    <w:rsid w:val="003100AC"/>
    <w:rsid w:val="003116AC"/>
    <w:rsid w:val="00315567"/>
    <w:rsid w:val="00316458"/>
    <w:rsid w:val="00316FBF"/>
    <w:rsid w:val="00323281"/>
    <w:rsid w:val="00330144"/>
    <w:rsid w:val="0033241B"/>
    <w:rsid w:val="00334329"/>
    <w:rsid w:val="003424A7"/>
    <w:rsid w:val="00345CBA"/>
    <w:rsid w:val="00346245"/>
    <w:rsid w:val="00351949"/>
    <w:rsid w:val="00351DDA"/>
    <w:rsid w:val="00353889"/>
    <w:rsid w:val="00356267"/>
    <w:rsid w:val="00356BAD"/>
    <w:rsid w:val="003605B4"/>
    <w:rsid w:val="00360DDF"/>
    <w:rsid w:val="00362042"/>
    <w:rsid w:val="003627AC"/>
    <w:rsid w:val="00366183"/>
    <w:rsid w:val="00366914"/>
    <w:rsid w:val="00372D96"/>
    <w:rsid w:val="00372FE3"/>
    <w:rsid w:val="00373FDC"/>
    <w:rsid w:val="003755CB"/>
    <w:rsid w:val="003823C6"/>
    <w:rsid w:val="00383F85"/>
    <w:rsid w:val="00385204"/>
    <w:rsid w:val="00386D90"/>
    <w:rsid w:val="00387BA1"/>
    <w:rsid w:val="003929E0"/>
    <w:rsid w:val="00392B17"/>
    <w:rsid w:val="0039779F"/>
    <w:rsid w:val="00397A99"/>
    <w:rsid w:val="003A306C"/>
    <w:rsid w:val="003A790D"/>
    <w:rsid w:val="003A7DE7"/>
    <w:rsid w:val="003B0E1A"/>
    <w:rsid w:val="003B1006"/>
    <w:rsid w:val="003B2B2C"/>
    <w:rsid w:val="003B452C"/>
    <w:rsid w:val="003C22F4"/>
    <w:rsid w:val="003C3982"/>
    <w:rsid w:val="003C4D6F"/>
    <w:rsid w:val="003C5F11"/>
    <w:rsid w:val="003C72BE"/>
    <w:rsid w:val="003C7545"/>
    <w:rsid w:val="003D294B"/>
    <w:rsid w:val="003D6401"/>
    <w:rsid w:val="003E0FC7"/>
    <w:rsid w:val="003E1863"/>
    <w:rsid w:val="003E1AED"/>
    <w:rsid w:val="003E2CCF"/>
    <w:rsid w:val="003E2CFF"/>
    <w:rsid w:val="003E31A2"/>
    <w:rsid w:val="003E551C"/>
    <w:rsid w:val="003E5A85"/>
    <w:rsid w:val="00401451"/>
    <w:rsid w:val="00406EA5"/>
    <w:rsid w:val="00411087"/>
    <w:rsid w:val="0041606D"/>
    <w:rsid w:val="00416962"/>
    <w:rsid w:val="004206A8"/>
    <w:rsid w:val="00430589"/>
    <w:rsid w:val="00433E0C"/>
    <w:rsid w:val="004348CC"/>
    <w:rsid w:val="00434C91"/>
    <w:rsid w:val="00436681"/>
    <w:rsid w:val="00437270"/>
    <w:rsid w:val="00437537"/>
    <w:rsid w:val="00440148"/>
    <w:rsid w:val="004434C3"/>
    <w:rsid w:val="00450C58"/>
    <w:rsid w:val="00455AA5"/>
    <w:rsid w:val="00461091"/>
    <w:rsid w:val="004658FF"/>
    <w:rsid w:val="00466DEE"/>
    <w:rsid w:val="00467D1C"/>
    <w:rsid w:val="00467FE7"/>
    <w:rsid w:val="00473B4F"/>
    <w:rsid w:val="00474ED7"/>
    <w:rsid w:val="004756E1"/>
    <w:rsid w:val="0048008A"/>
    <w:rsid w:val="004819BD"/>
    <w:rsid w:val="00483A11"/>
    <w:rsid w:val="00483E94"/>
    <w:rsid w:val="00484120"/>
    <w:rsid w:val="004853A0"/>
    <w:rsid w:val="0049306D"/>
    <w:rsid w:val="0049393B"/>
    <w:rsid w:val="00494982"/>
    <w:rsid w:val="00494E8B"/>
    <w:rsid w:val="0049549E"/>
    <w:rsid w:val="00496B5F"/>
    <w:rsid w:val="004A0C02"/>
    <w:rsid w:val="004A2E10"/>
    <w:rsid w:val="004A6966"/>
    <w:rsid w:val="004A6A30"/>
    <w:rsid w:val="004B1377"/>
    <w:rsid w:val="004B17FF"/>
    <w:rsid w:val="004B1BA0"/>
    <w:rsid w:val="004B6CEE"/>
    <w:rsid w:val="004C0B35"/>
    <w:rsid w:val="004C1B7C"/>
    <w:rsid w:val="004C2443"/>
    <w:rsid w:val="004C498F"/>
    <w:rsid w:val="004C5D29"/>
    <w:rsid w:val="004C681A"/>
    <w:rsid w:val="004D0AFE"/>
    <w:rsid w:val="004D20EB"/>
    <w:rsid w:val="004D3C80"/>
    <w:rsid w:val="004D40A3"/>
    <w:rsid w:val="004D4D8A"/>
    <w:rsid w:val="004D53F1"/>
    <w:rsid w:val="004E3594"/>
    <w:rsid w:val="004E5123"/>
    <w:rsid w:val="004E52E0"/>
    <w:rsid w:val="004F15BE"/>
    <w:rsid w:val="004F1863"/>
    <w:rsid w:val="004F2EBA"/>
    <w:rsid w:val="004F42A3"/>
    <w:rsid w:val="004F68EE"/>
    <w:rsid w:val="00500178"/>
    <w:rsid w:val="005002B3"/>
    <w:rsid w:val="00500EB3"/>
    <w:rsid w:val="005038D5"/>
    <w:rsid w:val="00505F98"/>
    <w:rsid w:val="00507760"/>
    <w:rsid w:val="00511BA4"/>
    <w:rsid w:val="005137AE"/>
    <w:rsid w:val="00514448"/>
    <w:rsid w:val="005149E7"/>
    <w:rsid w:val="005232D6"/>
    <w:rsid w:val="00523C66"/>
    <w:rsid w:val="00527017"/>
    <w:rsid w:val="0053065B"/>
    <w:rsid w:val="005333CC"/>
    <w:rsid w:val="0053457B"/>
    <w:rsid w:val="00534F16"/>
    <w:rsid w:val="005363F1"/>
    <w:rsid w:val="00537C1B"/>
    <w:rsid w:val="00543415"/>
    <w:rsid w:val="00543985"/>
    <w:rsid w:val="005473A1"/>
    <w:rsid w:val="0055007C"/>
    <w:rsid w:val="00553B21"/>
    <w:rsid w:val="00554922"/>
    <w:rsid w:val="00555282"/>
    <w:rsid w:val="005560E7"/>
    <w:rsid w:val="005609B6"/>
    <w:rsid w:val="005612CC"/>
    <w:rsid w:val="00563029"/>
    <w:rsid w:val="005631F5"/>
    <w:rsid w:val="00565946"/>
    <w:rsid w:val="00567AEA"/>
    <w:rsid w:val="00567D12"/>
    <w:rsid w:val="00567DCE"/>
    <w:rsid w:val="00570CBA"/>
    <w:rsid w:val="0057419C"/>
    <w:rsid w:val="00574C93"/>
    <w:rsid w:val="005758B2"/>
    <w:rsid w:val="00576062"/>
    <w:rsid w:val="00580EC0"/>
    <w:rsid w:val="00585833"/>
    <w:rsid w:val="00590974"/>
    <w:rsid w:val="00595220"/>
    <w:rsid w:val="0059559F"/>
    <w:rsid w:val="005A103A"/>
    <w:rsid w:val="005A3EB5"/>
    <w:rsid w:val="005A473D"/>
    <w:rsid w:val="005A49FF"/>
    <w:rsid w:val="005A6612"/>
    <w:rsid w:val="005A7634"/>
    <w:rsid w:val="005B5800"/>
    <w:rsid w:val="005B6F04"/>
    <w:rsid w:val="005C0447"/>
    <w:rsid w:val="005C739F"/>
    <w:rsid w:val="005C73CA"/>
    <w:rsid w:val="005D1660"/>
    <w:rsid w:val="005D2579"/>
    <w:rsid w:val="005D2911"/>
    <w:rsid w:val="005D4768"/>
    <w:rsid w:val="005D7DCC"/>
    <w:rsid w:val="005E2CAB"/>
    <w:rsid w:val="005E429E"/>
    <w:rsid w:val="005E488C"/>
    <w:rsid w:val="005E79A1"/>
    <w:rsid w:val="005F451D"/>
    <w:rsid w:val="0060035B"/>
    <w:rsid w:val="00601ED4"/>
    <w:rsid w:val="006030BC"/>
    <w:rsid w:val="006040BF"/>
    <w:rsid w:val="00604354"/>
    <w:rsid w:val="006101E6"/>
    <w:rsid w:val="00610FF6"/>
    <w:rsid w:val="00611004"/>
    <w:rsid w:val="00611709"/>
    <w:rsid w:val="006121C6"/>
    <w:rsid w:val="00612866"/>
    <w:rsid w:val="00616EB5"/>
    <w:rsid w:val="00621DD8"/>
    <w:rsid w:val="00622E61"/>
    <w:rsid w:val="006269D4"/>
    <w:rsid w:val="006276FF"/>
    <w:rsid w:val="00630895"/>
    <w:rsid w:val="00631CC4"/>
    <w:rsid w:val="006327D8"/>
    <w:rsid w:val="00632A6E"/>
    <w:rsid w:val="0064070A"/>
    <w:rsid w:val="00642458"/>
    <w:rsid w:val="00643A01"/>
    <w:rsid w:val="006506A8"/>
    <w:rsid w:val="00651D44"/>
    <w:rsid w:val="006551B2"/>
    <w:rsid w:val="00655ABE"/>
    <w:rsid w:val="006569B2"/>
    <w:rsid w:val="006574D2"/>
    <w:rsid w:val="00662CF9"/>
    <w:rsid w:val="00663563"/>
    <w:rsid w:val="00665BD5"/>
    <w:rsid w:val="006676D4"/>
    <w:rsid w:val="00667B44"/>
    <w:rsid w:val="00667D54"/>
    <w:rsid w:val="00671044"/>
    <w:rsid w:val="0067108D"/>
    <w:rsid w:val="00675535"/>
    <w:rsid w:val="00681359"/>
    <w:rsid w:val="006814C6"/>
    <w:rsid w:val="00684B0B"/>
    <w:rsid w:val="00690A3D"/>
    <w:rsid w:val="0069157C"/>
    <w:rsid w:val="0069224E"/>
    <w:rsid w:val="00696262"/>
    <w:rsid w:val="006A08A6"/>
    <w:rsid w:val="006A7410"/>
    <w:rsid w:val="006B3E38"/>
    <w:rsid w:val="006B429D"/>
    <w:rsid w:val="006B4319"/>
    <w:rsid w:val="006B6CFE"/>
    <w:rsid w:val="006C3A4F"/>
    <w:rsid w:val="006C4845"/>
    <w:rsid w:val="006C7728"/>
    <w:rsid w:val="006C7CCD"/>
    <w:rsid w:val="006D0EF9"/>
    <w:rsid w:val="006D5A4B"/>
    <w:rsid w:val="006D6BC1"/>
    <w:rsid w:val="006E2BFC"/>
    <w:rsid w:val="006E3A4D"/>
    <w:rsid w:val="006E5C57"/>
    <w:rsid w:val="006F22A5"/>
    <w:rsid w:val="006F22B1"/>
    <w:rsid w:val="006F3CB6"/>
    <w:rsid w:val="006F48BE"/>
    <w:rsid w:val="006F4B9F"/>
    <w:rsid w:val="00702C73"/>
    <w:rsid w:val="00704EA5"/>
    <w:rsid w:val="00705EE9"/>
    <w:rsid w:val="00706A1E"/>
    <w:rsid w:val="00713394"/>
    <w:rsid w:val="00715750"/>
    <w:rsid w:val="007202CB"/>
    <w:rsid w:val="00724677"/>
    <w:rsid w:val="00725AC2"/>
    <w:rsid w:val="00732880"/>
    <w:rsid w:val="007416B9"/>
    <w:rsid w:val="00741CBF"/>
    <w:rsid w:val="007422FD"/>
    <w:rsid w:val="00742708"/>
    <w:rsid w:val="00743E46"/>
    <w:rsid w:val="00744732"/>
    <w:rsid w:val="00747C45"/>
    <w:rsid w:val="00756948"/>
    <w:rsid w:val="00756FDB"/>
    <w:rsid w:val="007629B6"/>
    <w:rsid w:val="00763D9B"/>
    <w:rsid w:val="0076560E"/>
    <w:rsid w:val="007665BF"/>
    <w:rsid w:val="0076752F"/>
    <w:rsid w:val="00767EB0"/>
    <w:rsid w:val="00771518"/>
    <w:rsid w:val="00771B2A"/>
    <w:rsid w:val="00771FAD"/>
    <w:rsid w:val="007757CE"/>
    <w:rsid w:val="00775800"/>
    <w:rsid w:val="00781D96"/>
    <w:rsid w:val="00783BB8"/>
    <w:rsid w:val="0078486B"/>
    <w:rsid w:val="0078572B"/>
    <w:rsid w:val="007864D8"/>
    <w:rsid w:val="007900E9"/>
    <w:rsid w:val="00790F04"/>
    <w:rsid w:val="0079180E"/>
    <w:rsid w:val="007950CC"/>
    <w:rsid w:val="0079538B"/>
    <w:rsid w:val="007961B8"/>
    <w:rsid w:val="00797624"/>
    <w:rsid w:val="007A034E"/>
    <w:rsid w:val="007A4828"/>
    <w:rsid w:val="007A60E0"/>
    <w:rsid w:val="007A6CA8"/>
    <w:rsid w:val="007A7008"/>
    <w:rsid w:val="007B093D"/>
    <w:rsid w:val="007B2069"/>
    <w:rsid w:val="007B2C5A"/>
    <w:rsid w:val="007B2F40"/>
    <w:rsid w:val="007B64FD"/>
    <w:rsid w:val="007C04A1"/>
    <w:rsid w:val="007C21FA"/>
    <w:rsid w:val="007C7251"/>
    <w:rsid w:val="007D13B1"/>
    <w:rsid w:val="007D2E83"/>
    <w:rsid w:val="007D30A2"/>
    <w:rsid w:val="007D4351"/>
    <w:rsid w:val="007D7019"/>
    <w:rsid w:val="007D7796"/>
    <w:rsid w:val="007E0C59"/>
    <w:rsid w:val="007E18DB"/>
    <w:rsid w:val="007E6F1C"/>
    <w:rsid w:val="007F22F3"/>
    <w:rsid w:val="007F2C7F"/>
    <w:rsid w:val="007F3B3B"/>
    <w:rsid w:val="007F456E"/>
    <w:rsid w:val="007F5C26"/>
    <w:rsid w:val="007F60E3"/>
    <w:rsid w:val="00804C69"/>
    <w:rsid w:val="0080564F"/>
    <w:rsid w:val="0080711D"/>
    <w:rsid w:val="008102D6"/>
    <w:rsid w:val="00811A00"/>
    <w:rsid w:val="008155CD"/>
    <w:rsid w:val="00815A4E"/>
    <w:rsid w:val="008160F7"/>
    <w:rsid w:val="00816453"/>
    <w:rsid w:val="00816507"/>
    <w:rsid w:val="00817073"/>
    <w:rsid w:val="0081773C"/>
    <w:rsid w:val="0082057A"/>
    <w:rsid w:val="00821251"/>
    <w:rsid w:val="00821BAA"/>
    <w:rsid w:val="008247B0"/>
    <w:rsid w:val="008263E0"/>
    <w:rsid w:val="00826DD8"/>
    <w:rsid w:val="00833325"/>
    <w:rsid w:val="0084077B"/>
    <w:rsid w:val="00840A41"/>
    <w:rsid w:val="00842F3C"/>
    <w:rsid w:val="0084365B"/>
    <w:rsid w:val="008505D1"/>
    <w:rsid w:val="00855158"/>
    <w:rsid w:val="00857EE8"/>
    <w:rsid w:val="0086464B"/>
    <w:rsid w:val="008647FC"/>
    <w:rsid w:val="00864B48"/>
    <w:rsid w:val="00864CA8"/>
    <w:rsid w:val="0086583F"/>
    <w:rsid w:val="00865E2D"/>
    <w:rsid w:val="008678D3"/>
    <w:rsid w:val="00870E6C"/>
    <w:rsid w:val="00875846"/>
    <w:rsid w:val="00875E8C"/>
    <w:rsid w:val="00884486"/>
    <w:rsid w:val="008854A0"/>
    <w:rsid w:val="008871A9"/>
    <w:rsid w:val="008916BA"/>
    <w:rsid w:val="00892176"/>
    <w:rsid w:val="00893922"/>
    <w:rsid w:val="008A1DB7"/>
    <w:rsid w:val="008A3D6E"/>
    <w:rsid w:val="008A403A"/>
    <w:rsid w:val="008A4C13"/>
    <w:rsid w:val="008A765D"/>
    <w:rsid w:val="008B355B"/>
    <w:rsid w:val="008B604D"/>
    <w:rsid w:val="008C24C4"/>
    <w:rsid w:val="008C3F4F"/>
    <w:rsid w:val="008C54A9"/>
    <w:rsid w:val="008D063F"/>
    <w:rsid w:val="008D2A53"/>
    <w:rsid w:val="008E2BF4"/>
    <w:rsid w:val="008E5E60"/>
    <w:rsid w:val="008E67C3"/>
    <w:rsid w:val="008E6EA2"/>
    <w:rsid w:val="008E707D"/>
    <w:rsid w:val="008E76C8"/>
    <w:rsid w:val="008F31F8"/>
    <w:rsid w:val="008F5706"/>
    <w:rsid w:val="008F589F"/>
    <w:rsid w:val="008F76A9"/>
    <w:rsid w:val="008F7E67"/>
    <w:rsid w:val="00900DBF"/>
    <w:rsid w:val="00903F4F"/>
    <w:rsid w:val="009048B9"/>
    <w:rsid w:val="00904E91"/>
    <w:rsid w:val="009060A9"/>
    <w:rsid w:val="009068A9"/>
    <w:rsid w:val="00910B6E"/>
    <w:rsid w:val="00915886"/>
    <w:rsid w:val="009163AF"/>
    <w:rsid w:val="009200A8"/>
    <w:rsid w:val="0092120F"/>
    <w:rsid w:val="009214DC"/>
    <w:rsid w:val="00926917"/>
    <w:rsid w:val="00927027"/>
    <w:rsid w:val="00933195"/>
    <w:rsid w:val="009344BA"/>
    <w:rsid w:val="009362EF"/>
    <w:rsid w:val="0093689D"/>
    <w:rsid w:val="00940C39"/>
    <w:rsid w:val="00940D86"/>
    <w:rsid w:val="00940F45"/>
    <w:rsid w:val="009436C0"/>
    <w:rsid w:val="00945306"/>
    <w:rsid w:val="00946B11"/>
    <w:rsid w:val="00946E61"/>
    <w:rsid w:val="00947F78"/>
    <w:rsid w:val="00950378"/>
    <w:rsid w:val="00953234"/>
    <w:rsid w:val="00961EAF"/>
    <w:rsid w:val="0096278F"/>
    <w:rsid w:val="00967A5B"/>
    <w:rsid w:val="00967EE4"/>
    <w:rsid w:val="009726E1"/>
    <w:rsid w:val="00972A04"/>
    <w:rsid w:val="00973D04"/>
    <w:rsid w:val="00975C55"/>
    <w:rsid w:val="00975FAB"/>
    <w:rsid w:val="0097632E"/>
    <w:rsid w:val="00976DAA"/>
    <w:rsid w:val="00977591"/>
    <w:rsid w:val="00980E75"/>
    <w:rsid w:val="00985975"/>
    <w:rsid w:val="00985CD7"/>
    <w:rsid w:val="0098626C"/>
    <w:rsid w:val="00986A2C"/>
    <w:rsid w:val="00987164"/>
    <w:rsid w:val="00990A7E"/>
    <w:rsid w:val="00994BE0"/>
    <w:rsid w:val="009957C5"/>
    <w:rsid w:val="00995C79"/>
    <w:rsid w:val="00995CB0"/>
    <w:rsid w:val="0099749A"/>
    <w:rsid w:val="009A1D63"/>
    <w:rsid w:val="009A25B1"/>
    <w:rsid w:val="009A2E4F"/>
    <w:rsid w:val="009A3775"/>
    <w:rsid w:val="009A4608"/>
    <w:rsid w:val="009A6A57"/>
    <w:rsid w:val="009A70BF"/>
    <w:rsid w:val="009B17AF"/>
    <w:rsid w:val="009B1A15"/>
    <w:rsid w:val="009B68C8"/>
    <w:rsid w:val="009C0852"/>
    <w:rsid w:val="009C13CA"/>
    <w:rsid w:val="009C1DEB"/>
    <w:rsid w:val="009C32C6"/>
    <w:rsid w:val="009C6060"/>
    <w:rsid w:val="009C665F"/>
    <w:rsid w:val="009C6A00"/>
    <w:rsid w:val="009C7513"/>
    <w:rsid w:val="009C75D4"/>
    <w:rsid w:val="009D0E99"/>
    <w:rsid w:val="009D1987"/>
    <w:rsid w:val="009D2E8B"/>
    <w:rsid w:val="009D3882"/>
    <w:rsid w:val="009D3C6A"/>
    <w:rsid w:val="009D7E38"/>
    <w:rsid w:val="009E095B"/>
    <w:rsid w:val="009E0A5D"/>
    <w:rsid w:val="009E1846"/>
    <w:rsid w:val="009E2423"/>
    <w:rsid w:val="009E78FF"/>
    <w:rsid w:val="009F13C4"/>
    <w:rsid w:val="009F1E33"/>
    <w:rsid w:val="00A01494"/>
    <w:rsid w:val="00A0237D"/>
    <w:rsid w:val="00A05F6D"/>
    <w:rsid w:val="00A06301"/>
    <w:rsid w:val="00A20F12"/>
    <w:rsid w:val="00A226AC"/>
    <w:rsid w:val="00A22FA9"/>
    <w:rsid w:val="00A25024"/>
    <w:rsid w:val="00A35F8F"/>
    <w:rsid w:val="00A41141"/>
    <w:rsid w:val="00A41377"/>
    <w:rsid w:val="00A41BE8"/>
    <w:rsid w:val="00A4263D"/>
    <w:rsid w:val="00A509B8"/>
    <w:rsid w:val="00A51AC0"/>
    <w:rsid w:val="00A52033"/>
    <w:rsid w:val="00A52AB9"/>
    <w:rsid w:val="00A54F63"/>
    <w:rsid w:val="00A6210B"/>
    <w:rsid w:val="00A64EBF"/>
    <w:rsid w:val="00A663AE"/>
    <w:rsid w:val="00A67364"/>
    <w:rsid w:val="00A67909"/>
    <w:rsid w:val="00A71200"/>
    <w:rsid w:val="00A7323A"/>
    <w:rsid w:val="00A775FF"/>
    <w:rsid w:val="00A82F3E"/>
    <w:rsid w:val="00A831B4"/>
    <w:rsid w:val="00A86823"/>
    <w:rsid w:val="00A97798"/>
    <w:rsid w:val="00A97B8C"/>
    <w:rsid w:val="00A97DEB"/>
    <w:rsid w:val="00AA1911"/>
    <w:rsid w:val="00AA5213"/>
    <w:rsid w:val="00AA65A6"/>
    <w:rsid w:val="00AA7A8F"/>
    <w:rsid w:val="00AA7FEE"/>
    <w:rsid w:val="00AB2B1A"/>
    <w:rsid w:val="00AB43F0"/>
    <w:rsid w:val="00AB6978"/>
    <w:rsid w:val="00AB7721"/>
    <w:rsid w:val="00AC066E"/>
    <w:rsid w:val="00AC1D8E"/>
    <w:rsid w:val="00AC48FA"/>
    <w:rsid w:val="00AC60A7"/>
    <w:rsid w:val="00AD0240"/>
    <w:rsid w:val="00AD0325"/>
    <w:rsid w:val="00AD137A"/>
    <w:rsid w:val="00AD4137"/>
    <w:rsid w:val="00AD7BDE"/>
    <w:rsid w:val="00AE055B"/>
    <w:rsid w:val="00AE34F6"/>
    <w:rsid w:val="00AE5C20"/>
    <w:rsid w:val="00AF1C2C"/>
    <w:rsid w:val="00AF2D68"/>
    <w:rsid w:val="00AF2DEE"/>
    <w:rsid w:val="00AF4A07"/>
    <w:rsid w:val="00AF5305"/>
    <w:rsid w:val="00AF6EC5"/>
    <w:rsid w:val="00AF7355"/>
    <w:rsid w:val="00B00974"/>
    <w:rsid w:val="00B037BA"/>
    <w:rsid w:val="00B03DC1"/>
    <w:rsid w:val="00B06E65"/>
    <w:rsid w:val="00B10F75"/>
    <w:rsid w:val="00B148C0"/>
    <w:rsid w:val="00B15FF7"/>
    <w:rsid w:val="00B1794A"/>
    <w:rsid w:val="00B20139"/>
    <w:rsid w:val="00B218DA"/>
    <w:rsid w:val="00B25CC9"/>
    <w:rsid w:val="00B3127A"/>
    <w:rsid w:val="00B3195E"/>
    <w:rsid w:val="00B342FA"/>
    <w:rsid w:val="00B3770A"/>
    <w:rsid w:val="00B430BF"/>
    <w:rsid w:val="00B457EE"/>
    <w:rsid w:val="00B476F6"/>
    <w:rsid w:val="00B509AB"/>
    <w:rsid w:val="00B51CCD"/>
    <w:rsid w:val="00B51EB2"/>
    <w:rsid w:val="00B53E8B"/>
    <w:rsid w:val="00B628A4"/>
    <w:rsid w:val="00B6418F"/>
    <w:rsid w:val="00B705EB"/>
    <w:rsid w:val="00B75E69"/>
    <w:rsid w:val="00B770F1"/>
    <w:rsid w:val="00B772BE"/>
    <w:rsid w:val="00B774D2"/>
    <w:rsid w:val="00B8015A"/>
    <w:rsid w:val="00B807C0"/>
    <w:rsid w:val="00B82A57"/>
    <w:rsid w:val="00B830A3"/>
    <w:rsid w:val="00B8438D"/>
    <w:rsid w:val="00B84E19"/>
    <w:rsid w:val="00B85B50"/>
    <w:rsid w:val="00B85D1E"/>
    <w:rsid w:val="00B92727"/>
    <w:rsid w:val="00B93FE7"/>
    <w:rsid w:val="00BA053B"/>
    <w:rsid w:val="00BA1B62"/>
    <w:rsid w:val="00BA4CE1"/>
    <w:rsid w:val="00BA5378"/>
    <w:rsid w:val="00BA6EBB"/>
    <w:rsid w:val="00BB2348"/>
    <w:rsid w:val="00BB35AE"/>
    <w:rsid w:val="00BB3968"/>
    <w:rsid w:val="00BB4637"/>
    <w:rsid w:val="00BB4750"/>
    <w:rsid w:val="00BC03A1"/>
    <w:rsid w:val="00BC0D25"/>
    <w:rsid w:val="00BD2505"/>
    <w:rsid w:val="00BD439C"/>
    <w:rsid w:val="00BE22AE"/>
    <w:rsid w:val="00BE592D"/>
    <w:rsid w:val="00BE5EB1"/>
    <w:rsid w:val="00BE61DE"/>
    <w:rsid w:val="00BE627D"/>
    <w:rsid w:val="00BF52B0"/>
    <w:rsid w:val="00BF561D"/>
    <w:rsid w:val="00BF5624"/>
    <w:rsid w:val="00BF5697"/>
    <w:rsid w:val="00C008C7"/>
    <w:rsid w:val="00C01348"/>
    <w:rsid w:val="00C02ACC"/>
    <w:rsid w:val="00C11AEC"/>
    <w:rsid w:val="00C14CCC"/>
    <w:rsid w:val="00C15C52"/>
    <w:rsid w:val="00C162F7"/>
    <w:rsid w:val="00C166BC"/>
    <w:rsid w:val="00C1695E"/>
    <w:rsid w:val="00C220E1"/>
    <w:rsid w:val="00C22C1C"/>
    <w:rsid w:val="00C2307E"/>
    <w:rsid w:val="00C23126"/>
    <w:rsid w:val="00C31675"/>
    <w:rsid w:val="00C326C7"/>
    <w:rsid w:val="00C33B44"/>
    <w:rsid w:val="00C33F2E"/>
    <w:rsid w:val="00C34936"/>
    <w:rsid w:val="00C34C14"/>
    <w:rsid w:val="00C355B9"/>
    <w:rsid w:val="00C3681B"/>
    <w:rsid w:val="00C37EF1"/>
    <w:rsid w:val="00C401C4"/>
    <w:rsid w:val="00C41680"/>
    <w:rsid w:val="00C41909"/>
    <w:rsid w:val="00C4426A"/>
    <w:rsid w:val="00C454ED"/>
    <w:rsid w:val="00C46D0A"/>
    <w:rsid w:val="00C471AB"/>
    <w:rsid w:val="00C52ABF"/>
    <w:rsid w:val="00C53145"/>
    <w:rsid w:val="00C60566"/>
    <w:rsid w:val="00C60A25"/>
    <w:rsid w:val="00C66F59"/>
    <w:rsid w:val="00C75A27"/>
    <w:rsid w:val="00C765C5"/>
    <w:rsid w:val="00C76AF4"/>
    <w:rsid w:val="00C775CE"/>
    <w:rsid w:val="00C82479"/>
    <w:rsid w:val="00C83F7E"/>
    <w:rsid w:val="00C867F0"/>
    <w:rsid w:val="00C86E08"/>
    <w:rsid w:val="00C96FAB"/>
    <w:rsid w:val="00C9718E"/>
    <w:rsid w:val="00CA06D8"/>
    <w:rsid w:val="00CA345A"/>
    <w:rsid w:val="00CA3CA4"/>
    <w:rsid w:val="00CB00A5"/>
    <w:rsid w:val="00CB04A8"/>
    <w:rsid w:val="00CB49FF"/>
    <w:rsid w:val="00CB5DD8"/>
    <w:rsid w:val="00CB6480"/>
    <w:rsid w:val="00CB7C92"/>
    <w:rsid w:val="00CC02CF"/>
    <w:rsid w:val="00CC05FF"/>
    <w:rsid w:val="00CC086A"/>
    <w:rsid w:val="00CC3CEE"/>
    <w:rsid w:val="00CC5E3F"/>
    <w:rsid w:val="00CD0E24"/>
    <w:rsid w:val="00CD0F66"/>
    <w:rsid w:val="00CD364B"/>
    <w:rsid w:val="00CD6F6D"/>
    <w:rsid w:val="00CE23B8"/>
    <w:rsid w:val="00CE284E"/>
    <w:rsid w:val="00CE474B"/>
    <w:rsid w:val="00CE50D7"/>
    <w:rsid w:val="00CF3585"/>
    <w:rsid w:val="00CF4B87"/>
    <w:rsid w:val="00CF4CBE"/>
    <w:rsid w:val="00CF5727"/>
    <w:rsid w:val="00CF743C"/>
    <w:rsid w:val="00D00344"/>
    <w:rsid w:val="00D02F18"/>
    <w:rsid w:val="00D05A7E"/>
    <w:rsid w:val="00D063D6"/>
    <w:rsid w:val="00D07103"/>
    <w:rsid w:val="00D10476"/>
    <w:rsid w:val="00D12F08"/>
    <w:rsid w:val="00D143AE"/>
    <w:rsid w:val="00D1754D"/>
    <w:rsid w:val="00D2223F"/>
    <w:rsid w:val="00D274A4"/>
    <w:rsid w:val="00D277AF"/>
    <w:rsid w:val="00D30352"/>
    <w:rsid w:val="00D31163"/>
    <w:rsid w:val="00D31645"/>
    <w:rsid w:val="00D320B1"/>
    <w:rsid w:val="00D33AFD"/>
    <w:rsid w:val="00D36489"/>
    <w:rsid w:val="00D369E9"/>
    <w:rsid w:val="00D401AA"/>
    <w:rsid w:val="00D4218D"/>
    <w:rsid w:val="00D42195"/>
    <w:rsid w:val="00D42C4F"/>
    <w:rsid w:val="00D45202"/>
    <w:rsid w:val="00D50704"/>
    <w:rsid w:val="00D5109B"/>
    <w:rsid w:val="00D571A6"/>
    <w:rsid w:val="00D5760A"/>
    <w:rsid w:val="00D57AFF"/>
    <w:rsid w:val="00D61410"/>
    <w:rsid w:val="00D62A58"/>
    <w:rsid w:val="00D62C8E"/>
    <w:rsid w:val="00D6600E"/>
    <w:rsid w:val="00D66B33"/>
    <w:rsid w:val="00D722E2"/>
    <w:rsid w:val="00D7663E"/>
    <w:rsid w:val="00D77CC3"/>
    <w:rsid w:val="00D77E63"/>
    <w:rsid w:val="00D8181D"/>
    <w:rsid w:val="00D81B7D"/>
    <w:rsid w:val="00D950E3"/>
    <w:rsid w:val="00D95D8E"/>
    <w:rsid w:val="00D960F4"/>
    <w:rsid w:val="00D968D8"/>
    <w:rsid w:val="00DA0EAE"/>
    <w:rsid w:val="00DA1C85"/>
    <w:rsid w:val="00DA1DAC"/>
    <w:rsid w:val="00DA2577"/>
    <w:rsid w:val="00DA29D9"/>
    <w:rsid w:val="00DA3DAF"/>
    <w:rsid w:val="00DA520B"/>
    <w:rsid w:val="00DA563D"/>
    <w:rsid w:val="00DA7277"/>
    <w:rsid w:val="00DA75FC"/>
    <w:rsid w:val="00DB1340"/>
    <w:rsid w:val="00DB1357"/>
    <w:rsid w:val="00DB1E99"/>
    <w:rsid w:val="00DB3627"/>
    <w:rsid w:val="00DB4724"/>
    <w:rsid w:val="00DB47CB"/>
    <w:rsid w:val="00DB643C"/>
    <w:rsid w:val="00DB68BA"/>
    <w:rsid w:val="00DB6944"/>
    <w:rsid w:val="00DB76F8"/>
    <w:rsid w:val="00DB7A30"/>
    <w:rsid w:val="00DC246B"/>
    <w:rsid w:val="00DC44B7"/>
    <w:rsid w:val="00DC4746"/>
    <w:rsid w:val="00DC4B43"/>
    <w:rsid w:val="00DC6250"/>
    <w:rsid w:val="00DC7722"/>
    <w:rsid w:val="00DD1BD1"/>
    <w:rsid w:val="00DD2850"/>
    <w:rsid w:val="00DD2A00"/>
    <w:rsid w:val="00DD5F57"/>
    <w:rsid w:val="00DE1DF1"/>
    <w:rsid w:val="00DE2743"/>
    <w:rsid w:val="00DE401B"/>
    <w:rsid w:val="00DE585B"/>
    <w:rsid w:val="00DE6474"/>
    <w:rsid w:val="00DE7149"/>
    <w:rsid w:val="00DF5BE9"/>
    <w:rsid w:val="00DF7B4F"/>
    <w:rsid w:val="00E0314C"/>
    <w:rsid w:val="00E034FE"/>
    <w:rsid w:val="00E0460B"/>
    <w:rsid w:val="00E04808"/>
    <w:rsid w:val="00E07393"/>
    <w:rsid w:val="00E1508F"/>
    <w:rsid w:val="00E169F1"/>
    <w:rsid w:val="00E24290"/>
    <w:rsid w:val="00E24A87"/>
    <w:rsid w:val="00E25145"/>
    <w:rsid w:val="00E25337"/>
    <w:rsid w:val="00E25B8B"/>
    <w:rsid w:val="00E261DF"/>
    <w:rsid w:val="00E26370"/>
    <w:rsid w:val="00E27240"/>
    <w:rsid w:val="00E27EDD"/>
    <w:rsid w:val="00E30584"/>
    <w:rsid w:val="00E310B9"/>
    <w:rsid w:val="00E35130"/>
    <w:rsid w:val="00E35140"/>
    <w:rsid w:val="00E37A6D"/>
    <w:rsid w:val="00E37E1B"/>
    <w:rsid w:val="00E44E19"/>
    <w:rsid w:val="00E50E0C"/>
    <w:rsid w:val="00E562C0"/>
    <w:rsid w:val="00E56377"/>
    <w:rsid w:val="00E57FAF"/>
    <w:rsid w:val="00E620CC"/>
    <w:rsid w:val="00E66993"/>
    <w:rsid w:val="00E672D6"/>
    <w:rsid w:val="00E71853"/>
    <w:rsid w:val="00E723A5"/>
    <w:rsid w:val="00E75598"/>
    <w:rsid w:val="00E76024"/>
    <w:rsid w:val="00E830E9"/>
    <w:rsid w:val="00E856A2"/>
    <w:rsid w:val="00E86C4F"/>
    <w:rsid w:val="00E90B85"/>
    <w:rsid w:val="00E92CE9"/>
    <w:rsid w:val="00E967AD"/>
    <w:rsid w:val="00E96884"/>
    <w:rsid w:val="00E96E41"/>
    <w:rsid w:val="00EA1076"/>
    <w:rsid w:val="00EA29C1"/>
    <w:rsid w:val="00EA5435"/>
    <w:rsid w:val="00EA570C"/>
    <w:rsid w:val="00EA5F47"/>
    <w:rsid w:val="00EA776F"/>
    <w:rsid w:val="00EB110E"/>
    <w:rsid w:val="00EB204C"/>
    <w:rsid w:val="00EB2AF1"/>
    <w:rsid w:val="00EB3297"/>
    <w:rsid w:val="00EB455E"/>
    <w:rsid w:val="00EB4BFC"/>
    <w:rsid w:val="00EB6969"/>
    <w:rsid w:val="00EC0A4C"/>
    <w:rsid w:val="00EC4A20"/>
    <w:rsid w:val="00EC6795"/>
    <w:rsid w:val="00EC79DE"/>
    <w:rsid w:val="00EC7FED"/>
    <w:rsid w:val="00ED3010"/>
    <w:rsid w:val="00ED36E2"/>
    <w:rsid w:val="00ED4ACE"/>
    <w:rsid w:val="00EE3FD2"/>
    <w:rsid w:val="00EE4D35"/>
    <w:rsid w:val="00EE7DEB"/>
    <w:rsid w:val="00EF0FBD"/>
    <w:rsid w:val="00EF2DA7"/>
    <w:rsid w:val="00EF5AF6"/>
    <w:rsid w:val="00EF6C5B"/>
    <w:rsid w:val="00F060F5"/>
    <w:rsid w:val="00F100F9"/>
    <w:rsid w:val="00F11F84"/>
    <w:rsid w:val="00F1412B"/>
    <w:rsid w:val="00F15BFA"/>
    <w:rsid w:val="00F15C1B"/>
    <w:rsid w:val="00F1712A"/>
    <w:rsid w:val="00F17796"/>
    <w:rsid w:val="00F200CC"/>
    <w:rsid w:val="00F2188B"/>
    <w:rsid w:val="00F220F1"/>
    <w:rsid w:val="00F22422"/>
    <w:rsid w:val="00F34FAB"/>
    <w:rsid w:val="00F420BB"/>
    <w:rsid w:val="00F4278E"/>
    <w:rsid w:val="00F435AA"/>
    <w:rsid w:val="00F43BB0"/>
    <w:rsid w:val="00F44DBA"/>
    <w:rsid w:val="00F460A7"/>
    <w:rsid w:val="00F47547"/>
    <w:rsid w:val="00F51022"/>
    <w:rsid w:val="00F51358"/>
    <w:rsid w:val="00F51715"/>
    <w:rsid w:val="00F558A1"/>
    <w:rsid w:val="00F5738A"/>
    <w:rsid w:val="00F612D4"/>
    <w:rsid w:val="00F6404C"/>
    <w:rsid w:val="00F67EF5"/>
    <w:rsid w:val="00F67FA1"/>
    <w:rsid w:val="00F719AC"/>
    <w:rsid w:val="00F7389E"/>
    <w:rsid w:val="00F74EDE"/>
    <w:rsid w:val="00F77F1D"/>
    <w:rsid w:val="00F817D2"/>
    <w:rsid w:val="00F8739D"/>
    <w:rsid w:val="00F875C8"/>
    <w:rsid w:val="00F87CCB"/>
    <w:rsid w:val="00F927ED"/>
    <w:rsid w:val="00FA2B12"/>
    <w:rsid w:val="00FA3AC7"/>
    <w:rsid w:val="00FA48C7"/>
    <w:rsid w:val="00FA7512"/>
    <w:rsid w:val="00FB51FB"/>
    <w:rsid w:val="00FB73C1"/>
    <w:rsid w:val="00FC2FFF"/>
    <w:rsid w:val="00FC6B6D"/>
    <w:rsid w:val="00FC745C"/>
    <w:rsid w:val="00FD27EF"/>
    <w:rsid w:val="00FD3239"/>
    <w:rsid w:val="00FE2D38"/>
    <w:rsid w:val="00FE50E4"/>
    <w:rsid w:val="00FE7CBC"/>
    <w:rsid w:val="00FF20E8"/>
    <w:rsid w:val="00FF3D77"/>
    <w:rsid w:val="00FF546B"/>
    <w:rsid w:val="00FF6ED6"/>
    <w:rsid w:val="04271F33"/>
    <w:rsid w:val="07677A7B"/>
    <w:rsid w:val="09B47ABF"/>
    <w:rsid w:val="117D6A8A"/>
    <w:rsid w:val="15F087BF"/>
    <w:rsid w:val="220BEDA7"/>
    <w:rsid w:val="2627D84A"/>
    <w:rsid w:val="2FD7C79E"/>
    <w:rsid w:val="3E47969D"/>
    <w:rsid w:val="467A1A3A"/>
    <w:rsid w:val="6BAE4FD8"/>
    <w:rsid w:val="77A55900"/>
    <w:rsid w:val="78064B20"/>
    <w:rsid w:val="791A7B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CABCF53"/>
  <w15:docId w15:val="{387BFAF4-D9C3-4275-ABB5-EF2C21DF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5D29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D2911"/>
  </w:style>
  <w:style w:type="character" w:customStyle="1" w:styleId="eop">
    <w:name w:val="eop"/>
    <w:basedOn w:val="DefaultParagraphFont"/>
    <w:rsid w:val="005D2911"/>
  </w:style>
  <w:style w:type="character" w:customStyle="1" w:styleId="scxw148415299">
    <w:name w:val="scxw148415299"/>
    <w:basedOn w:val="DefaultParagraphFont"/>
    <w:rsid w:val="00E723A5"/>
  </w:style>
  <w:style w:type="character" w:styleId="UnresolvedMention">
    <w:name w:val="Unresolved Mention"/>
    <w:basedOn w:val="DefaultParagraphFont"/>
    <w:uiPriority w:val="99"/>
    <w:unhideWhenUsed/>
    <w:rsid w:val="00EB204C"/>
    <w:rPr>
      <w:color w:val="605E5C"/>
      <w:shd w:val="clear" w:color="auto" w:fill="E1DFDD"/>
    </w:rPr>
  </w:style>
  <w:style w:type="character" w:styleId="Mention">
    <w:name w:val="Mention"/>
    <w:basedOn w:val="DefaultParagraphFont"/>
    <w:uiPriority w:val="99"/>
    <w:unhideWhenUsed/>
    <w:rsid w:val="0084077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250868">
      <w:bodyDiv w:val="1"/>
      <w:marLeft w:val="0"/>
      <w:marRight w:val="0"/>
      <w:marTop w:val="0"/>
      <w:marBottom w:val="0"/>
      <w:divBdr>
        <w:top w:val="none" w:sz="0" w:space="0" w:color="auto"/>
        <w:left w:val="none" w:sz="0" w:space="0" w:color="auto"/>
        <w:bottom w:val="none" w:sz="0" w:space="0" w:color="auto"/>
        <w:right w:val="none" w:sz="0" w:space="0" w:color="auto"/>
      </w:divBdr>
    </w:div>
    <w:div w:id="168523891">
      <w:bodyDiv w:val="1"/>
      <w:marLeft w:val="0"/>
      <w:marRight w:val="0"/>
      <w:marTop w:val="0"/>
      <w:marBottom w:val="0"/>
      <w:divBdr>
        <w:top w:val="none" w:sz="0" w:space="0" w:color="auto"/>
        <w:left w:val="none" w:sz="0" w:space="0" w:color="auto"/>
        <w:bottom w:val="none" w:sz="0" w:space="0" w:color="auto"/>
        <w:right w:val="none" w:sz="0" w:space="0" w:color="auto"/>
      </w:divBdr>
      <w:divsChild>
        <w:div w:id="129447046">
          <w:marLeft w:val="0"/>
          <w:marRight w:val="0"/>
          <w:marTop w:val="0"/>
          <w:marBottom w:val="0"/>
          <w:divBdr>
            <w:top w:val="none" w:sz="0" w:space="0" w:color="auto"/>
            <w:left w:val="none" w:sz="0" w:space="0" w:color="auto"/>
            <w:bottom w:val="none" w:sz="0" w:space="0" w:color="auto"/>
            <w:right w:val="none" w:sz="0" w:space="0" w:color="auto"/>
          </w:divBdr>
          <w:divsChild>
            <w:div w:id="1802530350">
              <w:marLeft w:val="0"/>
              <w:marRight w:val="0"/>
              <w:marTop w:val="0"/>
              <w:marBottom w:val="0"/>
              <w:divBdr>
                <w:top w:val="none" w:sz="0" w:space="0" w:color="auto"/>
                <w:left w:val="none" w:sz="0" w:space="0" w:color="auto"/>
                <w:bottom w:val="none" w:sz="0" w:space="0" w:color="auto"/>
                <w:right w:val="none" w:sz="0" w:space="0" w:color="auto"/>
              </w:divBdr>
            </w:div>
          </w:divsChild>
        </w:div>
        <w:div w:id="142310505">
          <w:marLeft w:val="0"/>
          <w:marRight w:val="0"/>
          <w:marTop w:val="0"/>
          <w:marBottom w:val="0"/>
          <w:divBdr>
            <w:top w:val="none" w:sz="0" w:space="0" w:color="auto"/>
            <w:left w:val="none" w:sz="0" w:space="0" w:color="auto"/>
            <w:bottom w:val="none" w:sz="0" w:space="0" w:color="auto"/>
            <w:right w:val="none" w:sz="0" w:space="0" w:color="auto"/>
          </w:divBdr>
          <w:divsChild>
            <w:div w:id="374429959">
              <w:marLeft w:val="0"/>
              <w:marRight w:val="0"/>
              <w:marTop w:val="0"/>
              <w:marBottom w:val="0"/>
              <w:divBdr>
                <w:top w:val="none" w:sz="0" w:space="0" w:color="auto"/>
                <w:left w:val="none" w:sz="0" w:space="0" w:color="auto"/>
                <w:bottom w:val="none" w:sz="0" w:space="0" w:color="auto"/>
                <w:right w:val="none" w:sz="0" w:space="0" w:color="auto"/>
              </w:divBdr>
            </w:div>
          </w:divsChild>
        </w:div>
        <w:div w:id="147524804">
          <w:marLeft w:val="0"/>
          <w:marRight w:val="0"/>
          <w:marTop w:val="0"/>
          <w:marBottom w:val="0"/>
          <w:divBdr>
            <w:top w:val="none" w:sz="0" w:space="0" w:color="auto"/>
            <w:left w:val="none" w:sz="0" w:space="0" w:color="auto"/>
            <w:bottom w:val="none" w:sz="0" w:space="0" w:color="auto"/>
            <w:right w:val="none" w:sz="0" w:space="0" w:color="auto"/>
          </w:divBdr>
          <w:divsChild>
            <w:div w:id="1117215213">
              <w:marLeft w:val="0"/>
              <w:marRight w:val="0"/>
              <w:marTop w:val="0"/>
              <w:marBottom w:val="0"/>
              <w:divBdr>
                <w:top w:val="none" w:sz="0" w:space="0" w:color="auto"/>
                <w:left w:val="none" w:sz="0" w:space="0" w:color="auto"/>
                <w:bottom w:val="none" w:sz="0" w:space="0" w:color="auto"/>
                <w:right w:val="none" w:sz="0" w:space="0" w:color="auto"/>
              </w:divBdr>
            </w:div>
          </w:divsChild>
        </w:div>
        <w:div w:id="247813033">
          <w:marLeft w:val="0"/>
          <w:marRight w:val="0"/>
          <w:marTop w:val="0"/>
          <w:marBottom w:val="0"/>
          <w:divBdr>
            <w:top w:val="none" w:sz="0" w:space="0" w:color="auto"/>
            <w:left w:val="none" w:sz="0" w:space="0" w:color="auto"/>
            <w:bottom w:val="none" w:sz="0" w:space="0" w:color="auto"/>
            <w:right w:val="none" w:sz="0" w:space="0" w:color="auto"/>
          </w:divBdr>
          <w:divsChild>
            <w:div w:id="984432328">
              <w:marLeft w:val="0"/>
              <w:marRight w:val="0"/>
              <w:marTop w:val="0"/>
              <w:marBottom w:val="0"/>
              <w:divBdr>
                <w:top w:val="none" w:sz="0" w:space="0" w:color="auto"/>
                <w:left w:val="none" w:sz="0" w:space="0" w:color="auto"/>
                <w:bottom w:val="none" w:sz="0" w:space="0" w:color="auto"/>
                <w:right w:val="none" w:sz="0" w:space="0" w:color="auto"/>
              </w:divBdr>
            </w:div>
          </w:divsChild>
        </w:div>
        <w:div w:id="261913070">
          <w:marLeft w:val="0"/>
          <w:marRight w:val="0"/>
          <w:marTop w:val="0"/>
          <w:marBottom w:val="0"/>
          <w:divBdr>
            <w:top w:val="none" w:sz="0" w:space="0" w:color="auto"/>
            <w:left w:val="none" w:sz="0" w:space="0" w:color="auto"/>
            <w:bottom w:val="none" w:sz="0" w:space="0" w:color="auto"/>
            <w:right w:val="none" w:sz="0" w:space="0" w:color="auto"/>
          </w:divBdr>
          <w:divsChild>
            <w:div w:id="408969670">
              <w:marLeft w:val="0"/>
              <w:marRight w:val="0"/>
              <w:marTop w:val="0"/>
              <w:marBottom w:val="0"/>
              <w:divBdr>
                <w:top w:val="none" w:sz="0" w:space="0" w:color="auto"/>
                <w:left w:val="none" w:sz="0" w:space="0" w:color="auto"/>
                <w:bottom w:val="none" w:sz="0" w:space="0" w:color="auto"/>
                <w:right w:val="none" w:sz="0" w:space="0" w:color="auto"/>
              </w:divBdr>
            </w:div>
          </w:divsChild>
        </w:div>
        <w:div w:id="274675422">
          <w:marLeft w:val="0"/>
          <w:marRight w:val="0"/>
          <w:marTop w:val="0"/>
          <w:marBottom w:val="0"/>
          <w:divBdr>
            <w:top w:val="none" w:sz="0" w:space="0" w:color="auto"/>
            <w:left w:val="none" w:sz="0" w:space="0" w:color="auto"/>
            <w:bottom w:val="none" w:sz="0" w:space="0" w:color="auto"/>
            <w:right w:val="none" w:sz="0" w:space="0" w:color="auto"/>
          </w:divBdr>
          <w:divsChild>
            <w:div w:id="1128085518">
              <w:marLeft w:val="0"/>
              <w:marRight w:val="0"/>
              <w:marTop w:val="0"/>
              <w:marBottom w:val="0"/>
              <w:divBdr>
                <w:top w:val="none" w:sz="0" w:space="0" w:color="auto"/>
                <w:left w:val="none" w:sz="0" w:space="0" w:color="auto"/>
                <w:bottom w:val="none" w:sz="0" w:space="0" w:color="auto"/>
                <w:right w:val="none" w:sz="0" w:space="0" w:color="auto"/>
              </w:divBdr>
            </w:div>
          </w:divsChild>
        </w:div>
        <w:div w:id="483159693">
          <w:marLeft w:val="0"/>
          <w:marRight w:val="0"/>
          <w:marTop w:val="0"/>
          <w:marBottom w:val="0"/>
          <w:divBdr>
            <w:top w:val="none" w:sz="0" w:space="0" w:color="auto"/>
            <w:left w:val="none" w:sz="0" w:space="0" w:color="auto"/>
            <w:bottom w:val="none" w:sz="0" w:space="0" w:color="auto"/>
            <w:right w:val="none" w:sz="0" w:space="0" w:color="auto"/>
          </w:divBdr>
          <w:divsChild>
            <w:div w:id="1902447761">
              <w:marLeft w:val="0"/>
              <w:marRight w:val="0"/>
              <w:marTop w:val="0"/>
              <w:marBottom w:val="0"/>
              <w:divBdr>
                <w:top w:val="none" w:sz="0" w:space="0" w:color="auto"/>
                <w:left w:val="none" w:sz="0" w:space="0" w:color="auto"/>
                <w:bottom w:val="none" w:sz="0" w:space="0" w:color="auto"/>
                <w:right w:val="none" w:sz="0" w:space="0" w:color="auto"/>
              </w:divBdr>
            </w:div>
          </w:divsChild>
        </w:div>
        <w:div w:id="486702443">
          <w:marLeft w:val="0"/>
          <w:marRight w:val="0"/>
          <w:marTop w:val="0"/>
          <w:marBottom w:val="0"/>
          <w:divBdr>
            <w:top w:val="none" w:sz="0" w:space="0" w:color="auto"/>
            <w:left w:val="none" w:sz="0" w:space="0" w:color="auto"/>
            <w:bottom w:val="none" w:sz="0" w:space="0" w:color="auto"/>
            <w:right w:val="none" w:sz="0" w:space="0" w:color="auto"/>
          </w:divBdr>
          <w:divsChild>
            <w:div w:id="354422716">
              <w:marLeft w:val="0"/>
              <w:marRight w:val="0"/>
              <w:marTop w:val="0"/>
              <w:marBottom w:val="0"/>
              <w:divBdr>
                <w:top w:val="none" w:sz="0" w:space="0" w:color="auto"/>
                <w:left w:val="none" w:sz="0" w:space="0" w:color="auto"/>
                <w:bottom w:val="none" w:sz="0" w:space="0" w:color="auto"/>
                <w:right w:val="none" w:sz="0" w:space="0" w:color="auto"/>
              </w:divBdr>
            </w:div>
          </w:divsChild>
        </w:div>
        <w:div w:id="535314308">
          <w:marLeft w:val="0"/>
          <w:marRight w:val="0"/>
          <w:marTop w:val="0"/>
          <w:marBottom w:val="0"/>
          <w:divBdr>
            <w:top w:val="none" w:sz="0" w:space="0" w:color="auto"/>
            <w:left w:val="none" w:sz="0" w:space="0" w:color="auto"/>
            <w:bottom w:val="none" w:sz="0" w:space="0" w:color="auto"/>
            <w:right w:val="none" w:sz="0" w:space="0" w:color="auto"/>
          </w:divBdr>
          <w:divsChild>
            <w:div w:id="1698777087">
              <w:marLeft w:val="0"/>
              <w:marRight w:val="0"/>
              <w:marTop w:val="0"/>
              <w:marBottom w:val="0"/>
              <w:divBdr>
                <w:top w:val="none" w:sz="0" w:space="0" w:color="auto"/>
                <w:left w:val="none" w:sz="0" w:space="0" w:color="auto"/>
                <w:bottom w:val="none" w:sz="0" w:space="0" w:color="auto"/>
                <w:right w:val="none" w:sz="0" w:space="0" w:color="auto"/>
              </w:divBdr>
            </w:div>
          </w:divsChild>
        </w:div>
        <w:div w:id="900016888">
          <w:marLeft w:val="0"/>
          <w:marRight w:val="0"/>
          <w:marTop w:val="0"/>
          <w:marBottom w:val="0"/>
          <w:divBdr>
            <w:top w:val="none" w:sz="0" w:space="0" w:color="auto"/>
            <w:left w:val="none" w:sz="0" w:space="0" w:color="auto"/>
            <w:bottom w:val="none" w:sz="0" w:space="0" w:color="auto"/>
            <w:right w:val="none" w:sz="0" w:space="0" w:color="auto"/>
          </w:divBdr>
          <w:divsChild>
            <w:div w:id="594439300">
              <w:marLeft w:val="0"/>
              <w:marRight w:val="0"/>
              <w:marTop w:val="0"/>
              <w:marBottom w:val="0"/>
              <w:divBdr>
                <w:top w:val="none" w:sz="0" w:space="0" w:color="auto"/>
                <w:left w:val="none" w:sz="0" w:space="0" w:color="auto"/>
                <w:bottom w:val="none" w:sz="0" w:space="0" w:color="auto"/>
                <w:right w:val="none" w:sz="0" w:space="0" w:color="auto"/>
              </w:divBdr>
            </w:div>
          </w:divsChild>
        </w:div>
        <w:div w:id="957371362">
          <w:marLeft w:val="0"/>
          <w:marRight w:val="0"/>
          <w:marTop w:val="0"/>
          <w:marBottom w:val="0"/>
          <w:divBdr>
            <w:top w:val="none" w:sz="0" w:space="0" w:color="auto"/>
            <w:left w:val="none" w:sz="0" w:space="0" w:color="auto"/>
            <w:bottom w:val="none" w:sz="0" w:space="0" w:color="auto"/>
            <w:right w:val="none" w:sz="0" w:space="0" w:color="auto"/>
          </w:divBdr>
          <w:divsChild>
            <w:div w:id="1678848829">
              <w:marLeft w:val="0"/>
              <w:marRight w:val="0"/>
              <w:marTop w:val="0"/>
              <w:marBottom w:val="0"/>
              <w:divBdr>
                <w:top w:val="none" w:sz="0" w:space="0" w:color="auto"/>
                <w:left w:val="none" w:sz="0" w:space="0" w:color="auto"/>
                <w:bottom w:val="none" w:sz="0" w:space="0" w:color="auto"/>
                <w:right w:val="none" w:sz="0" w:space="0" w:color="auto"/>
              </w:divBdr>
            </w:div>
          </w:divsChild>
        </w:div>
        <w:div w:id="1023942465">
          <w:marLeft w:val="0"/>
          <w:marRight w:val="0"/>
          <w:marTop w:val="0"/>
          <w:marBottom w:val="0"/>
          <w:divBdr>
            <w:top w:val="none" w:sz="0" w:space="0" w:color="auto"/>
            <w:left w:val="none" w:sz="0" w:space="0" w:color="auto"/>
            <w:bottom w:val="none" w:sz="0" w:space="0" w:color="auto"/>
            <w:right w:val="none" w:sz="0" w:space="0" w:color="auto"/>
          </w:divBdr>
          <w:divsChild>
            <w:div w:id="1203058480">
              <w:marLeft w:val="0"/>
              <w:marRight w:val="0"/>
              <w:marTop w:val="0"/>
              <w:marBottom w:val="0"/>
              <w:divBdr>
                <w:top w:val="none" w:sz="0" w:space="0" w:color="auto"/>
                <w:left w:val="none" w:sz="0" w:space="0" w:color="auto"/>
                <w:bottom w:val="none" w:sz="0" w:space="0" w:color="auto"/>
                <w:right w:val="none" w:sz="0" w:space="0" w:color="auto"/>
              </w:divBdr>
            </w:div>
          </w:divsChild>
        </w:div>
        <w:div w:id="1044598541">
          <w:marLeft w:val="0"/>
          <w:marRight w:val="0"/>
          <w:marTop w:val="0"/>
          <w:marBottom w:val="0"/>
          <w:divBdr>
            <w:top w:val="none" w:sz="0" w:space="0" w:color="auto"/>
            <w:left w:val="none" w:sz="0" w:space="0" w:color="auto"/>
            <w:bottom w:val="none" w:sz="0" w:space="0" w:color="auto"/>
            <w:right w:val="none" w:sz="0" w:space="0" w:color="auto"/>
          </w:divBdr>
          <w:divsChild>
            <w:div w:id="1708263399">
              <w:marLeft w:val="0"/>
              <w:marRight w:val="0"/>
              <w:marTop w:val="0"/>
              <w:marBottom w:val="0"/>
              <w:divBdr>
                <w:top w:val="none" w:sz="0" w:space="0" w:color="auto"/>
                <w:left w:val="none" w:sz="0" w:space="0" w:color="auto"/>
                <w:bottom w:val="none" w:sz="0" w:space="0" w:color="auto"/>
                <w:right w:val="none" w:sz="0" w:space="0" w:color="auto"/>
              </w:divBdr>
            </w:div>
          </w:divsChild>
        </w:div>
        <w:div w:id="1054425361">
          <w:marLeft w:val="0"/>
          <w:marRight w:val="0"/>
          <w:marTop w:val="0"/>
          <w:marBottom w:val="0"/>
          <w:divBdr>
            <w:top w:val="none" w:sz="0" w:space="0" w:color="auto"/>
            <w:left w:val="none" w:sz="0" w:space="0" w:color="auto"/>
            <w:bottom w:val="none" w:sz="0" w:space="0" w:color="auto"/>
            <w:right w:val="none" w:sz="0" w:space="0" w:color="auto"/>
          </w:divBdr>
          <w:divsChild>
            <w:div w:id="1590118183">
              <w:marLeft w:val="0"/>
              <w:marRight w:val="0"/>
              <w:marTop w:val="0"/>
              <w:marBottom w:val="0"/>
              <w:divBdr>
                <w:top w:val="none" w:sz="0" w:space="0" w:color="auto"/>
                <w:left w:val="none" w:sz="0" w:space="0" w:color="auto"/>
                <w:bottom w:val="none" w:sz="0" w:space="0" w:color="auto"/>
                <w:right w:val="none" w:sz="0" w:space="0" w:color="auto"/>
              </w:divBdr>
            </w:div>
          </w:divsChild>
        </w:div>
        <w:div w:id="1116604139">
          <w:marLeft w:val="0"/>
          <w:marRight w:val="0"/>
          <w:marTop w:val="0"/>
          <w:marBottom w:val="0"/>
          <w:divBdr>
            <w:top w:val="none" w:sz="0" w:space="0" w:color="auto"/>
            <w:left w:val="none" w:sz="0" w:space="0" w:color="auto"/>
            <w:bottom w:val="none" w:sz="0" w:space="0" w:color="auto"/>
            <w:right w:val="none" w:sz="0" w:space="0" w:color="auto"/>
          </w:divBdr>
          <w:divsChild>
            <w:div w:id="1090345622">
              <w:marLeft w:val="0"/>
              <w:marRight w:val="0"/>
              <w:marTop w:val="0"/>
              <w:marBottom w:val="0"/>
              <w:divBdr>
                <w:top w:val="none" w:sz="0" w:space="0" w:color="auto"/>
                <w:left w:val="none" w:sz="0" w:space="0" w:color="auto"/>
                <w:bottom w:val="none" w:sz="0" w:space="0" w:color="auto"/>
                <w:right w:val="none" w:sz="0" w:space="0" w:color="auto"/>
              </w:divBdr>
            </w:div>
          </w:divsChild>
        </w:div>
        <w:div w:id="1347560146">
          <w:marLeft w:val="0"/>
          <w:marRight w:val="0"/>
          <w:marTop w:val="0"/>
          <w:marBottom w:val="0"/>
          <w:divBdr>
            <w:top w:val="none" w:sz="0" w:space="0" w:color="auto"/>
            <w:left w:val="none" w:sz="0" w:space="0" w:color="auto"/>
            <w:bottom w:val="none" w:sz="0" w:space="0" w:color="auto"/>
            <w:right w:val="none" w:sz="0" w:space="0" w:color="auto"/>
          </w:divBdr>
          <w:divsChild>
            <w:div w:id="1986350915">
              <w:marLeft w:val="0"/>
              <w:marRight w:val="0"/>
              <w:marTop w:val="0"/>
              <w:marBottom w:val="0"/>
              <w:divBdr>
                <w:top w:val="none" w:sz="0" w:space="0" w:color="auto"/>
                <w:left w:val="none" w:sz="0" w:space="0" w:color="auto"/>
                <w:bottom w:val="none" w:sz="0" w:space="0" w:color="auto"/>
                <w:right w:val="none" w:sz="0" w:space="0" w:color="auto"/>
              </w:divBdr>
            </w:div>
          </w:divsChild>
        </w:div>
        <w:div w:id="1406536933">
          <w:marLeft w:val="0"/>
          <w:marRight w:val="0"/>
          <w:marTop w:val="0"/>
          <w:marBottom w:val="0"/>
          <w:divBdr>
            <w:top w:val="none" w:sz="0" w:space="0" w:color="auto"/>
            <w:left w:val="none" w:sz="0" w:space="0" w:color="auto"/>
            <w:bottom w:val="none" w:sz="0" w:space="0" w:color="auto"/>
            <w:right w:val="none" w:sz="0" w:space="0" w:color="auto"/>
          </w:divBdr>
          <w:divsChild>
            <w:div w:id="1347488591">
              <w:marLeft w:val="0"/>
              <w:marRight w:val="0"/>
              <w:marTop w:val="0"/>
              <w:marBottom w:val="0"/>
              <w:divBdr>
                <w:top w:val="none" w:sz="0" w:space="0" w:color="auto"/>
                <w:left w:val="none" w:sz="0" w:space="0" w:color="auto"/>
                <w:bottom w:val="none" w:sz="0" w:space="0" w:color="auto"/>
                <w:right w:val="none" w:sz="0" w:space="0" w:color="auto"/>
              </w:divBdr>
            </w:div>
          </w:divsChild>
        </w:div>
        <w:div w:id="1557619892">
          <w:marLeft w:val="0"/>
          <w:marRight w:val="0"/>
          <w:marTop w:val="0"/>
          <w:marBottom w:val="0"/>
          <w:divBdr>
            <w:top w:val="none" w:sz="0" w:space="0" w:color="auto"/>
            <w:left w:val="none" w:sz="0" w:space="0" w:color="auto"/>
            <w:bottom w:val="none" w:sz="0" w:space="0" w:color="auto"/>
            <w:right w:val="none" w:sz="0" w:space="0" w:color="auto"/>
          </w:divBdr>
          <w:divsChild>
            <w:div w:id="1832333698">
              <w:marLeft w:val="0"/>
              <w:marRight w:val="0"/>
              <w:marTop w:val="0"/>
              <w:marBottom w:val="0"/>
              <w:divBdr>
                <w:top w:val="none" w:sz="0" w:space="0" w:color="auto"/>
                <w:left w:val="none" w:sz="0" w:space="0" w:color="auto"/>
                <w:bottom w:val="none" w:sz="0" w:space="0" w:color="auto"/>
                <w:right w:val="none" w:sz="0" w:space="0" w:color="auto"/>
              </w:divBdr>
            </w:div>
          </w:divsChild>
        </w:div>
        <w:div w:id="1581017190">
          <w:marLeft w:val="0"/>
          <w:marRight w:val="0"/>
          <w:marTop w:val="0"/>
          <w:marBottom w:val="0"/>
          <w:divBdr>
            <w:top w:val="none" w:sz="0" w:space="0" w:color="auto"/>
            <w:left w:val="none" w:sz="0" w:space="0" w:color="auto"/>
            <w:bottom w:val="none" w:sz="0" w:space="0" w:color="auto"/>
            <w:right w:val="none" w:sz="0" w:space="0" w:color="auto"/>
          </w:divBdr>
          <w:divsChild>
            <w:div w:id="1656908266">
              <w:marLeft w:val="0"/>
              <w:marRight w:val="0"/>
              <w:marTop w:val="0"/>
              <w:marBottom w:val="0"/>
              <w:divBdr>
                <w:top w:val="none" w:sz="0" w:space="0" w:color="auto"/>
                <w:left w:val="none" w:sz="0" w:space="0" w:color="auto"/>
                <w:bottom w:val="none" w:sz="0" w:space="0" w:color="auto"/>
                <w:right w:val="none" w:sz="0" w:space="0" w:color="auto"/>
              </w:divBdr>
            </w:div>
          </w:divsChild>
        </w:div>
        <w:div w:id="1631127375">
          <w:marLeft w:val="0"/>
          <w:marRight w:val="0"/>
          <w:marTop w:val="0"/>
          <w:marBottom w:val="0"/>
          <w:divBdr>
            <w:top w:val="none" w:sz="0" w:space="0" w:color="auto"/>
            <w:left w:val="none" w:sz="0" w:space="0" w:color="auto"/>
            <w:bottom w:val="none" w:sz="0" w:space="0" w:color="auto"/>
            <w:right w:val="none" w:sz="0" w:space="0" w:color="auto"/>
          </w:divBdr>
          <w:divsChild>
            <w:div w:id="2058314541">
              <w:marLeft w:val="0"/>
              <w:marRight w:val="0"/>
              <w:marTop w:val="0"/>
              <w:marBottom w:val="0"/>
              <w:divBdr>
                <w:top w:val="none" w:sz="0" w:space="0" w:color="auto"/>
                <w:left w:val="none" w:sz="0" w:space="0" w:color="auto"/>
                <w:bottom w:val="none" w:sz="0" w:space="0" w:color="auto"/>
                <w:right w:val="none" w:sz="0" w:space="0" w:color="auto"/>
              </w:divBdr>
            </w:div>
          </w:divsChild>
        </w:div>
        <w:div w:id="1689676372">
          <w:marLeft w:val="0"/>
          <w:marRight w:val="0"/>
          <w:marTop w:val="0"/>
          <w:marBottom w:val="0"/>
          <w:divBdr>
            <w:top w:val="none" w:sz="0" w:space="0" w:color="auto"/>
            <w:left w:val="none" w:sz="0" w:space="0" w:color="auto"/>
            <w:bottom w:val="none" w:sz="0" w:space="0" w:color="auto"/>
            <w:right w:val="none" w:sz="0" w:space="0" w:color="auto"/>
          </w:divBdr>
          <w:divsChild>
            <w:div w:id="1903441920">
              <w:marLeft w:val="0"/>
              <w:marRight w:val="0"/>
              <w:marTop w:val="0"/>
              <w:marBottom w:val="0"/>
              <w:divBdr>
                <w:top w:val="none" w:sz="0" w:space="0" w:color="auto"/>
                <w:left w:val="none" w:sz="0" w:space="0" w:color="auto"/>
                <w:bottom w:val="none" w:sz="0" w:space="0" w:color="auto"/>
                <w:right w:val="none" w:sz="0" w:space="0" w:color="auto"/>
              </w:divBdr>
            </w:div>
          </w:divsChild>
        </w:div>
        <w:div w:id="1763909600">
          <w:marLeft w:val="0"/>
          <w:marRight w:val="0"/>
          <w:marTop w:val="0"/>
          <w:marBottom w:val="0"/>
          <w:divBdr>
            <w:top w:val="none" w:sz="0" w:space="0" w:color="auto"/>
            <w:left w:val="none" w:sz="0" w:space="0" w:color="auto"/>
            <w:bottom w:val="none" w:sz="0" w:space="0" w:color="auto"/>
            <w:right w:val="none" w:sz="0" w:space="0" w:color="auto"/>
          </w:divBdr>
          <w:divsChild>
            <w:div w:id="1228030513">
              <w:marLeft w:val="0"/>
              <w:marRight w:val="0"/>
              <w:marTop w:val="0"/>
              <w:marBottom w:val="0"/>
              <w:divBdr>
                <w:top w:val="none" w:sz="0" w:space="0" w:color="auto"/>
                <w:left w:val="none" w:sz="0" w:space="0" w:color="auto"/>
                <w:bottom w:val="none" w:sz="0" w:space="0" w:color="auto"/>
                <w:right w:val="none" w:sz="0" w:space="0" w:color="auto"/>
              </w:divBdr>
            </w:div>
          </w:divsChild>
        </w:div>
        <w:div w:id="1960988455">
          <w:marLeft w:val="0"/>
          <w:marRight w:val="0"/>
          <w:marTop w:val="0"/>
          <w:marBottom w:val="0"/>
          <w:divBdr>
            <w:top w:val="none" w:sz="0" w:space="0" w:color="auto"/>
            <w:left w:val="none" w:sz="0" w:space="0" w:color="auto"/>
            <w:bottom w:val="none" w:sz="0" w:space="0" w:color="auto"/>
            <w:right w:val="none" w:sz="0" w:space="0" w:color="auto"/>
          </w:divBdr>
          <w:divsChild>
            <w:div w:id="885682470">
              <w:marLeft w:val="0"/>
              <w:marRight w:val="0"/>
              <w:marTop w:val="0"/>
              <w:marBottom w:val="0"/>
              <w:divBdr>
                <w:top w:val="none" w:sz="0" w:space="0" w:color="auto"/>
                <w:left w:val="none" w:sz="0" w:space="0" w:color="auto"/>
                <w:bottom w:val="none" w:sz="0" w:space="0" w:color="auto"/>
                <w:right w:val="none" w:sz="0" w:space="0" w:color="auto"/>
              </w:divBdr>
            </w:div>
          </w:divsChild>
        </w:div>
        <w:div w:id="2038499922">
          <w:marLeft w:val="0"/>
          <w:marRight w:val="0"/>
          <w:marTop w:val="0"/>
          <w:marBottom w:val="0"/>
          <w:divBdr>
            <w:top w:val="none" w:sz="0" w:space="0" w:color="auto"/>
            <w:left w:val="none" w:sz="0" w:space="0" w:color="auto"/>
            <w:bottom w:val="none" w:sz="0" w:space="0" w:color="auto"/>
            <w:right w:val="none" w:sz="0" w:space="0" w:color="auto"/>
          </w:divBdr>
          <w:divsChild>
            <w:div w:id="50012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7474">
      <w:bodyDiv w:val="1"/>
      <w:marLeft w:val="0"/>
      <w:marRight w:val="0"/>
      <w:marTop w:val="0"/>
      <w:marBottom w:val="0"/>
      <w:divBdr>
        <w:top w:val="none" w:sz="0" w:space="0" w:color="auto"/>
        <w:left w:val="none" w:sz="0" w:space="0" w:color="auto"/>
        <w:bottom w:val="none" w:sz="0" w:space="0" w:color="auto"/>
        <w:right w:val="none" w:sz="0" w:space="0" w:color="auto"/>
      </w:divBdr>
      <w:divsChild>
        <w:div w:id="579406645">
          <w:marLeft w:val="0"/>
          <w:marRight w:val="0"/>
          <w:marTop w:val="0"/>
          <w:marBottom w:val="0"/>
          <w:divBdr>
            <w:top w:val="none" w:sz="0" w:space="0" w:color="auto"/>
            <w:left w:val="none" w:sz="0" w:space="0" w:color="auto"/>
            <w:bottom w:val="none" w:sz="0" w:space="0" w:color="auto"/>
            <w:right w:val="none" w:sz="0" w:space="0" w:color="auto"/>
          </w:divBdr>
        </w:div>
        <w:div w:id="1728919890">
          <w:marLeft w:val="0"/>
          <w:marRight w:val="0"/>
          <w:marTop w:val="0"/>
          <w:marBottom w:val="0"/>
          <w:divBdr>
            <w:top w:val="none" w:sz="0" w:space="0" w:color="auto"/>
            <w:left w:val="none" w:sz="0" w:space="0" w:color="auto"/>
            <w:bottom w:val="none" w:sz="0" w:space="0" w:color="auto"/>
            <w:right w:val="none" w:sz="0" w:space="0" w:color="auto"/>
          </w:divBdr>
        </w:div>
      </w:divsChild>
    </w:div>
    <w:div w:id="325256156">
      <w:bodyDiv w:val="1"/>
      <w:marLeft w:val="0"/>
      <w:marRight w:val="0"/>
      <w:marTop w:val="0"/>
      <w:marBottom w:val="0"/>
      <w:divBdr>
        <w:top w:val="none" w:sz="0" w:space="0" w:color="auto"/>
        <w:left w:val="none" w:sz="0" w:space="0" w:color="auto"/>
        <w:bottom w:val="none" w:sz="0" w:space="0" w:color="auto"/>
        <w:right w:val="none" w:sz="0" w:space="0" w:color="auto"/>
      </w:divBdr>
      <w:divsChild>
        <w:div w:id="329455950">
          <w:marLeft w:val="0"/>
          <w:marRight w:val="0"/>
          <w:marTop w:val="0"/>
          <w:marBottom w:val="0"/>
          <w:divBdr>
            <w:top w:val="none" w:sz="0" w:space="0" w:color="auto"/>
            <w:left w:val="none" w:sz="0" w:space="0" w:color="auto"/>
            <w:bottom w:val="none" w:sz="0" w:space="0" w:color="auto"/>
            <w:right w:val="none" w:sz="0" w:space="0" w:color="auto"/>
          </w:divBdr>
        </w:div>
        <w:div w:id="1081214545">
          <w:marLeft w:val="0"/>
          <w:marRight w:val="0"/>
          <w:marTop w:val="0"/>
          <w:marBottom w:val="0"/>
          <w:divBdr>
            <w:top w:val="none" w:sz="0" w:space="0" w:color="auto"/>
            <w:left w:val="none" w:sz="0" w:space="0" w:color="auto"/>
            <w:bottom w:val="none" w:sz="0" w:space="0" w:color="auto"/>
            <w:right w:val="none" w:sz="0" w:space="0" w:color="auto"/>
          </w:divBdr>
        </w:div>
        <w:div w:id="1306010460">
          <w:marLeft w:val="0"/>
          <w:marRight w:val="0"/>
          <w:marTop w:val="0"/>
          <w:marBottom w:val="0"/>
          <w:divBdr>
            <w:top w:val="none" w:sz="0" w:space="0" w:color="auto"/>
            <w:left w:val="none" w:sz="0" w:space="0" w:color="auto"/>
            <w:bottom w:val="none" w:sz="0" w:space="0" w:color="auto"/>
            <w:right w:val="none" w:sz="0" w:space="0" w:color="auto"/>
          </w:divBdr>
        </w:div>
        <w:div w:id="1551922722">
          <w:marLeft w:val="0"/>
          <w:marRight w:val="0"/>
          <w:marTop w:val="0"/>
          <w:marBottom w:val="0"/>
          <w:divBdr>
            <w:top w:val="none" w:sz="0" w:space="0" w:color="auto"/>
            <w:left w:val="none" w:sz="0" w:space="0" w:color="auto"/>
            <w:bottom w:val="none" w:sz="0" w:space="0" w:color="auto"/>
            <w:right w:val="none" w:sz="0" w:space="0" w:color="auto"/>
          </w:divBdr>
        </w:div>
        <w:div w:id="1580409093">
          <w:marLeft w:val="0"/>
          <w:marRight w:val="0"/>
          <w:marTop w:val="0"/>
          <w:marBottom w:val="0"/>
          <w:divBdr>
            <w:top w:val="none" w:sz="0" w:space="0" w:color="auto"/>
            <w:left w:val="none" w:sz="0" w:space="0" w:color="auto"/>
            <w:bottom w:val="none" w:sz="0" w:space="0" w:color="auto"/>
            <w:right w:val="none" w:sz="0" w:space="0" w:color="auto"/>
          </w:divBdr>
        </w:div>
      </w:divsChild>
    </w:div>
    <w:div w:id="328289685">
      <w:bodyDiv w:val="1"/>
      <w:marLeft w:val="0"/>
      <w:marRight w:val="0"/>
      <w:marTop w:val="0"/>
      <w:marBottom w:val="0"/>
      <w:divBdr>
        <w:top w:val="none" w:sz="0" w:space="0" w:color="auto"/>
        <w:left w:val="none" w:sz="0" w:space="0" w:color="auto"/>
        <w:bottom w:val="none" w:sz="0" w:space="0" w:color="auto"/>
        <w:right w:val="none" w:sz="0" w:space="0" w:color="auto"/>
      </w:divBdr>
      <w:divsChild>
        <w:div w:id="879896072">
          <w:marLeft w:val="0"/>
          <w:marRight w:val="0"/>
          <w:marTop w:val="0"/>
          <w:marBottom w:val="0"/>
          <w:divBdr>
            <w:top w:val="none" w:sz="0" w:space="0" w:color="auto"/>
            <w:left w:val="none" w:sz="0" w:space="0" w:color="auto"/>
            <w:bottom w:val="none" w:sz="0" w:space="0" w:color="auto"/>
            <w:right w:val="none" w:sz="0" w:space="0" w:color="auto"/>
          </w:divBdr>
        </w:div>
        <w:div w:id="1307391698">
          <w:marLeft w:val="0"/>
          <w:marRight w:val="0"/>
          <w:marTop w:val="0"/>
          <w:marBottom w:val="0"/>
          <w:divBdr>
            <w:top w:val="none" w:sz="0" w:space="0" w:color="auto"/>
            <w:left w:val="none" w:sz="0" w:space="0" w:color="auto"/>
            <w:bottom w:val="none" w:sz="0" w:space="0" w:color="auto"/>
            <w:right w:val="none" w:sz="0" w:space="0" w:color="auto"/>
          </w:divBdr>
        </w:div>
      </w:divsChild>
    </w:div>
    <w:div w:id="369693325">
      <w:bodyDiv w:val="1"/>
      <w:marLeft w:val="0"/>
      <w:marRight w:val="0"/>
      <w:marTop w:val="0"/>
      <w:marBottom w:val="0"/>
      <w:divBdr>
        <w:top w:val="none" w:sz="0" w:space="0" w:color="auto"/>
        <w:left w:val="none" w:sz="0" w:space="0" w:color="auto"/>
        <w:bottom w:val="none" w:sz="0" w:space="0" w:color="auto"/>
        <w:right w:val="none" w:sz="0" w:space="0" w:color="auto"/>
      </w:divBdr>
      <w:divsChild>
        <w:div w:id="633294338">
          <w:marLeft w:val="0"/>
          <w:marRight w:val="0"/>
          <w:marTop w:val="0"/>
          <w:marBottom w:val="0"/>
          <w:divBdr>
            <w:top w:val="none" w:sz="0" w:space="0" w:color="auto"/>
            <w:left w:val="none" w:sz="0" w:space="0" w:color="auto"/>
            <w:bottom w:val="none" w:sz="0" w:space="0" w:color="auto"/>
            <w:right w:val="none" w:sz="0" w:space="0" w:color="auto"/>
          </w:divBdr>
        </w:div>
        <w:div w:id="885606600">
          <w:marLeft w:val="0"/>
          <w:marRight w:val="0"/>
          <w:marTop w:val="0"/>
          <w:marBottom w:val="0"/>
          <w:divBdr>
            <w:top w:val="none" w:sz="0" w:space="0" w:color="auto"/>
            <w:left w:val="none" w:sz="0" w:space="0" w:color="auto"/>
            <w:bottom w:val="none" w:sz="0" w:space="0" w:color="auto"/>
            <w:right w:val="none" w:sz="0" w:space="0" w:color="auto"/>
          </w:divBdr>
        </w:div>
        <w:div w:id="1294868687">
          <w:marLeft w:val="0"/>
          <w:marRight w:val="0"/>
          <w:marTop w:val="0"/>
          <w:marBottom w:val="0"/>
          <w:divBdr>
            <w:top w:val="none" w:sz="0" w:space="0" w:color="auto"/>
            <w:left w:val="none" w:sz="0" w:space="0" w:color="auto"/>
            <w:bottom w:val="none" w:sz="0" w:space="0" w:color="auto"/>
            <w:right w:val="none" w:sz="0" w:space="0" w:color="auto"/>
          </w:divBdr>
        </w:div>
        <w:div w:id="1397243772">
          <w:marLeft w:val="0"/>
          <w:marRight w:val="0"/>
          <w:marTop w:val="0"/>
          <w:marBottom w:val="0"/>
          <w:divBdr>
            <w:top w:val="none" w:sz="0" w:space="0" w:color="auto"/>
            <w:left w:val="none" w:sz="0" w:space="0" w:color="auto"/>
            <w:bottom w:val="none" w:sz="0" w:space="0" w:color="auto"/>
            <w:right w:val="none" w:sz="0" w:space="0" w:color="auto"/>
          </w:divBdr>
        </w:div>
      </w:divsChild>
    </w:div>
    <w:div w:id="390662665">
      <w:bodyDiv w:val="1"/>
      <w:marLeft w:val="0"/>
      <w:marRight w:val="0"/>
      <w:marTop w:val="0"/>
      <w:marBottom w:val="0"/>
      <w:divBdr>
        <w:top w:val="none" w:sz="0" w:space="0" w:color="auto"/>
        <w:left w:val="none" w:sz="0" w:space="0" w:color="auto"/>
        <w:bottom w:val="none" w:sz="0" w:space="0" w:color="auto"/>
        <w:right w:val="none" w:sz="0" w:space="0" w:color="auto"/>
      </w:divBdr>
      <w:divsChild>
        <w:div w:id="1057121920">
          <w:marLeft w:val="0"/>
          <w:marRight w:val="0"/>
          <w:marTop w:val="0"/>
          <w:marBottom w:val="0"/>
          <w:divBdr>
            <w:top w:val="none" w:sz="0" w:space="0" w:color="auto"/>
            <w:left w:val="none" w:sz="0" w:space="0" w:color="auto"/>
            <w:bottom w:val="none" w:sz="0" w:space="0" w:color="auto"/>
            <w:right w:val="none" w:sz="0" w:space="0" w:color="auto"/>
          </w:divBdr>
        </w:div>
        <w:div w:id="1539202862">
          <w:marLeft w:val="0"/>
          <w:marRight w:val="0"/>
          <w:marTop w:val="0"/>
          <w:marBottom w:val="0"/>
          <w:divBdr>
            <w:top w:val="none" w:sz="0" w:space="0" w:color="auto"/>
            <w:left w:val="none" w:sz="0" w:space="0" w:color="auto"/>
            <w:bottom w:val="none" w:sz="0" w:space="0" w:color="auto"/>
            <w:right w:val="none" w:sz="0" w:space="0" w:color="auto"/>
          </w:divBdr>
        </w:div>
        <w:div w:id="1615213153">
          <w:marLeft w:val="0"/>
          <w:marRight w:val="0"/>
          <w:marTop w:val="0"/>
          <w:marBottom w:val="0"/>
          <w:divBdr>
            <w:top w:val="none" w:sz="0" w:space="0" w:color="auto"/>
            <w:left w:val="none" w:sz="0" w:space="0" w:color="auto"/>
            <w:bottom w:val="none" w:sz="0" w:space="0" w:color="auto"/>
            <w:right w:val="none" w:sz="0" w:space="0" w:color="auto"/>
          </w:divBdr>
        </w:div>
        <w:div w:id="1925190333">
          <w:marLeft w:val="0"/>
          <w:marRight w:val="0"/>
          <w:marTop w:val="0"/>
          <w:marBottom w:val="0"/>
          <w:divBdr>
            <w:top w:val="none" w:sz="0" w:space="0" w:color="auto"/>
            <w:left w:val="none" w:sz="0" w:space="0" w:color="auto"/>
            <w:bottom w:val="none" w:sz="0" w:space="0" w:color="auto"/>
            <w:right w:val="none" w:sz="0" w:space="0" w:color="auto"/>
          </w:divBdr>
        </w:div>
      </w:divsChild>
    </w:div>
    <w:div w:id="468322639">
      <w:bodyDiv w:val="1"/>
      <w:marLeft w:val="0"/>
      <w:marRight w:val="0"/>
      <w:marTop w:val="0"/>
      <w:marBottom w:val="0"/>
      <w:divBdr>
        <w:top w:val="none" w:sz="0" w:space="0" w:color="auto"/>
        <w:left w:val="none" w:sz="0" w:space="0" w:color="auto"/>
        <w:bottom w:val="none" w:sz="0" w:space="0" w:color="auto"/>
        <w:right w:val="none" w:sz="0" w:space="0" w:color="auto"/>
      </w:divBdr>
      <w:divsChild>
        <w:div w:id="1412046275">
          <w:marLeft w:val="0"/>
          <w:marRight w:val="0"/>
          <w:marTop w:val="0"/>
          <w:marBottom w:val="0"/>
          <w:divBdr>
            <w:top w:val="none" w:sz="0" w:space="0" w:color="auto"/>
            <w:left w:val="none" w:sz="0" w:space="0" w:color="auto"/>
            <w:bottom w:val="none" w:sz="0" w:space="0" w:color="auto"/>
            <w:right w:val="none" w:sz="0" w:space="0" w:color="auto"/>
          </w:divBdr>
        </w:div>
        <w:div w:id="1659308273">
          <w:marLeft w:val="0"/>
          <w:marRight w:val="0"/>
          <w:marTop w:val="0"/>
          <w:marBottom w:val="0"/>
          <w:divBdr>
            <w:top w:val="none" w:sz="0" w:space="0" w:color="auto"/>
            <w:left w:val="none" w:sz="0" w:space="0" w:color="auto"/>
            <w:bottom w:val="none" w:sz="0" w:space="0" w:color="auto"/>
            <w:right w:val="none" w:sz="0" w:space="0" w:color="auto"/>
          </w:divBdr>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29800818">
      <w:bodyDiv w:val="1"/>
      <w:marLeft w:val="0"/>
      <w:marRight w:val="0"/>
      <w:marTop w:val="0"/>
      <w:marBottom w:val="0"/>
      <w:divBdr>
        <w:top w:val="none" w:sz="0" w:space="0" w:color="auto"/>
        <w:left w:val="none" w:sz="0" w:space="0" w:color="auto"/>
        <w:bottom w:val="none" w:sz="0" w:space="0" w:color="auto"/>
        <w:right w:val="none" w:sz="0" w:space="0" w:color="auto"/>
      </w:divBdr>
      <w:divsChild>
        <w:div w:id="246614333">
          <w:marLeft w:val="0"/>
          <w:marRight w:val="0"/>
          <w:marTop w:val="0"/>
          <w:marBottom w:val="0"/>
          <w:divBdr>
            <w:top w:val="none" w:sz="0" w:space="0" w:color="auto"/>
            <w:left w:val="none" w:sz="0" w:space="0" w:color="auto"/>
            <w:bottom w:val="none" w:sz="0" w:space="0" w:color="auto"/>
            <w:right w:val="none" w:sz="0" w:space="0" w:color="auto"/>
          </w:divBdr>
        </w:div>
        <w:div w:id="612521177">
          <w:marLeft w:val="0"/>
          <w:marRight w:val="0"/>
          <w:marTop w:val="0"/>
          <w:marBottom w:val="0"/>
          <w:divBdr>
            <w:top w:val="none" w:sz="0" w:space="0" w:color="auto"/>
            <w:left w:val="none" w:sz="0" w:space="0" w:color="auto"/>
            <w:bottom w:val="none" w:sz="0" w:space="0" w:color="auto"/>
            <w:right w:val="none" w:sz="0" w:space="0" w:color="auto"/>
          </w:divBdr>
        </w:div>
        <w:div w:id="641543730">
          <w:marLeft w:val="0"/>
          <w:marRight w:val="0"/>
          <w:marTop w:val="0"/>
          <w:marBottom w:val="0"/>
          <w:divBdr>
            <w:top w:val="none" w:sz="0" w:space="0" w:color="auto"/>
            <w:left w:val="none" w:sz="0" w:space="0" w:color="auto"/>
            <w:bottom w:val="none" w:sz="0" w:space="0" w:color="auto"/>
            <w:right w:val="none" w:sz="0" w:space="0" w:color="auto"/>
          </w:divBdr>
        </w:div>
        <w:div w:id="1175992756">
          <w:marLeft w:val="0"/>
          <w:marRight w:val="0"/>
          <w:marTop w:val="0"/>
          <w:marBottom w:val="0"/>
          <w:divBdr>
            <w:top w:val="none" w:sz="0" w:space="0" w:color="auto"/>
            <w:left w:val="none" w:sz="0" w:space="0" w:color="auto"/>
            <w:bottom w:val="none" w:sz="0" w:space="0" w:color="auto"/>
            <w:right w:val="none" w:sz="0" w:space="0" w:color="auto"/>
          </w:divBdr>
        </w:div>
        <w:div w:id="1189640942">
          <w:marLeft w:val="0"/>
          <w:marRight w:val="0"/>
          <w:marTop w:val="0"/>
          <w:marBottom w:val="0"/>
          <w:divBdr>
            <w:top w:val="none" w:sz="0" w:space="0" w:color="auto"/>
            <w:left w:val="none" w:sz="0" w:space="0" w:color="auto"/>
            <w:bottom w:val="none" w:sz="0" w:space="0" w:color="auto"/>
            <w:right w:val="none" w:sz="0" w:space="0" w:color="auto"/>
          </w:divBdr>
        </w:div>
        <w:div w:id="1266841024">
          <w:marLeft w:val="0"/>
          <w:marRight w:val="0"/>
          <w:marTop w:val="0"/>
          <w:marBottom w:val="0"/>
          <w:divBdr>
            <w:top w:val="none" w:sz="0" w:space="0" w:color="auto"/>
            <w:left w:val="none" w:sz="0" w:space="0" w:color="auto"/>
            <w:bottom w:val="none" w:sz="0" w:space="0" w:color="auto"/>
            <w:right w:val="none" w:sz="0" w:space="0" w:color="auto"/>
          </w:divBdr>
        </w:div>
        <w:div w:id="1476140199">
          <w:marLeft w:val="0"/>
          <w:marRight w:val="0"/>
          <w:marTop w:val="0"/>
          <w:marBottom w:val="0"/>
          <w:divBdr>
            <w:top w:val="none" w:sz="0" w:space="0" w:color="auto"/>
            <w:left w:val="none" w:sz="0" w:space="0" w:color="auto"/>
            <w:bottom w:val="none" w:sz="0" w:space="0" w:color="auto"/>
            <w:right w:val="none" w:sz="0" w:space="0" w:color="auto"/>
          </w:divBdr>
        </w:div>
        <w:div w:id="1785806082">
          <w:marLeft w:val="0"/>
          <w:marRight w:val="0"/>
          <w:marTop w:val="0"/>
          <w:marBottom w:val="0"/>
          <w:divBdr>
            <w:top w:val="none" w:sz="0" w:space="0" w:color="auto"/>
            <w:left w:val="none" w:sz="0" w:space="0" w:color="auto"/>
            <w:bottom w:val="none" w:sz="0" w:space="0" w:color="auto"/>
            <w:right w:val="none" w:sz="0" w:space="0" w:color="auto"/>
          </w:divBdr>
        </w:div>
        <w:div w:id="1838033061">
          <w:marLeft w:val="0"/>
          <w:marRight w:val="0"/>
          <w:marTop w:val="0"/>
          <w:marBottom w:val="0"/>
          <w:divBdr>
            <w:top w:val="none" w:sz="0" w:space="0" w:color="auto"/>
            <w:left w:val="none" w:sz="0" w:space="0" w:color="auto"/>
            <w:bottom w:val="none" w:sz="0" w:space="0" w:color="auto"/>
            <w:right w:val="none" w:sz="0" w:space="0" w:color="auto"/>
          </w:divBdr>
          <w:divsChild>
            <w:div w:id="256522189">
              <w:marLeft w:val="0"/>
              <w:marRight w:val="0"/>
              <w:marTop w:val="0"/>
              <w:marBottom w:val="0"/>
              <w:divBdr>
                <w:top w:val="none" w:sz="0" w:space="0" w:color="auto"/>
                <w:left w:val="none" w:sz="0" w:space="0" w:color="auto"/>
                <w:bottom w:val="none" w:sz="0" w:space="0" w:color="auto"/>
                <w:right w:val="none" w:sz="0" w:space="0" w:color="auto"/>
              </w:divBdr>
            </w:div>
            <w:div w:id="1025908623">
              <w:marLeft w:val="0"/>
              <w:marRight w:val="0"/>
              <w:marTop w:val="0"/>
              <w:marBottom w:val="0"/>
              <w:divBdr>
                <w:top w:val="none" w:sz="0" w:space="0" w:color="auto"/>
                <w:left w:val="none" w:sz="0" w:space="0" w:color="auto"/>
                <w:bottom w:val="none" w:sz="0" w:space="0" w:color="auto"/>
                <w:right w:val="none" w:sz="0" w:space="0" w:color="auto"/>
              </w:divBdr>
            </w:div>
            <w:div w:id="1077090666">
              <w:marLeft w:val="0"/>
              <w:marRight w:val="0"/>
              <w:marTop w:val="0"/>
              <w:marBottom w:val="0"/>
              <w:divBdr>
                <w:top w:val="none" w:sz="0" w:space="0" w:color="auto"/>
                <w:left w:val="none" w:sz="0" w:space="0" w:color="auto"/>
                <w:bottom w:val="none" w:sz="0" w:space="0" w:color="auto"/>
                <w:right w:val="none" w:sz="0" w:space="0" w:color="auto"/>
              </w:divBdr>
            </w:div>
            <w:div w:id="1171260496">
              <w:marLeft w:val="0"/>
              <w:marRight w:val="0"/>
              <w:marTop w:val="0"/>
              <w:marBottom w:val="0"/>
              <w:divBdr>
                <w:top w:val="none" w:sz="0" w:space="0" w:color="auto"/>
                <w:left w:val="none" w:sz="0" w:space="0" w:color="auto"/>
                <w:bottom w:val="none" w:sz="0" w:space="0" w:color="auto"/>
                <w:right w:val="none" w:sz="0" w:space="0" w:color="auto"/>
              </w:divBdr>
            </w:div>
            <w:div w:id="1488519967">
              <w:marLeft w:val="0"/>
              <w:marRight w:val="0"/>
              <w:marTop w:val="0"/>
              <w:marBottom w:val="0"/>
              <w:divBdr>
                <w:top w:val="none" w:sz="0" w:space="0" w:color="auto"/>
                <w:left w:val="none" w:sz="0" w:space="0" w:color="auto"/>
                <w:bottom w:val="none" w:sz="0" w:space="0" w:color="auto"/>
                <w:right w:val="none" w:sz="0" w:space="0" w:color="auto"/>
              </w:divBdr>
            </w:div>
          </w:divsChild>
        </w:div>
        <w:div w:id="1851411825">
          <w:marLeft w:val="0"/>
          <w:marRight w:val="0"/>
          <w:marTop w:val="0"/>
          <w:marBottom w:val="0"/>
          <w:divBdr>
            <w:top w:val="none" w:sz="0" w:space="0" w:color="auto"/>
            <w:left w:val="none" w:sz="0" w:space="0" w:color="auto"/>
            <w:bottom w:val="none" w:sz="0" w:space="0" w:color="auto"/>
            <w:right w:val="none" w:sz="0" w:space="0" w:color="auto"/>
          </w:divBdr>
          <w:divsChild>
            <w:div w:id="384111205">
              <w:marLeft w:val="0"/>
              <w:marRight w:val="0"/>
              <w:marTop w:val="0"/>
              <w:marBottom w:val="0"/>
              <w:divBdr>
                <w:top w:val="none" w:sz="0" w:space="0" w:color="auto"/>
                <w:left w:val="none" w:sz="0" w:space="0" w:color="auto"/>
                <w:bottom w:val="none" w:sz="0" w:space="0" w:color="auto"/>
                <w:right w:val="none" w:sz="0" w:space="0" w:color="auto"/>
              </w:divBdr>
            </w:div>
            <w:div w:id="761486886">
              <w:marLeft w:val="0"/>
              <w:marRight w:val="0"/>
              <w:marTop w:val="0"/>
              <w:marBottom w:val="0"/>
              <w:divBdr>
                <w:top w:val="none" w:sz="0" w:space="0" w:color="auto"/>
                <w:left w:val="none" w:sz="0" w:space="0" w:color="auto"/>
                <w:bottom w:val="none" w:sz="0" w:space="0" w:color="auto"/>
                <w:right w:val="none" w:sz="0" w:space="0" w:color="auto"/>
              </w:divBdr>
            </w:div>
            <w:div w:id="964434376">
              <w:marLeft w:val="0"/>
              <w:marRight w:val="0"/>
              <w:marTop w:val="0"/>
              <w:marBottom w:val="0"/>
              <w:divBdr>
                <w:top w:val="none" w:sz="0" w:space="0" w:color="auto"/>
                <w:left w:val="none" w:sz="0" w:space="0" w:color="auto"/>
                <w:bottom w:val="none" w:sz="0" w:space="0" w:color="auto"/>
                <w:right w:val="none" w:sz="0" w:space="0" w:color="auto"/>
              </w:divBdr>
            </w:div>
            <w:div w:id="1854487780">
              <w:marLeft w:val="0"/>
              <w:marRight w:val="0"/>
              <w:marTop w:val="0"/>
              <w:marBottom w:val="0"/>
              <w:divBdr>
                <w:top w:val="none" w:sz="0" w:space="0" w:color="auto"/>
                <w:left w:val="none" w:sz="0" w:space="0" w:color="auto"/>
                <w:bottom w:val="none" w:sz="0" w:space="0" w:color="auto"/>
                <w:right w:val="none" w:sz="0" w:space="0" w:color="auto"/>
              </w:divBdr>
            </w:div>
            <w:div w:id="21186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3383">
      <w:bodyDiv w:val="1"/>
      <w:marLeft w:val="0"/>
      <w:marRight w:val="0"/>
      <w:marTop w:val="0"/>
      <w:marBottom w:val="0"/>
      <w:divBdr>
        <w:top w:val="none" w:sz="0" w:space="0" w:color="auto"/>
        <w:left w:val="none" w:sz="0" w:space="0" w:color="auto"/>
        <w:bottom w:val="none" w:sz="0" w:space="0" w:color="auto"/>
        <w:right w:val="none" w:sz="0" w:space="0" w:color="auto"/>
      </w:divBdr>
      <w:divsChild>
        <w:div w:id="232280341">
          <w:marLeft w:val="0"/>
          <w:marRight w:val="0"/>
          <w:marTop w:val="0"/>
          <w:marBottom w:val="0"/>
          <w:divBdr>
            <w:top w:val="none" w:sz="0" w:space="0" w:color="auto"/>
            <w:left w:val="none" w:sz="0" w:space="0" w:color="auto"/>
            <w:bottom w:val="none" w:sz="0" w:space="0" w:color="auto"/>
            <w:right w:val="none" w:sz="0" w:space="0" w:color="auto"/>
          </w:divBdr>
        </w:div>
        <w:div w:id="543903632">
          <w:marLeft w:val="0"/>
          <w:marRight w:val="0"/>
          <w:marTop w:val="0"/>
          <w:marBottom w:val="0"/>
          <w:divBdr>
            <w:top w:val="none" w:sz="0" w:space="0" w:color="auto"/>
            <w:left w:val="none" w:sz="0" w:space="0" w:color="auto"/>
            <w:bottom w:val="none" w:sz="0" w:space="0" w:color="auto"/>
            <w:right w:val="none" w:sz="0" w:space="0" w:color="auto"/>
          </w:divBdr>
        </w:div>
        <w:div w:id="575214914">
          <w:marLeft w:val="0"/>
          <w:marRight w:val="0"/>
          <w:marTop w:val="0"/>
          <w:marBottom w:val="0"/>
          <w:divBdr>
            <w:top w:val="none" w:sz="0" w:space="0" w:color="auto"/>
            <w:left w:val="none" w:sz="0" w:space="0" w:color="auto"/>
            <w:bottom w:val="none" w:sz="0" w:space="0" w:color="auto"/>
            <w:right w:val="none" w:sz="0" w:space="0" w:color="auto"/>
          </w:divBdr>
        </w:div>
        <w:div w:id="629551268">
          <w:marLeft w:val="0"/>
          <w:marRight w:val="0"/>
          <w:marTop w:val="0"/>
          <w:marBottom w:val="0"/>
          <w:divBdr>
            <w:top w:val="none" w:sz="0" w:space="0" w:color="auto"/>
            <w:left w:val="none" w:sz="0" w:space="0" w:color="auto"/>
            <w:bottom w:val="none" w:sz="0" w:space="0" w:color="auto"/>
            <w:right w:val="none" w:sz="0" w:space="0" w:color="auto"/>
          </w:divBdr>
        </w:div>
        <w:div w:id="691880618">
          <w:marLeft w:val="0"/>
          <w:marRight w:val="0"/>
          <w:marTop w:val="0"/>
          <w:marBottom w:val="0"/>
          <w:divBdr>
            <w:top w:val="none" w:sz="0" w:space="0" w:color="auto"/>
            <w:left w:val="none" w:sz="0" w:space="0" w:color="auto"/>
            <w:bottom w:val="none" w:sz="0" w:space="0" w:color="auto"/>
            <w:right w:val="none" w:sz="0" w:space="0" w:color="auto"/>
          </w:divBdr>
        </w:div>
        <w:div w:id="884562225">
          <w:marLeft w:val="0"/>
          <w:marRight w:val="0"/>
          <w:marTop w:val="0"/>
          <w:marBottom w:val="0"/>
          <w:divBdr>
            <w:top w:val="none" w:sz="0" w:space="0" w:color="auto"/>
            <w:left w:val="none" w:sz="0" w:space="0" w:color="auto"/>
            <w:bottom w:val="none" w:sz="0" w:space="0" w:color="auto"/>
            <w:right w:val="none" w:sz="0" w:space="0" w:color="auto"/>
          </w:divBdr>
        </w:div>
        <w:div w:id="1385327998">
          <w:marLeft w:val="0"/>
          <w:marRight w:val="0"/>
          <w:marTop w:val="0"/>
          <w:marBottom w:val="0"/>
          <w:divBdr>
            <w:top w:val="none" w:sz="0" w:space="0" w:color="auto"/>
            <w:left w:val="none" w:sz="0" w:space="0" w:color="auto"/>
            <w:bottom w:val="none" w:sz="0" w:space="0" w:color="auto"/>
            <w:right w:val="none" w:sz="0" w:space="0" w:color="auto"/>
          </w:divBdr>
        </w:div>
        <w:div w:id="1550726570">
          <w:marLeft w:val="0"/>
          <w:marRight w:val="0"/>
          <w:marTop w:val="0"/>
          <w:marBottom w:val="0"/>
          <w:divBdr>
            <w:top w:val="none" w:sz="0" w:space="0" w:color="auto"/>
            <w:left w:val="none" w:sz="0" w:space="0" w:color="auto"/>
            <w:bottom w:val="none" w:sz="0" w:space="0" w:color="auto"/>
            <w:right w:val="none" w:sz="0" w:space="0" w:color="auto"/>
          </w:divBdr>
        </w:div>
        <w:div w:id="1623347063">
          <w:marLeft w:val="0"/>
          <w:marRight w:val="0"/>
          <w:marTop w:val="0"/>
          <w:marBottom w:val="0"/>
          <w:divBdr>
            <w:top w:val="none" w:sz="0" w:space="0" w:color="auto"/>
            <w:left w:val="none" w:sz="0" w:space="0" w:color="auto"/>
            <w:bottom w:val="none" w:sz="0" w:space="0" w:color="auto"/>
            <w:right w:val="none" w:sz="0" w:space="0" w:color="auto"/>
          </w:divBdr>
        </w:div>
      </w:divsChild>
    </w:div>
    <w:div w:id="759563656">
      <w:bodyDiv w:val="1"/>
      <w:marLeft w:val="0"/>
      <w:marRight w:val="0"/>
      <w:marTop w:val="0"/>
      <w:marBottom w:val="0"/>
      <w:divBdr>
        <w:top w:val="none" w:sz="0" w:space="0" w:color="auto"/>
        <w:left w:val="none" w:sz="0" w:space="0" w:color="auto"/>
        <w:bottom w:val="none" w:sz="0" w:space="0" w:color="auto"/>
        <w:right w:val="none" w:sz="0" w:space="0" w:color="auto"/>
      </w:divBdr>
      <w:divsChild>
        <w:div w:id="544027829">
          <w:marLeft w:val="0"/>
          <w:marRight w:val="0"/>
          <w:marTop w:val="0"/>
          <w:marBottom w:val="0"/>
          <w:divBdr>
            <w:top w:val="none" w:sz="0" w:space="0" w:color="auto"/>
            <w:left w:val="none" w:sz="0" w:space="0" w:color="auto"/>
            <w:bottom w:val="none" w:sz="0" w:space="0" w:color="auto"/>
            <w:right w:val="none" w:sz="0" w:space="0" w:color="auto"/>
          </w:divBdr>
        </w:div>
        <w:div w:id="601499485">
          <w:marLeft w:val="0"/>
          <w:marRight w:val="0"/>
          <w:marTop w:val="0"/>
          <w:marBottom w:val="0"/>
          <w:divBdr>
            <w:top w:val="none" w:sz="0" w:space="0" w:color="auto"/>
            <w:left w:val="none" w:sz="0" w:space="0" w:color="auto"/>
            <w:bottom w:val="none" w:sz="0" w:space="0" w:color="auto"/>
            <w:right w:val="none" w:sz="0" w:space="0" w:color="auto"/>
          </w:divBdr>
        </w:div>
        <w:div w:id="1207529227">
          <w:marLeft w:val="0"/>
          <w:marRight w:val="0"/>
          <w:marTop w:val="0"/>
          <w:marBottom w:val="0"/>
          <w:divBdr>
            <w:top w:val="none" w:sz="0" w:space="0" w:color="auto"/>
            <w:left w:val="none" w:sz="0" w:space="0" w:color="auto"/>
            <w:bottom w:val="none" w:sz="0" w:space="0" w:color="auto"/>
            <w:right w:val="none" w:sz="0" w:space="0" w:color="auto"/>
          </w:divBdr>
          <w:divsChild>
            <w:div w:id="1832913105">
              <w:marLeft w:val="0"/>
              <w:marRight w:val="0"/>
              <w:marTop w:val="30"/>
              <w:marBottom w:val="30"/>
              <w:divBdr>
                <w:top w:val="none" w:sz="0" w:space="0" w:color="auto"/>
                <w:left w:val="none" w:sz="0" w:space="0" w:color="auto"/>
                <w:bottom w:val="none" w:sz="0" w:space="0" w:color="auto"/>
                <w:right w:val="none" w:sz="0" w:space="0" w:color="auto"/>
              </w:divBdr>
              <w:divsChild>
                <w:div w:id="195893170">
                  <w:marLeft w:val="0"/>
                  <w:marRight w:val="0"/>
                  <w:marTop w:val="0"/>
                  <w:marBottom w:val="0"/>
                  <w:divBdr>
                    <w:top w:val="none" w:sz="0" w:space="0" w:color="auto"/>
                    <w:left w:val="none" w:sz="0" w:space="0" w:color="auto"/>
                    <w:bottom w:val="none" w:sz="0" w:space="0" w:color="auto"/>
                    <w:right w:val="none" w:sz="0" w:space="0" w:color="auto"/>
                  </w:divBdr>
                  <w:divsChild>
                    <w:div w:id="1931574781">
                      <w:marLeft w:val="0"/>
                      <w:marRight w:val="0"/>
                      <w:marTop w:val="0"/>
                      <w:marBottom w:val="0"/>
                      <w:divBdr>
                        <w:top w:val="none" w:sz="0" w:space="0" w:color="auto"/>
                        <w:left w:val="none" w:sz="0" w:space="0" w:color="auto"/>
                        <w:bottom w:val="none" w:sz="0" w:space="0" w:color="auto"/>
                        <w:right w:val="none" w:sz="0" w:space="0" w:color="auto"/>
                      </w:divBdr>
                    </w:div>
                  </w:divsChild>
                </w:div>
                <w:div w:id="613680111">
                  <w:marLeft w:val="0"/>
                  <w:marRight w:val="0"/>
                  <w:marTop w:val="0"/>
                  <w:marBottom w:val="0"/>
                  <w:divBdr>
                    <w:top w:val="none" w:sz="0" w:space="0" w:color="auto"/>
                    <w:left w:val="none" w:sz="0" w:space="0" w:color="auto"/>
                    <w:bottom w:val="none" w:sz="0" w:space="0" w:color="auto"/>
                    <w:right w:val="none" w:sz="0" w:space="0" w:color="auto"/>
                  </w:divBdr>
                  <w:divsChild>
                    <w:div w:id="2060476714">
                      <w:marLeft w:val="0"/>
                      <w:marRight w:val="0"/>
                      <w:marTop w:val="0"/>
                      <w:marBottom w:val="0"/>
                      <w:divBdr>
                        <w:top w:val="none" w:sz="0" w:space="0" w:color="auto"/>
                        <w:left w:val="none" w:sz="0" w:space="0" w:color="auto"/>
                        <w:bottom w:val="none" w:sz="0" w:space="0" w:color="auto"/>
                        <w:right w:val="none" w:sz="0" w:space="0" w:color="auto"/>
                      </w:divBdr>
                    </w:div>
                  </w:divsChild>
                </w:div>
                <w:div w:id="1026709913">
                  <w:marLeft w:val="0"/>
                  <w:marRight w:val="0"/>
                  <w:marTop w:val="0"/>
                  <w:marBottom w:val="0"/>
                  <w:divBdr>
                    <w:top w:val="none" w:sz="0" w:space="0" w:color="auto"/>
                    <w:left w:val="none" w:sz="0" w:space="0" w:color="auto"/>
                    <w:bottom w:val="none" w:sz="0" w:space="0" w:color="auto"/>
                    <w:right w:val="none" w:sz="0" w:space="0" w:color="auto"/>
                  </w:divBdr>
                  <w:divsChild>
                    <w:div w:id="1986618790">
                      <w:marLeft w:val="0"/>
                      <w:marRight w:val="0"/>
                      <w:marTop w:val="0"/>
                      <w:marBottom w:val="0"/>
                      <w:divBdr>
                        <w:top w:val="none" w:sz="0" w:space="0" w:color="auto"/>
                        <w:left w:val="none" w:sz="0" w:space="0" w:color="auto"/>
                        <w:bottom w:val="none" w:sz="0" w:space="0" w:color="auto"/>
                        <w:right w:val="none" w:sz="0" w:space="0" w:color="auto"/>
                      </w:divBdr>
                    </w:div>
                  </w:divsChild>
                </w:div>
                <w:div w:id="1196500794">
                  <w:marLeft w:val="0"/>
                  <w:marRight w:val="0"/>
                  <w:marTop w:val="0"/>
                  <w:marBottom w:val="0"/>
                  <w:divBdr>
                    <w:top w:val="none" w:sz="0" w:space="0" w:color="auto"/>
                    <w:left w:val="none" w:sz="0" w:space="0" w:color="auto"/>
                    <w:bottom w:val="none" w:sz="0" w:space="0" w:color="auto"/>
                    <w:right w:val="none" w:sz="0" w:space="0" w:color="auto"/>
                  </w:divBdr>
                  <w:divsChild>
                    <w:div w:id="1052534403">
                      <w:marLeft w:val="0"/>
                      <w:marRight w:val="0"/>
                      <w:marTop w:val="0"/>
                      <w:marBottom w:val="0"/>
                      <w:divBdr>
                        <w:top w:val="none" w:sz="0" w:space="0" w:color="auto"/>
                        <w:left w:val="none" w:sz="0" w:space="0" w:color="auto"/>
                        <w:bottom w:val="none" w:sz="0" w:space="0" w:color="auto"/>
                        <w:right w:val="none" w:sz="0" w:space="0" w:color="auto"/>
                      </w:divBdr>
                    </w:div>
                  </w:divsChild>
                </w:div>
                <w:div w:id="1347562699">
                  <w:marLeft w:val="0"/>
                  <w:marRight w:val="0"/>
                  <w:marTop w:val="0"/>
                  <w:marBottom w:val="0"/>
                  <w:divBdr>
                    <w:top w:val="none" w:sz="0" w:space="0" w:color="auto"/>
                    <w:left w:val="none" w:sz="0" w:space="0" w:color="auto"/>
                    <w:bottom w:val="none" w:sz="0" w:space="0" w:color="auto"/>
                    <w:right w:val="none" w:sz="0" w:space="0" w:color="auto"/>
                  </w:divBdr>
                  <w:divsChild>
                    <w:div w:id="1752003387">
                      <w:marLeft w:val="0"/>
                      <w:marRight w:val="0"/>
                      <w:marTop w:val="0"/>
                      <w:marBottom w:val="0"/>
                      <w:divBdr>
                        <w:top w:val="none" w:sz="0" w:space="0" w:color="auto"/>
                        <w:left w:val="none" w:sz="0" w:space="0" w:color="auto"/>
                        <w:bottom w:val="none" w:sz="0" w:space="0" w:color="auto"/>
                        <w:right w:val="none" w:sz="0" w:space="0" w:color="auto"/>
                      </w:divBdr>
                    </w:div>
                  </w:divsChild>
                </w:div>
                <w:div w:id="1383210266">
                  <w:marLeft w:val="0"/>
                  <w:marRight w:val="0"/>
                  <w:marTop w:val="0"/>
                  <w:marBottom w:val="0"/>
                  <w:divBdr>
                    <w:top w:val="none" w:sz="0" w:space="0" w:color="auto"/>
                    <w:left w:val="none" w:sz="0" w:space="0" w:color="auto"/>
                    <w:bottom w:val="none" w:sz="0" w:space="0" w:color="auto"/>
                    <w:right w:val="none" w:sz="0" w:space="0" w:color="auto"/>
                  </w:divBdr>
                  <w:divsChild>
                    <w:div w:id="624383935">
                      <w:marLeft w:val="0"/>
                      <w:marRight w:val="0"/>
                      <w:marTop w:val="0"/>
                      <w:marBottom w:val="0"/>
                      <w:divBdr>
                        <w:top w:val="none" w:sz="0" w:space="0" w:color="auto"/>
                        <w:left w:val="none" w:sz="0" w:space="0" w:color="auto"/>
                        <w:bottom w:val="none" w:sz="0" w:space="0" w:color="auto"/>
                        <w:right w:val="none" w:sz="0" w:space="0" w:color="auto"/>
                      </w:divBdr>
                    </w:div>
                  </w:divsChild>
                </w:div>
                <w:div w:id="1558466696">
                  <w:marLeft w:val="0"/>
                  <w:marRight w:val="0"/>
                  <w:marTop w:val="0"/>
                  <w:marBottom w:val="0"/>
                  <w:divBdr>
                    <w:top w:val="none" w:sz="0" w:space="0" w:color="auto"/>
                    <w:left w:val="none" w:sz="0" w:space="0" w:color="auto"/>
                    <w:bottom w:val="none" w:sz="0" w:space="0" w:color="auto"/>
                    <w:right w:val="none" w:sz="0" w:space="0" w:color="auto"/>
                  </w:divBdr>
                  <w:divsChild>
                    <w:div w:id="1760714104">
                      <w:marLeft w:val="0"/>
                      <w:marRight w:val="0"/>
                      <w:marTop w:val="0"/>
                      <w:marBottom w:val="0"/>
                      <w:divBdr>
                        <w:top w:val="none" w:sz="0" w:space="0" w:color="auto"/>
                        <w:left w:val="none" w:sz="0" w:space="0" w:color="auto"/>
                        <w:bottom w:val="none" w:sz="0" w:space="0" w:color="auto"/>
                        <w:right w:val="none" w:sz="0" w:space="0" w:color="auto"/>
                      </w:divBdr>
                    </w:div>
                  </w:divsChild>
                </w:div>
                <w:div w:id="1852185633">
                  <w:marLeft w:val="0"/>
                  <w:marRight w:val="0"/>
                  <w:marTop w:val="0"/>
                  <w:marBottom w:val="0"/>
                  <w:divBdr>
                    <w:top w:val="none" w:sz="0" w:space="0" w:color="auto"/>
                    <w:left w:val="none" w:sz="0" w:space="0" w:color="auto"/>
                    <w:bottom w:val="none" w:sz="0" w:space="0" w:color="auto"/>
                    <w:right w:val="none" w:sz="0" w:space="0" w:color="auto"/>
                  </w:divBdr>
                  <w:divsChild>
                    <w:div w:id="1812406998">
                      <w:marLeft w:val="0"/>
                      <w:marRight w:val="0"/>
                      <w:marTop w:val="0"/>
                      <w:marBottom w:val="0"/>
                      <w:divBdr>
                        <w:top w:val="none" w:sz="0" w:space="0" w:color="auto"/>
                        <w:left w:val="none" w:sz="0" w:space="0" w:color="auto"/>
                        <w:bottom w:val="none" w:sz="0" w:space="0" w:color="auto"/>
                        <w:right w:val="none" w:sz="0" w:space="0" w:color="auto"/>
                      </w:divBdr>
                    </w:div>
                  </w:divsChild>
                </w:div>
                <w:div w:id="2145200200">
                  <w:marLeft w:val="0"/>
                  <w:marRight w:val="0"/>
                  <w:marTop w:val="0"/>
                  <w:marBottom w:val="0"/>
                  <w:divBdr>
                    <w:top w:val="none" w:sz="0" w:space="0" w:color="auto"/>
                    <w:left w:val="none" w:sz="0" w:space="0" w:color="auto"/>
                    <w:bottom w:val="none" w:sz="0" w:space="0" w:color="auto"/>
                    <w:right w:val="none" w:sz="0" w:space="0" w:color="auto"/>
                  </w:divBdr>
                  <w:divsChild>
                    <w:div w:id="39651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3606">
          <w:marLeft w:val="0"/>
          <w:marRight w:val="0"/>
          <w:marTop w:val="0"/>
          <w:marBottom w:val="0"/>
          <w:divBdr>
            <w:top w:val="none" w:sz="0" w:space="0" w:color="auto"/>
            <w:left w:val="none" w:sz="0" w:space="0" w:color="auto"/>
            <w:bottom w:val="none" w:sz="0" w:space="0" w:color="auto"/>
            <w:right w:val="none" w:sz="0" w:space="0" w:color="auto"/>
          </w:divBdr>
        </w:div>
      </w:divsChild>
    </w:div>
    <w:div w:id="801733134">
      <w:bodyDiv w:val="1"/>
      <w:marLeft w:val="0"/>
      <w:marRight w:val="0"/>
      <w:marTop w:val="0"/>
      <w:marBottom w:val="0"/>
      <w:divBdr>
        <w:top w:val="none" w:sz="0" w:space="0" w:color="auto"/>
        <w:left w:val="none" w:sz="0" w:space="0" w:color="auto"/>
        <w:bottom w:val="none" w:sz="0" w:space="0" w:color="auto"/>
        <w:right w:val="none" w:sz="0" w:space="0" w:color="auto"/>
      </w:divBdr>
      <w:divsChild>
        <w:div w:id="800614562">
          <w:marLeft w:val="0"/>
          <w:marRight w:val="0"/>
          <w:marTop w:val="0"/>
          <w:marBottom w:val="0"/>
          <w:divBdr>
            <w:top w:val="none" w:sz="0" w:space="0" w:color="auto"/>
            <w:left w:val="none" w:sz="0" w:space="0" w:color="auto"/>
            <w:bottom w:val="none" w:sz="0" w:space="0" w:color="auto"/>
            <w:right w:val="none" w:sz="0" w:space="0" w:color="auto"/>
          </w:divBdr>
        </w:div>
        <w:div w:id="1948072992">
          <w:marLeft w:val="0"/>
          <w:marRight w:val="0"/>
          <w:marTop w:val="0"/>
          <w:marBottom w:val="0"/>
          <w:divBdr>
            <w:top w:val="none" w:sz="0" w:space="0" w:color="auto"/>
            <w:left w:val="none" w:sz="0" w:space="0" w:color="auto"/>
            <w:bottom w:val="none" w:sz="0" w:space="0" w:color="auto"/>
            <w:right w:val="none" w:sz="0" w:space="0" w:color="auto"/>
          </w:divBdr>
        </w:div>
      </w:divsChild>
    </w:div>
    <w:div w:id="955451690">
      <w:bodyDiv w:val="1"/>
      <w:marLeft w:val="0"/>
      <w:marRight w:val="0"/>
      <w:marTop w:val="0"/>
      <w:marBottom w:val="0"/>
      <w:divBdr>
        <w:top w:val="none" w:sz="0" w:space="0" w:color="auto"/>
        <w:left w:val="none" w:sz="0" w:space="0" w:color="auto"/>
        <w:bottom w:val="none" w:sz="0" w:space="0" w:color="auto"/>
        <w:right w:val="none" w:sz="0" w:space="0" w:color="auto"/>
      </w:divBdr>
      <w:divsChild>
        <w:div w:id="568468771">
          <w:marLeft w:val="0"/>
          <w:marRight w:val="0"/>
          <w:marTop w:val="0"/>
          <w:marBottom w:val="0"/>
          <w:divBdr>
            <w:top w:val="none" w:sz="0" w:space="0" w:color="auto"/>
            <w:left w:val="none" w:sz="0" w:space="0" w:color="auto"/>
            <w:bottom w:val="none" w:sz="0" w:space="0" w:color="auto"/>
            <w:right w:val="none" w:sz="0" w:space="0" w:color="auto"/>
          </w:divBdr>
        </w:div>
        <w:div w:id="804547993">
          <w:marLeft w:val="0"/>
          <w:marRight w:val="0"/>
          <w:marTop w:val="0"/>
          <w:marBottom w:val="0"/>
          <w:divBdr>
            <w:top w:val="none" w:sz="0" w:space="0" w:color="auto"/>
            <w:left w:val="none" w:sz="0" w:space="0" w:color="auto"/>
            <w:bottom w:val="none" w:sz="0" w:space="0" w:color="auto"/>
            <w:right w:val="none" w:sz="0" w:space="0" w:color="auto"/>
          </w:divBdr>
        </w:div>
        <w:div w:id="967472306">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997608937">
          <w:marLeft w:val="0"/>
          <w:marRight w:val="0"/>
          <w:marTop w:val="0"/>
          <w:marBottom w:val="0"/>
          <w:divBdr>
            <w:top w:val="none" w:sz="0" w:space="0" w:color="auto"/>
            <w:left w:val="none" w:sz="0" w:space="0" w:color="auto"/>
            <w:bottom w:val="none" w:sz="0" w:space="0" w:color="auto"/>
            <w:right w:val="none" w:sz="0" w:space="0" w:color="auto"/>
          </w:divBdr>
        </w:div>
      </w:divsChild>
    </w:div>
    <w:div w:id="978997652">
      <w:bodyDiv w:val="1"/>
      <w:marLeft w:val="0"/>
      <w:marRight w:val="0"/>
      <w:marTop w:val="0"/>
      <w:marBottom w:val="0"/>
      <w:divBdr>
        <w:top w:val="none" w:sz="0" w:space="0" w:color="auto"/>
        <w:left w:val="none" w:sz="0" w:space="0" w:color="auto"/>
        <w:bottom w:val="none" w:sz="0" w:space="0" w:color="auto"/>
        <w:right w:val="none" w:sz="0" w:space="0" w:color="auto"/>
      </w:divBdr>
      <w:divsChild>
        <w:div w:id="328214068">
          <w:marLeft w:val="0"/>
          <w:marRight w:val="0"/>
          <w:marTop w:val="0"/>
          <w:marBottom w:val="0"/>
          <w:divBdr>
            <w:top w:val="none" w:sz="0" w:space="0" w:color="auto"/>
            <w:left w:val="none" w:sz="0" w:space="0" w:color="auto"/>
            <w:bottom w:val="none" w:sz="0" w:space="0" w:color="auto"/>
            <w:right w:val="none" w:sz="0" w:space="0" w:color="auto"/>
          </w:divBdr>
        </w:div>
        <w:div w:id="699085257">
          <w:marLeft w:val="0"/>
          <w:marRight w:val="0"/>
          <w:marTop w:val="0"/>
          <w:marBottom w:val="0"/>
          <w:divBdr>
            <w:top w:val="none" w:sz="0" w:space="0" w:color="auto"/>
            <w:left w:val="none" w:sz="0" w:space="0" w:color="auto"/>
            <w:bottom w:val="none" w:sz="0" w:space="0" w:color="auto"/>
            <w:right w:val="none" w:sz="0" w:space="0" w:color="auto"/>
          </w:divBdr>
        </w:div>
      </w:divsChild>
    </w:div>
    <w:div w:id="988631693">
      <w:bodyDiv w:val="1"/>
      <w:marLeft w:val="0"/>
      <w:marRight w:val="0"/>
      <w:marTop w:val="0"/>
      <w:marBottom w:val="0"/>
      <w:divBdr>
        <w:top w:val="none" w:sz="0" w:space="0" w:color="auto"/>
        <w:left w:val="none" w:sz="0" w:space="0" w:color="auto"/>
        <w:bottom w:val="none" w:sz="0" w:space="0" w:color="auto"/>
        <w:right w:val="none" w:sz="0" w:space="0" w:color="auto"/>
      </w:divBdr>
      <w:divsChild>
        <w:div w:id="21565222">
          <w:marLeft w:val="0"/>
          <w:marRight w:val="0"/>
          <w:marTop w:val="0"/>
          <w:marBottom w:val="0"/>
          <w:divBdr>
            <w:top w:val="none" w:sz="0" w:space="0" w:color="auto"/>
            <w:left w:val="none" w:sz="0" w:space="0" w:color="auto"/>
            <w:bottom w:val="none" w:sz="0" w:space="0" w:color="auto"/>
            <w:right w:val="none" w:sz="0" w:space="0" w:color="auto"/>
          </w:divBdr>
        </w:div>
        <w:div w:id="506603611">
          <w:marLeft w:val="0"/>
          <w:marRight w:val="0"/>
          <w:marTop w:val="0"/>
          <w:marBottom w:val="0"/>
          <w:divBdr>
            <w:top w:val="none" w:sz="0" w:space="0" w:color="auto"/>
            <w:left w:val="none" w:sz="0" w:space="0" w:color="auto"/>
            <w:bottom w:val="none" w:sz="0" w:space="0" w:color="auto"/>
            <w:right w:val="none" w:sz="0" w:space="0" w:color="auto"/>
          </w:divBdr>
        </w:div>
      </w:divsChild>
    </w:div>
    <w:div w:id="1283876306">
      <w:bodyDiv w:val="1"/>
      <w:marLeft w:val="0"/>
      <w:marRight w:val="0"/>
      <w:marTop w:val="0"/>
      <w:marBottom w:val="0"/>
      <w:divBdr>
        <w:top w:val="none" w:sz="0" w:space="0" w:color="auto"/>
        <w:left w:val="none" w:sz="0" w:space="0" w:color="auto"/>
        <w:bottom w:val="none" w:sz="0" w:space="0" w:color="auto"/>
        <w:right w:val="none" w:sz="0" w:space="0" w:color="auto"/>
      </w:divBdr>
      <w:divsChild>
        <w:div w:id="1516917884">
          <w:marLeft w:val="0"/>
          <w:marRight w:val="0"/>
          <w:marTop w:val="0"/>
          <w:marBottom w:val="0"/>
          <w:divBdr>
            <w:top w:val="none" w:sz="0" w:space="0" w:color="auto"/>
            <w:left w:val="none" w:sz="0" w:space="0" w:color="auto"/>
            <w:bottom w:val="none" w:sz="0" w:space="0" w:color="auto"/>
            <w:right w:val="none" w:sz="0" w:space="0" w:color="auto"/>
          </w:divBdr>
        </w:div>
      </w:divsChild>
    </w:div>
    <w:div w:id="1372265093">
      <w:bodyDiv w:val="1"/>
      <w:marLeft w:val="0"/>
      <w:marRight w:val="0"/>
      <w:marTop w:val="0"/>
      <w:marBottom w:val="0"/>
      <w:divBdr>
        <w:top w:val="none" w:sz="0" w:space="0" w:color="auto"/>
        <w:left w:val="none" w:sz="0" w:space="0" w:color="auto"/>
        <w:bottom w:val="none" w:sz="0" w:space="0" w:color="auto"/>
        <w:right w:val="none" w:sz="0" w:space="0" w:color="auto"/>
      </w:divBdr>
      <w:divsChild>
        <w:div w:id="281226826">
          <w:marLeft w:val="0"/>
          <w:marRight w:val="0"/>
          <w:marTop w:val="0"/>
          <w:marBottom w:val="0"/>
          <w:divBdr>
            <w:top w:val="none" w:sz="0" w:space="0" w:color="auto"/>
            <w:left w:val="none" w:sz="0" w:space="0" w:color="auto"/>
            <w:bottom w:val="none" w:sz="0" w:space="0" w:color="auto"/>
            <w:right w:val="none" w:sz="0" w:space="0" w:color="auto"/>
          </w:divBdr>
        </w:div>
        <w:div w:id="1289360519">
          <w:marLeft w:val="0"/>
          <w:marRight w:val="0"/>
          <w:marTop w:val="0"/>
          <w:marBottom w:val="0"/>
          <w:divBdr>
            <w:top w:val="none" w:sz="0" w:space="0" w:color="auto"/>
            <w:left w:val="none" w:sz="0" w:space="0" w:color="auto"/>
            <w:bottom w:val="none" w:sz="0" w:space="0" w:color="auto"/>
            <w:right w:val="none" w:sz="0" w:space="0" w:color="auto"/>
          </w:divBdr>
        </w:div>
      </w:divsChild>
    </w:div>
    <w:div w:id="1432429748">
      <w:bodyDiv w:val="1"/>
      <w:marLeft w:val="0"/>
      <w:marRight w:val="0"/>
      <w:marTop w:val="0"/>
      <w:marBottom w:val="0"/>
      <w:divBdr>
        <w:top w:val="none" w:sz="0" w:space="0" w:color="auto"/>
        <w:left w:val="none" w:sz="0" w:space="0" w:color="auto"/>
        <w:bottom w:val="none" w:sz="0" w:space="0" w:color="auto"/>
        <w:right w:val="none" w:sz="0" w:space="0" w:color="auto"/>
      </w:divBdr>
      <w:divsChild>
        <w:div w:id="167329744">
          <w:marLeft w:val="0"/>
          <w:marRight w:val="0"/>
          <w:marTop w:val="0"/>
          <w:marBottom w:val="0"/>
          <w:divBdr>
            <w:top w:val="none" w:sz="0" w:space="0" w:color="auto"/>
            <w:left w:val="none" w:sz="0" w:space="0" w:color="auto"/>
            <w:bottom w:val="none" w:sz="0" w:space="0" w:color="auto"/>
            <w:right w:val="none" w:sz="0" w:space="0" w:color="auto"/>
          </w:divBdr>
        </w:div>
        <w:div w:id="807282317">
          <w:marLeft w:val="0"/>
          <w:marRight w:val="0"/>
          <w:marTop w:val="0"/>
          <w:marBottom w:val="0"/>
          <w:divBdr>
            <w:top w:val="none" w:sz="0" w:space="0" w:color="auto"/>
            <w:left w:val="none" w:sz="0" w:space="0" w:color="auto"/>
            <w:bottom w:val="none" w:sz="0" w:space="0" w:color="auto"/>
            <w:right w:val="none" w:sz="0" w:space="0" w:color="auto"/>
          </w:divBdr>
        </w:div>
        <w:div w:id="957298382">
          <w:marLeft w:val="0"/>
          <w:marRight w:val="0"/>
          <w:marTop w:val="0"/>
          <w:marBottom w:val="0"/>
          <w:divBdr>
            <w:top w:val="none" w:sz="0" w:space="0" w:color="auto"/>
            <w:left w:val="none" w:sz="0" w:space="0" w:color="auto"/>
            <w:bottom w:val="none" w:sz="0" w:space="0" w:color="auto"/>
            <w:right w:val="none" w:sz="0" w:space="0" w:color="auto"/>
          </w:divBdr>
        </w:div>
        <w:div w:id="1052119198">
          <w:marLeft w:val="0"/>
          <w:marRight w:val="0"/>
          <w:marTop w:val="0"/>
          <w:marBottom w:val="0"/>
          <w:divBdr>
            <w:top w:val="none" w:sz="0" w:space="0" w:color="auto"/>
            <w:left w:val="none" w:sz="0" w:space="0" w:color="auto"/>
            <w:bottom w:val="none" w:sz="0" w:space="0" w:color="auto"/>
            <w:right w:val="none" w:sz="0" w:space="0" w:color="auto"/>
          </w:divBdr>
          <w:divsChild>
            <w:div w:id="1845700619">
              <w:marLeft w:val="-75"/>
              <w:marRight w:val="0"/>
              <w:marTop w:val="30"/>
              <w:marBottom w:val="30"/>
              <w:divBdr>
                <w:top w:val="none" w:sz="0" w:space="0" w:color="auto"/>
                <w:left w:val="none" w:sz="0" w:space="0" w:color="auto"/>
                <w:bottom w:val="none" w:sz="0" w:space="0" w:color="auto"/>
                <w:right w:val="none" w:sz="0" w:space="0" w:color="auto"/>
              </w:divBdr>
              <w:divsChild>
                <w:div w:id="362638548">
                  <w:marLeft w:val="0"/>
                  <w:marRight w:val="0"/>
                  <w:marTop w:val="0"/>
                  <w:marBottom w:val="0"/>
                  <w:divBdr>
                    <w:top w:val="none" w:sz="0" w:space="0" w:color="auto"/>
                    <w:left w:val="none" w:sz="0" w:space="0" w:color="auto"/>
                    <w:bottom w:val="none" w:sz="0" w:space="0" w:color="auto"/>
                    <w:right w:val="none" w:sz="0" w:space="0" w:color="auto"/>
                  </w:divBdr>
                  <w:divsChild>
                    <w:div w:id="1709406580">
                      <w:marLeft w:val="0"/>
                      <w:marRight w:val="0"/>
                      <w:marTop w:val="0"/>
                      <w:marBottom w:val="0"/>
                      <w:divBdr>
                        <w:top w:val="none" w:sz="0" w:space="0" w:color="auto"/>
                        <w:left w:val="none" w:sz="0" w:space="0" w:color="auto"/>
                        <w:bottom w:val="none" w:sz="0" w:space="0" w:color="auto"/>
                        <w:right w:val="none" w:sz="0" w:space="0" w:color="auto"/>
                      </w:divBdr>
                    </w:div>
                  </w:divsChild>
                </w:div>
                <w:div w:id="760638336">
                  <w:marLeft w:val="0"/>
                  <w:marRight w:val="0"/>
                  <w:marTop w:val="0"/>
                  <w:marBottom w:val="0"/>
                  <w:divBdr>
                    <w:top w:val="none" w:sz="0" w:space="0" w:color="auto"/>
                    <w:left w:val="none" w:sz="0" w:space="0" w:color="auto"/>
                    <w:bottom w:val="none" w:sz="0" w:space="0" w:color="auto"/>
                    <w:right w:val="none" w:sz="0" w:space="0" w:color="auto"/>
                  </w:divBdr>
                  <w:divsChild>
                    <w:div w:id="1209535974">
                      <w:marLeft w:val="0"/>
                      <w:marRight w:val="0"/>
                      <w:marTop w:val="0"/>
                      <w:marBottom w:val="0"/>
                      <w:divBdr>
                        <w:top w:val="none" w:sz="0" w:space="0" w:color="auto"/>
                        <w:left w:val="none" w:sz="0" w:space="0" w:color="auto"/>
                        <w:bottom w:val="none" w:sz="0" w:space="0" w:color="auto"/>
                        <w:right w:val="none" w:sz="0" w:space="0" w:color="auto"/>
                      </w:divBdr>
                    </w:div>
                  </w:divsChild>
                </w:div>
                <w:div w:id="797770621">
                  <w:marLeft w:val="0"/>
                  <w:marRight w:val="0"/>
                  <w:marTop w:val="0"/>
                  <w:marBottom w:val="0"/>
                  <w:divBdr>
                    <w:top w:val="none" w:sz="0" w:space="0" w:color="auto"/>
                    <w:left w:val="none" w:sz="0" w:space="0" w:color="auto"/>
                    <w:bottom w:val="none" w:sz="0" w:space="0" w:color="auto"/>
                    <w:right w:val="none" w:sz="0" w:space="0" w:color="auto"/>
                  </w:divBdr>
                  <w:divsChild>
                    <w:div w:id="1529953215">
                      <w:marLeft w:val="0"/>
                      <w:marRight w:val="0"/>
                      <w:marTop w:val="0"/>
                      <w:marBottom w:val="0"/>
                      <w:divBdr>
                        <w:top w:val="none" w:sz="0" w:space="0" w:color="auto"/>
                        <w:left w:val="none" w:sz="0" w:space="0" w:color="auto"/>
                        <w:bottom w:val="none" w:sz="0" w:space="0" w:color="auto"/>
                        <w:right w:val="none" w:sz="0" w:space="0" w:color="auto"/>
                      </w:divBdr>
                    </w:div>
                  </w:divsChild>
                </w:div>
                <w:div w:id="1191265250">
                  <w:marLeft w:val="0"/>
                  <w:marRight w:val="0"/>
                  <w:marTop w:val="0"/>
                  <w:marBottom w:val="0"/>
                  <w:divBdr>
                    <w:top w:val="none" w:sz="0" w:space="0" w:color="auto"/>
                    <w:left w:val="none" w:sz="0" w:space="0" w:color="auto"/>
                    <w:bottom w:val="none" w:sz="0" w:space="0" w:color="auto"/>
                    <w:right w:val="none" w:sz="0" w:space="0" w:color="auto"/>
                  </w:divBdr>
                  <w:divsChild>
                    <w:div w:id="1647203060">
                      <w:marLeft w:val="0"/>
                      <w:marRight w:val="0"/>
                      <w:marTop w:val="0"/>
                      <w:marBottom w:val="0"/>
                      <w:divBdr>
                        <w:top w:val="none" w:sz="0" w:space="0" w:color="auto"/>
                        <w:left w:val="none" w:sz="0" w:space="0" w:color="auto"/>
                        <w:bottom w:val="none" w:sz="0" w:space="0" w:color="auto"/>
                        <w:right w:val="none" w:sz="0" w:space="0" w:color="auto"/>
                      </w:divBdr>
                    </w:div>
                    <w:div w:id="2031878646">
                      <w:marLeft w:val="0"/>
                      <w:marRight w:val="0"/>
                      <w:marTop w:val="0"/>
                      <w:marBottom w:val="0"/>
                      <w:divBdr>
                        <w:top w:val="none" w:sz="0" w:space="0" w:color="auto"/>
                        <w:left w:val="none" w:sz="0" w:space="0" w:color="auto"/>
                        <w:bottom w:val="none" w:sz="0" w:space="0" w:color="auto"/>
                        <w:right w:val="none" w:sz="0" w:space="0" w:color="auto"/>
                      </w:divBdr>
                    </w:div>
                  </w:divsChild>
                </w:div>
                <w:div w:id="1433698164">
                  <w:marLeft w:val="0"/>
                  <w:marRight w:val="0"/>
                  <w:marTop w:val="0"/>
                  <w:marBottom w:val="0"/>
                  <w:divBdr>
                    <w:top w:val="none" w:sz="0" w:space="0" w:color="auto"/>
                    <w:left w:val="none" w:sz="0" w:space="0" w:color="auto"/>
                    <w:bottom w:val="none" w:sz="0" w:space="0" w:color="auto"/>
                    <w:right w:val="none" w:sz="0" w:space="0" w:color="auto"/>
                  </w:divBdr>
                  <w:divsChild>
                    <w:div w:id="815102510">
                      <w:marLeft w:val="0"/>
                      <w:marRight w:val="0"/>
                      <w:marTop w:val="0"/>
                      <w:marBottom w:val="0"/>
                      <w:divBdr>
                        <w:top w:val="none" w:sz="0" w:space="0" w:color="auto"/>
                        <w:left w:val="none" w:sz="0" w:space="0" w:color="auto"/>
                        <w:bottom w:val="none" w:sz="0" w:space="0" w:color="auto"/>
                        <w:right w:val="none" w:sz="0" w:space="0" w:color="auto"/>
                      </w:divBdr>
                    </w:div>
                  </w:divsChild>
                </w:div>
                <w:div w:id="1445615811">
                  <w:marLeft w:val="0"/>
                  <w:marRight w:val="0"/>
                  <w:marTop w:val="0"/>
                  <w:marBottom w:val="0"/>
                  <w:divBdr>
                    <w:top w:val="none" w:sz="0" w:space="0" w:color="auto"/>
                    <w:left w:val="none" w:sz="0" w:space="0" w:color="auto"/>
                    <w:bottom w:val="none" w:sz="0" w:space="0" w:color="auto"/>
                    <w:right w:val="none" w:sz="0" w:space="0" w:color="auto"/>
                  </w:divBdr>
                  <w:divsChild>
                    <w:div w:id="6536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42597">
          <w:marLeft w:val="0"/>
          <w:marRight w:val="0"/>
          <w:marTop w:val="0"/>
          <w:marBottom w:val="0"/>
          <w:divBdr>
            <w:top w:val="none" w:sz="0" w:space="0" w:color="auto"/>
            <w:left w:val="none" w:sz="0" w:space="0" w:color="auto"/>
            <w:bottom w:val="none" w:sz="0" w:space="0" w:color="auto"/>
            <w:right w:val="none" w:sz="0" w:space="0" w:color="auto"/>
          </w:divBdr>
        </w:div>
        <w:div w:id="2026246238">
          <w:marLeft w:val="0"/>
          <w:marRight w:val="0"/>
          <w:marTop w:val="0"/>
          <w:marBottom w:val="0"/>
          <w:divBdr>
            <w:top w:val="none" w:sz="0" w:space="0" w:color="auto"/>
            <w:left w:val="none" w:sz="0" w:space="0" w:color="auto"/>
            <w:bottom w:val="none" w:sz="0" w:space="0" w:color="auto"/>
            <w:right w:val="none" w:sz="0" w:space="0" w:color="auto"/>
          </w:divBdr>
        </w:div>
        <w:div w:id="2063169563">
          <w:marLeft w:val="0"/>
          <w:marRight w:val="0"/>
          <w:marTop w:val="0"/>
          <w:marBottom w:val="0"/>
          <w:divBdr>
            <w:top w:val="none" w:sz="0" w:space="0" w:color="auto"/>
            <w:left w:val="none" w:sz="0" w:space="0" w:color="auto"/>
            <w:bottom w:val="none" w:sz="0" w:space="0" w:color="auto"/>
            <w:right w:val="none" w:sz="0" w:space="0" w:color="auto"/>
          </w:divBdr>
        </w:div>
      </w:divsChild>
    </w:div>
    <w:div w:id="1435397456">
      <w:bodyDiv w:val="1"/>
      <w:marLeft w:val="0"/>
      <w:marRight w:val="0"/>
      <w:marTop w:val="0"/>
      <w:marBottom w:val="0"/>
      <w:divBdr>
        <w:top w:val="none" w:sz="0" w:space="0" w:color="auto"/>
        <w:left w:val="none" w:sz="0" w:space="0" w:color="auto"/>
        <w:bottom w:val="none" w:sz="0" w:space="0" w:color="auto"/>
        <w:right w:val="none" w:sz="0" w:space="0" w:color="auto"/>
      </w:divBdr>
      <w:divsChild>
        <w:div w:id="60913610">
          <w:marLeft w:val="0"/>
          <w:marRight w:val="0"/>
          <w:marTop w:val="0"/>
          <w:marBottom w:val="0"/>
          <w:divBdr>
            <w:top w:val="none" w:sz="0" w:space="0" w:color="auto"/>
            <w:left w:val="none" w:sz="0" w:space="0" w:color="auto"/>
            <w:bottom w:val="none" w:sz="0" w:space="0" w:color="auto"/>
            <w:right w:val="none" w:sz="0" w:space="0" w:color="auto"/>
          </w:divBdr>
        </w:div>
        <w:div w:id="420416614">
          <w:marLeft w:val="0"/>
          <w:marRight w:val="0"/>
          <w:marTop w:val="0"/>
          <w:marBottom w:val="0"/>
          <w:divBdr>
            <w:top w:val="none" w:sz="0" w:space="0" w:color="auto"/>
            <w:left w:val="none" w:sz="0" w:space="0" w:color="auto"/>
            <w:bottom w:val="none" w:sz="0" w:space="0" w:color="auto"/>
            <w:right w:val="none" w:sz="0" w:space="0" w:color="auto"/>
          </w:divBdr>
        </w:div>
        <w:div w:id="1472668548">
          <w:marLeft w:val="0"/>
          <w:marRight w:val="0"/>
          <w:marTop w:val="0"/>
          <w:marBottom w:val="0"/>
          <w:divBdr>
            <w:top w:val="none" w:sz="0" w:space="0" w:color="auto"/>
            <w:left w:val="none" w:sz="0" w:space="0" w:color="auto"/>
            <w:bottom w:val="none" w:sz="0" w:space="0" w:color="auto"/>
            <w:right w:val="none" w:sz="0" w:space="0" w:color="auto"/>
          </w:divBdr>
        </w:div>
        <w:div w:id="1606572497">
          <w:marLeft w:val="0"/>
          <w:marRight w:val="0"/>
          <w:marTop w:val="0"/>
          <w:marBottom w:val="0"/>
          <w:divBdr>
            <w:top w:val="none" w:sz="0" w:space="0" w:color="auto"/>
            <w:left w:val="none" w:sz="0" w:space="0" w:color="auto"/>
            <w:bottom w:val="none" w:sz="0" w:space="0" w:color="auto"/>
            <w:right w:val="none" w:sz="0" w:space="0" w:color="auto"/>
          </w:divBdr>
          <w:divsChild>
            <w:div w:id="1001548410">
              <w:marLeft w:val="0"/>
              <w:marRight w:val="0"/>
              <w:marTop w:val="30"/>
              <w:marBottom w:val="30"/>
              <w:divBdr>
                <w:top w:val="none" w:sz="0" w:space="0" w:color="auto"/>
                <w:left w:val="none" w:sz="0" w:space="0" w:color="auto"/>
                <w:bottom w:val="none" w:sz="0" w:space="0" w:color="auto"/>
                <w:right w:val="none" w:sz="0" w:space="0" w:color="auto"/>
              </w:divBdr>
              <w:divsChild>
                <w:div w:id="80876397">
                  <w:marLeft w:val="0"/>
                  <w:marRight w:val="0"/>
                  <w:marTop w:val="0"/>
                  <w:marBottom w:val="0"/>
                  <w:divBdr>
                    <w:top w:val="none" w:sz="0" w:space="0" w:color="auto"/>
                    <w:left w:val="none" w:sz="0" w:space="0" w:color="auto"/>
                    <w:bottom w:val="none" w:sz="0" w:space="0" w:color="auto"/>
                    <w:right w:val="none" w:sz="0" w:space="0" w:color="auto"/>
                  </w:divBdr>
                  <w:divsChild>
                    <w:div w:id="244580812">
                      <w:marLeft w:val="0"/>
                      <w:marRight w:val="0"/>
                      <w:marTop w:val="0"/>
                      <w:marBottom w:val="0"/>
                      <w:divBdr>
                        <w:top w:val="none" w:sz="0" w:space="0" w:color="auto"/>
                        <w:left w:val="none" w:sz="0" w:space="0" w:color="auto"/>
                        <w:bottom w:val="none" w:sz="0" w:space="0" w:color="auto"/>
                        <w:right w:val="none" w:sz="0" w:space="0" w:color="auto"/>
                      </w:divBdr>
                    </w:div>
                  </w:divsChild>
                </w:div>
                <w:div w:id="118383546">
                  <w:marLeft w:val="0"/>
                  <w:marRight w:val="0"/>
                  <w:marTop w:val="0"/>
                  <w:marBottom w:val="0"/>
                  <w:divBdr>
                    <w:top w:val="none" w:sz="0" w:space="0" w:color="auto"/>
                    <w:left w:val="none" w:sz="0" w:space="0" w:color="auto"/>
                    <w:bottom w:val="none" w:sz="0" w:space="0" w:color="auto"/>
                    <w:right w:val="none" w:sz="0" w:space="0" w:color="auto"/>
                  </w:divBdr>
                  <w:divsChild>
                    <w:div w:id="1395621630">
                      <w:marLeft w:val="0"/>
                      <w:marRight w:val="0"/>
                      <w:marTop w:val="0"/>
                      <w:marBottom w:val="0"/>
                      <w:divBdr>
                        <w:top w:val="none" w:sz="0" w:space="0" w:color="auto"/>
                        <w:left w:val="none" w:sz="0" w:space="0" w:color="auto"/>
                        <w:bottom w:val="none" w:sz="0" w:space="0" w:color="auto"/>
                        <w:right w:val="none" w:sz="0" w:space="0" w:color="auto"/>
                      </w:divBdr>
                    </w:div>
                  </w:divsChild>
                </w:div>
                <w:div w:id="125515799">
                  <w:marLeft w:val="0"/>
                  <w:marRight w:val="0"/>
                  <w:marTop w:val="0"/>
                  <w:marBottom w:val="0"/>
                  <w:divBdr>
                    <w:top w:val="none" w:sz="0" w:space="0" w:color="auto"/>
                    <w:left w:val="none" w:sz="0" w:space="0" w:color="auto"/>
                    <w:bottom w:val="none" w:sz="0" w:space="0" w:color="auto"/>
                    <w:right w:val="none" w:sz="0" w:space="0" w:color="auto"/>
                  </w:divBdr>
                  <w:divsChild>
                    <w:div w:id="1055003266">
                      <w:marLeft w:val="0"/>
                      <w:marRight w:val="0"/>
                      <w:marTop w:val="0"/>
                      <w:marBottom w:val="0"/>
                      <w:divBdr>
                        <w:top w:val="none" w:sz="0" w:space="0" w:color="auto"/>
                        <w:left w:val="none" w:sz="0" w:space="0" w:color="auto"/>
                        <w:bottom w:val="none" w:sz="0" w:space="0" w:color="auto"/>
                        <w:right w:val="none" w:sz="0" w:space="0" w:color="auto"/>
                      </w:divBdr>
                    </w:div>
                  </w:divsChild>
                </w:div>
                <w:div w:id="909196290">
                  <w:marLeft w:val="0"/>
                  <w:marRight w:val="0"/>
                  <w:marTop w:val="0"/>
                  <w:marBottom w:val="0"/>
                  <w:divBdr>
                    <w:top w:val="none" w:sz="0" w:space="0" w:color="auto"/>
                    <w:left w:val="none" w:sz="0" w:space="0" w:color="auto"/>
                    <w:bottom w:val="none" w:sz="0" w:space="0" w:color="auto"/>
                    <w:right w:val="none" w:sz="0" w:space="0" w:color="auto"/>
                  </w:divBdr>
                  <w:divsChild>
                    <w:div w:id="1393041985">
                      <w:marLeft w:val="0"/>
                      <w:marRight w:val="0"/>
                      <w:marTop w:val="0"/>
                      <w:marBottom w:val="0"/>
                      <w:divBdr>
                        <w:top w:val="none" w:sz="0" w:space="0" w:color="auto"/>
                        <w:left w:val="none" w:sz="0" w:space="0" w:color="auto"/>
                        <w:bottom w:val="none" w:sz="0" w:space="0" w:color="auto"/>
                        <w:right w:val="none" w:sz="0" w:space="0" w:color="auto"/>
                      </w:divBdr>
                    </w:div>
                  </w:divsChild>
                </w:div>
                <w:div w:id="1232502694">
                  <w:marLeft w:val="0"/>
                  <w:marRight w:val="0"/>
                  <w:marTop w:val="0"/>
                  <w:marBottom w:val="0"/>
                  <w:divBdr>
                    <w:top w:val="none" w:sz="0" w:space="0" w:color="auto"/>
                    <w:left w:val="none" w:sz="0" w:space="0" w:color="auto"/>
                    <w:bottom w:val="none" w:sz="0" w:space="0" w:color="auto"/>
                    <w:right w:val="none" w:sz="0" w:space="0" w:color="auto"/>
                  </w:divBdr>
                  <w:divsChild>
                    <w:div w:id="1011832817">
                      <w:marLeft w:val="0"/>
                      <w:marRight w:val="0"/>
                      <w:marTop w:val="0"/>
                      <w:marBottom w:val="0"/>
                      <w:divBdr>
                        <w:top w:val="none" w:sz="0" w:space="0" w:color="auto"/>
                        <w:left w:val="none" w:sz="0" w:space="0" w:color="auto"/>
                        <w:bottom w:val="none" w:sz="0" w:space="0" w:color="auto"/>
                        <w:right w:val="none" w:sz="0" w:space="0" w:color="auto"/>
                      </w:divBdr>
                    </w:div>
                  </w:divsChild>
                </w:div>
                <w:div w:id="1516456026">
                  <w:marLeft w:val="0"/>
                  <w:marRight w:val="0"/>
                  <w:marTop w:val="0"/>
                  <w:marBottom w:val="0"/>
                  <w:divBdr>
                    <w:top w:val="none" w:sz="0" w:space="0" w:color="auto"/>
                    <w:left w:val="none" w:sz="0" w:space="0" w:color="auto"/>
                    <w:bottom w:val="none" w:sz="0" w:space="0" w:color="auto"/>
                    <w:right w:val="none" w:sz="0" w:space="0" w:color="auto"/>
                  </w:divBdr>
                  <w:divsChild>
                    <w:div w:id="1823545852">
                      <w:marLeft w:val="0"/>
                      <w:marRight w:val="0"/>
                      <w:marTop w:val="0"/>
                      <w:marBottom w:val="0"/>
                      <w:divBdr>
                        <w:top w:val="none" w:sz="0" w:space="0" w:color="auto"/>
                        <w:left w:val="none" w:sz="0" w:space="0" w:color="auto"/>
                        <w:bottom w:val="none" w:sz="0" w:space="0" w:color="auto"/>
                        <w:right w:val="none" w:sz="0" w:space="0" w:color="auto"/>
                      </w:divBdr>
                    </w:div>
                  </w:divsChild>
                </w:div>
                <w:div w:id="1568832891">
                  <w:marLeft w:val="0"/>
                  <w:marRight w:val="0"/>
                  <w:marTop w:val="0"/>
                  <w:marBottom w:val="0"/>
                  <w:divBdr>
                    <w:top w:val="none" w:sz="0" w:space="0" w:color="auto"/>
                    <w:left w:val="none" w:sz="0" w:space="0" w:color="auto"/>
                    <w:bottom w:val="none" w:sz="0" w:space="0" w:color="auto"/>
                    <w:right w:val="none" w:sz="0" w:space="0" w:color="auto"/>
                  </w:divBdr>
                  <w:divsChild>
                    <w:div w:id="580796486">
                      <w:marLeft w:val="0"/>
                      <w:marRight w:val="0"/>
                      <w:marTop w:val="0"/>
                      <w:marBottom w:val="0"/>
                      <w:divBdr>
                        <w:top w:val="none" w:sz="0" w:space="0" w:color="auto"/>
                        <w:left w:val="none" w:sz="0" w:space="0" w:color="auto"/>
                        <w:bottom w:val="none" w:sz="0" w:space="0" w:color="auto"/>
                        <w:right w:val="none" w:sz="0" w:space="0" w:color="auto"/>
                      </w:divBdr>
                    </w:div>
                  </w:divsChild>
                </w:div>
                <w:div w:id="1645155833">
                  <w:marLeft w:val="0"/>
                  <w:marRight w:val="0"/>
                  <w:marTop w:val="0"/>
                  <w:marBottom w:val="0"/>
                  <w:divBdr>
                    <w:top w:val="none" w:sz="0" w:space="0" w:color="auto"/>
                    <w:left w:val="none" w:sz="0" w:space="0" w:color="auto"/>
                    <w:bottom w:val="none" w:sz="0" w:space="0" w:color="auto"/>
                    <w:right w:val="none" w:sz="0" w:space="0" w:color="auto"/>
                  </w:divBdr>
                  <w:divsChild>
                    <w:div w:id="1550339607">
                      <w:marLeft w:val="0"/>
                      <w:marRight w:val="0"/>
                      <w:marTop w:val="0"/>
                      <w:marBottom w:val="0"/>
                      <w:divBdr>
                        <w:top w:val="none" w:sz="0" w:space="0" w:color="auto"/>
                        <w:left w:val="none" w:sz="0" w:space="0" w:color="auto"/>
                        <w:bottom w:val="none" w:sz="0" w:space="0" w:color="auto"/>
                        <w:right w:val="none" w:sz="0" w:space="0" w:color="auto"/>
                      </w:divBdr>
                    </w:div>
                  </w:divsChild>
                </w:div>
                <w:div w:id="1876694354">
                  <w:marLeft w:val="0"/>
                  <w:marRight w:val="0"/>
                  <w:marTop w:val="0"/>
                  <w:marBottom w:val="0"/>
                  <w:divBdr>
                    <w:top w:val="none" w:sz="0" w:space="0" w:color="auto"/>
                    <w:left w:val="none" w:sz="0" w:space="0" w:color="auto"/>
                    <w:bottom w:val="none" w:sz="0" w:space="0" w:color="auto"/>
                    <w:right w:val="none" w:sz="0" w:space="0" w:color="auto"/>
                  </w:divBdr>
                  <w:divsChild>
                    <w:div w:id="1842624989">
                      <w:marLeft w:val="0"/>
                      <w:marRight w:val="0"/>
                      <w:marTop w:val="0"/>
                      <w:marBottom w:val="0"/>
                      <w:divBdr>
                        <w:top w:val="none" w:sz="0" w:space="0" w:color="auto"/>
                        <w:left w:val="none" w:sz="0" w:space="0" w:color="auto"/>
                        <w:bottom w:val="none" w:sz="0" w:space="0" w:color="auto"/>
                        <w:right w:val="none" w:sz="0" w:space="0" w:color="auto"/>
                      </w:divBdr>
                    </w:div>
                  </w:divsChild>
                </w:div>
                <w:div w:id="2033532132">
                  <w:marLeft w:val="0"/>
                  <w:marRight w:val="0"/>
                  <w:marTop w:val="0"/>
                  <w:marBottom w:val="0"/>
                  <w:divBdr>
                    <w:top w:val="none" w:sz="0" w:space="0" w:color="auto"/>
                    <w:left w:val="none" w:sz="0" w:space="0" w:color="auto"/>
                    <w:bottom w:val="none" w:sz="0" w:space="0" w:color="auto"/>
                    <w:right w:val="none" w:sz="0" w:space="0" w:color="auto"/>
                  </w:divBdr>
                  <w:divsChild>
                    <w:div w:id="9785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61014">
          <w:marLeft w:val="0"/>
          <w:marRight w:val="0"/>
          <w:marTop w:val="0"/>
          <w:marBottom w:val="0"/>
          <w:divBdr>
            <w:top w:val="none" w:sz="0" w:space="0" w:color="auto"/>
            <w:left w:val="none" w:sz="0" w:space="0" w:color="auto"/>
            <w:bottom w:val="none" w:sz="0" w:space="0" w:color="auto"/>
            <w:right w:val="none" w:sz="0" w:space="0" w:color="auto"/>
          </w:divBdr>
        </w:div>
      </w:divsChild>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764951670">
      <w:bodyDiv w:val="1"/>
      <w:marLeft w:val="0"/>
      <w:marRight w:val="0"/>
      <w:marTop w:val="0"/>
      <w:marBottom w:val="0"/>
      <w:divBdr>
        <w:top w:val="none" w:sz="0" w:space="0" w:color="auto"/>
        <w:left w:val="none" w:sz="0" w:space="0" w:color="auto"/>
        <w:bottom w:val="none" w:sz="0" w:space="0" w:color="auto"/>
        <w:right w:val="none" w:sz="0" w:space="0" w:color="auto"/>
      </w:divBdr>
      <w:divsChild>
        <w:div w:id="128137180">
          <w:marLeft w:val="0"/>
          <w:marRight w:val="0"/>
          <w:marTop w:val="0"/>
          <w:marBottom w:val="0"/>
          <w:divBdr>
            <w:top w:val="none" w:sz="0" w:space="0" w:color="auto"/>
            <w:left w:val="none" w:sz="0" w:space="0" w:color="auto"/>
            <w:bottom w:val="none" w:sz="0" w:space="0" w:color="auto"/>
            <w:right w:val="none" w:sz="0" w:space="0" w:color="auto"/>
          </w:divBdr>
        </w:div>
        <w:div w:id="215120066">
          <w:marLeft w:val="0"/>
          <w:marRight w:val="0"/>
          <w:marTop w:val="0"/>
          <w:marBottom w:val="0"/>
          <w:divBdr>
            <w:top w:val="none" w:sz="0" w:space="0" w:color="auto"/>
            <w:left w:val="none" w:sz="0" w:space="0" w:color="auto"/>
            <w:bottom w:val="none" w:sz="0" w:space="0" w:color="auto"/>
            <w:right w:val="none" w:sz="0" w:space="0" w:color="auto"/>
          </w:divBdr>
        </w:div>
        <w:div w:id="490173042">
          <w:marLeft w:val="0"/>
          <w:marRight w:val="0"/>
          <w:marTop w:val="0"/>
          <w:marBottom w:val="0"/>
          <w:divBdr>
            <w:top w:val="none" w:sz="0" w:space="0" w:color="auto"/>
            <w:left w:val="none" w:sz="0" w:space="0" w:color="auto"/>
            <w:bottom w:val="none" w:sz="0" w:space="0" w:color="auto"/>
            <w:right w:val="none" w:sz="0" w:space="0" w:color="auto"/>
          </w:divBdr>
        </w:div>
        <w:div w:id="731271774">
          <w:marLeft w:val="0"/>
          <w:marRight w:val="0"/>
          <w:marTop w:val="0"/>
          <w:marBottom w:val="0"/>
          <w:divBdr>
            <w:top w:val="none" w:sz="0" w:space="0" w:color="auto"/>
            <w:left w:val="none" w:sz="0" w:space="0" w:color="auto"/>
            <w:bottom w:val="none" w:sz="0" w:space="0" w:color="auto"/>
            <w:right w:val="none" w:sz="0" w:space="0" w:color="auto"/>
          </w:divBdr>
        </w:div>
        <w:div w:id="905065990">
          <w:marLeft w:val="0"/>
          <w:marRight w:val="0"/>
          <w:marTop w:val="0"/>
          <w:marBottom w:val="0"/>
          <w:divBdr>
            <w:top w:val="none" w:sz="0" w:space="0" w:color="auto"/>
            <w:left w:val="none" w:sz="0" w:space="0" w:color="auto"/>
            <w:bottom w:val="none" w:sz="0" w:space="0" w:color="auto"/>
            <w:right w:val="none" w:sz="0" w:space="0" w:color="auto"/>
          </w:divBdr>
        </w:div>
        <w:div w:id="912811834">
          <w:marLeft w:val="0"/>
          <w:marRight w:val="0"/>
          <w:marTop w:val="0"/>
          <w:marBottom w:val="0"/>
          <w:divBdr>
            <w:top w:val="none" w:sz="0" w:space="0" w:color="auto"/>
            <w:left w:val="none" w:sz="0" w:space="0" w:color="auto"/>
            <w:bottom w:val="none" w:sz="0" w:space="0" w:color="auto"/>
            <w:right w:val="none" w:sz="0" w:space="0" w:color="auto"/>
          </w:divBdr>
        </w:div>
        <w:div w:id="952786548">
          <w:marLeft w:val="0"/>
          <w:marRight w:val="0"/>
          <w:marTop w:val="0"/>
          <w:marBottom w:val="0"/>
          <w:divBdr>
            <w:top w:val="none" w:sz="0" w:space="0" w:color="auto"/>
            <w:left w:val="none" w:sz="0" w:space="0" w:color="auto"/>
            <w:bottom w:val="none" w:sz="0" w:space="0" w:color="auto"/>
            <w:right w:val="none" w:sz="0" w:space="0" w:color="auto"/>
          </w:divBdr>
        </w:div>
        <w:div w:id="1514148446">
          <w:marLeft w:val="0"/>
          <w:marRight w:val="0"/>
          <w:marTop w:val="0"/>
          <w:marBottom w:val="0"/>
          <w:divBdr>
            <w:top w:val="none" w:sz="0" w:space="0" w:color="auto"/>
            <w:left w:val="none" w:sz="0" w:space="0" w:color="auto"/>
            <w:bottom w:val="none" w:sz="0" w:space="0" w:color="auto"/>
            <w:right w:val="none" w:sz="0" w:space="0" w:color="auto"/>
          </w:divBdr>
        </w:div>
      </w:divsChild>
    </w:div>
    <w:div w:id="1771192577">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pe.hhs.gov/social-risk-factors-and-medicares-value-basedpurchasing-program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edpac.gov/docs/default-source/reports/mar20_medpac_ch13_sec.pdf"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057E8"/>
    <w:rsid w:val="00127222"/>
    <w:rsid w:val="001736D7"/>
    <w:rsid w:val="00190AF4"/>
    <w:rsid w:val="001E4FEA"/>
    <w:rsid w:val="00223FA3"/>
    <w:rsid w:val="002A288F"/>
    <w:rsid w:val="002C65A7"/>
    <w:rsid w:val="002F052A"/>
    <w:rsid w:val="00350176"/>
    <w:rsid w:val="003840F0"/>
    <w:rsid w:val="00437537"/>
    <w:rsid w:val="00494845"/>
    <w:rsid w:val="004D785E"/>
    <w:rsid w:val="0050044A"/>
    <w:rsid w:val="00513FC9"/>
    <w:rsid w:val="00521476"/>
    <w:rsid w:val="0053654E"/>
    <w:rsid w:val="00576C0F"/>
    <w:rsid w:val="005C54AA"/>
    <w:rsid w:val="00610196"/>
    <w:rsid w:val="00632A7E"/>
    <w:rsid w:val="00632AB6"/>
    <w:rsid w:val="00644C5A"/>
    <w:rsid w:val="006A5644"/>
    <w:rsid w:val="00730B33"/>
    <w:rsid w:val="00772B2A"/>
    <w:rsid w:val="007C672A"/>
    <w:rsid w:val="007D4368"/>
    <w:rsid w:val="00822666"/>
    <w:rsid w:val="00823ECC"/>
    <w:rsid w:val="00826796"/>
    <w:rsid w:val="00866C97"/>
    <w:rsid w:val="009017AE"/>
    <w:rsid w:val="009731DA"/>
    <w:rsid w:val="009C542D"/>
    <w:rsid w:val="00A01A18"/>
    <w:rsid w:val="00A46204"/>
    <w:rsid w:val="00A95183"/>
    <w:rsid w:val="00AB4AF7"/>
    <w:rsid w:val="00AD7C4F"/>
    <w:rsid w:val="00B13831"/>
    <w:rsid w:val="00B445F5"/>
    <w:rsid w:val="00BD40CB"/>
    <w:rsid w:val="00BE4A61"/>
    <w:rsid w:val="00C362A2"/>
    <w:rsid w:val="00C66D78"/>
    <w:rsid w:val="00C90121"/>
    <w:rsid w:val="00C96E73"/>
    <w:rsid w:val="00CA1FE8"/>
    <w:rsid w:val="00CA344F"/>
    <w:rsid w:val="00CA660C"/>
    <w:rsid w:val="00CB47C4"/>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4615f93-1352-4a7e-b7a8-3b07e39b2009">
      <UserInfo>
        <DisplayName>Pamela Lighter</DisplayName>
        <AccountId>731</AccountId>
        <AccountType/>
      </UserInfo>
      <UserInfo>
        <DisplayName>Marleen Jones-Pool</DisplayName>
        <AccountId>3055</AccountId>
        <AccountType/>
      </UserInfo>
      <UserInfo>
        <DisplayName>Rachel Harrington</DisplayName>
        <AccountId>2831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00C901-3C40-4C03-AF30-8401D54B3554}">
  <ds:schemaRefs>
    <ds:schemaRef ds:uri="http://schemas.microsoft.com/office/2006/metadata/propertie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64615f93-1352-4a7e-b7a8-3b07e39b2009"/>
    <ds:schemaRef ds:uri="76bce2c7-2e52-4525-a6e0-24f8a73e605d"/>
  </ds:schemaRefs>
</ds:datastoreItem>
</file>

<file path=customXml/itemProps2.xml><?xml version="1.0" encoding="utf-8"?>
<ds:datastoreItem xmlns:ds="http://schemas.openxmlformats.org/officeDocument/2006/customXml" ds:itemID="{DD2AC551-F6A7-4078-B298-3BB1A8C7F2F4}">
  <ds:schemaRefs>
    <ds:schemaRef ds:uri="http://schemas.openxmlformats.org/officeDocument/2006/bibliography"/>
  </ds:schemaRefs>
</ds:datastoreItem>
</file>

<file path=customXml/itemProps3.xml><?xml version="1.0" encoding="utf-8"?>
<ds:datastoreItem xmlns:ds="http://schemas.openxmlformats.org/officeDocument/2006/customXml" ds:itemID="{0175D494-3163-4B50-8CC2-2D718307F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8035</Words>
  <Characters>45801</Characters>
  <Application>Microsoft Office Word</Application>
  <DocSecurity>0</DocSecurity>
  <Lines>381</Lines>
  <Paragraphs>107</Paragraphs>
  <ScaleCrop>false</ScaleCrop>
  <Company>National Quality Forum</Company>
  <LinksUpToDate>false</LinksUpToDate>
  <CharactersWithSpaces>53729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Laetitia Beyegue</cp:lastModifiedBy>
  <cp:revision>502</cp:revision>
  <dcterms:created xsi:type="dcterms:W3CDTF">2017-10-11T15:02:00Z</dcterms:created>
  <dcterms:modified xsi:type="dcterms:W3CDTF">2020-10-30T19:20:00Z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