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51D2094E"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F758BE">
            <w:rPr>
              <w:rStyle w:val="Style1"/>
            </w:rPr>
            <w:t>0022</w:t>
          </w:r>
        </w:sdtContent>
      </w:sdt>
    </w:p>
    <w:p w14:paraId="55B8DA2F" w14:textId="739B1C7B"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666499">
            <w:rPr>
              <w:rStyle w:val="Style1"/>
            </w:rPr>
            <w:t>Use of High</w:t>
          </w:r>
          <w:r w:rsidR="0058426F">
            <w:rPr>
              <w:rStyle w:val="Style1"/>
            </w:rPr>
            <w:t>-</w:t>
          </w:r>
          <w:r w:rsidR="00666499">
            <w:rPr>
              <w:rStyle w:val="Style1"/>
            </w:rPr>
            <w:t>Risk Medications in Older Adults</w:t>
          </w:r>
        </w:sdtContent>
      </w:sdt>
    </w:p>
    <w:p w14:paraId="55B8DA30" w14:textId="79F19698"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666499">
            <w:rPr>
              <w:rStyle w:val="Style1"/>
            </w:rPr>
            <w:t>N/A</w:t>
          </w:r>
        </w:sdtContent>
      </w:sdt>
    </w:p>
    <w:p w14:paraId="55B8DA31" w14:textId="77777777"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showingPlcHdr/>
          <w:date>
            <w:dateFormat w:val="M/d/yyyy"/>
            <w:lid w:val="en-US"/>
            <w:storeMappedDataAs w:val="dateTime"/>
            <w:calendar w:val="gregorian"/>
          </w:date>
        </w:sdtPr>
        <w:sdtEndPr>
          <w:rPr>
            <w:rStyle w:val="DefaultParagraphFont"/>
            <w:noProof/>
            <w:color w:val="auto"/>
            <w:u w:val="none"/>
          </w:rPr>
        </w:sdtEndPr>
        <w:sdtContent>
          <w:r w:rsidRPr="003B1CC5">
            <w:rPr>
              <w:rStyle w:val="PlaceholderText"/>
              <w:rFonts w:cstheme="minorHAnsi"/>
              <w:color w:val="A6A6A6" w:themeColor="background1" w:themeShade="A6"/>
            </w:rPr>
            <w:t>Click here to enter a date</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8B2503"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8B2503"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8B2503"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408022F4" w:rsidR="00D73685" w:rsidRDefault="008B2503"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666499">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sdt>
            <w:sdtPr>
              <w:rPr>
                <w:rStyle w:val="Style2"/>
                <w:rFonts w:cstheme="minorHAnsi"/>
              </w:rPr>
              <w:id w:val="-2131243091"/>
            </w:sdtPr>
            <w:sdtEndPr>
              <w:rPr>
                <w:rStyle w:val="DefaultParagraphFont"/>
                <w:rFonts w:cstheme="minorBidi"/>
                <w:bCs/>
                <w:color w:val="auto"/>
                <w:u w:val="none"/>
              </w:rPr>
            </w:sdtEndPr>
            <w:sdtContent>
              <w:sdt>
                <w:sdtPr>
                  <w:rPr>
                    <w:rStyle w:val="Style2"/>
                    <w:rFonts w:cstheme="minorHAnsi"/>
                  </w:rPr>
                  <w:id w:val="321244333"/>
                </w:sdtPr>
                <w:sdtEndPr>
                  <w:rPr>
                    <w:rStyle w:val="DefaultParagraphFont"/>
                    <w:rFonts w:cstheme="minorBidi"/>
                    <w:bCs/>
                    <w:color w:val="auto"/>
                    <w:u w:val="none"/>
                  </w:rPr>
                </w:sdtEndPr>
                <w:sdtContent>
                  <w:r w:rsidR="00750F08">
                    <w:rPr>
                      <w:rStyle w:val="Style2"/>
                      <w:rFonts w:cstheme="minorHAnsi"/>
                    </w:rPr>
                    <w:t>Prescribing of potentially harmful drugs for older adults</w:t>
                  </w:r>
                </w:sdtContent>
              </w:sdt>
            </w:sdtContent>
          </w:sdt>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8B2503"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8B2503"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2F825B0E" w:rsidR="002B06BD" w:rsidRDefault="002B06BD" w:rsidP="002E2177">
      <w:pPr>
        <w:ind w:left="432" w:hanging="432"/>
        <w:rPr>
          <w:color w:val="0000FF"/>
        </w:rPr>
      </w:pPr>
    </w:p>
    <w:p w14:paraId="13D6D805" w14:textId="77777777" w:rsidR="005A1A4A" w:rsidRPr="00C81F6D" w:rsidRDefault="005A1A4A" w:rsidP="005A1A4A">
      <w:pPr>
        <w:ind w:left="0" w:firstLine="0"/>
        <w:rPr>
          <w:color w:val="FF0000"/>
          <w:u w:val="single"/>
        </w:rPr>
      </w:pPr>
      <w:r w:rsidRPr="00C81F6D">
        <w:rPr>
          <w:color w:val="FF0000"/>
          <w:u w:val="single"/>
        </w:rPr>
        <w:t>2020 Submission</w:t>
      </w:r>
    </w:p>
    <w:p w14:paraId="30AE2774" w14:textId="0C02E4F2" w:rsidR="005A1A4A" w:rsidRPr="006E3521" w:rsidRDefault="006E3521" w:rsidP="002E2177">
      <w:pPr>
        <w:ind w:left="432" w:hanging="432"/>
        <w:rPr>
          <w:color w:val="FF0000"/>
        </w:rPr>
      </w:pPr>
      <w:r w:rsidRPr="006E3521">
        <w:rPr>
          <w:color w:val="FF0000"/>
        </w:rPr>
        <w:t xml:space="preserve">Older </w:t>
      </w:r>
      <w:r>
        <w:rPr>
          <w:color w:val="FF0000"/>
        </w:rPr>
        <w:t>adults</w:t>
      </w:r>
      <w:r w:rsidR="006B7495">
        <w:rPr>
          <w:color w:val="FF0000"/>
        </w:rPr>
        <w:t xml:space="preserve"> </w:t>
      </w:r>
      <w:r w:rsidR="00436FC3">
        <w:rPr>
          <w:color w:val="FF0000"/>
        </w:rPr>
        <w:t xml:space="preserve">at risk of adverse drug events &gt;&gt; </w:t>
      </w:r>
      <w:r w:rsidR="009D681D">
        <w:rPr>
          <w:color w:val="FF0000"/>
        </w:rPr>
        <w:t>clinician</w:t>
      </w:r>
      <w:r w:rsidR="00CB388E">
        <w:rPr>
          <w:color w:val="FF0000"/>
        </w:rPr>
        <w:t xml:space="preserve"> </w:t>
      </w:r>
      <w:r w:rsidR="00CB388E" w:rsidRPr="00CB388E">
        <w:rPr>
          <w:color w:val="FF0000"/>
        </w:rPr>
        <w:t>judiciously prescribes potentially harmful medications, selecting alternative pharmacologic and non-pharmacologic treatment approaches when possible</w:t>
      </w:r>
      <w:r w:rsidR="00CB388E">
        <w:rPr>
          <w:color w:val="FF0000"/>
        </w:rPr>
        <w:t xml:space="preserve"> &gt;&gt; adverse drug events are avoided &gt;&gt; </w:t>
      </w:r>
      <w:r w:rsidR="009D681D">
        <w:rPr>
          <w:color w:val="FF0000"/>
        </w:rPr>
        <w:t>morbidity</w:t>
      </w:r>
      <w:r w:rsidR="00CB388E">
        <w:rPr>
          <w:color w:val="FF0000"/>
        </w:rPr>
        <w:t xml:space="preserve"> and mortality is reduced</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5B8DA5D" w14:textId="77777777" w:rsidR="00676BD4" w:rsidRDefault="00676BD4" w:rsidP="00ED299A">
      <w:pPr>
        <w:ind w:left="0" w:firstLine="0"/>
        <w:rPr>
          <w:b/>
          <w:color w:val="0000FF"/>
        </w:rPr>
      </w:pPr>
    </w:p>
    <w:p w14:paraId="55B8DA5F" w14:textId="42727CC0" w:rsidR="00676BD4" w:rsidRPr="00ED299A" w:rsidRDefault="00ED299A" w:rsidP="00A9011D">
      <w:pPr>
        <w:ind w:left="0" w:firstLine="0"/>
        <w:rPr>
          <w:bCs/>
          <w:color w:val="FF0000"/>
        </w:rPr>
      </w:pPr>
      <w:r w:rsidRPr="00ED299A">
        <w:rPr>
          <w:bCs/>
          <w:color w:val="FF0000"/>
        </w:rPr>
        <w:t>N/A</w:t>
      </w: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063F604F" w14:textId="77777777" w:rsidR="0008610B" w:rsidRDefault="0008610B" w:rsidP="0008610B">
      <w:pPr>
        <w:ind w:left="0" w:firstLine="0"/>
        <w:rPr>
          <w:bCs/>
          <w:color w:val="FF0000"/>
        </w:rPr>
      </w:pPr>
    </w:p>
    <w:p w14:paraId="622AFDC7" w14:textId="33C7777A" w:rsidR="0008610B" w:rsidRPr="00ED299A" w:rsidRDefault="0008610B" w:rsidP="0008610B">
      <w:pPr>
        <w:ind w:left="0" w:firstLine="0"/>
        <w:rPr>
          <w:bCs/>
          <w:color w:val="FF0000"/>
        </w:rPr>
      </w:pPr>
      <w:r w:rsidRPr="00ED299A">
        <w:rPr>
          <w:bCs/>
          <w:color w:val="FF0000"/>
        </w:rPr>
        <w:t>N/A</w:t>
      </w: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5" w:name="Section1a3"/>
      <w:bookmarkEnd w:id="5"/>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lastRenderedPageBreak/>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627AFF">
        <w:rPr>
          <w:rFonts w:ascii="Times New Roman" w:eastAsia="Arial Unicode MS" w:hAnsi="Times New Roman" w:cs="Mangal" w:hint="eastAsia"/>
          <w:color w:val="0000FF"/>
          <w:kern w:val="1"/>
          <w:sz w:val="24"/>
          <w:szCs w:val="24"/>
          <w:highlight w:val="yellow"/>
          <w:lang w:eastAsia="hi-IN" w:bidi="hi-IN"/>
        </w:rPr>
        <w:t>☐</w:t>
      </w:r>
      <w:r w:rsidRPr="00627AFF">
        <w:rPr>
          <w:rFonts w:ascii="Times New Roman" w:eastAsia="Arial Unicode MS" w:hAnsi="Times New Roman" w:cs="Mangal"/>
          <w:color w:val="0000FF"/>
          <w:kern w:val="1"/>
          <w:sz w:val="24"/>
          <w:szCs w:val="24"/>
          <w:highlight w:val="yellow"/>
          <w:lang w:eastAsia="hi-IN" w:bidi="hi-IN"/>
        </w:rPr>
        <w:t xml:space="preserve"> </w:t>
      </w:r>
      <w:r w:rsidR="00A9011D" w:rsidRPr="00627AFF">
        <w:rPr>
          <w:rFonts w:ascii="Calibri" w:eastAsia="Calibri" w:hAnsi="Calibri" w:cs="Times New Roman"/>
          <w:highlight w:val="yellow"/>
        </w:rPr>
        <w:t xml:space="preserve">Clinical Practice Guideline recommendation </w:t>
      </w:r>
      <w:r w:rsidRPr="00627AFF">
        <w:rPr>
          <w:rFonts w:ascii="Calibri" w:eastAsia="Calibri" w:hAnsi="Calibri" w:cs="Times New Roman"/>
          <w:highlight w:val="yellow"/>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ayout w:type="fixed"/>
        <w:tblLook w:val="04A0" w:firstRow="1" w:lastRow="0" w:firstColumn="1" w:lastColumn="0" w:noHBand="0" w:noVBand="1"/>
      </w:tblPr>
      <w:tblGrid>
        <w:gridCol w:w="1795"/>
        <w:gridCol w:w="7555"/>
      </w:tblGrid>
      <w:tr w:rsidR="00AB4ECE" w14:paraId="55B8DA76" w14:textId="77777777" w:rsidTr="002E467D">
        <w:tc>
          <w:tcPr>
            <w:tcW w:w="1795"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7555" w:type="dxa"/>
          </w:tcPr>
          <w:p w14:paraId="095A7E44" w14:textId="0174D6B5" w:rsidR="00AB4ECE" w:rsidRPr="007A302B" w:rsidRDefault="00E56F02" w:rsidP="002E2177">
            <w:pPr>
              <w:ind w:left="0" w:firstLine="0"/>
              <w:rPr>
                <w:bCs/>
                <w:color w:val="FF0000"/>
                <w:u w:val="single"/>
              </w:rPr>
            </w:pPr>
            <w:r w:rsidRPr="007A302B">
              <w:rPr>
                <w:bCs/>
                <w:color w:val="FF0000"/>
                <w:u w:val="single"/>
              </w:rPr>
              <w:t>2020 Submission</w:t>
            </w:r>
          </w:p>
          <w:p w14:paraId="70437101" w14:textId="1266F863" w:rsidR="00E56F02" w:rsidRPr="007A302B" w:rsidRDefault="00824E00" w:rsidP="002E2177">
            <w:pPr>
              <w:ind w:left="0" w:firstLine="0"/>
              <w:rPr>
                <w:bCs/>
                <w:color w:val="FF0000"/>
              </w:rPr>
            </w:pPr>
            <w:r w:rsidRPr="00824E00">
              <w:rPr>
                <w:bCs/>
                <w:color w:val="FF0000"/>
              </w:rPr>
              <w:t xml:space="preserve">American Geriatrics Society </w:t>
            </w:r>
            <w:r>
              <w:rPr>
                <w:bCs/>
                <w:color w:val="FF0000"/>
              </w:rPr>
              <w:t>2019</w:t>
            </w:r>
            <w:r w:rsidRPr="00824E00">
              <w:rPr>
                <w:bCs/>
                <w:color w:val="FF0000"/>
              </w:rPr>
              <w:t xml:space="preserve"> Beers Criteria Update Expert Panel. </w:t>
            </w:r>
            <w:r w:rsidR="00514B0E">
              <w:rPr>
                <w:bCs/>
                <w:color w:val="FF0000"/>
              </w:rPr>
              <w:t>2019</w:t>
            </w:r>
            <w:r w:rsidRPr="00824E00">
              <w:rPr>
                <w:bCs/>
                <w:color w:val="FF0000"/>
              </w:rPr>
              <w:t xml:space="preserve">. American Geriatrics Society </w:t>
            </w:r>
            <w:r w:rsidR="00514B0E">
              <w:rPr>
                <w:bCs/>
                <w:color w:val="FF0000"/>
              </w:rPr>
              <w:t>2019</w:t>
            </w:r>
            <w:r w:rsidRPr="00824E00">
              <w:rPr>
                <w:bCs/>
                <w:color w:val="FF0000"/>
              </w:rPr>
              <w:t xml:space="preserve"> Updated </w:t>
            </w:r>
            <w:r w:rsidR="00514B0E">
              <w:rPr>
                <w:bCs/>
                <w:color w:val="FF0000"/>
              </w:rPr>
              <w:t xml:space="preserve">AGS </w:t>
            </w:r>
            <w:r w:rsidRPr="00824E00">
              <w:rPr>
                <w:bCs/>
                <w:color w:val="FF0000"/>
              </w:rPr>
              <w:t xml:space="preserve">Beers Criteria for Potentially Inappropriate Medication Use in Older Adults. Journal of the American Geriatrics Society, </w:t>
            </w:r>
            <w:r w:rsidR="00D458DB" w:rsidRPr="00E55B34">
              <w:rPr>
                <w:bCs/>
                <w:color w:val="FF0000"/>
              </w:rPr>
              <w:t>67</w:t>
            </w:r>
            <w:r w:rsidRPr="00824E00">
              <w:rPr>
                <w:bCs/>
                <w:color w:val="FF0000"/>
              </w:rPr>
              <w:t>(</w:t>
            </w:r>
            <w:r w:rsidR="00D458DB" w:rsidRPr="00E55B34">
              <w:rPr>
                <w:bCs/>
                <w:color w:val="FF0000"/>
              </w:rPr>
              <w:t>4</w:t>
            </w:r>
            <w:r w:rsidRPr="00824E00">
              <w:rPr>
                <w:bCs/>
                <w:color w:val="FF0000"/>
              </w:rPr>
              <w:t xml:space="preserve">): </w:t>
            </w:r>
            <w:r w:rsidR="00E55B34" w:rsidRPr="00E55B34">
              <w:rPr>
                <w:bCs/>
                <w:color w:val="FF0000"/>
              </w:rPr>
              <w:t>674-94</w:t>
            </w:r>
            <w:r w:rsidRPr="00824E00">
              <w:rPr>
                <w:bCs/>
                <w:color w:val="FF0000"/>
              </w:rPr>
              <w:t>.</w:t>
            </w:r>
          </w:p>
          <w:p w14:paraId="1ED1ABBD" w14:textId="05D3C38C" w:rsidR="00E56F02" w:rsidRDefault="00E56F02" w:rsidP="002E2177">
            <w:pPr>
              <w:ind w:left="0" w:firstLine="0"/>
              <w:rPr>
                <w:b/>
              </w:rPr>
            </w:pPr>
          </w:p>
          <w:p w14:paraId="2D1DD88C" w14:textId="6B48C868" w:rsidR="004F720C" w:rsidRPr="007122D7" w:rsidRDefault="004F720C" w:rsidP="004F720C">
            <w:pPr>
              <w:ind w:left="0" w:firstLine="0"/>
              <w:rPr>
                <w:bCs/>
                <w:color w:val="FF0000"/>
              </w:rPr>
            </w:pPr>
            <w:r w:rsidRPr="007122D7">
              <w:rPr>
                <w:bCs/>
                <w:color w:val="FF0000"/>
              </w:rPr>
              <w:t>Below are the guiding principles that were developed to determine which medications would be included in the measure.  </w:t>
            </w:r>
          </w:p>
          <w:p w14:paraId="6D0933AC" w14:textId="77777777" w:rsidR="004F720C" w:rsidRDefault="004F720C" w:rsidP="004F720C">
            <w:pPr>
              <w:ind w:left="0" w:firstLine="0"/>
              <w:rPr>
                <w:b/>
                <w:bCs/>
                <w:color w:val="FF0000"/>
                <w:u w:val="single"/>
              </w:rPr>
            </w:pPr>
          </w:p>
          <w:p w14:paraId="15102BE6" w14:textId="77777777" w:rsidR="004F720C" w:rsidRPr="007122D7" w:rsidRDefault="004F720C" w:rsidP="004F720C">
            <w:pPr>
              <w:ind w:left="0" w:firstLine="0"/>
              <w:rPr>
                <w:bCs/>
                <w:color w:val="FF0000"/>
              </w:rPr>
            </w:pPr>
            <w:r w:rsidRPr="007122D7">
              <w:rPr>
                <w:b/>
                <w:bCs/>
                <w:color w:val="FF0000"/>
                <w:u w:val="single"/>
              </w:rPr>
              <w:t>Guiding Principles</w:t>
            </w:r>
            <w:r w:rsidRPr="007122D7">
              <w:rPr>
                <w:bCs/>
                <w:color w:val="FF0000"/>
              </w:rPr>
              <w:t> </w:t>
            </w:r>
          </w:p>
          <w:p w14:paraId="7B750C70" w14:textId="77777777" w:rsidR="006E7969" w:rsidRPr="006E7969" w:rsidRDefault="006E7969" w:rsidP="006E7969">
            <w:pPr>
              <w:numPr>
                <w:ilvl w:val="0"/>
                <w:numId w:val="13"/>
              </w:numPr>
              <w:rPr>
                <w:bCs/>
                <w:color w:val="FF0000"/>
              </w:rPr>
            </w:pPr>
            <w:r w:rsidRPr="006E7969">
              <w:rPr>
                <w:bCs/>
                <w:color w:val="FF0000"/>
              </w:rPr>
              <w:t>Include only medications listed in Table 2: 2019 AGS Beers Criteria for Potentially Inappropriate Medication Use in Older Adults.  </w:t>
            </w:r>
          </w:p>
          <w:p w14:paraId="546B0C76" w14:textId="77777777" w:rsidR="006E7969" w:rsidRPr="006E7969" w:rsidRDefault="006E7969" w:rsidP="006E7969">
            <w:pPr>
              <w:numPr>
                <w:ilvl w:val="0"/>
                <w:numId w:val="13"/>
              </w:numPr>
              <w:rPr>
                <w:bCs/>
                <w:color w:val="FF0000"/>
              </w:rPr>
            </w:pPr>
            <w:r w:rsidRPr="006E7969">
              <w:rPr>
                <w:bCs/>
                <w:color w:val="FF0000"/>
              </w:rPr>
              <w:t>Include only prescription medications.   </w:t>
            </w:r>
          </w:p>
          <w:p w14:paraId="29C9FABD" w14:textId="77777777" w:rsidR="006E7969" w:rsidRPr="006E7969" w:rsidRDefault="006E7969" w:rsidP="006E7969">
            <w:pPr>
              <w:numPr>
                <w:ilvl w:val="0"/>
                <w:numId w:val="13"/>
              </w:numPr>
              <w:rPr>
                <w:bCs/>
                <w:color w:val="FF0000"/>
              </w:rPr>
            </w:pPr>
            <w:r w:rsidRPr="006E7969">
              <w:rPr>
                <w:bCs/>
                <w:color w:val="FF0000"/>
              </w:rPr>
              <w:t>Include only medications where the AGS Recommendation indicates “avoid” and that can be identified reliably from prescription drug claims data.  </w:t>
            </w:r>
          </w:p>
          <w:p w14:paraId="44A4DF67" w14:textId="77777777" w:rsidR="006E7969" w:rsidRPr="006E7969" w:rsidRDefault="006E7969" w:rsidP="006E7969">
            <w:pPr>
              <w:numPr>
                <w:ilvl w:val="0"/>
                <w:numId w:val="13"/>
              </w:numPr>
              <w:rPr>
                <w:bCs/>
                <w:color w:val="FF0000"/>
              </w:rPr>
            </w:pPr>
            <w:r w:rsidRPr="006E7969">
              <w:rPr>
                <w:bCs/>
                <w:color w:val="FF0000"/>
              </w:rPr>
              <w:t>Include only medications where the AGS Recommendation or Rationale includes caveats (“except in”) that can be identified reliably from administrative claims data. </w:t>
            </w:r>
          </w:p>
          <w:p w14:paraId="041B5BD9" w14:textId="77777777" w:rsidR="006E7969" w:rsidRPr="006E7969" w:rsidRDefault="006E7969" w:rsidP="006E7969">
            <w:pPr>
              <w:numPr>
                <w:ilvl w:val="0"/>
                <w:numId w:val="13"/>
              </w:numPr>
              <w:rPr>
                <w:bCs/>
                <w:color w:val="FF0000"/>
              </w:rPr>
            </w:pPr>
            <w:r w:rsidRPr="006E7969">
              <w:rPr>
                <w:bCs/>
                <w:color w:val="FF0000"/>
              </w:rPr>
              <w:t>Do not include medications that are rarely prescribed and would not provide a sufficient denominator count for quality measurement.   </w:t>
            </w:r>
          </w:p>
          <w:p w14:paraId="289F36C0" w14:textId="77777777" w:rsidR="006E7969" w:rsidRPr="006E7969" w:rsidRDefault="006E7969" w:rsidP="006E7969">
            <w:pPr>
              <w:numPr>
                <w:ilvl w:val="0"/>
                <w:numId w:val="13"/>
              </w:numPr>
              <w:rPr>
                <w:bCs/>
                <w:color w:val="FF0000"/>
              </w:rPr>
            </w:pPr>
            <w:r w:rsidRPr="006E7969">
              <w:rPr>
                <w:bCs/>
                <w:color w:val="FF0000"/>
              </w:rPr>
              <w:t>If including a medication in the measure would likely result in the increased use of another potentially harmful medication that is not included in the measure, an exception to these guiding principles may be warranted to reduce this unintended consequence. </w:t>
            </w:r>
          </w:p>
          <w:p w14:paraId="6F9D6909" w14:textId="77777777" w:rsidR="00E56F02" w:rsidRPr="007A302B" w:rsidRDefault="00E56F02" w:rsidP="002E2177">
            <w:pPr>
              <w:ind w:left="0" w:firstLine="0"/>
              <w:rPr>
                <w:bCs/>
                <w:color w:val="0070C0"/>
                <w:u w:val="single"/>
              </w:rPr>
            </w:pPr>
            <w:r w:rsidRPr="007A302B">
              <w:rPr>
                <w:bCs/>
                <w:color w:val="0070C0"/>
                <w:u w:val="single"/>
              </w:rPr>
              <w:t>2016 Submission</w:t>
            </w:r>
          </w:p>
          <w:p w14:paraId="27BB1866" w14:textId="77777777" w:rsidR="00E56F02" w:rsidRPr="00E56F02" w:rsidRDefault="00E56F02" w:rsidP="00E56F02">
            <w:pPr>
              <w:ind w:left="0" w:firstLine="0"/>
              <w:rPr>
                <w:bCs/>
                <w:color w:val="0070C0"/>
              </w:rPr>
            </w:pPr>
            <w:r w:rsidRPr="00E56F02">
              <w:rPr>
                <w:bCs/>
                <w:color w:val="0070C0"/>
              </w:rPr>
              <w:t>American Geriatrics Society 2015 Beers Criteria Update Expert Panel. 2015. American Geriatrics Society 2015 Updated Beers Criteria for Potentially Inappropriate Medication Use in Older Adults. Journal of the American Geriatrics Society, 63(11): 2227-2246.</w:t>
            </w:r>
          </w:p>
          <w:p w14:paraId="55B8DA75" w14:textId="2B5B7B7E" w:rsidR="00E56F02" w:rsidRPr="00AB4ECE" w:rsidRDefault="00E56F02" w:rsidP="002E2177">
            <w:pPr>
              <w:ind w:left="0" w:firstLine="0"/>
              <w:rPr>
                <w:b/>
              </w:rPr>
            </w:pPr>
          </w:p>
        </w:tc>
      </w:tr>
      <w:tr w:rsidR="00AB4ECE" w:rsidRPr="00F7392C" w14:paraId="55B8DA79" w14:textId="77777777" w:rsidTr="002E467D">
        <w:tc>
          <w:tcPr>
            <w:tcW w:w="1795" w:type="dxa"/>
          </w:tcPr>
          <w:p w14:paraId="55B8DA77" w14:textId="77777777" w:rsidR="00AB4ECE" w:rsidRDefault="00AB4ECE" w:rsidP="002E2177">
            <w:pPr>
              <w:ind w:left="0" w:firstLine="0"/>
            </w:pPr>
            <w:r>
              <w:t xml:space="preserve">Quote the guideline or recommendation verbatim about </w:t>
            </w:r>
            <w:r>
              <w:lastRenderedPageBreak/>
              <w:t>the process, structure or intermediate outcome being measured.</w:t>
            </w:r>
            <w:r w:rsidR="000E5C93">
              <w:t xml:space="preserve"> If not a guideline, summarize the conclusions from the SR.</w:t>
            </w:r>
          </w:p>
        </w:tc>
        <w:tc>
          <w:tcPr>
            <w:tcW w:w="7555" w:type="dxa"/>
          </w:tcPr>
          <w:p w14:paraId="7C45C88C" w14:textId="4E32ECBB" w:rsidR="00517645" w:rsidRPr="0086137A" w:rsidRDefault="00B01390" w:rsidP="009E2069">
            <w:pPr>
              <w:ind w:left="0" w:firstLine="0"/>
              <w:rPr>
                <w:color w:val="FF0000"/>
                <w:u w:val="single"/>
              </w:rPr>
            </w:pPr>
            <w:r w:rsidRPr="0086137A">
              <w:rPr>
                <w:color w:val="FF0000"/>
                <w:u w:val="single"/>
              </w:rPr>
              <w:lastRenderedPageBreak/>
              <w:t>2020 Submission</w:t>
            </w:r>
          </w:p>
          <w:p w14:paraId="12B0AB83" w14:textId="3624A947" w:rsidR="00B01390" w:rsidRDefault="00D14AB6" w:rsidP="009E2069">
            <w:pPr>
              <w:ind w:left="0" w:firstLine="0"/>
              <w:rPr>
                <w:color w:val="FF0000"/>
              </w:rPr>
            </w:pPr>
            <w:r w:rsidRPr="0086137A">
              <w:rPr>
                <w:color w:val="FF0000"/>
              </w:rPr>
              <w:t>Language in the table below is taken verbatim from Table 2 (pages 5-</w:t>
            </w:r>
            <w:r w:rsidR="00AE32A4" w:rsidRPr="0086137A">
              <w:rPr>
                <w:color w:val="FF0000"/>
              </w:rPr>
              <w:t>9</w:t>
            </w:r>
            <w:r w:rsidRPr="0086137A">
              <w:rPr>
                <w:color w:val="FF0000"/>
              </w:rPr>
              <w:t xml:space="preserve">) of the </w:t>
            </w:r>
            <w:r w:rsidRPr="0086137A">
              <w:rPr>
                <w:i/>
                <w:iCs/>
                <w:color w:val="FF0000"/>
              </w:rPr>
              <w:t xml:space="preserve">American Geriatrics Society 2019 Updated Beers Criteria for Potentially </w:t>
            </w:r>
            <w:r w:rsidRPr="0086137A">
              <w:rPr>
                <w:i/>
                <w:iCs/>
                <w:color w:val="FF0000"/>
              </w:rPr>
              <w:lastRenderedPageBreak/>
              <w:t>Inappropriate Medication Use in Older Adults</w:t>
            </w:r>
            <w:r w:rsidRPr="0086137A">
              <w:rPr>
                <w:color w:val="FF0000"/>
              </w:rPr>
              <w:t>.</w:t>
            </w:r>
            <w:r w:rsidR="007A0F34">
              <w:rPr>
                <w:color w:val="FF0000"/>
              </w:rPr>
              <w:t xml:space="preserve"> </w:t>
            </w:r>
            <w:r w:rsidR="00F33AEB">
              <w:rPr>
                <w:color w:val="FF0000"/>
              </w:rPr>
              <w:t xml:space="preserve">The following </w:t>
            </w:r>
            <w:r w:rsidR="0062122C">
              <w:rPr>
                <w:color w:val="FF0000"/>
              </w:rPr>
              <w:t>changes</w:t>
            </w:r>
            <w:r w:rsidR="007A0F34">
              <w:rPr>
                <w:color w:val="FF0000"/>
              </w:rPr>
              <w:t xml:space="preserve"> to the 2019 Beers Criteri</w:t>
            </w:r>
            <w:r w:rsidR="003B5FD3">
              <w:rPr>
                <w:color w:val="FF0000"/>
              </w:rPr>
              <w:t xml:space="preserve">a </w:t>
            </w:r>
            <w:r w:rsidR="00503E90">
              <w:rPr>
                <w:color w:val="FF0000"/>
              </w:rPr>
              <w:t>were</w:t>
            </w:r>
            <w:r w:rsidR="00E76C77">
              <w:rPr>
                <w:color w:val="FF0000"/>
              </w:rPr>
              <w:t xml:space="preserve"> </w:t>
            </w:r>
            <w:r w:rsidR="00F33AEB">
              <w:rPr>
                <w:color w:val="FF0000"/>
              </w:rPr>
              <w:t>applied</w:t>
            </w:r>
            <w:r w:rsidR="00E76C77">
              <w:rPr>
                <w:color w:val="FF0000"/>
              </w:rPr>
              <w:t xml:space="preserve"> to</w:t>
            </w:r>
            <w:r w:rsidR="003B5FD3">
              <w:rPr>
                <w:color w:val="FF0000"/>
              </w:rPr>
              <w:t xml:space="preserve"> the DAE measure</w:t>
            </w:r>
            <w:r w:rsidR="00503E90">
              <w:rPr>
                <w:color w:val="FF0000"/>
              </w:rPr>
              <w:t xml:space="preserve"> </w:t>
            </w:r>
            <w:r w:rsidR="00197E23">
              <w:rPr>
                <w:color w:val="FF0000"/>
              </w:rPr>
              <w:t>during</w:t>
            </w:r>
            <w:r w:rsidR="00503E90">
              <w:rPr>
                <w:color w:val="FF0000"/>
              </w:rPr>
              <w:t xml:space="preserve"> the most recent update</w:t>
            </w:r>
            <w:r w:rsidR="003B5FD3">
              <w:rPr>
                <w:color w:val="FF0000"/>
              </w:rPr>
              <w:t>:</w:t>
            </w:r>
          </w:p>
          <w:p w14:paraId="6C39D709" w14:textId="377ED692" w:rsidR="00F33AEB" w:rsidRPr="00F33AEB" w:rsidRDefault="00F33AEB" w:rsidP="00F33AEB">
            <w:pPr>
              <w:pStyle w:val="ListParagraph"/>
              <w:numPr>
                <w:ilvl w:val="0"/>
                <w:numId w:val="12"/>
              </w:numPr>
              <w:rPr>
                <w:color w:val="FF0000"/>
              </w:rPr>
            </w:pPr>
            <w:r w:rsidRPr="00F33AEB">
              <w:rPr>
                <w:color w:val="FF0000"/>
              </w:rPr>
              <w:t xml:space="preserve">Added </w:t>
            </w:r>
            <w:r w:rsidRPr="00F33AEB">
              <w:rPr>
                <w:i/>
                <w:iCs/>
                <w:color w:val="FF0000"/>
              </w:rPr>
              <w:t>Pyrilamine</w:t>
            </w:r>
            <w:r w:rsidRPr="00F33AEB">
              <w:rPr>
                <w:color w:val="FF0000"/>
              </w:rPr>
              <w:t xml:space="preserve"> to the </w:t>
            </w:r>
            <w:r>
              <w:rPr>
                <w:color w:val="FF0000"/>
              </w:rPr>
              <w:t>list of a</w:t>
            </w:r>
            <w:r w:rsidRPr="00F33AEB">
              <w:rPr>
                <w:color w:val="FF0000"/>
              </w:rPr>
              <w:t>nticholinergics, first-generation antihistamines</w:t>
            </w:r>
            <w:r w:rsidR="00215CB3">
              <w:rPr>
                <w:color w:val="FF0000"/>
              </w:rPr>
              <w:t xml:space="preserve"> </w:t>
            </w:r>
          </w:p>
          <w:p w14:paraId="01FB6CD5" w14:textId="17FA6759" w:rsidR="00F33AEB" w:rsidRPr="00F33AEB" w:rsidRDefault="00F33AEB" w:rsidP="00F33AEB">
            <w:pPr>
              <w:pStyle w:val="ListParagraph"/>
              <w:numPr>
                <w:ilvl w:val="0"/>
                <w:numId w:val="12"/>
              </w:numPr>
              <w:rPr>
                <w:color w:val="FF0000"/>
              </w:rPr>
            </w:pPr>
            <w:r w:rsidRPr="00F33AEB">
              <w:rPr>
                <w:color w:val="FF0000"/>
              </w:rPr>
              <w:t xml:space="preserve">Added </w:t>
            </w:r>
            <w:proofErr w:type="spellStart"/>
            <w:r w:rsidRPr="00F33AEB">
              <w:rPr>
                <w:i/>
                <w:iCs/>
                <w:color w:val="FF0000"/>
              </w:rPr>
              <w:t>Methscopolamine</w:t>
            </w:r>
            <w:proofErr w:type="spellEnd"/>
            <w:r w:rsidRPr="00F33AEB">
              <w:rPr>
                <w:color w:val="FF0000"/>
              </w:rPr>
              <w:t xml:space="preserve"> to the </w:t>
            </w:r>
            <w:r>
              <w:rPr>
                <w:color w:val="FF0000"/>
              </w:rPr>
              <w:t>list of</w:t>
            </w:r>
            <w:r w:rsidRPr="00F33AEB">
              <w:rPr>
                <w:color w:val="FF0000"/>
              </w:rPr>
              <w:t xml:space="preserve"> </w:t>
            </w:r>
            <w:r>
              <w:rPr>
                <w:color w:val="FF0000"/>
              </w:rPr>
              <w:t>a</w:t>
            </w:r>
            <w:r w:rsidRPr="00F33AEB">
              <w:rPr>
                <w:color w:val="FF0000"/>
              </w:rPr>
              <w:t>ntispasmodics</w:t>
            </w:r>
            <w:r w:rsidR="00215CB3">
              <w:rPr>
                <w:color w:val="FF0000"/>
              </w:rPr>
              <w:t xml:space="preserve"> </w:t>
            </w:r>
          </w:p>
          <w:p w14:paraId="258AE4E6" w14:textId="7C5B7FAB" w:rsidR="00F33AEB" w:rsidRPr="00F33AEB" w:rsidRDefault="00F33AEB" w:rsidP="00F33AEB">
            <w:pPr>
              <w:pStyle w:val="ListParagraph"/>
              <w:numPr>
                <w:ilvl w:val="0"/>
                <w:numId w:val="12"/>
              </w:numPr>
              <w:rPr>
                <w:color w:val="FF0000"/>
              </w:rPr>
            </w:pPr>
            <w:r w:rsidRPr="00F33AEB">
              <w:rPr>
                <w:color w:val="FF0000"/>
              </w:rPr>
              <w:t xml:space="preserve">Removed </w:t>
            </w:r>
            <w:r w:rsidRPr="00F33AEB">
              <w:rPr>
                <w:i/>
                <w:iCs/>
                <w:color w:val="FF0000"/>
              </w:rPr>
              <w:t>Ticlopidine</w:t>
            </w:r>
            <w:r w:rsidRPr="00F33AEB">
              <w:rPr>
                <w:color w:val="FF0000"/>
              </w:rPr>
              <w:t xml:space="preserve"> from the </w:t>
            </w:r>
            <w:r>
              <w:rPr>
                <w:color w:val="FF0000"/>
              </w:rPr>
              <w:t>list of</w:t>
            </w:r>
            <w:r w:rsidRPr="00F33AEB">
              <w:rPr>
                <w:color w:val="FF0000"/>
              </w:rPr>
              <w:t xml:space="preserve"> </w:t>
            </w:r>
            <w:proofErr w:type="spellStart"/>
            <w:r>
              <w:rPr>
                <w:color w:val="FF0000"/>
              </w:rPr>
              <w:t>a</w:t>
            </w:r>
            <w:r w:rsidRPr="00F33AEB">
              <w:rPr>
                <w:color w:val="FF0000"/>
              </w:rPr>
              <w:t>ntithrombotics</w:t>
            </w:r>
            <w:proofErr w:type="spellEnd"/>
            <w:r w:rsidR="00215CB3">
              <w:rPr>
                <w:color w:val="FF0000"/>
              </w:rPr>
              <w:t xml:space="preserve"> </w:t>
            </w:r>
          </w:p>
          <w:p w14:paraId="4B33E37E" w14:textId="5D3DC81E" w:rsidR="00F33AEB" w:rsidRDefault="00F33AEB" w:rsidP="00F33AEB">
            <w:pPr>
              <w:pStyle w:val="ListParagraph"/>
              <w:numPr>
                <w:ilvl w:val="0"/>
                <w:numId w:val="12"/>
              </w:numPr>
              <w:rPr>
                <w:color w:val="FF0000"/>
              </w:rPr>
            </w:pPr>
            <w:r w:rsidRPr="00F33AEB">
              <w:rPr>
                <w:color w:val="FF0000"/>
              </w:rPr>
              <w:t xml:space="preserve">Added </w:t>
            </w:r>
            <w:r w:rsidRPr="00F33AEB">
              <w:rPr>
                <w:i/>
                <w:iCs/>
                <w:color w:val="FF0000"/>
              </w:rPr>
              <w:t>Glimepiride</w:t>
            </w:r>
            <w:r w:rsidRPr="00F33AEB">
              <w:rPr>
                <w:color w:val="FF0000"/>
              </w:rPr>
              <w:t xml:space="preserve"> to the </w:t>
            </w:r>
            <w:r>
              <w:rPr>
                <w:color w:val="FF0000"/>
              </w:rPr>
              <w:t>list of</w:t>
            </w:r>
            <w:r w:rsidRPr="00F33AEB">
              <w:rPr>
                <w:color w:val="FF0000"/>
              </w:rPr>
              <w:t xml:space="preserve"> </w:t>
            </w:r>
            <w:r>
              <w:rPr>
                <w:color w:val="FF0000"/>
              </w:rPr>
              <w:t>e</w:t>
            </w:r>
            <w:r w:rsidRPr="00F33AEB">
              <w:rPr>
                <w:color w:val="FF0000"/>
              </w:rPr>
              <w:t>ndocrine system, sulfonylureas, long-duration</w:t>
            </w:r>
            <w:r w:rsidR="00215CB3">
              <w:rPr>
                <w:color w:val="FF0000"/>
              </w:rPr>
              <w:t xml:space="preserve"> </w:t>
            </w:r>
          </w:p>
          <w:p w14:paraId="4FD97D0B" w14:textId="263310A0" w:rsidR="00517645" w:rsidRPr="00F33AEB" w:rsidRDefault="00F33AEB" w:rsidP="00F33AEB">
            <w:pPr>
              <w:pStyle w:val="ListParagraph"/>
              <w:numPr>
                <w:ilvl w:val="0"/>
                <w:numId w:val="12"/>
              </w:numPr>
              <w:rPr>
                <w:color w:val="FF0000"/>
              </w:rPr>
            </w:pPr>
            <w:r w:rsidRPr="00F33AEB">
              <w:rPr>
                <w:color w:val="FF0000"/>
              </w:rPr>
              <w:t xml:space="preserve">Removed </w:t>
            </w:r>
            <w:r w:rsidRPr="009475CE">
              <w:rPr>
                <w:i/>
                <w:iCs/>
                <w:color w:val="FF0000"/>
              </w:rPr>
              <w:t>Pentazocine</w:t>
            </w:r>
            <w:r w:rsidRPr="00F33AEB">
              <w:rPr>
                <w:color w:val="FF0000"/>
              </w:rPr>
              <w:t xml:space="preserve"> from the </w:t>
            </w:r>
            <w:r w:rsidR="009475CE">
              <w:rPr>
                <w:color w:val="FF0000"/>
              </w:rPr>
              <w:t>list of</w:t>
            </w:r>
            <w:r w:rsidRPr="00F33AEB">
              <w:rPr>
                <w:color w:val="FF0000"/>
              </w:rPr>
              <w:t xml:space="preserve"> </w:t>
            </w:r>
            <w:r w:rsidR="00215CB3">
              <w:rPr>
                <w:color w:val="FF0000"/>
              </w:rPr>
              <w:t>p</w:t>
            </w:r>
            <w:r w:rsidRPr="00F33AEB">
              <w:rPr>
                <w:color w:val="FF0000"/>
              </w:rPr>
              <w:t>ain medications, other</w:t>
            </w:r>
            <w:r w:rsidR="00215CB3">
              <w:rPr>
                <w:color w:val="FF0000"/>
              </w:rPr>
              <w:t xml:space="preserve"> </w:t>
            </w:r>
          </w:p>
          <w:tbl>
            <w:tblPr>
              <w:tblStyle w:val="TableGrid"/>
              <w:tblpPr w:leftFromText="180" w:rightFromText="180" w:vertAnchor="text" w:horzAnchor="page" w:tblpX="85" w:tblpY="99"/>
              <w:tblW w:w="7555" w:type="dxa"/>
              <w:tblLayout w:type="fixed"/>
              <w:tblLook w:val="04A0" w:firstRow="1" w:lastRow="0" w:firstColumn="1" w:lastColumn="0" w:noHBand="0" w:noVBand="1"/>
            </w:tblPr>
            <w:tblGrid>
              <w:gridCol w:w="1885"/>
              <w:gridCol w:w="2340"/>
              <w:gridCol w:w="1260"/>
              <w:gridCol w:w="990"/>
              <w:gridCol w:w="1080"/>
            </w:tblGrid>
            <w:tr w:rsidR="0086137A" w:rsidRPr="0086137A" w14:paraId="77A53E7E" w14:textId="77777777" w:rsidTr="00A10ABD">
              <w:trPr>
                <w:trHeight w:val="825"/>
              </w:trPr>
              <w:tc>
                <w:tcPr>
                  <w:tcW w:w="1885" w:type="dxa"/>
                </w:tcPr>
                <w:p w14:paraId="11D92DE2"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Organ System,</w:t>
                  </w:r>
                </w:p>
                <w:p w14:paraId="53C1F16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Therapeutic</w:t>
                  </w:r>
                </w:p>
                <w:p w14:paraId="525695AB"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Category, Drugs</w:t>
                  </w:r>
                </w:p>
              </w:tc>
              <w:tc>
                <w:tcPr>
                  <w:tcW w:w="2340" w:type="dxa"/>
                </w:tcPr>
                <w:p w14:paraId="5EB8A320"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Rationale</w:t>
                  </w:r>
                </w:p>
              </w:tc>
              <w:tc>
                <w:tcPr>
                  <w:tcW w:w="1260" w:type="dxa"/>
                </w:tcPr>
                <w:p w14:paraId="6C56F2F1"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Recommendation</w:t>
                  </w:r>
                </w:p>
              </w:tc>
              <w:tc>
                <w:tcPr>
                  <w:tcW w:w="990" w:type="dxa"/>
                </w:tcPr>
                <w:p w14:paraId="5EB2EC1A"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Quality of Evidence</w:t>
                  </w:r>
                </w:p>
              </w:tc>
              <w:tc>
                <w:tcPr>
                  <w:tcW w:w="1080" w:type="dxa"/>
                </w:tcPr>
                <w:p w14:paraId="111898A9"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Strength of Recommendation</w:t>
                  </w:r>
                </w:p>
              </w:tc>
            </w:tr>
            <w:tr w:rsidR="0086137A" w:rsidRPr="0086137A" w14:paraId="6C50CD46" w14:textId="77777777" w:rsidTr="00A10ABD">
              <w:trPr>
                <w:trHeight w:val="275"/>
              </w:trPr>
              <w:tc>
                <w:tcPr>
                  <w:tcW w:w="1885" w:type="dxa"/>
                </w:tcPr>
                <w:p w14:paraId="195B635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Anticholinergics: First-generation antihistamines (p. 5)</w:t>
                  </w:r>
                </w:p>
                <w:p w14:paraId="61FE7B9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Brompheniramine</w:t>
                  </w:r>
                </w:p>
                <w:p w14:paraId="7AD7FCCF"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Carbinoxamine</w:t>
                  </w:r>
                </w:p>
                <w:p w14:paraId="4B0A90CD"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Chlorpheniramine</w:t>
                  </w:r>
                </w:p>
                <w:p w14:paraId="6F61EF32"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proofErr w:type="spellStart"/>
                  <w:r w:rsidRPr="0086137A">
                    <w:rPr>
                      <w:rFonts w:ascii="Arial Narrow" w:hAnsi="Arial Narrow"/>
                      <w:color w:val="FF0000"/>
                      <w14:textOutline w14:w="0" w14:cap="flat" w14:cmpd="sng" w14:algn="ctr">
                        <w14:noFill/>
                        <w14:prstDash w14:val="solid"/>
                        <w14:round/>
                      </w14:textOutline>
                    </w:rPr>
                    <w:t>Clemastine</w:t>
                  </w:r>
                  <w:proofErr w:type="spellEnd"/>
                </w:p>
                <w:p w14:paraId="1B22527E"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Cyproheptadine</w:t>
                  </w:r>
                </w:p>
                <w:p w14:paraId="0EC37309"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Dexbrompheniramine</w:t>
                  </w:r>
                </w:p>
                <w:p w14:paraId="7B20C9C7"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Dexchlorpheniramine</w:t>
                  </w:r>
                </w:p>
                <w:p w14:paraId="33E9C943"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Dimenhydrinate</w:t>
                  </w:r>
                </w:p>
                <w:p w14:paraId="2ADACD7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Diphenhydramine (oral)</w:t>
                  </w:r>
                </w:p>
                <w:p w14:paraId="2708CB3C"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Doxylamine</w:t>
                  </w:r>
                </w:p>
                <w:p w14:paraId="17698C73"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Hydroxyzine</w:t>
                  </w:r>
                </w:p>
                <w:p w14:paraId="473DCE7A"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Meclizine</w:t>
                  </w:r>
                </w:p>
                <w:p w14:paraId="2926E8BA"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Promethazine</w:t>
                  </w:r>
                </w:p>
                <w:p w14:paraId="54BAE93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Pyrilamine</w:t>
                  </w:r>
                </w:p>
                <w:p w14:paraId="21917497"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Triprolidine</w:t>
                  </w:r>
                </w:p>
              </w:tc>
              <w:tc>
                <w:tcPr>
                  <w:tcW w:w="2340" w:type="dxa"/>
                </w:tcPr>
                <w:p w14:paraId="643292A1"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Highly anticholinergic; clearance reduced with</w:t>
                  </w:r>
                </w:p>
                <w:p w14:paraId="03301929"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advanced age, and tolerance develops when used as hypnotic; risk of confusion, dry mouth, constipation, and other anticholinergic effects or</w:t>
                  </w:r>
                </w:p>
                <w:p w14:paraId="6741F83C"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toxicity</w:t>
                  </w:r>
                </w:p>
                <w:p w14:paraId="68DCF46E"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p>
                <w:p w14:paraId="7F9A209C"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Use of diphenhydramine in situations such as</w:t>
                  </w:r>
                </w:p>
                <w:p w14:paraId="56E1FC27"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acute treatment of severe allergic reaction may</w:t>
                  </w:r>
                </w:p>
                <w:p w14:paraId="36934B32"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be appropriate</w:t>
                  </w:r>
                </w:p>
              </w:tc>
              <w:tc>
                <w:tcPr>
                  <w:tcW w:w="1260" w:type="dxa"/>
                </w:tcPr>
                <w:p w14:paraId="4BB88DA3"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021E8334"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679C2553"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0451A7EB" w14:textId="77777777" w:rsidTr="00A10ABD">
              <w:trPr>
                <w:trHeight w:val="275"/>
              </w:trPr>
              <w:tc>
                <w:tcPr>
                  <w:tcW w:w="1885" w:type="dxa"/>
                </w:tcPr>
                <w:p w14:paraId="72DFEB64"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Antiparkinsonian agents (p. 5)</w:t>
                  </w:r>
                </w:p>
                <w:p w14:paraId="13564A00"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Benztropine (oral)</w:t>
                  </w:r>
                </w:p>
                <w:p w14:paraId="7061A06A"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Trihexyphenidyl</w:t>
                  </w:r>
                </w:p>
              </w:tc>
              <w:tc>
                <w:tcPr>
                  <w:tcW w:w="2340" w:type="dxa"/>
                </w:tcPr>
                <w:p w14:paraId="6C53E81C"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Not recommended for prevention or treatment of extrapyramidal symptoms with antipsychotics; more-effective agents available for treatment of</w:t>
                  </w:r>
                </w:p>
                <w:p w14:paraId="69FC5FB3"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Parkinson disease</w:t>
                  </w:r>
                </w:p>
              </w:tc>
              <w:tc>
                <w:tcPr>
                  <w:tcW w:w="1260" w:type="dxa"/>
                </w:tcPr>
                <w:p w14:paraId="11F034AA"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4721210B"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5CFD812E"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53718650" w14:textId="77777777" w:rsidTr="00A10ABD">
              <w:trPr>
                <w:trHeight w:val="275"/>
              </w:trPr>
              <w:tc>
                <w:tcPr>
                  <w:tcW w:w="1885" w:type="dxa"/>
                </w:tcPr>
                <w:p w14:paraId="4BA38C8E"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Antispasmodics (p. 5)</w:t>
                  </w:r>
                </w:p>
                <w:p w14:paraId="5C54078A"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Atropine (excludes ophthalmic)</w:t>
                  </w:r>
                </w:p>
                <w:p w14:paraId="1EB21ED0"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Belladonna alkaloids</w:t>
                  </w:r>
                </w:p>
                <w:p w14:paraId="3254D7B2"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proofErr w:type="spellStart"/>
                  <w:r w:rsidRPr="0086137A">
                    <w:rPr>
                      <w:rFonts w:ascii="Arial Narrow" w:hAnsi="Arial Narrow"/>
                      <w:color w:val="FF0000"/>
                      <w14:textOutline w14:w="0" w14:cap="flat" w14:cmpd="sng" w14:algn="ctr">
                        <w14:noFill/>
                        <w14:prstDash w14:val="solid"/>
                        <w14:round/>
                      </w14:textOutline>
                    </w:rPr>
                    <w:lastRenderedPageBreak/>
                    <w:t>Clidinium</w:t>
                  </w:r>
                  <w:proofErr w:type="spellEnd"/>
                  <w:r w:rsidRPr="0086137A">
                    <w:rPr>
                      <w:rFonts w:ascii="Arial Narrow" w:hAnsi="Arial Narrow"/>
                      <w:color w:val="FF0000"/>
                      <w14:textOutline w14:w="0" w14:cap="flat" w14:cmpd="sng" w14:algn="ctr">
                        <w14:noFill/>
                        <w14:prstDash w14:val="solid"/>
                        <w14:round/>
                      </w14:textOutline>
                    </w:rPr>
                    <w:t>-Chlordiazepoxide</w:t>
                  </w:r>
                </w:p>
                <w:p w14:paraId="7BE3A219"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Dicyclomine Homatropine (excludes ophthalmic)</w:t>
                  </w:r>
                </w:p>
                <w:p w14:paraId="66CEA280"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Hyoscyamine</w:t>
                  </w:r>
                </w:p>
                <w:p w14:paraId="203CE770"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proofErr w:type="spellStart"/>
                  <w:r w:rsidRPr="0086137A">
                    <w:rPr>
                      <w:rFonts w:ascii="Arial Narrow" w:hAnsi="Arial Narrow"/>
                      <w:color w:val="FF0000"/>
                      <w14:textOutline w14:w="0" w14:cap="flat" w14:cmpd="sng" w14:algn="ctr">
                        <w14:noFill/>
                        <w14:prstDash w14:val="solid"/>
                        <w14:round/>
                      </w14:textOutline>
                    </w:rPr>
                    <w:t>Methscopolamine</w:t>
                  </w:r>
                  <w:proofErr w:type="spellEnd"/>
                </w:p>
                <w:p w14:paraId="5B876C7B"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Propantheline</w:t>
                  </w:r>
                </w:p>
                <w:p w14:paraId="75599EBF"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Scopolamine</w:t>
                  </w:r>
                </w:p>
              </w:tc>
              <w:tc>
                <w:tcPr>
                  <w:tcW w:w="2340" w:type="dxa"/>
                </w:tcPr>
                <w:p w14:paraId="0A2BED17"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lastRenderedPageBreak/>
                    <w:t>Highly anticholinergic, uncertain effectiveness</w:t>
                  </w:r>
                </w:p>
              </w:tc>
              <w:tc>
                <w:tcPr>
                  <w:tcW w:w="1260" w:type="dxa"/>
                </w:tcPr>
                <w:p w14:paraId="52334DD1"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153D2930"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6661DD3E"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6D2E18A1" w14:textId="77777777" w:rsidTr="00A10ABD">
              <w:trPr>
                <w:trHeight w:val="275"/>
              </w:trPr>
              <w:tc>
                <w:tcPr>
                  <w:tcW w:w="1885" w:type="dxa"/>
                </w:tcPr>
                <w:p w14:paraId="453A8F64"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proofErr w:type="spellStart"/>
                  <w:r w:rsidRPr="0086137A">
                    <w:rPr>
                      <w:rFonts w:ascii="Arial Narrow" w:hAnsi="Arial Narrow"/>
                      <w:color w:val="FF0000"/>
                      <w14:textOutline w14:w="0" w14:cap="flat" w14:cmpd="sng" w14:algn="ctr">
                        <w14:noFill/>
                        <w14:prstDash w14:val="solid"/>
                        <w14:round/>
                      </w14:textOutline>
                    </w:rPr>
                    <w:t>Antithrombotics</w:t>
                  </w:r>
                  <w:proofErr w:type="spellEnd"/>
                  <w:r w:rsidRPr="0086137A">
                    <w:rPr>
                      <w:rFonts w:ascii="Arial Narrow" w:hAnsi="Arial Narrow"/>
                      <w:color w:val="FF0000"/>
                      <w14:textOutline w14:w="0" w14:cap="flat" w14:cmpd="sng" w14:algn="ctr">
                        <w14:noFill/>
                        <w14:prstDash w14:val="solid"/>
                        <w14:round/>
                      </w14:textOutline>
                    </w:rPr>
                    <w:t xml:space="preserve"> (p. 5)</w:t>
                  </w:r>
                </w:p>
                <w:p w14:paraId="729BD17B"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Dipyridamole, oral short-acting (does not apply to the extended release combination with aspirin)</w:t>
                  </w:r>
                </w:p>
              </w:tc>
              <w:tc>
                <w:tcPr>
                  <w:tcW w:w="2340" w:type="dxa"/>
                </w:tcPr>
                <w:p w14:paraId="5EC059F0"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May cause orthostatic hypotension; more effective alternatives available; intravenous form acceptable for use in cardiac stress testing</w:t>
                  </w:r>
                </w:p>
              </w:tc>
              <w:tc>
                <w:tcPr>
                  <w:tcW w:w="1260" w:type="dxa"/>
                </w:tcPr>
                <w:p w14:paraId="14472894"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08EC67D2"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7057A3A6"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45ECCB0F" w14:textId="77777777" w:rsidTr="00A10ABD">
              <w:trPr>
                <w:trHeight w:val="275"/>
              </w:trPr>
              <w:tc>
                <w:tcPr>
                  <w:tcW w:w="1885" w:type="dxa"/>
                </w:tcPr>
                <w:p w14:paraId="03ED4C5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Anti-infective (p. 5)</w:t>
                  </w:r>
                </w:p>
                <w:p w14:paraId="419619FE"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Nitrofurantoin</w:t>
                  </w:r>
                </w:p>
              </w:tc>
              <w:tc>
                <w:tcPr>
                  <w:tcW w:w="2340" w:type="dxa"/>
                </w:tcPr>
                <w:p w14:paraId="366FF932"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Potential for pulmonary toxicity, hepatoxicity, and peripheral neuropathy, especially with long-term use; safer alternatives available</w:t>
                  </w:r>
                </w:p>
              </w:tc>
              <w:tc>
                <w:tcPr>
                  <w:tcW w:w="1260" w:type="dxa"/>
                </w:tcPr>
                <w:p w14:paraId="00B7B76E"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 in individuals with creatinine</w:t>
                  </w:r>
                </w:p>
                <w:p w14:paraId="23049648"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clearance &lt;30 mL/min or for long-term</w:t>
                  </w:r>
                </w:p>
                <w:p w14:paraId="02061F27"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suppression of bacteria</w:t>
                  </w:r>
                </w:p>
              </w:tc>
              <w:tc>
                <w:tcPr>
                  <w:tcW w:w="990" w:type="dxa"/>
                </w:tcPr>
                <w:p w14:paraId="3FE5D5BA"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Low</w:t>
                  </w:r>
                </w:p>
              </w:tc>
              <w:tc>
                <w:tcPr>
                  <w:tcW w:w="1080" w:type="dxa"/>
                </w:tcPr>
                <w:p w14:paraId="6F450564"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53532F83" w14:textId="77777777" w:rsidTr="00A10ABD">
              <w:trPr>
                <w:trHeight w:val="275"/>
              </w:trPr>
              <w:tc>
                <w:tcPr>
                  <w:tcW w:w="1885" w:type="dxa"/>
                </w:tcPr>
                <w:p w14:paraId="2836D07F"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Cardiovascular (p.5)</w:t>
                  </w:r>
                </w:p>
                <w:p w14:paraId="59E96E01"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Peripheral alpha-1 blockers for treatment of hypertension</w:t>
                  </w:r>
                </w:p>
                <w:p w14:paraId="6B2DFC58"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Doxazosin</w:t>
                  </w:r>
                </w:p>
                <w:p w14:paraId="5E36AFF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Prazosin</w:t>
                  </w:r>
                </w:p>
                <w:p w14:paraId="73092ABC"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Terazosin</w:t>
                  </w:r>
                </w:p>
              </w:tc>
              <w:tc>
                <w:tcPr>
                  <w:tcW w:w="2340" w:type="dxa"/>
                </w:tcPr>
                <w:p w14:paraId="41B95B3E"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High risk of orthostatic hypotension and associated harms, especially in older adults; not recommended as routine treatment for hypertension; alternative agents have superior risk/benefit profile</w:t>
                  </w:r>
                </w:p>
              </w:tc>
              <w:tc>
                <w:tcPr>
                  <w:tcW w:w="1260" w:type="dxa"/>
                </w:tcPr>
                <w:p w14:paraId="7EEE378E"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 use as an antihypertensive</w:t>
                  </w:r>
                </w:p>
              </w:tc>
              <w:tc>
                <w:tcPr>
                  <w:tcW w:w="990" w:type="dxa"/>
                </w:tcPr>
                <w:p w14:paraId="13D64138"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1D90B3EC"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23DD7028" w14:textId="77777777" w:rsidTr="00A10ABD">
              <w:trPr>
                <w:trHeight w:val="275"/>
              </w:trPr>
              <w:tc>
                <w:tcPr>
                  <w:tcW w:w="1885" w:type="dxa"/>
                </w:tcPr>
                <w:p w14:paraId="39529912"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Cardiovascular (p.6)</w:t>
                  </w:r>
                </w:p>
                <w:p w14:paraId="30C71145" w14:textId="7B6E6E5D"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 xml:space="preserve">Central alpha-agonists </w:t>
                  </w:r>
                </w:p>
                <w:p w14:paraId="5FEE53B7"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Clonidine for first-line treatment of hypertension</w:t>
                  </w:r>
                </w:p>
                <w:p w14:paraId="550E708A"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Other CNS alpha-agonists</w:t>
                  </w:r>
                </w:p>
                <w:p w14:paraId="26004EE7"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proofErr w:type="spellStart"/>
                  <w:r w:rsidRPr="0086137A">
                    <w:rPr>
                      <w:rFonts w:ascii="Arial Narrow" w:hAnsi="Arial Narrow"/>
                      <w:color w:val="FF0000"/>
                      <w14:textOutline w14:w="0" w14:cap="flat" w14:cmpd="sng" w14:algn="ctr">
                        <w14:noFill/>
                        <w14:prstDash w14:val="solid"/>
                        <w14:round/>
                      </w14:textOutline>
                    </w:rPr>
                    <w:t>Guanabenz</w:t>
                  </w:r>
                  <w:proofErr w:type="spellEnd"/>
                </w:p>
                <w:p w14:paraId="74DFB58D"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Guanfacine</w:t>
                  </w:r>
                </w:p>
                <w:p w14:paraId="4544E6EC"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Methyldopa</w:t>
                  </w:r>
                </w:p>
                <w:p w14:paraId="7F5BB99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Reserpine (&gt;0.1 mg/d)</w:t>
                  </w:r>
                </w:p>
              </w:tc>
              <w:tc>
                <w:tcPr>
                  <w:tcW w:w="2340" w:type="dxa"/>
                </w:tcPr>
                <w:p w14:paraId="7CEB7EC3"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High risk of adverse CNS effects; may cause bradycardia and orthostatic hypotension; not</w:t>
                  </w:r>
                </w:p>
                <w:p w14:paraId="716B05EF"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recommended as routine treatment for hypertension</w:t>
                  </w:r>
                </w:p>
              </w:tc>
              <w:tc>
                <w:tcPr>
                  <w:tcW w:w="1260" w:type="dxa"/>
                </w:tcPr>
                <w:p w14:paraId="31CF8ED9"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 as first-line antihypertensive</w:t>
                  </w:r>
                </w:p>
                <w:p w14:paraId="02A7D967"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 other CNS alpha-agonists as listed</w:t>
                  </w:r>
                </w:p>
              </w:tc>
              <w:tc>
                <w:tcPr>
                  <w:tcW w:w="990" w:type="dxa"/>
                </w:tcPr>
                <w:p w14:paraId="7C4BEB3A"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Low</w:t>
                  </w:r>
                </w:p>
              </w:tc>
              <w:tc>
                <w:tcPr>
                  <w:tcW w:w="1080" w:type="dxa"/>
                </w:tcPr>
                <w:p w14:paraId="078C13BA"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1357C9A7" w14:textId="77777777" w:rsidTr="00A10ABD">
              <w:trPr>
                <w:trHeight w:val="275"/>
              </w:trPr>
              <w:tc>
                <w:tcPr>
                  <w:tcW w:w="1885" w:type="dxa"/>
                </w:tcPr>
                <w:p w14:paraId="0124811B"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lastRenderedPageBreak/>
                    <w:t>Cardiovascular (p.6)</w:t>
                  </w:r>
                </w:p>
                <w:p w14:paraId="0564A313"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Disopyramide</w:t>
                  </w:r>
                </w:p>
              </w:tc>
              <w:tc>
                <w:tcPr>
                  <w:tcW w:w="2340" w:type="dxa"/>
                </w:tcPr>
                <w:p w14:paraId="77825230" w14:textId="52F5195A"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May induce heart failure in older adults because of potent negative inotropic action; strongly anticholinergic; other antiarrhythmic drugs preferred</w:t>
                  </w:r>
                </w:p>
              </w:tc>
              <w:tc>
                <w:tcPr>
                  <w:tcW w:w="1260" w:type="dxa"/>
                </w:tcPr>
                <w:p w14:paraId="5D98053B"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2C0D83C6"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Low</w:t>
                  </w:r>
                </w:p>
              </w:tc>
              <w:tc>
                <w:tcPr>
                  <w:tcW w:w="1080" w:type="dxa"/>
                </w:tcPr>
                <w:p w14:paraId="1D850684"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66BE7A5D" w14:textId="77777777" w:rsidTr="00A10ABD">
              <w:trPr>
                <w:trHeight w:val="275"/>
              </w:trPr>
              <w:tc>
                <w:tcPr>
                  <w:tcW w:w="1885" w:type="dxa"/>
                </w:tcPr>
                <w:p w14:paraId="29DFBB06"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Cardiovascular (p.6)</w:t>
                  </w:r>
                </w:p>
                <w:p w14:paraId="0716A73B"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proofErr w:type="spellStart"/>
                  <w:r w:rsidRPr="0086137A">
                    <w:rPr>
                      <w:rFonts w:ascii="Arial Narrow" w:hAnsi="Arial Narrow"/>
                      <w:color w:val="FF0000"/>
                      <w14:textOutline w14:w="0" w14:cap="flat" w14:cmpd="sng" w14:algn="ctr">
                        <w14:noFill/>
                        <w14:prstDash w14:val="solid"/>
                        <w14:round/>
                      </w14:textOutline>
                    </w:rPr>
                    <w:t>Dronodarone</w:t>
                  </w:r>
                  <w:proofErr w:type="spellEnd"/>
                </w:p>
              </w:tc>
              <w:tc>
                <w:tcPr>
                  <w:tcW w:w="2340" w:type="dxa"/>
                </w:tcPr>
                <w:p w14:paraId="0B1A31F1"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Worse outcomes have been reported in patients taking dronedarone who have permanent atrial fibrillation or severe or recently decompensated heart failure.</w:t>
                  </w:r>
                </w:p>
              </w:tc>
              <w:tc>
                <w:tcPr>
                  <w:tcW w:w="1260" w:type="dxa"/>
                </w:tcPr>
                <w:p w14:paraId="06FAA42D"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 in individuals with permanent atrial fibrillation or severe or recently decompensated heart failure</w:t>
                  </w:r>
                </w:p>
              </w:tc>
              <w:tc>
                <w:tcPr>
                  <w:tcW w:w="990" w:type="dxa"/>
                </w:tcPr>
                <w:p w14:paraId="5878F99C"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High</w:t>
                  </w:r>
                </w:p>
              </w:tc>
              <w:tc>
                <w:tcPr>
                  <w:tcW w:w="1080" w:type="dxa"/>
                </w:tcPr>
                <w:p w14:paraId="340CB668"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753EBA5A" w14:textId="77777777" w:rsidTr="00A10ABD">
              <w:trPr>
                <w:trHeight w:val="275"/>
              </w:trPr>
              <w:tc>
                <w:tcPr>
                  <w:tcW w:w="1885" w:type="dxa"/>
                </w:tcPr>
                <w:p w14:paraId="34691FAC"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Cardiovascular (p.6)</w:t>
                  </w:r>
                </w:p>
                <w:p w14:paraId="14FAB399"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Digoxin for first-line treatment of atrial fibrillation or of heart failure</w:t>
                  </w:r>
                </w:p>
              </w:tc>
              <w:tc>
                <w:tcPr>
                  <w:tcW w:w="2340" w:type="dxa"/>
                </w:tcPr>
                <w:p w14:paraId="70C8B0AC" w14:textId="1FDA6B29"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Use in atrial fibrillation: should not be used as a first-line agent in atrial fibrillation, because there are safer and more effective alternatives for rate control supported by high-quality evidence.</w:t>
                  </w:r>
                </w:p>
                <w:p w14:paraId="5E2EAA3F" w14:textId="4C448B5E" w:rsidR="00D74D33" w:rsidRPr="0086137A" w:rsidRDefault="0086137A" w:rsidP="00D74D33">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 xml:space="preserve">Use in heart failure:  evidence for benefits and harms of digoxin is conflicting and of lower quality; most but not all of the evidence concerns use in </w:t>
                  </w:r>
                  <w:proofErr w:type="spellStart"/>
                  <w:r w:rsidRPr="0086137A">
                    <w:rPr>
                      <w:rFonts w:ascii="Arial Narrow" w:hAnsi="Arial Narrow"/>
                      <w:color w:val="FF0000"/>
                      <w14:textOutline w14:w="0" w14:cap="flat" w14:cmpd="sng" w14:algn="ctr">
                        <w14:noFill/>
                        <w14:prstDash w14:val="solid"/>
                        <w14:round/>
                      </w14:textOutline>
                    </w:rPr>
                    <w:t>HFrEF</w:t>
                  </w:r>
                  <w:proofErr w:type="spellEnd"/>
                  <w:r w:rsidRPr="0086137A">
                    <w:rPr>
                      <w:rFonts w:ascii="Arial Narrow" w:hAnsi="Arial Narrow"/>
                      <w:color w:val="FF0000"/>
                      <w14:textOutline w14:w="0" w14:cap="flat" w14:cmpd="sng" w14:algn="ctr">
                        <w14:noFill/>
                        <w14:prstDash w14:val="solid"/>
                        <w14:round/>
                      </w14:textOutline>
                    </w:rPr>
                    <w:t xml:space="preserve">. There is strong evidence for other agents as first-line therapy to reduce hospitalizations and mortality in adults with </w:t>
                  </w:r>
                  <w:proofErr w:type="spellStart"/>
                  <w:r w:rsidRPr="0086137A">
                    <w:rPr>
                      <w:rFonts w:ascii="Arial Narrow" w:hAnsi="Arial Narrow"/>
                      <w:color w:val="FF0000"/>
                      <w14:textOutline w14:w="0" w14:cap="flat" w14:cmpd="sng" w14:algn="ctr">
                        <w14:noFill/>
                        <w14:prstDash w14:val="solid"/>
                        <w14:round/>
                      </w14:textOutline>
                    </w:rPr>
                    <w:t>HFrEF</w:t>
                  </w:r>
                  <w:proofErr w:type="spellEnd"/>
                  <w:r w:rsidRPr="0086137A">
                    <w:rPr>
                      <w:rFonts w:ascii="Arial Narrow" w:hAnsi="Arial Narrow"/>
                      <w:color w:val="FF0000"/>
                      <w14:textOutline w14:w="0" w14:cap="flat" w14:cmpd="sng" w14:algn="ctr">
                        <w14:noFill/>
                        <w14:prstDash w14:val="solid"/>
                        <w14:round/>
                      </w14:textOutline>
                    </w:rPr>
                    <w:t xml:space="preserve">. </w:t>
                  </w:r>
                </w:p>
                <w:p w14:paraId="3F462527" w14:textId="2F3AEA7D"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in heart failure, higher dosages not associated with additional benefit and may</w:t>
                  </w:r>
                </w:p>
                <w:p w14:paraId="010C2316"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increase risk of toxicity</w:t>
                  </w:r>
                </w:p>
                <w:p w14:paraId="49AAB545"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Decreased renal clearance of digoxin may lead to increased risk of toxic effects; further dose</w:t>
                  </w:r>
                </w:p>
                <w:p w14:paraId="34F8ED56"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reduction may be necessary in patients with Stage 4 or 5 chronic kidney disease</w:t>
                  </w:r>
                </w:p>
              </w:tc>
              <w:tc>
                <w:tcPr>
                  <w:tcW w:w="1260" w:type="dxa"/>
                </w:tcPr>
                <w:p w14:paraId="4CB5D64E" w14:textId="16E1CC44"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 xml:space="preserve">Avoid this rate control agent as first-line </w:t>
                  </w:r>
                  <w:r w:rsidR="00D74D33" w:rsidRPr="0086137A">
                    <w:rPr>
                      <w:rFonts w:ascii="Arial Narrow" w:hAnsi="Arial Narrow"/>
                      <w:color w:val="FF0000"/>
                      <w14:textOutline w14:w="0" w14:cap="flat" w14:cmpd="sng" w14:algn="ctr">
                        <w14:noFill/>
                        <w14:prstDash w14:val="solid"/>
                        <w14:round/>
                      </w14:textOutline>
                    </w:rPr>
                    <w:t>therapy</w:t>
                  </w:r>
                  <w:r w:rsidRPr="0086137A">
                    <w:rPr>
                      <w:rFonts w:ascii="Arial Narrow" w:hAnsi="Arial Narrow"/>
                      <w:color w:val="FF0000"/>
                      <w14:textOutline w14:w="0" w14:cap="flat" w14:cmpd="sng" w14:algn="ctr">
                        <w14:noFill/>
                        <w14:prstDash w14:val="solid"/>
                        <w14:round/>
                      </w14:textOutline>
                    </w:rPr>
                    <w:t xml:space="preserve"> for atrial fibrillation </w:t>
                  </w:r>
                </w:p>
                <w:p w14:paraId="0AF63F5E" w14:textId="77777777" w:rsidR="008355F2" w:rsidRDefault="008355F2" w:rsidP="0086137A">
                  <w:pPr>
                    <w:ind w:left="0" w:firstLine="0"/>
                    <w:rPr>
                      <w:rFonts w:ascii="Arial Narrow" w:hAnsi="Arial Narrow"/>
                      <w:color w:val="FF0000"/>
                      <w14:textOutline w14:w="0" w14:cap="flat" w14:cmpd="sng" w14:algn="ctr">
                        <w14:noFill/>
                        <w14:prstDash w14:val="solid"/>
                        <w14:round/>
                      </w14:textOutline>
                    </w:rPr>
                  </w:pPr>
                </w:p>
                <w:p w14:paraId="57D7F90D" w14:textId="77777777" w:rsidR="008355F2"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 xml:space="preserve">Avoid as first-line therapy for heart failure </w:t>
                  </w:r>
                </w:p>
                <w:p w14:paraId="587651D7" w14:textId="77777777" w:rsidR="008355F2" w:rsidRDefault="008355F2" w:rsidP="0086137A">
                  <w:pPr>
                    <w:ind w:left="0" w:firstLine="0"/>
                    <w:rPr>
                      <w:rFonts w:ascii="Arial Narrow" w:hAnsi="Arial Narrow"/>
                      <w:color w:val="FF0000"/>
                      <w14:textOutline w14:w="0" w14:cap="flat" w14:cmpd="sng" w14:algn="ctr">
                        <w14:noFill/>
                        <w14:prstDash w14:val="solid"/>
                        <w14:round/>
                      </w14:textOutline>
                    </w:rPr>
                  </w:pPr>
                </w:p>
                <w:p w14:paraId="76EB54E9" w14:textId="137A5E0A"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If used for atrial fibrillation or heart failure, avoid dosages &gt;0.125 mg/day</w:t>
                  </w:r>
                </w:p>
              </w:tc>
              <w:tc>
                <w:tcPr>
                  <w:tcW w:w="990" w:type="dxa"/>
                </w:tcPr>
                <w:p w14:paraId="3D256209"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Atrial fibrillation: Low</w:t>
                  </w:r>
                </w:p>
                <w:p w14:paraId="27B4A0DA" w14:textId="77777777" w:rsidR="008355F2" w:rsidRDefault="008355F2"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p>
                <w:p w14:paraId="5E2EC29E" w14:textId="0A59879F"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Heart failure: Low</w:t>
                  </w:r>
                </w:p>
                <w:p w14:paraId="1EB81073" w14:textId="77777777" w:rsidR="008355F2" w:rsidRDefault="008355F2"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p>
                <w:p w14:paraId="42ED0EF3" w14:textId="578B869D"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Dosage &gt;0.125 mg/d: Moderate</w:t>
                  </w:r>
                </w:p>
              </w:tc>
              <w:tc>
                <w:tcPr>
                  <w:tcW w:w="1080" w:type="dxa"/>
                </w:tcPr>
                <w:p w14:paraId="1B635B2B"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Atrial fibrillation: Strong</w:t>
                  </w:r>
                </w:p>
                <w:p w14:paraId="5C3A4A74" w14:textId="77777777" w:rsidR="008355F2" w:rsidRDefault="008355F2"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p>
                <w:p w14:paraId="4DAD40C2" w14:textId="165BD655"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Heart failure: Strong</w:t>
                  </w:r>
                </w:p>
                <w:p w14:paraId="19C63E53" w14:textId="77777777" w:rsidR="008355F2" w:rsidRDefault="008355F2"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p>
                <w:p w14:paraId="0A9A3EE7" w14:textId="43471A3C"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Dosage &gt;0.125 mg/d:</w:t>
                  </w:r>
                </w:p>
                <w:p w14:paraId="5A6BD106"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6A5817E3" w14:textId="77777777" w:rsidTr="00A10ABD">
              <w:trPr>
                <w:trHeight w:val="275"/>
              </w:trPr>
              <w:tc>
                <w:tcPr>
                  <w:tcW w:w="1885" w:type="dxa"/>
                </w:tcPr>
                <w:p w14:paraId="02801379"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lastRenderedPageBreak/>
                    <w:t>Cardiovascular (p.6)</w:t>
                  </w:r>
                </w:p>
                <w:p w14:paraId="39C148CB"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Nifedipine, immediate</w:t>
                  </w:r>
                </w:p>
                <w:p w14:paraId="47126974"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release</w:t>
                  </w:r>
                </w:p>
              </w:tc>
              <w:tc>
                <w:tcPr>
                  <w:tcW w:w="2340" w:type="dxa"/>
                </w:tcPr>
                <w:p w14:paraId="28647044"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Potential for hypotension; risk of precipitating myocardial ischemia</w:t>
                  </w:r>
                </w:p>
              </w:tc>
              <w:tc>
                <w:tcPr>
                  <w:tcW w:w="1260" w:type="dxa"/>
                </w:tcPr>
                <w:p w14:paraId="3033B479"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4A9F62A5"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High</w:t>
                  </w:r>
                </w:p>
              </w:tc>
              <w:tc>
                <w:tcPr>
                  <w:tcW w:w="1080" w:type="dxa"/>
                </w:tcPr>
                <w:p w14:paraId="5F9821DD"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74359559" w14:textId="77777777" w:rsidTr="00A10ABD">
              <w:trPr>
                <w:trHeight w:val="275"/>
              </w:trPr>
              <w:tc>
                <w:tcPr>
                  <w:tcW w:w="1885" w:type="dxa"/>
                </w:tcPr>
                <w:p w14:paraId="5099624A"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Cardiovascular (p.6)</w:t>
                  </w:r>
                </w:p>
                <w:p w14:paraId="275C904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Amiodarone</w:t>
                  </w:r>
                </w:p>
              </w:tc>
              <w:tc>
                <w:tcPr>
                  <w:tcW w:w="2340" w:type="dxa"/>
                </w:tcPr>
                <w:p w14:paraId="25176350"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Effective for maintaining sinus rhythm but has greater toxicities than other antiarrhythmics used in atrial fibrillation; may be reasonable first-line therapy in patients with concomitant heart failure or substantial left ventricular hypertrophy if rhythm control is preferred overrate control</w:t>
                  </w:r>
                </w:p>
              </w:tc>
              <w:tc>
                <w:tcPr>
                  <w:tcW w:w="1260" w:type="dxa"/>
                </w:tcPr>
                <w:p w14:paraId="0D49A90A"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 as first-line therapy for atrial fibrillation unless patient has heart failure or substantial left ventricular hypertrophy</w:t>
                  </w:r>
                </w:p>
              </w:tc>
              <w:tc>
                <w:tcPr>
                  <w:tcW w:w="990" w:type="dxa"/>
                </w:tcPr>
                <w:p w14:paraId="5DE6A837"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High</w:t>
                  </w:r>
                </w:p>
              </w:tc>
              <w:tc>
                <w:tcPr>
                  <w:tcW w:w="1080" w:type="dxa"/>
                </w:tcPr>
                <w:p w14:paraId="74D04009"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5192B867" w14:textId="77777777" w:rsidTr="00A10ABD">
              <w:trPr>
                <w:trHeight w:val="275"/>
              </w:trPr>
              <w:tc>
                <w:tcPr>
                  <w:tcW w:w="1885" w:type="dxa"/>
                </w:tcPr>
                <w:p w14:paraId="46AF6FBE"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Central Nervous System (p. 6)</w:t>
                  </w:r>
                </w:p>
                <w:p w14:paraId="535EA1F7"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Antidepressants, alone or in</w:t>
                  </w:r>
                </w:p>
                <w:p w14:paraId="707867AE"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combination</w:t>
                  </w:r>
                </w:p>
                <w:p w14:paraId="562E6E14"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Amitriptyline</w:t>
                  </w:r>
                </w:p>
                <w:p w14:paraId="4E41D672"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Amoxapine</w:t>
                  </w:r>
                </w:p>
                <w:p w14:paraId="4ECCC3CE"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Clomipramine</w:t>
                  </w:r>
                </w:p>
                <w:p w14:paraId="2080A15C"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Desipramine</w:t>
                  </w:r>
                </w:p>
                <w:p w14:paraId="01BB1301"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Doxepin &gt;6 mg/d</w:t>
                  </w:r>
                </w:p>
                <w:p w14:paraId="00D4B2E8"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Imipramine</w:t>
                  </w:r>
                </w:p>
                <w:p w14:paraId="7AE021D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Nortriptyline</w:t>
                  </w:r>
                </w:p>
                <w:p w14:paraId="037ED80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Paroxetine</w:t>
                  </w:r>
                </w:p>
                <w:p w14:paraId="3431F0FD"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Protriptyline</w:t>
                  </w:r>
                </w:p>
                <w:p w14:paraId="7AF6E416"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Trimipramine</w:t>
                  </w:r>
                </w:p>
              </w:tc>
              <w:tc>
                <w:tcPr>
                  <w:tcW w:w="2340" w:type="dxa"/>
                </w:tcPr>
                <w:p w14:paraId="6C991973"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Highly anticholinergic, sedating, and cause orthostatic hypotension; safety profile of low dose doxepin (≤6 mg/d) comparable with that of placebo</w:t>
                  </w:r>
                </w:p>
              </w:tc>
              <w:tc>
                <w:tcPr>
                  <w:tcW w:w="1260" w:type="dxa"/>
                </w:tcPr>
                <w:p w14:paraId="48723B8D"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616363EA"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High</w:t>
                  </w:r>
                </w:p>
              </w:tc>
              <w:tc>
                <w:tcPr>
                  <w:tcW w:w="1080" w:type="dxa"/>
                </w:tcPr>
                <w:p w14:paraId="3CFD0417"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0A70C91A" w14:textId="77777777" w:rsidTr="00A10ABD">
              <w:trPr>
                <w:trHeight w:val="275"/>
              </w:trPr>
              <w:tc>
                <w:tcPr>
                  <w:tcW w:w="1885" w:type="dxa"/>
                </w:tcPr>
                <w:p w14:paraId="04B91D4A"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Central Nervous System (p. 7)</w:t>
                  </w:r>
                </w:p>
                <w:p w14:paraId="4CA55981"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Antipsychotics, first (conventional) and second (atypical) generation</w:t>
                  </w:r>
                </w:p>
              </w:tc>
              <w:tc>
                <w:tcPr>
                  <w:tcW w:w="2340" w:type="dxa"/>
                </w:tcPr>
                <w:p w14:paraId="7E67777C"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Increased risk of cerebrovascular accident (stroke) and greater rate of cognitive decline and mortality in persons with dementia</w:t>
                  </w:r>
                </w:p>
                <w:p w14:paraId="625FD724"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 antipsychotics for behavioral problems of dementia or delirium unless nonpharmacological options (</w:t>
                  </w:r>
                  <w:proofErr w:type="spellStart"/>
                  <w:r w:rsidRPr="0086137A">
                    <w:rPr>
                      <w:rFonts w:ascii="Arial Narrow" w:hAnsi="Arial Narrow"/>
                      <w:color w:val="FF0000"/>
                      <w14:textOutline w14:w="0" w14:cap="flat" w14:cmpd="sng" w14:algn="ctr">
                        <w14:noFill/>
                        <w14:prstDash w14:val="solid"/>
                        <w14:round/>
                      </w14:textOutline>
                    </w:rPr>
                    <w:t>eg</w:t>
                  </w:r>
                  <w:proofErr w:type="spellEnd"/>
                  <w:r w:rsidRPr="0086137A">
                    <w:rPr>
                      <w:rFonts w:ascii="Arial Narrow" w:hAnsi="Arial Narrow"/>
                      <w:color w:val="FF0000"/>
                      <w14:textOutline w14:w="0" w14:cap="flat" w14:cmpd="sng" w14:algn="ctr">
                        <w14:noFill/>
                        <w14:prstDash w14:val="solid"/>
                        <w14:round/>
                      </w14:textOutline>
                    </w:rPr>
                    <w:t>, behavioral interventions) have failed or are not possible and the older adult is threatening substantial harm to self or others</w:t>
                  </w:r>
                </w:p>
              </w:tc>
              <w:tc>
                <w:tcPr>
                  <w:tcW w:w="1260" w:type="dxa"/>
                </w:tcPr>
                <w:p w14:paraId="11CD6D1A"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 except in schizophrenia or bipolar disorder, or for short-term use as antiemetic during chemotherapy</w:t>
                  </w:r>
                </w:p>
              </w:tc>
              <w:tc>
                <w:tcPr>
                  <w:tcW w:w="990" w:type="dxa"/>
                </w:tcPr>
                <w:p w14:paraId="10DF3CF0"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5F318965"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5EA9FFF9" w14:textId="77777777" w:rsidTr="00A10ABD">
              <w:trPr>
                <w:trHeight w:val="275"/>
              </w:trPr>
              <w:tc>
                <w:tcPr>
                  <w:tcW w:w="1885" w:type="dxa"/>
                </w:tcPr>
                <w:p w14:paraId="23DFA30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Central Nervous System (p. 7)</w:t>
                  </w:r>
                </w:p>
                <w:p w14:paraId="557DAF9C"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lastRenderedPageBreak/>
                    <w:t>Barbiturates</w:t>
                  </w:r>
                </w:p>
                <w:p w14:paraId="51C6E7BC"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Amobarbital</w:t>
                  </w:r>
                </w:p>
                <w:p w14:paraId="56B4FEFF"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proofErr w:type="spellStart"/>
                  <w:r w:rsidRPr="0086137A">
                    <w:rPr>
                      <w:rFonts w:ascii="Arial Narrow" w:hAnsi="Arial Narrow"/>
                      <w:color w:val="FF0000"/>
                      <w14:textOutline w14:w="0" w14:cap="flat" w14:cmpd="sng" w14:algn="ctr">
                        <w14:noFill/>
                        <w14:prstDash w14:val="solid"/>
                        <w14:round/>
                      </w14:textOutline>
                    </w:rPr>
                    <w:t>Butabarbital</w:t>
                  </w:r>
                  <w:proofErr w:type="spellEnd"/>
                </w:p>
                <w:p w14:paraId="78A7657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Butalbital</w:t>
                  </w:r>
                </w:p>
                <w:p w14:paraId="48EC3E20"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proofErr w:type="spellStart"/>
                  <w:r w:rsidRPr="0086137A">
                    <w:rPr>
                      <w:rFonts w:ascii="Arial Narrow" w:hAnsi="Arial Narrow"/>
                      <w:color w:val="FF0000"/>
                      <w14:textOutline w14:w="0" w14:cap="flat" w14:cmpd="sng" w14:algn="ctr">
                        <w14:noFill/>
                        <w14:prstDash w14:val="solid"/>
                        <w14:round/>
                      </w14:textOutline>
                    </w:rPr>
                    <w:t>Mephobarbital</w:t>
                  </w:r>
                  <w:proofErr w:type="spellEnd"/>
                </w:p>
                <w:p w14:paraId="2A183EF2"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Pentobarbital</w:t>
                  </w:r>
                </w:p>
                <w:p w14:paraId="7F33A446"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Phenobarbital</w:t>
                  </w:r>
                </w:p>
                <w:p w14:paraId="7B3213E0"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Secobarbital</w:t>
                  </w:r>
                </w:p>
              </w:tc>
              <w:tc>
                <w:tcPr>
                  <w:tcW w:w="2340" w:type="dxa"/>
                </w:tcPr>
                <w:p w14:paraId="4B3181B8"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lastRenderedPageBreak/>
                    <w:t xml:space="preserve">High rate of physical dependence, tolerance to </w:t>
                  </w:r>
                  <w:r w:rsidRPr="0086137A">
                    <w:rPr>
                      <w:rFonts w:ascii="Arial Narrow" w:hAnsi="Arial Narrow"/>
                      <w:color w:val="FF0000"/>
                      <w14:textOutline w14:w="0" w14:cap="flat" w14:cmpd="sng" w14:algn="ctr">
                        <w14:noFill/>
                        <w14:prstDash w14:val="solid"/>
                        <w14:round/>
                      </w14:textOutline>
                    </w:rPr>
                    <w:lastRenderedPageBreak/>
                    <w:t>sleep benefits, greater risk of overdose at low</w:t>
                  </w:r>
                </w:p>
                <w:p w14:paraId="454A47BC"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dosages</w:t>
                  </w:r>
                </w:p>
              </w:tc>
              <w:tc>
                <w:tcPr>
                  <w:tcW w:w="1260" w:type="dxa"/>
                </w:tcPr>
                <w:p w14:paraId="4DAED39C"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lastRenderedPageBreak/>
                    <w:t>Avoid</w:t>
                  </w:r>
                </w:p>
              </w:tc>
              <w:tc>
                <w:tcPr>
                  <w:tcW w:w="990" w:type="dxa"/>
                </w:tcPr>
                <w:p w14:paraId="46F8D91E"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High</w:t>
                  </w:r>
                </w:p>
              </w:tc>
              <w:tc>
                <w:tcPr>
                  <w:tcW w:w="1080" w:type="dxa"/>
                </w:tcPr>
                <w:p w14:paraId="53AE3EBF"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59BC8D7D" w14:textId="77777777" w:rsidTr="00A10ABD">
              <w:trPr>
                <w:trHeight w:val="275"/>
              </w:trPr>
              <w:tc>
                <w:tcPr>
                  <w:tcW w:w="1885" w:type="dxa"/>
                </w:tcPr>
                <w:p w14:paraId="3ACDE473"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Central Nervous System (p. 7)</w:t>
                  </w:r>
                </w:p>
                <w:p w14:paraId="07C1E653"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 xml:space="preserve">Benzodiazepines </w:t>
                  </w:r>
                </w:p>
                <w:p w14:paraId="34ADA9C3"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Short and immediate acting:</w:t>
                  </w:r>
                </w:p>
                <w:p w14:paraId="05566CBE"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Alprazolam</w:t>
                  </w:r>
                </w:p>
                <w:p w14:paraId="5F9672C3"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proofErr w:type="spellStart"/>
                  <w:r w:rsidRPr="0086137A">
                    <w:rPr>
                      <w:rFonts w:ascii="Arial Narrow" w:hAnsi="Arial Narrow"/>
                      <w:color w:val="FF0000"/>
                      <w14:textOutline w14:w="0" w14:cap="flat" w14:cmpd="sng" w14:algn="ctr">
                        <w14:noFill/>
                        <w14:prstDash w14:val="solid"/>
                        <w14:round/>
                      </w14:textOutline>
                    </w:rPr>
                    <w:t>Estazolam</w:t>
                  </w:r>
                  <w:proofErr w:type="spellEnd"/>
                </w:p>
                <w:p w14:paraId="29BD967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Lorazepam</w:t>
                  </w:r>
                </w:p>
                <w:p w14:paraId="6941C464"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Oxazepam</w:t>
                  </w:r>
                </w:p>
                <w:p w14:paraId="1B1831E2"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Temazepam</w:t>
                  </w:r>
                </w:p>
                <w:p w14:paraId="0A3E60C1"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Triazolam</w:t>
                  </w:r>
                </w:p>
                <w:p w14:paraId="161281B1"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Long acting:</w:t>
                  </w:r>
                </w:p>
                <w:p w14:paraId="5F0611E8"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 xml:space="preserve">Chlordiazepoxide (alone or in combination with amitriptyline or </w:t>
                  </w:r>
                  <w:proofErr w:type="spellStart"/>
                  <w:r w:rsidRPr="0086137A">
                    <w:rPr>
                      <w:rFonts w:ascii="Arial Narrow" w:hAnsi="Arial Narrow"/>
                      <w:color w:val="FF0000"/>
                      <w14:textOutline w14:w="0" w14:cap="flat" w14:cmpd="sng" w14:algn="ctr">
                        <w14:noFill/>
                        <w14:prstDash w14:val="solid"/>
                        <w14:round/>
                      </w14:textOutline>
                    </w:rPr>
                    <w:t>clidinium</w:t>
                  </w:r>
                  <w:proofErr w:type="spellEnd"/>
                  <w:r w:rsidRPr="0086137A">
                    <w:rPr>
                      <w:rFonts w:ascii="Arial Narrow" w:hAnsi="Arial Narrow"/>
                      <w:color w:val="FF0000"/>
                      <w14:textOutline w14:w="0" w14:cap="flat" w14:cmpd="sng" w14:algn="ctr">
                        <w14:noFill/>
                        <w14:prstDash w14:val="solid"/>
                        <w14:round/>
                      </w14:textOutline>
                    </w:rPr>
                    <w:t>)</w:t>
                  </w:r>
                </w:p>
                <w:p w14:paraId="06E9CA60"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Clonazepam</w:t>
                  </w:r>
                </w:p>
                <w:p w14:paraId="5205773A"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Clorazepate</w:t>
                  </w:r>
                </w:p>
                <w:p w14:paraId="36BBC84F"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Diazepam</w:t>
                  </w:r>
                </w:p>
                <w:p w14:paraId="5D00492D"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Flurazepam</w:t>
                  </w:r>
                </w:p>
                <w:p w14:paraId="6F043250"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Quazepam</w:t>
                  </w:r>
                </w:p>
              </w:tc>
              <w:tc>
                <w:tcPr>
                  <w:tcW w:w="2340" w:type="dxa"/>
                </w:tcPr>
                <w:p w14:paraId="0F0B27A5"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Older adults have increased sensitivity to benzodiazepines and decreased metabolism of long-acting agents; in general, all benzodiazepines increase risk of cognitive impairment, delirium, falls, fractures, and motor vehicle crashes in older adults</w:t>
                  </w:r>
                </w:p>
                <w:p w14:paraId="39FC8CBB"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May be appropriate for seizure disorders, rapid eye movement sleep behavior disorder, benzodiazepine withdrawal, ethanol withdrawal, severe generalized anxiety disorder, and periprocedural anesthesia</w:t>
                  </w:r>
                </w:p>
              </w:tc>
              <w:tc>
                <w:tcPr>
                  <w:tcW w:w="1260" w:type="dxa"/>
                </w:tcPr>
                <w:p w14:paraId="28AFA6B8"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759BB0F0"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70DFEE0E"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573C4E7A" w14:textId="77777777" w:rsidTr="00A10ABD">
              <w:trPr>
                <w:trHeight w:val="275"/>
              </w:trPr>
              <w:tc>
                <w:tcPr>
                  <w:tcW w:w="1885" w:type="dxa"/>
                </w:tcPr>
                <w:p w14:paraId="318CDEBC"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Central Nervous System (p. 7)</w:t>
                  </w:r>
                </w:p>
                <w:p w14:paraId="0449A279"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Meprobamate</w:t>
                  </w:r>
                </w:p>
              </w:tc>
              <w:tc>
                <w:tcPr>
                  <w:tcW w:w="2340" w:type="dxa"/>
                </w:tcPr>
                <w:p w14:paraId="17EABD13"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High rate of physical dependence; very sedating</w:t>
                  </w:r>
                </w:p>
              </w:tc>
              <w:tc>
                <w:tcPr>
                  <w:tcW w:w="1260" w:type="dxa"/>
                </w:tcPr>
                <w:p w14:paraId="23642F76"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557D8620"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4B8F65AC"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323E1885" w14:textId="77777777" w:rsidTr="00A10ABD">
              <w:trPr>
                <w:trHeight w:val="275"/>
              </w:trPr>
              <w:tc>
                <w:tcPr>
                  <w:tcW w:w="1885" w:type="dxa"/>
                </w:tcPr>
                <w:p w14:paraId="3F9B73BD"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Central Nervous System (p. 7)</w:t>
                  </w:r>
                </w:p>
                <w:p w14:paraId="49B3F632"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Nonbenzodiazepine, benzodiazepine receptor agonist hypnotics (</w:t>
                  </w:r>
                  <w:proofErr w:type="spellStart"/>
                  <w:r w:rsidRPr="0086137A">
                    <w:rPr>
                      <w:rFonts w:ascii="Arial Narrow" w:hAnsi="Arial Narrow"/>
                      <w:color w:val="FF0000"/>
                      <w14:textOutline w14:w="0" w14:cap="flat" w14:cmpd="sng" w14:algn="ctr">
                        <w14:noFill/>
                        <w14:prstDash w14:val="solid"/>
                        <w14:round/>
                      </w14:textOutline>
                    </w:rPr>
                    <w:t>ie</w:t>
                  </w:r>
                  <w:proofErr w:type="spellEnd"/>
                  <w:r w:rsidRPr="0086137A">
                    <w:rPr>
                      <w:rFonts w:ascii="Arial Narrow" w:hAnsi="Arial Narrow"/>
                      <w:color w:val="FF0000"/>
                      <w14:textOutline w14:w="0" w14:cap="flat" w14:cmpd="sng" w14:algn="ctr">
                        <w14:noFill/>
                        <w14:prstDash w14:val="solid"/>
                        <w14:round/>
                      </w14:textOutline>
                    </w:rPr>
                    <w:t>, “Z-drugs”)</w:t>
                  </w:r>
                </w:p>
                <w:p w14:paraId="17F8C28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Eszopiclone</w:t>
                  </w:r>
                </w:p>
                <w:p w14:paraId="3D4B2070"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Zolpidem</w:t>
                  </w:r>
                </w:p>
                <w:p w14:paraId="06284467"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Zaleplon</w:t>
                  </w:r>
                </w:p>
              </w:tc>
              <w:tc>
                <w:tcPr>
                  <w:tcW w:w="2340" w:type="dxa"/>
                </w:tcPr>
                <w:p w14:paraId="51D4E37B"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Nonbenzodiazepine benzodiazepine receptor agonist hypnotics (</w:t>
                  </w:r>
                  <w:proofErr w:type="spellStart"/>
                  <w:r w:rsidRPr="0086137A">
                    <w:rPr>
                      <w:rFonts w:ascii="Arial Narrow" w:hAnsi="Arial Narrow"/>
                      <w:color w:val="FF0000"/>
                      <w14:textOutline w14:w="0" w14:cap="flat" w14:cmpd="sng" w14:algn="ctr">
                        <w14:noFill/>
                        <w14:prstDash w14:val="solid"/>
                        <w14:round/>
                      </w14:textOutline>
                    </w:rPr>
                    <w:t>ie</w:t>
                  </w:r>
                  <w:proofErr w:type="spellEnd"/>
                  <w:r w:rsidRPr="0086137A">
                    <w:rPr>
                      <w:rFonts w:ascii="Arial Narrow" w:hAnsi="Arial Narrow"/>
                      <w:color w:val="FF0000"/>
                      <w14:textOutline w14:w="0" w14:cap="flat" w14:cmpd="sng" w14:algn="ctr">
                        <w14:noFill/>
                        <w14:prstDash w14:val="solid"/>
                        <w14:round/>
                      </w14:textOutline>
                    </w:rPr>
                    <w:t>, Z drugs) have adverse events similar to those of benzodiazepines in older adults (e.g., delirium, falls, fractures); increased emergency department visits and hospitalizations; motor vehicle crashes; minimal improvement in sleep latency and duration</w:t>
                  </w:r>
                </w:p>
              </w:tc>
              <w:tc>
                <w:tcPr>
                  <w:tcW w:w="1260" w:type="dxa"/>
                </w:tcPr>
                <w:p w14:paraId="6F27CB22"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64A8D54E"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3C0BF837"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692B0A9E" w14:textId="77777777" w:rsidTr="00A10ABD">
              <w:trPr>
                <w:trHeight w:val="275"/>
              </w:trPr>
              <w:tc>
                <w:tcPr>
                  <w:tcW w:w="1885" w:type="dxa"/>
                </w:tcPr>
                <w:p w14:paraId="133F652F"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Central Nervous System (p. 7)</w:t>
                  </w:r>
                </w:p>
                <w:p w14:paraId="02197EC4"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proofErr w:type="spellStart"/>
                  <w:r w:rsidRPr="0086137A">
                    <w:rPr>
                      <w:rFonts w:ascii="Arial Narrow" w:hAnsi="Arial Narrow"/>
                      <w:color w:val="FF0000"/>
                      <w14:textOutline w14:w="0" w14:cap="flat" w14:cmpd="sng" w14:algn="ctr">
                        <w14:noFill/>
                        <w14:prstDash w14:val="solid"/>
                        <w14:round/>
                      </w14:textOutline>
                    </w:rPr>
                    <w:t>Ergoloid</w:t>
                  </w:r>
                  <w:proofErr w:type="spellEnd"/>
                  <w:r w:rsidRPr="0086137A">
                    <w:rPr>
                      <w:rFonts w:ascii="Arial Narrow" w:hAnsi="Arial Narrow"/>
                      <w:color w:val="FF0000"/>
                      <w14:textOutline w14:w="0" w14:cap="flat" w14:cmpd="sng" w14:algn="ctr">
                        <w14:noFill/>
                        <w14:prstDash w14:val="solid"/>
                        <w14:round/>
                      </w14:textOutline>
                    </w:rPr>
                    <w:t xml:space="preserve"> mesylates (dehydrogenated ergot alkaloids)</w:t>
                  </w:r>
                </w:p>
                <w:p w14:paraId="2720CBA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proofErr w:type="spellStart"/>
                  <w:r w:rsidRPr="0086137A">
                    <w:rPr>
                      <w:rFonts w:ascii="Arial Narrow" w:hAnsi="Arial Narrow"/>
                      <w:color w:val="FF0000"/>
                      <w14:textOutline w14:w="0" w14:cap="flat" w14:cmpd="sng" w14:algn="ctr">
                        <w14:noFill/>
                        <w14:prstDash w14:val="solid"/>
                        <w14:round/>
                      </w14:textOutline>
                    </w:rPr>
                    <w:lastRenderedPageBreak/>
                    <w:t>Isoxsuprine</w:t>
                  </w:r>
                  <w:proofErr w:type="spellEnd"/>
                </w:p>
              </w:tc>
              <w:tc>
                <w:tcPr>
                  <w:tcW w:w="2340" w:type="dxa"/>
                </w:tcPr>
                <w:p w14:paraId="30313364"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lastRenderedPageBreak/>
                    <w:t>Lack of efficacy</w:t>
                  </w:r>
                </w:p>
              </w:tc>
              <w:tc>
                <w:tcPr>
                  <w:tcW w:w="1260" w:type="dxa"/>
                </w:tcPr>
                <w:p w14:paraId="6A8D4184"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48175C04"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High</w:t>
                  </w:r>
                </w:p>
              </w:tc>
              <w:tc>
                <w:tcPr>
                  <w:tcW w:w="1080" w:type="dxa"/>
                </w:tcPr>
                <w:p w14:paraId="4331D0FB"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3BDD49D5" w14:textId="77777777" w:rsidTr="00A10ABD">
              <w:trPr>
                <w:trHeight w:val="275"/>
              </w:trPr>
              <w:tc>
                <w:tcPr>
                  <w:tcW w:w="1885" w:type="dxa"/>
                </w:tcPr>
                <w:p w14:paraId="33433CA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Endocrine (p. 8)</w:t>
                  </w:r>
                </w:p>
                <w:p w14:paraId="357A5956"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Androgens</w:t>
                  </w:r>
                </w:p>
                <w:p w14:paraId="31C21874"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Methyltestosterone</w:t>
                  </w:r>
                </w:p>
                <w:p w14:paraId="7E30D64E"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Testosterone</w:t>
                  </w:r>
                </w:p>
              </w:tc>
              <w:tc>
                <w:tcPr>
                  <w:tcW w:w="2340" w:type="dxa"/>
                </w:tcPr>
                <w:p w14:paraId="329A6912"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Potential for cardiac problems; contraindicated in men with prostate cancer</w:t>
                  </w:r>
                </w:p>
              </w:tc>
              <w:tc>
                <w:tcPr>
                  <w:tcW w:w="1260" w:type="dxa"/>
                </w:tcPr>
                <w:p w14:paraId="68BD9F65"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 unless indicated for confirmed hypogonadism with clinical symptoms</w:t>
                  </w:r>
                </w:p>
              </w:tc>
              <w:tc>
                <w:tcPr>
                  <w:tcW w:w="990" w:type="dxa"/>
                </w:tcPr>
                <w:p w14:paraId="4D98C6F3"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79152946"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Weak</w:t>
                  </w:r>
                </w:p>
              </w:tc>
            </w:tr>
            <w:tr w:rsidR="0086137A" w:rsidRPr="0086137A" w14:paraId="4E571477" w14:textId="77777777" w:rsidTr="00A10ABD">
              <w:trPr>
                <w:trHeight w:val="275"/>
              </w:trPr>
              <w:tc>
                <w:tcPr>
                  <w:tcW w:w="1885" w:type="dxa"/>
                </w:tcPr>
                <w:p w14:paraId="33663D5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Endocrine (p. 8)</w:t>
                  </w:r>
                </w:p>
                <w:p w14:paraId="744BAE42"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Desiccated thyroid</w:t>
                  </w:r>
                </w:p>
              </w:tc>
              <w:tc>
                <w:tcPr>
                  <w:tcW w:w="2340" w:type="dxa"/>
                </w:tcPr>
                <w:p w14:paraId="166905A7"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Concerns about cardiac effects; safer</w:t>
                  </w:r>
                </w:p>
                <w:p w14:paraId="560A8BE4"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alternatives available</w:t>
                  </w:r>
                </w:p>
              </w:tc>
              <w:tc>
                <w:tcPr>
                  <w:tcW w:w="1260" w:type="dxa"/>
                </w:tcPr>
                <w:p w14:paraId="6DA59AD1"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053140D6"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Low</w:t>
                  </w:r>
                </w:p>
              </w:tc>
              <w:tc>
                <w:tcPr>
                  <w:tcW w:w="1080" w:type="dxa"/>
                </w:tcPr>
                <w:p w14:paraId="4D90FD6D"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71A6A576" w14:textId="77777777" w:rsidTr="00A10ABD">
              <w:trPr>
                <w:trHeight w:val="275"/>
              </w:trPr>
              <w:tc>
                <w:tcPr>
                  <w:tcW w:w="1885" w:type="dxa"/>
                </w:tcPr>
                <w:p w14:paraId="7DB8F936"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Endocrine (p. 8)</w:t>
                  </w:r>
                </w:p>
                <w:p w14:paraId="3C3D809B"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Estrogens with or without</w:t>
                  </w:r>
                </w:p>
                <w:p w14:paraId="1E7B9B0B"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progestins</w:t>
                  </w:r>
                </w:p>
              </w:tc>
              <w:tc>
                <w:tcPr>
                  <w:tcW w:w="2340" w:type="dxa"/>
                </w:tcPr>
                <w:p w14:paraId="06F7BB95"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Evidence of carcinogenic potential (breast and endometrium); lack of cardioprotective effect and cognitive protection in older women. Evidence indicates that vaginal estrogens for the treatment of vaginal dryness are safe and effective; women with a history of breast cancer who do not respond to nonhormonal therapies are advised to discuss the risk and benefits of low-dose vaginal estrogen (dosages of estradiol &lt;25 lg twice weekly) with their healthcare provider</w:t>
                  </w:r>
                </w:p>
              </w:tc>
              <w:tc>
                <w:tcPr>
                  <w:tcW w:w="1260" w:type="dxa"/>
                </w:tcPr>
                <w:p w14:paraId="68E3FAA6"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 systemic estrogen (e.g., oral and topical patch)</w:t>
                  </w:r>
                </w:p>
                <w:p w14:paraId="0D13A300"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Vaginal cream or tablets: acceptable to</w:t>
                  </w:r>
                </w:p>
                <w:p w14:paraId="4560F1AB"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use low-dose intravaginal estrogen for</w:t>
                  </w:r>
                </w:p>
                <w:p w14:paraId="33240F94"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management of dyspareunia, recurrent lower urinary tract infections, and other vaginal</w:t>
                  </w:r>
                </w:p>
                <w:p w14:paraId="09766E2C"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symptoms</w:t>
                  </w:r>
                </w:p>
              </w:tc>
              <w:tc>
                <w:tcPr>
                  <w:tcW w:w="990" w:type="dxa"/>
                </w:tcPr>
                <w:p w14:paraId="1F6D3373"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Oral and patch: High</w:t>
                  </w:r>
                </w:p>
                <w:p w14:paraId="3B5B95B9"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p>
                <w:p w14:paraId="438BB6F8"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Vaginal cream or tablets:</w:t>
                  </w:r>
                </w:p>
                <w:p w14:paraId="61F71CFC"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601FE808"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Oral and patch: Strong</w:t>
                  </w:r>
                </w:p>
                <w:p w14:paraId="431557BE"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p>
                <w:p w14:paraId="24D3EFE3"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Topical vaginal cream or tablets: Weak</w:t>
                  </w:r>
                </w:p>
              </w:tc>
            </w:tr>
            <w:tr w:rsidR="0086137A" w:rsidRPr="0086137A" w14:paraId="6EA710F4" w14:textId="77777777" w:rsidTr="00A10ABD">
              <w:trPr>
                <w:trHeight w:val="275"/>
              </w:trPr>
              <w:tc>
                <w:tcPr>
                  <w:tcW w:w="1885" w:type="dxa"/>
                </w:tcPr>
                <w:p w14:paraId="2126A372"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Endocrine (p. 8)</w:t>
                  </w:r>
                </w:p>
                <w:p w14:paraId="6258FE64"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Growth hormone</w:t>
                  </w:r>
                </w:p>
              </w:tc>
              <w:tc>
                <w:tcPr>
                  <w:tcW w:w="2340" w:type="dxa"/>
                </w:tcPr>
                <w:p w14:paraId="0B242217"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Impact on body composition is small and associated with edema, arthralgia, carpal tunnel syndrome, gynecomastia, impaired fasting glucose</w:t>
                  </w:r>
                </w:p>
              </w:tc>
              <w:tc>
                <w:tcPr>
                  <w:tcW w:w="1260" w:type="dxa"/>
                </w:tcPr>
                <w:p w14:paraId="043C8515"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 except for patients rigorously diagnosed by evidence-based criteria with growth hormone deficiency due to an established etiology</w:t>
                  </w:r>
                </w:p>
              </w:tc>
              <w:tc>
                <w:tcPr>
                  <w:tcW w:w="990" w:type="dxa"/>
                </w:tcPr>
                <w:p w14:paraId="20CA1700"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 xml:space="preserve">High </w:t>
                  </w:r>
                </w:p>
              </w:tc>
              <w:tc>
                <w:tcPr>
                  <w:tcW w:w="1080" w:type="dxa"/>
                </w:tcPr>
                <w:p w14:paraId="03E12076"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 xml:space="preserve">Strong </w:t>
                  </w:r>
                </w:p>
              </w:tc>
            </w:tr>
            <w:tr w:rsidR="0086137A" w:rsidRPr="0086137A" w14:paraId="30B3818A" w14:textId="77777777" w:rsidTr="00A10ABD">
              <w:trPr>
                <w:trHeight w:val="275"/>
              </w:trPr>
              <w:tc>
                <w:tcPr>
                  <w:tcW w:w="1885" w:type="dxa"/>
                </w:tcPr>
                <w:p w14:paraId="1A42426D"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lastRenderedPageBreak/>
                    <w:t xml:space="preserve">Endocrine (p. 8) </w:t>
                  </w:r>
                </w:p>
                <w:p w14:paraId="7AFB04B8"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Insulin, sliding scale (insulin regimens containing only short- or rapid-acting insulin dosed according to current blood glucose levels without concurrent use of basal or long-acting insulin)</w:t>
                  </w:r>
                </w:p>
              </w:tc>
              <w:tc>
                <w:tcPr>
                  <w:tcW w:w="2340" w:type="dxa"/>
                </w:tcPr>
                <w:p w14:paraId="0AF0FEBC"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Higher risk of hypoglycemia without improvement in hyperglycemia management regardless of care setting. Avoid insulin regimens that include only short- or rapid-acting insulin dosed according to current blood glucose levels without concurrent use of basal or long-acting insulin. This recommendation does not apply to regimens that contain basal insulin or long-acting insulin.</w:t>
                  </w:r>
                </w:p>
              </w:tc>
              <w:tc>
                <w:tcPr>
                  <w:tcW w:w="1260" w:type="dxa"/>
                </w:tcPr>
                <w:p w14:paraId="5A691763"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0CB30770"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 xml:space="preserve">Moderate </w:t>
                  </w:r>
                </w:p>
              </w:tc>
              <w:tc>
                <w:tcPr>
                  <w:tcW w:w="1080" w:type="dxa"/>
                </w:tcPr>
                <w:p w14:paraId="4B30F854"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650AFB3B" w14:textId="77777777" w:rsidTr="00A10ABD">
              <w:trPr>
                <w:trHeight w:val="275"/>
              </w:trPr>
              <w:tc>
                <w:tcPr>
                  <w:tcW w:w="1885" w:type="dxa"/>
                </w:tcPr>
                <w:p w14:paraId="717D487F"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Endocrine (p. 8)</w:t>
                  </w:r>
                </w:p>
                <w:p w14:paraId="6E53274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Megestrol</w:t>
                  </w:r>
                </w:p>
              </w:tc>
              <w:tc>
                <w:tcPr>
                  <w:tcW w:w="2340" w:type="dxa"/>
                </w:tcPr>
                <w:p w14:paraId="07167B14"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Minimal effect on weight; increases risk of thrombotic events and possibly death in older</w:t>
                  </w:r>
                </w:p>
                <w:p w14:paraId="047C6F3B"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adults</w:t>
                  </w:r>
                </w:p>
              </w:tc>
              <w:tc>
                <w:tcPr>
                  <w:tcW w:w="1260" w:type="dxa"/>
                </w:tcPr>
                <w:p w14:paraId="34C3F06B"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5BEB055F"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6239F8CF"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64C1354E" w14:textId="77777777" w:rsidTr="00A10ABD">
              <w:trPr>
                <w:trHeight w:val="275"/>
              </w:trPr>
              <w:tc>
                <w:tcPr>
                  <w:tcW w:w="1885" w:type="dxa"/>
                </w:tcPr>
                <w:p w14:paraId="7155050F"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Endocrine (p. 8)</w:t>
                  </w:r>
                </w:p>
                <w:p w14:paraId="65B00F9A"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Sulfonylureas, long-duration</w:t>
                  </w:r>
                </w:p>
                <w:p w14:paraId="2E536A3A"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Chlorpropamide</w:t>
                  </w:r>
                </w:p>
                <w:p w14:paraId="511F006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Glimepiride</w:t>
                  </w:r>
                </w:p>
                <w:p w14:paraId="2D5F0DEA"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 xml:space="preserve">Glyburide (also known as </w:t>
                  </w:r>
                  <w:proofErr w:type="spellStart"/>
                  <w:r w:rsidRPr="0086137A">
                    <w:rPr>
                      <w:rFonts w:ascii="Arial Narrow" w:hAnsi="Arial Narrow"/>
                      <w:color w:val="FF0000"/>
                      <w14:textOutline w14:w="0" w14:cap="flat" w14:cmpd="sng" w14:algn="ctr">
                        <w14:noFill/>
                        <w14:prstDash w14:val="solid"/>
                        <w14:round/>
                      </w14:textOutline>
                    </w:rPr>
                    <w:t>glibenclamide</w:t>
                  </w:r>
                  <w:proofErr w:type="spellEnd"/>
                  <w:r w:rsidRPr="0086137A">
                    <w:rPr>
                      <w:rFonts w:ascii="Arial Narrow" w:hAnsi="Arial Narrow"/>
                      <w:color w:val="FF0000"/>
                      <w14:textOutline w14:w="0" w14:cap="flat" w14:cmpd="sng" w14:algn="ctr">
                        <w14:noFill/>
                        <w14:prstDash w14:val="solid"/>
                        <w14:round/>
                      </w14:textOutline>
                    </w:rPr>
                    <w:t>)</w:t>
                  </w:r>
                </w:p>
              </w:tc>
              <w:tc>
                <w:tcPr>
                  <w:tcW w:w="2340" w:type="dxa"/>
                </w:tcPr>
                <w:p w14:paraId="32A5A113"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Chlorpropamide: prolonged half-life in older adults; can cause prolonged hypoglycemia; causes syndrome of inappropriate antidiuretic hormone secretion</w:t>
                  </w:r>
                </w:p>
                <w:p w14:paraId="1721324B"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Glyburide: higher risk of severe prolonged hypoglycemia in older adults</w:t>
                  </w:r>
                </w:p>
              </w:tc>
              <w:tc>
                <w:tcPr>
                  <w:tcW w:w="1260" w:type="dxa"/>
                </w:tcPr>
                <w:p w14:paraId="6F93194C"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793E5F55"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High</w:t>
                  </w:r>
                </w:p>
              </w:tc>
              <w:tc>
                <w:tcPr>
                  <w:tcW w:w="1080" w:type="dxa"/>
                </w:tcPr>
                <w:p w14:paraId="68DC4147"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59CBD352" w14:textId="77777777" w:rsidTr="00A10ABD">
              <w:trPr>
                <w:trHeight w:val="275"/>
              </w:trPr>
              <w:tc>
                <w:tcPr>
                  <w:tcW w:w="1885" w:type="dxa"/>
                </w:tcPr>
                <w:p w14:paraId="6326DC7B"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Gastrointestinal (p. 8)</w:t>
                  </w:r>
                </w:p>
                <w:p w14:paraId="64E5512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 xml:space="preserve">Metoclopramide </w:t>
                  </w:r>
                </w:p>
              </w:tc>
              <w:tc>
                <w:tcPr>
                  <w:tcW w:w="2340" w:type="dxa"/>
                </w:tcPr>
                <w:p w14:paraId="4C66D8F3"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Can cause extrapyramidal effects, including tardive dyskinesia; risk may be greater in frail older adults and with prolonged exposure</w:t>
                  </w:r>
                </w:p>
              </w:tc>
              <w:tc>
                <w:tcPr>
                  <w:tcW w:w="1260" w:type="dxa"/>
                </w:tcPr>
                <w:p w14:paraId="209DBA52"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 unless for gastroparesis with duration of use not to exceed 12 weeks except in rare cases</w:t>
                  </w:r>
                </w:p>
              </w:tc>
              <w:tc>
                <w:tcPr>
                  <w:tcW w:w="990" w:type="dxa"/>
                </w:tcPr>
                <w:p w14:paraId="5E019FAC"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7F57790D"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7B2743BB" w14:textId="77777777" w:rsidTr="00A10ABD">
              <w:trPr>
                <w:trHeight w:val="275"/>
              </w:trPr>
              <w:tc>
                <w:tcPr>
                  <w:tcW w:w="1885" w:type="dxa"/>
                </w:tcPr>
                <w:p w14:paraId="7B76C45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Gastrointestinal (p. 8)</w:t>
                  </w:r>
                </w:p>
                <w:p w14:paraId="1656DF07"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Mineral oil, given orally</w:t>
                  </w:r>
                </w:p>
              </w:tc>
              <w:tc>
                <w:tcPr>
                  <w:tcW w:w="2340" w:type="dxa"/>
                </w:tcPr>
                <w:p w14:paraId="1DB6C39F"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Potential for aspiration and adverse effects; safer alternatives available</w:t>
                  </w:r>
                </w:p>
              </w:tc>
              <w:tc>
                <w:tcPr>
                  <w:tcW w:w="1260" w:type="dxa"/>
                </w:tcPr>
                <w:p w14:paraId="077B6775"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243CABED"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469C7452"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7E61226C" w14:textId="77777777" w:rsidTr="00A10ABD">
              <w:trPr>
                <w:trHeight w:val="275"/>
              </w:trPr>
              <w:tc>
                <w:tcPr>
                  <w:tcW w:w="1885" w:type="dxa"/>
                </w:tcPr>
                <w:p w14:paraId="2C5E43E3"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Gastrointestinal (p. 8)</w:t>
                  </w:r>
                </w:p>
                <w:p w14:paraId="375F251F"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lastRenderedPageBreak/>
                    <w:t>Proton-pump inhibitors</w:t>
                  </w:r>
                </w:p>
              </w:tc>
              <w:tc>
                <w:tcPr>
                  <w:tcW w:w="2340" w:type="dxa"/>
                </w:tcPr>
                <w:p w14:paraId="581FDEF1"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lastRenderedPageBreak/>
                    <w:t xml:space="preserve">Risk of </w:t>
                  </w:r>
                  <w:r w:rsidRPr="0086137A">
                    <w:rPr>
                      <w:rFonts w:ascii="Arial Narrow" w:hAnsi="Arial Narrow"/>
                      <w:i/>
                      <w:iCs/>
                      <w:color w:val="FF0000"/>
                      <w14:textOutline w14:w="0" w14:cap="flat" w14:cmpd="sng" w14:algn="ctr">
                        <w14:noFill/>
                        <w14:prstDash w14:val="solid"/>
                        <w14:round/>
                      </w14:textOutline>
                    </w:rPr>
                    <w:t>Clostridium difficile</w:t>
                  </w:r>
                  <w:r w:rsidRPr="0086137A">
                    <w:rPr>
                      <w:rFonts w:ascii="Arial Narrow" w:hAnsi="Arial Narrow"/>
                      <w:color w:val="FF0000"/>
                      <w14:textOutline w14:w="0" w14:cap="flat" w14:cmpd="sng" w14:algn="ctr">
                        <w14:noFill/>
                        <w14:prstDash w14:val="solid"/>
                        <w14:round/>
                      </w14:textOutline>
                    </w:rPr>
                    <w:t xml:space="preserve"> infection and bone loss and fractures</w:t>
                  </w:r>
                </w:p>
              </w:tc>
              <w:tc>
                <w:tcPr>
                  <w:tcW w:w="1260" w:type="dxa"/>
                </w:tcPr>
                <w:p w14:paraId="59B8A4BB"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 xml:space="preserve">Avoid scheduled use for &gt;8 </w:t>
                  </w:r>
                  <w:r w:rsidRPr="0086137A">
                    <w:rPr>
                      <w:rFonts w:ascii="Arial Narrow" w:hAnsi="Arial Narrow"/>
                      <w:color w:val="FF0000"/>
                      <w14:textOutline w14:w="0" w14:cap="flat" w14:cmpd="sng" w14:algn="ctr">
                        <w14:noFill/>
                        <w14:prstDash w14:val="solid"/>
                        <w14:round/>
                      </w14:textOutline>
                    </w:rPr>
                    <w:lastRenderedPageBreak/>
                    <w:t>weeks unless for high-risk patients (</w:t>
                  </w:r>
                  <w:proofErr w:type="spellStart"/>
                  <w:r w:rsidRPr="0086137A">
                    <w:rPr>
                      <w:rFonts w:ascii="Arial Narrow" w:hAnsi="Arial Narrow"/>
                      <w:color w:val="FF0000"/>
                      <w14:textOutline w14:w="0" w14:cap="flat" w14:cmpd="sng" w14:algn="ctr">
                        <w14:noFill/>
                        <w14:prstDash w14:val="solid"/>
                        <w14:round/>
                      </w14:textOutline>
                    </w:rPr>
                    <w:t>eg</w:t>
                  </w:r>
                  <w:proofErr w:type="spellEnd"/>
                  <w:r w:rsidRPr="0086137A">
                    <w:rPr>
                      <w:rFonts w:ascii="Arial Narrow" w:hAnsi="Arial Narrow"/>
                      <w:color w:val="FF0000"/>
                      <w14:textOutline w14:w="0" w14:cap="flat" w14:cmpd="sng" w14:algn="ctr">
                        <w14:noFill/>
                        <w14:prstDash w14:val="solid"/>
                        <w14:round/>
                      </w14:textOutline>
                    </w:rPr>
                    <w:t>, oral corticosteroids or chronic NSAID use), erosive esophagitis, Barrett esophagitis, pathological hypersecretory condition, or demonstrated need for maintenance treatment (</w:t>
                  </w:r>
                  <w:proofErr w:type="spellStart"/>
                  <w:r w:rsidRPr="0086137A">
                    <w:rPr>
                      <w:rFonts w:ascii="Arial Narrow" w:hAnsi="Arial Narrow"/>
                      <w:color w:val="FF0000"/>
                      <w14:textOutline w14:w="0" w14:cap="flat" w14:cmpd="sng" w14:algn="ctr">
                        <w14:noFill/>
                        <w14:prstDash w14:val="solid"/>
                        <w14:round/>
                      </w14:textOutline>
                    </w:rPr>
                    <w:t>eg</w:t>
                  </w:r>
                  <w:proofErr w:type="spellEnd"/>
                  <w:r w:rsidRPr="0086137A">
                    <w:rPr>
                      <w:rFonts w:ascii="Arial Narrow" w:hAnsi="Arial Narrow"/>
                      <w:color w:val="FF0000"/>
                      <w14:textOutline w14:w="0" w14:cap="flat" w14:cmpd="sng" w14:algn="ctr">
                        <w14:noFill/>
                        <w14:prstDash w14:val="solid"/>
                        <w14:round/>
                      </w14:textOutline>
                    </w:rPr>
                    <w:t>, because of failure of drug discontinuation trial or H2-receptorantagonists)</w:t>
                  </w:r>
                </w:p>
              </w:tc>
              <w:tc>
                <w:tcPr>
                  <w:tcW w:w="990" w:type="dxa"/>
                </w:tcPr>
                <w:p w14:paraId="1B948A54"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lastRenderedPageBreak/>
                    <w:t>High</w:t>
                  </w:r>
                </w:p>
              </w:tc>
              <w:tc>
                <w:tcPr>
                  <w:tcW w:w="1080" w:type="dxa"/>
                </w:tcPr>
                <w:p w14:paraId="2C8B7DAD"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16BE0CBA" w14:textId="77777777" w:rsidTr="00A10ABD">
              <w:trPr>
                <w:trHeight w:val="275"/>
              </w:trPr>
              <w:tc>
                <w:tcPr>
                  <w:tcW w:w="1885" w:type="dxa"/>
                </w:tcPr>
                <w:p w14:paraId="6F727B7F"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Pain medications (p. 9)</w:t>
                  </w:r>
                </w:p>
                <w:p w14:paraId="15F8B77E"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 xml:space="preserve">Meperidine </w:t>
                  </w:r>
                </w:p>
              </w:tc>
              <w:tc>
                <w:tcPr>
                  <w:tcW w:w="2340" w:type="dxa"/>
                </w:tcPr>
                <w:p w14:paraId="01A41619"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Not effective oral analgesic in dosages commonly used; may have higher risk of neurotoxicity, including delirium, than other</w:t>
                  </w:r>
                </w:p>
                <w:p w14:paraId="0EF06ED6"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opioids; safer alternatives available</w:t>
                  </w:r>
                </w:p>
              </w:tc>
              <w:tc>
                <w:tcPr>
                  <w:tcW w:w="1260" w:type="dxa"/>
                </w:tcPr>
                <w:p w14:paraId="38D8D299"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p w14:paraId="7114082A"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p>
              </w:tc>
              <w:tc>
                <w:tcPr>
                  <w:tcW w:w="990" w:type="dxa"/>
                </w:tcPr>
                <w:p w14:paraId="288A2DD8"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580D713D"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4F890671" w14:textId="77777777" w:rsidTr="00A10ABD">
              <w:trPr>
                <w:trHeight w:val="275"/>
              </w:trPr>
              <w:tc>
                <w:tcPr>
                  <w:tcW w:w="1885" w:type="dxa"/>
                </w:tcPr>
                <w:p w14:paraId="13FAEDB3"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Pain medications (p. 9)</w:t>
                  </w:r>
                </w:p>
                <w:p w14:paraId="1C7DB35D"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Non-cyclooxygenase-selective</w:t>
                  </w:r>
                </w:p>
                <w:p w14:paraId="1D56A744"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NSAIDs, oral:</w:t>
                  </w:r>
                </w:p>
                <w:p w14:paraId="205BA330"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Aspirin &gt;325 mg/day</w:t>
                  </w:r>
                </w:p>
                <w:p w14:paraId="769026DA"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Diclofenac</w:t>
                  </w:r>
                </w:p>
                <w:p w14:paraId="132F5ECD"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Diflunisal</w:t>
                  </w:r>
                </w:p>
                <w:p w14:paraId="1B549DA4"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Etodolac</w:t>
                  </w:r>
                </w:p>
                <w:p w14:paraId="183054C7"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proofErr w:type="spellStart"/>
                  <w:r w:rsidRPr="0086137A">
                    <w:rPr>
                      <w:rFonts w:ascii="Arial Narrow" w:hAnsi="Arial Narrow"/>
                      <w:color w:val="FF0000"/>
                      <w14:textOutline w14:w="0" w14:cap="flat" w14:cmpd="sng" w14:algn="ctr">
                        <w14:noFill/>
                        <w14:prstDash w14:val="solid"/>
                        <w14:round/>
                      </w14:textOutline>
                    </w:rPr>
                    <w:t>Feneprofen</w:t>
                  </w:r>
                  <w:proofErr w:type="spellEnd"/>
                </w:p>
                <w:p w14:paraId="1131129D"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Ibuprofen</w:t>
                  </w:r>
                </w:p>
                <w:p w14:paraId="22A3CCFB"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Ketoprofen</w:t>
                  </w:r>
                </w:p>
                <w:p w14:paraId="00FB78A7"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Meclofenamate</w:t>
                  </w:r>
                </w:p>
                <w:p w14:paraId="4A504C60"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Mefenamic acid</w:t>
                  </w:r>
                </w:p>
                <w:p w14:paraId="058ED114"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lastRenderedPageBreak/>
                    <w:t>Meloxicam</w:t>
                  </w:r>
                </w:p>
                <w:p w14:paraId="52F78ECF"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proofErr w:type="spellStart"/>
                  <w:r w:rsidRPr="0086137A">
                    <w:rPr>
                      <w:rFonts w:ascii="Arial Narrow" w:hAnsi="Arial Narrow"/>
                      <w:color w:val="FF0000"/>
                      <w14:textOutline w14:w="0" w14:cap="flat" w14:cmpd="sng" w14:algn="ctr">
                        <w14:noFill/>
                        <w14:prstDash w14:val="solid"/>
                        <w14:round/>
                      </w14:textOutline>
                    </w:rPr>
                    <w:t>Nabumetone</w:t>
                  </w:r>
                  <w:proofErr w:type="spellEnd"/>
                </w:p>
                <w:p w14:paraId="7E2E6AEB"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Naproxen</w:t>
                  </w:r>
                </w:p>
                <w:p w14:paraId="55C8C3C3"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proofErr w:type="spellStart"/>
                  <w:r w:rsidRPr="0086137A">
                    <w:rPr>
                      <w:rFonts w:ascii="Arial Narrow" w:hAnsi="Arial Narrow"/>
                      <w:color w:val="FF0000"/>
                      <w14:textOutline w14:w="0" w14:cap="flat" w14:cmpd="sng" w14:algn="ctr">
                        <w14:noFill/>
                        <w14:prstDash w14:val="solid"/>
                        <w14:round/>
                      </w14:textOutline>
                    </w:rPr>
                    <w:t>Oxaprozin</w:t>
                  </w:r>
                  <w:proofErr w:type="spellEnd"/>
                </w:p>
                <w:p w14:paraId="120AFC90"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Piroxicam</w:t>
                  </w:r>
                </w:p>
                <w:p w14:paraId="4A87E94B"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Sulindac</w:t>
                  </w:r>
                </w:p>
                <w:p w14:paraId="5B0DB8F0"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Tolmetin</w:t>
                  </w:r>
                </w:p>
                <w:p w14:paraId="387CAF19"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p>
                <w:p w14:paraId="225618BE"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p>
              </w:tc>
              <w:tc>
                <w:tcPr>
                  <w:tcW w:w="2340" w:type="dxa"/>
                </w:tcPr>
                <w:p w14:paraId="5BFFEF83"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lastRenderedPageBreak/>
                    <w:t xml:space="preserve">Increased risk of gastrointestinal bleeding or peptic ulcer disease in high-risk groups, including those &gt;75 years or taking oral or parenteral corticosteroids, anticoagulants, or antiplatelet agents; use of proton-pump inhibitor or misoprostol reduces but does not eliminate risk. Upper gastrointestinal ulcers, gross bleeding, or perforation caused by </w:t>
                  </w:r>
                  <w:r w:rsidRPr="0086137A">
                    <w:rPr>
                      <w:rFonts w:ascii="Arial Narrow" w:hAnsi="Arial Narrow"/>
                      <w:color w:val="FF0000"/>
                      <w14:textOutline w14:w="0" w14:cap="flat" w14:cmpd="sng" w14:algn="ctr">
                        <w14:noFill/>
                        <w14:prstDash w14:val="solid"/>
                        <w14:round/>
                      </w14:textOutline>
                    </w:rPr>
                    <w:lastRenderedPageBreak/>
                    <w:t>NSAIDs occur in ~1% of patients treated for3-6 months and in ~2%-4% of patients treated for 1 year; these trends continue with longer duration of use. Also can increase blood pressure and induce kidney injury. Risks are dose related.</w:t>
                  </w:r>
                </w:p>
              </w:tc>
              <w:tc>
                <w:tcPr>
                  <w:tcW w:w="1260" w:type="dxa"/>
                </w:tcPr>
                <w:p w14:paraId="0494612A"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lastRenderedPageBreak/>
                    <w:t>Avoid chronic use, unless other alternatives are not effective and patient can take gastroprotective agent (proton-pump inhibitor or misoprostol)</w:t>
                  </w:r>
                </w:p>
              </w:tc>
              <w:tc>
                <w:tcPr>
                  <w:tcW w:w="990" w:type="dxa"/>
                </w:tcPr>
                <w:p w14:paraId="4B60434D"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4702BFE8"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619F4179" w14:textId="77777777" w:rsidTr="00A10ABD">
              <w:trPr>
                <w:trHeight w:val="275"/>
              </w:trPr>
              <w:tc>
                <w:tcPr>
                  <w:tcW w:w="1885" w:type="dxa"/>
                </w:tcPr>
                <w:p w14:paraId="56C8EAC0"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Pain medications (p. 9)</w:t>
                  </w:r>
                </w:p>
                <w:p w14:paraId="74E2AF73"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Indomethacin</w:t>
                  </w:r>
                </w:p>
                <w:p w14:paraId="3771B79A"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Ketorolac, includes parenteral</w:t>
                  </w:r>
                </w:p>
              </w:tc>
              <w:tc>
                <w:tcPr>
                  <w:tcW w:w="2340" w:type="dxa"/>
                </w:tcPr>
                <w:p w14:paraId="209D6D48"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Indomethacin is more likely than other NSAIDs to have adverse CNS effects. Of all the NSAIDs,</w:t>
                  </w:r>
                </w:p>
                <w:p w14:paraId="527630EE"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indomethacin has the most adverse effects. Increased risk of gastrointestinal bleeding, peptic ulcer disease, and acute kidney injury in older adults</w:t>
                  </w:r>
                </w:p>
              </w:tc>
              <w:tc>
                <w:tcPr>
                  <w:tcW w:w="1260" w:type="dxa"/>
                </w:tcPr>
                <w:p w14:paraId="1B400922"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02AB1BB2"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795233EF"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5FBFF7FF" w14:textId="77777777" w:rsidTr="00A10ABD">
              <w:trPr>
                <w:trHeight w:val="275"/>
              </w:trPr>
              <w:tc>
                <w:tcPr>
                  <w:tcW w:w="1885" w:type="dxa"/>
                </w:tcPr>
                <w:p w14:paraId="359FB439"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Pain medications (p. 9)</w:t>
                  </w:r>
                </w:p>
                <w:p w14:paraId="4AD1AC73"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Skeletal muscle relaxants</w:t>
                  </w:r>
                </w:p>
                <w:p w14:paraId="68D18507"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Carisoprodol</w:t>
                  </w:r>
                </w:p>
                <w:p w14:paraId="48E941CC"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Chlorzoxazone</w:t>
                  </w:r>
                </w:p>
                <w:p w14:paraId="378E0A4C"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Cyclobenzaprine</w:t>
                  </w:r>
                </w:p>
                <w:p w14:paraId="5F2DE19F"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Metaxalone</w:t>
                  </w:r>
                </w:p>
                <w:p w14:paraId="7E356CB2"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Methocarbamol</w:t>
                  </w:r>
                </w:p>
                <w:p w14:paraId="6297E3FF"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Orphenadrine</w:t>
                  </w:r>
                </w:p>
              </w:tc>
              <w:tc>
                <w:tcPr>
                  <w:tcW w:w="2340" w:type="dxa"/>
                </w:tcPr>
                <w:p w14:paraId="781286E0"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Most muscle relaxants poorly tolerated by older adults because some have anticholinergic adverse effects, sedation, increased risk of fractures; effectiveness at dosages tolerated by older adults questionable</w:t>
                  </w:r>
                </w:p>
              </w:tc>
              <w:tc>
                <w:tcPr>
                  <w:tcW w:w="1260" w:type="dxa"/>
                </w:tcPr>
                <w:p w14:paraId="79CD2606"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w:t>
                  </w:r>
                </w:p>
              </w:tc>
              <w:tc>
                <w:tcPr>
                  <w:tcW w:w="990" w:type="dxa"/>
                </w:tcPr>
                <w:p w14:paraId="4E38AEB0"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6F926F2D"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r w:rsidR="0086137A" w:rsidRPr="0086137A" w14:paraId="4FE72A5F" w14:textId="77777777" w:rsidTr="00A10ABD">
              <w:trPr>
                <w:trHeight w:val="275"/>
              </w:trPr>
              <w:tc>
                <w:tcPr>
                  <w:tcW w:w="1885" w:type="dxa"/>
                </w:tcPr>
                <w:p w14:paraId="6299EC25"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Genitourinary (p. 9)</w:t>
                  </w:r>
                </w:p>
                <w:p w14:paraId="4605209B" w14:textId="77777777" w:rsidR="0086137A" w:rsidRPr="0086137A" w:rsidRDefault="0086137A" w:rsidP="0086137A">
                  <w:pPr>
                    <w:autoSpaceDE w:val="0"/>
                    <w:autoSpaceDN w:val="0"/>
                    <w:adjustRightInd w:val="0"/>
                    <w:ind w:left="157" w:hanging="18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Desmopressin</w:t>
                  </w:r>
                </w:p>
              </w:tc>
              <w:tc>
                <w:tcPr>
                  <w:tcW w:w="2340" w:type="dxa"/>
                </w:tcPr>
                <w:p w14:paraId="4DC0B9FE"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High risk of hyponatremia; safer alternative treatments</w:t>
                  </w:r>
                </w:p>
              </w:tc>
              <w:tc>
                <w:tcPr>
                  <w:tcW w:w="1260" w:type="dxa"/>
                </w:tcPr>
                <w:p w14:paraId="75AC1D63" w14:textId="77777777" w:rsidR="0086137A" w:rsidRPr="0086137A" w:rsidRDefault="0086137A" w:rsidP="0086137A">
                  <w:pPr>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Avoid for treatment of nocturia or nocturnal polyuria</w:t>
                  </w:r>
                </w:p>
              </w:tc>
              <w:tc>
                <w:tcPr>
                  <w:tcW w:w="990" w:type="dxa"/>
                </w:tcPr>
                <w:p w14:paraId="66F0502E"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Moderate</w:t>
                  </w:r>
                </w:p>
              </w:tc>
              <w:tc>
                <w:tcPr>
                  <w:tcW w:w="1080" w:type="dxa"/>
                </w:tcPr>
                <w:p w14:paraId="2C40E03C" w14:textId="77777777" w:rsidR="0086137A" w:rsidRPr="0086137A" w:rsidRDefault="0086137A" w:rsidP="0086137A">
                  <w:pPr>
                    <w:autoSpaceDE w:val="0"/>
                    <w:autoSpaceDN w:val="0"/>
                    <w:adjustRightInd w:val="0"/>
                    <w:ind w:left="0" w:firstLine="0"/>
                    <w:rPr>
                      <w:rFonts w:ascii="Arial Narrow" w:hAnsi="Arial Narrow"/>
                      <w:color w:val="FF0000"/>
                      <w14:textOutline w14:w="0" w14:cap="flat" w14:cmpd="sng" w14:algn="ctr">
                        <w14:noFill/>
                        <w14:prstDash w14:val="solid"/>
                        <w14:round/>
                      </w14:textOutline>
                    </w:rPr>
                  </w:pPr>
                  <w:r w:rsidRPr="0086137A">
                    <w:rPr>
                      <w:rFonts w:ascii="Arial Narrow" w:hAnsi="Arial Narrow"/>
                      <w:color w:val="FF0000"/>
                      <w14:textOutline w14:w="0" w14:cap="flat" w14:cmpd="sng" w14:algn="ctr">
                        <w14:noFill/>
                        <w14:prstDash w14:val="solid"/>
                        <w14:round/>
                      </w14:textOutline>
                    </w:rPr>
                    <w:t>Strong</w:t>
                  </w:r>
                </w:p>
              </w:tc>
            </w:tr>
          </w:tbl>
          <w:p w14:paraId="29A74A46" w14:textId="77777777" w:rsidR="0086137A" w:rsidRPr="0086137A" w:rsidRDefault="0086137A" w:rsidP="009E2069">
            <w:pPr>
              <w:ind w:left="0" w:firstLine="0"/>
              <w:rPr>
                <w:color w:val="FF0000"/>
              </w:rPr>
            </w:pPr>
          </w:p>
          <w:p w14:paraId="03F51AAD" w14:textId="77777777" w:rsidR="0086137A" w:rsidRPr="0086137A" w:rsidRDefault="0086137A" w:rsidP="009E2069">
            <w:pPr>
              <w:ind w:left="0" w:firstLine="0"/>
              <w:rPr>
                <w:color w:val="FF0000"/>
              </w:rPr>
            </w:pPr>
          </w:p>
          <w:p w14:paraId="6748851E" w14:textId="77777777" w:rsidR="001C2AB9" w:rsidRPr="009A161D" w:rsidRDefault="001C2AB9" w:rsidP="001C2AB9">
            <w:pPr>
              <w:ind w:left="0" w:firstLine="0"/>
              <w:rPr>
                <w:b/>
                <w:color w:val="0070C0"/>
                <w:u w:val="single"/>
              </w:rPr>
            </w:pPr>
            <w:r w:rsidRPr="009A161D">
              <w:rPr>
                <w:b/>
                <w:color w:val="0070C0"/>
                <w:u w:val="single"/>
              </w:rPr>
              <w:t>2016 Submission</w:t>
            </w:r>
          </w:p>
          <w:p w14:paraId="6F9E5A9F" w14:textId="1C2B9AAC" w:rsidR="009E2069" w:rsidRPr="009A161D" w:rsidRDefault="009E2069" w:rsidP="009E2069">
            <w:pPr>
              <w:ind w:left="0" w:firstLine="0"/>
              <w:rPr>
                <w:color w:val="0070C0"/>
              </w:rPr>
            </w:pPr>
            <w:r w:rsidRPr="009A161D">
              <w:rPr>
                <w:color w:val="0070C0"/>
              </w:rPr>
              <w:t xml:space="preserve">Language in the table below is taken verbatim from Table 2 (pages 5-10) of the </w:t>
            </w:r>
            <w:r w:rsidRPr="009A161D">
              <w:rPr>
                <w:i/>
                <w:color w:val="0070C0"/>
              </w:rPr>
              <w:t>American Geriatrics Society 2015 Updated Beers Criteria for Potentially Inappropriate Medication Use in Older Adults</w:t>
            </w:r>
            <w:r w:rsidRPr="009A161D">
              <w:rPr>
                <w:color w:val="0070C0"/>
              </w:rPr>
              <w:t xml:space="preserve">. Evidence tables containing summaries of each study supporting the recommendations can be found on the American Geriatrics Society’s website: </w:t>
            </w:r>
            <w:hyperlink r:id="rId15" w:history="1">
              <w:r w:rsidRPr="009A161D">
                <w:rPr>
                  <w:rStyle w:val="Hyperlink"/>
                  <w:color w:val="0070C0"/>
                </w:rPr>
                <w:t>http://www.americangeriatrics.org/</w:t>
              </w:r>
            </w:hyperlink>
            <w:r w:rsidRPr="009A161D">
              <w:rPr>
                <w:color w:val="0070C0"/>
                <w:u w:val="single"/>
              </w:rPr>
              <w:t>.</w:t>
            </w:r>
            <w:r w:rsidRPr="009A161D">
              <w:rPr>
                <w:color w:val="0070C0"/>
              </w:rPr>
              <w:t xml:space="preserve"> </w:t>
            </w:r>
          </w:p>
          <w:p w14:paraId="321FF314" w14:textId="0EBD24C1" w:rsidR="009E2069" w:rsidRPr="0086137A" w:rsidRDefault="009E2069" w:rsidP="009E2069">
            <w:pPr>
              <w:ind w:left="0" w:firstLine="0"/>
              <w:rPr>
                <w:color w:val="FF0000"/>
              </w:rPr>
            </w:pPr>
          </w:p>
          <w:tbl>
            <w:tblPr>
              <w:tblStyle w:val="TableGrid"/>
              <w:tblpPr w:leftFromText="180" w:rightFromText="180" w:vertAnchor="text" w:horzAnchor="page" w:tblpX="85" w:tblpY="99"/>
              <w:tblW w:w="7555" w:type="dxa"/>
              <w:tblLayout w:type="fixed"/>
              <w:tblLook w:val="04A0" w:firstRow="1" w:lastRow="0" w:firstColumn="1" w:lastColumn="0" w:noHBand="0" w:noVBand="1"/>
            </w:tblPr>
            <w:tblGrid>
              <w:gridCol w:w="1885"/>
              <w:gridCol w:w="2340"/>
              <w:gridCol w:w="1260"/>
              <w:gridCol w:w="990"/>
              <w:gridCol w:w="1080"/>
            </w:tblGrid>
            <w:tr w:rsidR="00866759" w:rsidRPr="00D74D33" w14:paraId="3E49ACC8" w14:textId="77777777" w:rsidTr="000A2A47">
              <w:trPr>
                <w:trHeight w:val="825"/>
              </w:trPr>
              <w:tc>
                <w:tcPr>
                  <w:tcW w:w="1885" w:type="dxa"/>
                </w:tcPr>
                <w:p w14:paraId="639B7CBE"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Organ System,</w:t>
                  </w:r>
                </w:p>
                <w:p w14:paraId="5F0D65FB"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Therapeutic</w:t>
                  </w:r>
                </w:p>
                <w:p w14:paraId="4A6BAF21" w14:textId="200E29AC"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Category, Drugs</w:t>
                  </w:r>
                </w:p>
              </w:tc>
              <w:tc>
                <w:tcPr>
                  <w:tcW w:w="2340" w:type="dxa"/>
                </w:tcPr>
                <w:p w14:paraId="202A668C" w14:textId="6905812D"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Rationale</w:t>
                  </w:r>
                </w:p>
              </w:tc>
              <w:tc>
                <w:tcPr>
                  <w:tcW w:w="1260" w:type="dxa"/>
                </w:tcPr>
                <w:p w14:paraId="15ACCF5F" w14:textId="238FE7B7"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Recommendation</w:t>
                  </w:r>
                </w:p>
              </w:tc>
              <w:tc>
                <w:tcPr>
                  <w:tcW w:w="990" w:type="dxa"/>
                </w:tcPr>
                <w:p w14:paraId="219C2011" w14:textId="74A0543A"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Quality of Evidence</w:t>
                  </w:r>
                </w:p>
              </w:tc>
              <w:tc>
                <w:tcPr>
                  <w:tcW w:w="1080" w:type="dxa"/>
                </w:tcPr>
                <w:p w14:paraId="7D86FA9F" w14:textId="44C8BFE6"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Strength of Recommendation</w:t>
                  </w:r>
                </w:p>
              </w:tc>
            </w:tr>
            <w:tr w:rsidR="00866759" w:rsidRPr="00D74D33" w14:paraId="1068E08D" w14:textId="77777777" w:rsidTr="000A2A47">
              <w:trPr>
                <w:trHeight w:val="275"/>
              </w:trPr>
              <w:tc>
                <w:tcPr>
                  <w:tcW w:w="1885" w:type="dxa"/>
                </w:tcPr>
                <w:p w14:paraId="3AF5E137"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lastRenderedPageBreak/>
                    <w:t>Anticholinergics: First-generation antihistamines (p. 5)</w:t>
                  </w:r>
                </w:p>
                <w:p w14:paraId="05CDCB9B"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Brompheniramine</w:t>
                  </w:r>
                </w:p>
                <w:p w14:paraId="4308BDDE"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Carbinoxamine</w:t>
                  </w:r>
                </w:p>
                <w:p w14:paraId="4168CF35"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Chlorpheniramine</w:t>
                  </w:r>
                </w:p>
                <w:p w14:paraId="6CE1EAC2"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proofErr w:type="spellStart"/>
                  <w:r w:rsidRPr="00654697">
                    <w:rPr>
                      <w:rFonts w:ascii="Arial Narrow" w:hAnsi="Arial Narrow"/>
                      <w:color w:val="0070C0"/>
                      <w14:textOutline w14:w="0" w14:cap="flat" w14:cmpd="sng" w14:algn="ctr">
                        <w14:noFill/>
                        <w14:prstDash w14:val="solid"/>
                        <w14:round/>
                      </w14:textOutline>
                    </w:rPr>
                    <w:t>Clemastine</w:t>
                  </w:r>
                  <w:proofErr w:type="spellEnd"/>
                </w:p>
                <w:p w14:paraId="31F811C2"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Cyproheptadine</w:t>
                  </w:r>
                </w:p>
                <w:p w14:paraId="14CE0DEE"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Dexbrompheniramine</w:t>
                  </w:r>
                </w:p>
                <w:p w14:paraId="3FF91DC1"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Dexchlorpheniramine</w:t>
                  </w:r>
                </w:p>
                <w:p w14:paraId="52F75B17"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Dimenhydrinate</w:t>
                  </w:r>
                </w:p>
                <w:p w14:paraId="766E635C"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Diphenhydramine (oral)</w:t>
                  </w:r>
                </w:p>
                <w:p w14:paraId="03E6B0BE"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Doxylamine</w:t>
                  </w:r>
                </w:p>
                <w:p w14:paraId="4417274A"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Hydroxyzine</w:t>
                  </w:r>
                </w:p>
                <w:p w14:paraId="474B198C"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Meclizine</w:t>
                  </w:r>
                </w:p>
                <w:p w14:paraId="271FFDA2"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Promethazine</w:t>
                  </w:r>
                </w:p>
                <w:p w14:paraId="59E70972" w14:textId="1151E74D"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Triprolidine</w:t>
                  </w:r>
                </w:p>
              </w:tc>
              <w:tc>
                <w:tcPr>
                  <w:tcW w:w="2340" w:type="dxa"/>
                </w:tcPr>
                <w:p w14:paraId="7834FA07"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Highly anticholinergic; clearance reduced with</w:t>
                  </w:r>
                </w:p>
                <w:p w14:paraId="2368E6FD"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advanced age, and tolerance develops when used as hypnotic; risk of confusion, dry mouth, constipation, and other anticholinergic effects or</w:t>
                  </w:r>
                </w:p>
                <w:p w14:paraId="0A7248E9"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toxicity</w:t>
                  </w:r>
                </w:p>
                <w:p w14:paraId="5D63D3AE"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p>
                <w:p w14:paraId="59BCAD86"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Use of diphenhydramine in situations such as</w:t>
                  </w:r>
                </w:p>
                <w:p w14:paraId="3659DC6D"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acute treatment of severe allergic reaction may</w:t>
                  </w:r>
                </w:p>
                <w:p w14:paraId="1F804D02" w14:textId="306A06E8"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be appropriate</w:t>
                  </w:r>
                </w:p>
              </w:tc>
              <w:tc>
                <w:tcPr>
                  <w:tcW w:w="1260" w:type="dxa"/>
                </w:tcPr>
                <w:p w14:paraId="18170797" w14:textId="509871C5"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468AF8BB" w14:textId="65DB21E6"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Moderate</w:t>
                  </w:r>
                </w:p>
              </w:tc>
              <w:tc>
                <w:tcPr>
                  <w:tcW w:w="1080" w:type="dxa"/>
                </w:tcPr>
                <w:p w14:paraId="5C7505B5" w14:textId="64C17311"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3B12CB19" w14:textId="77777777" w:rsidTr="000A2A47">
              <w:trPr>
                <w:trHeight w:val="275"/>
              </w:trPr>
              <w:tc>
                <w:tcPr>
                  <w:tcW w:w="1885" w:type="dxa"/>
                </w:tcPr>
                <w:p w14:paraId="7545D098"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Antiparkinsonian agents (p. 5)</w:t>
                  </w:r>
                </w:p>
                <w:p w14:paraId="12604E95"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Benztropine (oral)</w:t>
                  </w:r>
                </w:p>
                <w:p w14:paraId="681FBBFA" w14:textId="13B36B3F"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Trihexyphenidyl</w:t>
                  </w:r>
                </w:p>
              </w:tc>
              <w:tc>
                <w:tcPr>
                  <w:tcW w:w="2340" w:type="dxa"/>
                </w:tcPr>
                <w:p w14:paraId="7D78C2AC"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Not recommended for prevention of extrapyramidal symptoms with antipsychotics; more-effective agents available for treatment of</w:t>
                  </w:r>
                </w:p>
                <w:p w14:paraId="2B84972F" w14:textId="1CD12C89"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Parkinson disease</w:t>
                  </w:r>
                </w:p>
              </w:tc>
              <w:tc>
                <w:tcPr>
                  <w:tcW w:w="1260" w:type="dxa"/>
                </w:tcPr>
                <w:p w14:paraId="18A8A83D" w14:textId="463AC237"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194AEE8D" w14:textId="55C74088"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Moderate</w:t>
                  </w:r>
                </w:p>
              </w:tc>
              <w:tc>
                <w:tcPr>
                  <w:tcW w:w="1080" w:type="dxa"/>
                </w:tcPr>
                <w:p w14:paraId="6AAE4826" w14:textId="183FF5B3"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2C76520A" w14:textId="77777777" w:rsidTr="000A2A47">
              <w:trPr>
                <w:trHeight w:val="275"/>
              </w:trPr>
              <w:tc>
                <w:tcPr>
                  <w:tcW w:w="1885" w:type="dxa"/>
                </w:tcPr>
                <w:p w14:paraId="65EAD557"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Antispasmodics (p. 5)</w:t>
                  </w:r>
                </w:p>
                <w:p w14:paraId="7D075A52"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Atropine (excludes ophthalmic)</w:t>
                  </w:r>
                </w:p>
                <w:p w14:paraId="1E20F553"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Belladonna alkaloids</w:t>
                  </w:r>
                </w:p>
                <w:p w14:paraId="71703C9A"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proofErr w:type="spellStart"/>
                  <w:r w:rsidRPr="00654697">
                    <w:rPr>
                      <w:rFonts w:ascii="Arial Narrow" w:hAnsi="Arial Narrow"/>
                      <w:color w:val="0070C0"/>
                      <w14:textOutline w14:w="0" w14:cap="flat" w14:cmpd="sng" w14:algn="ctr">
                        <w14:noFill/>
                        <w14:prstDash w14:val="solid"/>
                        <w14:round/>
                      </w14:textOutline>
                    </w:rPr>
                    <w:t>Clidinium</w:t>
                  </w:r>
                  <w:proofErr w:type="spellEnd"/>
                  <w:r w:rsidRPr="00654697">
                    <w:rPr>
                      <w:rFonts w:ascii="Arial Narrow" w:hAnsi="Arial Narrow"/>
                      <w:color w:val="0070C0"/>
                      <w14:textOutline w14:w="0" w14:cap="flat" w14:cmpd="sng" w14:algn="ctr">
                        <w14:noFill/>
                        <w14:prstDash w14:val="solid"/>
                        <w14:round/>
                      </w14:textOutline>
                    </w:rPr>
                    <w:t>-Chlordiazepoxide</w:t>
                  </w:r>
                </w:p>
                <w:p w14:paraId="79D1DCC6"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Dicyclomine</w:t>
                  </w:r>
                </w:p>
                <w:p w14:paraId="030F8973"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Hyoscyamine</w:t>
                  </w:r>
                </w:p>
                <w:p w14:paraId="0618BB73"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Propantheline</w:t>
                  </w:r>
                </w:p>
                <w:p w14:paraId="1552EDFE" w14:textId="7DDBE6DE"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Scopolamine</w:t>
                  </w:r>
                </w:p>
              </w:tc>
              <w:tc>
                <w:tcPr>
                  <w:tcW w:w="2340" w:type="dxa"/>
                </w:tcPr>
                <w:p w14:paraId="2980E4FE" w14:textId="1F1EB8C6"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Highly anticholinergic, uncertain effectiveness</w:t>
                  </w:r>
                </w:p>
              </w:tc>
              <w:tc>
                <w:tcPr>
                  <w:tcW w:w="1260" w:type="dxa"/>
                </w:tcPr>
                <w:p w14:paraId="50DDB532" w14:textId="2971985E"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647D1F98" w14:textId="409F0073"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Moderate</w:t>
                  </w:r>
                </w:p>
              </w:tc>
              <w:tc>
                <w:tcPr>
                  <w:tcW w:w="1080" w:type="dxa"/>
                </w:tcPr>
                <w:p w14:paraId="2F3201A8" w14:textId="08FF02FE"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6CFE0C67" w14:textId="77777777" w:rsidTr="000A2A47">
              <w:trPr>
                <w:trHeight w:val="275"/>
              </w:trPr>
              <w:tc>
                <w:tcPr>
                  <w:tcW w:w="1885" w:type="dxa"/>
                </w:tcPr>
                <w:p w14:paraId="583380F0"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proofErr w:type="spellStart"/>
                  <w:r w:rsidRPr="00654697">
                    <w:rPr>
                      <w:rFonts w:ascii="Arial Narrow" w:hAnsi="Arial Narrow"/>
                      <w:color w:val="0070C0"/>
                      <w14:textOutline w14:w="0" w14:cap="flat" w14:cmpd="sng" w14:algn="ctr">
                        <w14:noFill/>
                        <w14:prstDash w14:val="solid"/>
                        <w14:round/>
                      </w14:textOutline>
                    </w:rPr>
                    <w:t>Antithrombotics</w:t>
                  </w:r>
                  <w:proofErr w:type="spellEnd"/>
                  <w:r w:rsidRPr="00654697">
                    <w:rPr>
                      <w:rFonts w:ascii="Arial Narrow" w:hAnsi="Arial Narrow"/>
                      <w:color w:val="0070C0"/>
                      <w14:textOutline w14:w="0" w14:cap="flat" w14:cmpd="sng" w14:algn="ctr">
                        <w14:noFill/>
                        <w14:prstDash w14:val="solid"/>
                        <w14:round/>
                      </w14:textOutline>
                    </w:rPr>
                    <w:t xml:space="preserve"> (p. 5)</w:t>
                  </w:r>
                </w:p>
                <w:p w14:paraId="7F6F27FB" w14:textId="4AE66110"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Dipyridamole, oral short-acting (does not apply to the extended release combination with aspirin)</w:t>
                  </w:r>
                </w:p>
              </w:tc>
              <w:tc>
                <w:tcPr>
                  <w:tcW w:w="2340" w:type="dxa"/>
                </w:tcPr>
                <w:p w14:paraId="665DD6B2" w14:textId="7491DAF8"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May cause orthostatic hypotension; more effective alternatives available; intravenous form acceptable for use in cardiac stress testing</w:t>
                  </w:r>
                </w:p>
              </w:tc>
              <w:tc>
                <w:tcPr>
                  <w:tcW w:w="1260" w:type="dxa"/>
                </w:tcPr>
                <w:p w14:paraId="39025716" w14:textId="47CA6675"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29D3BA77" w14:textId="5AD9A94E"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Moderate</w:t>
                  </w:r>
                </w:p>
              </w:tc>
              <w:tc>
                <w:tcPr>
                  <w:tcW w:w="1080" w:type="dxa"/>
                </w:tcPr>
                <w:p w14:paraId="3AA5280B" w14:textId="38DBD837"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0B54532E" w14:textId="77777777" w:rsidTr="000A2A47">
              <w:trPr>
                <w:trHeight w:val="275"/>
              </w:trPr>
              <w:tc>
                <w:tcPr>
                  <w:tcW w:w="1885" w:type="dxa"/>
                </w:tcPr>
                <w:p w14:paraId="2B12A278"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proofErr w:type="spellStart"/>
                  <w:r w:rsidRPr="00654697">
                    <w:rPr>
                      <w:rFonts w:ascii="Arial Narrow" w:hAnsi="Arial Narrow"/>
                      <w:color w:val="0070C0"/>
                      <w14:textOutline w14:w="0" w14:cap="flat" w14:cmpd="sng" w14:algn="ctr">
                        <w14:noFill/>
                        <w14:prstDash w14:val="solid"/>
                        <w14:round/>
                      </w14:textOutline>
                    </w:rPr>
                    <w:t>Antithrombotics</w:t>
                  </w:r>
                  <w:proofErr w:type="spellEnd"/>
                  <w:r w:rsidRPr="00654697">
                    <w:rPr>
                      <w:rFonts w:ascii="Arial Narrow" w:hAnsi="Arial Narrow"/>
                      <w:color w:val="0070C0"/>
                      <w14:textOutline w14:w="0" w14:cap="flat" w14:cmpd="sng" w14:algn="ctr">
                        <w14:noFill/>
                        <w14:prstDash w14:val="solid"/>
                        <w14:round/>
                      </w14:textOutline>
                    </w:rPr>
                    <w:t xml:space="preserve"> (p. 5)</w:t>
                  </w:r>
                </w:p>
                <w:p w14:paraId="4282ED4E" w14:textId="04EF8E78" w:rsidR="00866759" w:rsidRPr="00D74D33" w:rsidRDefault="00866759" w:rsidP="00866759">
                  <w:pPr>
                    <w:autoSpaceDE w:val="0"/>
                    <w:autoSpaceDN w:val="0"/>
                    <w:adjustRightInd w:val="0"/>
                    <w:ind w:left="157" w:hanging="180"/>
                    <w:rPr>
                      <w:rFonts w:ascii="Arial Narrow" w:hAnsi="Arial Narrow"/>
                      <w:strike/>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Ticlopidine</w:t>
                  </w:r>
                </w:p>
              </w:tc>
              <w:tc>
                <w:tcPr>
                  <w:tcW w:w="2340" w:type="dxa"/>
                </w:tcPr>
                <w:p w14:paraId="33D68F05" w14:textId="30553E23" w:rsidR="00866759" w:rsidRPr="00D74D33" w:rsidRDefault="00866759" w:rsidP="00866759">
                  <w:pPr>
                    <w:autoSpaceDE w:val="0"/>
                    <w:autoSpaceDN w:val="0"/>
                    <w:adjustRightInd w:val="0"/>
                    <w:ind w:left="0" w:firstLine="0"/>
                    <w:rPr>
                      <w:rFonts w:ascii="Arial Narrow" w:hAnsi="Arial Narrow"/>
                      <w:strike/>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Safer, effective alternatives available</w:t>
                  </w:r>
                </w:p>
              </w:tc>
              <w:tc>
                <w:tcPr>
                  <w:tcW w:w="1260" w:type="dxa"/>
                </w:tcPr>
                <w:p w14:paraId="493989CF" w14:textId="4088E6D5" w:rsidR="00866759" w:rsidRPr="00D74D33" w:rsidRDefault="00866759" w:rsidP="00866759">
                  <w:pPr>
                    <w:ind w:left="0" w:firstLine="0"/>
                    <w:rPr>
                      <w:rFonts w:ascii="Arial Narrow" w:hAnsi="Arial Narrow"/>
                      <w:strike/>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3F689F9E" w14:textId="76126653" w:rsidR="00866759" w:rsidRPr="00D74D33" w:rsidRDefault="00866759" w:rsidP="00866759">
                  <w:pPr>
                    <w:autoSpaceDE w:val="0"/>
                    <w:autoSpaceDN w:val="0"/>
                    <w:adjustRightInd w:val="0"/>
                    <w:ind w:left="0" w:firstLine="0"/>
                    <w:rPr>
                      <w:rFonts w:ascii="Arial Narrow" w:hAnsi="Arial Narrow"/>
                      <w:strike/>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Moderate</w:t>
                  </w:r>
                </w:p>
              </w:tc>
              <w:tc>
                <w:tcPr>
                  <w:tcW w:w="1080" w:type="dxa"/>
                </w:tcPr>
                <w:p w14:paraId="2BC04CF0" w14:textId="1C200D2C" w:rsidR="00866759" w:rsidRPr="00D74D33" w:rsidRDefault="00866759" w:rsidP="00866759">
                  <w:pPr>
                    <w:autoSpaceDE w:val="0"/>
                    <w:autoSpaceDN w:val="0"/>
                    <w:adjustRightInd w:val="0"/>
                    <w:ind w:left="0" w:firstLine="0"/>
                    <w:rPr>
                      <w:rFonts w:ascii="Arial Narrow" w:hAnsi="Arial Narrow"/>
                      <w:strike/>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4FD06BFC" w14:textId="77777777" w:rsidTr="000A2A47">
              <w:trPr>
                <w:trHeight w:val="275"/>
              </w:trPr>
              <w:tc>
                <w:tcPr>
                  <w:tcW w:w="1885" w:type="dxa"/>
                </w:tcPr>
                <w:p w14:paraId="4275B87A"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lastRenderedPageBreak/>
                    <w:t>Anti-infective (p. 5)</w:t>
                  </w:r>
                </w:p>
                <w:p w14:paraId="6DF09E17" w14:textId="3932EDCC"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Nitrofurantoin</w:t>
                  </w:r>
                </w:p>
              </w:tc>
              <w:tc>
                <w:tcPr>
                  <w:tcW w:w="2340" w:type="dxa"/>
                </w:tcPr>
                <w:p w14:paraId="42EDBEC8" w14:textId="3FBFFC1B"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Potential for pulmonary toxicity, hepatoxicity, and peripheral neuropathy, especially with long-term use; safer alternatives available</w:t>
                  </w:r>
                </w:p>
              </w:tc>
              <w:tc>
                <w:tcPr>
                  <w:tcW w:w="1260" w:type="dxa"/>
                </w:tcPr>
                <w:p w14:paraId="418E3949" w14:textId="77777777" w:rsidR="00866759" w:rsidRPr="00654697" w:rsidRDefault="00866759" w:rsidP="00866759">
                  <w:pPr>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 in individuals with creatinine</w:t>
                  </w:r>
                </w:p>
                <w:p w14:paraId="08388967" w14:textId="77777777" w:rsidR="00866759" w:rsidRPr="00654697" w:rsidRDefault="00866759" w:rsidP="00866759">
                  <w:pPr>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clearance &lt;30 mL/min or for long-term</w:t>
                  </w:r>
                </w:p>
                <w:p w14:paraId="2799D289" w14:textId="7BFBECC3"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suppression of bacteria</w:t>
                  </w:r>
                </w:p>
              </w:tc>
              <w:tc>
                <w:tcPr>
                  <w:tcW w:w="990" w:type="dxa"/>
                </w:tcPr>
                <w:p w14:paraId="532E8DB6" w14:textId="258D93A5"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Low</w:t>
                  </w:r>
                </w:p>
              </w:tc>
              <w:tc>
                <w:tcPr>
                  <w:tcW w:w="1080" w:type="dxa"/>
                </w:tcPr>
                <w:p w14:paraId="3BFF64F2" w14:textId="3786DC88"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29EE881D" w14:textId="77777777" w:rsidTr="000A2A47">
              <w:trPr>
                <w:trHeight w:val="275"/>
              </w:trPr>
              <w:tc>
                <w:tcPr>
                  <w:tcW w:w="1885" w:type="dxa"/>
                </w:tcPr>
                <w:p w14:paraId="30B55F05"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Central alpha blockers (p. 6)</w:t>
                  </w:r>
                </w:p>
                <w:p w14:paraId="390B091A"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proofErr w:type="spellStart"/>
                  <w:r w:rsidRPr="00654697">
                    <w:rPr>
                      <w:rFonts w:ascii="Arial Narrow" w:hAnsi="Arial Narrow"/>
                      <w:color w:val="0070C0"/>
                      <w14:textOutline w14:w="0" w14:cap="flat" w14:cmpd="sng" w14:algn="ctr">
                        <w14:noFill/>
                        <w14:prstDash w14:val="solid"/>
                        <w14:round/>
                      </w14:textOutline>
                    </w:rPr>
                    <w:t>Guanabenz</w:t>
                  </w:r>
                  <w:proofErr w:type="spellEnd"/>
                </w:p>
                <w:p w14:paraId="7768EC74"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Guanfacine</w:t>
                  </w:r>
                </w:p>
                <w:p w14:paraId="0F441F52"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Methyldopa</w:t>
                  </w:r>
                </w:p>
                <w:p w14:paraId="128C3A10" w14:textId="437245F6"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Reserpine (&gt;0.1 mg/d)</w:t>
                  </w:r>
                </w:p>
              </w:tc>
              <w:tc>
                <w:tcPr>
                  <w:tcW w:w="2340" w:type="dxa"/>
                </w:tcPr>
                <w:p w14:paraId="279EA5F5"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High risk of adverse CNS effects; may cause bradycardia and orthostatic hypotension; not</w:t>
                  </w:r>
                </w:p>
                <w:p w14:paraId="289C2153" w14:textId="0C516C58"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recommended as routine treatment for hypertension</w:t>
                  </w:r>
                </w:p>
              </w:tc>
              <w:tc>
                <w:tcPr>
                  <w:tcW w:w="1260" w:type="dxa"/>
                </w:tcPr>
                <w:p w14:paraId="08B738C2" w14:textId="25E740D9"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 xml:space="preserve">Avoid </w:t>
                  </w:r>
                </w:p>
              </w:tc>
              <w:tc>
                <w:tcPr>
                  <w:tcW w:w="990" w:type="dxa"/>
                </w:tcPr>
                <w:p w14:paraId="78092884" w14:textId="72CBC523"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Low</w:t>
                  </w:r>
                </w:p>
              </w:tc>
              <w:tc>
                <w:tcPr>
                  <w:tcW w:w="1080" w:type="dxa"/>
                </w:tcPr>
                <w:p w14:paraId="12643915" w14:textId="323CCA16"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660AA598" w14:textId="77777777" w:rsidTr="000A2A47">
              <w:trPr>
                <w:trHeight w:val="275"/>
              </w:trPr>
              <w:tc>
                <w:tcPr>
                  <w:tcW w:w="1885" w:type="dxa"/>
                </w:tcPr>
                <w:p w14:paraId="5D14772E"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Central alpha blockers (p. 6)</w:t>
                  </w:r>
                </w:p>
                <w:p w14:paraId="604AE0E2" w14:textId="752D0EE7"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Disopyramide</w:t>
                  </w:r>
                </w:p>
              </w:tc>
              <w:tc>
                <w:tcPr>
                  <w:tcW w:w="2340" w:type="dxa"/>
                </w:tcPr>
                <w:p w14:paraId="3FF8787F"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Disopyramide is a potent negative inotrope and therefore may induce heart failure in older adults; strongly anticholinergic; other</w:t>
                  </w:r>
                </w:p>
                <w:p w14:paraId="6EED0E28" w14:textId="3A336D04"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antiarrhythmic drugs preferred</w:t>
                  </w:r>
                </w:p>
              </w:tc>
              <w:tc>
                <w:tcPr>
                  <w:tcW w:w="1260" w:type="dxa"/>
                </w:tcPr>
                <w:p w14:paraId="17450860" w14:textId="673D5513"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4E5EF775" w14:textId="0BFCEEF7"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Low</w:t>
                  </w:r>
                </w:p>
              </w:tc>
              <w:tc>
                <w:tcPr>
                  <w:tcW w:w="1080" w:type="dxa"/>
                </w:tcPr>
                <w:p w14:paraId="2C482044" w14:textId="17D136F1"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72050F55" w14:textId="77777777" w:rsidTr="000A2A47">
              <w:trPr>
                <w:trHeight w:val="275"/>
              </w:trPr>
              <w:tc>
                <w:tcPr>
                  <w:tcW w:w="1885" w:type="dxa"/>
                </w:tcPr>
                <w:p w14:paraId="2E782B21"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Central alpha blockers (p. 6)</w:t>
                  </w:r>
                </w:p>
                <w:p w14:paraId="5AAAC63A" w14:textId="531B619C"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Digoxin</w:t>
                  </w:r>
                </w:p>
              </w:tc>
              <w:tc>
                <w:tcPr>
                  <w:tcW w:w="2340" w:type="dxa"/>
                </w:tcPr>
                <w:p w14:paraId="309110C7"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Use in atrial fibrillation: should not be used as a first-line agent in atrial fibrillation, because more effective alternatives exist and it may be associated with increased mortality</w:t>
                  </w:r>
                </w:p>
                <w:p w14:paraId="483D68CD"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Use in heart failure: questionable effects on risk of hospitalization and may be associated with</w:t>
                  </w:r>
                </w:p>
                <w:p w14:paraId="76EA5763"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increased mortality in older adults with heart failure; in heart failure, higher dosages not associated with additional benefit and may</w:t>
                  </w:r>
                </w:p>
                <w:p w14:paraId="172765C8"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increase risk of toxicity</w:t>
                  </w:r>
                </w:p>
                <w:p w14:paraId="5D786406"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Decreased renal clearance of digoxin may lead to increased risk of toxic effects; further dose</w:t>
                  </w:r>
                </w:p>
                <w:p w14:paraId="230FF0D4" w14:textId="6EA2271F"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reduction may be necessary in patients with Stage 4 or 5 chronic kidney disease</w:t>
                  </w:r>
                </w:p>
              </w:tc>
              <w:tc>
                <w:tcPr>
                  <w:tcW w:w="1260" w:type="dxa"/>
                </w:tcPr>
                <w:p w14:paraId="3596ABDD" w14:textId="3CBC6FFF"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If used for atrial fibrillation or heart failure, avoid dosages &gt;0.125 mg/d</w:t>
                  </w:r>
                </w:p>
              </w:tc>
              <w:tc>
                <w:tcPr>
                  <w:tcW w:w="990" w:type="dxa"/>
                </w:tcPr>
                <w:p w14:paraId="704C159F" w14:textId="2C519AC4"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Dosage &gt;0.125 mg/d: Moderate</w:t>
                  </w:r>
                </w:p>
              </w:tc>
              <w:tc>
                <w:tcPr>
                  <w:tcW w:w="1080" w:type="dxa"/>
                </w:tcPr>
                <w:p w14:paraId="2CD04B7E"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Dosage &gt;0.125 mg/d:</w:t>
                  </w:r>
                </w:p>
                <w:p w14:paraId="31E67AE2" w14:textId="4DECDF1D"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56EA418E" w14:textId="77777777" w:rsidTr="000A2A47">
              <w:trPr>
                <w:trHeight w:val="275"/>
              </w:trPr>
              <w:tc>
                <w:tcPr>
                  <w:tcW w:w="1885" w:type="dxa"/>
                </w:tcPr>
                <w:p w14:paraId="6F1C6D44"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lastRenderedPageBreak/>
                    <w:t>Central alpha blockers (p. 6)</w:t>
                  </w:r>
                </w:p>
                <w:p w14:paraId="3098CE41"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Nifedipine, immediate</w:t>
                  </w:r>
                </w:p>
                <w:p w14:paraId="5C52FE5F" w14:textId="712D5386"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release</w:t>
                  </w:r>
                </w:p>
              </w:tc>
              <w:tc>
                <w:tcPr>
                  <w:tcW w:w="2340" w:type="dxa"/>
                </w:tcPr>
                <w:p w14:paraId="76F57A52" w14:textId="1EAF02C9"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Potential for hypotension; risk of precipitating myocardial ischemia</w:t>
                  </w:r>
                </w:p>
              </w:tc>
              <w:tc>
                <w:tcPr>
                  <w:tcW w:w="1260" w:type="dxa"/>
                </w:tcPr>
                <w:p w14:paraId="426286A3" w14:textId="2094209A"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58D3F5F4" w14:textId="18B59356"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High</w:t>
                  </w:r>
                </w:p>
              </w:tc>
              <w:tc>
                <w:tcPr>
                  <w:tcW w:w="1080" w:type="dxa"/>
                </w:tcPr>
                <w:p w14:paraId="568F6A34" w14:textId="6422273C"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36F5B9B0" w14:textId="77777777" w:rsidTr="000A2A47">
              <w:trPr>
                <w:trHeight w:val="275"/>
              </w:trPr>
              <w:tc>
                <w:tcPr>
                  <w:tcW w:w="1885" w:type="dxa"/>
                </w:tcPr>
                <w:p w14:paraId="1FB3AC37"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Central Nervous System (p. 7)</w:t>
                  </w:r>
                </w:p>
                <w:p w14:paraId="4AE27F24"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Antidepressants, alone or in</w:t>
                  </w:r>
                </w:p>
                <w:p w14:paraId="6E3454A7"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combination</w:t>
                  </w:r>
                </w:p>
                <w:p w14:paraId="68A07CEE"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Amitriptyline</w:t>
                  </w:r>
                </w:p>
                <w:p w14:paraId="6FE5B6CF"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Amoxapine</w:t>
                  </w:r>
                </w:p>
                <w:p w14:paraId="5AA3292B"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Clomipramine</w:t>
                  </w:r>
                </w:p>
                <w:p w14:paraId="406F4E22"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Desipramine</w:t>
                  </w:r>
                </w:p>
                <w:p w14:paraId="09153D54"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Doxepin &gt;6 mg/d</w:t>
                  </w:r>
                </w:p>
                <w:p w14:paraId="0EDE843A"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Imipramine</w:t>
                  </w:r>
                </w:p>
                <w:p w14:paraId="09836E34"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Nortriptyline</w:t>
                  </w:r>
                </w:p>
                <w:p w14:paraId="12277F29"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Paroxetine</w:t>
                  </w:r>
                </w:p>
                <w:p w14:paraId="1045F933"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Protriptyline</w:t>
                  </w:r>
                </w:p>
                <w:p w14:paraId="37BD1060" w14:textId="6775E0EF"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Trimipramine</w:t>
                  </w:r>
                </w:p>
              </w:tc>
              <w:tc>
                <w:tcPr>
                  <w:tcW w:w="2340" w:type="dxa"/>
                </w:tcPr>
                <w:p w14:paraId="5AF8CEF2" w14:textId="17954694"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Highly anticholinergic, sedating, and cause orthostatic hypotension; safety profile of low dose doxepin (≤6 mg/d) comparable with that of placebo</w:t>
                  </w:r>
                </w:p>
              </w:tc>
              <w:tc>
                <w:tcPr>
                  <w:tcW w:w="1260" w:type="dxa"/>
                </w:tcPr>
                <w:p w14:paraId="1627FAF3" w14:textId="18BBDBAB"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16D2F85F" w14:textId="2DF9866E"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High</w:t>
                  </w:r>
                </w:p>
              </w:tc>
              <w:tc>
                <w:tcPr>
                  <w:tcW w:w="1080" w:type="dxa"/>
                </w:tcPr>
                <w:p w14:paraId="2C14D9D6" w14:textId="18FC3026"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19D314AE" w14:textId="77777777" w:rsidTr="000A2A47">
              <w:trPr>
                <w:trHeight w:val="275"/>
              </w:trPr>
              <w:tc>
                <w:tcPr>
                  <w:tcW w:w="1885" w:type="dxa"/>
                </w:tcPr>
                <w:p w14:paraId="4BCB1F15"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Central Nervous System (p. 7)</w:t>
                  </w:r>
                </w:p>
                <w:p w14:paraId="4A744D42"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Barbiturates</w:t>
                  </w:r>
                </w:p>
                <w:p w14:paraId="6AC4B4A4"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Amobarbital</w:t>
                  </w:r>
                </w:p>
                <w:p w14:paraId="1752E55A"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proofErr w:type="spellStart"/>
                  <w:r w:rsidRPr="00654697">
                    <w:rPr>
                      <w:rFonts w:ascii="Arial Narrow" w:hAnsi="Arial Narrow"/>
                      <w:color w:val="0070C0"/>
                      <w14:textOutline w14:w="0" w14:cap="flat" w14:cmpd="sng" w14:algn="ctr">
                        <w14:noFill/>
                        <w14:prstDash w14:val="solid"/>
                        <w14:round/>
                      </w14:textOutline>
                    </w:rPr>
                    <w:t>Butabarbital</w:t>
                  </w:r>
                  <w:proofErr w:type="spellEnd"/>
                </w:p>
                <w:p w14:paraId="62356537"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Butalbital</w:t>
                  </w:r>
                </w:p>
                <w:p w14:paraId="3578DFAC"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proofErr w:type="spellStart"/>
                  <w:r w:rsidRPr="00654697">
                    <w:rPr>
                      <w:rFonts w:ascii="Arial Narrow" w:hAnsi="Arial Narrow"/>
                      <w:color w:val="0070C0"/>
                      <w14:textOutline w14:w="0" w14:cap="flat" w14:cmpd="sng" w14:algn="ctr">
                        <w14:noFill/>
                        <w14:prstDash w14:val="solid"/>
                        <w14:round/>
                      </w14:textOutline>
                    </w:rPr>
                    <w:t>Mephobarbital</w:t>
                  </w:r>
                  <w:proofErr w:type="spellEnd"/>
                </w:p>
                <w:p w14:paraId="7929AA83"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Pentobarbital</w:t>
                  </w:r>
                </w:p>
                <w:p w14:paraId="4E7F6C69"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Phenobarbital</w:t>
                  </w:r>
                </w:p>
                <w:p w14:paraId="6ED093DA" w14:textId="096EC5B3"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Secobarbital</w:t>
                  </w:r>
                </w:p>
              </w:tc>
              <w:tc>
                <w:tcPr>
                  <w:tcW w:w="2340" w:type="dxa"/>
                </w:tcPr>
                <w:p w14:paraId="00C6A1AB"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High rate of physical dependence, tolerance to sleep benefits, greater risk of overdose at low</w:t>
                  </w:r>
                </w:p>
                <w:p w14:paraId="52C51565" w14:textId="5F34D457"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dosages</w:t>
                  </w:r>
                </w:p>
              </w:tc>
              <w:tc>
                <w:tcPr>
                  <w:tcW w:w="1260" w:type="dxa"/>
                </w:tcPr>
                <w:p w14:paraId="6DD29FA0" w14:textId="3D350400"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4442B875" w14:textId="057F8455"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High</w:t>
                  </w:r>
                </w:p>
              </w:tc>
              <w:tc>
                <w:tcPr>
                  <w:tcW w:w="1080" w:type="dxa"/>
                </w:tcPr>
                <w:p w14:paraId="4EAB39BE" w14:textId="2D22F65E"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1021E01D" w14:textId="77777777" w:rsidTr="000A2A47">
              <w:trPr>
                <w:trHeight w:val="275"/>
              </w:trPr>
              <w:tc>
                <w:tcPr>
                  <w:tcW w:w="1885" w:type="dxa"/>
                </w:tcPr>
                <w:p w14:paraId="3BFFC62C"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Central Nervous System (p. 8)</w:t>
                  </w:r>
                </w:p>
                <w:p w14:paraId="02A2E7AB" w14:textId="5E625063"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Meprobamate</w:t>
                  </w:r>
                </w:p>
              </w:tc>
              <w:tc>
                <w:tcPr>
                  <w:tcW w:w="2340" w:type="dxa"/>
                </w:tcPr>
                <w:p w14:paraId="3E9E32D5" w14:textId="72945B10"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High rate of physical dependence; very sedating</w:t>
                  </w:r>
                </w:p>
              </w:tc>
              <w:tc>
                <w:tcPr>
                  <w:tcW w:w="1260" w:type="dxa"/>
                </w:tcPr>
                <w:p w14:paraId="5610F98F" w14:textId="19A800E5"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6442CE2B" w14:textId="24C8EE21"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Moderate</w:t>
                  </w:r>
                </w:p>
              </w:tc>
              <w:tc>
                <w:tcPr>
                  <w:tcW w:w="1080" w:type="dxa"/>
                </w:tcPr>
                <w:p w14:paraId="71EC450C" w14:textId="5C64400B"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27B049E1" w14:textId="77777777" w:rsidTr="000A2A47">
              <w:trPr>
                <w:trHeight w:val="275"/>
              </w:trPr>
              <w:tc>
                <w:tcPr>
                  <w:tcW w:w="1885" w:type="dxa"/>
                </w:tcPr>
                <w:p w14:paraId="690CAF31"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Central Nervous System (p. 8)</w:t>
                  </w:r>
                </w:p>
                <w:p w14:paraId="26A9C936"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Nonbenzodiazepine, benzodiazepine receptor agonist hypnotics</w:t>
                  </w:r>
                </w:p>
                <w:p w14:paraId="5A98F15C"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Eszopiclone</w:t>
                  </w:r>
                </w:p>
                <w:p w14:paraId="387040F8"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Zolpidem</w:t>
                  </w:r>
                </w:p>
                <w:p w14:paraId="2A6EB0FF" w14:textId="45794F2C"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Zaleplon</w:t>
                  </w:r>
                </w:p>
              </w:tc>
              <w:tc>
                <w:tcPr>
                  <w:tcW w:w="2340" w:type="dxa"/>
                </w:tcPr>
                <w:p w14:paraId="7388F336" w14:textId="60C56220"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Benzodiazepine-receptor agonists have adverse events similar to those of benzodiazepines in older adults (e.g., delirium, falls, fractures); increased emergency department visits and hospitalizations; motor vehicle crashes; minimal improvement in sleep latency and duration</w:t>
                  </w:r>
                </w:p>
              </w:tc>
              <w:tc>
                <w:tcPr>
                  <w:tcW w:w="1260" w:type="dxa"/>
                </w:tcPr>
                <w:p w14:paraId="67E750E1" w14:textId="62481F2B"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3016C817" w14:textId="593071C1"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Moderate</w:t>
                  </w:r>
                </w:p>
              </w:tc>
              <w:tc>
                <w:tcPr>
                  <w:tcW w:w="1080" w:type="dxa"/>
                </w:tcPr>
                <w:p w14:paraId="7506F9F6" w14:textId="4625CB68"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3A48E765" w14:textId="77777777" w:rsidTr="000A2A47">
              <w:trPr>
                <w:trHeight w:val="275"/>
              </w:trPr>
              <w:tc>
                <w:tcPr>
                  <w:tcW w:w="1885" w:type="dxa"/>
                </w:tcPr>
                <w:p w14:paraId="1DDA2BCA"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Central Nervous System (p. 8)</w:t>
                  </w:r>
                </w:p>
                <w:p w14:paraId="55CE977C"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proofErr w:type="spellStart"/>
                  <w:r w:rsidRPr="00654697">
                    <w:rPr>
                      <w:rFonts w:ascii="Arial Narrow" w:hAnsi="Arial Narrow"/>
                      <w:color w:val="0070C0"/>
                      <w14:textOutline w14:w="0" w14:cap="flat" w14:cmpd="sng" w14:algn="ctr">
                        <w14:noFill/>
                        <w14:prstDash w14:val="solid"/>
                        <w14:round/>
                      </w14:textOutline>
                    </w:rPr>
                    <w:t>Ergoloid</w:t>
                  </w:r>
                  <w:proofErr w:type="spellEnd"/>
                  <w:r w:rsidRPr="00654697">
                    <w:rPr>
                      <w:rFonts w:ascii="Arial Narrow" w:hAnsi="Arial Narrow"/>
                      <w:color w:val="0070C0"/>
                      <w14:textOutline w14:w="0" w14:cap="flat" w14:cmpd="sng" w14:algn="ctr">
                        <w14:noFill/>
                        <w14:prstDash w14:val="solid"/>
                        <w14:round/>
                      </w14:textOutline>
                    </w:rPr>
                    <w:t xml:space="preserve"> mesylates (dehydrogenated ergot alkaloids)</w:t>
                  </w:r>
                </w:p>
                <w:p w14:paraId="49621F8D" w14:textId="7196453D"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proofErr w:type="spellStart"/>
                  <w:r w:rsidRPr="00654697">
                    <w:rPr>
                      <w:rFonts w:ascii="Arial Narrow" w:hAnsi="Arial Narrow"/>
                      <w:color w:val="0070C0"/>
                      <w14:textOutline w14:w="0" w14:cap="flat" w14:cmpd="sng" w14:algn="ctr">
                        <w14:noFill/>
                        <w14:prstDash w14:val="solid"/>
                        <w14:round/>
                      </w14:textOutline>
                    </w:rPr>
                    <w:t>Isoxsuprine</w:t>
                  </w:r>
                  <w:proofErr w:type="spellEnd"/>
                </w:p>
              </w:tc>
              <w:tc>
                <w:tcPr>
                  <w:tcW w:w="2340" w:type="dxa"/>
                </w:tcPr>
                <w:p w14:paraId="546137B1" w14:textId="53B081E2"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Lack of efficacy</w:t>
                  </w:r>
                </w:p>
              </w:tc>
              <w:tc>
                <w:tcPr>
                  <w:tcW w:w="1260" w:type="dxa"/>
                </w:tcPr>
                <w:p w14:paraId="30A2687A" w14:textId="2EACCD25"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618EEEBA" w14:textId="577125D6"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High</w:t>
                  </w:r>
                </w:p>
              </w:tc>
              <w:tc>
                <w:tcPr>
                  <w:tcW w:w="1080" w:type="dxa"/>
                </w:tcPr>
                <w:p w14:paraId="436950AD" w14:textId="72521CB8"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7AD762C8" w14:textId="77777777" w:rsidTr="000A2A47">
              <w:trPr>
                <w:trHeight w:val="275"/>
              </w:trPr>
              <w:tc>
                <w:tcPr>
                  <w:tcW w:w="1885" w:type="dxa"/>
                </w:tcPr>
                <w:p w14:paraId="40C28390"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lastRenderedPageBreak/>
                    <w:t>Endocrine (p. 8)</w:t>
                  </w:r>
                </w:p>
                <w:p w14:paraId="183A0CEA" w14:textId="013DF87E"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Desiccated thyroid</w:t>
                  </w:r>
                </w:p>
              </w:tc>
              <w:tc>
                <w:tcPr>
                  <w:tcW w:w="2340" w:type="dxa"/>
                </w:tcPr>
                <w:p w14:paraId="67F17BF9"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Concerns about cardiac effects; safer</w:t>
                  </w:r>
                </w:p>
                <w:p w14:paraId="69C426E7" w14:textId="362DE68F"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alternatives available</w:t>
                  </w:r>
                </w:p>
              </w:tc>
              <w:tc>
                <w:tcPr>
                  <w:tcW w:w="1260" w:type="dxa"/>
                </w:tcPr>
                <w:p w14:paraId="25155B57" w14:textId="13A47C32"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3F5DCFE7" w14:textId="52E5320E"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Low</w:t>
                  </w:r>
                </w:p>
              </w:tc>
              <w:tc>
                <w:tcPr>
                  <w:tcW w:w="1080" w:type="dxa"/>
                </w:tcPr>
                <w:p w14:paraId="0CFDACB5" w14:textId="44AFDC02"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45CA8B87" w14:textId="77777777" w:rsidTr="000A2A47">
              <w:trPr>
                <w:trHeight w:val="275"/>
              </w:trPr>
              <w:tc>
                <w:tcPr>
                  <w:tcW w:w="1885" w:type="dxa"/>
                </w:tcPr>
                <w:p w14:paraId="47DF6F70"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Endocrine (p. 8)</w:t>
                  </w:r>
                </w:p>
                <w:p w14:paraId="61C2EEEE"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Estrogens with or without</w:t>
                  </w:r>
                </w:p>
                <w:p w14:paraId="542E1C77" w14:textId="0E551919"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progestins</w:t>
                  </w:r>
                </w:p>
              </w:tc>
              <w:tc>
                <w:tcPr>
                  <w:tcW w:w="2340" w:type="dxa"/>
                </w:tcPr>
                <w:p w14:paraId="0806E5DD" w14:textId="1ED6ED65"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Evidence of carcinogenic potential (breast and endometrium); lack of cardioprotective effect and cognitive protection in older women. Evidence indicates that vaginal estrogens for the treatment of vaginal dryness are safe and effective; women with a history of breast cancer who do not respond to nonhormonal therapies are advised to discuss the risk and benefits of low-dose vaginal estrogen (dosages of estradiol &lt;25 lg twice weekly) with their healthcare provider</w:t>
                  </w:r>
                </w:p>
              </w:tc>
              <w:tc>
                <w:tcPr>
                  <w:tcW w:w="1260" w:type="dxa"/>
                </w:tcPr>
                <w:p w14:paraId="50C36738" w14:textId="77777777" w:rsidR="00866759" w:rsidRPr="00654697" w:rsidRDefault="00866759" w:rsidP="00866759">
                  <w:pPr>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 oral and topical patch</w:t>
                  </w:r>
                </w:p>
                <w:p w14:paraId="735BA4D6" w14:textId="77777777" w:rsidR="00866759" w:rsidRPr="00654697" w:rsidRDefault="00866759" w:rsidP="00866759">
                  <w:pPr>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Vaginal cream or tablets: acceptable to</w:t>
                  </w:r>
                </w:p>
                <w:p w14:paraId="1DCF8940" w14:textId="77777777" w:rsidR="00866759" w:rsidRPr="00654697" w:rsidRDefault="00866759" w:rsidP="00866759">
                  <w:pPr>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use low-dose intravaginal estrogen for</w:t>
                  </w:r>
                </w:p>
                <w:p w14:paraId="3DD1181E" w14:textId="77777777" w:rsidR="00866759" w:rsidRPr="00654697" w:rsidRDefault="00866759" w:rsidP="00866759">
                  <w:pPr>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management of dyspareunia, lower urinary tract infections, and other vaginal</w:t>
                  </w:r>
                </w:p>
                <w:p w14:paraId="0BAD0097" w14:textId="199715C3"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symptoms</w:t>
                  </w:r>
                </w:p>
              </w:tc>
              <w:tc>
                <w:tcPr>
                  <w:tcW w:w="990" w:type="dxa"/>
                </w:tcPr>
                <w:p w14:paraId="7F3CF0F0"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Oral and patch: High</w:t>
                  </w:r>
                </w:p>
                <w:p w14:paraId="5FF434E0"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p>
                <w:p w14:paraId="369D61CC"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Vaginal cream or tablets:</w:t>
                  </w:r>
                </w:p>
                <w:p w14:paraId="06FC6844" w14:textId="4EBDA294"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Moderate</w:t>
                  </w:r>
                </w:p>
              </w:tc>
              <w:tc>
                <w:tcPr>
                  <w:tcW w:w="1080" w:type="dxa"/>
                </w:tcPr>
                <w:p w14:paraId="5D6571F5"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Oral and patch: Strong</w:t>
                  </w:r>
                </w:p>
                <w:p w14:paraId="17D1BF1D"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p>
                <w:p w14:paraId="1C38B027" w14:textId="649D7FB8"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Topical vaginal cream or tablets: Weak</w:t>
                  </w:r>
                </w:p>
              </w:tc>
            </w:tr>
            <w:tr w:rsidR="00866759" w:rsidRPr="00D74D33" w14:paraId="4587127D" w14:textId="77777777" w:rsidTr="000A2A47">
              <w:trPr>
                <w:trHeight w:val="275"/>
              </w:trPr>
              <w:tc>
                <w:tcPr>
                  <w:tcW w:w="1885" w:type="dxa"/>
                </w:tcPr>
                <w:p w14:paraId="01F92ADA"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Endocrine (p. 9)</w:t>
                  </w:r>
                </w:p>
                <w:p w14:paraId="702F46BC" w14:textId="4EED9BE0"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Megestrol</w:t>
                  </w:r>
                </w:p>
              </w:tc>
              <w:tc>
                <w:tcPr>
                  <w:tcW w:w="2340" w:type="dxa"/>
                </w:tcPr>
                <w:p w14:paraId="68C04DEB"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Minimal effect on weight; increases risk of thrombotic events and possibly death in older</w:t>
                  </w:r>
                </w:p>
                <w:p w14:paraId="60B9848B" w14:textId="347A2A48"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adults</w:t>
                  </w:r>
                </w:p>
              </w:tc>
              <w:tc>
                <w:tcPr>
                  <w:tcW w:w="1260" w:type="dxa"/>
                </w:tcPr>
                <w:p w14:paraId="481EB837" w14:textId="2D33787A"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5D8DE926" w14:textId="18BA70B7"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Moderate</w:t>
                  </w:r>
                </w:p>
              </w:tc>
              <w:tc>
                <w:tcPr>
                  <w:tcW w:w="1080" w:type="dxa"/>
                </w:tcPr>
                <w:p w14:paraId="28364879" w14:textId="10C929A1"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5DD64D17" w14:textId="77777777" w:rsidTr="000A2A47">
              <w:trPr>
                <w:trHeight w:val="275"/>
              </w:trPr>
              <w:tc>
                <w:tcPr>
                  <w:tcW w:w="1885" w:type="dxa"/>
                </w:tcPr>
                <w:p w14:paraId="397EF1DB"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Endocrine (p. 9)</w:t>
                  </w:r>
                </w:p>
                <w:p w14:paraId="56113C85"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Sulfonylureas, long-duration</w:t>
                  </w:r>
                </w:p>
                <w:p w14:paraId="6E4B8B9C"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Chlorpropamide</w:t>
                  </w:r>
                </w:p>
                <w:p w14:paraId="4623897A" w14:textId="6337E2F2"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Glyburide</w:t>
                  </w:r>
                </w:p>
              </w:tc>
              <w:tc>
                <w:tcPr>
                  <w:tcW w:w="2340" w:type="dxa"/>
                </w:tcPr>
                <w:p w14:paraId="0E62A945"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Chlorpropamide: prolonged half-life in older adults; can cause prolonged hypoglycemia; causes syndrome of inappropriate antidiuretic hormone secretion</w:t>
                  </w:r>
                </w:p>
                <w:p w14:paraId="5C5DE37D" w14:textId="7A04736F"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Glyburide: higher risk of severe prolonged hypoglycemia in older adults</w:t>
                  </w:r>
                </w:p>
              </w:tc>
              <w:tc>
                <w:tcPr>
                  <w:tcW w:w="1260" w:type="dxa"/>
                </w:tcPr>
                <w:p w14:paraId="18ED07E8" w14:textId="3FAC427A"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58550C6C" w14:textId="7AECDF25"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High</w:t>
                  </w:r>
                </w:p>
              </w:tc>
              <w:tc>
                <w:tcPr>
                  <w:tcW w:w="1080" w:type="dxa"/>
                </w:tcPr>
                <w:p w14:paraId="51CA6D77" w14:textId="75929396"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0BC3C44A" w14:textId="77777777" w:rsidTr="000A2A47">
              <w:trPr>
                <w:trHeight w:val="275"/>
              </w:trPr>
              <w:tc>
                <w:tcPr>
                  <w:tcW w:w="1885" w:type="dxa"/>
                </w:tcPr>
                <w:p w14:paraId="6E504095"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Pain medications (p. 9)</w:t>
                  </w:r>
                </w:p>
                <w:p w14:paraId="2F79B18A" w14:textId="17CA7FE1"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 xml:space="preserve">Meperidine </w:t>
                  </w:r>
                </w:p>
              </w:tc>
              <w:tc>
                <w:tcPr>
                  <w:tcW w:w="2340" w:type="dxa"/>
                </w:tcPr>
                <w:p w14:paraId="4EBF9834"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Not effective oral analgesic in dosages commonly used; may have higher risk of neurotoxicity, including delirium, than other</w:t>
                  </w:r>
                </w:p>
                <w:p w14:paraId="6A9CCC9D" w14:textId="273ED5B0"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opioids; safer alternatives available</w:t>
                  </w:r>
                </w:p>
              </w:tc>
              <w:tc>
                <w:tcPr>
                  <w:tcW w:w="1260" w:type="dxa"/>
                </w:tcPr>
                <w:p w14:paraId="67D008F9" w14:textId="77777777" w:rsidR="00866759" w:rsidRPr="00654697" w:rsidRDefault="00866759" w:rsidP="00866759">
                  <w:pPr>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 especially in individuals with</w:t>
                  </w:r>
                </w:p>
                <w:p w14:paraId="1C62A48D" w14:textId="32F53032"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chronic kidney disease</w:t>
                  </w:r>
                </w:p>
              </w:tc>
              <w:tc>
                <w:tcPr>
                  <w:tcW w:w="990" w:type="dxa"/>
                </w:tcPr>
                <w:p w14:paraId="0F4F7A9C" w14:textId="493510EC"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Moderate</w:t>
                  </w:r>
                </w:p>
              </w:tc>
              <w:tc>
                <w:tcPr>
                  <w:tcW w:w="1080" w:type="dxa"/>
                </w:tcPr>
                <w:p w14:paraId="771F6DCA" w14:textId="38F495FA"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45F62A31" w14:textId="77777777" w:rsidTr="000A2A47">
              <w:trPr>
                <w:trHeight w:val="275"/>
              </w:trPr>
              <w:tc>
                <w:tcPr>
                  <w:tcW w:w="1885" w:type="dxa"/>
                </w:tcPr>
                <w:p w14:paraId="69E40BBA"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Pain medications (p. 10)</w:t>
                  </w:r>
                </w:p>
                <w:p w14:paraId="6CA2D435"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lastRenderedPageBreak/>
                    <w:t>Non-cyclooxygenase-selective</w:t>
                  </w:r>
                </w:p>
                <w:p w14:paraId="3DB3D5D6"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NSAIDs, oral:</w:t>
                  </w:r>
                </w:p>
                <w:p w14:paraId="371F51D4"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Indomethacin</w:t>
                  </w:r>
                </w:p>
                <w:p w14:paraId="235340EA" w14:textId="4792F8BF"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Ketorolac, includes parenteral</w:t>
                  </w:r>
                </w:p>
              </w:tc>
              <w:tc>
                <w:tcPr>
                  <w:tcW w:w="2340" w:type="dxa"/>
                </w:tcPr>
                <w:p w14:paraId="5F4B10B4"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lastRenderedPageBreak/>
                    <w:t xml:space="preserve">Indomethacin is more likely than other NSAIDs </w:t>
                  </w:r>
                  <w:r w:rsidRPr="00654697">
                    <w:rPr>
                      <w:rFonts w:ascii="Arial Narrow" w:hAnsi="Arial Narrow"/>
                      <w:color w:val="0070C0"/>
                      <w14:textOutline w14:w="0" w14:cap="flat" w14:cmpd="sng" w14:algn="ctr">
                        <w14:noFill/>
                        <w14:prstDash w14:val="solid"/>
                        <w14:round/>
                      </w14:textOutline>
                    </w:rPr>
                    <w:lastRenderedPageBreak/>
                    <w:t>to have adverse CNS effects. Of all the NSAIDs,</w:t>
                  </w:r>
                </w:p>
                <w:p w14:paraId="4BEE18A4" w14:textId="5DCCAB52"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indomethacin has the most adverse effects. Increased risk of gastrointestinal bleeding, peptic ulcer disease, and acute kidney injury in older adults</w:t>
                  </w:r>
                </w:p>
              </w:tc>
              <w:tc>
                <w:tcPr>
                  <w:tcW w:w="1260" w:type="dxa"/>
                </w:tcPr>
                <w:p w14:paraId="083417EF" w14:textId="05BCF165"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lastRenderedPageBreak/>
                    <w:t>Avoid</w:t>
                  </w:r>
                </w:p>
              </w:tc>
              <w:tc>
                <w:tcPr>
                  <w:tcW w:w="990" w:type="dxa"/>
                </w:tcPr>
                <w:p w14:paraId="5186E2D2" w14:textId="62CD2AB7"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Moderate</w:t>
                  </w:r>
                </w:p>
              </w:tc>
              <w:tc>
                <w:tcPr>
                  <w:tcW w:w="1080" w:type="dxa"/>
                </w:tcPr>
                <w:p w14:paraId="3EB87891" w14:textId="57D6F9B0"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543C9AE7" w14:textId="77777777" w:rsidTr="000A2A47">
              <w:trPr>
                <w:trHeight w:val="275"/>
              </w:trPr>
              <w:tc>
                <w:tcPr>
                  <w:tcW w:w="1885" w:type="dxa"/>
                </w:tcPr>
                <w:p w14:paraId="412E0691"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Pain medications (p. 10)</w:t>
                  </w:r>
                </w:p>
                <w:p w14:paraId="7B51DF05" w14:textId="1DBEBDB9"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Pentazocine</w:t>
                  </w:r>
                </w:p>
              </w:tc>
              <w:tc>
                <w:tcPr>
                  <w:tcW w:w="2340" w:type="dxa"/>
                </w:tcPr>
                <w:p w14:paraId="29184184" w14:textId="77777777" w:rsidR="00866759" w:rsidRPr="00654697" w:rsidRDefault="00866759" w:rsidP="00866759">
                  <w:pPr>
                    <w:autoSpaceDE w:val="0"/>
                    <w:autoSpaceDN w:val="0"/>
                    <w:adjustRightInd w:val="0"/>
                    <w:ind w:left="0" w:firstLine="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Opioid analgesic that causes CNS adverse effects, including confusion and hallucinations,</w:t>
                  </w:r>
                </w:p>
                <w:p w14:paraId="2109D676" w14:textId="22961B34"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more commonly than other opioid analgesic drugs; is also a mixed agonist and antagonist; safer alternatives available</w:t>
                  </w:r>
                </w:p>
              </w:tc>
              <w:tc>
                <w:tcPr>
                  <w:tcW w:w="1260" w:type="dxa"/>
                </w:tcPr>
                <w:p w14:paraId="1175255E" w14:textId="1DF63F33"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562738FA" w14:textId="4AB762E5"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Low</w:t>
                  </w:r>
                </w:p>
              </w:tc>
              <w:tc>
                <w:tcPr>
                  <w:tcW w:w="1080" w:type="dxa"/>
                </w:tcPr>
                <w:p w14:paraId="39C1A0A5" w14:textId="2A13311C"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r w:rsidR="00866759" w:rsidRPr="00D74D33" w14:paraId="6C51A2F6" w14:textId="77777777" w:rsidTr="000A2A47">
              <w:trPr>
                <w:trHeight w:val="275"/>
              </w:trPr>
              <w:tc>
                <w:tcPr>
                  <w:tcW w:w="1885" w:type="dxa"/>
                </w:tcPr>
                <w:p w14:paraId="3984ADF0"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Pain medications (p. 10)</w:t>
                  </w:r>
                </w:p>
                <w:p w14:paraId="3211A049"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Skeletal muscle relaxants</w:t>
                  </w:r>
                </w:p>
                <w:p w14:paraId="693EF106"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Carisoprodol</w:t>
                  </w:r>
                </w:p>
                <w:p w14:paraId="2EB17196"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Chlorzoxazone</w:t>
                  </w:r>
                </w:p>
                <w:p w14:paraId="685F4B60"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Cyclobenzaprine</w:t>
                  </w:r>
                </w:p>
                <w:p w14:paraId="2ADB9172"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Metaxalone</w:t>
                  </w:r>
                </w:p>
                <w:p w14:paraId="446787A6" w14:textId="77777777" w:rsidR="00866759" w:rsidRPr="00654697" w:rsidRDefault="00866759" w:rsidP="00866759">
                  <w:pPr>
                    <w:autoSpaceDE w:val="0"/>
                    <w:autoSpaceDN w:val="0"/>
                    <w:adjustRightInd w:val="0"/>
                    <w:ind w:left="157" w:hanging="180"/>
                    <w:rPr>
                      <w:rFonts w:ascii="Arial Narrow" w:hAnsi="Arial Narrow"/>
                      <w:color w:val="0070C0"/>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Methocarbamol</w:t>
                  </w:r>
                </w:p>
                <w:p w14:paraId="2EB0FB30" w14:textId="52CBBED9" w:rsidR="00866759" w:rsidRPr="00D74D33" w:rsidRDefault="00866759" w:rsidP="00866759">
                  <w:pPr>
                    <w:autoSpaceDE w:val="0"/>
                    <w:autoSpaceDN w:val="0"/>
                    <w:adjustRightInd w:val="0"/>
                    <w:ind w:left="157" w:hanging="18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Orphenadrine</w:t>
                  </w:r>
                </w:p>
              </w:tc>
              <w:tc>
                <w:tcPr>
                  <w:tcW w:w="2340" w:type="dxa"/>
                </w:tcPr>
                <w:p w14:paraId="56A13E79" w14:textId="68DEE91B"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Most muscle relaxants poorly tolerated by older adults because some have anticholinergic adverse effects, sedation, increased risk of fractures; effectiveness at dosages tolerated by older adults questionable</w:t>
                  </w:r>
                </w:p>
              </w:tc>
              <w:tc>
                <w:tcPr>
                  <w:tcW w:w="1260" w:type="dxa"/>
                </w:tcPr>
                <w:p w14:paraId="747E27CA" w14:textId="375E59C8" w:rsidR="00866759" w:rsidRPr="00D74D33" w:rsidRDefault="00866759" w:rsidP="00866759">
                  <w:pPr>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Avoid</w:t>
                  </w:r>
                </w:p>
              </w:tc>
              <w:tc>
                <w:tcPr>
                  <w:tcW w:w="990" w:type="dxa"/>
                </w:tcPr>
                <w:p w14:paraId="6575E83E" w14:textId="5A9D9C16"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Moderate</w:t>
                  </w:r>
                </w:p>
              </w:tc>
              <w:tc>
                <w:tcPr>
                  <w:tcW w:w="1080" w:type="dxa"/>
                </w:tcPr>
                <w:p w14:paraId="3F63A22E" w14:textId="3D50D495" w:rsidR="00866759" w:rsidRPr="00D74D33" w:rsidRDefault="00866759" w:rsidP="00866759">
                  <w:pPr>
                    <w:autoSpaceDE w:val="0"/>
                    <w:autoSpaceDN w:val="0"/>
                    <w:adjustRightInd w:val="0"/>
                    <w:ind w:left="0" w:firstLine="0"/>
                    <w:rPr>
                      <w:rFonts w:ascii="Arial Narrow" w:hAnsi="Arial Narrow"/>
                      <w:color w:val="4F81BD" w:themeColor="accent1"/>
                      <w14:textOutline w14:w="0" w14:cap="flat" w14:cmpd="sng" w14:algn="ctr">
                        <w14:noFill/>
                        <w14:prstDash w14:val="solid"/>
                        <w14:round/>
                      </w14:textOutline>
                    </w:rPr>
                  </w:pPr>
                  <w:r w:rsidRPr="00654697">
                    <w:rPr>
                      <w:rFonts w:ascii="Arial Narrow" w:hAnsi="Arial Narrow"/>
                      <w:color w:val="0070C0"/>
                      <w14:textOutline w14:w="0" w14:cap="flat" w14:cmpd="sng" w14:algn="ctr">
                        <w14:noFill/>
                        <w14:prstDash w14:val="solid"/>
                        <w14:round/>
                      </w14:textOutline>
                    </w:rPr>
                    <w:t>Strong</w:t>
                  </w:r>
                </w:p>
              </w:tc>
            </w:tr>
          </w:tbl>
          <w:p w14:paraId="0937B577" w14:textId="77777777" w:rsidR="009E2069" w:rsidRPr="0086137A" w:rsidRDefault="009E2069" w:rsidP="009E2069">
            <w:pPr>
              <w:ind w:left="0" w:firstLine="0"/>
              <w:rPr>
                <w:color w:val="FF0000"/>
              </w:rPr>
            </w:pPr>
          </w:p>
          <w:p w14:paraId="55B8DA78" w14:textId="77777777" w:rsidR="00AB4ECE" w:rsidRPr="0086137A" w:rsidRDefault="00AB4ECE" w:rsidP="002E2177">
            <w:pPr>
              <w:ind w:left="0" w:firstLine="0"/>
              <w:rPr>
                <w:color w:val="FF0000"/>
              </w:rPr>
            </w:pPr>
          </w:p>
        </w:tc>
      </w:tr>
      <w:tr w:rsidR="00AB4ECE" w14:paraId="55B8DA7C" w14:textId="77777777" w:rsidTr="002E467D">
        <w:tc>
          <w:tcPr>
            <w:tcW w:w="1795" w:type="dxa"/>
          </w:tcPr>
          <w:p w14:paraId="55B8DA7A" w14:textId="77777777" w:rsidR="00AB4ECE" w:rsidRDefault="00AB4ECE" w:rsidP="00E42FAA">
            <w:pPr>
              <w:ind w:left="0" w:firstLine="0"/>
            </w:pPr>
            <w:r>
              <w:lastRenderedPageBreak/>
              <w:t xml:space="preserve">Grade assigned to the </w:t>
            </w:r>
            <w:r w:rsidRPr="004E7215">
              <w:rPr>
                <w:b/>
              </w:rPr>
              <w:t>evidence</w:t>
            </w:r>
            <w:r>
              <w:t xml:space="preserve"> associated with the recommendation with the definition of the grade</w:t>
            </w:r>
          </w:p>
        </w:tc>
        <w:tc>
          <w:tcPr>
            <w:tcW w:w="7555" w:type="dxa"/>
          </w:tcPr>
          <w:p w14:paraId="2F86482D" w14:textId="00FA956C" w:rsidR="00AB4ECE" w:rsidRPr="009B3DAA" w:rsidRDefault="004E4886" w:rsidP="002E2177">
            <w:pPr>
              <w:ind w:left="0" w:firstLine="0"/>
              <w:rPr>
                <w:color w:val="FF0000"/>
                <w:u w:val="single"/>
              </w:rPr>
            </w:pPr>
            <w:r w:rsidRPr="009B3DAA">
              <w:rPr>
                <w:color w:val="FF0000"/>
                <w:u w:val="single"/>
              </w:rPr>
              <w:t>2020 Submission</w:t>
            </w:r>
          </w:p>
          <w:p w14:paraId="5EA58E21" w14:textId="0819C081" w:rsidR="004E4886" w:rsidRDefault="00B0040E" w:rsidP="002E2177">
            <w:pPr>
              <w:ind w:left="0" w:firstLine="0"/>
              <w:rPr>
                <w:color w:val="FF0000"/>
              </w:rPr>
            </w:pPr>
            <w:r w:rsidRPr="009B3DAA">
              <w:rPr>
                <w:color w:val="FF0000"/>
              </w:rPr>
              <w:t>See</w:t>
            </w:r>
            <w:r>
              <w:rPr>
                <w:color w:val="FF0000"/>
              </w:rPr>
              <w:t xml:space="preserve"> the</w:t>
            </w:r>
            <w:r w:rsidRPr="009B3DAA">
              <w:rPr>
                <w:color w:val="FF0000"/>
              </w:rPr>
              <w:t xml:space="preserve"> table above for the grade assigned to the evidence for each medication class. </w:t>
            </w:r>
            <w:r w:rsidR="00A032A3" w:rsidRPr="00A032A3">
              <w:rPr>
                <w:color w:val="FF0000"/>
              </w:rPr>
              <w:t xml:space="preserve">The chart below is excerpted from the </w:t>
            </w:r>
            <w:r w:rsidR="0091761D">
              <w:rPr>
                <w:color w:val="FF0000"/>
              </w:rPr>
              <w:t xml:space="preserve">2019 </w:t>
            </w:r>
            <w:r w:rsidR="00A032A3" w:rsidRPr="00A032A3">
              <w:rPr>
                <w:color w:val="FF0000"/>
              </w:rPr>
              <w:t>Beers Criteria article and contains the definitions for the quality of evidence ratings and the strength of recommendations.</w:t>
            </w:r>
            <w:r w:rsidR="00A032A3">
              <w:rPr>
                <w:color w:val="FF0000"/>
              </w:rPr>
              <w:t xml:space="preserve"> </w:t>
            </w:r>
          </w:p>
          <w:p w14:paraId="61ACCB4E" w14:textId="3D0047C0" w:rsidR="005C44F9" w:rsidRDefault="005C44F9" w:rsidP="002E2177">
            <w:pPr>
              <w:ind w:left="0" w:firstLine="0"/>
              <w:rPr>
                <w:color w:val="FF0000"/>
              </w:rPr>
            </w:pPr>
          </w:p>
          <w:tbl>
            <w:tblPr>
              <w:tblStyle w:val="TableGrid"/>
              <w:tblW w:w="0" w:type="auto"/>
              <w:tblLayout w:type="fixed"/>
              <w:tblLook w:val="04A0" w:firstRow="1" w:lastRow="0" w:firstColumn="1" w:lastColumn="0" w:noHBand="0" w:noVBand="1"/>
            </w:tblPr>
            <w:tblGrid>
              <w:gridCol w:w="2443"/>
              <w:gridCol w:w="2443"/>
              <w:gridCol w:w="2443"/>
            </w:tblGrid>
            <w:tr w:rsidR="005342BB" w14:paraId="69ADC1B3" w14:textId="77777777" w:rsidTr="00AC1536">
              <w:tc>
                <w:tcPr>
                  <w:tcW w:w="7329" w:type="dxa"/>
                  <w:gridSpan w:val="3"/>
                </w:tcPr>
                <w:p w14:paraId="266772D9" w14:textId="24F9E5AA" w:rsidR="005342BB" w:rsidRPr="00ED6CBA" w:rsidRDefault="005D39BF" w:rsidP="002E2177">
                  <w:pPr>
                    <w:ind w:left="0" w:firstLine="0"/>
                    <w:rPr>
                      <w:b/>
                      <w:bCs/>
                      <w:color w:val="FF0000"/>
                      <w:vertAlign w:val="superscript"/>
                    </w:rPr>
                  </w:pPr>
                  <w:r w:rsidRPr="005D39BF">
                    <w:rPr>
                      <w:b/>
                      <w:bCs/>
                      <w:color w:val="FF0000"/>
                    </w:rPr>
                    <w:t>Table 1. Designations of Quality of Evidence and Strength of Recommendation</w:t>
                  </w:r>
                  <w:r w:rsidR="009E6757">
                    <w:rPr>
                      <w:b/>
                      <w:bCs/>
                      <w:color w:val="FF0000"/>
                    </w:rPr>
                    <w:t>s*</w:t>
                  </w:r>
                </w:p>
              </w:tc>
            </w:tr>
            <w:tr w:rsidR="005342BB" w14:paraId="760419CD" w14:textId="77777777" w:rsidTr="00990F25">
              <w:tc>
                <w:tcPr>
                  <w:tcW w:w="7329" w:type="dxa"/>
                  <w:gridSpan w:val="3"/>
                </w:tcPr>
                <w:p w14:paraId="6E63641A" w14:textId="7B9BD93B" w:rsidR="005342BB" w:rsidRPr="000577BC" w:rsidRDefault="005342BB" w:rsidP="002E2177">
                  <w:pPr>
                    <w:ind w:left="0" w:firstLine="0"/>
                    <w:rPr>
                      <w:b/>
                      <w:bCs/>
                      <w:color w:val="FF0000"/>
                    </w:rPr>
                  </w:pPr>
                  <w:r w:rsidRPr="000577BC">
                    <w:rPr>
                      <w:b/>
                      <w:bCs/>
                      <w:color w:val="FF0000"/>
                    </w:rPr>
                    <w:t>Quality of Evidence</w:t>
                  </w:r>
                </w:p>
              </w:tc>
            </w:tr>
            <w:tr w:rsidR="005342BB" w14:paraId="3892A7B2" w14:textId="77777777" w:rsidTr="00F731D8">
              <w:tc>
                <w:tcPr>
                  <w:tcW w:w="7329" w:type="dxa"/>
                  <w:gridSpan w:val="3"/>
                </w:tcPr>
                <w:p w14:paraId="1FFC9952" w14:textId="396E89D4" w:rsidR="005342BB" w:rsidRPr="000577BC" w:rsidRDefault="005D39BF" w:rsidP="005D39BF">
                  <w:pPr>
                    <w:ind w:left="0" w:firstLine="0"/>
                    <w:rPr>
                      <w:i/>
                      <w:iCs/>
                      <w:color w:val="FF0000"/>
                    </w:rPr>
                  </w:pPr>
                  <w:r w:rsidRPr="005D39BF">
                    <w:rPr>
                      <w:i/>
                      <w:iCs/>
                      <w:color w:val="FF0000"/>
                    </w:rPr>
                    <w:t>Quality of evidence ratings for each criterion are based on synthetic assessment of two complementary approaches to evaluating the</w:t>
                  </w:r>
                  <w:r>
                    <w:rPr>
                      <w:i/>
                      <w:iCs/>
                      <w:color w:val="FF0000"/>
                    </w:rPr>
                    <w:t xml:space="preserve"> </w:t>
                  </w:r>
                  <w:r w:rsidRPr="005D39BF">
                    <w:rPr>
                      <w:i/>
                      <w:iCs/>
                      <w:color w:val="FF0000"/>
                    </w:rPr>
                    <w:t>quality of evidence.</w:t>
                  </w:r>
                </w:p>
              </w:tc>
            </w:tr>
            <w:tr w:rsidR="005342BB" w14:paraId="7B0A8F9D" w14:textId="77777777" w:rsidTr="000317D4">
              <w:tc>
                <w:tcPr>
                  <w:tcW w:w="4886" w:type="dxa"/>
                  <w:gridSpan w:val="2"/>
                </w:tcPr>
                <w:p w14:paraId="1E4BE4FF" w14:textId="31B93EB6" w:rsidR="005342BB" w:rsidRDefault="005342BB" w:rsidP="005342BB">
                  <w:pPr>
                    <w:ind w:left="0" w:firstLine="0"/>
                    <w:jc w:val="center"/>
                    <w:rPr>
                      <w:color w:val="FF0000"/>
                    </w:rPr>
                  </w:pPr>
                  <w:r>
                    <w:rPr>
                      <w:color w:val="FF0000"/>
                    </w:rPr>
                    <w:t>ACP-based approach</w:t>
                  </w:r>
                </w:p>
              </w:tc>
              <w:tc>
                <w:tcPr>
                  <w:tcW w:w="2443" w:type="dxa"/>
                </w:tcPr>
                <w:p w14:paraId="609CD0FE" w14:textId="2E120F0C" w:rsidR="005342BB" w:rsidRDefault="00FF0870" w:rsidP="002E2177">
                  <w:pPr>
                    <w:ind w:left="0" w:firstLine="0"/>
                    <w:rPr>
                      <w:color w:val="FF0000"/>
                    </w:rPr>
                  </w:pPr>
                  <w:r>
                    <w:rPr>
                      <w:color w:val="FF0000"/>
                    </w:rPr>
                    <w:t>GRADE-based approach</w:t>
                  </w:r>
                </w:p>
              </w:tc>
            </w:tr>
            <w:tr w:rsidR="00A73607" w14:paraId="31BB882B" w14:textId="77777777" w:rsidTr="009D51CA">
              <w:tc>
                <w:tcPr>
                  <w:tcW w:w="2443" w:type="dxa"/>
                </w:tcPr>
                <w:p w14:paraId="5F347717" w14:textId="6230BF54" w:rsidR="00A73607" w:rsidRDefault="00A73607" w:rsidP="002E2177">
                  <w:pPr>
                    <w:ind w:left="0" w:firstLine="0"/>
                    <w:rPr>
                      <w:color w:val="FF0000"/>
                    </w:rPr>
                  </w:pPr>
                  <w:r>
                    <w:rPr>
                      <w:color w:val="FF0000"/>
                    </w:rPr>
                    <w:t>High-quality evidence</w:t>
                  </w:r>
                </w:p>
              </w:tc>
              <w:tc>
                <w:tcPr>
                  <w:tcW w:w="2443" w:type="dxa"/>
                </w:tcPr>
                <w:p w14:paraId="7AC98D56" w14:textId="30181A92" w:rsidR="00A73607" w:rsidRDefault="00A73607" w:rsidP="000B240B">
                  <w:pPr>
                    <w:ind w:left="0" w:firstLine="0"/>
                    <w:rPr>
                      <w:color w:val="FF0000"/>
                    </w:rPr>
                  </w:pPr>
                  <w:r w:rsidRPr="0037379D">
                    <w:rPr>
                      <w:color w:val="FF0000"/>
                    </w:rPr>
                    <w:t>“Evidence…obtained from 1 or more well</w:t>
                  </w:r>
                  <w:r>
                    <w:rPr>
                      <w:color w:val="FF0000"/>
                    </w:rPr>
                    <w:t>-</w:t>
                  </w:r>
                  <w:r w:rsidRPr="0037379D">
                    <w:rPr>
                      <w:color w:val="FF0000"/>
                    </w:rPr>
                    <w:t>designed</w:t>
                  </w:r>
                  <w:r>
                    <w:rPr>
                      <w:color w:val="FF0000"/>
                    </w:rPr>
                    <w:t xml:space="preserve"> </w:t>
                  </w:r>
                  <w:r w:rsidRPr="0037379D">
                    <w:rPr>
                      <w:color w:val="FF0000"/>
                    </w:rPr>
                    <w:t>and well-executed randomized,</w:t>
                  </w:r>
                  <w:r>
                    <w:rPr>
                      <w:color w:val="FF0000"/>
                    </w:rPr>
                    <w:t xml:space="preserve"> </w:t>
                  </w:r>
                  <w:r w:rsidRPr="0037379D">
                    <w:rPr>
                      <w:color w:val="FF0000"/>
                    </w:rPr>
                    <w:t xml:space="preserve">controlled trials (RCTs) </w:t>
                  </w:r>
                  <w:r w:rsidRPr="0037379D">
                    <w:rPr>
                      <w:color w:val="FF0000"/>
                    </w:rPr>
                    <w:lastRenderedPageBreak/>
                    <w:t>that yield consistent and</w:t>
                  </w:r>
                  <w:r>
                    <w:rPr>
                      <w:color w:val="FF0000"/>
                    </w:rPr>
                    <w:t xml:space="preserve"> </w:t>
                  </w:r>
                  <w:r w:rsidRPr="0037379D">
                    <w:rPr>
                      <w:color w:val="FF0000"/>
                    </w:rPr>
                    <w:t>directly applicable results. This also means that</w:t>
                  </w:r>
                  <w:r>
                    <w:rPr>
                      <w:color w:val="FF0000"/>
                    </w:rPr>
                    <w:t xml:space="preserve"> </w:t>
                  </w:r>
                  <w:r w:rsidRPr="0037379D">
                    <w:rPr>
                      <w:color w:val="FF0000"/>
                    </w:rPr>
                    <w:t>further research is very unlikely to change our</w:t>
                  </w:r>
                  <w:r>
                    <w:rPr>
                      <w:color w:val="FF0000"/>
                    </w:rPr>
                    <w:t xml:space="preserve"> </w:t>
                  </w:r>
                  <w:r w:rsidRPr="0037379D">
                    <w:rPr>
                      <w:color w:val="FF0000"/>
                    </w:rPr>
                    <w:t>confidence in the estimate of effect.”</w:t>
                  </w:r>
                </w:p>
              </w:tc>
              <w:tc>
                <w:tcPr>
                  <w:tcW w:w="2443" w:type="dxa"/>
                  <w:vMerge w:val="restart"/>
                </w:tcPr>
                <w:p w14:paraId="1E5FD403" w14:textId="642578D2" w:rsidR="00A73607" w:rsidRPr="00A73607" w:rsidRDefault="00A73607" w:rsidP="009D51CA">
                  <w:pPr>
                    <w:ind w:left="0" w:firstLine="0"/>
                    <w:rPr>
                      <w:color w:val="FF0000"/>
                    </w:rPr>
                  </w:pPr>
                  <w:r w:rsidRPr="00A73607">
                    <w:rPr>
                      <w:color w:val="FF0000"/>
                    </w:rPr>
                    <w:lastRenderedPageBreak/>
                    <w:t>Consider the following five factors for the studies</w:t>
                  </w:r>
                  <w:r w:rsidR="009D51CA">
                    <w:rPr>
                      <w:color w:val="FF0000"/>
                    </w:rPr>
                    <w:t xml:space="preserve"> </w:t>
                  </w:r>
                  <w:r w:rsidRPr="00A73607">
                    <w:rPr>
                      <w:color w:val="FF0000"/>
                    </w:rPr>
                    <w:t xml:space="preserve">that comprise the best-available </w:t>
                  </w:r>
                  <w:r w:rsidRPr="00A73607">
                    <w:rPr>
                      <w:color w:val="FF0000"/>
                    </w:rPr>
                    <w:lastRenderedPageBreak/>
                    <w:t>evidence for a</w:t>
                  </w:r>
                  <w:r w:rsidR="009D51CA">
                    <w:rPr>
                      <w:color w:val="FF0000"/>
                    </w:rPr>
                    <w:t xml:space="preserve"> </w:t>
                  </w:r>
                  <w:r w:rsidRPr="00A73607">
                    <w:rPr>
                      <w:color w:val="FF0000"/>
                    </w:rPr>
                    <w:t>given criterion:</w:t>
                  </w:r>
                </w:p>
                <w:p w14:paraId="045E373D" w14:textId="7926708D" w:rsidR="00A73607" w:rsidRPr="00A73607" w:rsidRDefault="00A73607" w:rsidP="009D51CA">
                  <w:pPr>
                    <w:ind w:left="0" w:firstLine="0"/>
                    <w:rPr>
                      <w:color w:val="FF0000"/>
                    </w:rPr>
                  </w:pPr>
                  <w:r w:rsidRPr="00A73607">
                    <w:rPr>
                      <w:color w:val="FF0000"/>
                    </w:rPr>
                    <w:t>1. Risk of bias: Severity of threats to studies’</w:t>
                  </w:r>
                  <w:r w:rsidR="009D51CA">
                    <w:rPr>
                      <w:color w:val="FF0000"/>
                    </w:rPr>
                    <w:t xml:space="preserve"> </w:t>
                  </w:r>
                  <w:r w:rsidRPr="00A73607">
                    <w:rPr>
                      <w:color w:val="FF0000"/>
                    </w:rPr>
                    <w:t>internal validity (</w:t>
                  </w:r>
                  <w:proofErr w:type="spellStart"/>
                  <w:r w:rsidRPr="00A73607">
                    <w:rPr>
                      <w:color w:val="FF0000"/>
                    </w:rPr>
                    <w:t>eg</w:t>
                  </w:r>
                  <w:proofErr w:type="spellEnd"/>
                  <w:r w:rsidRPr="00A73607">
                    <w:rPr>
                      <w:color w:val="FF0000"/>
                    </w:rPr>
                    <w:t>, randomized vs</w:t>
                  </w:r>
                  <w:r w:rsidR="009D51CA">
                    <w:rPr>
                      <w:color w:val="FF0000"/>
                    </w:rPr>
                    <w:t xml:space="preserve"> </w:t>
                  </w:r>
                  <w:r w:rsidRPr="00A73607">
                    <w:rPr>
                      <w:color w:val="FF0000"/>
                    </w:rPr>
                    <w:t>observational design, potential for</w:t>
                  </w:r>
                  <w:r w:rsidR="009D51CA">
                    <w:rPr>
                      <w:color w:val="FF0000"/>
                    </w:rPr>
                    <w:t xml:space="preserve"> </w:t>
                  </w:r>
                  <w:r w:rsidRPr="00A73607">
                    <w:rPr>
                      <w:color w:val="FF0000"/>
                    </w:rPr>
                    <w:t>confounding, bias in measurement)</w:t>
                  </w:r>
                </w:p>
                <w:p w14:paraId="352DED6A" w14:textId="7B11AF8F" w:rsidR="00A73607" w:rsidRPr="00A73607" w:rsidRDefault="00A73607" w:rsidP="009D51CA">
                  <w:pPr>
                    <w:ind w:left="0" w:firstLine="0"/>
                    <w:rPr>
                      <w:color w:val="FF0000"/>
                    </w:rPr>
                  </w:pPr>
                  <w:r w:rsidRPr="00A73607">
                    <w:rPr>
                      <w:color w:val="FF0000"/>
                    </w:rPr>
                    <w:t>2. Inconsistency: Do different studies provide</w:t>
                  </w:r>
                  <w:r w:rsidR="009D51CA">
                    <w:rPr>
                      <w:color w:val="FF0000"/>
                    </w:rPr>
                    <w:t xml:space="preserve"> </w:t>
                  </w:r>
                  <w:r w:rsidRPr="00A73607">
                    <w:rPr>
                      <w:color w:val="FF0000"/>
                    </w:rPr>
                    <w:t>similar or different estimates of effect size</w:t>
                  </w:r>
                </w:p>
                <w:p w14:paraId="15A2842F" w14:textId="4843378E" w:rsidR="00A73607" w:rsidRPr="00A73607" w:rsidRDefault="00A73607" w:rsidP="009D51CA">
                  <w:pPr>
                    <w:ind w:left="0" w:firstLine="0"/>
                    <w:rPr>
                      <w:color w:val="FF0000"/>
                    </w:rPr>
                  </w:pPr>
                  <w:r w:rsidRPr="00A73607">
                    <w:rPr>
                      <w:color w:val="FF0000"/>
                    </w:rPr>
                    <w:t>3. Indirectness: How relevant are the studies to</w:t>
                  </w:r>
                  <w:r w:rsidR="009D51CA">
                    <w:rPr>
                      <w:color w:val="FF0000"/>
                    </w:rPr>
                    <w:t xml:space="preserve"> </w:t>
                  </w:r>
                  <w:r w:rsidRPr="00A73607">
                    <w:rPr>
                      <w:color w:val="FF0000"/>
                    </w:rPr>
                    <w:t>the clinical question at hand (</w:t>
                  </w:r>
                  <w:proofErr w:type="spellStart"/>
                  <w:r w:rsidRPr="00A73607">
                    <w:rPr>
                      <w:color w:val="FF0000"/>
                    </w:rPr>
                    <w:t>eg</w:t>
                  </w:r>
                  <w:proofErr w:type="spellEnd"/>
                  <w:r w:rsidRPr="00A73607">
                    <w:rPr>
                      <w:color w:val="FF0000"/>
                    </w:rPr>
                    <w:t>, nature of</w:t>
                  </w:r>
                  <w:r w:rsidR="009D51CA">
                    <w:rPr>
                      <w:color w:val="FF0000"/>
                    </w:rPr>
                    <w:t xml:space="preserve"> </w:t>
                  </w:r>
                  <w:r w:rsidRPr="00A73607">
                    <w:rPr>
                      <w:color w:val="FF0000"/>
                    </w:rPr>
                    <w:t>study of population, comparison group, type</w:t>
                  </w:r>
                  <w:r w:rsidR="009D51CA">
                    <w:rPr>
                      <w:color w:val="FF0000"/>
                    </w:rPr>
                    <w:t xml:space="preserve"> </w:t>
                  </w:r>
                  <w:r w:rsidRPr="00A73607">
                    <w:rPr>
                      <w:color w:val="FF0000"/>
                    </w:rPr>
                    <w:t>of outcomes measured)</w:t>
                  </w:r>
                </w:p>
                <w:p w14:paraId="16B5C4C3" w14:textId="77777777" w:rsidR="00A73607" w:rsidRPr="00A73607" w:rsidRDefault="00A73607" w:rsidP="00A7039B">
                  <w:pPr>
                    <w:ind w:left="0" w:firstLine="0"/>
                    <w:rPr>
                      <w:color w:val="FF0000"/>
                    </w:rPr>
                  </w:pPr>
                  <w:r w:rsidRPr="00A73607">
                    <w:rPr>
                      <w:color w:val="FF0000"/>
                    </w:rPr>
                    <w:t>4. Imprecision: Precision of estimates of effect</w:t>
                  </w:r>
                </w:p>
                <w:p w14:paraId="2140103C" w14:textId="07CE8116" w:rsidR="00A73607" w:rsidRDefault="00A73607" w:rsidP="00F1390F">
                  <w:pPr>
                    <w:ind w:left="0" w:firstLine="0"/>
                    <w:rPr>
                      <w:color w:val="FF0000"/>
                    </w:rPr>
                  </w:pPr>
                  <w:r w:rsidRPr="00A73607">
                    <w:rPr>
                      <w:color w:val="FF0000"/>
                    </w:rPr>
                    <w:t>5. Publication bias: Risk of bias due to selective</w:t>
                  </w:r>
                  <w:r w:rsidR="009D51CA">
                    <w:rPr>
                      <w:color w:val="FF0000"/>
                    </w:rPr>
                    <w:t xml:space="preserve"> </w:t>
                  </w:r>
                  <w:r w:rsidRPr="00A73607">
                    <w:rPr>
                      <w:color w:val="FF0000"/>
                    </w:rPr>
                    <w:t>publication of results</w:t>
                  </w:r>
                </w:p>
              </w:tc>
            </w:tr>
            <w:tr w:rsidR="00A73607" w14:paraId="68F97FCB" w14:textId="77777777" w:rsidTr="005342BB">
              <w:tc>
                <w:tcPr>
                  <w:tcW w:w="2443" w:type="dxa"/>
                </w:tcPr>
                <w:p w14:paraId="0263A035" w14:textId="538FCEF0" w:rsidR="00A73607" w:rsidRDefault="00A73607" w:rsidP="002E2177">
                  <w:pPr>
                    <w:ind w:left="0" w:firstLine="0"/>
                    <w:rPr>
                      <w:color w:val="FF0000"/>
                    </w:rPr>
                  </w:pPr>
                  <w:r>
                    <w:rPr>
                      <w:color w:val="FF0000"/>
                    </w:rPr>
                    <w:lastRenderedPageBreak/>
                    <w:t>Moderate-quality evidence</w:t>
                  </w:r>
                </w:p>
              </w:tc>
              <w:tc>
                <w:tcPr>
                  <w:tcW w:w="2443" w:type="dxa"/>
                </w:tcPr>
                <w:p w14:paraId="4305C8C7" w14:textId="1E107230" w:rsidR="00A73607" w:rsidRDefault="00EC7B29" w:rsidP="00ED5D73">
                  <w:pPr>
                    <w:ind w:left="0" w:firstLine="0"/>
                    <w:rPr>
                      <w:color w:val="FF0000"/>
                    </w:rPr>
                  </w:pPr>
                  <w:r w:rsidRPr="00EC7B29">
                    <w:rPr>
                      <w:color w:val="FF0000"/>
                    </w:rPr>
                    <w:t>“Evidence…obtained from RCTs with important</w:t>
                  </w:r>
                  <w:r>
                    <w:rPr>
                      <w:color w:val="FF0000"/>
                    </w:rPr>
                    <w:t xml:space="preserve"> </w:t>
                  </w:r>
                  <w:r w:rsidRPr="00EC7B29">
                    <w:rPr>
                      <w:color w:val="FF0000"/>
                    </w:rPr>
                    <w:t>limitations…. In addition, evidence from well</w:t>
                  </w:r>
                  <w:r>
                    <w:rPr>
                      <w:color w:val="FF0000"/>
                    </w:rPr>
                    <w:t>-</w:t>
                  </w:r>
                  <w:r w:rsidRPr="00EC7B29">
                    <w:rPr>
                      <w:color w:val="FF0000"/>
                    </w:rPr>
                    <w:t>designed</w:t>
                  </w:r>
                  <w:r w:rsidR="00ED5D73">
                    <w:rPr>
                      <w:color w:val="FF0000"/>
                    </w:rPr>
                    <w:t xml:space="preserve"> </w:t>
                  </w:r>
                  <w:r w:rsidRPr="00EC7B29">
                    <w:rPr>
                      <w:color w:val="FF0000"/>
                    </w:rPr>
                    <w:t>controlled trials without randomization,</w:t>
                  </w:r>
                  <w:r>
                    <w:rPr>
                      <w:color w:val="FF0000"/>
                    </w:rPr>
                    <w:t xml:space="preserve"> </w:t>
                  </w:r>
                  <w:r w:rsidRPr="00EC7B29">
                    <w:rPr>
                      <w:color w:val="FF0000"/>
                    </w:rPr>
                    <w:t>well-designed cohort or case-control analytic</w:t>
                  </w:r>
                  <w:r>
                    <w:rPr>
                      <w:color w:val="FF0000"/>
                    </w:rPr>
                    <w:t xml:space="preserve"> </w:t>
                  </w:r>
                  <w:r w:rsidRPr="00EC7B29">
                    <w:rPr>
                      <w:color w:val="FF0000"/>
                    </w:rPr>
                    <w:t>studies, and multiple time series with or without</w:t>
                  </w:r>
                  <w:r>
                    <w:rPr>
                      <w:color w:val="FF0000"/>
                    </w:rPr>
                    <w:t xml:space="preserve"> </w:t>
                  </w:r>
                  <w:r w:rsidRPr="00EC7B29">
                    <w:rPr>
                      <w:color w:val="FF0000"/>
                    </w:rPr>
                    <w:t>intervention are in this category. Moderate</w:t>
                  </w:r>
                  <w:r w:rsidR="0074135C">
                    <w:rPr>
                      <w:color w:val="FF0000"/>
                    </w:rPr>
                    <w:t>-</w:t>
                  </w:r>
                  <w:r w:rsidRPr="00EC7B29">
                    <w:rPr>
                      <w:color w:val="FF0000"/>
                    </w:rPr>
                    <w:t>quality</w:t>
                  </w:r>
                  <w:r w:rsidR="0074135C">
                    <w:rPr>
                      <w:color w:val="FF0000"/>
                    </w:rPr>
                    <w:t xml:space="preserve"> </w:t>
                  </w:r>
                  <w:r w:rsidRPr="00EC7B29">
                    <w:rPr>
                      <w:color w:val="FF0000"/>
                    </w:rPr>
                    <w:t>evidence also means that further</w:t>
                  </w:r>
                  <w:r w:rsidR="0074135C">
                    <w:rPr>
                      <w:color w:val="FF0000"/>
                    </w:rPr>
                    <w:t xml:space="preserve"> </w:t>
                  </w:r>
                  <w:r w:rsidRPr="00EC7B29">
                    <w:rPr>
                      <w:color w:val="FF0000"/>
                    </w:rPr>
                    <w:t>research will probably have an important effect</w:t>
                  </w:r>
                  <w:r w:rsidR="0074135C">
                    <w:rPr>
                      <w:color w:val="FF0000"/>
                    </w:rPr>
                    <w:t xml:space="preserve"> </w:t>
                  </w:r>
                  <w:r w:rsidRPr="00EC7B29">
                    <w:rPr>
                      <w:color w:val="FF0000"/>
                    </w:rPr>
                    <w:t>on our confidence in the estimate of effect and</w:t>
                  </w:r>
                  <w:r w:rsidR="0074135C">
                    <w:rPr>
                      <w:color w:val="FF0000"/>
                    </w:rPr>
                    <w:t xml:space="preserve"> </w:t>
                  </w:r>
                  <w:r w:rsidRPr="00EC7B29">
                    <w:rPr>
                      <w:color w:val="FF0000"/>
                    </w:rPr>
                    <w:t>may change the estimate.”</w:t>
                  </w:r>
                </w:p>
              </w:tc>
              <w:tc>
                <w:tcPr>
                  <w:tcW w:w="2443" w:type="dxa"/>
                  <w:vMerge/>
                </w:tcPr>
                <w:p w14:paraId="4FF444A0" w14:textId="77777777" w:rsidR="00A73607" w:rsidRDefault="00A73607" w:rsidP="002E2177">
                  <w:pPr>
                    <w:ind w:left="0" w:firstLine="0"/>
                    <w:rPr>
                      <w:color w:val="FF0000"/>
                    </w:rPr>
                  </w:pPr>
                </w:p>
              </w:tc>
            </w:tr>
            <w:tr w:rsidR="00A73607" w14:paraId="09A4FD22" w14:textId="77777777" w:rsidTr="005342BB">
              <w:tc>
                <w:tcPr>
                  <w:tcW w:w="2443" w:type="dxa"/>
                </w:tcPr>
                <w:p w14:paraId="46A88E80" w14:textId="3B15B0A2" w:rsidR="00A73607" w:rsidRDefault="00A73607" w:rsidP="002E2177">
                  <w:pPr>
                    <w:ind w:left="0" w:firstLine="0"/>
                    <w:rPr>
                      <w:color w:val="FF0000"/>
                    </w:rPr>
                  </w:pPr>
                  <w:r>
                    <w:rPr>
                      <w:color w:val="FF0000"/>
                    </w:rPr>
                    <w:t>Low-quality evidence</w:t>
                  </w:r>
                </w:p>
              </w:tc>
              <w:tc>
                <w:tcPr>
                  <w:tcW w:w="2443" w:type="dxa"/>
                </w:tcPr>
                <w:p w14:paraId="4B6F92BA" w14:textId="19952C55" w:rsidR="00A73607" w:rsidRDefault="00DF7E1C" w:rsidP="00DF7E1C">
                  <w:pPr>
                    <w:ind w:left="0" w:firstLine="0"/>
                    <w:rPr>
                      <w:color w:val="FF0000"/>
                    </w:rPr>
                  </w:pPr>
                  <w:r w:rsidRPr="00DF7E1C">
                    <w:rPr>
                      <w:color w:val="FF0000"/>
                    </w:rPr>
                    <w:t>“Evidence obtained from observational studies</w:t>
                  </w:r>
                  <w:r>
                    <w:rPr>
                      <w:color w:val="FF0000"/>
                    </w:rPr>
                    <w:t xml:space="preserve"> </w:t>
                  </w:r>
                  <w:r w:rsidRPr="00DF7E1C">
                    <w:rPr>
                      <w:color w:val="FF0000"/>
                    </w:rPr>
                    <w:t>would typically be rated as low quality because</w:t>
                  </w:r>
                  <w:r>
                    <w:rPr>
                      <w:color w:val="FF0000"/>
                    </w:rPr>
                    <w:t xml:space="preserve"> </w:t>
                  </w:r>
                  <w:r w:rsidRPr="00DF7E1C">
                    <w:rPr>
                      <w:color w:val="FF0000"/>
                    </w:rPr>
                    <w:t>of the risk for bias. Low-quality evidence means</w:t>
                  </w:r>
                  <w:r>
                    <w:rPr>
                      <w:color w:val="FF0000"/>
                    </w:rPr>
                    <w:t xml:space="preserve"> </w:t>
                  </w:r>
                  <w:r w:rsidRPr="00DF7E1C">
                    <w:rPr>
                      <w:color w:val="FF0000"/>
                    </w:rPr>
                    <w:t>that further research is very likely to have an</w:t>
                  </w:r>
                  <w:r>
                    <w:rPr>
                      <w:color w:val="FF0000"/>
                    </w:rPr>
                    <w:t xml:space="preserve"> </w:t>
                  </w:r>
                  <w:r w:rsidRPr="00DF7E1C">
                    <w:rPr>
                      <w:color w:val="FF0000"/>
                    </w:rPr>
                    <w:t>important effect on our confidence in the</w:t>
                  </w:r>
                  <w:r>
                    <w:rPr>
                      <w:color w:val="FF0000"/>
                    </w:rPr>
                    <w:t xml:space="preserve"> </w:t>
                  </w:r>
                  <w:r w:rsidRPr="00DF7E1C">
                    <w:rPr>
                      <w:color w:val="FF0000"/>
                    </w:rPr>
                    <w:t>estimate of effect and will probably change the</w:t>
                  </w:r>
                  <w:r>
                    <w:rPr>
                      <w:color w:val="FF0000"/>
                    </w:rPr>
                    <w:t xml:space="preserve"> </w:t>
                  </w:r>
                  <w:r w:rsidRPr="00DF7E1C">
                    <w:rPr>
                      <w:color w:val="FF0000"/>
                    </w:rPr>
                    <w:t>estimate. However, the quality of evidence may</w:t>
                  </w:r>
                  <w:r>
                    <w:rPr>
                      <w:color w:val="FF0000"/>
                    </w:rPr>
                    <w:t xml:space="preserve"> </w:t>
                  </w:r>
                  <w:r w:rsidRPr="00DF7E1C">
                    <w:rPr>
                      <w:color w:val="FF0000"/>
                    </w:rPr>
                    <w:t>be rated as moderate or even high, depending</w:t>
                  </w:r>
                  <w:r>
                    <w:rPr>
                      <w:color w:val="FF0000"/>
                    </w:rPr>
                    <w:t xml:space="preserve"> </w:t>
                  </w:r>
                  <w:r w:rsidRPr="00DF7E1C">
                    <w:rPr>
                      <w:color w:val="FF0000"/>
                    </w:rPr>
                    <w:t>on circumstances under which evidence is</w:t>
                  </w:r>
                  <w:r>
                    <w:rPr>
                      <w:color w:val="FF0000"/>
                    </w:rPr>
                    <w:t xml:space="preserve"> </w:t>
                  </w:r>
                  <w:r w:rsidRPr="00DF7E1C">
                    <w:rPr>
                      <w:color w:val="FF0000"/>
                    </w:rPr>
                    <w:lastRenderedPageBreak/>
                    <w:t>obtained from observational studies.”</w:t>
                  </w:r>
                </w:p>
              </w:tc>
              <w:tc>
                <w:tcPr>
                  <w:tcW w:w="2443" w:type="dxa"/>
                  <w:vMerge/>
                </w:tcPr>
                <w:p w14:paraId="125CB553" w14:textId="77777777" w:rsidR="00A73607" w:rsidRDefault="00A73607" w:rsidP="002E2177">
                  <w:pPr>
                    <w:ind w:left="0" w:firstLine="0"/>
                    <w:rPr>
                      <w:color w:val="FF0000"/>
                    </w:rPr>
                  </w:pPr>
                </w:p>
              </w:tc>
            </w:tr>
            <w:tr w:rsidR="00CB06F3" w14:paraId="4C02D6CD" w14:textId="77777777" w:rsidTr="0084775A">
              <w:tc>
                <w:tcPr>
                  <w:tcW w:w="7329" w:type="dxa"/>
                  <w:gridSpan w:val="3"/>
                </w:tcPr>
                <w:p w14:paraId="0C30ED0E" w14:textId="156B5FD3" w:rsidR="00CB06F3" w:rsidRDefault="00CB06F3" w:rsidP="00CB06F3">
                  <w:pPr>
                    <w:ind w:left="0" w:firstLine="0"/>
                    <w:jc w:val="center"/>
                    <w:rPr>
                      <w:color w:val="FF0000"/>
                    </w:rPr>
                  </w:pPr>
                  <w:r>
                    <w:rPr>
                      <w:rFonts w:cstheme="minorHAnsi"/>
                      <w:color w:val="FF0000"/>
                    </w:rPr>
                    <w:t>↓</w:t>
                  </w:r>
                  <w:r>
                    <w:rPr>
                      <w:rFonts w:ascii="Calibri" w:hAnsi="Calibri" w:cs="Calibri"/>
                      <w:color w:val="FF0000"/>
                    </w:rPr>
                    <w:t>↓↓</w:t>
                  </w:r>
                  <w:r>
                    <w:rPr>
                      <w:rFonts w:cstheme="minorHAnsi"/>
                      <w:color w:val="FF0000"/>
                    </w:rPr>
                    <w:t>↓</w:t>
                  </w:r>
                  <w:r>
                    <w:rPr>
                      <w:rFonts w:ascii="Calibri" w:hAnsi="Calibri" w:cs="Calibri"/>
                      <w:color w:val="FF0000"/>
                    </w:rPr>
                    <w:t>↓</w:t>
                  </w:r>
                </w:p>
              </w:tc>
            </w:tr>
            <w:tr w:rsidR="00CB06F3" w14:paraId="3C34F968" w14:textId="77777777" w:rsidTr="00CB0EAA">
              <w:tc>
                <w:tcPr>
                  <w:tcW w:w="7329" w:type="dxa"/>
                  <w:gridSpan w:val="3"/>
                </w:tcPr>
                <w:p w14:paraId="0B1EEB49" w14:textId="5AED83E1" w:rsidR="00CB06F3" w:rsidRDefault="00CB06F3" w:rsidP="00697F46">
                  <w:pPr>
                    <w:ind w:left="0" w:firstLine="0"/>
                    <w:jc w:val="center"/>
                    <w:rPr>
                      <w:color w:val="FF0000"/>
                    </w:rPr>
                  </w:pPr>
                  <w:r>
                    <w:rPr>
                      <w:color w:val="FF0000"/>
                    </w:rPr>
                    <w:t>Overall quality of evidence that supports a given criterion: high, moderate, low</w:t>
                  </w:r>
                </w:p>
              </w:tc>
            </w:tr>
            <w:tr w:rsidR="005315A1" w14:paraId="61C55190" w14:textId="77777777" w:rsidTr="00301254">
              <w:tc>
                <w:tcPr>
                  <w:tcW w:w="7329" w:type="dxa"/>
                  <w:gridSpan w:val="3"/>
                </w:tcPr>
                <w:p w14:paraId="54A890BC" w14:textId="7F23E64C" w:rsidR="005315A1" w:rsidRPr="008302CC" w:rsidRDefault="005315A1" w:rsidP="002E2177">
                  <w:pPr>
                    <w:ind w:left="0" w:firstLine="0"/>
                    <w:rPr>
                      <w:b/>
                      <w:bCs/>
                      <w:color w:val="FF0000"/>
                    </w:rPr>
                  </w:pPr>
                  <w:r w:rsidRPr="008302CC">
                    <w:rPr>
                      <w:b/>
                      <w:bCs/>
                      <w:color w:val="FF0000"/>
                    </w:rPr>
                    <w:t>Strength of Evidence</w:t>
                  </w:r>
                </w:p>
              </w:tc>
            </w:tr>
            <w:tr w:rsidR="005315A1" w14:paraId="11C52740" w14:textId="77777777" w:rsidTr="00204C23">
              <w:tc>
                <w:tcPr>
                  <w:tcW w:w="7329" w:type="dxa"/>
                  <w:gridSpan w:val="3"/>
                </w:tcPr>
                <w:p w14:paraId="4C988222" w14:textId="47B70CC9" w:rsidR="005315A1" w:rsidRPr="008302CC" w:rsidRDefault="008302CC" w:rsidP="008302CC">
                  <w:pPr>
                    <w:ind w:left="0" w:firstLine="0"/>
                    <w:rPr>
                      <w:i/>
                      <w:iCs/>
                      <w:color w:val="FF0000"/>
                    </w:rPr>
                  </w:pPr>
                  <w:r w:rsidRPr="008302CC">
                    <w:rPr>
                      <w:i/>
                      <w:iCs/>
                      <w:color w:val="FF0000"/>
                    </w:rPr>
                    <w:t>Strength of evidence ratings for each criterion are based on synthetic integration of the quality of evidence, the frequency and severity of potential adverse events and relationship to potential benefits, and clinical judgment.</w:t>
                  </w:r>
                </w:p>
              </w:tc>
            </w:tr>
            <w:tr w:rsidR="00930557" w14:paraId="3F355793" w14:textId="77777777" w:rsidTr="0059572F">
              <w:tc>
                <w:tcPr>
                  <w:tcW w:w="2443" w:type="dxa"/>
                </w:tcPr>
                <w:p w14:paraId="783D9358" w14:textId="0F127100" w:rsidR="00930557" w:rsidRDefault="00930557" w:rsidP="002E2177">
                  <w:pPr>
                    <w:ind w:left="0" w:firstLine="0"/>
                    <w:rPr>
                      <w:color w:val="FF0000"/>
                    </w:rPr>
                  </w:pPr>
                  <w:r>
                    <w:rPr>
                      <w:color w:val="FF0000"/>
                    </w:rPr>
                    <w:t>Strong</w:t>
                  </w:r>
                </w:p>
              </w:tc>
              <w:tc>
                <w:tcPr>
                  <w:tcW w:w="4886" w:type="dxa"/>
                  <w:gridSpan w:val="2"/>
                </w:tcPr>
                <w:p w14:paraId="62179ED6" w14:textId="32AD3C00" w:rsidR="00930557" w:rsidRDefault="00930557" w:rsidP="002E2177">
                  <w:pPr>
                    <w:ind w:left="0" w:firstLine="0"/>
                    <w:rPr>
                      <w:color w:val="FF0000"/>
                    </w:rPr>
                  </w:pPr>
                  <w:r>
                    <w:rPr>
                      <w:color w:val="FF0000"/>
                    </w:rPr>
                    <w:t>Harms, adverse events, and risks clearly outweigh benefits.</w:t>
                  </w:r>
                </w:p>
              </w:tc>
            </w:tr>
            <w:tr w:rsidR="00930557" w14:paraId="2083BAD9" w14:textId="77777777" w:rsidTr="0063722F">
              <w:tc>
                <w:tcPr>
                  <w:tcW w:w="2443" w:type="dxa"/>
                </w:tcPr>
                <w:p w14:paraId="361509BC" w14:textId="6A276F41" w:rsidR="00930557" w:rsidRDefault="00930557" w:rsidP="002E2177">
                  <w:pPr>
                    <w:ind w:left="0" w:firstLine="0"/>
                    <w:rPr>
                      <w:color w:val="FF0000"/>
                    </w:rPr>
                  </w:pPr>
                  <w:r>
                    <w:rPr>
                      <w:color w:val="FF0000"/>
                    </w:rPr>
                    <w:t>Weak</w:t>
                  </w:r>
                </w:p>
              </w:tc>
              <w:tc>
                <w:tcPr>
                  <w:tcW w:w="4886" w:type="dxa"/>
                  <w:gridSpan w:val="2"/>
                </w:tcPr>
                <w:p w14:paraId="42826C5B" w14:textId="16FA1B14" w:rsidR="00930557" w:rsidRDefault="00930557" w:rsidP="002E2177">
                  <w:pPr>
                    <w:ind w:left="0" w:firstLine="0"/>
                    <w:rPr>
                      <w:color w:val="FF0000"/>
                    </w:rPr>
                  </w:pPr>
                  <w:r>
                    <w:rPr>
                      <w:color w:val="FF0000"/>
                    </w:rPr>
                    <w:t>Harms, adverse events, and risks may not outweigh benefits.</w:t>
                  </w:r>
                </w:p>
              </w:tc>
            </w:tr>
          </w:tbl>
          <w:p w14:paraId="0E5A93F0" w14:textId="77777777" w:rsidR="009E6757" w:rsidRDefault="00EC00AE" w:rsidP="002E2177">
            <w:pPr>
              <w:ind w:left="0" w:firstLine="0"/>
              <w:rPr>
                <w:color w:val="FF0000"/>
              </w:rPr>
            </w:pPr>
            <w:r w:rsidRPr="00EC00AE">
              <w:rPr>
                <w:color w:val="FF0000"/>
              </w:rPr>
              <w:t>Abbreviations: ACP, American College of Physicians; GRADE, Grading of Recommendations Assessment, Development and Evaluation.</w:t>
            </w:r>
          </w:p>
          <w:p w14:paraId="64AF945E" w14:textId="43EA0BEE" w:rsidR="00E52EF1" w:rsidRDefault="009E6757" w:rsidP="002E2177">
            <w:pPr>
              <w:ind w:left="0" w:firstLine="0"/>
              <w:rPr>
                <w:color w:val="FF0000"/>
              </w:rPr>
            </w:pPr>
            <w:r>
              <w:rPr>
                <w:color w:val="FF0000"/>
              </w:rPr>
              <w:t>*</w:t>
            </w:r>
            <w:r w:rsidR="00EC00AE" w:rsidRPr="00EC00AE">
              <w:rPr>
                <w:color w:val="FF0000"/>
              </w:rPr>
              <w:t xml:space="preserve">Adapted from: </w:t>
            </w:r>
          </w:p>
          <w:p w14:paraId="10F8DB87" w14:textId="77777777" w:rsidR="00E52EF1" w:rsidRDefault="00EC00AE" w:rsidP="002E2177">
            <w:pPr>
              <w:ind w:left="0" w:firstLine="0"/>
              <w:rPr>
                <w:color w:val="FF0000"/>
              </w:rPr>
            </w:pPr>
            <w:proofErr w:type="spellStart"/>
            <w:r w:rsidRPr="00EC00AE">
              <w:rPr>
                <w:color w:val="FF0000"/>
              </w:rPr>
              <w:t>Qaseem</w:t>
            </w:r>
            <w:proofErr w:type="spellEnd"/>
            <w:r w:rsidRPr="00EC00AE">
              <w:rPr>
                <w:color w:val="FF0000"/>
              </w:rPr>
              <w:t xml:space="preserve"> A, Snow V, Owens DK, et al. The development of clinical practice guidelines and guidance statements of the American College of</w:t>
            </w:r>
            <w:r>
              <w:rPr>
                <w:color w:val="FF0000"/>
              </w:rPr>
              <w:t xml:space="preserve"> </w:t>
            </w:r>
            <w:r w:rsidRPr="00EC00AE">
              <w:rPr>
                <w:color w:val="FF0000"/>
              </w:rPr>
              <w:t>Physicians: summary of methods. Ann Intern Med. 2010;153:194–199.</w:t>
            </w:r>
            <w:r w:rsidR="006F4BDF">
              <w:rPr>
                <w:color w:val="FF0000"/>
              </w:rPr>
              <w:t xml:space="preserve"> </w:t>
            </w:r>
          </w:p>
          <w:p w14:paraId="4EA304C7" w14:textId="77777777" w:rsidR="00E52EF1" w:rsidRDefault="00EC00AE" w:rsidP="002E2177">
            <w:pPr>
              <w:ind w:left="0" w:firstLine="0"/>
              <w:rPr>
                <w:color w:val="FF0000"/>
              </w:rPr>
            </w:pPr>
            <w:proofErr w:type="spellStart"/>
            <w:r w:rsidRPr="00EC00AE">
              <w:rPr>
                <w:color w:val="FF0000"/>
              </w:rPr>
              <w:t>Guyatt</w:t>
            </w:r>
            <w:proofErr w:type="spellEnd"/>
            <w:r w:rsidRPr="00EC00AE">
              <w:rPr>
                <w:color w:val="FF0000"/>
              </w:rPr>
              <w:t xml:space="preserve"> G, </w:t>
            </w:r>
            <w:proofErr w:type="spellStart"/>
            <w:r w:rsidRPr="00EC00AE">
              <w:rPr>
                <w:color w:val="FF0000"/>
              </w:rPr>
              <w:t>Oxman</w:t>
            </w:r>
            <w:proofErr w:type="spellEnd"/>
            <w:r w:rsidRPr="00EC00AE">
              <w:rPr>
                <w:color w:val="FF0000"/>
              </w:rPr>
              <w:t xml:space="preserve"> AD, Sultan S, et al. GRADE guidelines: 11</w:t>
            </w:r>
            <w:r w:rsidR="0079059A">
              <w:rPr>
                <w:color w:val="FF0000"/>
              </w:rPr>
              <w:t>. M</w:t>
            </w:r>
            <w:r w:rsidRPr="00EC00AE">
              <w:rPr>
                <w:color w:val="FF0000"/>
              </w:rPr>
              <w:t>aking an overall</w:t>
            </w:r>
            <w:r>
              <w:rPr>
                <w:color w:val="FF0000"/>
              </w:rPr>
              <w:t xml:space="preserve"> </w:t>
            </w:r>
            <w:r w:rsidRPr="00EC00AE">
              <w:rPr>
                <w:color w:val="FF0000"/>
              </w:rPr>
              <w:t xml:space="preserve">rating of confidence in effect estimates for a single outcome and for all outcomes. J Clin Epidemiol. 2013;66(2):151–157. </w:t>
            </w:r>
          </w:p>
          <w:p w14:paraId="125B2ADA" w14:textId="360A9280" w:rsidR="00CD6CD4" w:rsidRDefault="00EC00AE" w:rsidP="002E2177">
            <w:pPr>
              <w:ind w:left="0" w:firstLine="0"/>
              <w:rPr>
                <w:color w:val="FF0000"/>
              </w:rPr>
            </w:pPr>
            <w:r w:rsidRPr="00EC00AE">
              <w:rPr>
                <w:color w:val="FF0000"/>
              </w:rPr>
              <w:t xml:space="preserve">Andrews JC, </w:t>
            </w:r>
            <w:proofErr w:type="spellStart"/>
            <w:r w:rsidRPr="00EC00AE">
              <w:rPr>
                <w:color w:val="FF0000"/>
              </w:rPr>
              <w:t>Schünemann</w:t>
            </w:r>
            <w:proofErr w:type="spellEnd"/>
            <w:r w:rsidRPr="00EC00AE">
              <w:rPr>
                <w:color w:val="FF0000"/>
              </w:rPr>
              <w:t xml:space="preserve"> HJ,</w:t>
            </w:r>
            <w:r>
              <w:rPr>
                <w:color w:val="FF0000"/>
              </w:rPr>
              <w:t xml:space="preserve"> </w:t>
            </w:r>
            <w:proofErr w:type="spellStart"/>
            <w:r w:rsidRPr="00EC00AE">
              <w:rPr>
                <w:color w:val="FF0000"/>
              </w:rPr>
              <w:t>Oxman</w:t>
            </w:r>
            <w:proofErr w:type="spellEnd"/>
            <w:r w:rsidRPr="00EC00AE">
              <w:rPr>
                <w:color w:val="FF0000"/>
              </w:rPr>
              <w:t xml:space="preserve"> AD, et al. GRADE guidelines: 15.</w:t>
            </w:r>
            <w:r w:rsidR="0079059A">
              <w:rPr>
                <w:color w:val="FF0000"/>
              </w:rPr>
              <w:t xml:space="preserve"> G</w:t>
            </w:r>
            <w:r w:rsidRPr="00EC00AE">
              <w:rPr>
                <w:color w:val="FF0000"/>
              </w:rPr>
              <w:t>oing from evidence to recommendation-determinants of a recommendation’s direction and strength. J Clin Epidemiol.</w:t>
            </w:r>
            <w:r>
              <w:rPr>
                <w:color w:val="FF0000"/>
              </w:rPr>
              <w:t xml:space="preserve"> </w:t>
            </w:r>
            <w:r w:rsidRPr="00EC00AE">
              <w:rPr>
                <w:color w:val="FF0000"/>
              </w:rPr>
              <w:t>2013;66(7):726–735.</w:t>
            </w:r>
          </w:p>
          <w:p w14:paraId="647E25E3" w14:textId="77777777" w:rsidR="006569BB" w:rsidRDefault="006569BB" w:rsidP="002E2177">
            <w:pPr>
              <w:ind w:left="0" w:firstLine="0"/>
            </w:pPr>
          </w:p>
          <w:p w14:paraId="538105AA" w14:textId="77777777" w:rsidR="00A9049B" w:rsidRPr="006848DF" w:rsidRDefault="00A9049B" w:rsidP="00A9049B">
            <w:pPr>
              <w:ind w:left="0" w:firstLine="0"/>
              <w:rPr>
                <w:color w:val="0070C0"/>
                <w:u w:val="single"/>
              </w:rPr>
            </w:pPr>
            <w:r w:rsidRPr="006848DF">
              <w:rPr>
                <w:color w:val="0070C0"/>
                <w:u w:val="single"/>
              </w:rPr>
              <w:t>2016 Submission</w:t>
            </w:r>
          </w:p>
          <w:p w14:paraId="17C32A38" w14:textId="77777777" w:rsidR="00A9049B" w:rsidRPr="006848DF" w:rsidRDefault="00A9049B" w:rsidP="00A9049B">
            <w:pPr>
              <w:ind w:left="0" w:firstLine="0"/>
              <w:rPr>
                <w:color w:val="0070C0"/>
              </w:rPr>
            </w:pPr>
            <w:r w:rsidRPr="006848DF">
              <w:rPr>
                <w:color w:val="0070C0"/>
              </w:rPr>
              <w:t>The American Geriatrics Society 2015 Beers Criteria Update Expert Panel used the Grades of Recommendation Assessment, Development, and Evaluation (GRADE) rating process to rate the quality of evidence. Each panelist independently rated the quality of evidence and strength of recommendation for each criterion using the American College of Physicians’ Guideline Grading System (</w:t>
            </w:r>
            <w:proofErr w:type="spellStart"/>
            <w:r w:rsidRPr="006848DF">
              <w:rPr>
                <w:color w:val="0070C0"/>
              </w:rPr>
              <w:t>Qaseem</w:t>
            </w:r>
            <w:proofErr w:type="spellEnd"/>
            <w:r w:rsidRPr="006848DF">
              <w:rPr>
                <w:color w:val="0070C0"/>
              </w:rPr>
              <w:t xml:space="preserve"> et al., 2010), which is based on the GRADE scheme (The GRADE Working Group). The chart below is excerpted from the Beers Criteria article and contains the definitions for the quality of evidence ratings and the strength of recommendations.</w:t>
            </w:r>
          </w:p>
          <w:p w14:paraId="3537698E" w14:textId="77777777" w:rsidR="00A9049B" w:rsidRDefault="00A9049B" w:rsidP="00A9049B">
            <w:pPr>
              <w:ind w:left="0" w:firstLine="0"/>
            </w:pPr>
          </w:p>
          <w:p w14:paraId="29D943CE" w14:textId="77777777" w:rsidR="00A9049B" w:rsidRDefault="00A9049B" w:rsidP="00A9049B">
            <w:pPr>
              <w:ind w:left="0" w:firstLine="0"/>
            </w:pPr>
            <w:r>
              <w:rPr>
                <w:noProof/>
              </w:rPr>
              <w:lastRenderedPageBreak/>
              <w:drawing>
                <wp:inline distT="0" distB="0" distL="0" distR="0" wp14:anchorId="6A0E337B" wp14:editId="3DD9F30A">
                  <wp:extent cx="3571876" cy="46529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592903" cy="4680311"/>
                          </a:xfrm>
                          <a:prstGeom prst="rect">
                            <a:avLst/>
                          </a:prstGeom>
                        </pic:spPr>
                      </pic:pic>
                    </a:graphicData>
                  </a:graphic>
                </wp:inline>
              </w:drawing>
            </w:r>
          </w:p>
          <w:p w14:paraId="0F0AF9CD" w14:textId="77777777" w:rsidR="00A9049B" w:rsidRDefault="00A9049B" w:rsidP="00A9049B">
            <w:pPr>
              <w:ind w:left="0" w:firstLine="0"/>
            </w:pPr>
          </w:p>
          <w:p w14:paraId="331DD749" w14:textId="77777777" w:rsidR="00A9049B" w:rsidRPr="006A07C3" w:rsidRDefault="00A9049B" w:rsidP="00A9049B">
            <w:pPr>
              <w:ind w:left="0" w:firstLine="0"/>
              <w:rPr>
                <w:color w:val="0070C0"/>
              </w:rPr>
            </w:pPr>
            <w:r w:rsidRPr="006A07C3">
              <w:rPr>
                <w:color w:val="0070C0"/>
              </w:rPr>
              <w:t>References:</w:t>
            </w:r>
          </w:p>
          <w:p w14:paraId="1AD8CCA3" w14:textId="77777777" w:rsidR="00A9049B" w:rsidRPr="006A07C3" w:rsidRDefault="00A9049B" w:rsidP="00A9049B">
            <w:pPr>
              <w:ind w:left="0" w:firstLine="0"/>
              <w:rPr>
                <w:color w:val="0070C0"/>
              </w:rPr>
            </w:pPr>
            <w:proofErr w:type="spellStart"/>
            <w:r w:rsidRPr="006A07C3">
              <w:rPr>
                <w:color w:val="0070C0"/>
              </w:rPr>
              <w:t>Qaseem</w:t>
            </w:r>
            <w:proofErr w:type="spellEnd"/>
            <w:r w:rsidRPr="006A07C3">
              <w:rPr>
                <w:color w:val="0070C0"/>
              </w:rPr>
              <w:t xml:space="preserve"> A, Snow V, Owens DK et al. The development of clinical practice guidelines and guidance statements of the American College of Physicians: Summary of methods. Ann Intern Med 2010;153:194–199.</w:t>
            </w:r>
          </w:p>
          <w:p w14:paraId="0A2F36C6" w14:textId="77777777" w:rsidR="00A9049B" w:rsidRPr="006A07C3" w:rsidRDefault="00A9049B" w:rsidP="00A9049B">
            <w:pPr>
              <w:ind w:left="0" w:firstLine="0"/>
              <w:rPr>
                <w:color w:val="0070C0"/>
              </w:rPr>
            </w:pPr>
          </w:p>
          <w:p w14:paraId="07F7EC6C" w14:textId="50550E30" w:rsidR="00CD6CD4" w:rsidRDefault="00A9049B" w:rsidP="00A9049B">
            <w:pPr>
              <w:ind w:left="0" w:firstLine="0"/>
            </w:pPr>
            <w:r w:rsidRPr="006A07C3">
              <w:rPr>
                <w:color w:val="0070C0"/>
              </w:rPr>
              <w:t>The GRADE working group. GRADE guidelines—best practices using the GRADE framework. Journal of Clinical Epidemiology [on-line]. Available at http://www.gradeworkinggroup.org/publications/jce_series.htm</w:t>
            </w:r>
          </w:p>
          <w:p w14:paraId="55B8DA7B" w14:textId="05F66EB7" w:rsidR="006A07C3" w:rsidRPr="00A02C91" w:rsidRDefault="006A07C3" w:rsidP="002E2177">
            <w:pPr>
              <w:ind w:left="0" w:firstLine="0"/>
              <w:rPr>
                <w:color w:val="0070C0"/>
              </w:rPr>
            </w:pPr>
          </w:p>
        </w:tc>
      </w:tr>
      <w:tr w:rsidR="00AB4ECE" w14:paraId="55B8DA7F" w14:textId="77777777" w:rsidTr="002E467D">
        <w:tc>
          <w:tcPr>
            <w:tcW w:w="1795" w:type="dxa"/>
          </w:tcPr>
          <w:p w14:paraId="55B8DA7D" w14:textId="77777777" w:rsidR="00AB4ECE" w:rsidRDefault="00AB4ECE" w:rsidP="00E42FAA">
            <w:pPr>
              <w:ind w:left="0" w:firstLine="0"/>
            </w:pPr>
            <w:r>
              <w:lastRenderedPageBreak/>
              <w:t>Provide all other grades and definitions from the evidence grading system</w:t>
            </w:r>
          </w:p>
        </w:tc>
        <w:tc>
          <w:tcPr>
            <w:tcW w:w="7555" w:type="dxa"/>
          </w:tcPr>
          <w:p w14:paraId="55B8DA7E" w14:textId="6E8E790B" w:rsidR="00AB4ECE" w:rsidRDefault="00486F20" w:rsidP="002E2177">
            <w:pPr>
              <w:ind w:left="0" w:firstLine="0"/>
            </w:pPr>
            <w:r w:rsidRPr="009B3DAA">
              <w:rPr>
                <w:color w:val="FF0000"/>
              </w:rPr>
              <w:t>N/A</w:t>
            </w:r>
          </w:p>
        </w:tc>
      </w:tr>
      <w:tr w:rsidR="00AB4ECE" w14:paraId="55B8DA82" w14:textId="77777777" w:rsidTr="002E467D">
        <w:tc>
          <w:tcPr>
            <w:tcW w:w="1795"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7555" w:type="dxa"/>
          </w:tcPr>
          <w:p w14:paraId="583AFA42" w14:textId="08F52ED2" w:rsidR="00AB4ECE" w:rsidRPr="009B3DAA" w:rsidRDefault="007B4CCE" w:rsidP="002E2177">
            <w:pPr>
              <w:ind w:left="0" w:firstLine="0"/>
              <w:rPr>
                <w:color w:val="FF0000"/>
                <w:u w:val="single"/>
              </w:rPr>
            </w:pPr>
            <w:r w:rsidRPr="009B3DAA">
              <w:rPr>
                <w:color w:val="FF0000"/>
                <w:u w:val="single"/>
              </w:rPr>
              <w:t>2020 Submission</w:t>
            </w:r>
          </w:p>
          <w:p w14:paraId="3FD4F786" w14:textId="36B3574B" w:rsidR="007B4CCE" w:rsidRDefault="007B4CCE" w:rsidP="002E2177">
            <w:pPr>
              <w:ind w:left="0" w:firstLine="0"/>
              <w:rPr>
                <w:color w:val="FF0000"/>
              </w:rPr>
            </w:pPr>
            <w:r w:rsidRPr="009B3DAA">
              <w:rPr>
                <w:color w:val="FF0000"/>
              </w:rPr>
              <w:t xml:space="preserve">See </w:t>
            </w:r>
            <w:r w:rsidR="002E467D">
              <w:rPr>
                <w:color w:val="FF0000"/>
              </w:rPr>
              <w:t xml:space="preserve">the </w:t>
            </w:r>
            <w:r w:rsidRPr="009B3DAA">
              <w:rPr>
                <w:color w:val="FF0000"/>
              </w:rPr>
              <w:t>table above</w:t>
            </w:r>
            <w:r w:rsidR="00486F20" w:rsidRPr="009B3DAA">
              <w:rPr>
                <w:color w:val="FF0000"/>
              </w:rPr>
              <w:t xml:space="preserve"> for the grade assigned to the recommendation for each medication class. </w:t>
            </w:r>
          </w:p>
          <w:p w14:paraId="1928B695" w14:textId="4F25FC2D" w:rsidR="00B0040E" w:rsidRDefault="00B0040E" w:rsidP="002E2177">
            <w:pPr>
              <w:ind w:left="0" w:firstLine="0"/>
              <w:rPr>
                <w:color w:val="FF0000"/>
              </w:rPr>
            </w:pPr>
            <w:r>
              <w:rPr>
                <w:color w:val="FF0000"/>
              </w:rPr>
              <w:t>Strong: Harms, adverse events, and risks clearly outweigh benefits</w:t>
            </w:r>
          </w:p>
          <w:p w14:paraId="2C48E65A" w14:textId="3E3E3985" w:rsidR="00B0040E" w:rsidRPr="00B0040E" w:rsidRDefault="00B0040E" w:rsidP="002E2177">
            <w:pPr>
              <w:ind w:left="0" w:firstLine="0"/>
              <w:rPr>
                <w:color w:val="FF0000"/>
              </w:rPr>
            </w:pPr>
            <w:r>
              <w:rPr>
                <w:color w:val="FF0000"/>
              </w:rPr>
              <w:t>Weak: Harms, adverse events, and risks may not outweigh benefits</w:t>
            </w:r>
          </w:p>
          <w:p w14:paraId="55B8DA81" w14:textId="751EA2E8" w:rsidR="00A02C91" w:rsidRDefault="00A02C91" w:rsidP="00A02C91">
            <w:pPr>
              <w:ind w:left="0" w:firstLine="0"/>
            </w:pPr>
          </w:p>
        </w:tc>
      </w:tr>
      <w:tr w:rsidR="00AB4ECE" w14:paraId="55B8DA85" w14:textId="77777777" w:rsidTr="002E467D">
        <w:tc>
          <w:tcPr>
            <w:tcW w:w="1795" w:type="dxa"/>
          </w:tcPr>
          <w:p w14:paraId="55B8DA83" w14:textId="77777777" w:rsidR="00AB4ECE" w:rsidRDefault="00AB4ECE" w:rsidP="00E42FAA">
            <w:pPr>
              <w:ind w:left="0" w:firstLine="0"/>
            </w:pPr>
            <w:r>
              <w:lastRenderedPageBreak/>
              <w:t>Provide all other grades and definitions from the recommendation grading system</w:t>
            </w:r>
          </w:p>
        </w:tc>
        <w:tc>
          <w:tcPr>
            <w:tcW w:w="7555" w:type="dxa"/>
          </w:tcPr>
          <w:p w14:paraId="55B8DA84" w14:textId="75300946" w:rsidR="00AB4ECE" w:rsidRDefault="00735E8D" w:rsidP="002E2177">
            <w:pPr>
              <w:ind w:left="0" w:firstLine="0"/>
            </w:pPr>
            <w:r w:rsidRPr="009B3DAA">
              <w:rPr>
                <w:color w:val="FF0000"/>
              </w:rPr>
              <w:t>N/A</w:t>
            </w:r>
          </w:p>
        </w:tc>
      </w:tr>
      <w:tr w:rsidR="00AB4ECE" w14:paraId="55B8DA8A" w14:textId="77777777" w:rsidTr="002E467D">
        <w:tc>
          <w:tcPr>
            <w:tcW w:w="1795"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7555" w:type="dxa"/>
          </w:tcPr>
          <w:p w14:paraId="11FE6B99" w14:textId="77777777" w:rsidR="00AB4ECE" w:rsidRPr="00C81F6D" w:rsidRDefault="00687728" w:rsidP="002E2177">
            <w:pPr>
              <w:ind w:left="0" w:firstLine="0"/>
              <w:rPr>
                <w:color w:val="FF0000"/>
                <w:u w:val="single"/>
              </w:rPr>
            </w:pPr>
            <w:r w:rsidRPr="00C81F6D">
              <w:rPr>
                <w:color w:val="FF0000"/>
                <w:u w:val="single"/>
              </w:rPr>
              <w:t>2020 Submission</w:t>
            </w:r>
          </w:p>
          <w:p w14:paraId="6C1F895C" w14:textId="77777777" w:rsidR="00A21FD7" w:rsidRDefault="00A21FD7" w:rsidP="00A21FD7">
            <w:pPr>
              <w:ind w:left="0" w:firstLine="0"/>
              <w:rPr>
                <w:color w:val="FF0000"/>
              </w:rPr>
            </w:pPr>
            <w:r>
              <w:rPr>
                <w:color w:val="FF0000"/>
              </w:rPr>
              <w:t xml:space="preserve">Methods used for the 2019 update were similar to those used in the 2015 update of the Beers Criteria. </w:t>
            </w:r>
            <w:r w:rsidRPr="009A09A4">
              <w:rPr>
                <w:color w:val="FF0000"/>
              </w:rPr>
              <w:t>The American Geriatrics Society form</w:t>
            </w:r>
            <w:r>
              <w:rPr>
                <w:color w:val="FF0000"/>
              </w:rPr>
              <w:t>ed</w:t>
            </w:r>
            <w:r w:rsidRPr="009A09A4">
              <w:rPr>
                <w:color w:val="FF0000"/>
              </w:rPr>
              <w:t xml:space="preserve"> an expert panel to update the Beers Criteria. The panel worked from the 2015 evidence review and then reviewed any new evidence published since </w:t>
            </w:r>
            <w:r>
              <w:rPr>
                <w:color w:val="FF0000"/>
              </w:rPr>
              <w:t>then</w:t>
            </w:r>
            <w:r w:rsidRPr="009A09A4">
              <w:rPr>
                <w:color w:val="FF0000"/>
              </w:rPr>
              <w:t xml:space="preserve"> to update the recommendations in the Beers Criteria. </w:t>
            </w:r>
            <w:r w:rsidRPr="002550AC">
              <w:rPr>
                <w:color w:val="FF0000"/>
              </w:rPr>
              <w:t xml:space="preserve">The </w:t>
            </w:r>
            <w:r>
              <w:rPr>
                <w:color w:val="FF0000"/>
              </w:rPr>
              <w:t>2019</w:t>
            </w:r>
            <w:r w:rsidRPr="002550AC">
              <w:rPr>
                <w:color w:val="FF0000"/>
              </w:rPr>
              <w:t xml:space="preserve"> review by the AGS </w:t>
            </w:r>
            <w:r>
              <w:rPr>
                <w:color w:val="FF0000"/>
              </w:rPr>
              <w:t>2019</w:t>
            </w:r>
            <w:r w:rsidRPr="002550AC">
              <w:rPr>
                <w:color w:val="FF0000"/>
              </w:rPr>
              <w:t xml:space="preserve"> Beers Criteria Update Expert Panel, which this measure is based on, included review of </w:t>
            </w:r>
            <w:r>
              <w:rPr>
                <w:color w:val="FF0000"/>
              </w:rPr>
              <w:t>67</w:t>
            </w:r>
            <w:r w:rsidRPr="002550AC">
              <w:rPr>
                <w:color w:val="FF0000"/>
              </w:rPr>
              <w:t xml:space="preserve"> systematic reviews and meta analyses, </w:t>
            </w:r>
            <w:r>
              <w:rPr>
                <w:color w:val="FF0000"/>
              </w:rPr>
              <w:t>29</w:t>
            </w:r>
            <w:r w:rsidRPr="002550AC">
              <w:rPr>
                <w:color w:val="FF0000"/>
              </w:rPr>
              <w:t xml:space="preserve"> randomized control trials (RTCs) and </w:t>
            </w:r>
            <w:r>
              <w:rPr>
                <w:color w:val="FF0000"/>
              </w:rPr>
              <w:t>281</w:t>
            </w:r>
            <w:r w:rsidRPr="002550AC">
              <w:rPr>
                <w:color w:val="FF0000"/>
              </w:rPr>
              <w:t xml:space="preserve"> observational studies and other types of publications.</w:t>
            </w:r>
          </w:p>
          <w:p w14:paraId="58FCD485" w14:textId="77777777" w:rsidR="00956AD4" w:rsidRDefault="00956AD4" w:rsidP="002550AC">
            <w:pPr>
              <w:ind w:left="0" w:firstLine="0"/>
              <w:rPr>
                <w:color w:val="FF0000"/>
              </w:rPr>
            </w:pPr>
          </w:p>
          <w:p w14:paraId="08A8F593" w14:textId="0717253B" w:rsidR="00956AD4" w:rsidRPr="002550AC" w:rsidRDefault="00956AD4" w:rsidP="002550AC">
            <w:pPr>
              <w:ind w:left="0" w:firstLine="0"/>
              <w:rPr>
                <w:color w:val="FF0000"/>
              </w:rPr>
            </w:pPr>
            <w:r w:rsidRPr="00956AD4">
              <w:rPr>
                <w:color w:val="FF0000"/>
              </w:rPr>
              <w:t xml:space="preserve">Overall, the quality of the evidence for each of the medications included in the Beers Criteria recommendations is good. See table </w:t>
            </w:r>
            <w:r>
              <w:rPr>
                <w:color w:val="FF0000"/>
              </w:rPr>
              <w:t>above</w:t>
            </w:r>
            <w:r w:rsidRPr="00956AD4">
              <w:rPr>
                <w:color w:val="FF0000"/>
              </w:rPr>
              <w:t xml:space="preserve"> for the quality of evidence rating for the recommendation for each medication or medication class. The table also includes the AGS </w:t>
            </w:r>
            <w:r>
              <w:rPr>
                <w:color w:val="FF0000"/>
              </w:rPr>
              <w:t>2019</w:t>
            </w:r>
            <w:r w:rsidRPr="00956AD4">
              <w:rPr>
                <w:color w:val="FF0000"/>
              </w:rPr>
              <w:t xml:space="preserve"> Beers Criteria Update Expert Panel rating for the strength of the evidence supporting each recommendation. </w:t>
            </w:r>
          </w:p>
          <w:p w14:paraId="0D6ADCD2" w14:textId="3C1CDCE2" w:rsidR="00687728" w:rsidRPr="00C81F6D" w:rsidRDefault="00687728" w:rsidP="002E2177">
            <w:pPr>
              <w:ind w:left="0" w:firstLine="0"/>
              <w:rPr>
                <w:color w:val="FF0000"/>
              </w:rPr>
            </w:pPr>
          </w:p>
          <w:p w14:paraId="1A9FA3BB" w14:textId="77777777" w:rsidR="00687728" w:rsidRDefault="00687728" w:rsidP="002E2177">
            <w:pPr>
              <w:ind w:left="0" w:firstLine="0"/>
            </w:pPr>
          </w:p>
          <w:p w14:paraId="0B388D2F" w14:textId="77777777" w:rsidR="00687728" w:rsidRPr="00687728" w:rsidRDefault="00687728" w:rsidP="002E2177">
            <w:pPr>
              <w:ind w:left="0" w:firstLine="0"/>
              <w:rPr>
                <w:color w:val="0070C0"/>
                <w:u w:val="single"/>
              </w:rPr>
            </w:pPr>
            <w:r w:rsidRPr="00687728">
              <w:rPr>
                <w:color w:val="0070C0"/>
                <w:u w:val="single"/>
              </w:rPr>
              <w:t>2016 Submission</w:t>
            </w:r>
          </w:p>
          <w:p w14:paraId="3CE56DCE" w14:textId="0A8ACDE2" w:rsidR="00687728" w:rsidRDefault="00687728" w:rsidP="00687728">
            <w:pPr>
              <w:ind w:left="0" w:firstLine="0"/>
              <w:rPr>
                <w:color w:val="0070C0"/>
              </w:rPr>
            </w:pPr>
            <w:r w:rsidRPr="00687728">
              <w:rPr>
                <w:color w:val="0070C0"/>
              </w:rPr>
              <w:t>The Beers Criteria was first published in 1991. Since that time the criteria have been regularly updated based off of the existing criteria and any new evidence published since the last update. The AGS forms an expert panel to update the Beers Criteria every few years. The panel works from the previous evidence review and then reviews any new evidence published since that last review to update the recommendations in the Beers Criteria. The 2015 review by the AGS 2015 Beers Criteria Update Expert Panel, which this measure is based on, included review of 60 systematic reviews and meta analyses, 49 randomized control trials (RTCs) and 233 observational studies and other types of publications.</w:t>
            </w:r>
          </w:p>
          <w:p w14:paraId="049424A3" w14:textId="77777777" w:rsidR="00C81F6D" w:rsidRDefault="00C81F6D" w:rsidP="00687728">
            <w:pPr>
              <w:ind w:left="0" w:firstLine="0"/>
              <w:rPr>
                <w:color w:val="0070C0"/>
              </w:rPr>
            </w:pPr>
          </w:p>
          <w:p w14:paraId="55B8DA89" w14:textId="5F199429" w:rsidR="00687728" w:rsidRPr="00C81F6D" w:rsidRDefault="00C81F6D" w:rsidP="002E2177">
            <w:pPr>
              <w:ind w:left="0" w:firstLine="0"/>
              <w:rPr>
                <w:color w:val="0070C0"/>
              </w:rPr>
            </w:pPr>
            <w:r w:rsidRPr="00C81F6D">
              <w:rPr>
                <w:color w:val="0070C0"/>
              </w:rPr>
              <w:t>Overall, the quality of the evidence for each of the medications included in the Beers Criteria recommendations is good. See table under section 1c.16 for the quality of evidence rating for the recommendation for each medication or medication class. The table also includes the AGS 2015 Beers Criteria Update Expert Panel rating for the strength of the evidence supporting each recommendation. Definitions of these ratings are listed in section 1c.21.</w:t>
            </w:r>
          </w:p>
        </w:tc>
      </w:tr>
      <w:tr w:rsidR="00AB4ECE" w14:paraId="55B8DA8D" w14:textId="77777777" w:rsidTr="002E467D">
        <w:tc>
          <w:tcPr>
            <w:tcW w:w="1795" w:type="dxa"/>
          </w:tcPr>
          <w:p w14:paraId="55B8DA8B" w14:textId="77777777" w:rsidR="00AB4ECE" w:rsidRDefault="000E5C93" w:rsidP="002E2177">
            <w:pPr>
              <w:ind w:left="0" w:firstLine="0"/>
            </w:pPr>
            <w:r>
              <w:t xml:space="preserve">Estimates of benefit and consistency across studies </w:t>
            </w:r>
          </w:p>
        </w:tc>
        <w:tc>
          <w:tcPr>
            <w:tcW w:w="7555" w:type="dxa"/>
          </w:tcPr>
          <w:p w14:paraId="708B076D" w14:textId="67A2F75C" w:rsidR="00B67A60" w:rsidRDefault="00B67A60" w:rsidP="002E2177">
            <w:pPr>
              <w:ind w:left="0" w:firstLine="0"/>
              <w:rPr>
                <w:color w:val="FF0000"/>
                <w:u w:val="single"/>
              </w:rPr>
            </w:pPr>
            <w:r w:rsidRPr="00245A8C">
              <w:rPr>
                <w:color w:val="FF0000"/>
                <w:u w:val="single"/>
              </w:rPr>
              <w:t>2020 Submissio</w:t>
            </w:r>
            <w:r w:rsidR="0040513A">
              <w:rPr>
                <w:color w:val="FF0000"/>
                <w:u w:val="single"/>
              </w:rPr>
              <w:t>n</w:t>
            </w:r>
          </w:p>
          <w:p w14:paraId="71F87004" w14:textId="7F2EE794" w:rsidR="0040513A" w:rsidRPr="0040513A" w:rsidRDefault="00DA60C2" w:rsidP="002E2177">
            <w:pPr>
              <w:ind w:left="0" w:firstLine="0"/>
              <w:rPr>
                <w:color w:val="FF0000"/>
              </w:rPr>
            </w:pPr>
            <w:r w:rsidRPr="00DA60C2">
              <w:rPr>
                <w:color w:val="FF0000"/>
              </w:rPr>
              <w:t xml:space="preserve">Each updated study contributes to the strength of the measure by updating the medication lists. The studies consistently mention similar drugs. Since the bodies of evidence all relate to the original Beers list, they maintain consistency in process. </w:t>
            </w:r>
            <w:r>
              <w:rPr>
                <w:color w:val="FF0000"/>
              </w:rPr>
              <w:t xml:space="preserve">Changes to the 2019 Beers Criteria Update </w:t>
            </w:r>
            <w:r w:rsidR="0065695B">
              <w:rPr>
                <w:color w:val="FF0000"/>
              </w:rPr>
              <w:t>improved the cla</w:t>
            </w:r>
            <w:r w:rsidR="00C03567">
              <w:rPr>
                <w:color w:val="FF0000"/>
              </w:rPr>
              <w:t xml:space="preserve">rity of the recommendations and further focused the criteria on medications </w:t>
            </w:r>
            <w:r w:rsidR="004A5994">
              <w:rPr>
                <w:color w:val="FF0000"/>
              </w:rPr>
              <w:t xml:space="preserve">that are </w:t>
            </w:r>
            <w:r w:rsidR="004A5994">
              <w:rPr>
                <w:color w:val="FF0000"/>
              </w:rPr>
              <w:lastRenderedPageBreak/>
              <w:t xml:space="preserve">particularly problematic for older adults. </w:t>
            </w:r>
            <w:r w:rsidR="0007393B">
              <w:rPr>
                <w:color w:val="FF0000"/>
              </w:rPr>
              <w:t>Thus, t</w:t>
            </w:r>
            <w:r w:rsidR="007D2BE3">
              <w:rPr>
                <w:color w:val="FF0000"/>
              </w:rPr>
              <w:t>he AGS Beers Criter</w:t>
            </w:r>
            <w:r w:rsidR="00571217">
              <w:rPr>
                <w:color w:val="FF0000"/>
              </w:rPr>
              <w:t xml:space="preserve">ia continue to be a useful clinical tool to improve medication safety in older adults. </w:t>
            </w:r>
          </w:p>
          <w:p w14:paraId="05F955EF" w14:textId="77777777" w:rsidR="00B67A60" w:rsidRDefault="00B67A60" w:rsidP="002E2177">
            <w:pPr>
              <w:ind w:left="0" w:firstLine="0"/>
            </w:pPr>
          </w:p>
          <w:p w14:paraId="2DD7DDCE" w14:textId="77777777" w:rsidR="00B67A60" w:rsidRPr="00245A8C" w:rsidRDefault="00B67A60" w:rsidP="002E2177">
            <w:pPr>
              <w:ind w:left="0" w:firstLine="0"/>
              <w:rPr>
                <w:color w:val="0070C0"/>
                <w:u w:val="single"/>
              </w:rPr>
            </w:pPr>
            <w:r w:rsidRPr="00245A8C">
              <w:rPr>
                <w:color w:val="0070C0"/>
                <w:u w:val="single"/>
              </w:rPr>
              <w:t>2016 Submission</w:t>
            </w:r>
          </w:p>
          <w:p w14:paraId="64C9D1F2" w14:textId="29740642" w:rsidR="009548CE" w:rsidRPr="009548CE" w:rsidRDefault="00F37EA0" w:rsidP="009548CE">
            <w:pPr>
              <w:ind w:left="0" w:firstLine="0"/>
              <w:rPr>
                <w:i/>
              </w:rPr>
            </w:pPr>
            <w:r w:rsidRPr="00F37EA0">
              <w:rPr>
                <w:color w:val="0070C0"/>
              </w:rPr>
              <w:t>Each updated study contributes to the strength of the measure by updating the medication lists.</w:t>
            </w:r>
            <w:r>
              <w:rPr>
                <w:color w:val="0070C0"/>
              </w:rPr>
              <w:t xml:space="preserve"> </w:t>
            </w:r>
            <w:r w:rsidR="009548CE" w:rsidRPr="009548CE">
              <w:rPr>
                <w:color w:val="0070C0"/>
              </w:rPr>
              <w:t>See section 1c.16 for a table that contains the Beers Criteria recommendations for each drug and drug class that are included in the measure.</w:t>
            </w:r>
            <w:r w:rsidR="009548CE" w:rsidRPr="009548CE">
              <w:rPr>
                <w:i/>
                <w:color w:val="0070C0"/>
              </w:rPr>
              <w:t xml:space="preserve"> </w:t>
            </w:r>
            <w:r w:rsidR="009548CE" w:rsidRPr="009548CE">
              <w:rPr>
                <w:color w:val="0070C0"/>
              </w:rPr>
              <w:t xml:space="preserve">Evidence tables containing summaries of each study supporting the recommendations can be found on the American Geriatrics Society’s website: </w:t>
            </w:r>
            <w:hyperlink r:id="rId17" w:history="1">
              <w:r w:rsidR="009548CE" w:rsidRPr="009548CE">
                <w:rPr>
                  <w:rStyle w:val="Hyperlink"/>
                </w:rPr>
                <w:t>http://www.americangeriatrics.org/</w:t>
              </w:r>
            </w:hyperlink>
            <w:r w:rsidR="009548CE" w:rsidRPr="009548CE">
              <w:rPr>
                <w:u w:val="single"/>
              </w:rPr>
              <w:t>.</w:t>
            </w:r>
          </w:p>
          <w:p w14:paraId="4B0C965C" w14:textId="77777777" w:rsidR="00B67A60" w:rsidRPr="00245A8C" w:rsidRDefault="00B67A60" w:rsidP="002E2177">
            <w:pPr>
              <w:ind w:left="0" w:firstLine="0"/>
              <w:rPr>
                <w:color w:val="0070C0"/>
              </w:rPr>
            </w:pPr>
          </w:p>
          <w:p w14:paraId="55B8DA8C" w14:textId="7D2C6ED3" w:rsidR="009548CE" w:rsidRDefault="00F37EA0" w:rsidP="002E2177">
            <w:pPr>
              <w:ind w:left="0" w:firstLine="0"/>
            </w:pPr>
            <w:r w:rsidRPr="00565DB3">
              <w:rPr>
                <w:color w:val="0070C0"/>
              </w:rPr>
              <w:t>The studies consistently mention similar drugs. Since the bodies of evidence all relate to the original Beers list, they maintain consistency in process</w:t>
            </w:r>
            <w:r>
              <w:rPr>
                <w:color w:val="0070C0"/>
              </w:rPr>
              <w:t xml:space="preserve">. </w:t>
            </w:r>
            <w:r w:rsidR="00245A8C" w:rsidRPr="00245A8C">
              <w:rPr>
                <w:color w:val="0070C0"/>
              </w:rPr>
              <w:t>See section 1c.16 for a table that contains the Beers Criteria recommendations for each drug and drug class that are included in the measure.</w:t>
            </w:r>
          </w:p>
        </w:tc>
      </w:tr>
      <w:tr w:rsidR="000E5C93" w14:paraId="55B8DA90" w14:textId="77777777" w:rsidTr="002E467D">
        <w:tc>
          <w:tcPr>
            <w:tcW w:w="1795" w:type="dxa"/>
          </w:tcPr>
          <w:p w14:paraId="55B8DA8E" w14:textId="77777777" w:rsidR="000E5C93" w:rsidRDefault="000E5C93" w:rsidP="002E2177">
            <w:pPr>
              <w:ind w:left="0" w:firstLine="0"/>
            </w:pPr>
            <w:r>
              <w:lastRenderedPageBreak/>
              <w:t>What harms were identified?</w:t>
            </w:r>
          </w:p>
        </w:tc>
        <w:tc>
          <w:tcPr>
            <w:tcW w:w="7555" w:type="dxa"/>
          </w:tcPr>
          <w:p w14:paraId="76011B7C" w14:textId="77777777" w:rsidR="00AF39A4" w:rsidRDefault="00841DA0" w:rsidP="002E2177">
            <w:pPr>
              <w:ind w:left="0" w:firstLine="0"/>
              <w:rPr>
                <w:color w:val="FF0000"/>
                <w:u w:val="single"/>
              </w:rPr>
            </w:pPr>
            <w:r w:rsidRPr="00245A8C">
              <w:rPr>
                <w:color w:val="FF0000"/>
                <w:u w:val="single"/>
              </w:rPr>
              <w:t>2020 Submission</w:t>
            </w:r>
          </w:p>
          <w:p w14:paraId="2FFC02BA" w14:textId="4D4F7E9E" w:rsidR="00B3721E" w:rsidRPr="000D104C" w:rsidRDefault="000609F9" w:rsidP="00B3721E">
            <w:pPr>
              <w:ind w:left="0" w:firstLine="0"/>
              <w:rPr>
                <w:color w:val="FF0000"/>
              </w:rPr>
            </w:pPr>
            <w:r w:rsidRPr="000609F9">
              <w:rPr>
                <w:color w:val="FF0000"/>
              </w:rPr>
              <w:t xml:space="preserve">As part of their review of the evidence, the AGS </w:t>
            </w:r>
            <w:r>
              <w:rPr>
                <w:color w:val="FF0000"/>
              </w:rPr>
              <w:t>2019</w:t>
            </w:r>
            <w:r w:rsidRPr="000609F9">
              <w:rPr>
                <w:color w:val="FF0000"/>
              </w:rPr>
              <w:t xml:space="preserve"> Beers Criteria Update Expert Panel identified subgroups of patients who should be exempt from the criteria and for whom listed medications may be appropriate. </w:t>
            </w:r>
            <w:r w:rsidR="00853C58">
              <w:rPr>
                <w:color w:val="FF0000"/>
              </w:rPr>
              <w:t>However</w:t>
            </w:r>
            <w:r w:rsidR="0020510E">
              <w:rPr>
                <w:color w:val="FF0000"/>
              </w:rPr>
              <w:t xml:space="preserve">, the </w:t>
            </w:r>
            <w:r w:rsidR="00BB7DE5">
              <w:rPr>
                <w:color w:val="FF0000"/>
              </w:rPr>
              <w:t xml:space="preserve">criteria are unable to account for </w:t>
            </w:r>
            <w:r w:rsidR="00F134DA">
              <w:rPr>
                <w:color w:val="FF0000"/>
              </w:rPr>
              <w:t xml:space="preserve">the complexity of patients and </w:t>
            </w:r>
            <w:r w:rsidR="00A378B6">
              <w:rPr>
                <w:color w:val="FF0000"/>
              </w:rPr>
              <w:t>subpopulations</w:t>
            </w:r>
            <w:r w:rsidR="000D104C">
              <w:rPr>
                <w:color w:val="FF0000"/>
              </w:rPr>
              <w:t>; t</w:t>
            </w:r>
            <w:r w:rsidR="00DD383F">
              <w:rPr>
                <w:color w:val="FF0000"/>
              </w:rPr>
              <w:t xml:space="preserve">here may </w:t>
            </w:r>
            <w:r w:rsidR="004054B5">
              <w:rPr>
                <w:color w:val="FF0000"/>
              </w:rPr>
              <w:t>be a small portion of individuals who will benefit from use of these medications</w:t>
            </w:r>
            <w:r w:rsidR="004054B5" w:rsidRPr="000D104C">
              <w:rPr>
                <w:color w:val="FF0000"/>
              </w:rPr>
              <w:t xml:space="preserve">. </w:t>
            </w:r>
            <w:r w:rsidR="00B3721E" w:rsidRPr="000D104C">
              <w:rPr>
                <w:color w:val="FF0000"/>
              </w:rPr>
              <w:t xml:space="preserve">The criteria are designed to assist providers in the prescribing of potentially harmful medications and should not be taken as strict criteria to avoid use in all patients without weighing the harms and benefits for individual cases. </w:t>
            </w:r>
          </w:p>
          <w:p w14:paraId="55B8DA8F" w14:textId="1199BDE0" w:rsidR="00B3721E" w:rsidRPr="00AF39A4" w:rsidRDefault="00B3721E" w:rsidP="002E2177">
            <w:pPr>
              <w:ind w:left="0" w:firstLine="0"/>
              <w:rPr>
                <w:color w:val="FF0000"/>
              </w:rPr>
            </w:pPr>
          </w:p>
        </w:tc>
      </w:tr>
      <w:tr w:rsidR="000E5C93" w14:paraId="55B8DA93" w14:textId="77777777" w:rsidTr="002E467D">
        <w:tc>
          <w:tcPr>
            <w:tcW w:w="1795" w:type="dxa"/>
          </w:tcPr>
          <w:p w14:paraId="55B8DA91" w14:textId="77777777" w:rsidR="000E5C93" w:rsidRDefault="000E5C93" w:rsidP="000E5C93">
            <w:pPr>
              <w:ind w:left="0" w:firstLine="0"/>
            </w:pPr>
            <w:r>
              <w:t>Identify any new studies conducted since the SR. Do the new studies change the conclusions from the SR?</w:t>
            </w:r>
          </w:p>
        </w:tc>
        <w:tc>
          <w:tcPr>
            <w:tcW w:w="7555" w:type="dxa"/>
          </w:tcPr>
          <w:p w14:paraId="52F38816" w14:textId="77777777" w:rsidR="009B66E1" w:rsidRDefault="009B66E1" w:rsidP="009B66E1">
            <w:pPr>
              <w:ind w:left="0" w:firstLine="0"/>
              <w:rPr>
                <w:color w:val="FF0000"/>
                <w:u w:val="single"/>
              </w:rPr>
            </w:pPr>
            <w:r w:rsidRPr="00245A8C">
              <w:rPr>
                <w:color w:val="FF0000"/>
                <w:u w:val="single"/>
              </w:rPr>
              <w:t>2020 Submission</w:t>
            </w:r>
          </w:p>
          <w:p w14:paraId="55B8DA92" w14:textId="15444077" w:rsidR="000E5C93" w:rsidRDefault="009B66E1" w:rsidP="002E2177">
            <w:pPr>
              <w:ind w:left="0" w:firstLine="0"/>
            </w:pPr>
            <w:r w:rsidRPr="009B66E1">
              <w:rPr>
                <w:color w:val="FF0000"/>
              </w:rPr>
              <w:t>To our knowledge there have been no published studies since the systematic review that would impact the recommendations</w:t>
            </w:r>
            <w:r w:rsidR="006B0D83">
              <w:rPr>
                <w:color w:val="FF0000"/>
              </w:rPr>
              <w:t>.</w:t>
            </w: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6" w:name="Section1a8"/>
      <w:bookmarkEnd w:id="6"/>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77777777" w:rsidR="000E5C93" w:rsidRDefault="000E5C93" w:rsidP="002E2177">
      <w:pPr>
        <w:ind w:left="0" w:firstLine="0"/>
        <w:rPr>
          <w:b/>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77777777" w:rsidR="00837121" w:rsidRPr="003B1CC5" w:rsidRDefault="00837121" w:rsidP="002E2177">
      <w:pPr>
        <w:ind w:left="0" w:firstLine="0"/>
      </w:pPr>
    </w:p>
    <w:p w14:paraId="55B8DA9D" w14:textId="77777777" w:rsidR="00837121" w:rsidRPr="001B772D" w:rsidRDefault="000E5C93" w:rsidP="002E2177">
      <w:pPr>
        <w:ind w:left="0" w:firstLine="0"/>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sectPr w:rsidR="00837121" w:rsidRPr="001B772D" w:rsidSect="00F666FC">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2AC6E2" w14:textId="77777777" w:rsidR="00B121EC" w:rsidRDefault="00B121EC" w:rsidP="007E37A5">
      <w:r>
        <w:separator/>
      </w:r>
    </w:p>
  </w:endnote>
  <w:endnote w:type="continuationSeparator" w:id="0">
    <w:p w14:paraId="64A0577C" w14:textId="77777777" w:rsidR="00B121EC" w:rsidRDefault="00B121EC" w:rsidP="007E37A5">
      <w:r>
        <w:continuationSeparator/>
      </w:r>
    </w:p>
  </w:endnote>
  <w:endnote w:type="continuationNotice" w:id="1">
    <w:p w14:paraId="6BEA712D" w14:textId="77777777" w:rsidR="00B121EC" w:rsidRDefault="00B12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8DAA3" w14:textId="34664EBC"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75285A">
      <w:rPr>
        <w:noProof/>
      </w:rPr>
      <w:t>1</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7E8BD8" w14:textId="77777777" w:rsidR="00B121EC" w:rsidRDefault="00B121EC" w:rsidP="007E37A5">
      <w:r>
        <w:separator/>
      </w:r>
    </w:p>
  </w:footnote>
  <w:footnote w:type="continuationSeparator" w:id="0">
    <w:p w14:paraId="78F88D11" w14:textId="77777777" w:rsidR="00B121EC" w:rsidRDefault="00B121EC" w:rsidP="007E37A5">
      <w:r>
        <w:continuationSeparator/>
      </w:r>
    </w:p>
  </w:footnote>
  <w:footnote w:type="continuationNotice" w:id="1">
    <w:p w14:paraId="6D0B0915" w14:textId="77777777" w:rsidR="00B121EC" w:rsidRDefault="00B121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295A9E"/>
    <w:multiLevelType w:val="hybridMultilevel"/>
    <w:tmpl w:val="5BF42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12106"/>
    <w:multiLevelType w:val="multilevel"/>
    <w:tmpl w:val="4CAA8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4D3F63"/>
    <w:multiLevelType w:val="multilevel"/>
    <w:tmpl w:val="D88E546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46A7CCA"/>
    <w:multiLevelType w:val="multilevel"/>
    <w:tmpl w:val="61C658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5BB4ED2"/>
    <w:multiLevelType w:val="multilevel"/>
    <w:tmpl w:val="4A4CD1F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39C26E8"/>
    <w:multiLevelType w:val="multilevel"/>
    <w:tmpl w:val="977CE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8097098"/>
    <w:multiLevelType w:val="multilevel"/>
    <w:tmpl w:val="8962E9F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67F3CC9"/>
    <w:multiLevelType w:val="multilevel"/>
    <w:tmpl w:val="6FBCF78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DA0325F"/>
    <w:multiLevelType w:val="multilevel"/>
    <w:tmpl w:val="6CC08D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2"/>
  </w:num>
  <w:num w:numId="3">
    <w:abstractNumId w:val="3"/>
  </w:num>
  <w:num w:numId="4">
    <w:abstractNumId w:val="4"/>
  </w:num>
  <w:num w:numId="5">
    <w:abstractNumId w:val="7"/>
  </w:num>
  <w:num w:numId="6">
    <w:abstractNumId w:val="6"/>
  </w:num>
  <w:num w:numId="7">
    <w:abstractNumId w:val="16"/>
  </w:num>
  <w:num w:numId="8">
    <w:abstractNumId w:val="15"/>
  </w:num>
  <w:num w:numId="9">
    <w:abstractNumId w:val="17"/>
  </w:num>
  <w:num w:numId="10">
    <w:abstractNumId w:val="1"/>
  </w:num>
  <w:num w:numId="11">
    <w:abstractNumId w:val="11"/>
  </w:num>
  <w:num w:numId="12">
    <w:abstractNumId w:val="0"/>
  </w:num>
  <w:num w:numId="13">
    <w:abstractNumId w:val="13"/>
  </w:num>
  <w:num w:numId="14">
    <w:abstractNumId w:val="2"/>
  </w:num>
  <w:num w:numId="15">
    <w:abstractNumId w:val="19"/>
  </w:num>
  <w:num w:numId="16">
    <w:abstractNumId w:val="5"/>
  </w:num>
  <w:num w:numId="17">
    <w:abstractNumId w:val="8"/>
  </w:num>
  <w:num w:numId="18">
    <w:abstractNumId w:val="10"/>
  </w:num>
  <w:num w:numId="19">
    <w:abstractNumId w:val="18"/>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01BCA"/>
    <w:rsid w:val="00015986"/>
    <w:rsid w:val="000160E6"/>
    <w:rsid w:val="00020F9D"/>
    <w:rsid w:val="00024526"/>
    <w:rsid w:val="0002703A"/>
    <w:rsid w:val="00030F43"/>
    <w:rsid w:val="000334BC"/>
    <w:rsid w:val="00040DCF"/>
    <w:rsid w:val="000510D4"/>
    <w:rsid w:val="0005270C"/>
    <w:rsid w:val="00052C0B"/>
    <w:rsid w:val="00053906"/>
    <w:rsid w:val="000577BC"/>
    <w:rsid w:val="000609F9"/>
    <w:rsid w:val="00061CF3"/>
    <w:rsid w:val="00063601"/>
    <w:rsid w:val="00073079"/>
    <w:rsid w:val="0007309A"/>
    <w:rsid w:val="0007393B"/>
    <w:rsid w:val="0007593F"/>
    <w:rsid w:val="0008610B"/>
    <w:rsid w:val="00095EC9"/>
    <w:rsid w:val="00096A37"/>
    <w:rsid w:val="000A0810"/>
    <w:rsid w:val="000A2A47"/>
    <w:rsid w:val="000A51E5"/>
    <w:rsid w:val="000B240B"/>
    <w:rsid w:val="000B5B2F"/>
    <w:rsid w:val="000B627F"/>
    <w:rsid w:val="000D104C"/>
    <w:rsid w:val="000D649E"/>
    <w:rsid w:val="000D6D06"/>
    <w:rsid w:val="000E5C93"/>
    <w:rsid w:val="000F4A7F"/>
    <w:rsid w:val="00100F16"/>
    <w:rsid w:val="00102DFE"/>
    <w:rsid w:val="00113345"/>
    <w:rsid w:val="00114848"/>
    <w:rsid w:val="00120934"/>
    <w:rsid w:val="00130FB1"/>
    <w:rsid w:val="00132070"/>
    <w:rsid w:val="00141875"/>
    <w:rsid w:val="0014347E"/>
    <w:rsid w:val="001446BF"/>
    <w:rsid w:val="00154438"/>
    <w:rsid w:val="001551F6"/>
    <w:rsid w:val="0015535B"/>
    <w:rsid w:val="00162036"/>
    <w:rsid w:val="001632DD"/>
    <w:rsid w:val="00175FDA"/>
    <w:rsid w:val="00176E60"/>
    <w:rsid w:val="00194913"/>
    <w:rsid w:val="00194D9A"/>
    <w:rsid w:val="001965F2"/>
    <w:rsid w:val="00197E23"/>
    <w:rsid w:val="001A196B"/>
    <w:rsid w:val="001A6D05"/>
    <w:rsid w:val="001B1438"/>
    <w:rsid w:val="001B38BF"/>
    <w:rsid w:val="001B772D"/>
    <w:rsid w:val="001C2AB9"/>
    <w:rsid w:val="001C69C6"/>
    <w:rsid w:val="001D5B5D"/>
    <w:rsid w:val="001E0C8B"/>
    <w:rsid w:val="001E6153"/>
    <w:rsid w:val="001F4F56"/>
    <w:rsid w:val="001F6EE3"/>
    <w:rsid w:val="0020012A"/>
    <w:rsid w:val="00201FF9"/>
    <w:rsid w:val="0020510E"/>
    <w:rsid w:val="00205857"/>
    <w:rsid w:val="00215CB3"/>
    <w:rsid w:val="00235ADC"/>
    <w:rsid w:val="00236F87"/>
    <w:rsid w:val="00245A8C"/>
    <w:rsid w:val="002550AC"/>
    <w:rsid w:val="00262F01"/>
    <w:rsid w:val="00265702"/>
    <w:rsid w:val="002662B2"/>
    <w:rsid w:val="002717C7"/>
    <w:rsid w:val="002875E9"/>
    <w:rsid w:val="00287EB3"/>
    <w:rsid w:val="002A47BA"/>
    <w:rsid w:val="002A6777"/>
    <w:rsid w:val="002B06BD"/>
    <w:rsid w:val="002C0E48"/>
    <w:rsid w:val="002C6F04"/>
    <w:rsid w:val="002D0204"/>
    <w:rsid w:val="002D02EE"/>
    <w:rsid w:val="002D42E1"/>
    <w:rsid w:val="002D52FF"/>
    <w:rsid w:val="002E2177"/>
    <w:rsid w:val="002E2E41"/>
    <w:rsid w:val="002E467D"/>
    <w:rsid w:val="002E78CD"/>
    <w:rsid w:val="002F20A7"/>
    <w:rsid w:val="003008F4"/>
    <w:rsid w:val="00302B1D"/>
    <w:rsid w:val="00307FA5"/>
    <w:rsid w:val="0031271D"/>
    <w:rsid w:val="00324D64"/>
    <w:rsid w:val="0034410F"/>
    <w:rsid w:val="00352B52"/>
    <w:rsid w:val="0035760D"/>
    <w:rsid w:val="00357F4C"/>
    <w:rsid w:val="00361095"/>
    <w:rsid w:val="00363ECC"/>
    <w:rsid w:val="0037379D"/>
    <w:rsid w:val="0038560E"/>
    <w:rsid w:val="0039020B"/>
    <w:rsid w:val="0039393F"/>
    <w:rsid w:val="00395263"/>
    <w:rsid w:val="003956E0"/>
    <w:rsid w:val="0039609A"/>
    <w:rsid w:val="00397500"/>
    <w:rsid w:val="003B1CC5"/>
    <w:rsid w:val="003B5FD3"/>
    <w:rsid w:val="003B65CE"/>
    <w:rsid w:val="003D6721"/>
    <w:rsid w:val="003E039E"/>
    <w:rsid w:val="0040230E"/>
    <w:rsid w:val="0040513A"/>
    <w:rsid w:val="004054B5"/>
    <w:rsid w:val="004124CB"/>
    <w:rsid w:val="0041662F"/>
    <w:rsid w:val="00422917"/>
    <w:rsid w:val="00436FC3"/>
    <w:rsid w:val="00440687"/>
    <w:rsid w:val="0044131D"/>
    <w:rsid w:val="00441ADA"/>
    <w:rsid w:val="00457444"/>
    <w:rsid w:val="00457E46"/>
    <w:rsid w:val="00470245"/>
    <w:rsid w:val="00480EC5"/>
    <w:rsid w:val="00486F20"/>
    <w:rsid w:val="004922E4"/>
    <w:rsid w:val="00496AF8"/>
    <w:rsid w:val="0049733D"/>
    <w:rsid w:val="004A575D"/>
    <w:rsid w:val="004A5994"/>
    <w:rsid w:val="004A5C9D"/>
    <w:rsid w:val="004B65C6"/>
    <w:rsid w:val="004C472D"/>
    <w:rsid w:val="004C64A1"/>
    <w:rsid w:val="004D1129"/>
    <w:rsid w:val="004D1DC7"/>
    <w:rsid w:val="004E0121"/>
    <w:rsid w:val="004E4886"/>
    <w:rsid w:val="004E7215"/>
    <w:rsid w:val="004F720C"/>
    <w:rsid w:val="004F7D7E"/>
    <w:rsid w:val="00500B0C"/>
    <w:rsid w:val="00500E7E"/>
    <w:rsid w:val="00501A1C"/>
    <w:rsid w:val="00503E90"/>
    <w:rsid w:val="00514B0E"/>
    <w:rsid w:val="00517645"/>
    <w:rsid w:val="005315A1"/>
    <w:rsid w:val="005342BB"/>
    <w:rsid w:val="00537150"/>
    <w:rsid w:val="00540984"/>
    <w:rsid w:val="00542F6D"/>
    <w:rsid w:val="00543793"/>
    <w:rsid w:val="00543851"/>
    <w:rsid w:val="00550B81"/>
    <w:rsid w:val="0055559D"/>
    <w:rsid w:val="005560F5"/>
    <w:rsid w:val="005569AE"/>
    <w:rsid w:val="00565DB3"/>
    <w:rsid w:val="00567B56"/>
    <w:rsid w:val="00571217"/>
    <w:rsid w:val="00574B18"/>
    <w:rsid w:val="00576807"/>
    <w:rsid w:val="0058426F"/>
    <w:rsid w:val="005857F8"/>
    <w:rsid w:val="00596ADA"/>
    <w:rsid w:val="005A1A4A"/>
    <w:rsid w:val="005B0D18"/>
    <w:rsid w:val="005B0E82"/>
    <w:rsid w:val="005B12C3"/>
    <w:rsid w:val="005B409D"/>
    <w:rsid w:val="005B4161"/>
    <w:rsid w:val="005C44F9"/>
    <w:rsid w:val="005D0FDB"/>
    <w:rsid w:val="005D25E9"/>
    <w:rsid w:val="005D39BF"/>
    <w:rsid w:val="005D6D59"/>
    <w:rsid w:val="005D7764"/>
    <w:rsid w:val="00602415"/>
    <w:rsid w:val="00606485"/>
    <w:rsid w:val="0061327A"/>
    <w:rsid w:val="00613562"/>
    <w:rsid w:val="00617390"/>
    <w:rsid w:val="0062122C"/>
    <w:rsid w:val="00623420"/>
    <w:rsid w:val="00627AFF"/>
    <w:rsid w:val="006329A2"/>
    <w:rsid w:val="00634768"/>
    <w:rsid w:val="0063596F"/>
    <w:rsid w:val="006441EF"/>
    <w:rsid w:val="00654697"/>
    <w:rsid w:val="0065695B"/>
    <w:rsid w:val="006569BB"/>
    <w:rsid w:val="00666499"/>
    <w:rsid w:val="006709EB"/>
    <w:rsid w:val="00672824"/>
    <w:rsid w:val="00676BD4"/>
    <w:rsid w:val="0068184A"/>
    <w:rsid w:val="006820DA"/>
    <w:rsid w:val="0068460C"/>
    <w:rsid w:val="006848DF"/>
    <w:rsid w:val="00687728"/>
    <w:rsid w:val="00697F46"/>
    <w:rsid w:val="006A0249"/>
    <w:rsid w:val="006A07C3"/>
    <w:rsid w:val="006B0D83"/>
    <w:rsid w:val="006B5C51"/>
    <w:rsid w:val="006B7495"/>
    <w:rsid w:val="006C3815"/>
    <w:rsid w:val="006C7F30"/>
    <w:rsid w:val="006D43FF"/>
    <w:rsid w:val="006E3521"/>
    <w:rsid w:val="006E6FDD"/>
    <w:rsid w:val="006E7969"/>
    <w:rsid w:val="006F4B7F"/>
    <w:rsid w:val="006F4BDF"/>
    <w:rsid w:val="006F760B"/>
    <w:rsid w:val="00701CC3"/>
    <w:rsid w:val="007024DE"/>
    <w:rsid w:val="007161A3"/>
    <w:rsid w:val="00724801"/>
    <w:rsid w:val="00734949"/>
    <w:rsid w:val="00735E8D"/>
    <w:rsid w:val="00736AEC"/>
    <w:rsid w:val="00736E0F"/>
    <w:rsid w:val="0074135C"/>
    <w:rsid w:val="007434FA"/>
    <w:rsid w:val="0074414E"/>
    <w:rsid w:val="00750F08"/>
    <w:rsid w:val="0075285A"/>
    <w:rsid w:val="007573F0"/>
    <w:rsid w:val="0076009F"/>
    <w:rsid w:val="00765156"/>
    <w:rsid w:val="00767669"/>
    <w:rsid w:val="00773485"/>
    <w:rsid w:val="00776E8F"/>
    <w:rsid w:val="00776F6D"/>
    <w:rsid w:val="0079059A"/>
    <w:rsid w:val="007A0F34"/>
    <w:rsid w:val="007A302B"/>
    <w:rsid w:val="007B4CCE"/>
    <w:rsid w:val="007B666C"/>
    <w:rsid w:val="007C0297"/>
    <w:rsid w:val="007C1887"/>
    <w:rsid w:val="007D2BE3"/>
    <w:rsid w:val="007D4775"/>
    <w:rsid w:val="007D5DC6"/>
    <w:rsid w:val="007E37A5"/>
    <w:rsid w:val="007E77BA"/>
    <w:rsid w:val="007F49D8"/>
    <w:rsid w:val="00805940"/>
    <w:rsid w:val="0081341E"/>
    <w:rsid w:val="00813830"/>
    <w:rsid w:val="0081599C"/>
    <w:rsid w:val="00824E00"/>
    <w:rsid w:val="008302CC"/>
    <w:rsid w:val="008355F2"/>
    <w:rsid w:val="00837121"/>
    <w:rsid w:val="00841DA0"/>
    <w:rsid w:val="008471E5"/>
    <w:rsid w:val="00850C35"/>
    <w:rsid w:val="00851466"/>
    <w:rsid w:val="00853C58"/>
    <w:rsid w:val="0086137A"/>
    <w:rsid w:val="00863900"/>
    <w:rsid w:val="00863E43"/>
    <w:rsid w:val="008647C3"/>
    <w:rsid w:val="008659ED"/>
    <w:rsid w:val="00866759"/>
    <w:rsid w:val="008708DC"/>
    <w:rsid w:val="00870987"/>
    <w:rsid w:val="0087564A"/>
    <w:rsid w:val="00881160"/>
    <w:rsid w:val="0088371C"/>
    <w:rsid w:val="00894567"/>
    <w:rsid w:val="00895BFF"/>
    <w:rsid w:val="008A45F3"/>
    <w:rsid w:val="008A719A"/>
    <w:rsid w:val="008B2503"/>
    <w:rsid w:val="008B51D9"/>
    <w:rsid w:val="008B652E"/>
    <w:rsid w:val="008D05B7"/>
    <w:rsid w:val="008D6F23"/>
    <w:rsid w:val="008E786D"/>
    <w:rsid w:val="008F0DB5"/>
    <w:rsid w:val="008F1DC6"/>
    <w:rsid w:val="008F6F51"/>
    <w:rsid w:val="00905C5B"/>
    <w:rsid w:val="009147EE"/>
    <w:rsid w:val="00915924"/>
    <w:rsid w:val="0091761D"/>
    <w:rsid w:val="00917766"/>
    <w:rsid w:val="00923295"/>
    <w:rsid w:val="00925F11"/>
    <w:rsid w:val="00930557"/>
    <w:rsid w:val="00935265"/>
    <w:rsid w:val="00943DFC"/>
    <w:rsid w:val="0094689F"/>
    <w:rsid w:val="009475CE"/>
    <w:rsid w:val="009477D6"/>
    <w:rsid w:val="00953ED3"/>
    <w:rsid w:val="009548CE"/>
    <w:rsid w:val="00954A9C"/>
    <w:rsid w:val="00956AD4"/>
    <w:rsid w:val="00965FF6"/>
    <w:rsid w:val="00967F37"/>
    <w:rsid w:val="009846D6"/>
    <w:rsid w:val="0098657F"/>
    <w:rsid w:val="00987306"/>
    <w:rsid w:val="009A161D"/>
    <w:rsid w:val="009A3236"/>
    <w:rsid w:val="009A45EC"/>
    <w:rsid w:val="009B3DAA"/>
    <w:rsid w:val="009B5A93"/>
    <w:rsid w:val="009B5BEA"/>
    <w:rsid w:val="009B66E1"/>
    <w:rsid w:val="009B71E2"/>
    <w:rsid w:val="009C291F"/>
    <w:rsid w:val="009D317E"/>
    <w:rsid w:val="009D51CA"/>
    <w:rsid w:val="009D681D"/>
    <w:rsid w:val="009E2069"/>
    <w:rsid w:val="009E2764"/>
    <w:rsid w:val="009E37BD"/>
    <w:rsid w:val="009E6757"/>
    <w:rsid w:val="009E6B86"/>
    <w:rsid w:val="009F2E2D"/>
    <w:rsid w:val="00A02C91"/>
    <w:rsid w:val="00A032A3"/>
    <w:rsid w:val="00A03301"/>
    <w:rsid w:val="00A07A0E"/>
    <w:rsid w:val="00A10ABD"/>
    <w:rsid w:val="00A12762"/>
    <w:rsid w:val="00A13867"/>
    <w:rsid w:val="00A21FD7"/>
    <w:rsid w:val="00A26FED"/>
    <w:rsid w:val="00A35572"/>
    <w:rsid w:val="00A378B6"/>
    <w:rsid w:val="00A421D4"/>
    <w:rsid w:val="00A44FF0"/>
    <w:rsid w:val="00A50E55"/>
    <w:rsid w:val="00A67EB1"/>
    <w:rsid w:val="00A7039B"/>
    <w:rsid w:val="00A72E7D"/>
    <w:rsid w:val="00A73607"/>
    <w:rsid w:val="00A9011D"/>
    <w:rsid w:val="00A9049B"/>
    <w:rsid w:val="00A91A47"/>
    <w:rsid w:val="00A95D2B"/>
    <w:rsid w:val="00AA3F61"/>
    <w:rsid w:val="00AA5587"/>
    <w:rsid w:val="00AB4ECE"/>
    <w:rsid w:val="00AC1E53"/>
    <w:rsid w:val="00AD79C8"/>
    <w:rsid w:val="00AE32A4"/>
    <w:rsid w:val="00AE6CE0"/>
    <w:rsid w:val="00AF39A4"/>
    <w:rsid w:val="00AF5B28"/>
    <w:rsid w:val="00B0040E"/>
    <w:rsid w:val="00B01390"/>
    <w:rsid w:val="00B058A6"/>
    <w:rsid w:val="00B11768"/>
    <w:rsid w:val="00B117D0"/>
    <w:rsid w:val="00B121EC"/>
    <w:rsid w:val="00B13998"/>
    <w:rsid w:val="00B35C5F"/>
    <w:rsid w:val="00B3721E"/>
    <w:rsid w:val="00B439DD"/>
    <w:rsid w:val="00B52E0F"/>
    <w:rsid w:val="00B61FF8"/>
    <w:rsid w:val="00B67A60"/>
    <w:rsid w:val="00B74629"/>
    <w:rsid w:val="00B91F58"/>
    <w:rsid w:val="00BA579E"/>
    <w:rsid w:val="00BB4851"/>
    <w:rsid w:val="00BB7DE5"/>
    <w:rsid w:val="00BC5866"/>
    <w:rsid w:val="00BD7CC5"/>
    <w:rsid w:val="00BE2295"/>
    <w:rsid w:val="00BE6373"/>
    <w:rsid w:val="00BF533A"/>
    <w:rsid w:val="00C03567"/>
    <w:rsid w:val="00C10BDD"/>
    <w:rsid w:val="00C11384"/>
    <w:rsid w:val="00C2011A"/>
    <w:rsid w:val="00C33B36"/>
    <w:rsid w:val="00C41794"/>
    <w:rsid w:val="00C45DC5"/>
    <w:rsid w:val="00C46677"/>
    <w:rsid w:val="00C51054"/>
    <w:rsid w:val="00C5180E"/>
    <w:rsid w:val="00C54E40"/>
    <w:rsid w:val="00C55F56"/>
    <w:rsid w:val="00C57BA4"/>
    <w:rsid w:val="00C613EB"/>
    <w:rsid w:val="00C71C1A"/>
    <w:rsid w:val="00C76D0E"/>
    <w:rsid w:val="00C81F6D"/>
    <w:rsid w:val="00C82534"/>
    <w:rsid w:val="00C84623"/>
    <w:rsid w:val="00C85F05"/>
    <w:rsid w:val="00C87387"/>
    <w:rsid w:val="00C93F64"/>
    <w:rsid w:val="00CA06B4"/>
    <w:rsid w:val="00CB06C9"/>
    <w:rsid w:val="00CB06F3"/>
    <w:rsid w:val="00CB1E41"/>
    <w:rsid w:val="00CB271C"/>
    <w:rsid w:val="00CB388E"/>
    <w:rsid w:val="00CB59DD"/>
    <w:rsid w:val="00CC0F87"/>
    <w:rsid w:val="00CD6CD4"/>
    <w:rsid w:val="00CE0593"/>
    <w:rsid w:val="00CE4F96"/>
    <w:rsid w:val="00CF0AB1"/>
    <w:rsid w:val="00CF3DAC"/>
    <w:rsid w:val="00CF4B9B"/>
    <w:rsid w:val="00CF55E6"/>
    <w:rsid w:val="00CF772F"/>
    <w:rsid w:val="00D048DB"/>
    <w:rsid w:val="00D069C2"/>
    <w:rsid w:val="00D119B8"/>
    <w:rsid w:val="00D14AB6"/>
    <w:rsid w:val="00D14F0B"/>
    <w:rsid w:val="00D178CA"/>
    <w:rsid w:val="00D24EA2"/>
    <w:rsid w:val="00D31AA6"/>
    <w:rsid w:val="00D3311C"/>
    <w:rsid w:val="00D458DB"/>
    <w:rsid w:val="00D53405"/>
    <w:rsid w:val="00D5457B"/>
    <w:rsid w:val="00D72995"/>
    <w:rsid w:val="00D73685"/>
    <w:rsid w:val="00D74D33"/>
    <w:rsid w:val="00DA60C2"/>
    <w:rsid w:val="00DA7FA2"/>
    <w:rsid w:val="00DC2D8D"/>
    <w:rsid w:val="00DC7F67"/>
    <w:rsid w:val="00DD383F"/>
    <w:rsid w:val="00DE1F5D"/>
    <w:rsid w:val="00DE36FB"/>
    <w:rsid w:val="00DE50D8"/>
    <w:rsid w:val="00DF278A"/>
    <w:rsid w:val="00DF7E1C"/>
    <w:rsid w:val="00E11F79"/>
    <w:rsid w:val="00E1664B"/>
    <w:rsid w:val="00E30D12"/>
    <w:rsid w:val="00E30EC7"/>
    <w:rsid w:val="00E3394E"/>
    <w:rsid w:val="00E35241"/>
    <w:rsid w:val="00E41417"/>
    <w:rsid w:val="00E42FAA"/>
    <w:rsid w:val="00E4429C"/>
    <w:rsid w:val="00E5140E"/>
    <w:rsid w:val="00E52EF1"/>
    <w:rsid w:val="00E536D3"/>
    <w:rsid w:val="00E55B34"/>
    <w:rsid w:val="00E56F02"/>
    <w:rsid w:val="00E57BE2"/>
    <w:rsid w:val="00E62A95"/>
    <w:rsid w:val="00E746A2"/>
    <w:rsid w:val="00E76C77"/>
    <w:rsid w:val="00E90D06"/>
    <w:rsid w:val="00E97E59"/>
    <w:rsid w:val="00EA79C9"/>
    <w:rsid w:val="00EB4CF7"/>
    <w:rsid w:val="00EB66AC"/>
    <w:rsid w:val="00EC00AE"/>
    <w:rsid w:val="00EC1225"/>
    <w:rsid w:val="00EC2247"/>
    <w:rsid w:val="00EC7B29"/>
    <w:rsid w:val="00ED1D07"/>
    <w:rsid w:val="00ED2173"/>
    <w:rsid w:val="00ED299A"/>
    <w:rsid w:val="00ED5D73"/>
    <w:rsid w:val="00ED6CBA"/>
    <w:rsid w:val="00EE1F87"/>
    <w:rsid w:val="00EE3931"/>
    <w:rsid w:val="00EE5AF6"/>
    <w:rsid w:val="00EF2CEF"/>
    <w:rsid w:val="00EF696E"/>
    <w:rsid w:val="00F1092D"/>
    <w:rsid w:val="00F11578"/>
    <w:rsid w:val="00F134DA"/>
    <w:rsid w:val="00F1390F"/>
    <w:rsid w:val="00F24726"/>
    <w:rsid w:val="00F335A4"/>
    <w:rsid w:val="00F33AEB"/>
    <w:rsid w:val="00F37EA0"/>
    <w:rsid w:val="00F42C20"/>
    <w:rsid w:val="00F431D8"/>
    <w:rsid w:val="00F63E8D"/>
    <w:rsid w:val="00F666FC"/>
    <w:rsid w:val="00F67706"/>
    <w:rsid w:val="00F7392C"/>
    <w:rsid w:val="00F758BE"/>
    <w:rsid w:val="00F817BC"/>
    <w:rsid w:val="00F81FE3"/>
    <w:rsid w:val="00F90F82"/>
    <w:rsid w:val="00F92D75"/>
    <w:rsid w:val="00F97327"/>
    <w:rsid w:val="00FA1572"/>
    <w:rsid w:val="00FA296F"/>
    <w:rsid w:val="00FA2D6E"/>
    <w:rsid w:val="00FA7323"/>
    <w:rsid w:val="00FB1299"/>
    <w:rsid w:val="00FC32D3"/>
    <w:rsid w:val="00FC402C"/>
    <w:rsid w:val="00FC6E3D"/>
    <w:rsid w:val="00FD4D82"/>
    <w:rsid w:val="00FE57AE"/>
    <w:rsid w:val="00FF0870"/>
    <w:rsid w:val="00FF2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5B8DA2C"/>
  <w15:docId w15:val="{47AE608E-2501-47CE-B363-9E40CE330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styleId="UnresolvedMention">
    <w:name w:val="Unresolved Mention"/>
    <w:basedOn w:val="DefaultParagraphFont"/>
    <w:uiPriority w:val="99"/>
    <w:semiHidden/>
    <w:unhideWhenUsed/>
    <w:rsid w:val="009E2069"/>
    <w:rPr>
      <w:color w:val="605E5C"/>
      <w:shd w:val="clear" w:color="auto" w:fill="E1DFDD"/>
    </w:rPr>
  </w:style>
  <w:style w:type="paragraph" w:customStyle="1" w:styleId="paragraph">
    <w:name w:val="paragraph"/>
    <w:basedOn w:val="Normal"/>
    <w:rsid w:val="00102DFE"/>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normaltextrun">
    <w:name w:val="normaltextrun"/>
    <w:basedOn w:val="DefaultParagraphFont"/>
    <w:rsid w:val="00102DFE"/>
  </w:style>
  <w:style w:type="character" w:customStyle="1" w:styleId="eop">
    <w:name w:val="eop"/>
    <w:basedOn w:val="DefaultParagraphFont"/>
    <w:rsid w:val="00102D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096892">
      <w:bodyDiv w:val="1"/>
      <w:marLeft w:val="0"/>
      <w:marRight w:val="0"/>
      <w:marTop w:val="0"/>
      <w:marBottom w:val="0"/>
      <w:divBdr>
        <w:top w:val="none" w:sz="0" w:space="0" w:color="auto"/>
        <w:left w:val="none" w:sz="0" w:space="0" w:color="auto"/>
        <w:bottom w:val="none" w:sz="0" w:space="0" w:color="auto"/>
        <w:right w:val="none" w:sz="0" w:space="0" w:color="auto"/>
      </w:divBdr>
    </w:div>
    <w:div w:id="1360157556">
      <w:bodyDiv w:val="1"/>
      <w:marLeft w:val="0"/>
      <w:marRight w:val="0"/>
      <w:marTop w:val="0"/>
      <w:marBottom w:val="0"/>
      <w:divBdr>
        <w:top w:val="none" w:sz="0" w:space="0" w:color="auto"/>
        <w:left w:val="none" w:sz="0" w:space="0" w:color="auto"/>
        <w:bottom w:val="none" w:sz="0" w:space="0" w:color="auto"/>
        <w:right w:val="none" w:sz="0" w:space="0" w:color="auto"/>
      </w:divBdr>
      <w:divsChild>
        <w:div w:id="20059957">
          <w:marLeft w:val="0"/>
          <w:marRight w:val="0"/>
          <w:marTop w:val="0"/>
          <w:marBottom w:val="0"/>
          <w:divBdr>
            <w:top w:val="none" w:sz="0" w:space="0" w:color="auto"/>
            <w:left w:val="none" w:sz="0" w:space="0" w:color="auto"/>
            <w:bottom w:val="none" w:sz="0" w:space="0" w:color="auto"/>
            <w:right w:val="none" w:sz="0" w:space="0" w:color="auto"/>
          </w:divBdr>
        </w:div>
        <w:div w:id="1024093982">
          <w:marLeft w:val="0"/>
          <w:marRight w:val="0"/>
          <w:marTop w:val="0"/>
          <w:marBottom w:val="0"/>
          <w:divBdr>
            <w:top w:val="none" w:sz="0" w:space="0" w:color="auto"/>
            <w:left w:val="none" w:sz="0" w:space="0" w:color="auto"/>
            <w:bottom w:val="none" w:sz="0" w:space="0" w:color="auto"/>
            <w:right w:val="none" w:sz="0" w:space="0" w:color="auto"/>
          </w:divBdr>
        </w:div>
      </w:divsChild>
    </w:div>
    <w:div w:id="200346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yperlink" Target="http://www.americangeriatrics.org/" TargetMode="Externa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www.americangeriatrics.org/"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Arial"/>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60241"/>
    <w:rsid w:val="001F47A0"/>
    <w:rsid w:val="002B5F47"/>
    <w:rsid w:val="003A1E4B"/>
    <w:rsid w:val="00455EB5"/>
    <w:rsid w:val="00461C1C"/>
    <w:rsid w:val="004E2027"/>
    <w:rsid w:val="005F21F3"/>
    <w:rsid w:val="00627778"/>
    <w:rsid w:val="008F6A9B"/>
    <w:rsid w:val="00916F35"/>
    <w:rsid w:val="00A77B15"/>
    <w:rsid w:val="00BE0F2D"/>
    <w:rsid w:val="00C03643"/>
    <w:rsid w:val="00C2797F"/>
    <w:rsid w:val="00C80225"/>
    <w:rsid w:val="00CB21F7"/>
    <w:rsid w:val="00D228C9"/>
    <w:rsid w:val="00D2552B"/>
    <w:rsid w:val="00D75B64"/>
    <w:rsid w:val="00DB5324"/>
    <w:rsid w:val="00E74C2F"/>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8" ma:contentTypeDescription="Create a new document." ma:contentTypeScope="" ma:versionID="40f0f5d9b073a67672677cdbf390ce3b">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5bcb151596019b85dc59b2e0546d91e0"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64615f93-1352-4a7e-b7a8-3b07e39b2009">
      <UserInfo>
        <DisplayName>Pamela Lighter</DisplayName>
        <AccountId>731</AccountId>
        <AccountType/>
      </UserInfo>
      <UserInfo>
        <DisplayName>Rachel Harrington</DisplayName>
        <AccountId>2831</AccountId>
        <AccountType/>
      </UserInfo>
      <UserInfo>
        <DisplayName>Marleen Jones-Pool</DisplayName>
        <AccountId>3055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1904623E-B10A-4C78-9023-EB52A5133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2CDBE7-7F08-4F52-B308-EE351D989842}">
  <ds:schemaRefs>
    <ds:schemaRef ds:uri="64615f93-1352-4a7e-b7a8-3b07e39b2009"/>
    <ds:schemaRef ds:uri="http://purl.org/dc/dcmitype/"/>
    <ds:schemaRef ds:uri="http://purl.org/dc/terms/"/>
    <ds:schemaRef ds:uri="http://schemas.microsoft.com/office/2006/documentManagement/types"/>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76bce2c7-2e52-4525-a6e0-24f8a73e605d"/>
    <ds:schemaRef ds:uri="http://purl.org/dc/elements/1.1/"/>
  </ds:schemaRefs>
</ds:datastoreItem>
</file>

<file path=customXml/itemProps4.xml><?xml version="1.0" encoding="utf-8"?>
<ds:datastoreItem xmlns:ds="http://schemas.openxmlformats.org/officeDocument/2006/customXml" ds:itemID="{00630461-92AC-4743-BBDB-1641750C4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6143</Words>
  <Characters>35020</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41081</CharactersWithSpaces>
  <SharedDoc>false</SharedDoc>
  <HLinks>
    <vt:vector size="72" baseType="variant">
      <vt:variant>
        <vt:i4>3211304</vt:i4>
      </vt:variant>
      <vt:variant>
        <vt:i4>33</vt:i4>
      </vt:variant>
      <vt:variant>
        <vt:i4>0</vt:i4>
      </vt:variant>
      <vt:variant>
        <vt:i4>5</vt:i4>
      </vt:variant>
      <vt:variant>
        <vt:lpwstr>http://www.americangeriatrics.org/</vt:lpwstr>
      </vt:variant>
      <vt:variant>
        <vt:lpwstr/>
      </vt:variant>
      <vt:variant>
        <vt:i4>3211304</vt:i4>
      </vt:variant>
      <vt:variant>
        <vt:i4>30</vt:i4>
      </vt:variant>
      <vt:variant>
        <vt:i4>0</vt:i4>
      </vt:variant>
      <vt:variant>
        <vt:i4>5</vt:i4>
      </vt:variant>
      <vt:variant>
        <vt:lpwstr>http://www.americangeriatrics.org/</vt:lpwstr>
      </vt:variant>
      <vt:variant>
        <vt:lpwstr/>
      </vt:variant>
      <vt:variant>
        <vt:i4>6619257</vt:i4>
      </vt:variant>
      <vt:variant>
        <vt:i4>27</vt:i4>
      </vt:variant>
      <vt:variant>
        <vt:i4>0</vt:i4>
      </vt:variant>
      <vt:variant>
        <vt:i4>5</vt:i4>
      </vt:variant>
      <vt:variant>
        <vt:lpwstr>http://www.aqaalliance.org/files/PrinciplesofEfficiencyMeasurementApril2006.doc</vt:lpwstr>
      </vt:variant>
      <vt:variant>
        <vt:lpwstr/>
      </vt:variant>
      <vt:variant>
        <vt:i4>4587580</vt:i4>
      </vt:variant>
      <vt:variant>
        <vt:i4>24</vt:i4>
      </vt:variant>
      <vt:variant>
        <vt:i4>0</vt:i4>
      </vt:variant>
      <vt:variant>
        <vt:i4>5</vt:i4>
      </vt:variant>
      <vt:variant>
        <vt:lpwstr>http://www.qualityforum.org/Publications/2010/01/Measurement_Framework__Evaluating_Efficiency_Across_Patient-Focused_Episodes_of_Care.aspx</vt:lpwstr>
      </vt:variant>
      <vt:variant>
        <vt:lpwstr/>
      </vt:variant>
      <vt:variant>
        <vt:i4>5373974</vt:i4>
      </vt:variant>
      <vt:variant>
        <vt:i4>21</vt:i4>
      </vt:variant>
      <vt:variant>
        <vt:i4>0</vt:i4>
      </vt:variant>
      <vt:variant>
        <vt:i4>5</vt:i4>
      </vt:variant>
      <vt:variant>
        <vt:lpwstr>http://www.gradeworkinggroup.org/</vt:lpwstr>
      </vt:variant>
      <vt:variant>
        <vt:lpwstr/>
      </vt:variant>
      <vt:variant>
        <vt:i4>655386</vt:i4>
      </vt:variant>
      <vt:variant>
        <vt:i4>18</vt:i4>
      </vt:variant>
      <vt:variant>
        <vt:i4>0</vt:i4>
      </vt:variant>
      <vt:variant>
        <vt:i4>5</vt:i4>
      </vt:variant>
      <vt:variant>
        <vt:lpwstr/>
      </vt:variant>
      <vt:variant>
        <vt:lpwstr>Note6</vt:lpwstr>
      </vt:variant>
      <vt:variant>
        <vt:i4>655386</vt:i4>
      </vt:variant>
      <vt:variant>
        <vt:i4>15</vt:i4>
      </vt:variant>
      <vt:variant>
        <vt:i4>0</vt:i4>
      </vt:variant>
      <vt:variant>
        <vt:i4>5</vt:i4>
      </vt:variant>
      <vt:variant>
        <vt:lpwstr/>
      </vt:variant>
      <vt:variant>
        <vt:lpwstr>Note4</vt:lpwstr>
      </vt:variant>
      <vt:variant>
        <vt:i4>655386</vt:i4>
      </vt:variant>
      <vt:variant>
        <vt:i4>12</vt:i4>
      </vt:variant>
      <vt:variant>
        <vt:i4>0</vt:i4>
      </vt:variant>
      <vt:variant>
        <vt:i4>5</vt:i4>
      </vt:variant>
      <vt:variant>
        <vt:lpwstr/>
      </vt:variant>
      <vt:variant>
        <vt:lpwstr>Note4</vt:lpwstr>
      </vt:variant>
      <vt:variant>
        <vt:i4>655386</vt:i4>
      </vt:variant>
      <vt:variant>
        <vt:i4>9</vt:i4>
      </vt:variant>
      <vt:variant>
        <vt:i4>0</vt:i4>
      </vt:variant>
      <vt:variant>
        <vt:i4>5</vt:i4>
      </vt:variant>
      <vt:variant>
        <vt:lpwstr/>
      </vt:variant>
      <vt:variant>
        <vt:lpwstr>Note5</vt:lpwstr>
      </vt:variant>
      <vt:variant>
        <vt:i4>655386</vt:i4>
      </vt:variant>
      <vt:variant>
        <vt:i4>6</vt:i4>
      </vt:variant>
      <vt:variant>
        <vt:i4>0</vt:i4>
      </vt:variant>
      <vt:variant>
        <vt:i4>5</vt:i4>
      </vt:variant>
      <vt:variant>
        <vt:lpwstr/>
      </vt:variant>
      <vt:variant>
        <vt:lpwstr>Note4</vt:lpwstr>
      </vt:variant>
      <vt:variant>
        <vt:i4>655386</vt:i4>
      </vt:variant>
      <vt:variant>
        <vt:i4>3</vt:i4>
      </vt:variant>
      <vt:variant>
        <vt:i4>0</vt:i4>
      </vt:variant>
      <vt:variant>
        <vt:i4>5</vt:i4>
      </vt:variant>
      <vt:variant>
        <vt:lpwstr/>
      </vt:variant>
      <vt:variant>
        <vt:lpwstr>Note3</vt:lpwstr>
      </vt:variant>
      <vt:variant>
        <vt:i4>5177423</vt:i4>
      </vt:variant>
      <vt:variant>
        <vt:i4>0</vt:i4>
      </vt:variant>
      <vt:variant>
        <vt:i4>0</vt:i4>
      </vt:variant>
      <vt:variant>
        <vt:i4>5</vt:i4>
      </vt:variant>
      <vt:variant>
        <vt:lpwstr>http://www.qualityforum.org/Measuring_Performance/Submitting_Standards.aspx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Pace</dc:creator>
  <cp:keywords/>
  <cp:lastModifiedBy>Brittany Wade</cp:lastModifiedBy>
  <cp:revision>2</cp:revision>
  <dcterms:created xsi:type="dcterms:W3CDTF">2020-11-19T16:18:00Z</dcterms:created>
  <dcterms:modified xsi:type="dcterms:W3CDTF">2020-11-19T16:18:00Z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