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A25024" w:rsidRDefault="00105D8B" w:rsidP="00105D8B">
      <w:pPr>
        <w:contextualSpacing/>
        <w:rPr>
          <w:rFonts w:cstheme="minorHAnsi"/>
          <w:noProof/>
        </w:rPr>
      </w:pPr>
      <w:r w:rsidRPr="00A25024">
        <w:rPr>
          <w:rFonts w:cstheme="minorHAnsi"/>
          <w:b/>
          <w:noProof/>
        </w:rPr>
        <w:t>Measure Title</w:t>
      </w:r>
      <w:r w:rsidR="00AB021A">
        <w:rPr>
          <w:rFonts w:cstheme="minorHAnsi"/>
          <w:noProof/>
        </w:rPr>
        <w:t>:</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AB021A">
            <w:rPr>
              <w:rStyle w:val="Style1"/>
              <w:rFonts w:cstheme="minorHAnsi"/>
            </w:rPr>
            <w:t>Prevention of Catheter-Related Bloodstream Infections (CRBSI) – Central Venous Catheter (CVC)</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1-06T00:00:00Z">
            <w:dateFormat w:val="M/d/yyyy"/>
            <w:lid w:val="en-US"/>
            <w:storeMappedDataAs w:val="dateTime"/>
            <w:calendar w:val="gregorian"/>
          </w:date>
        </w:sdtPr>
        <w:sdtEndPr>
          <w:rPr>
            <w:rStyle w:val="DefaultParagraphFont"/>
            <w:noProof/>
            <w:color w:val="auto"/>
            <w:u w:val="none"/>
          </w:rPr>
        </w:sdtEndPr>
        <w:sdtContent>
          <w:r w:rsidR="00B86EFC">
            <w:rPr>
              <w:rStyle w:val="Style2"/>
              <w:rFonts w:cstheme="minorHAnsi"/>
            </w:rPr>
            <w:t>1/6/2014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B86EFC"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B86EFC"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B86EFC"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B86EFC"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AB021A">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B86EFC"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B86EF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0"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If patient preference (e.g., informed decision</w:t>
            </w:r>
            <w:r w:rsidR="005C6BD5">
              <w:rPr>
                <w:rFonts w:cstheme="minorHAnsi"/>
              </w:rPr>
              <w:t xml:space="preserve"> </w:t>
            </w:r>
            <w:r w:rsidRPr="004853A0">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w:t>
            </w:r>
            <w:r w:rsidRPr="004853A0">
              <w:rPr>
                <w:rFonts w:cstheme="minorHAnsi"/>
              </w:rPr>
              <w:lastRenderedPageBreak/>
              <w:t xml:space="preserve">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r w:rsidRPr="004853A0">
              <w:rPr>
                <w:rFonts w:cstheme="minorHAnsi"/>
              </w:rPr>
              <w:t xml:space="preserve">rationale/data support no risk adjustment/ stratification. </w:t>
            </w:r>
          </w:p>
          <w:p w:rsidR="00145149" w:rsidRPr="004853A0" w:rsidRDefault="00145149" w:rsidP="00145149">
            <w:pPr>
              <w:rPr>
                <w:rFonts w:cstheme="minorHAnsi"/>
                <w:b/>
                <w:bCs/>
              </w:rPr>
            </w:pPr>
          </w:p>
          <w:bookmarkEnd w:id="1"/>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r w:rsidRPr="004853A0">
              <w:rPr>
                <w:rFonts w:cstheme="minorHAnsi"/>
              </w:rPr>
              <w:t xml:space="preserve">there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AB021A">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AB021A">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582C0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AB021A">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B86EF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B86EFC"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p>
    <w:p w:rsidR="004A05BD" w:rsidRDefault="004A05BD" w:rsidP="00DB3627">
      <w:pPr>
        <w:autoSpaceDE w:val="0"/>
        <w:autoSpaceDN w:val="0"/>
        <w:adjustRightInd w:val="0"/>
        <w:spacing w:after="0" w:line="240" w:lineRule="auto"/>
        <w:rPr>
          <w:rFonts w:cstheme="minorHAnsi"/>
          <w:bCs/>
          <w:highlight w:val="yellow"/>
        </w:rPr>
      </w:pPr>
    </w:p>
    <w:p w:rsidR="004A05BD" w:rsidRPr="00812B11" w:rsidRDefault="004A05BD" w:rsidP="00DB3627">
      <w:pPr>
        <w:autoSpaceDE w:val="0"/>
        <w:autoSpaceDN w:val="0"/>
        <w:adjustRightInd w:val="0"/>
        <w:spacing w:after="0" w:line="240" w:lineRule="auto"/>
        <w:rPr>
          <w:rFonts w:cstheme="minorHAnsi"/>
          <w:bCs/>
        </w:rPr>
      </w:pPr>
      <w:r w:rsidRPr="00812B11">
        <w:rPr>
          <w:rFonts w:cstheme="minorHAnsi"/>
          <w:bCs/>
        </w:rPr>
        <w:t>Medicare</w:t>
      </w:r>
      <w:r w:rsidR="00CF1B1C" w:rsidRPr="00812B11">
        <w:rPr>
          <w:rFonts w:cstheme="minorHAnsi"/>
          <w:bCs/>
        </w:rPr>
        <w:t xml:space="preserve"> </w:t>
      </w:r>
      <w:r w:rsidRPr="00812B11">
        <w:rPr>
          <w:rFonts w:cstheme="minorHAnsi"/>
          <w:bCs/>
        </w:rPr>
        <w:t>Limited Data Set</w:t>
      </w:r>
      <w:r w:rsidR="00CF1B1C" w:rsidRPr="00812B11">
        <w:rPr>
          <w:rFonts w:cstheme="minorHAnsi"/>
          <w:bCs/>
        </w:rPr>
        <w:t xml:space="preserve"> Carrier SAF – 5% File</w:t>
      </w:r>
    </w:p>
    <w:p w:rsidR="004A05BD" w:rsidRPr="004A05BD" w:rsidRDefault="004A05BD" w:rsidP="00DB3627">
      <w:pPr>
        <w:autoSpaceDE w:val="0"/>
        <w:autoSpaceDN w:val="0"/>
        <w:adjustRightInd w:val="0"/>
        <w:spacing w:after="0" w:line="240" w:lineRule="auto"/>
        <w:rPr>
          <w:rFonts w:cstheme="minorHAnsi"/>
          <w:b/>
          <w:bCs/>
        </w:rPr>
      </w:pPr>
      <w:r w:rsidRPr="00812B11">
        <w:rPr>
          <w:rFonts w:cstheme="minorHAnsi"/>
          <w:bCs/>
        </w:rPr>
        <w:t xml:space="preserve">Anesthesia Quality Institute (AQI) National Anesthesia Clinical Outcomes Registry </w:t>
      </w:r>
      <w:r w:rsidR="00456C23">
        <w:rPr>
          <w:rFonts w:cstheme="minorHAnsi"/>
          <w:bCs/>
        </w:rPr>
        <w:t>(NACOR)</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cstheme="minorHAnsi"/>
            <w:bCs/>
          </w:rPr>
          <w:id w:val="950514773"/>
          <w:text/>
        </w:sdtPr>
        <w:sdtEndPr/>
        <w:sdtContent>
          <w:r w:rsidR="00CA4CE2" w:rsidRPr="00812B11" w:rsidDel="00186B16">
            <w:rPr>
              <w:rFonts w:cstheme="minorHAnsi"/>
              <w:bCs/>
            </w:rPr>
            <w:t>Medicare Limited Data Set Carrier SAF – 5% File</w:t>
          </w:r>
          <w:r w:rsidR="00812B11" w:rsidDel="00186B16">
            <w:rPr>
              <w:rFonts w:cstheme="minorHAnsi"/>
              <w:bCs/>
            </w:rPr>
            <w:t xml:space="preserve"> (2008-2012</w:t>
          </w:r>
          <w:r w:rsidR="00CA4CE2" w:rsidRPr="00812B11" w:rsidDel="00186B16">
            <w:rPr>
              <w:rFonts w:cstheme="minorHAnsi"/>
              <w:bCs/>
            </w:rPr>
            <w:t>); Anesthesia Quality Institute (AQI) National Anesthesia Clinical Outcomes Registry (2010-2013)</w:t>
          </w:r>
        </w:sdtContent>
      </w:sdt>
    </w:p>
    <w:p w:rsidR="00AB021A" w:rsidRDefault="00AB021A"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AB021A">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AB021A">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AB021A">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AB021A">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AF47F1">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B86EF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CF1B1C"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w:t>
      </w:r>
      <w:proofErr w:type="gramStart"/>
      <w:r w:rsidR="00DA7277" w:rsidRPr="00A25024">
        <w:rPr>
          <w:rFonts w:cstheme="minorHAnsi"/>
          <w:bCs/>
          <w:i/>
        </w:rPr>
        <w:t>type</w:t>
      </w:r>
      <w:proofErr w:type="gramEnd"/>
      <w:r w:rsidR="00DA7277" w:rsidRPr="00A25024">
        <w:rPr>
          <w:rFonts w:cstheme="minorHAnsi"/>
          <w:bCs/>
          <w:i/>
        </w:rPr>
        <w:t>)</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CF1B1C">
        <w:rPr>
          <w:rFonts w:cstheme="minorHAnsi"/>
          <w:bCs/>
        </w:rPr>
        <w:t>)</w:t>
      </w:r>
    </w:p>
    <w:p w:rsidR="00802DEC" w:rsidRDefault="00802DEC" w:rsidP="00DB3627">
      <w:pPr>
        <w:autoSpaceDE w:val="0"/>
        <w:autoSpaceDN w:val="0"/>
        <w:adjustRightInd w:val="0"/>
        <w:spacing w:after="0" w:line="240" w:lineRule="auto"/>
        <w:rPr>
          <w:rFonts w:cstheme="minorHAnsi"/>
          <w:bCs/>
        </w:rPr>
      </w:pPr>
    </w:p>
    <w:p w:rsidR="007F32D1" w:rsidRDefault="007F32D1" w:rsidP="00DB3627">
      <w:pPr>
        <w:autoSpaceDE w:val="0"/>
        <w:autoSpaceDN w:val="0"/>
        <w:adjustRightInd w:val="0"/>
        <w:spacing w:after="0" w:line="240" w:lineRule="auto"/>
        <w:rPr>
          <w:rFonts w:cstheme="minorHAnsi"/>
          <w:bCs/>
        </w:rPr>
      </w:pPr>
      <w:r>
        <w:rPr>
          <w:rFonts w:cstheme="minorHAnsi"/>
          <w:bCs/>
        </w:rPr>
        <w:t>The National Anesthesia Clinical Outcomes Registry</w:t>
      </w:r>
      <w:r w:rsidR="00812B11">
        <w:rPr>
          <w:rFonts w:cstheme="minorHAnsi"/>
          <w:bCs/>
        </w:rPr>
        <w:t xml:space="preserve"> (NACOR)</w:t>
      </w:r>
      <w:r>
        <w:rPr>
          <w:rFonts w:cstheme="minorHAnsi"/>
          <w:bCs/>
        </w:rPr>
        <w:t xml:space="preserve"> is a very large sample of all anesthesia care in the United States.  NACOR currently collects data from </w:t>
      </w:r>
      <w:r w:rsidR="00812B11">
        <w:rPr>
          <w:rFonts w:cstheme="minorHAnsi"/>
          <w:bCs/>
        </w:rPr>
        <w:t>more than</w:t>
      </w:r>
      <w:r>
        <w:rPr>
          <w:rFonts w:cstheme="minorHAnsi"/>
          <w:bCs/>
        </w:rPr>
        <w:t xml:space="preserve"> 250 anesthesia practices, </w:t>
      </w:r>
      <w:r>
        <w:rPr>
          <w:rFonts w:cstheme="minorHAnsi"/>
          <w:bCs/>
        </w:rPr>
        <w:lastRenderedPageBreak/>
        <w:t xml:space="preserve">representing 21,000 providers (12,000 MDs and 9,000 nurse anesthetists) or about 25% of the national work force.  Data are reported from about 2,100 healthcare facilities, of which about half are university or community hospitals that would expect to place CVCs for fluid resuscitation, monitoring and medication delivery.  NACOR has captured 14,000,000 cases since 2010, of which 220,000 are CVC insertions in one of the CPT code groups in this measure’s denominator.  </w:t>
      </w:r>
    </w:p>
    <w:p w:rsidR="007F32D1" w:rsidRDefault="007F32D1" w:rsidP="00DB3627">
      <w:pPr>
        <w:autoSpaceDE w:val="0"/>
        <w:autoSpaceDN w:val="0"/>
        <w:adjustRightInd w:val="0"/>
        <w:spacing w:after="0" w:line="240" w:lineRule="auto"/>
        <w:rPr>
          <w:rFonts w:cstheme="minorHAnsi"/>
          <w:bCs/>
        </w:rPr>
      </w:pPr>
    </w:p>
    <w:p w:rsidR="00812B11" w:rsidRDefault="007F32D1" w:rsidP="00DB3627">
      <w:pPr>
        <w:autoSpaceDE w:val="0"/>
        <w:autoSpaceDN w:val="0"/>
        <w:adjustRightInd w:val="0"/>
        <w:spacing w:after="0" w:line="240" w:lineRule="auto"/>
        <w:rPr>
          <w:rFonts w:cstheme="minorHAnsi"/>
          <w:bCs/>
        </w:rPr>
      </w:pPr>
      <w:r>
        <w:rPr>
          <w:rFonts w:cstheme="minorHAnsi"/>
          <w:bCs/>
        </w:rPr>
        <w:t>Because participation in NACOR is voluntary, it is possible that biases</w:t>
      </w:r>
      <w:r w:rsidR="00812B11">
        <w:rPr>
          <w:rFonts w:cstheme="minorHAnsi"/>
          <w:bCs/>
        </w:rPr>
        <w:t xml:space="preserve"> exist</w:t>
      </w:r>
      <w:r>
        <w:rPr>
          <w:rFonts w:cstheme="minorHAnsi"/>
          <w:bCs/>
        </w:rPr>
        <w:t xml:space="preserve"> in which practices and hospitals are represented.</w:t>
      </w:r>
      <w:r w:rsidR="00812B11">
        <w:rPr>
          <w:rFonts w:cstheme="minorHAnsi"/>
          <w:bCs/>
        </w:rPr>
        <w:t xml:space="preserve"> Regardless, the measure was tested at the clinician, group, and facility level, the entities included in the NACOR analysis were:</w:t>
      </w:r>
    </w:p>
    <w:p w:rsidR="00812B11" w:rsidRDefault="00812B11" w:rsidP="00DB3627">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4788"/>
        <w:gridCol w:w="4788"/>
      </w:tblGrid>
      <w:tr w:rsidR="00802DEC" w:rsidRPr="00944A99" w:rsidTr="007F30DD">
        <w:tc>
          <w:tcPr>
            <w:tcW w:w="9576" w:type="dxa"/>
            <w:gridSpan w:val="2"/>
            <w:shd w:val="clear" w:color="auto" w:fill="BFBFBF" w:themeFill="background1" w:themeFillShade="BF"/>
          </w:tcPr>
          <w:p w:rsidR="00802DEC" w:rsidRPr="00944A99" w:rsidRDefault="00802DEC" w:rsidP="00802DEC">
            <w:pPr>
              <w:autoSpaceDE w:val="0"/>
              <w:autoSpaceDN w:val="0"/>
              <w:adjustRightInd w:val="0"/>
              <w:rPr>
                <w:rFonts w:cstheme="minorHAnsi"/>
                <w:b/>
                <w:bCs/>
              </w:rPr>
            </w:pPr>
            <w:r w:rsidRPr="00944A99">
              <w:rPr>
                <w:rFonts w:cstheme="minorHAnsi"/>
                <w:b/>
                <w:bCs/>
              </w:rPr>
              <w:t xml:space="preserve">NACOR Analysis Per </w:t>
            </w:r>
            <w:r>
              <w:rPr>
                <w:rFonts w:cstheme="minorHAnsi"/>
                <w:b/>
                <w:bCs/>
              </w:rPr>
              <w:t>Entity (2010-2013)</w:t>
            </w:r>
          </w:p>
        </w:tc>
      </w:tr>
      <w:tr w:rsidR="00802DEC" w:rsidRPr="00944A99" w:rsidTr="007F30DD">
        <w:tc>
          <w:tcPr>
            <w:tcW w:w="4788" w:type="dxa"/>
            <w:shd w:val="clear" w:color="auto" w:fill="BFBFBF" w:themeFill="background1" w:themeFillShade="BF"/>
          </w:tcPr>
          <w:p w:rsidR="00802DEC" w:rsidRPr="00944A99" w:rsidRDefault="00802DEC" w:rsidP="007F30DD">
            <w:pPr>
              <w:autoSpaceDE w:val="0"/>
              <w:autoSpaceDN w:val="0"/>
              <w:adjustRightInd w:val="0"/>
              <w:rPr>
                <w:rFonts w:cstheme="minorHAnsi"/>
                <w:b/>
                <w:bCs/>
              </w:rPr>
            </w:pPr>
            <w:r>
              <w:rPr>
                <w:rFonts w:cstheme="minorHAnsi"/>
                <w:b/>
                <w:bCs/>
              </w:rPr>
              <w:t>Entity Reporting</w:t>
            </w:r>
          </w:p>
        </w:tc>
        <w:tc>
          <w:tcPr>
            <w:tcW w:w="4788" w:type="dxa"/>
            <w:shd w:val="clear" w:color="auto" w:fill="BFBFBF" w:themeFill="background1" w:themeFillShade="BF"/>
          </w:tcPr>
          <w:p w:rsidR="00802DEC" w:rsidRPr="00802DEC" w:rsidRDefault="00802DEC" w:rsidP="007F30DD">
            <w:pPr>
              <w:autoSpaceDE w:val="0"/>
              <w:autoSpaceDN w:val="0"/>
              <w:adjustRightInd w:val="0"/>
              <w:rPr>
                <w:rFonts w:cstheme="minorHAnsi"/>
                <w:b/>
                <w:bCs/>
              </w:rPr>
            </w:pPr>
            <w:r>
              <w:rPr>
                <w:rFonts w:cstheme="minorHAnsi"/>
                <w:b/>
                <w:bCs/>
              </w:rPr>
              <w:t>Total Number</w:t>
            </w:r>
          </w:p>
        </w:tc>
      </w:tr>
      <w:tr w:rsidR="00802DEC" w:rsidTr="007F30DD">
        <w:tc>
          <w:tcPr>
            <w:tcW w:w="4788" w:type="dxa"/>
          </w:tcPr>
          <w:p w:rsidR="00802DEC" w:rsidRDefault="00802DEC" w:rsidP="007F30DD">
            <w:pPr>
              <w:autoSpaceDE w:val="0"/>
              <w:autoSpaceDN w:val="0"/>
              <w:adjustRightInd w:val="0"/>
              <w:rPr>
                <w:rFonts w:cstheme="minorHAnsi"/>
                <w:bCs/>
              </w:rPr>
            </w:pPr>
            <w:r>
              <w:rPr>
                <w:rFonts w:cstheme="minorHAnsi"/>
                <w:bCs/>
              </w:rPr>
              <w:t>Practices</w:t>
            </w:r>
          </w:p>
        </w:tc>
        <w:tc>
          <w:tcPr>
            <w:tcW w:w="4788" w:type="dxa"/>
          </w:tcPr>
          <w:p w:rsidR="00802DEC" w:rsidRDefault="00802DEC" w:rsidP="007F30DD">
            <w:pPr>
              <w:autoSpaceDE w:val="0"/>
              <w:autoSpaceDN w:val="0"/>
              <w:adjustRightInd w:val="0"/>
              <w:rPr>
                <w:rFonts w:cstheme="minorHAnsi"/>
                <w:bCs/>
              </w:rPr>
            </w:pPr>
            <w:r>
              <w:rPr>
                <w:rFonts w:cstheme="minorHAnsi"/>
                <w:bCs/>
              </w:rPr>
              <w:t>157</w:t>
            </w:r>
          </w:p>
        </w:tc>
      </w:tr>
      <w:tr w:rsidR="00802DEC" w:rsidTr="007F30DD">
        <w:tc>
          <w:tcPr>
            <w:tcW w:w="4788" w:type="dxa"/>
          </w:tcPr>
          <w:p w:rsidR="00802DEC" w:rsidRDefault="00802DEC" w:rsidP="007F30DD">
            <w:pPr>
              <w:autoSpaceDE w:val="0"/>
              <w:autoSpaceDN w:val="0"/>
              <w:adjustRightInd w:val="0"/>
              <w:rPr>
                <w:rFonts w:cstheme="minorHAnsi"/>
                <w:bCs/>
              </w:rPr>
            </w:pPr>
            <w:r>
              <w:rPr>
                <w:rFonts w:cstheme="minorHAnsi"/>
                <w:bCs/>
              </w:rPr>
              <w:t>Facilities</w:t>
            </w:r>
          </w:p>
        </w:tc>
        <w:tc>
          <w:tcPr>
            <w:tcW w:w="4788" w:type="dxa"/>
          </w:tcPr>
          <w:p w:rsidR="00802DEC" w:rsidRDefault="00802DEC" w:rsidP="007F30DD">
            <w:pPr>
              <w:autoSpaceDE w:val="0"/>
              <w:autoSpaceDN w:val="0"/>
              <w:adjustRightInd w:val="0"/>
              <w:rPr>
                <w:rFonts w:cstheme="minorHAnsi"/>
                <w:bCs/>
              </w:rPr>
            </w:pPr>
            <w:r>
              <w:rPr>
                <w:rFonts w:cstheme="minorHAnsi"/>
                <w:bCs/>
              </w:rPr>
              <w:t>595</w:t>
            </w:r>
          </w:p>
        </w:tc>
      </w:tr>
      <w:tr w:rsidR="00802DEC" w:rsidTr="007F30DD">
        <w:tc>
          <w:tcPr>
            <w:tcW w:w="4788" w:type="dxa"/>
          </w:tcPr>
          <w:p w:rsidR="00802DEC" w:rsidRDefault="00802DEC" w:rsidP="007F30DD">
            <w:pPr>
              <w:autoSpaceDE w:val="0"/>
              <w:autoSpaceDN w:val="0"/>
              <w:adjustRightInd w:val="0"/>
              <w:rPr>
                <w:rFonts w:cstheme="minorHAnsi"/>
                <w:bCs/>
              </w:rPr>
            </w:pPr>
            <w:r>
              <w:rPr>
                <w:rFonts w:cstheme="minorHAnsi"/>
                <w:bCs/>
              </w:rPr>
              <w:t>Providers</w:t>
            </w:r>
          </w:p>
        </w:tc>
        <w:tc>
          <w:tcPr>
            <w:tcW w:w="4788" w:type="dxa"/>
          </w:tcPr>
          <w:p w:rsidR="00802DEC" w:rsidRDefault="00802DEC" w:rsidP="007F30DD">
            <w:pPr>
              <w:autoSpaceDE w:val="0"/>
              <w:autoSpaceDN w:val="0"/>
              <w:adjustRightInd w:val="0"/>
              <w:rPr>
                <w:rFonts w:cstheme="minorHAnsi"/>
                <w:bCs/>
              </w:rPr>
            </w:pPr>
            <w:r>
              <w:rPr>
                <w:rFonts w:cstheme="minorHAnsi"/>
                <w:bCs/>
              </w:rPr>
              <w:t>9,981</w:t>
            </w:r>
          </w:p>
        </w:tc>
      </w:tr>
    </w:tbl>
    <w:p w:rsidR="00802DEC" w:rsidRDefault="00802DEC" w:rsidP="00DB3627">
      <w:pPr>
        <w:autoSpaceDE w:val="0"/>
        <w:autoSpaceDN w:val="0"/>
        <w:adjustRightInd w:val="0"/>
        <w:spacing w:after="0" w:line="240" w:lineRule="auto"/>
        <w:rPr>
          <w:rFonts w:cstheme="minorHAnsi"/>
          <w:bCs/>
        </w:rPr>
      </w:pPr>
    </w:p>
    <w:p w:rsidR="00802DEC" w:rsidRDefault="00802DEC" w:rsidP="00DB3627">
      <w:pPr>
        <w:autoSpaceDE w:val="0"/>
        <w:autoSpaceDN w:val="0"/>
        <w:adjustRightInd w:val="0"/>
        <w:spacing w:after="0" w:line="240" w:lineRule="auto"/>
        <w:rPr>
          <w:rFonts w:cstheme="minorHAnsi"/>
          <w:bCs/>
        </w:rPr>
      </w:pPr>
      <w:r>
        <w:rPr>
          <w:rFonts w:cstheme="minorHAnsi"/>
          <w:bCs/>
        </w:rPr>
        <w:t>Analysis was also conducted using the Medicare Limited Data Set Carrier SAF 5% File.</w:t>
      </w:r>
      <w:r w:rsidR="00812B11">
        <w:rPr>
          <w:rFonts w:cstheme="minorHAnsi"/>
          <w:bCs/>
        </w:rPr>
        <w:t xml:space="preserve"> </w:t>
      </w:r>
      <w:r w:rsidR="007F32D1">
        <w:rPr>
          <w:rFonts w:cstheme="minorHAnsi"/>
          <w:bCs/>
        </w:rPr>
        <w:t xml:space="preserve">  </w:t>
      </w:r>
    </w:p>
    <w:p w:rsidR="002B5016" w:rsidRPr="00A25024" w:rsidRDefault="002B5016" w:rsidP="00DB3627">
      <w:pPr>
        <w:autoSpaceDE w:val="0"/>
        <w:autoSpaceDN w:val="0"/>
        <w:adjustRightInd w:val="0"/>
        <w:spacing w:after="0" w:line="240" w:lineRule="auto"/>
        <w:rPr>
          <w:rFonts w:cstheme="minorHAnsi"/>
          <w:bCs/>
        </w:rPr>
      </w:pPr>
    </w:p>
    <w:p w:rsidR="00CF1B1C"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C82E21" w:rsidRDefault="00C82E21" w:rsidP="00DB3627">
      <w:pPr>
        <w:autoSpaceDE w:val="0"/>
        <w:autoSpaceDN w:val="0"/>
        <w:adjustRightInd w:val="0"/>
        <w:spacing w:after="0" w:line="240" w:lineRule="auto"/>
        <w:rPr>
          <w:rFonts w:cstheme="minorHAnsi"/>
          <w:bCs/>
        </w:rPr>
      </w:pPr>
    </w:p>
    <w:p w:rsidR="004642E1" w:rsidRPr="00C90ED7" w:rsidRDefault="00C82E21" w:rsidP="00DB3627">
      <w:pPr>
        <w:autoSpaceDE w:val="0"/>
        <w:autoSpaceDN w:val="0"/>
        <w:adjustRightInd w:val="0"/>
        <w:spacing w:after="0" w:line="240" w:lineRule="auto"/>
        <w:rPr>
          <w:rFonts w:cstheme="minorHAnsi"/>
          <w:bCs/>
        </w:rPr>
      </w:pPr>
      <w:r w:rsidRPr="00C90ED7">
        <w:rPr>
          <w:rFonts w:cstheme="minorHAnsi"/>
          <w:bCs/>
        </w:rPr>
        <w:t xml:space="preserve">NACOR data has been presented in the tables </w:t>
      </w:r>
      <w:r w:rsidR="00B86EFC">
        <w:rPr>
          <w:rFonts w:cstheme="minorHAnsi"/>
          <w:bCs/>
        </w:rPr>
        <w:t>below</w:t>
      </w:r>
      <w:r w:rsidRPr="00C90ED7">
        <w:rPr>
          <w:rFonts w:cstheme="minorHAnsi"/>
          <w:bCs/>
        </w:rPr>
        <w:t xml:space="preserve">, including distribution of </w:t>
      </w:r>
      <w:r w:rsidR="004642E1" w:rsidRPr="00C90ED7">
        <w:rPr>
          <w:rFonts w:cstheme="minorHAnsi"/>
          <w:bCs/>
        </w:rPr>
        <w:t xml:space="preserve">220,000 </w:t>
      </w:r>
      <w:r w:rsidRPr="00C90ED7">
        <w:rPr>
          <w:rFonts w:cstheme="minorHAnsi"/>
          <w:bCs/>
        </w:rPr>
        <w:t>CVC cases by age, sex, ASA Physical Status (a common measure of patient ri</w:t>
      </w:r>
      <w:bookmarkStart w:id="11" w:name="_GoBack"/>
      <w:bookmarkEnd w:id="11"/>
      <w:r w:rsidRPr="00C90ED7">
        <w:rPr>
          <w:rFonts w:cstheme="minorHAnsi"/>
          <w:bCs/>
        </w:rPr>
        <w:t xml:space="preserve">sk in anesthesia procedures) and average household income of their reported zip code.  </w:t>
      </w:r>
    </w:p>
    <w:p w:rsidR="007F30DD" w:rsidRPr="00C90ED7" w:rsidRDefault="007F30DD" w:rsidP="00DB3627">
      <w:pPr>
        <w:autoSpaceDE w:val="0"/>
        <w:autoSpaceDN w:val="0"/>
        <w:adjustRightInd w:val="0"/>
        <w:spacing w:after="0" w:line="240" w:lineRule="auto"/>
        <w:rPr>
          <w:rFonts w:cstheme="minorHAnsi"/>
          <w:bCs/>
        </w:rPr>
      </w:pPr>
    </w:p>
    <w:p w:rsidR="007F30DD" w:rsidRPr="00C90ED7" w:rsidRDefault="007F30DD" w:rsidP="00DB3627">
      <w:pPr>
        <w:autoSpaceDE w:val="0"/>
        <w:autoSpaceDN w:val="0"/>
        <w:adjustRightInd w:val="0"/>
        <w:spacing w:after="0" w:line="240" w:lineRule="auto"/>
        <w:rPr>
          <w:rFonts w:cstheme="minorHAnsi"/>
          <w:b/>
          <w:bCs/>
          <w:u w:val="single"/>
        </w:rPr>
      </w:pPr>
      <w:r w:rsidRPr="00C90ED7">
        <w:rPr>
          <w:rFonts w:cstheme="minorHAnsi"/>
          <w:b/>
          <w:bCs/>
          <w:u w:val="single"/>
        </w:rPr>
        <w:t>Total Cases Captured (NACOR):</w:t>
      </w:r>
    </w:p>
    <w:p w:rsidR="00802DEC" w:rsidRPr="00C90ED7" w:rsidRDefault="00802DEC" w:rsidP="00DB3627">
      <w:pPr>
        <w:autoSpaceDE w:val="0"/>
        <w:autoSpaceDN w:val="0"/>
        <w:adjustRightInd w:val="0"/>
        <w:spacing w:after="0" w:line="240" w:lineRule="auto"/>
        <w:rPr>
          <w:rFonts w:cstheme="minorHAnsi"/>
          <w:bCs/>
        </w:rPr>
      </w:pPr>
    </w:p>
    <w:tbl>
      <w:tblPr>
        <w:tblW w:w="10120" w:type="dxa"/>
        <w:tblInd w:w="93" w:type="dxa"/>
        <w:tblLook w:val="04A0" w:firstRow="1" w:lastRow="0" w:firstColumn="1" w:lastColumn="0" w:noHBand="0" w:noVBand="1"/>
      </w:tblPr>
      <w:tblGrid>
        <w:gridCol w:w="1532"/>
        <w:gridCol w:w="2147"/>
        <w:gridCol w:w="2147"/>
        <w:gridCol w:w="2147"/>
        <w:gridCol w:w="2147"/>
      </w:tblGrid>
      <w:tr w:rsidR="008E5834" w:rsidRPr="00C90ED7" w:rsidTr="00AC78F6">
        <w:trPr>
          <w:trHeight w:val="1520"/>
        </w:trPr>
        <w:tc>
          <w:tcPr>
            <w:tcW w:w="1440" w:type="dxa"/>
            <w:tcBorders>
              <w:top w:val="single" w:sz="4" w:space="0" w:color="auto"/>
              <w:left w:val="single" w:sz="4" w:space="0" w:color="auto"/>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Year </w:t>
            </w:r>
          </w:p>
        </w:tc>
        <w:tc>
          <w:tcPr>
            <w:tcW w:w="2016"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Total number of CVC placements</w:t>
            </w:r>
          </w:p>
        </w:tc>
        <w:tc>
          <w:tcPr>
            <w:tcW w:w="2016"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B) of CVC procedures in which Medicare is the primary insurance</w:t>
            </w:r>
          </w:p>
        </w:tc>
        <w:tc>
          <w:tcPr>
            <w:tcW w:w="2016"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B) meeting all measure criteria</w:t>
            </w:r>
          </w:p>
        </w:tc>
        <w:tc>
          <w:tcPr>
            <w:tcW w:w="2016"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C) meeting all measure criteria in which Medicare is the primary insurance</w:t>
            </w:r>
          </w:p>
        </w:tc>
      </w:tr>
      <w:tr w:rsidR="008E5834" w:rsidRPr="00C90ED7" w:rsidTr="00AC78F6">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Cases</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226,092 (100%)</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71,873 (32%)</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8,003 (3.54%)</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6,223 (8.66%)</w:t>
            </w:r>
          </w:p>
        </w:tc>
      </w:tr>
      <w:tr w:rsidR="008E5834" w:rsidRPr="00C90ED7" w:rsidTr="00AC78F6">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2010</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49,422 (100%)</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14,093 (28%)</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1,586 (3.21%)</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1,078 (7.65%)</w:t>
            </w:r>
          </w:p>
        </w:tc>
      </w:tr>
      <w:tr w:rsidR="008E5834" w:rsidRPr="00C90ED7" w:rsidTr="00AC78F6">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2011</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61,865 (100%)</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20,464 (33%)</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2,430 (3.93%)</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1,641 (8.02%)</w:t>
            </w:r>
          </w:p>
        </w:tc>
      </w:tr>
      <w:tr w:rsidR="008E5834" w:rsidRPr="00C90ED7" w:rsidTr="00AC78F6">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2012</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66,366 (100%)</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22,439 (34%)</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2,549 (3.84%)</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2,209 (9.84%)</w:t>
            </w:r>
          </w:p>
        </w:tc>
      </w:tr>
      <w:tr w:rsidR="008E5834" w:rsidRPr="00C90ED7" w:rsidTr="00AC78F6">
        <w:trPr>
          <w:trHeight w:val="510"/>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2013, through September</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48,439 (100%)</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14,877 (31%)</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1,438 (2.97%)</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1,295 (8.7%)</w:t>
            </w:r>
          </w:p>
        </w:tc>
      </w:tr>
    </w:tbl>
    <w:p w:rsidR="008E5834" w:rsidRPr="00C90ED7" w:rsidRDefault="008E5834" w:rsidP="00DB3627">
      <w:pPr>
        <w:autoSpaceDE w:val="0"/>
        <w:autoSpaceDN w:val="0"/>
        <w:adjustRightInd w:val="0"/>
        <w:spacing w:after="0" w:line="240" w:lineRule="auto"/>
        <w:rPr>
          <w:rFonts w:cstheme="minorHAnsi"/>
          <w:bCs/>
        </w:rPr>
      </w:pPr>
    </w:p>
    <w:p w:rsidR="00C90ED7" w:rsidRDefault="00C90ED7" w:rsidP="00DB3627">
      <w:pPr>
        <w:autoSpaceDE w:val="0"/>
        <w:autoSpaceDN w:val="0"/>
        <w:adjustRightInd w:val="0"/>
        <w:spacing w:after="0" w:line="240" w:lineRule="auto"/>
        <w:rPr>
          <w:rFonts w:cstheme="minorHAnsi"/>
          <w:b/>
          <w:bCs/>
          <w:u w:val="single"/>
        </w:rPr>
      </w:pPr>
    </w:p>
    <w:p w:rsidR="00C90ED7" w:rsidRDefault="00C90ED7" w:rsidP="00DB3627">
      <w:pPr>
        <w:autoSpaceDE w:val="0"/>
        <w:autoSpaceDN w:val="0"/>
        <w:adjustRightInd w:val="0"/>
        <w:spacing w:after="0" w:line="240" w:lineRule="auto"/>
        <w:rPr>
          <w:rFonts w:cstheme="minorHAnsi"/>
          <w:b/>
          <w:bCs/>
          <w:u w:val="single"/>
        </w:rPr>
      </w:pPr>
    </w:p>
    <w:p w:rsidR="00C90ED7" w:rsidRDefault="00C90ED7" w:rsidP="00DB3627">
      <w:pPr>
        <w:autoSpaceDE w:val="0"/>
        <w:autoSpaceDN w:val="0"/>
        <w:adjustRightInd w:val="0"/>
        <w:spacing w:after="0" w:line="240" w:lineRule="auto"/>
        <w:rPr>
          <w:rFonts w:cstheme="minorHAnsi"/>
          <w:b/>
          <w:bCs/>
          <w:u w:val="single"/>
        </w:rPr>
      </w:pPr>
    </w:p>
    <w:p w:rsidR="00C90ED7" w:rsidRDefault="00C90ED7" w:rsidP="00DB3627">
      <w:pPr>
        <w:autoSpaceDE w:val="0"/>
        <w:autoSpaceDN w:val="0"/>
        <w:adjustRightInd w:val="0"/>
        <w:spacing w:after="0" w:line="240" w:lineRule="auto"/>
        <w:rPr>
          <w:rFonts w:cstheme="minorHAnsi"/>
          <w:b/>
          <w:bCs/>
          <w:u w:val="single"/>
        </w:rPr>
      </w:pPr>
    </w:p>
    <w:p w:rsidR="007F30DD" w:rsidRPr="00C90ED7" w:rsidRDefault="007F30DD" w:rsidP="00DB3627">
      <w:pPr>
        <w:autoSpaceDE w:val="0"/>
        <w:autoSpaceDN w:val="0"/>
        <w:adjustRightInd w:val="0"/>
        <w:spacing w:after="0" w:line="240" w:lineRule="auto"/>
        <w:rPr>
          <w:rFonts w:cstheme="minorHAnsi"/>
          <w:b/>
          <w:bCs/>
          <w:u w:val="single"/>
        </w:rPr>
      </w:pPr>
      <w:r w:rsidRPr="00C90ED7">
        <w:rPr>
          <w:rFonts w:cstheme="minorHAnsi"/>
          <w:b/>
          <w:bCs/>
          <w:u w:val="single"/>
        </w:rPr>
        <w:t>Cases Captured by Age:</w:t>
      </w:r>
    </w:p>
    <w:p w:rsidR="007F30DD" w:rsidRPr="00C90ED7" w:rsidRDefault="007F30DD" w:rsidP="00DB3627">
      <w:pPr>
        <w:autoSpaceDE w:val="0"/>
        <w:autoSpaceDN w:val="0"/>
        <w:adjustRightInd w:val="0"/>
        <w:spacing w:after="0" w:line="240" w:lineRule="auto"/>
        <w:rPr>
          <w:rFonts w:cstheme="minorHAnsi"/>
          <w:bCs/>
        </w:rPr>
      </w:pPr>
    </w:p>
    <w:tbl>
      <w:tblPr>
        <w:tblW w:w="10120" w:type="dxa"/>
        <w:tblInd w:w="93" w:type="dxa"/>
        <w:tblLook w:val="04A0" w:firstRow="1" w:lastRow="0" w:firstColumn="1" w:lastColumn="0" w:noHBand="0" w:noVBand="1"/>
      </w:tblPr>
      <w:tblGrid>
        <w:gridCol w:w="1440"/>
        <w:gridCol w:w="2200"/>
        <w:gridCol w:w="2100"/>
        <w:gridCol w:w="2160"/>
        <w:gridCol w:w="2220"/>
      </w:tblGrid>
      <w:tr w:rsidR="008E5834" w:rsidRPr="00C90ED7" w:rsidTr="005C6BD5">
        <w:trPr>
          <w:trHeight w:val="1448"/>
          <w:tblHeader/>
        </w:trPr>
        <w:tc>
          <w:tcPr>
            <w:tcW w:w="1440" w:type="dxa"/>
            <w:tcBorders>
              <w:top w:val="single" w:sz="4" w:space="0" w:color="auto"/>
              <w:left w:val="single" w:sz="4" w:space="0" w:color="auto"/>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Age Group</w:t>
            </w:r>
          </w:p>
        </w:tc>
        <w:tc>
          <w:tcPr>
            <w:tcW w:w="220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Total number of CVC placements</w:t>
            </w:r>
          </w:p>
        </w:tc>
        <w:tc>
          <w:tcPr>
            <w:tcW w:w="210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of CVC procedures in which Medicare is the primary insurance</w:t>
            </w:r>
          </w:p>
        </w:tc>
        <w:tc>
          <w:tcPr>
            <w:tcW w:w="216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meeting all measure criteria</w:t>
            </w:r>
          </w:p>
        </w:tc>
        <w:tc>
          <w:tcPr>
            <w:tcW w:w="222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meeting all measure criteria in which Medicare is the primary insurance</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TOTAL</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226,092 (100%)</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71,873 (100%)</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8,003 (100%)</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6,223 (100%)</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&lt; 1</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4,946 (2.19%)</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4 (0.01%)</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 xml:space="preserve"> (0%)</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 xml:space="preserve"> (0%)</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1 - 18</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10,640 (4.71%)</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111 (0.15%)</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9 (0.11%)</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 (0.13%)</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19 - 49</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34,277 (15.16%)</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3,906 (5.43%)</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367 (4.59%)</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278 (4.47%)</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50 - 64</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67,098 (29.68%)</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8,624 (12%)</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967 (12.08%)</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651 (10.46%)</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65 - 79</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70,350 (31.12%)</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38,771 (53.94%)</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4,540 (56.73%)</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3,513 (56.45%)</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80+</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20,100 (8.89%)</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12,383 (17.23%)</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1,982 (24.77%)</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1,642 (26.39%)</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Unknown</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18,681 (8.26%)</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8,074 (11.23%)</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138 (1.72%)</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131 (2.11%)</w:t>
            </w:r>
          </w:p>
        </w:tc>
      </w:tr>
    </w:tbl>
    <w:p w:rsidR="008E5834" w:rsidRPr="00C90ED7" w:rsidRDefault="008E5834" w:rsidP="00DB3627">
      <w:pPr>
        <w:autoSpaceDE w:val="0"/>
        <w:autoSpaceDN w:val="0"/>
        <w:adjustRightInd w:val="0"/>
        <w:spacing w:after="0" w:line="240" w:lineRule="auto"/>
        <w:rPr>
          <w:rFonts w:cstheme="minorHAnsi"/>
          <w:bCs/>
        </w:rPr>
      </w:pPr>
    </w:p>
    <w:p w:rsidR="007F30DD" w:rsidRPr="00C90ED7" w:rsidRDefault="007F30DD" w:rsidP="007F30DD">
      <w:pPr>
        <w:autoSpaceDE w:val="0"/>
        <w:autoSpaceDN w:val="0"/>
        <w:adjustRightInd w:val="0"/>
        <w:spacing w:after="0" w:line="240" w:lineRule="auto"/>
        <w:rPr>
          <w:rFonts w:cstheme="minorHAnsi"/>
          <w:b/>
          <w:bCs/>
          <w:u w:val="single"/>
        </w:rPr>
      </w:pPr>
      <w:r w:rsidRPr="00C90ED7">
        <w:rPr>
          <w:rFonts w:cstheme="minorHAnsi"/>
          <w:b/>
          <w:bCs/>
          <w:u w:val="single"/>
        </w:rPr>
        <w:t>Cases Captured by Gender:</w:t>
      </w:r>
    </w:p>
    <w:p w:rsidR="007F30DD" w:rsidRPr="00C90ED7" w:rsidRDefault="007F30DD" w:rsidP="00DB3627">
      <w:pPr>
        <w:autoSpaceDE w:val="0"/>
        <w:autoSpaceDN w:val="0"/>
        <w:adjustRightInd w:val="0"/>
        <w:spacing w:after="0" w:line="240" w:lineRule="auto"/>
        <w:rPr>
          <w:rFonts w:cstheme="minorHAnsi"/>
          <w:bCs/>
        </w:rPr>
      </w:pPr>
    </w:p>
    <w:tbl>
      <w:tblPr>
        <w:tblW w:w="10120" w:type="dxa"/>
        <w:tblInd w:w="93" w:type="dxa"/>
        <w:tblLook w:val="04A0" w:firstRow="1" w:lastRow="0" w:firstColumn="1" w:lastColumn="0" w:noHBand="0" w:noVBand="1"/>
      </w:tblPr>
      <w:tblGrid>
        <w:gridCol w:w="1440"/>
        <w:gridCol w:w="2200"/>
        <w:gridCol w:w="2100"/>
        <w:gridCol w:w="2160"/>
        <w:gridCol w:w="2220"/>
      </w:tblGrid>
      <w:tr w:rsidR="008E5834" w:rsidRPr="00C90ED7" w:rsidTr="005C6BD5">
        <w:trPr>
          <w:trHeight w:val="1475"/>
          <w:tblHeader/>
        </w:trPr>
        <w:tc>
          <w:tcPr>
            <w:tcW w:w="1440" w:type="dxa"/>
            <w:tcBorders>
              <w:top w:val="single" w:sz="4" w:space="0" w:color="auto"/>
              <w:left w:val="single" w:sz="4" w:space="0" w:color="auto"/>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Gender</w:t>
            </w:r>
          </w:p>
        </w:tc>
        <w:tc>
          <w:tcPr>
            <w:tcW w:w="220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Total number of CVC placements</w:t>
            </w:r>
          </w:p>
        </w:tc>
        <w:tc>
          <w:tcPr>
            <w:tcW w:w="210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of CVC procedures in which Medicare is the primary insurance</w:t>
            </w:r>
          </w:p>
        </w:tc>
        <w:tc>
          <w:tcPr>
            <w:tcW w:w="216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meeting all measure criteria</w:t>
            </w:r>
          </w:p>
        </w:tc>
        <w:tc>
          <w:tcPr>
            <w:tcW w:w="222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meeting all measure criteria in which Medicare is the primary insurance</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TOTAL</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226,092 (100%)</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71,873 (100%)</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8,003 (100%)</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6,223 (100%)</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Female</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99,923 (44.2%)</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31,127 (43.31%)</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3,283 (41.02%)</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2,587 (41.57%)</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Male</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107,546 (47.57%)</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33,176 (46.16%)</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4,582 (57.25%)</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3,505 (56.32%)</w:t>
            </w:r>
          </w:p>
        </w:tc>
      </w:tr>
      <w:tr w:rsidR="008E5834" w:rsidRPr="00C90ED7" w:rsidTr="008E5834">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Unknown</w:t>
            </w:r>
          </w:p>
        </w:tc>
        <w:tc>
          <w:tcPr>
            <w:tcW w:w="22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18,623 (8.24%)</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7,570 (10.53%)</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138 (1.72%)</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131 (2.11%)</w:t>
            </w:r>
          </w:p>
        </w:tc>
      </w:tr>
    </w:tbl>
    <w:p w:rsidR="008E5834" w:rsidRPr="00C90ED7" w:rsidRDefault="008E5834" w:rsidP="00DB3627">
      <w:pPr>
        <w:autoSpaceDE w:val="0"/>
        <w:autoSpaceDN w:val="0"/>
        <w:adjustRightInd w:val="0"/>
        <w:spacing w:after="0" w:line="240" w:lineRule="auto"/>
        <w:rPr>
          <w:rFonts w:cstheme="minorHAnsi"/>
          <w:bCs/>
        </w:rPr>
      </w:pPr>
    </w:p>
    <w:p w:rsidR="007F30DD" w:rsidRPr="00C90ED7" w:rsidRDefault="007F30DD" w:rsidP="007F30DD">
      <w:pPr>
        <w:autoSpaceDE w:val="0"/>
        <w:autoSpaceDN w:val="0"/>
        <w:adjustRightInd w:val="0"/>
        <w:spacing w:after="0" w:line="240" w:lineRule="auto"/>
        <w:rPr>
          <w:rFonts w:cstheme="minorHAnsi"/>
          <w:b/>
          <w:bCs/>
          <w:u w:val="single"/>
        </w:rPr>
      </w:pPr>
      <w:r w:rsidRPr="00C90ED7">
        <w:rPr>
          <w:rFonts w:cstheme="minorHAnsi"/>
          <w:b/>
          <w:bCs/>
          <w:u w:val="single"/>
        </w:rPr>
        <w:t>Cases Captured by ASA Physical Status:</w:t>
      </w:r>
    </w:p>
    <w:p w:rsidR="007F30DD" w:rsidRPr="00C90ED7" w:rsidRDefault="007F30DD" w:rsidP="00DB3627">
      <w:pPr>
        <w:autoSpaceDE w:val="0"/>
        <w:autoSpaceDN w:val="0"/>
        <w:adjustRightInd w:val="0"/>
        <w:spacing w:after="0" w:line="240" w:lineRule="auto"/>
        <w:rPr>
          <w:rFonts w:cstheme="minorHAnsi"/>
          <w:bCs/>
        </w:rPr>
      </w:pPr>
    </w:p>
    <w:tbl>
      <w:tblPr>
        <w:tblW w:w="9936" w:type="dxa"/>
        <w:tblInd w:w="93" w:type="dxa"/>
        <w:tblLook w:val="04A0" w:firstRow="1" w:lastRow="0" w:firstColumn="1" w:lastColumn="0" w:noHBand="0" w:noVBand="1"/>
      </w:tblPr>
      <w:tblGrid>
        <w:gridCol w:w="1440"/>
        <w:gridCol w:w="2016"/>
        <w:gridCol w:w="2100"/>
        <w:gridCol w:w="2160"/>
        <w:gridCol w:w="2220"/>
      </w:tblGrid>
      <w:tr w:rsidR="008E5834" w:rsidRPr="00C90ED7" w:rsidTr="008E5834">
        <w:trPr>
          <w:trHeight w:val="1448"/>
          <w:tblHeader/>
        </w:trPr>
        <w:tc>
          <w:tcPr>
            <w:tcW w:w="1440" w:type="dxa"/>
            <w:tcBorders>
              <w:top w:val="single" w:sz="4" w:space="0" w:color="auto"/>
              <w:left w:val="single" w:sz="4" w:space="0" w:color="auto"/>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ASA Physical Status</w:t>
            </w:r>
          </w:p>
        </w:tc>
        <w:tc>
          <w:tcPr>
            <w:tcW w:w="2016"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Total number of CVC placements</w:t>
            </w:r>
          </w:p>
        </w:tc>
        <w:tc>
          <w:tcPr>
            <w:tcW w:w="210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of CVC procedures in which Medicare is the primary insurance</w:t>
            </w:r>
          </w:p>
        </w:tc>
        <w:tc>
          <w:tcPr>
            <w:tcW w:w="216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meeting all measure criteria</w:t>
            </w:r>
          </w:p>
        </w:tc>
        <w:tc>
          <w:tcPr>
            <w:tcW w:w="2220"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meeting all measure criteria in which Medicare is the primary insurance</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TOTAL</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177,361 (100%)</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60,323 (100%)</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7,438 (100%)</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6,096 (100%)</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I - II</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62,714 (35.36%)</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22,199 (36.8%)</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605 (8.13%)</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544 (8.92%)</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III</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62,346 (35.15%)</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19,822 (32.86%)</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2,564 (34.47%)</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2,331 (38.24%)</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IV</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50,947 (28.73%)</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17,902 (29.68%)</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4,160 (55.93%)</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3,136 (51.44%)</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V</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1,290 (0.73%)</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390 (0.65%)</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109 (1.47%)</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85 (1.39%)</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VI</w:t>
            </w:r>
          </w:p>
        </w:tc>
        <w:tc>
          <w:tcPr>
            <w:tcW w:w="2016"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64 (0.04%)</w:t>
            </w:r>
          </w:p>
        </w:tc>
        <w:tc>
          <w:tcPr>
            <w:tcW w:w="210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10 (0.02%)</w:t>
            </w:r>
          </w:p>
        </w:tc>
        <w:tc>
          <w:tcPr>
            <w:tcW w:w="216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 xml:space="preserve"> (0%)</w:t>
            </w:r>
          </w:p>
        </w:tc>
        <w:tc>
          <w:tcPr>
            <w:tcW w:w="2220"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 xml:space="preserve"> (0%)</w:t>
            </w:r>
          </w:p>
        </w:tc>
      </w:tr>
    </w:tbl>
    <w:p w:rsidR="008E5834" w:rsidRPr="00C90ED7" w:rsidRDefault="008E5834" w:rsidP="00DB3627">
      <w:pPr>
        <w:autoSpaceDE w:val="0"/>
        <w:autoSpaceDN w:val="0"/>
        <w:adjustRightInd w:val="0"/>
        <w:spacing w:after="0" w:line="240" w:lineRule="auto"/>
        <w:rPr>
          <w:rFonts w:cstheme="minorHAnsi"/>
          <w:bCs/>
        </w:rPr>
      </w:pPr>
    </w:p>
    <w:p w:rsidR="00C90ED7" w:rsidRDefault="00C90ED7" w:rsidP="007F30DD">
      <w:pPr>
        <w:autoSpaceDE w:val="0"/>
        <w:autoSpaceDN w:val="0"/>
        <w:adjustRightInd w:val="0"/>
        <w:spacing w:after="0" w:line="240" w:lineRule="auto"/>
        <w:rPr>
          <w:rFonts w:cstheme="minorHAnsi"/>
          <w:b/>
          <w:bCs/>
          <w:u w:val="single"/>
        </w:rPr>
      </w:pPr>
    </w:p>
    <w:p w:rsidR="00C90ED7" w:rsidRDefault="00C90ED7" w:rsidP="007F30DD">
      <w:pPr>
        <w:autoSpaceDE w:val="0"/>
        <w:autoSpaceDN w:val="0"/>
        <w:adjustRightInd w:val="0"/>
        <w:spacing w:after="0" w:line="240" w:lineRule="auto"/>
        <w:rPr>
          <w:rFonts w:cstheme="minorHAnsi"/>
          <w:b/>
          <w:bCs/>
          <w:u w:val="single"/>
        </w:rPr>
      </w:pPr>
    </w:p>
    <w:p w:rsidR="007F30DD" w:rsidRPr="00C90ED7" w:rsidRDefault="007F30DD" w:rsidP="007F30DD">
      <w:pPr>
        <w:autoSpaceDE w:val="0"/>
        <w:autoSpaceDN w:val="0"/>
        <w:adjustRightInd w:val="0"/>
        <w:spacing w:after="0" w:line="240" w:lineRule="auto"/>
        <w:rPr>
          <w:rFonts w:cstheme="minorHAnsi"/>
          <w:b/>
          <w:bCs/>
          <w:u w:val="single"/>
        </w:rPr>
      </w:pPr>
      <w:r w:rsidRPr="00C90ED7">
        <w:rPr>
          <w:rFonts w:cstheme="minorHAnsi"/>
          <w:b/>
          <w:bCs/>
          <w:u w:val="single"/>
        </w:rPr>
        <w:t>Cases Captured by Mean Income</w:t>
      </w:r>
      <w:r w:rsidR="00456C23" w:rsidRPr="00C90ED7">
        <w:rPr>
          <w:rFonts w:cstheme="minorHAnsi"/>
          <w:b/>
          <w:bCs/>
          <w:u w:val="single"/>
        </w:rPr>
        <w:t xml:space="preserve"> (estimated from patient ZIP code)</w:t>
      </w:r>
      <w:r w:rsidRPr="00C90ED7">
        <w:rPr>
          <w:rFonts w:cstheme="minorHAnsi"/>
          <w:b/>
          <w:bCs/>
          <w:u w:val="single"/>
        </w:rPr>
        <w:t>:</w:t>
      </w:r>
    </w:p>
    <w:p w:rsidR="007F30DD" w:rsidRPr="00C90ED7" w:rsidRDefault="007F30DD" w:rsidP="00DB3627">
      <w:pPr>
        <w:autoSpaceDE w:val="0"/>
        <w:autoSpaceDN w:val="0"/>
        <w:adjustRightInd w:val="0"/>
        <w:spacing w:after="0" w:line="240" w:lineRule="auto"/>
        <w:rPr>
          <w:rFonts w:cstheme="minorHAnsi"/>
          <w:bCs/>
        </w:rPr>
      </w:pPr>
    </w:p>
    <w:tbl>
      <w:tblPr>
        <w:tblW w:w="9936" w:type="dxa"/>
        <w:tblInd w:w="93" w:type="dxa"/>
        <w:tblLook w:val="04A0" w:firstRow="1" w:lastRow="0" w:firstColumn="1" w:lastColumn="0" w:noHBand="0" w:noVBand="1"/>
      </w:tblPr>
      <w:tblGrid>
        <w:gridCol w:w="1440"/>
        <w:gridCol w:w="1728"/>
        <w:gridCol w:w="2304"/>
        <w:gridCol w:w="1872"/>
        <w:gridCol w:w="2592"/>
      </w:tblGrid>
      <w:tr w:rsidR="008E5834" w:rsidRPr="00C90ED7" w:rsidTr="005C6BD5">
        <w:trPr>
          <w:trHeight w:val="1268"/>
          <w:tblHeader/>
        </w:trPr>
        <w:tc>
          <w:tcPr>
            <w:tcW w:w="1440" w:type="dxa"/>
            <w:tcBorders>
              <w:top w:val="single" w:sz="4" w:space="0" w:color="auto"/>
              <w:left w:val="single" w:sz="4" w:space="0" w:color="auto"/>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Mean Income</w:t>
            </w:r>
          </w:p>
        </w:tc>
        <w:tc>
          <w:tcPr>
            <w:tcW w:w="1728"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Total number of CVC placements</w:t>
            </w:r>
          </w:p>
        </w:tc>
        <w:tc>
          <w:tcPr>
            <w:tcW w:w="2304"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of CVC procedures in which Medicare is the primary insurance</w:t>
            </w:r>
          </w:p>
        </w:tc>
        <w:tc>
          <w:tcPr>
            <w:tcW w:w="1872"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meeting all measure criteria</w:t>
            </w:r>
          </w:p>
        </w:tc>
        <w:tc>
          <w:tcPr>
            <w:tcW w:w="2592" w:type="dxa"/>
            <w:tcBorders>
              <w:top w:val="single" w:sz="4" w:space="0" w:color="auto"/>
              <w:left w:val="nil"/>
              <w:bottom w:val="single" w:sz="4" w:space="0" w:color="auto"/>
              <w:right w:val="single" w:sz="4" w:space="0" w:color="auto"/>
            </w:tcBorders>
            <w:shd w:val="clear" w:color="000000" w:fill="C0C0C0"/>
            <w:hideMark/>
          </w:tcPr>
          <w:p w:rsidR="008E5834" w:rsidRPr="00AC78F6" w:rsidRDefault="008E5834" w:rsidP="008E5834">
            <w:pPr>
              <w:spacing w:after="0" w:line="240" w:lineRule="auto"/>
              <w:jc w:val="center"/>
              <w:rPr>
                <w:rFonts w:eastAsia="Times New Roman" w:cs="Arial"/>
                <w:b/>
                <w:bCs/>
                <w:color w:val="000000"/>
              </w:rPr>
            </w:pPr>
            <w:r w:rsidRPr="00AC78F6">
              <w:rPr>
                <w:rFonts w:eastAsia="Times New Roman" w:cs="Arial"/>
                <w:b/>
                <w:bCs/>
                <w:color w:val="000000"/>
              </w:rPr>
              <w:t>Number (% of column total) meeting all measure criteria in which Medicare is the primary insurance</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TOTAL</w:t>
            </w:r>
          </w:p>
        </w:tc>
        <w:tc>
          <w:tcPr>
            <w:tcW w:w="1728"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226,092 (100%)</w:t>
            </w:r>
          </w:p>
        </w:tc>
        <w:tc>
          <w:tcPr>
            <w:tcW w:w="2304"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71,873 (100%)</w:t>
            </w:r>
          </w:p>
        </w:tc>
        <w:tc>
          <w:tcPr>
            <w:tcW w:w="187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8,003 (100%)</w:t>
            </w:r>
          </w:p>
        </w:tc>
        <w:tc>
          <w:tcPr>
            <w:tcW w:w="259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6,223 (100%)</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&lt; $20,000</w:t>
            </w:r>
          </w:p>
        </w:tc>
        <w:tc>
          <w:tcPr>
            <w:tcW w:w="1728"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391 (0.17%)</w:t>
            </w:r>
          </w:p>
        </w:tc>
        <w:tc>
          <w:tcPr>
            <w:tcW w:w="2304"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132 (0.18%)</w:t>
            </w:r>
          </w:p>
        </w:tc>
        <w:tc>
          <w:tcPr>
            <w:tcW w:w="187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13 (0.16%)</w:t>
            </w:r>
          </w:p>
        </w:tc>
        <w:tc>
          <w:tcPr>
            <w:tcW w:w="259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11 (0.18%)</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$20,000 - $39,999</w:t>
            </w:r>
          </w:p>
        </w:tc>
        <w:tc>
          <w:tcPr>
            <w:tcW w:w="1728"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13,147 (5.81%)</w:t>
            </w:r>
          </w:p>
        </w:tc>
        <w:tc>
          <w:tcPr>
            <w:tcW w:w="2304"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4,246 (5.91%)</w:t>
            </w:r>
          </w:p>
        </w:tc>
        <w:tc>
          <w:tcPr>
            <w:tcW w:w="187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264 (3.3%)</w:t>
            </w:r>
          </w:p>
        </w:tc>
        <w:tc>
          <w:tcPr>
            <w:tcW w:w="259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183 (2.94%)</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$40,000 - $59,999</w:t>
            </w:r>
          </w:p>
        </w:tc>
        <w:tc>
          <w:tcPr>
            <w:tcW w:w="1728"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84,444 (37.35%)</w:t>
            </w:r>
          </w:p>
        </w:tc>
        <w:tc>
          <w:tcPr>
            <w:tcW w:w="2304"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28,986 (40.33%)</w:t>
            </w:r>
          </w:p>
        </w:tc>
        <w:tc>
          <w:tcPr>
            <w:tcW w:w="187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2,517 (31.45%)</w:t>
            </w:r>
          </w:p>
        </w:tc>
        <w:tc>
          <w:tcPr>
            <w:tcW w:w="259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1,647 (26.47%)</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$60,000 - $99,999</w:t>
            </w:r>
          </w:p>
        </w:tc>
        <w:tc>
          <w:tcPr>
            <w:tcW w:w="1728"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86,536 (38.27%)</w:t>
            </w:r>
          </w:p>
        </w:tc>
        <w:tc>
          <w:tcPr>
            <w:tcW w:w="2304"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27,900 (38.82%)</w:t>
            </w:r>
          </w:p>
        </w:tc>
        <w:tc>
          <w:tcPr>
            <w:tcW w:w="187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3,757 (46.94%)</w:t>
            </w:r>
          </w:p>
        </w:tc>
        <w:tc>
          <w:tcPr>
            <w:tcW w:w="259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3,077 (49.45%)</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$100,000 +</w:t>
            </w:r>
          </w:p>
        </w:tc>
        <w:tc>
          <w:tcPr>
            <w:tcW w:w="1728"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21,447 (9.49%)</w:t>
            </w:r>
          </w:p>
        </w:tc>
        <w:tc>
          <w:tcPr>
            <w:tcW w:w="2304"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7,426 (10.33%)</w:t>
            </w:r>
          </w:p>
        </w:tc>
        <w:tc>
          <w:tcPr>
            <w:tcW w:w="187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1,305 (16.31%)</w:t>
            </w:r>
          </w:p>
        </w:tc>
        <w:tc>
          <w:tcPr>
            <w:tcW w:w="259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1,204 (19.35%)</w:t>
            </w:r>
          </w:p>
        </w:tc>
      </w:tr>
      <w:tr w:rsidR="008E5834" w:rsidRPr="00C90ED7" w:rsidTr="005C6BD5">
        <w:trPr>
          <w:trHeight w:val="255"/>
        </w:trPr>
        <w:tc>
          <w:tcPr>
            <w:tcW w:w="1440" w:type="dxa"/>
            <w:tcBorders>
              <w:top w:val="nil"/>
              <w:left w:val="single" w:sz="4" w:space="0" w:color="auto"/>
              <w:bottom w:val="single" w:sz="4" w:space="0" w:color="auto"/>
              <w:right w:val="single" w:sz="4" w:space="0" w:color="auto"/>
            </w:tcBorders>
            <w:shd w:val="clear" w:color="auto" w:fill="auto"/>
            <w:hideMark/>
          </w:tcPr>
          <w:p w:rsidR="008E5834" w:rsidRPr="00AC78F6" w:rsidRDefault="008E5834" w:rsidP="008E5834">
            <w:pPr>
              <w:spacing w:after="0" w:line="240" w:lineRule="auto"/>
              <w:rPr>
                <w:rFonts w:eastAsia="Times New Roman" w:cs="Arial"/>
                <w:color w:val="000000"/>
              </w:rPr>
            </w:pPr>
            <w:r w:rsidRPr="00AC78F6">
              <w:rPr>
                <w:rFonts w:eastAsia="Times New Roman" w:cs="Arial"/>
                <w:color w:val="000000"/>
              </w:rPr>
              <w:t>Unknown</w:t>
            </w:r>
          </w:p>
        </w:tc>
        <w:tc>
          <w:tcPr>
            <w:tcW w:w="1728"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20,127 (8.9%)</w:t>
            </w:r>
          </w:p>
        </w:tc>
        <w:tc>
          <w:tcPr>
            <w:tcW w:w="2304"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3,183 (4.43%)</w:t>
            </w:r>
          </w:p>
        </w:tc>
        <w:tc>
          <w:tcPr>
            <w:tcW w:w="187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147 (1.84%)</w:t>
            </w:r>
          </w:p>
        </w:tc>
        <w:tc>
          <w:tcPr>
            <w:tcW w:w="2592" w:type="dxa"/>
            <w:tcBorders>
              <w:top w:val="nil"/>
              <w:left w:val="nil"/>
              <w:bottom w:val="single" w:sz="4" w:space="0" w:color="auto"/>
              <w:right w:val="single" w:sz="4" w:space="0" w:color="auto"/>
            </w:tcBorders>
            <w:shd w:val="clear" w:color="auto" w:fill="auto"/>
            <w:hideMark/>
          </w:tcPr>
          <w:p w:rsidR="008E5834" w:rsidRPr="00AC78F6" w:rsidRDefault="008E5834" w:rsidP="008E5834">
            <w:pPr>
              <w:spacing w:after="0" w:line="240" w:lineRule="auto"/>
              <w:jc w:val="right"/>
              <w:rPr>
                <w:rFonts w:eastAsia="Times New Roman" w:cs="Arial"/>
                <w:color w:val="000000"/>
              </w:rPr>
            </w:pPr>
            <w:r w:rsidRPr="00AC78F6">
              <w:rPr>
                <w:rFonts w:eastAsia="Times New Roman" w:cs="Arial"/>
                <w:color w:val="000000"/>
              </w:rPr>
              <w:t>101 (1.62%)</w:t>
            </w:r>
          </w:p>
        </w:tc>
      </w:tr>
    </w:tbl>
    <w:p w:rsidR="00C90ED7" w:rsidRPr="00C90ED7" w:rsidRDefault="00C90ED7" w:rsidP="00DB3627">
      <w:pPr>
        <w:autoSpaceDE w:val="0"/>
        <w:autoSpaceDN w:val="0"/>
        <w:adjustRightInd w:val="0"/>
        <w:spacing w:after="0" w:line="240" w:lineRule="auto"/>
        <w:rPr>
          <w:rFonts w:cstheme="minorHAnsi"/>
          <w:b/>
          <w:bCs/>
          <w:u w:val="single"/>
        </w:rPr>
      </w:pPr>
    </w:p>
    <w:p w:rsidR="00C90ED7" w:rsidRPr="00C90ED7" w:rsidRDefault="00C90ED7" w:rsidP="00C90ED7">
      <w:pPr>
        <w:autoSpaceDE w:val="0"/>
        <w:autoSpaceDN w:val="0"/>
        <w:adjustRightInd w:val="0"/>
        <w:spacing w:after="0" w:line="240" w:lineRule="auto"/>
        <w:rPr>
          <w:rFonts w:cstheme="minorHAnsi"/>
          <w:b/>
          <w:bCs/>
          <w:u w:val="single"/>
        </w:rPr>
      </w:pPr>
      <w:r>
        <w:rPr>
          <w:rFonts w:cstheme="minorHAnsi"/>
          <w:b/>
          <w:bCs/>
          <w:u w:val="single"/>
        </w:rPr>
        <w:t>CVC Placement</w:t>
      </w:r>
      <w:r w:rsidRPr="00C90ED7">
        <w:rPr>
          <w:rFonts w:cstheme="minorHAnsi"/>
          <w:b/>
          <w:bCs/>
          <w:u w:val="single"/>
        </w:rPr>
        <w:t xml:space="preserve"> by </w:t>
      </w:r>
      <w:r>
        <w:rPr>
          <w:rFonts w:cstheme="minorHAnsi"/>
          <w:b/>
          <w:bCs/>
          <w:u w:val="single"/>
        </w:rPr>
        <w:t>Region</w:t>
      </w:r>
      <w:r w:rsidRPr="00C90ED7">
        <w:rPr>
          <w:rFonts w:cstheme="minorHAnsi"/>
          <w:b/>
          <w:bCs/>
          <w:u w:val="single"/>
        </w:rPr>
        <w:t>:</w:t>
      </w:r>
    </w:p>
    <w:p w:rsidR="00C90ED7" w:rsidRPr="00C90ED7" w:rsidRDefault="00C90ED7" w:rsidP="00C90ED7">
      <w:pPr>
        <w:tabs>
          <w:tab w:val="left" w:pos="2780"/>
        </w:tabs>
        <w:autoSpaceDE w:val="0"/>
        <w:autoSpaceDN w:val="0"/>
        <w:adjustRightInd w:val="0"/>
        <w:spacing w:after="0" w:line="240" w:lineRule="auto"/>
        <w:rPr>
          <w:rFonts w:cstheme="minorHAnsi"/>
          <w:bCs/>
        </w:rPr>
      </w:pPr>
    </w:p>
    <w:tbl>
      <w:tblPr>
        <w:tblW w:w="10006" w:type="dxa"/>
        <w:tblInd w:w="93" w:type="dxa"/>
        <w:tblLook w:val="04A0" w:firstRow="1" w:lastRow="0" w:firstColumn="1" w:lastColumn="0" w:noHBand="0" w:noVBand="1"/>
      </w:tblPr>
      <w:tblGrid>
        <w:gridCol w:w="1115"/>
        <w:gridCol w:w="1090"/>
        <w:gridCol w:w="1153"/>
        <w:gridCol w:w="1091"/>
        <w:gridCol w:w="1153"/>
        <w:gridCol w:w="1091"/>
        <w:gridCol w:w="1153"/>
        <w:gridCol w:w="1114"/>
        <w:gridCol w:w="1153"/>
      </w:tblGrid>
      <w:tr w:rsidR="00C90ED7" w:rsidRPr="00C90ED7" w:rsidTr="00C04CC7">
        <w:trPr>
          <w:trHeight w:val="1800"/>
        </w:trPr>
        <w:tc>
          <w:tcPr>
            <w:tcW w:w="1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90ED7" w:rsidRPr="00AC78F6" w:rsidRDefault="00C90ED7" w:rsidP="00C04CC7">
            <w:pPr>
              <w:spacing w:after="0" w:line="240" w:lineRule="auto"/>
              <w:jc w:val="center"/>
              <w:rPr>
                <w:rFonts w:eastAsia="Times New Roman" w:cs="Arial"/>
                <w:b/>
                <w:color w:val="000000"/>
              </w:rPr>
            </w:pPr>
            <w:r w:rsidRPr="00AC78F6">
              <w:rPr>
                <w:rFonts w:eastAsia="Times New Roman" w:cs="Arial"/>
                <w:b/>
                <w:color w:val="000000"/>
              </w:rPr>
              <w:t>US Region</w:t>
            </w:r>
          </w:p>
        </w:tc>
        <w:tc>
          <w:tcPr>
            <w:tcW w:w="109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90ED7" w:rsidRPr="00AC78F6" w:rsidRDefault="00C90ED7" w:rsidP="00C04CC7">
            <w:pPr>
              <w:spacing w:after="0" w:line="240" w:lineRule="auto"/>
              <w:jc w:val="center"/>
              <w:rPr>
                <w:rFonts w:eastAsia="Times New Roman" w:cs="Arial"/>
                <w:b/>
                <w:color w:val="000000"/>
              </w:rPr>
            </w:pPr>
            <w:r w:rsidRPr="00AC78F6">
              <w:rPr>
                <w:rFonts w:eastAsia="Times New Roman" w:cs="Arial"/>
                <w:b/>
                <w:color w:val="000000"/>
              </w:rPr>
              <w:t>Total number of Cases</w:t>
            </w:r>
          </w:p>
        </w:tc>
        <w:tc>
          <w:tcPr>
            <w:tcW w:w="115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90ED7" w:rsidRPr="00AC78F6" w:rsidRDefault="00C90ED7" w:rsidP="00C04CC7">
            <w:pPr>
              <w:spacing w:after="0" w:line="240" w:lineRule="auto"/>
              <w:jc w:val="center"/>
              <w:rPr>
                <w:rFonts w:eastAsia="Times New Roman" w:cs="Arial"/>
                <w:b/>
                <w:color w:val="000000"/>
              </w:rPr>
            </w:pPr>
            <w:r w:rsidRPr="00AC78F6">
              <w:rPr>
                <w:rFonts w:eastAsia="Times New Roman" w:cs="Arial"/>
                <w:b/>
                <w:color w:val="000000"/>
              </w:rPr>
              <w:t>Count Medicare</w:t>
            </w:r>
          </w:p>
        </w:tc>
        <w:tc>
          <w:tcPr>
            <w:tcW w:w="109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90ED7" w:rsidRPr="00AC78F6" w:rsidRDefault="00C90ED7" w:rsidP="00C04CC7">
            <w:pPr>
              <w:spacing w:after="0" w:line="240" w:lineRule="auto"/>
              <w:jc w:val="center"/>
              <w:rPr>
                <w:rFonts w:eastAsia="Times New Roman" w:cs="Arial"/>
                <w:b/>
                <w:color w:val="000000"/>
              </w:rPr>
            </w:pPr>
            <w:r w:rsidRPr="00AC78F6">
              <w:rPr>
                <w:rFonts w:eastAsia="Times New Roman" w:cs="Arial"/>
                <w:b/>
                <w:color w:val="000000"/>
              </w:rPr>
              <w:t>Count Measure Met</w:t>
            </w:r>
          </w:p>
        </w:tc>
        <w:tc>
          <w:tcPr>
            <w:tcW w:w="115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90ED7" w:rsidRPr="00AC78F6" w:rsidRDefault="00C90ED7" w:rsidP="00C04CC7">
            <w:pPr>
              <w:spacing w:after="0" w:line="240" w:lineRule="auto"/>
              <w:jc w:val="center"/>
              <w:rPr>
                <w:rFonts w:eastAsia="Times New Roman" w:cs="Arial"/>
                <w:b/>
                <w:color w:val="000000"/>
              </w:rPr>
            </w:pPr>
            <w:r w:rsidRPr="00AC78F6">
              <w:rPr>
                <w:rFonts w:eastAsia="Times New Roman" w:cs="Arial"/>
                <w:b/>
                <w:color w:val="000000"/>
              </w:rPr>
              <w:t>Count Medicare and Measure Met</w:t>
            </w:r>
          </w:p>
        </w:tc>
        <w:tc>
          <w:tcPr>
            <w:tcW w:w="109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90ED7" w:rsidRPr="00AC78F6" w:rsidRDefault="00C90ED7" w:rsidP="00C04CC7">
            <w:pPr>
              <w:spacing w:after="0" w:line="240" w:lineRule="auto"/>
              <w:jc w:val="center"/>
              <w:rPr>
                <w:rFonts w:eastAsia="Times New Roman" w:cs="Arial"/>
                <w:b/>
                <w:color w:val="000000"/>
              </w:rPr>
            </w:pPr>
            <w:r w:rsidRPr="00AC78F6">
              <w:rPr>
                <w:rFonts w:eastAsia="Times New Roman" w:cs="Arial"/>
                <w:b/>
                <w:color w:val="000000"/>
              </w:rPr>
              <w:t>Count Exempt</w:t>
            </w:r>
          </w:p>
        </w:tc>
        <w:tc>
          <w:tcPr>
            <w:tcW w:w="115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90ED7" w:rsidRPr="00AC78F6" w:rsidRDefault="00C90ED7" w:rsidP="00C04CC7">
            <w:pPr>
              <w:spacing w:after="0" w:line="240" w:lineRule="auto"/>
              <w:jc w:val="center"/>
              <w:rPr>
                <w:rFonts w:eastAsia="Times New Roman" w:cs="Arial"/>
                <w:b/>
                <w:color w:val="000000"/>
              </w:rPr>
            </w:pPr>
            <w:r w:rsidRPr="00AC78F6">
              <w:rPr>
                <w:rFonts w:eastAsia="Times New Roman" w:cs="Arial"/>
                <w:b/>
                <w:color w:val="000000"/>
              </w:rPr>
              <w:t>Count Medicare and Exempt</w:t>
            </w:r>
          </w:p>
        </w:tc>
        <w:tc>
          <w:tcPr>
            <w:tcW w:w="11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90ED7" w:rsidRPr="00AC78F6" w:rsidRDefault="00C90ED7" w:rsidP="00C04CC7">
            <w:pPr>
              <w:spacing w:after="0" w:line="240" w:lineRule="auto"/>
              <w:jc w:val="center"/>
              <w:rPr>
                <w:rFonts w:eastAsia="Times New Roman" w:cs="Arial"/>
                <w:b/>
                <w:color w:val="000000"/>
              </w:rPr>
            </w:pPr>
            <w:r w:rsidRPr="00AC78F6">
              <w:rPr>
                <w:rFonts w:eastAsia="Times New Roman" w:cs="Arial"/>
                <w:b/>
                <w:color w:val="000000"/>
              </w:rPr>
              <w:t>Count Exempt Not Specified</w:t>
            </w:r>
          </w:p>
        </w:tc>
        <w:tc>
          <w:tcPr>
            <w:tcW w:w="115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90ED7" w:rsidRPr="00AC78F6" w:rsidRDefault="00C90ED7" w:rsidP="00C04CC7">
            <w:pPr>
              <w:spacing w:after="0" w:line="240" w:lineRule="auto"/>
              <w:jc w:val="center"/>
              <w:rPr>
                <w:rFonts w:eastAsia="Times New Roman" w:cs="Arial"/>
                <w:b/>
                <w:color w:val="000000"/>
              </w:rPr>
            </w:pPr>
            <w:r w:rsidRPr="00AC78F6">
              <w:rPr>
                <w:rFonts w:eastAsia="Times New Roman" w:cs="Arial"/>
                <w:b/>
                <w:color w:val="000000"/>
              </w:rPr>
              <w:t>Count Medicare and Exempt Not Specified</w:t>
            </w:r>
          </w:p>
        </w:tc>
      </w:tr>
      <w:tr w:rsidR="00C90ED7" w:rsidRPr="00C90ED7" w:rsidTr="00C04CC7">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Region 4: West</w:t>
            </w:r>
          </w:p>
        </w:tc>
        <w:tc>
          <w:tcPr>
            <w:tcW w:w="1090"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37,810</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12,958</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2,438</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2,384</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7</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2</w:t>
            </w:r>
          </w:p>
        </w:tc>
        <w:tc>
          <w:tcPr>
            <w:tcW w:w="1114"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38</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18</w:t>
            </w:r>
          </w:p>
        </w:tc>
      </w:tr>
      <w:tr w:rsidR="00C90ED7" w:rsidRPr="00C90ED7" w:rsidTr="00C04CC7">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Region 3: South</w:t>
            </w:r>
          </w:p>
        </w:tc>
        <w:tc>
          <w:tcPr>
            <w:tcW w:w="1090"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95,207</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31,606</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2,057</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1,394</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30</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11</w:t>
            </w:r>
          </w:p>
        </w:tc>
        <w:tc>
          <w:tcPr>
            <w:tcW w:w="1114"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318</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58</w:t>
            </w:r>
          </w:p>
        </w:tc>
      </w:tr>
      <w:tr w:rsidR="00C90ED7" w:rsidRPr="00C90ED7" w:rsidTr="00C04CC7">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Region 1: Northeast</w:t>
            </w:r>
          </w:p>
        </w:tc>
        <w:tc>
          <w:tcPr>
            <w:tcW w:w="1090"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18,397</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4,696</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809</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326</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7</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3</w:t>
            </w:r>
          </w:p>
        </w:tc>
        <w:tc>
          <w:tcPr>
            <w:tcW w:w="1114"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111</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105</w:t>
            </w:r>
          </w:p>
        </w:tc>
      </w:tr>
      <w:tr w:rsidR="00C90ED7" w:rsidRPr="00C90ED7" w:rsidTr="00C04CC7">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Region 2: Midwest</w:t>
            </w:r>
          </w:p>
        </w:tc>
        <w:tc>
          <w:tcPr>
            <w:tcW w:w="1090"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56,868</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20,150</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2,642</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2,087</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53</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23</w:t>
            </w:r>
          </w:p>
        </w:tc>
        <w:tc>
          <w:tcPr>
            <w:tcW w:w="1114"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158</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120</w:t>
            </w:r>
          </w:p>
        </w:tc>
      </w:tr>
      <w:tr w:rsidR="00C90ED7" w:rsidRPr="00C90ED7" w:rsidTr="00C04CC7">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Unknown</w:t>
            </w:r>
          </w:p>
        </w:tc>
        <w:tc>
          <w:tcPr>
            <w:tcW w:w="1090"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9</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4</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0</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0</w:t>
            </w:r>
          </w:p>
        </w:tc>
        <w:tc>
          <w:tcPr>
            <w:tcW w:w="1091"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0</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0</w:t>
            </w:r>
          </w:p>
        </w:tc>
        <w:tc>
          <w:tcPr>
            <w:tcW w:w="1114"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0</w:t>
            </w:r>
          </w:p>
        </w:tc>
        <w:tc>
          <w:tcPr>
            <w:tcW w:w="1153" w:type="dxa"/>
            <w:tcBorders>
              <w:top w:val="nil"/>
              <w:left w:val="nil"/>
              <w:bottom w:val="single" w:sz="4" w:space="0" w:color="auto"/>
              <w:right w:val="single" w:sz="4" w:space="0" w:color="auto"/>
            </w:tcBorders>
            <w:shd w:val="clear" w:color="auto" w:fill="auto"/>
            <w:noWrap/>
            <w:vAlign w:val="center"/>
            <w:hideMark/>
          </w:tcPr>
          <w:p w:rsidR="00C90ED7" w:rsidRPr="00AC78F6" w:rsidRDefault="00C90ED7" w:rsidP="00C04CC7">
            <w:pPr>
              <w:spacing w:after="0" w:line="240" w:lineRule="auto"/>
              <w:rPr>
                <w:rFonts w:eastAsia="Times New Roman" w:cs="Arial"/>
                <w:color w:val="000000"/>
              </w:rPr>
            </w:pPr>
            <w:r w:rsidRPr="00AC78F6">
              <w:rPr>
                <w:rFonts w:eastAsia="Times New Roman" w:cs="Arial"/>
                <w:color w:val="000000"/>
              </w:rPr>
              <w:t>0</w:t>
            </w:r>
          </w:p>
        </w:tc>
      </w:tr>
    </w:tbl>
    <w:p w:rsidR="00C90ED7" w:rsidRPr="00C90ED7" w:rsidRDefault="00C90ED7" w:rsidP="00DB3627">
      <w:pPr>
        <w:autoSpaceDE w:val="0"/>
        <w:autoSpaceDN w:val="0"/>
        <w:adjustRightInd w:val="0"/>
        <w:spacing w:after="0" w:line="240" w:lineRule="auto"/>
        <w:rPr>
          <w:rFonts w:cstheme="minorHAnsi"/>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C90ED7" w:rsidRDefault="00C90ED7" w:rsidP="00DB3627">
      <w:pPr>
        <w:autoSpaceDE w:val="0"/>
        <w:autoSpaceDN w:val="0"/>
        <w:adjustRightInd w:val="0"/>
        <w:spacing w:after="0" w:line="240" w:lineRule="auto"/>
        <w:rPr>
          <w:rFonts w:cs="Arial"/>
          <w:b/>
          <w:bCs/>
          <w:u w:val="single"/>
        </w:rPr>
      </w:pPr>
    </w:p>
    <w:p w:rsidR="007F30DD" w:rsidRPr="00AC78F6" w:rsidRDefault="00C90ED7" w:rsidP="00DB3627">
      <w:pPr>
        <w:autoSpaceDE w:val="0"/>
        <w:autoSpaceDN w:val="0"/>
        <w:adjustRightInd w:val="0"/>
        <w:spacing w:after="0" w:line="240" w:lineRule="auto"/>
        <w:rPr>
          <w:rFonts w:cs="Arial"/>
          <w:b/>
          <w:bCs/>
          <w:u w:val="single"/>
        </w:rPr>
      </w:pPr>
      <w:r>
        <w:rPr>
          <w:rFonts w:cs="Arial"/>
          <w:b/>
          <w:bCs/>
          <w:u w:val="single"/>
        </w:rPr>
        <w:t>CVC Placement</w:t>
      </w:r>
      <w:r w:rsidR="007D6407" w:rsidRPr="00AC78F6">
        <w:rPr>
          <w:rFonts w:cs="Arial"/>
          <w:b/>
          <w:bCs/>
          <w:u w:val="single"/>
        </w:rPr>
        <w:t xml:space="preserve"> by Anesthesia Practice: </w:t>
      </w:r>
    </w:p>
    <w:p w:rsidR="00E56629" w:rsidRPr="00AC78F6" w:rsidRDefault="00E56629" w:rsidP="00DB3627">
      <w:pPr>
        <w:autoSpaceDE w:val="0"/>
        <w:autoSpaceDN w:val="0"/>
        <w:adjustRightInd w:val="0"/>
        <w:spacing w:after="0" w:line="240" w:lineRule="auto"/>
        <w:rPr>
          <w:rFonts w:cs="Arial"/>
          <w:b/>
          <w:bCs/>
          <w:u w:val="single"/>
        </w:rPr>
      </w:pPr>
    </w:p>
    <w:p w:rsidR="00E56629" w:rsidRPr="00AC78F6" w:rsidRDefault="00E56629" w:rsidP="00E56629">
      <w:pPr>
        <w:autoSpaceDE w:val="0"/>
        <w:autoSpaceDN w:val="0"/>
        <w:adjustRightInd w:val="0"/>
        <w:spacing w:after="0" w:line="240" w:lineRule="auto"/>
        <w:rPr>
          <w:rFonts w:cs="Arial"/>
          <w:bCs/>
        </w:rPr>
      </w:pPr>
      <w:r w:rsidRPr="00AC78F6">
        <w:rPr>
          <w:rFonts w:cs="Arial"/>
          <w:bCs/>
        </w:rPr>
        <w:t>Using NACOR data, CVC placements by anesthesia practice:</w:t>
      </w:r>
    </w:p>
    <w:p w:rsidR="00E56629" w:rsidRPr="00AC78F6" w:rsidRDefault="00E56629" w:rsidP="00E56629">
      <w:pPr>
        <w:autoSpaceDE w:val="0"/>
        <w:autoSpaceDN w:val="0"/>
        <w:adjustRightInd w:val="0"/>
        <w:spacing w:after="0" w:line="240" w:lineRule="auto"/>
        <w:ind w:firstLine="720"/>
        <w:rPr>
          <w:rFonts w:cs="Arial"/>
          <w:bCs/>
        </w:rPr>
      </w:pPr>
      <w:r w:rsidRPr="00AC78F6">
        <w:rPr>
          <w:rFonts w:cs="Arial"/>
          <w:bCs/>
        </w:rPr>
        <w:t>Min = 1</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Max = 14,597</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Mean = 1,440</w:t>
      </w:r>
      <w:r w:rsidR="00C90ED7" w:rsidRPr="00AC78F6">
        <w:rPr>
          <w:rFonts w:cs="Arial"/>
          <w:bCs/>
        </w:rPr>
        <w:t>.08</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Median = 98</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1</w:t>
      </w:r>
      <w:r w:rsidRPr="00AC78F6">
        <w:rPr>
          <w:rFonts w:cs="Arial"/>
          <w:bCs/>
          <w:vertAlign w:val="superscript"/>
        </w:rPr>
        <w:t>st</w:t>
      </w:r>
      <w:r w:rsidRPr="00AC78F6">
        <w:rPr>
          <w:rFonts w:cs="Arial"/>
          <w:bCs/>
        </w:rPr>
        <w:t xml:space="preserve"> Quartile = 18</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3</w:t>
      </w:r>
      <w:r w:rsidRPr="00AC78F6">
        <w:rPr>
          <w:rFonts w:cs="Arial"/>
          <w:bCs/>
          <w:vertAlign w:val="superscript"/>
        </w:rPr>
        <w:t>rd</w:t>
      </w:r>
      <w:r w:rsidRPr="00AC78F6">
        <w:rPr>
          <w:rFonts w:cs="Arial"/>
          <w:bCs/>
        </w:rPr>
        <w:t xml:space="preserve"> Quartile = 381.5</w:t>
      </w:r>
    </w:p>
    <w:p w:rsidR="00E56629" w:rsidRPr="00AC78F6" w:rsidRDefault="00E56629" w:rsidP="00E56629">
      <w:pPr>
        <w:autoSpaceDE w:val="0"/>
        <w:autoSpaceDN w:val="0"/>
        <w:adjustRightInd w:val="0"/>
        <w:spacing w:after="0" w:line="240" w:lineRule="auto"/>
        <w:rPr>
          <w:rFonts w:cs="Arial"/>
          <w:bCs/>
        </w:rPr>
      </w:pPr>
    </w:p>
    <w:p w:rsidR="00E56629" w:rsidRPr="00AC78F6" w:rsidRDefault="00E56629" w:rsidP="00E56629">
      <w:pPr>
        <w:autoSpaceDE w:val="0"/>
        <w:autoSpaceDN w:val="0"/>
        <w:adjustRightInd w:val="0"/>
        <w:spacing w:after="0" w:line="240" w:lineRule="auto"/>
        <w:rPr>
          <w:rFonts w:cs="Arial"/>
          <w:bCs/>
        </w:rPr>
      </w:pPr>
      <w:r w:rsidRPr="00AC78F6">
        <w:rPr>
          <w:rFonts w:cs="Arial"/>
          <w:bCs/>
        </w:rPr>
        <w:t>The following chart displays CVC placements by anesthesia practice:</w:t>
      </w:r>
    </w:p>
    <w:p w:rsidR="00E56629" w:rsidRPr="00AC78F6" w:rsidRDefault="00E56629" w:rsidP="00E56629">
      <w:pPr>
        <w:autoSpaceDE w:val="0"/>
        <w:autoSpaceDN w:val="0"/>
        <w:adjustRightInd w:val="0"/>
        <w:spacing w:after="0" w:line="240" w:lineRule="auto"/>
        <w:rPr>
          <w:rFonts w:cs="Arial"/>
          <w:bCs/>
        </w:rPr>
      </w:pPr>
    </w:p>
    <w:p w:rsidR="00E56629" w:rsidRPr="00AC78F6" w:rsidRDefault="00E56629" w:rsidP="00E56629">
      <w:pPr>
        <w:autoSpaceDE w:val="0"/>
        <w:autoSpaceDN w:val="0"/>
        <w:adjustRightInd w:val="0"/>
        <w:spacing w:after="0" w:line="240" w:lineRule="auto"/>
        <w:rPr>
          <w:rFonts w:cs="Arial"/>
          <w:bCs/>
        </w:rPr>
      </w:pPr>
      <w:r w:rsidRPr="00AC78F6">
        <w:rPr>
          <w:rFonts w:cs="Arial"/>
          <w:noProof/>
        </w:rPr>
        <w:drawing>
          <wp:inline distT="0" distB="0" distL="0" distR="0" wp14:anchorId="170305E9" wp14:editId="6A068838">
            <wp:extent cx="4444409" cy="2902689"/>
            <wp:effectExtent l="0" t="0" r="13335" b="1206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D6407" w:rsidRPr="00AC78F6" w:rsidRDefault="007D6407" w:rsidP="00DB3627">
      <w:pPr>
        <w:autoSpaceDE w:val="0"/>
        <w:autoSpaceDN w:val="0"/>
        <w:adjustRightInd w:val="0"/>
        <w:spacing w:after="0" w:line="240" w:lineRule="auto"/>
        <w:rPr>
          <w:rFonts w:cs="Arial"/>
          <w:bCs/>
        </w:rPr>
      </w:pPr>
    </w:p>
    <w:p w:rsidR="00E56629" w:rsidRPr="00AC78F6" w:rsidRDefault="00C90ED7" w:rsidP="00E56629">
      <w:pPr>
        <w:autoSpaceDE w:val="0"/>
        <w:autoSpaceDN w:val="0"/>
        <w:adjustRightInd w:val="0"/>
        <w:spacing w:after="0" w:line="240" w:lineRule="auto"/>
        <w:rPr>
          <w:rFonts w:cs="Arial"/>
          <w:b/>
          <w:bCs/>
          <w:u w:val="single"/>
        </w:rPr>
      </w:pPr>
      <w:r>
        <w:rPr>
          <w:rFonts w:cs="Arial"/>
          <w:b/>
          <w:bCs/>
          <w:u w:val="single"/>
        </w:rPr>
        <w:t>CVC Placement</w:t>
      </w:r>
      <w:r w:rsidR="00E56629" w:rsidRPr="00AC78F6">
        <w:rPr>
          <w:rFonts w:cs="Arial"/>
          <w:b/>
          <w:bCs/>
          <w:u w:val="single"/>
        </w:rPr>
        <w:t xml:space="preserve"> by Facility:</w:t>
      </w:r>
    </w:p>
    <w:p w:rsidR="00E56629" w:rsidRPr="00AC78F6" w:rsidRDefault="00E56629" w:rsidP="00DB3627">
      <w:pPr>
        <w:autoSpaceDE w:val="0"/>
        <w:autoSpaceDN w:val="0"/>
        <w:adjustRightInd w:val="0"/>
        <w:spacing w:after="0" w:line="240" w:lineRule="auto"/>
        <w:rPr>
          <w:rFonts w:cs="Arial"/>
          <w:bCs/>
        </w:rPr>
      </w:pPr>
    </w:p>
    <w:p w:rsidR="007D6407" w:rsidRPr="00AC78F6" w:rsidRDefault="007D6407" w:rsidP="00DB3627">
      <w:pPr>
        <w:autoSpaceDE w:val="0"/>
        <w:autoSpaceDN w:val="0"/>
        <w:adjustRightInd w:val="0"/>
        <w:spacing w:after="0" w:line="240" w:lineRule="auto"/>
        <w:rPr>
          <w:rFonts w:cs="Arial"/>
          <w:bCs/>
        </w:rPr>
      </w:pPr>
      <w:r w:rsidRPr="00AC78F6">
        <w:rPr>
          <w:rFonts w:cs="Arial"/>
          <w:bCs/>
        </w:rPr>
        <w:t>Using NACOR data, CVC p</w:t>
      </w:r>
      <w:r w:rsidR="00004BCB" w:rsidRPr="00AC78F6">
        <w:rPr>
          <w:rFonts w:cs="Arial"/>
          <w:bCs/>
        </w:rPr>
        <w:t>lacements by facility</w:t>
      </w:r>
      <w:r w:rsidRPr="00AC78F6">
        <w:rPr>
          <w:rFonts w:cs="Arial"/>
          <w:bCs/>
        </w:rPr>
        <w:t>:</w:t>
      </w:r>
    </w:p>
    <w:p w:rsidR="007D6407" w:rsidRPr="00AC78F6" w:rsidRDefault="007D6407" w:rsidP="00DB3627">
      <w:pPr>
        <w:autoSpaceDE w:val="0"/>
        <w:autoSpaceDN w:val="0"/>
        <w:adjustRightInd w:val="0"/>
        <w:spacing w:after="0" w:line="240" w:lineRule="auto"/>
        <w:rPr>
          <w:rFonts w:cs="Arial"/>
          <w:bCs/>
        </w:rPr>
      </w:pPr>
      <w:r w:rsidRPr="00AC78F6">
        <w:rPr>
          <w:rFonts w:cs="Arial"/>
          <w:bCs/>
        </w:rPr>
        <w:tab/>
        <w:t>Min = 1</w:t>
      </w:r>
    </w:p>
    <w:p w:rsidR="007D6407" w:rsidRPr="00AC78F6" w:rsidRDefault="007D6407" w:rsidP="00DB3627">
      <w:pPr>
        <w:autoSpaceDE w:val="0"/>
        <w:autoSpaceDN w:val="0"/>
        <w:adjustRightInd w:val="0"/>
        <w:spacing w:after="0" w:line="240" w:lineRule="auto"/>
        <w:rPr>
          <w:rFonts w:cs="Arial"/>
          <w:bCs/>
        </w:rPr>
      </w:pPr>
      <w:r w:rsidRPr="00AC78F6">
        <w:rPr>
          <w:rFonts w:cs="Arial"/>
          <w:bCs/>
        </w:rPr>
        <w:tab/>
        <w:t>Max = 12,619</w:t>
      </w:r>
    </w:p>
    <w:p w:rsidR="007D6407" w:rsidRPr="00AC78F6" w:rsidRDefault="007D6407" w:rsidP="00DB3627">
      <w:pPr>
        <w:autoSpaceDE w:val="0"/>
        <w:autoSpaceDN w:val="0"/>
        <w:adjustRightInd w:val="0"/>
        <w:spacing w:after="0" w:line="240" w:lineRule="auto"/>
        <w:rPr>
          <w:rFonts w:cs="Arial"/>
          <w:bCs/>
        </w:rPr>
      </w:pPr>
      <w:r w:rsidRPr="00AC78F6">
        <w:rPr>
          <w:rFonts w:cs="Arial"/>
          <w:bCs/>
        </w:rPr>
        <w:tab/>
        <w:t>Mean = 402</w:t>
      </w:r>
      <w:r w:rsidR="00C90ED7" w:rsidRPr="00AC78F6">
        <w:rPr>
          <w:rFonts w:cs="Arial"/>
          <w:bCs/>
        </w:rPr>
        <w:t>.44</w:t>
      </w:r>
    </w:p>
    <w:p w:rsidR="007D6407" w:rsidRPr="00AC78F6" w:rsidRDefault="007D6407" w:rsidP="00DB3627">
      <w:pPr>
        <w:autoSpaceDE w:val="0"/>
        <w:autoSpaceDN w:val="0"/>
        <w:adjustRightInd w:val="0"/>
        <w:spacing w:after="0" w:line="240" w:lineRule="auto"/>
        <w:rPr>
          <w:rFonts w:cs="Arial"/>
          <w:bCs/>
        </w:rPr>
      </w:pPr>
      <w:r w:rsidRPr="00AC78F6">
        <w:rPr>
          <w:rFonts w:cs="Arial"/>
          <w:bCs/>
        </w:rPr>
        <w:tab/>
        <w:t>Median = 98</w:t>
      </w:r>
    </w:p>
    <w:p w:rsidR="007D6407" w:rsidRPr="00AC78F6" w:rsidRDefault="007D6407" w:rsidP="00DB3627">
      <w:pPr>
        <w:autoSpaceDE w:val="0"/>
        <w:autoSpaceDN w:val="0"/>
        <w:adjustRightInd w:val="0"/>
        <w:spacing w:after="0" w:line="240" w:lineRule="auto"/>
        <w:rPr>
          <w:rFonts w:cs="Arial"/>
          <w:bCs/>
        </w:rPr>
      </w:pPr>
      <w:r w:rsidRPr="00AC78F6">
        <w:rPr>
          <w:rFonts w:cs="Arial"/>
          <w:bCs/>
        </w:rPr>
        <w:tab/>
        <w:t>1</w:t>
      </w:r>
      <w:r w:rsidRPr="00AC78F6">
        <w:rPr>
          <w:rFonts w:cs="Arial"/>
          <w:bCs/>
          <w:vertAlign w:val="superscript"/>
        </w:rPr>
        <w:t>st</w:t>
      </w:r>
      <w:r w:rsidRPr="00AC78F6">
        <w:rPr>
          <w:rFonts w:cs="Arial"/>
          <w:bCs/>
        </w:rPr>
        <w:t xml:space="preserve"> Quartile = 18</w:t>
      </w:r>
    </w:p>
    <w:p w:rsidR="007D6407" w:rsidRPr="00AC78F6" w:rsidRDefault="007D6407" w:rsidP="00DB3627">
      <w:pPr>
        <w:autoSpaceDE w:val="0"/>
        <w:autoSpaceDN w:val="0"/>
        <w:adjustRightInd w:val="0"/>
        <w:spacing w:after="0" w:line="240" w:lineRule="auto"/>
        <w:rPr>
          <w:rFonts w:cs="Arial"/>
          <w:bCs/>
        </w:rPr>
      </w:pPr>
      <w:r w:rsidRPr="00AC78F6">
        <w:rPr>
          <w:rFonts w:cs="Arial"/>
          <w:bCs/>
        </w:rPr>
        <w:tab/>
        <w:t>3</w:t>
      </w:r>
      <w:r w:rsidRPr="00AC78F6">
        <w:rPr>
          <w:rFonts w:cs="Arial"/>
          <w:bCs/>
          <w:vertAlign w:val="superscript"/>
        </w:rPr>
        <w:t>rd</w:t>
      </w:r>
      <w:r w:rsidRPr="00AC78F6">
        <w:rPr>
          <w:rFonts w:cs="Arial"/>
          <w:bCs/>
        </w:rPr>
        <w:t xml:space="preserve"> Quartile = 381.5</w:t>
      </w:r>
    </w:p>
    <w:p w:rsidR="007D6407" w:rsidRPr="00AC78F6" w:rsidRDefault="007D6407" w:rsidP="00DB3627">
      <w:pPr>
        <w:autoSpaceDE w:val="0"/>
        <w:autoSpaceDN w:val="0"/>
        <w:adjustRightInd w:val="0"/>
        <w:spacing w:after="0" w:line="240" w:lineRule="auto"/>
        <w:rPr>
          <w:rFonts w:cs="Arial"/>
          <w:bCs/>
        </w:rPr>
      </w:pPr>
    </w:p>
    <w:p w:rsidR="007D6407" w:rsidRPr="00AC78F6" w:rsidRDefault="007D6407" w:rsidP="00DB3627">
      <w:pPr>
        <w:autoSpaceDE w:val="0"/>
        <w:autoSpaceDN w:val="0"/>
        <w:adjustRightInd w:val="0"/>
        <w:spacing w:after="0" w:line="240" w:lineRule="auto"/>
        <w:rPr>
          <w:rFonts w:cs="Arial"/>
          <w:bCs/>
        </w:rPr>
      </w:pPr>
      <w:r w:rsidRPr="00AC78F6">
        <w:rPr>
          <w:rFonts w:cs="Arial"/>
          <w:bCs/>
        </w:rPr>
        <w:t>The following chart displays CVC p</w:t>
      </w:r>
      <w:r w:rsidR="00004BCB" w:rsidRPr="00AC78F6">
        <w:rPr>
          <w:rFonts w:cs="Arial"/>
          <w:bCs/>
        </w:rPr>
        <w:t>lacements by facility</w:t>
      </w:r>
      <w:r w:rsidRPr="00AC78F6">
        <w:rPr>
          <w:rFonts w:cs="Arial"/>
          <w:bCs/>
        </w:rPr>
        <w:t>:</w:t>
      </w:r>
    </w:p>
    <w:p w:rsidR="007D6407" w:rsidRPr="00AC78F6" w:rsidRDefault="007D6407" w:rsidP="00DB3627">
      <w:pPr>
        <w:autoSpaceDE w:val="0"/>
        <w:autoSpaceDN w:val="0"/>
        <w:adjustRightInd w:val="0"/>
        <w:spacing w:after="0" w:line="240" w:lineRule="auto"/>
        <w:rPr>
          <w:rFonts w:cs="Arial"/>
          <w:bCs/>
        </w:rPr>
      </w:pPr>
    </w:p>
    <w:p w:rsidR="007D6407" w:rsidRPr="00AC78F6" w:rsidRDefault="007D6407" w:rsidP="00DB3627">
      <w:pPr>
        <w:autoSpaceDE w:val="0"/>
        <w:autoSpaceDN w:val="0"/>
        <w:adjustRightInd w:val="0"/>
        <w:spacing w:after="0" w:line="240" w:lineRule="auto"/>
        <w:rPr>
          <w:rFonts w:cs="Arial"/>
          <w:bCs/>
        </w:rPr>
      </w:pPr>
      <w:r w:rsidRPr="00AC78F6">
        <w:rPr>
          <w:rFonts w:cs="Arial"/>
          <w:noProof/>
        </w:rPr>
        <w:lastRenderedPageBreak/>
        <w:drawing>
          <wp:inline distT="0" distB="0" distL="0" distR="0" wp14:anchorId="17A4BE9D" wp14:editId="26314096">
            <wp:extent cx="4678326" cy="3125972"/>
            <wp:effectExtent l="0" t="0" r="27305" b="177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D6407" w:rsidRPr="00AC78F6" w:rsidRDefault="007D6407" w:rsidP="00DB3627">
      <w:pPr>
        <w:autoSpaceDE w:val="0"/>
        <w:autoSpaceDN w:val="0"/>
        <w:adjustRightInd w:val="0"/>
        <w:spacing w:after="0" w:line="240" w:lineRule="auto"/>
        <w:rPr>
          <w:rFonts w:cs="Arial"/>
          <w:bCs/>
        </w:rPr>
      </w:pPr>
    </w:p>
    <w:p w:rsidR="007D6407" w:rsidRPr="00AC78F6" w:rsidRDefault="007D6407" w:rsidP="007D6407">
      <w:pPr>
        <w:autoSpaceDE w:val="0"/>
        <w:autoSpaceDN w:val="0"/>
        <w:adjustRightInd w:val="0"/>
        <w:spacing w:after="0" w:line="240" w:lineRule="auto"/>
        <w:rPr>
          <w:rFonts w:cs="Arial"/>
          <w:bCs/>
        </w:rPr>
      </w:pPr>
      <w:r w:rsidRPr="00AC78F6">
        <w:rPr>
          <w:rFonts w:cs="Arial"/>
          <w:bCs/>
        </w:rPr>
        <w:t>Using NACOR data, CVC placements by facility type:</w:t>
      </w:r>
    </w:p>
    <w:p w:rsidR="007D6407" w:rsidRPr="00AC78F6" w:rsidRDefault="007D6407">
      <w:pPr>
        <w:autoSpaceDE w:val="0"/>
        <w:autoSpaceDN w:val="0"/>
        <w:adjustRightInd w:val="0"/>
        <w:spacing w:after="0" w:line="240" w:lineRule="auto"/>
        <w:rPr>
          <w:rFonts w:cs="Arial"/>
          <w:bCs/>
        </w:rPr>
      </w:pPr>
      <w:r w:rsidRPr="00AC78F6">
        <w:rPr>
          <w:rFonts w:cs="Arial"/>
          <w:bCs/>
        </w:rPr>
        <w:tab/>
        <w:t>Small Commu</w:t>
      </w:r>
      <w:r w:rsidR="00004BCB" w:rsidRPr="00AC78F6">
        <w:rPr>
          <w:rFonts w:cs="Arial"/>
          <w:bCs/>
        </w:rPr>
        <w:t>nity Hospital (&lt;100 beds) = 3,706</w:t>
      </w:r>
    </w:p>
    <w:p w:rsidR="007D6407" w:rsidRPr="00AC78F6" w:rsidRDefault="007D6407" w:rsidP="007D6407">
      <w:pPr>
        <w:autoSpaceDE w:val="0"/>
        <w:autoSpaceDN w:val="0"/>
        <w:adjustRightInd w:val="0"/>
        <w:spacing w:after="0" w:line="240" w:lineRule="auto"/>
        <w:rPr>
          <w:rFonts w:cs="Arial"/>
          <w:bCs/>
        </w:rPr>
      </w:pPr>
      <w:r w:rsidRPr="00AC78F6">
        <w:rPr>
          <w:rFonts w:cs="Arial"/>
          <w:bCs/>
        </w:rPr>
        <w:tab/>
      </w:r>
      <w:r w:rsidR="00004BCB" w:rsidRPr="00AC78F6">
        <w:rPr>
          <w:rFonts w:cs="Arial"/>
          <w:bCs/>
        </w:rPr>
        <w:t>Other = 16,269</w:t>
      </w:r>
    </w:p>
    <w:p w:rsidR="007D6407" w:rsidRPr="00AC78F6" w:rsidRDefault="007D6407" w:rsidP="007D6407">
      <w:pPr>
        <w:autoSpaceDE w:val="0"/>
        <w:autoSpaceDN w:val="0"/>
        <w:adjustRightInd w:val="0"/>
        <w:spacing w:after="0" w:line="240" w:lineRule="auto"/>
        <w:rPr>
          <w:rFonts w:cs="Arial"/>
          <w:bCs/>
        </w:rPr>
      </w:pPr>
      <w:r w:rsidRPr="00AC78F6">
        <w:rPr>
          <w:rFonts w:cs="Arial"/>
          <w:bCs/>
        </w:rPr>
        <w:tab/>
      </w:r>
      <w:r w:rsidR="00004BCB" w:rsidRPr="00AC78F6">
        <w:rPr>
          <w:rFonts w:cs="Arial"/>
          <w:bCs/>
        </w:rPr>
        <w:t>University Hospital = 38,595</w:t>
      </w:r>
    </w:p>
    <w:p w:rsidR="007D6407" w:rsidRPr="00AC78F6" w:rsidRDefault="007D6407" w:rsidP="007D6407">
      <w:pPr>
        <w:autoSpaceDE w:val="0"/>
        <w:autoSpaceDN w:val="0"/>
        <w:adjustRightInd w:val="0"/>
        <w:spacing w:after="0" w:line="240" w:lineRule="auto"/>
        <w:rPr>
          <w:rFonts w:cs="Arial"/>
          <w:bCs/>
        </w:rPr>
      </w:pPr>
      <w:r w:rsidRPr="00AC78F6">
        <w:rPr>
          <w:rFonts w:cs="Arial"/>
          <w:bCs/>
        </w:rPr>
        <w:tab/>
        <w:t xml:space="preserve">Large Community Hospital (500+ beds) = </w:t>
      </w:r>
      <w:r w:rsidR="00004BCB" w:rsidRPr="00AC78F6">
        <w:rPr>
          <w:rFonts w:cs="Arial"/>
          <w:bCs/>
        </w:rPr>
        <w:t>57,113</w:t>
      </w:r>
    </w:p>
    <w:p w:rsidR="007D6407" w:rsidRPr="00AC78F6" w:rsidRDefault="007D6407" w:rsidP="007D6407">
      <w:pPr>
        <w:autoSpaceDE w:val="0"/>
        <w:autoSpaceDN w:val="0"/>
        <w:adjustRightInd w:val="0"/>
        <w:spacing w:after="0" w:line="240" w:lineRule="auto"/>
        <w:rPr>
          <w:rFonts w:cs="Arial"/>
          <w:bCs/>
        </w:rPr>
      </w:pPr>
      <w:r w:rsidRPr="00AC78F6">
        <w:rPr>
          <w:rFonts w:cs="Arial"/>
          <w:bCs/>
        </w:rPr>
        <w:tab/>
        <w:t xml:space="preserve">Median Community </w:t>
      </w:r>
      <w:r w:rsidR="00004BCB" w:rsidRPr="00AC78F6">
        <w:rPr>
          <w:rFonts w:cs="Arial"/>
          <w:bCs/>
        </w:rPr>
        <w:t>Hospital (100-500 beds) = 83,611</w:t>
      </w:r>
    </w:p>
    <w:p w:rsidR="007D6407" w:rsidRPr="00AC78F6" w:rsidRDefault="00004BCB" w:rsidP="007D6407">
      <w:pPr>
        <w:autoSpaceDE w:val="0"/>
        <w:autoSpaceDN w:val="0"/>
        <w:adjustRightInd w:val="0"/>
        <w:spacing w:after="0" w:line="240" w:lineRule="auto"/>
        <w:rPr>
          <w:rFonts w:cs="Arial"/>
          <w:bCs/>
        </w:rPr>
      </w:pPr>
      <w:r w:rsidRPr="00AC78F6">
        <w:rPr>
          <w:rFonts w:cs="Arial"/>
          <w:bCs/>
        </w:rPr>
        <w:tab/>
        <w:t>Average = 39,858.8</w:t>
      </w:r>
    </w:p>
    <w:p w:rsidR="007D6407" w:rsidRPr="00AC78F6" w:rsidRDefault="007D6407" w:rsidP="007D6407">
      <w:pPr>
        <w:autoSpaceDE w:val="0"/>
        <w:autoSpaceDN w:val="0"/>
        <w:adjustRightInd w:val="0"/>
        <w:spacing w:after="0" w:line="240" w:lineRule="auto"/>
        <w:rPr>
          <w:rFonts w:cs="Arial"/>
          <w:bCs/>
        </w:rPr>
      </w:pPr>
    </w:p>
    <w:p w:rsidR="007D6407" w:rsidRPr="00AC78F6" w:rsidRDefault="007D6407" w:rsidP="007D6407">
      <w:pPr>
        <w:autoSpaceDE w:val="0"/>
        <w:autoSpaceDN w:val="0"/>
        <w:adjustRightInd w:val="0"/>
        <w:spacing w:after="0" w:line="240" w:lineRule="auto"/>
        <w:rPr>
          <w:rFonts w:cs="Arial"/>
          <w:bCs/>
        </w:rPr>
      </w:pPr>
      <w:r w:rsidRPr="00AC78F6">
        <w:rPr>
          <w:rFonts w:cs="Arial"/>
          <w:bCs/>
        </w:rPr>
        <w:t>The following chart displays CVC placements by facility type:</w:t>
      </w:r>
    </w:p>
    <w:p w:rsidR="00004BCB" w:rsidRPr="00AC78F6" w:rsidRDefault="00004BCB" w:rsidP="007D6407">
      <w:pPr>
        <w:autoSpaceDE w:val="0"/>
        <w:autoSpaceDN w:val="0"/>
        <w:adjustRightInd w:val="0"/>
        <w:spacing w:after="0" w:line="240" w:lineRule="auto"/>
        <w:rPr>
          <w:rFonts w:cs="Arial"/>
          <w:bCs/>
        </w:rPr>
      </w:pPr>
    </w:p>
    <w:p w:rsidR="00004BCB" w:rsidRPr="00AC78F6" w:rsidRDefault="00004BCB" w:rsidP="007D6407">
      <w:pPr>
        <w:autoSpaceDE w:val="0"/>
        <w:autoSpaceDN w:val="0"/>
        <w:adjustRightInd w:val="0"/>
        <w:spacing w:after="0" w:line="240" w:lineRule="auto"/>
        <w:rPr>
          <w:rFonts w:cs="Arial"/>
          <w:bCs/>
        </w:rPr>
      </w:pPr>
      <w:r w:rsidRPr="00AC78F6">
        <w:rPr>
          <w:rFonts w:cs="Arial"/>
          <w:noProof/>
        </w:rPr>
        <w:drawing>
          <wp:inline distT="0" distB="0" distL="0" distR="0" wp14:anchorId="4A879322" wp14:editId="4E24549F">
            <wp:extent cx="4678326" cy="2658139"/>
            <wp:effectExtent l="0" t="0" r="27305" b="279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D6407" w:rsidRPr="00AC78F6" w:rsidRDefault="007D6407" w:rsidP="00DB3627">
      <w:pPr>
        <w:autoSpaceDE w:val="0"/>
        <w:autoSpaceDN w:val="0"/>
        <w:adjustRightInd w:val="0"/>
        <w:spacing w:after="0" w:line="240" w:lineRule="auto"/>
        <w:rPr>
          <w:rFonts w:cs="Arial"/>
          <w:bCs/>
        </w:rPr>
      </w:pPr>
    </w:p>
    <w:p w:rsidR="00C90ED7" w:rsidRDefault="00C90ED7" w:rsidP="00C90ED7">
      <w:pPr>
        <w:autoSpaceDE w:val="0"/>
        <w:autoSpaceDN w:val="0"/>
        <w:adjustRightInd w:val="0"/>
        <w:spacing w:after="0" w:line="240" w:lineRule="auto"/>
        <w:rPr>
          <w:rFonts w:cs="Arial"/>
          <w:b/>
          <w:bCs/>
          <w:u w:val="single"/>
        </w:rPr>
      </w:pPr>
    </w:p>
    <w:p w:rsidR="00C90ED7" w:rsidRDefault="00C90ED7" w:rsidP="00C90ED7">
      <w:pPr>
        <w:autoSpaceDE w:val="0"/>
        <w:autoSpaceDN w:val="0"/>
        <w:adjustRightInd w:val="0"/>
        <w:spacing w:after="0" w:line="240" w:lineRule="auto"/>
        <w:rPr>
          <w:rFonts w:cs="Arial"/>
          <w:b/>
          <w:bCs/>
          <w:u w:val="single"/>
        </w:rPr>
      </w:pPr>
    </w:p>
    <w:p w:rsidR="00C90ED7" w:rsidRPr="00AC78F6" w:rsidRDefault="00C90ED7" w:rsidP="00C90ED7">
      <w:pPr>
        <w:autoSpaceDE w:val="0"/>
        <w:autoSpaceDN w:val="0"/>
        <w:adjustRightInd w:val="0"/>
        <w:spacing w:after="0" w:line="240" w:lineRule="auto"/>
        <w:rPr>
          <w:rFonts w:cs="Arial"/>
          <w:b/>
          <w:bCs/>
          <w:u w:val="single"/>
        </w:rPr>
      </w:pPr>
      <w:r>
        <w:rPr>
          <w:rFonts w:cs="Arial"/>
          <w:b/>
          <w:bCs/>
          <w:u w:val="single"/>
        </w:rPr>
        <w:lastRenderedPageBreak/>
        <w:t>CVC Placement</w:t>
      </w:r>
      <w:r w:rsidRPr="00AC78F6">
        <w:rPr>
          <w:rFonts w:cs="Arial"/>
          <w:b/>
          <w:bCs/>
          <w:u w:val="single"/>
        </w:rPr>
        <w:t xml:space="preserve"> by Provider:</w:t>
      </w:r>
    </w:p>
    <w:p w:rsidR="00C90ED7" w:rsidRPr="00AC78F6" w:rsidRDefault="00C90ED7" w:rsidP="00DB3627">
      <w:pPr>
        <w:autoSpaceDE w:val="0"/>
        <w:autoSpaceDN w:val="0"/>
        <w:adjustRightInd w:val="0"/>
        <w:spacing w:after="0" w:line="240" w:lineRule="auto"/>
        <w:rPr>
          <w:rFonts w:cs="Arial"/>
          <w:bCs/>
        </w:rPr>
      </w:pPr>
    </w:p>
    <w:p w:rsidR="00E56629" w:rsidRPr="00AC78F6" w:rsidRDefault="00E56629" w:rsidP="00DB3627">
      <w:pPr>
        <w:autoSpaceDE w:val="0"/>
        <w:autoSpaceDN w:val="0"/>
        <w:adjustRightInd w:val="0"/>
        <w:spacing w:after="0" w:line="240" w:lineRule="auto"/>
        <w:rPr>
          <w:rFonts w:cs="Arial"/>
          <w:bCs/>
        </w:rPr>
      </w:pPr>
      <w:r w:rsidRPr="00AC78F6">
        <w:rPr>
          <w:rFonts w:cs="Arial"/>
          <w:bCs/>
        </w:rPr>
        <w:t>Using NACOR data, CVC placements by provider:</w:t>
      </w:r>
    </w:p>
    <w:p w:rsidR="00E56629" w:rsidRPr="00AC78F6" w:rsidRDefault="00E56629" w:rsidP="00E56629">
      <w:pPr>
        <w:autoSpaceDE w:val="0"/>
        <w:autoSpaceDN w:val="0"/>
        <w:adjustRightInd w:val="0"/>
        <w:spacing w:after="0" w:line="240" w:lineRule="auto"/>
        <w:ind w:firstLine="720"/>
        <w:rPr>
          <w:rFonts w:cs="Arial"/>
          <w:bCs/>
        </w:rPr>
      </w:pPr>
      <w:r w:rsidRPr="00AC78F6">
        <w:rPr>
          <w:rFonts w:cs="Arial"/>
          <w:bCs/>
        </w:rPr>
        <w:t>Min = 1</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Max = 1,931</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Mean = 29</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Median = 74</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1</w:t>
      </w:r>
      <w:r w:rsidRPr="00AC78F6">
        <w:rPr>
          <w:rFonts w:cs="Arial"/>
          <w:bCs/>
          <w:vertAlign w:val="superscript"/>
        </w:rPr>
        <w:t>st</w:t>
      </w:r>
      <w:r w:rsidRPr="00AC78F6">
        <w:rPr>
          <w:rFonts w:cs="Arial"/>
          <w:bCs/>
        </w:rPr>
        <w:t xml:space="preserve"> Quartile = 3 </w:t>
      </w:r>
    </w:p>
    <w:p w:rsidR="00E56629" w:rsidRPr="00AC78F6" w:rsidRDefault="00E56629" w:rsidP="00E56629">
      <w:pPr>
        <w:autoSpaceDE w:val="0"/>
        <w:autoSpaceDN w:val="0"/>
        <w:adjustRightInd w:val="0"/>
        <w:spacing w:after="0" w:line="240" w:lineRule="auto"/>
        <w:rPr>
          <w:rFonts w:cs="Arial"/>
          <w:bCs/>
        </w:rPr>
      </w:pPr>
      <w:r w:rsidRPr="00AC78F6">
        <w:rPr>
          <w:rFonts w:cs="Arial"/>
          <w:bCs/>
        </w:rPr>
        <w:tab/>
        <w:t>3</w:t>
      </w:r>
      <w:r w:rsidRPr="00AC78F6">
        <w:rPr>
          <w:rFonts w:cs="Arial"/>
          <w:bCs/>
          <w:vertAlign w:val="superscript"/>
        </w:rPr>
        <w:t>rd</w:t>
      </w:r>
      <w:r w:rsidRPr="00AC78F6">
        <w:rPr>
          <w:rFonts w:cs="Arial"/>
          <w:bCs/>
        </w:rPr>
        <w:t xml:space="preserve"> Quartile = 27</w:t>
      </w:r>
    </w:p>
    <w:p w:rsidR="00E56629" w:rsidRPr="00C90ED7" w:rsidRDefault="00E56629" w:rsidP="00DB3627">
      <w:pPr>
        <w:autoSpaceDE w:val="0"/>
        <w:autoSpaceDN w:val="0"/>
        <w:adjustRightInd w:val="0"/>
        <w:spacing w:after="0" w:line="240" w:lineRule="auto"/>
        <w:rPr>
          <w:rFonts w:cstheme="minorHAnsi"/>
          <w:bCs/>
        </w:rPr>
      </w:pPr>
    </w:p>
    <w:p w:rsidR="007422FD" w:rsidRPr="00C90ED7" w:rsidRDefault="00802DEC" w:rsidP="00DB3627">
      <w:pPr>
        <w:autoSpaceDE w:val="0"/>
        <w:autoSpaceDN w:val="0"/>
        <w:adjustRightInd w:val="0"/>
        <w:spacing w:after="0" w:line="240" w:lineRule="auto"/>
        <w:rPr>
          <w:rFonts w:cstheme="minorHAnsi"/>
          <w:bCs/>
        </w:rPr>
      </w:pPr>
      <w:r w:rsidRPr="00C90ED7">
        <w:rPr>
          <w:rFonts w:cstheme="minorHAnsi"/>
          <w:bCs/>
        </w:rPr>
        <w:t xml:space="preserve">For the Medicare Limited Data Set Carrier SAF 5% File, </w:t>
      </w:r>
      <w:r w:rsidR="00AC78F6">
        <w:rPr>
          <w:rFonts w:cstheme="minorHAnsi"/>
          <w:bCs/>
        </w:rPr>
        <w:t xml:space="preserve">13,355 patients were analyzed in 2008, 12,985 patients were analyzed in 2009, </w:t>
      </w:r>
      <w:r w:rsidRPr="00C90ED7">
        <w:rPr>
          <w:rFonts w:cstheme="minorHAnsi"/>
          <w:bCs/>
        </w:rPr>
        <w:t>12,250 pat</w:t>
      </w:r>
      <w:r w:rsidR="00AC78F6">
        <w:rPr>
          <w:rFonts w:cstheme="minorHAnsi"/>
          <w:bCs/>
        </w:rPr>
        <w:t xml:space="preserve">ients were analyzed in 2010, </w:t>
      </w:r>
      <w:r w:rsidRPr="00C90ED7">
        <w:rPr>
          <w:rFonts w:cstheme="minorHAnsi"/>
          <w:bCs/>
        </w:rPr>
        <w:t>11,515 patients were analyzed in 2011</w:t>
      </w:r>
      <w:r w:rsidR="00AC78F6">
        <w:rPr>
          <w:rFonts w:cstheme="minorHAnsi"/>
          <w:bCs/>
        </w:rPr>
        <w:t xml:space="preserve"> and 10,212 patients were analyzed in 2012</w:t>
      </w:r>
      <w:r w:rsidRPr="00C90ED7">
        <w:rPr>
          <w:rFonts w:cstheme="minorHAnsi"/>
          <w:bCs/>
        </w:rPr>
        <w:t>.</w:t>
      </w:r>
    </w:p>
    <w:p w:rsidR="00802DEC" w:rsidRDefault="00802DEC"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642E1" w:rsidRDefault="004642E1" w:rsidP="00E37E1B">
      <w:pPr>
        <w:autoSpaceDE w:val="0"/>
        <w:autoSpaceDN w:val="0"/>
        <w:adjustRightInd w:val="0"/>
        <w:spacing w:after="0" w:line="240" w:lineRule="auto"/>
        <w:rPr>
          <w:rFonts w:cstheme="minorHAnsi"/>
          <w:bCs/>
        </w:rPr>
      </w:pPr>
      <w:r>
        <w:rPr>
          <w:rFonts w:cstheme="minorHAnsi"/>
          <w:bCs/>
        </w:rPr>
        <w:t>The NACOR data and the CMS data differ in average patient age; this difference can be assessed in the tables provided above, which also include the Medicare subset of the NACOR population.  This fundamental difference likely colors other assessments as well: more female than male patients are alive and in the healthcare system at later ages, and the case mix between older and younger patients is different as well.</w:t>
      </w:r>
    </w:p>
    <w:p w:rsidR="004642E1" w:rsidRDefault="004642E1" w:rsidP="00E37E1B">
      <w:pPr>
        <w:autoSpaceDE w:val="0"/>
        <w:autoSpaceDN w:val="0"/>
        <w:adjustRightInd w:val="0"/>
        <w:spacing w:after="0" w:line="240" w:lineRule="auto"/>
        <w:rPr>
          <w:rFonts w:cstheme="minorHAnsi"/>
          <w:bCs/>
        </w:rPr>
      </w:pPr>
    </w:p>
    <w:p w:rsidR="004642E1" w:rsidRDefault="004642E1" w:rsidP="00E37E1B">
      <w:pPr>
        <w:autoSpaceDE w:val="0"/>
        <w:autoSpaceDN w:val="0"/>
        <w:adjustRightInd w:val="0"/>
        <w:spacing w:after="0" w:line="240" w:lineRule="auto"/>
        <w:rPr>
          <w:rFonts w:cstheme="minorHAnsi"/>
          <w:bCs/>
        </w:rPr>
      </w:pPr>
      <w:r>
        <w:rPr>
          <w:rFonts w:cstheme="minorHAnsi"/>
          <w:bCs/>
        </w:rPr>
        <w:t xml:space="preserve">Neither NACOR nor CMS data can accurately determine the indication for CVC placement in any individual cases.  Generic reasons for anesthesiologists to place these lines include the need for reliable intravenous access in patients who will require large volumes of fluid, the need for hemodynamic monitoring in patients undergoing high risk procedures, the need for vascular access to facilitate laboratory assay of the blood, and the need for central delivery of dangerous medications.  The majority of CVC placements in NACOR (&gt; 90%) were in association with anesthesia for an associated surgical procedure.  </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CA06D8" w:rsidRPr="00A25024">
        <w:rPr>
          <w:rFonts w:cstheme="minorHAnsi"/>
          <w:bCs/>
        </w:rPr>
        <w:t xml:space="preserve">  </w:t>
      </w:r>
      <w:r w:rsidR="00D1754D"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BE0EC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BE0ECF" w:rsidRDefault="00BE0ECF" w:rsidP="008C54A9">
      <w:pPr>
        <w:autoSpaceDE w:val="0"/>
        <w:autoSpaceDN w:val="0"/>
        <w:adjustRightInd w:val="0"/>
        <w:spacing w:after="0" w:line="240" w:lineRule="auto"/>
        <w:rPr>
          <w:rFonts w:cstheme="minorHAnsi"/>
          <w:bCs/>
        </w:rPr>
      </w:pPr>
    </w:p>
    <w:p w:rsidR="00BE0ECF" w:rsidRPr="00A25024" w:rsidRDefault="00BE0ECF" w:rsidP="008C54A9">
      <w:pPr>
        <w:autoSpaceDE w:val="0"/>
        <w:autoSpaceDN w:val="0"/>
        <w:adjustRightInd w:val="0"/>
        <w:spacing w:after="0" w:line="240" w:lineRule="auto"/>
        <w:rPr>
          <w:rFonts w:cstheme="minorHAnsi"/>
          <w:bCs/>
        </w:rPr>
      </w:pPr>
      <w:r>
        <w:rPr>
          <w:rFonts w:cstheme="minorHAnsi"/>
          <w:bCs/>
        </w:rPr>
        <w:t xml:space="preserve">At present, the only measure testing which has occurred is gross comparison of results in the CMS and NACOR data sets.  As indicated above, this comparison has revealed substantial effort is still needed to </w:t>
      </w:r>
      <w:r>
        <w:rPr>
          <w:rFonts w:cstheme="minorHAnsi"/>
          <w:bCs/>
        </w:rPr>
        <w:lastRenderedPageBreak/>
        <w:t xml:space="preserve">ensure that all anesthesiologists who are correctly documenting performance at the local level can transmit this information to NACOR, where national-level aggregation and validation will be possible.  </w:t>
      </w:r>
    </w:p>
    <w:p w:rsidR="008C54A9" w:rsidRPr="00A25024" w:rsidRDefault="008C54A9" w:rsidP="008C54A9">
      <w:pPr>
        <w:autoSpaceDE w:val="0"/>
        <w:autoSpaceDN w:val="0"/>
        <w:adjustRightInd w:val="0"/>
        <w:spacing w:after="0" w:line="240" w:lineRule="auto"/>
        <w:rPr>
          <w:rFonts w:cstheme="minorHAnsi"/>
          <w:bCs/>
        </w:rPr>
      </w:pPr>
    </w:p>
    <w:p w:rsidR="00BE0ECF"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3. For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BE0ECF" w:rsidRDefault="00BE0ECF" w:rsidP="008C54A9">
      <w:pPr>
        <w:autoSpaceDE w:val="0"/>
        <w:autoSpaceDN w:val="0"/>
        <w:adjustRightInd w:val="0"/>
        <w:spacing w:after="0" w:line="240" w:lineRule="auto"/>
        <w:rPr>
          <w:rFonts w:cstheme="minorHAnsi"/>
          <w:bCs/>
        </w:rPr>
      </w:pPr>
    </w:p>
    <w:p w:rsidR="007422FD" w:rsidRPr="00A25024" w:rsidRDefault="00067294" w:rsidP="008C54A9">
      <w:pPr>
        <w:autoSpaceDE w:val="0"/>
        <w:autoSpaceDN w:val="0"/>
        <w:adjustRightInd w:val="0"/>
        <w:spacing w:after="0" w:line="240" w:lineRule="auto"/>
        <w:rPr>
          <w:rFonts w:cstheme="minorHAnsi"/>
          <w:bCs/>
        </w:rPr>
      </w:pPr>
      <w:r>
        <w:rPr>
          <w:rFonts w:cstheme="minorHAnsi"/>
          <w:bCs/>
        </w:rPr>
        <w:t>The question is not applicable since the measure score confirms accurate translation of the provider’s documentation into a digital capture system. Data from the Medicare Limited Data Set Carrier SAF – 5% File and NACOR confirm that the measure score is precise.</w:t>
      </w:r>
      <w:r w:rsidR="00BE0ECF">
        <w:rPr>
          <w:rFonts w:cstheme="minorHAnsi"/>
          <w:bCs/>
        </w:rPr>
        <w:t xml:space="preserve">  </w:t>
      </w:r>
      <w:r w:rsidR="0048008A" w:rsidRPr="00A25024">
        <w:rPr>
          <w:rFonts w:cstheme="minorHAnsi"/>
          <w:bCs/>
        </w:rPr>
        <w:br/>
      </w:r>
    </w:p>
    <w:p w:rsidR="00BE0ECF"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rsidR="00BE0ECF" w:rsidRDefault="00BE0ECF" w:rsidP="00DB3627">
      <w:pPr>
        <w:autoSpaceDE w:val="0"/>
        <w:autoSpaceDN w:val="0"/>
        <w:adjustRightInd w:val="0"/>
        <w:spacing w:after="0" w:line="240" w:lineRule="auto"/>
        <w:rPr>
          <w:rFonts w:cstheme="minorHAnsi"/>
          <w:bCs/>
        </w:rPr>
      </w:pPr>
    </w:p>
    <w:p w:rsidR="00BE0ECF" w:rsidRDefault="00BE0ECF" w:rsidP="00DB3627">
      <w:pPr>
        <w:autoSpaceDE w:val="0"/>
        <w:autoSpaceDN w:val="0"/>
        <w:adjustRightInd w:val="0"/>
        <w:spacing w:after="0" w:line="240" w:lineRule="auto"/>
        <w:rPr>
          <w:rFonts w:cstheme="minorHAnsi"/>
          <w:bCs/>
        </w:rPr>
      </w:pPr>
      <w:r>
        <w:rPr>
          <w:rFonts w:cstheme="minorHAnsi"/>
          <w:bCs/>
        </w:rPr>
        <w:t xml:space="preserve">This measure is not reliably reported by all eligible professionals. Early development of the NACOR model suggests that it is possible to document and report performance in practices with the appropriate information technology or on-site abstraction in place, and that universal reporting is therefore an attainable goal.  </w:t>
      </w:r>
    </w:p>
    <w:p w:rsidR="00BE0ECF" w:rsidRDefault="00BE0ECF" w:rsidP="00DB3627">
      <w:pPr>
        <w:autoSpaceDE w:val="0"/>
        <w:autoSpaceDN w:val="0"/>
        <w:adjustRightInd w:val="0"/>
        <w:spacing w:after="0" w:line="240" w:lineRule="auto"/>
        <w:rPr>
          <w:rFonts w:cstheme="minorHAnsi"/>
          <w:bCs/>
        </w:rPr>
      </w:pPr>
    </w:p>
    <w:p w:rsidR="007422FD" w:rsidRPr="00A25024" w:rsidRDefault="007422FD"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4642E1">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B86EFC"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06729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B86EFC"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06729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06729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BD7664" w:rsidRPr="00A25024" w:rsidRDefault="00BD7664" w:rsidP="00DB3627">
      <w:pPr>
        <w:autoSpaceDE w:val="0"/>
        <w:autoSpaceDN w:val="0"/>
        <w:adjustRightInd w:val="0"/>
        <w:spacing w:after="0" w:line="240" w:lineRule="auto"/>
        <w:rPr>
          <w:rFonts w:cstheme="minorHAnsi"/>
          <w:bCs/>
        </w:rPr>
      </w:pPr>
    </w:p>
    <w:p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067294" w:rsidRPr="005C6BD5" w:rsidRDefault="00067294" w:rsidP="00DB3627">
      <w:pPr>
        <w:autoSpaceDE w:val="0"/>
        <w:autoSpaceDN w:val="0"/>
        <w:adjustRightInd w:val="0"/>
        <w:spacing w:after="0" w:line="240" w:lineRule="auto"/>
        <w:rPr>
          <w:rFonts w:cstheme="minorHAnsi"/>
          <w:b/>
          <w:bCs/>
          <w:u w:val="single"/>
        </w:rPr>
      </w:pPr>
      <w:r>
        <w:rPr>
          <w:rFonts w:cstheme="minorHAnsi"/>
          <w:b/>
          <w:bCs/>
          <w:u w:val="single"/>
        </w:rPr>
        <w:t>CRITICAL DATA ELEMENTS</w:t>
      </w:r>
    </w:p>
    <w:p w:rsidR="004A05BD" w:rsidRDefault="004642E1" w:rsidP="00DB3627">
      <w:pPr>
        <w:autoSpaceDE w:val="0"/>
        <w:autoSpaceDN w:val="0"/>
        <w:adjustRightInd w:val="0"/>
        <w:spacing w:after="0" w:line="240" w:lineRule="auto"/>
        <w:rPr>
          <w:rFonts w:cstheme="minorHAnsi"/>
          <w:bCs/>
        </w:rPr>
      </w:pPr>
      <w:r w:rsidRPr="004642E1">
        <w:rPr>
          <w:rFonts w:cstheme="minorHAnsi"/>
          <w:bCs/>
        </w:rPr>
        <w:t xml:space="preserve">NACOR data </w:t>
      </w:r>
      <w:r w:rsidR="00117F66">
        <w:rPr>
          <w:rFonts w:cstheme="minorHAnsi"/>
          <w:bCs/>
        </w:rPr>
        <w:t xml:space="preserve">is imported directly from existing electronic sources.  As data files are translated into the system they undergo a series of quality checks, as well as both automated and manual review.  Key metrics are compared to previous reports from the same practice as well as to benchmarks established in the broader registry, and outliers are identified and followed up with the sending practice.  </w:t>
      </w:r>
    </w:p>
    <w:p w:rsidR="00AB7402" w:rsidRDefault="00AB7402" w:rsidP="00DB3627">
      <w:pPr>
        <w:autoSpaceDE w:val="0"/>
        <w:autoSpaceDN w:val="0"/>
        <w:adjustRightInd w:val="0"/>
        <w:spacing w:after="0" w:line="240" w:lineRule="auto"/>
        <w:rPr>
          <w:rFonts w:cstheme="minorHAnsi"/>
          <w:bCs/>
        </w:rPr>
      </w:pPr>
    </w:p>
    <w:p w:rsidR="00AB7402" w:rsidRDefault="00AB7402" w:rsidP="00DB3627">
      <w:pPr>
        <w:autoSpaceDE w:val="0"/>
        <w:autoSpaceDN w:val="0"/>
        <w:adjustRightInd w:val="0"/>
        <w:spacing w:after="0" w:line="240" w:lineRule="auto"/>
        <w:rPr>
          <w:rFonts w:cstheme="minorHAnsi"/>
          <w:bCs/>
        </w:rPr>
      </w:pPr>
      <w:r>
        <w:rPr>
          <w:rFonts w:cstheme="minorHAnsi"/>
          <w:bCs/>
        </w:rPr>
        <w:t xml:space="preserve">While these steps can insure the integrity of electronic transmission of existing information, they do not validate the primary creation of those data or their abstraction into a billing or quality management system.  The first step is inherently challenging, as performance on this measure is typically documented by a checkbox in the anesthesia or surgical record, either on paper or in an electronic form.  Validation would require direct observation of the procedure itself (or review of video images), and will be prohibitively expensive and intrusive in all except focused research studies.  Even then, direct </w:t>
      </w:r>
      <w:r>
        <w:rPr>
          <w:rFonts w:cstheme="minorHAnsi"/>
          <w:bCs/>
        </w:rPr>
        <w:lastRenderedPageBreak/>
        <w:t xml:space="preserve">observation may strongly bias performance.  </w:t>
      </w:r>
      <w:r w:rsidR="00BE0ECF">
        <w:rPr>
          <w:rFonts w:cstheme="minorHAnsi"/>
          <w:bCs/>
        </w:rPr>
        <w:t xml:space="preserve">Like many measures, this one will depend for some time on attestation of performance by the providers involved. </w:t>
      </w:r>
    </w:p>
    <w:p w:rsidR="00BE0ECF" w:rsidRDefault="00BE0ECF" w:rsidP="00DB3627">
      <w:pPr>
        <w:autoSpaceDE w:val="0"/>
        <w:autoSpaceDN w:val="0"/>
        <w:adjustRightInd w:val="0"/>
        <w:spacing w:after="0" w:line="240" w:lineRule="auto"/>
        <w:rPr>
          <w:rFonts w:cstheme="minorHAnsi"/>
          <w:bCs/>
        </w:rPr>
      </w:pPr>
    </w:p>
    <w:p w:rsidR="00BE0ECF" w:rsidRDefault="00BE0ECF" w:rsidP="00DB3627">
      <w:pPr>
        <w:autoSpaceDE w:val="0"/>
        <w:autoSpaceDN w:val="0"/>
        <w:adjustRightInd w:val="0"/>
        <w:spacing w:after="0" w:line="240" w:lineRule="auto"/>
        <w:rPr>
          <w:rFonts w:cstheme="minorHAnsi"/>
          <w:bCs/>
        </w:rPr>
      </w:pPr>
      <w:r>
        <w:rPr>
          <w:rFonts w:cstheme="minorHAnsi"/>
          <w:bCs/>
        </w:rPr>
        <w:t xml:space="preserve">The second stage of validation, confirming accurate translation of the provider’s documentation into a digital capture system, is commonly assessed by retrospective random audits which compare the local medical record to the information captured in the national registry.  NACOR has provisions in place for just such auditing, which will begin in the coming year.  NACOR audits may take on a different form than those conducted by older registries, as NACOR is designed to move electronic data directly from the medical record to the registry, without the need for human abstractors.  </w:t>
      </w:r>
    </w:p>
    <w:p w:rsidR="00117F66" w:rsidRPr="004642E1" w:rsidRDefault="00117F66" w:rsidP="00DB3627">
      <w:pPr>
        <w:autoSpaceDE w:val="0"/>
        <w:autoSpaceDN w:val="0"/>
        <w:adjustRightInd w:val="0"/>
        <w:spacing w:after="0" w:line="240" w:lineRule="auto"/>
        <w:rPr>
          <w:rFonts w:cstheme="minorHAnsi"/>
          <w:bCs/>
        </w:rPr>
      </w:pPr>
    </w:p>
    <w:p w:rsidR="00067294" w:rsidRPr="005C6BD5" w:rsidRDefault="00067294" w:rsidP="00067294">
      <w:pPr>
        <w:spacing w:after="0" w:line="240" w:lineRule="auto"/>
        <w:rPr>
          <w:b/>
          <w:u w:val="single"/>
        </w:rPr>
      </w:pPr>
      <w:r w:rsidRPr="005C6BD5">
        <w:rPr>
          <w:b/>
          <w:u w:val="single"/>
        </w:rPr>
        <w:t>PERFORMANCE MEASURE SCORE – SYSTEMATIC REVIEW OF FACE VALIDITY</w:t>
      </w:r>
    </w:p>
    <w:p w:rsidR="00067294" w:rsidRPr="005C6BD5" w:rsidRDefault="00067294" w:rsidP="00067294">
      <w:pPr>
        <w:spacing w:after="0" w:line="240" w:lineRule="auto"/>
      </w:pPr>
      <w:r w:rsidRPr="005C6BD5">
        <w:t>As part of the measure maintenance for NQF #0464, American Society of Anesthesiologists solicited a Measure Expert Panel (MEP) that consisted of 37 experts to perform face validity testing on the measure. The names of MEP members have been provided in application question Ad.2.</w:t>
      </w:r>
    </w:p>
    <w:p w:rsidR="00067294" w:rsidRPr="005C6BD5" w:rsidRDefault="00067294" w:rsidP="00DB3627">
      <w:pPr>
        <w:autoSpaceDE w:val="0"/>
        <w:autoSpaceDN w:val="0"/>
        <w:adjustRightInd w:val="0"/>
        <w:spacing w:after="0" w:line="240" w:lineRule="auto"/>
        <w:rPr>
          <w:rFonts w:cstheme="minorHAnsi"/>
          <w:bCs/>
        </w:rPr>
      </w:pPr>
    </w:p>
    <w:p w:rsidR="00752F91" w:rsidRPr="005C6BD5" w:rsidRDefault="00752F91" w:rsidP="00DB3627">
      <w:pPr>
        <w:autoSpaceDE w:val="0"/>
        <w:autoSpaceDN w:val="0"/>
        <w:adjustRightInd w:val="0"/>
        <w:spacing w:after="0" w:line="240" w:lineRule="auto"/>
        <w:rPr>
          <w:rFonts w:cstheme="minorHAnsi"/>
          <w:bCs/>
        </w:rPr>
      </w:pPr>
      <w:r w:rsidRPr="005C6BD5">
        <w:rPr>
          <w:rFonts w:cstheme="minorHAnsi"/>
          <w:bCs/>
        </w:rPr>
        <w:t xml:space="preserve">Face validity of the measure score as an indicator of quality was systematically assessed as follows: </w:t>
      </w:r>
    </w:p>
    <w:p w:rsidR="00752F91" w:rsidRPr="005C6BD5" w:rsidRDefault="00752F91" w:rsidP="00752F91">
      <w:pPr>
        <w:spacing w:after="0" w:line="240" w:lineRule="auto"/>
      </w:pPr>
    </w:p>
    <w:p w:rsidR="00752F91" w:rsidRPr="005C6BD5" w:rsidRDefault="00752F91" w:rsidP="00752F91">
      <w:pPr>
        <w:spacing w:after="0" w:line="240" w:lineRule="auto"/>
      </w:pPr>
      <w:r w:rsidRPr="005C6BD5">
        <w:t>The MEP reviewed NQF #0464 measure specifications and members were asked to rate their agreement with the following statement: “The scores obtained from the measure as specified will provide an accurate reflection of quality and can be used to distinguish good and poor quality.”</w:t>
      </w:r>
    </w:p>
    <w:p w:rsidR="00752F91" w:rsidRPr="005C6BD5" w:rsidRDefault="00752F91" w:rsidP="00752F91">
      <w:pPr>
        <w:spacing w:after="0" w:line="240" w:lineRule="auto"/>
      </w:pPr>
    </w:p>
    <w:p w:rsidR="00752F91" w:rsidRPr="00752F91" w:rsidRDefault="00752F91" w:rsidP="00752F91">
      <w:pPr>
        <w:spacing w:after="0" w:line="240" w:lineRule="auto"/>
      </w:pPr>
      <w:r w:rsidRPr="005C6BD5">
        <w:t>MEP members were able to rate their agreement on a five-point rating scale: Strongly Disagree, Disagree, Neither Agree nor Disagree, Agree, Strongly Agree.</w:t>
      </w:r>
    </w:p>
    <w:p w:rsidR="00752F91" w:rsidRPr="00752F91" w:rsidRDefault="00752F91" w:rsidP="00DB3627">
      <w:pPr>
        <w:autoSpaceDE w:val="0"/>
        <w:autoSpaceDN w:val="0"/>
        <w:adjustRightInd w:val="0"/>
        <w:spacing w:after="0" w:line="240" w:lineRule="auto"/>
        <w:rPr>
          <w:rFonts w:cstheme="minorHAnsi"/>
          <w:bCs/>
        </w:rPr>
      </w:pPr>
    </w:p>
    <w:p w:rsidR="004A05BD" w:rsidRPr="004A05B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067294" w:rsidRDefault="00067294" w:rsidP="00092566">
      <w:pPr>
        <w:autoSpaceDE w:val="0"/>
        <w:autoSpaceDN w:val="0"/>
        <w:adjustRightInd w:val="0"/>
        <w:spacing w:after="0" w:line="240" w:lineRule="auto"/>
        <w:rPr>
          <w:b/>
          <w:u w:val="single"/>
        </w:rPr>
      </w:pPr>
      <w:r w:rsidRPr="00944A99">
        <w:rPr>
          <w:b/>
          <w:u w:val="single"/>
        </w:rPr>
        <w:t>PERFORMANCE MEASURE SCORE –</w:t>
      </w:r>
      <w:r>
        <w:rPr>
          <w:b/>
          <w:u w:val="single"/>
        </w:rPr>
        <w:t xml:space="preserve"> </w:t>
      </w:r>
      <w:r w:rsidRPr="00944A99">
        <w:rPr>
          <w:b/>
          <w:u w:val="single"/>
        </w:rPr>
        <w:t>VALIDITY</w:t>
      </w:r>
      <w:r w:rsidR="00D8731B">
        <w:rPr>
          <w:b/>
          <w:u w:val="single"/>
        </w:rPr>
        <w:t xml:space="preserve"> TESTING</w:t>
      </w:r>
    </w:p>
    <w:p w:rsidR="00067294" w:rsidRDefault="00067294" w:rsidP="00D8731B">
      <w:pPr>
        <w:autoSpaceDE w:val="0"/>
        <w:autoSpaceDN w:val="0"/>
        <w:adjustRightInd w:val="0"/>
        <w:spacing w:after="0" w:line="240" w:lineRule="auto"/>
        <w:rPr>
          <w:rFonts w:cstheme="minorHAnsi"/>
          <w:bCs/>
        </w:rPr>
      </w:pPr>
      <w:r>
        <w:t xml:space="preserve">Using the </w:t>
      </w:r>
      <w:r>
        <w:rPr>
          <w:rFonts w:cstheme="minorHAnsi"/>
          <w:bCs/>
        </w:rPr>
        <w:t>Medicare Limited Data Set Carrier SAF – 5% File</w:t>
      </w:r>
      <w:r w:rsidR="00D8731B">
        <w:rPr>
          <w:rFonts w:cstheme="minorHAnsi"/>
          <w:bCs/>
        </w:rPr>
        <w:t xml:space="preserve"> for 2012, </w:t>
      </w:r>
      <w:r>
        <w:rPr>
          <w:rFonts w:cstheme="minorHAnsi"/>
          <w:bCs/>
        </w:rPr>
        <w:t xml:space="preserve">a t-test </w:t>
      </w:r>
      <w:r w:rsidR="00D8731B">
        <w:rPr>
          <w:rFonts w:cstheme="minorHAnsi"/>
          <w:bCs/>
        </w:rPr>
        <w:t xml:space="preserve">was conducted </w:t>
      </w:r>
      <w:r>
        <w:rPr>
          <w:rFonts w:cstheme="minorHAnsi"/>
          <w:bCs/>
        </w:rPr>
        <w:t>to see if there was a significant risk between those that reported the insertion protocol versus that did not submit the protocol.</w:t>
      </w:r>
      <w:r w:rsidR="00D8731B">
        <w:rPr>
          <w:rFonts w:cstheme="minorHAnsi"/>
          <w:bCs/>
        </w:rPr>
        <w:t xml:space="preserve"> Those with the CRBSI protocol reported were slightly older, less likely to have End Stage Renal Disease, and less likely to be dead. Gender and race were not different between the two groups.</w:t>
      </w:r>
    </w:p>
    <w:p w:rsidR="00067294" w:rsidRDefault="00067294" w:rsidP="00092566">
      <w:pPr>
        <w:autoSpaceDE w:val="0"/>
        <w:autoSpaceDN w:val="0"/>
        <w:adjustRightInd w:val="0"/>
        <w:spacing w:after="0" w:line="240" w:lineRule="auto"/>
        <w:rPr>
          <w:rFonts w:cstheme="minorHAnsi"/>
          <w:bCs/>
        </w:rPr>
      </w:pPr>
    </w:p>
    <w:p w:rsidR="00067294" w:rsidRPr="00EB4C8C" w:rsidRDefault="00067294" w:rsidP="00067294">
      <w:pPr>
        <w:spacing w:after="0" w:line="240" w:lineRule="auto"/>
        <w:jc w:val="center"/>
        <w:rPr>
          <w:b/>
          <w:sz w:val="28"/>
        </w:rPr>
      </w:pPr>
      <w:r>
        <w:rPr>
          <w:b/>
          <w:sz w:val="28"/>
        </w:rPr>
        <w:t>Patients with CVC Insertion: Comparison of Mean Characteristics</w:t>
      </w:r>
      <w:r>
        <w:rPr>
          <w:b/>
          <w:sz w:val="28"/>
        </w:rPr>
        <w:br/>
        <w:t xml:space="preserve">for Those With </w:t>
      </w:r>
      <w:r w:rsidRPr="00EB4C8C">
        <w:rPr>
          <w:b/>
          <w:sz w:val="28"/>
        </w:rPr>
        <w:t xml:space="preserve">and </w:t>
      </w:r>
      <w:r>
        <w:rPr>
          <w:b/>
          <w:sz w:val="28"/>
        </w:rPr>
        <w:t xml:space="preserve">Without </w:t>
      </w:r>
      <w:r w:rsidRPr="00EB4C8C">
        <w:rPr>
          <w:b/>
          <w:sz w:val="28"/>
        </w:rPr>
        <w:t>CRBSI Protocol Reported</w:t>
      </w:r>
    </w:p>
    <w:p w:rsidR="00067294" w:rsidRPr="00EB4C8C" w:rsidRDefault="00067294" w:rsidP="00067294">
      <w:pPr>
        <w:spacing w:after="0" w:line="240" w:lineRule="auto"/>
        <w:jc w:val="center"/>
        <w:rPr>
          <w:sz w:val="28"/>
        </w:rPr>
      </w:pPr>
      <w:r w:rsidRPr="00EB4C8C">
        <w:rPr>
          <w:sz w:val="28"/>
        </w:rPr>
        <w:t>Based on Medicare 5% Sample Claims Files</w:t>
      </w:r>
    </w:p>
    <w:p w:rsidR="00067294" w:rsidRDefault="00067294" w:rsidP="00067294">
      <w:pPr>
        <w:spacing w:after="0" w:line="240" w:lineRule="auto"/>
        <w:jc w:val="center"/>
        <w:rPr>
          <w:b/>
          <w:sz w:val="24"/>
        </w:rPr>
      </w:pPr>
    </w:p>
    <w:p w:rsidR="00067294" w:rsidRPr="005C6BD5" w:rsidRDefault="00067294" w:rsidP="005C6BD5">
      <w:pPr>
        <w:spacing w:after="0" w:line="240" w:lineRule="auto"/>
        <w:jc w:val="center"/>
        <w:rPr>
          <w:b/>
          <w:sz w:val="24"/>
        </w:rPr>
      </w:pPr>
      <w:r>
        <w:rPr>
          <w:b/>
          <w:sz w:val="24"/>
        </w:rPr>
        <w:t>2012</w:t>
      </w:r>
    </w:p>
    <w:p w:rsidR="00067294" w:rsidRDefault="00067294" w:rsidP="00067294">
      <w:pPr>
        <w:spacing w:after="0" w:line="240" w:lineRule="auto"/>
        <w:rPr>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8"/>
        <w:gridCol w:w="1814"/>
        <w:gridCol w:w="1814"/>
        <w:gridCol w:w="1814"/>
        <w:gridCol w:w="1596"/>
      </w:tblGrid>
      <w:tr w:rsidR="00067294" w:rsidTr="00022AC1">
        <w:tc>
          <w:tcPr>
            <w:tcW w:w="2538" w:type="dxa"/>
            <w:tcBorders>
              <w:top w:val="single" w:sz="12" w:space="0" w:color="auto"/>
            </w:tcBorders>
          </w:tcPr>
          <w:p w:rsidR="00067294" w:rsidRPr="00CC257A" w:rsidRDefault="00067294" w:rsidP="00022AC1">
            <w:pPr>
              <w:spacing w:before="60"/>
              <w:rPr>
                <w:b/>
              </w:rPr>
            </w:pPr>
          </w:p>
        </w:tc>
        <w:tc>
          <w:tcPr>
            <w:tcW w:w="5442" w:type="dxa"/>
            <w:gridSpan w:val="3"/>
            <w:tcBorders>
              <w:top w:val="single" w:sz="12" w:space="0" w:color="auto"/>
              <w:bottom w:val="single" w:sz="6" w:space="0" w:color="auto"/>
            </w:tcBorders>
          </w:tcPr>
          <w:p w:rsidR="00067294" w:rsidRPr="00CC257A" w:rsidRDefault="00067294" w:rsidP="00022AC1">
            <w:pPr>
              <w:spacing w:before="60"/>
              <w:jc w:val="center"/>
              <w:rPr>
                <w:b/>
              </w:rPr>
            </w:pPr>
            <w:r>
              <w:rPr>
                <w:b/>
              </w:rPr>
              <w:t>Mean or Proportion</w:t>
            </w:r>
          </w:p>
        </w:tc>
        <w:tc>
          <w:tcPr>
            <w:tcW w:w="1596" w:type="dxa"/>
            <w:tcBorders>
              <w:top w:val="single" w:sz="12" w:space="0" w:color="auto"/>
            </w:tcBorders>
          </w:tcPr>
          <w:p w:rsidR="00067294" w:rsidRPr="00CC257A" w:rsidRDefault="00067294" w:rsidP="00022AC1">
            <w:pPr>
              <w:spacing w:before="60"/>
              <w:rPr>
                <w:b/>
              </w:rPr>
            </w:pPr>
          </w:p>
        </w:tc>
      </w:tr>
      <w:tr w:rsidR="00067294" w:rsidTr="00022AC1">
        <w:tc>
          <w:tcPr>
            <w:tcW w:w="2538" w:type="dxa"/>
            <w:tcBorders>
              <w:bottom w:val="single" w:sz="6" w:space="0" w:color="auto"/>
            </w:tcBorders>
          </w:tcPr>
          <w:p w:rsidR="00067294" w:rsidRDefault="00067294" w:rsidP="00022AC1">
            <w:pPr>
              <w:rPr>
                <w:b/>
              </w:rPr>
            </w:pPr>
          </w:p>
          <w:p w:rsidR="00067294" w:rsidRPr="00CC257A" w:rsidRDefault="00067294" w:rsidP="00022AC1">
            <w:pPr>
              <w:rPr>
                <w:b/>
              </w:rPr>
            </w:pPr>
            <w:r w:rsidRPr="00CC257A">
              <w:rPr>
                <w:b/>
              </w:rPr>
              <w:t>Patient Characteristic</w:t>
            </w:r>
          </w:p>
        </w:tc>
        <w:tc>
          <w:tcPr>
            <w:tcW w:w="1814" w:type="dxa"/>
            <w:tcBorders>
              <w:top w:val="single" w:sz="6" w:space="0" w:color="auto"/>
              <w:bottom w:val="single" w:sz="6" w:space="0" w:color="auto"/>
            </w:tcBorders>
          </w:tcPr>
          <w:p w:rsidR="00067294" w:rsidRDefault="00067294" w:rsidP="00022AC1">
            <w:pPr>
              <w:jc w:val="center"/>
              <w:rPr>
                <w:b/>
              </w:rPr>
            </w:pPr>
            <w:r>
              <w:rPr>
                <w:b/>
              </w:rPr>
              <w:t>All CVC</w:t>
            </w:r>
          </w:p>
          <w:p w:rsidR="00067294" w:rsidRPr="00CC257A" w:rsidRDefault="00067294" w:rsidP="00022AC1">
            <w:pPr>
              <w:jc w:val="center"/>
              <w:rPr>
                <w:b/>
              </w:rPr>
            </w:pPr>
            <w:r>
              <w:rPr>
                <w:b/>
              </w:rPr>
              <w:t>Insertions</w:t>
            </w:r>
          </w:p>
        </w:tc>
        <w:tc>
          <w:tcPr>
            <w:tcW w:w="1814" w:type="dxa"/>
            <w:tcBorders>
              <w:top w:val="single" w:sz="6" w:space="0" w:color="auto"/>
              <w:bottom w:val="single" w:sz="6" w:space="0" w:color="auto"/>
            </w:tcBorders>
          </w:tcPr>
          <w:p w:rsidR="00067294" w:rsidRPr="00CC257A" w:rsidRDefault="00067294" w:rsidP="00022AC1">
            <w:pPr>
              <w:jc w:val="center"/>
              <w:rPr>
                <w:b/>
              </w:rPr>
            </w:pPr>
            <w:r w:rsidRPr="00CC257A">
              <w:rPr>
                <w:b/>
              </w:rPr>
              <w:t>CRBSI Protocol</w:t>
            </w:r>
            <w:r>
              <w:rPr>
                <w:b/>
              </w:rPr>
              <w:t xml:space="preserve"> Reported</w:t>
            </w:r>
          </w:p>
        </w:tc>
        <w:tc>
          <w:tcPr>
            <w:tcW w:w="1814" w:type="dxa"/>
            <w:tcBorders>
              <w:top w:val="single" w:sz="6" w:space="0" w:color="auto"/>
              <w:bottom w:val="single" w:sz="6" w:space="0" w:color="auto"/>
            </w:tcBorders>
          </w:tcPr>
          <w:p w:rsidR="00067294" w:rsidRPr="00CC257A" w:rsidRDefault="00067294" w:rsidP="00022AC1">
            <w:pPr>
              <w:jc w:val="center"/>
              <w:rPr>
                <w:b/>
              </w:rPr>
            </w:pPr>
            <w:r>
              <w:rPr>
                <w:b/>
              </w:rPr>
              <w:t>CRBSI Protocol Not Reported</w:t>
            </w:r>
          </w:p>
        </w:tc>
        <w:tc>
          <w:tcPr>
            <w:tcW w:w="1596" w:type="dxa"/>
            <w:tcBorders>
              <w:bottom w:val="single" w:sz="6" w:space="0" w:color="auto"/>
            </w:tcBorders>
          </w:tcPr>
          <w:p w:rsidR="00067294" w:rsidRDefault="00067294" w:rsidP="00022AC1">
            <w:pPr>
              <w:jc w:val="right"/>
              <w:rPr>
                <w:b/>
                <w:i/>
              </w:rPr>
            </w:pPr>
          </w:p>
          <w:p w:rsidR="00067294" w:rsidRPr="00CC257A" w:rsidRDefault="00067294" w:rsidP="00022AC1">
            <w:pPr>
              <w:jc w:val="center"/>
              <w:rPr>
                <w:b/>
              </w:rPr>
            </w:pPr>
            <w:r w:rsidRPr="00CC257A">
              <w:rPr>
                <w:b/>
                <w:i/>
              </w:rPr>
              <w:t>P</w:t>
            </w:r>
            <w:r w:rsidRPr="00CC257A">
              <w:rPr>
                <w:b/>
              </w:rPr>
              <w:t>-Value</w:t>
            </w:r>
          </w:p>
        </w:tc>
      </w:tr>
      <w:tr w:rsidR="00067294" w:rsidTr="00022AC1">
        <w:tc>
          <w:tcPr>
            <w:tcW w:w="2538" w:type="dxa"/>
            <w:tcBorders>
              <w:top w:val="single" w:sz="6" w:space="0" w:color="auto"/>
            </w:tcBorders>
          </w:tcPr>
          <w:p w:rsidR="00067294" w:rsidRPr="00CC257A" w:rsidRDefault="00067294" w:rsidP="00022AC1">
            <w:pPr>
              <w:spacing w:before="120"/>
            </w:pPr>
            <w:r>
              <w:t>Age (years)</w:t>
            </w:r>
          </w:p>
        </w:tc>
        <w:tc>
          <w:tcPr>
            <w:tcW w:w="1814" w:type="dxa"/>
            <w:tcBorders>
              <w:top w:val="single" w:sz="6" w:space="0" w:color="auto"/>
            </w:tcBorders>
          </w:tcPr>
          <w:p w:rsidR="00067294" w:rsidRPr="00CC257A" w:rsidRDefault="00067294" w:rsidP="00022AC1">
            <w:pPr>
              <w:tabs>
                <w:tab w:val="decimal" w:pos="936"/>
              </w:tabs>
              <w:spacing w:before="120"/>
            </w:pPr>
            <w:r>
              <w:t>71.1</w:t>
            </w:r>
          </w:p>
        </w:tc>
        <w:tc>
          <w:tcPr>
            <w:tcW w:w="1814" w:type="dxa"/>
            <w:tcBorders>
              <w:top w:val="single" w:sz="6" w:space="0" w:color="auto"/>
            </w:tcBorders>
          </w:tcPr>
          <w:p w:rsidR="00067294" w:rsidRPr="00CC257A" w:rsidRDefault="00067294" w:rsidP="00022AC1">
            <w:pPr>
              <w:tabs>
                <w:tab w:val="decimal" w:pos="936"/>
              </w:tabs>
              <w:spacing w:before="120"/>
            </w:pPr>
            <w:r>
              <w:t>71.4</w:t>
            </w:r>
          </w:p>
        </w:tc>
        <w:tc>
          <w:tcPr>
            <w:tcW w:w="1814" w:type="dxa"/>
            <w:tcBorders>
              <w:top w:val="single" w:sz="6" w:space="0" w:color="auto"/>
            </w:tcBorders>
          </w:tcPr>
          <w:p w:rsidR="00067294" w:rsidRPr="00CC257A" w:rsidRDefault="00067294" w:rsidP="00022AC1">
            <w:pPr>
              <w:tabs>
                <w:tab w:val="decimal" w:pos="936"/>
              </w:tabs>
              <w:spacing w:before="120"/>
            </w:pPr>
            <w:r>
              <w:t>70.8</w:t>
            </w:r>
          </w:p>
        </w:tc>
        <w:tc>
          <w:tcPr>
            <w:tcW w:w="1596" w:type="dxa"/>
            <w:tcBorders>
              <w:top w:val="single" w:sz="6" w:space="0" w:color="auto"/>
            </w:tcBorders>
          </w:tcPr>
          <w:p w:rsidR="00067294" w:rsidRPr="00CC257A" w:rsidRDefault="00067294" w:rsidP="00022AC1">
            <w:pPr>
              <w:tabs>
                <w:tab w:val="decimal" w:pos="660"/>
              </w:tabs>
              <w:spacing w:before="120"/>
            </w:pPr>
            <w:r>
              <w:t>&lt; .01</w:t>
            </w:r>
          </w:p>
        </w:tc>
      </w:tr>
      <w:tr w:rsidR="00067294" w:rsidTr="00022AC1">
        <w:tc>
          <w:tcPr>
            <w:tcW w:w="2538" w:type="dxa"/>
            <w:tcBorders>
              <w:bottom w:val="single" w:sz="4" w:space="0" w:color="auto"/>
            </w:tcBorders>
          </w:tcPr>
          <w:p w:rsidR="00067294" w:rsidRDefault="00067294" w:rsidP="00022AC1">
            <w:pPr>
              <w:spacing w:before="60"/>
            </w:pPr>
            <w:r>
              <w:t>Proportion:</w:t>
            </w:r>
          </w:p>
        </w:tc>
        <w:tc>
          <w:tcPr>
            <w:tcW w:w="1814" w:type="dxa"/>
          </w:tcPr>
          <w:p w:rsidR="00067294" w:rsidRDefault="00067294" w:rsidP="00022AC1">
            <w:pPr>
              <w:tabs>
                <w:tab w:val="decimal" w:pos="702"/>
              </w:tabs>
              <w:spacing w:before="60"/>
            </w:pPr>
          </w:p>
        </w:tc>
        <w:tc>
          <w:tcPr>
            <w:tcW w:w="1814" w:type="dxa"/>
          </w:tcPr>
          <w:p w:rsidR="00067294" w:rsidRDefault="00067294" w:rsidP="00022AC1">
            <w:pPr>
              <w:tabs>
                <w:tab w:val="decimal" w:pos="702"/>
              </w:tabs>
              <w:spacing w:before="60"/>
            </w:pPr>
          </w:p>
        </w:tc>
        <w:tc>
          <w:tcPr>
            <w:tcW w:w="1814" w:type="dxa"/>
          </w:tcPr>
          <w:p w:rsidR="00067294" w:rsidRDefault="00067294" w:rsidP="00022AC1">
            <w:pPr>
              <w:tabs>
                <w:tab w:val="decimal" w:pos="702"/>
              </w:tabs>
              <w:spacing w:before="60"/>
            </w:pPr>
          </w:p>
        </w:tc>
        <w:tc>
          <w:tcPr>
            <w:tcW w:w="1596" w:type="dxa"/>
          </w:tcPr>
          <w:p w:rsidR="00067294" w:rsidRDefault="00067294" w:rsidP="00022AC1">
            <w:pPr>
              <w:tabs>
                <w:tab w:val="decimal" w:pos="702"/>
              </w:tabs>
              <w:spacing w:before="60"/>
            </w:pPr>
          </w:p>
        </w:tc>
      </w:tr>
      <w:tr w:rsidR="00067294" w:rsidTr="00022AC1">
        <w:tc>
          <w:tcPr>
            <w:tcW w:w="2538" w:type="dxa"/>
            <w:tcBorders>
              <w:top w:val="single" w:sz="4" w:space="0" w:color="auto"/>
            </w:tcBorders>
          </w:tcPr>
          <w:p w:rsidR="00067294" w:rsidRDefault="00067294" w:rsidP="00022AC1">
            <w:r>
              <w:t xml:space="preserve">     Male</w:t>
            </w:r>
          </w:p>
        </w:tc>
        <w:tc>
          <w:tcPr>
            <w:tcW w:w="1814" w:type="dxa"/>
          </w:tcPr>
          <w:p w:rsidR="00067294" w:rsidRPr="00CC257A" w:rsidRDefault="00067294" w:rsidP="00022AC1">
            <w:pPr>
              <w:tabs>
                <w:tab w:val="decimal" w:pos="702"/>
              </w:tabs>
            </w:pPr>
            <w:r>
              <w:t>.558</w:t>
            </w:r>
          </w:p>
        </w:tc>
        <w:tc>
          <w:tcPr>
            <w:tcW w:w="1814" w:type="dxa"/>
          </w:tcPr>
          <w:p w:rsidR="00067294" w:rsidRPr="00CC257A" w:rsidRDefault="00067294" w:rsidP="00022AC1">
            <w:pPr>
              <w:tabs>
                <w:tab w:val="decimal" w:pos="702"/>
              </w:tabs>
            </w:pPr>
            <w:r>
              <w:t>.559</w:t>
            </w:r>
          </w:p>
        </w:tc>
        <w:tc>
          <w:tcPr>
            <w:tcW w:w="1814" w:type="dxa"/>
          </w:tcPr>
          <w:p w:rsidR="00067294" w:rsidRPr="00CC257A" w:rsidRDefault="00067294" w:rsidP="00022AC1">
            <w:pPr>
              <w:tabs>
                <w:tab w:val="decimal" w:pos="702"/>
              </w:tabs>
            </w:pPr>
            <w:r>
              <w:t>.556</w:t>
            </w:r>
          </w:p>
        </w:tc>
        <w:tc>
          <w:tcPr>
            <w:tcW w:w="1596" w:type="dxa"/>
          </w:tcPr>
          <w:p w:rsidR="00067294" w:rsidRPr="00CC257A" w:rsidRDefault="00067294" w:rsidP="00022AC1">
            <w:pPr>
              <w:tabs>
                <w:tab w:val="decimal" w:pos="702"/>
              </w:tabs>
            </w:pPr>
            <w:r>
              <w:t>.75</w:t>
            </w:r>
          </w:p>
        </w:tc>
      </w:tr>
      <w:tr w:rsidR="00067294" w:rsidTr="00022AC1">
        <w:tc>
          <w:tcPr>
            <w:tcW w:w="2538" w:type="dxa"/>
          </w:tcPr>
          <w:p w:rsidR="00067294" w:rsidRDefault="00067294" w:rsidP="00022AC1">
            <w:r>
              <w:t xml:space="preserve">     Non-White</w:t>
            </w:r>
          </w:p>
        </w:tc>
        <w:tc>
          <w:tcPr>
            <w:tcW w:w="1814" w:type="dxa"/>
          </w:tcPr>
          <w:p w:rsidR="00067294" w:rsidRPr="00CC257A" w:rsidRDefault="00067294" w:rsidP="00022AC1">
            <w:pPr>
              <w:tabs>
                <w:tab w:val="decimal" w:pos="702"/>
              </w:tabs>
            </w:pPr>
            <w:r>
              <w:t>.158</w:t>
            </w:r>
          </w:p>
        </w:tc>
        <w:tc>
          <w:tcPr>
            <w:tcW w:w="1814" w:type="dxa"/>
          </w:tcPr>
          <w:p w:rsidR="00067294" w:rsidRPr="00CC257A" w:rsidRDefault="00067294" w:rsidP="00022AC1">
            <w:pPr>
              <w:tabs>
                <w:tab w:val="decimal" w:pos="702"/>
              </w:tabs>
            </w:pPr>
            <w:r>
              <w:t>.155</w:t>
            </w:r>
          </w:p>
        </w:tc>
        <w:tc>
          <w:tcPr>
            <w:tcW w:w="1814" w:type="dxa"/>
          </w:tcPr>
          <w:p w:rsidR="00067294" w:rsidRPr="00CC257A" w:rsidRDefault="00067294" w:rsidP="00022AC1">
            <w:pPr>
              <w:tabs>
                <w:tab w:val="decimal" w:pos="702"/>
              </w:tabs>
            </w:pPr>
            <w:r>
              <w:t>.161</w:t>
            </w:r>
          </w:p>
        </w:tc>
        <w:tc>
          <w:tcPr>
            <w:tcW w:w="1596" w:type="dxa"/>
          </w:tcPr>
          <w:p w:rsidR="00067294" w:rsidRPr="00CC257A" w:rsidRDefault="00067294" w:rsidP="00022AC1">
            <w:pPr>
              <w:tabs>
                <w:tab w:val="decimal" w:pos="702"/>
              </w:tabs>
            </w:pPr>
            <w:r>
              <w:t>.40</w:t>
            </w:r>
          </w:p>
        </w:tc>
      </w:tr>
      <w:tr w:rsidR="00067294" w:rsidTr="00022AC1">
        <w:tc>
          <w:tcPr>
            <w:tcW w:w="2538" w:type="dxa"/>
          </w:tcPr>
          <w:p w:rsidR="00067294" w:rsidRDefault="00067294" w:rsidP="00022AC1">
            <w:r>
              <w:lastRenderedPageBreak/>
              <w:t xml:space="preserve">     ESRD</w:t>
            </w:r>
          </w:p>
        </w:tc>
        <w:tc>
          <w:tcPr>
            <w:tcW w:w="1814" w:type="dxa"/>
          </w:tcPr>
          <w:p w:rsidR="00067294" w:rsidRPr="00CC257A" w:rsidRDefault="00067294" w:rsidP="00022AC1">
            <w:pPr>
              <w:tabs>
                <w:tab w:val="decimal" w:pos="702"/>
              </w:tabs>
            </w:pPr>
            <w:r>
              <w:t>.078</w:t>
            </w:r>
          </w:p>
        </w:tc>
        <w:tc>
          <w:tcPr>
            <w:tcW w:w="1814" w:type="dxa"/>
          </w:tcPr>
          <w:p w:rsidR="00067294" w:rsidRPr="00CC257A" w:rsidRDefault="00067294" w:rsidP="00022AC1">
            <w:pPr>
              <w:tabs>
                <w:tab w:val="decimal" w:pos="702"/>
              </w:tabs>
            </w:pPr>
            <w:r>
              <w:t>.072</w:t>
            </w:r>
          </w:p>
        </w:tc>
        <w:tc>
          <w:tcPr>
            <w:tcW w:w="1814" w:type="dxa"/>
          </w:tcPr>
          <w:p w:rsidR="00067294" w:rsidRPr="00CC257A" w:rsidRDefault="00067294" w:rsidP="00022AC1">
            <w:pPr>
              <w:tabs>
                <w:tab w:val="decimal" w:pos="702"/>
              </w:tabs>
            </w:pPr>
            <w:r>
              <w:t>.083</w:t>
            </w:r>
          </w:p>
        </w:tc>
        <w:tc>
          <w:tcPr>
            <w:tcW w:w="1596" w:type="dxa"/>
          </w:tcPr>
          <w:p w:rsidR="00067294" w:rsidRPr="00CC257A" w:rsidRDefault="00067294" w:rsidP="00022AC1">
            <w:pPr>
              <w:tabs>
                <w:tab w:val="decimal" w:pos="702"/>
              </w:tabs>
            </w:pPr>
            <w:r>
              <w:t>.03</w:t>
            </w:r>
          </w:p>
        </w:tc>
      </w:tr>
      <w:tr w:rsidR="00067294" w:rsidTr="00022AC1">
        <w:tc>
          <w:tcPr>
            <w:tcW w:w="2538" w:type="dxa"/>
            <w:tcBorders>
              <w:bottom w:val="single" w:sz="6" w:space="0" w:color="auto"/>
            </w:tcBorders>
          </w:tcPr>
          <w:p w:rsidR="00067294" w:rsidRDefault="00067294" w:rsidP="00022AC1">
            <w:pPr>
              <w:spacing w:after="60"/>
            </w:pPr>
            <w:r>
              <w:t xml:space="preserve">     Died</w:t>
            </w:r>
          </w:p>
        </w:tc>
        <w:tc>
          <w:tcPr>
            <w:tcW w:w="1814" w:type="dxa"/>
            <w:tcBorders>
              <w:bottom w:val="single" w:sz="6" w:space="0" w:color="auto"/>
            </w:tcBorders>
          </w:tcPr>
          <w:p w:rsidR="00067294" w:rsidRPr="00CC257A" w:rsidRDefault="00067294" w:rsidP="00022AC1">
            <w:pPr>
              <w:tabs>
                <w:tab w:val="decimal" w:pos="702"/>
              </w:tabs>
              <w:spacing w:after="60"/>
            </w:pPr>
            <w:r>
              <w:t>.187</w:t>
            </w:r>
          </w:p>
        </w:tc>
        <w:tc>
          <w:tcPr>
            <w:tcW w:w="1814" w:type="dxa"/>
            <w:tcBorders>
              <w:bottom w:val="single" w:sz="6" w:space="0" w:color="auto"/>
            </w:tcBorders>
          </w:tcPr>
          <w:p w:rsidR="00067294" w:rsidRPr="00CC257A" w:rsidRDefault="00067294" w:rsidP="00022AC1">
            <w:pPr>
              <w:tabs>
                <w:tab w:val="decimal" w:pos="702"/>
              </w:tabs>
              <w:spacing w:after="60"/>
            </w:pPr>
            <w:r>
              <w:t>.176</w:t>
            </w:r>
          </w:p>
        </w:tc>
        <w:tc>
          <w:tcPr>
            <w:tcW w:w="1814" w:type="dxa"/>
            <w:tcBorders>
              <w:bottom w:val="single" w:sz="6" w:space="0" w:color="auto"/>
            </w:tcBorders>
          </w:tcPr>
          <w:p w:rsidR="00067294" w:rsidRPr="00CC257A" w:rsidRDefault="00067294" w:rsidP="00022AC1">
            <w:pPr>
              <w:tabs>
                <w:tab w:val="decimal" w:pos="702"/>
              </w:tabs>
              <w:spacing w:after="60"/>
            </w:pPr>
            <w:r>
              <w:t>.198</w:t>
            </w:r>
          </w:p>
        </w:tc>
        <w:tc>
          <w:tcPr>
            <w:tcW w:w="1596" w:type="dxa"/>
            <w:tcBorders>
              <w:bottom w:val="single" w:sz="6" w:space="0" w:color="auto"/>
            </w:tcBorders>
          </w:tcPr>
          <w:p w:rsidR="00067294" w:rsidRPr="00CC257A" w:rsidRDefault="00067294" w:rsidP="00022AC1">
            <w:pPr>
              <w:tabs>
                <w:tab w:val="decimal" w:pos="702"/>
              </w:tabs>
              <w:spacing w:after="60"/>
            </w:pPr>
            <w:r>
              <w:t>&lt; .01</w:t>
            </w:r>
          </w:p>
        </w:tc>
      </w:tr>
    </w:tbl>
    <w:p w:rsidR="00067294" w:rsidRPr="00AB5433" w:rsidRDefault="00067294" w:rsidP="00067294">
      <w:pPr>
        <w:spacing w:after="0" w:line="240" w:lineRule="auto"/>
        <w:rPr>
          <w:sz w:val="24"/>
        </w:rPr>
      </w:pPr>
    </w:p>
    <w:p w:rsidR="00067294" w:rsidRDefault="00067294" w:rsidP="00092566">
      <w:pPr>
        <w:autoSpaceDE w:val="0"/>
        <w:autoSpaceDN w:val="0"/>
        <w:adjustRightInd w:val="0"/>
        <w:spacing w:after="0" w:line="240" w:lineRule="auto"/>
        <w:rPr>
          <w:rFonts w:cstheme="minorHAnsi"/>
          <w:bCs/>
        </w:rPr>
      </w:pPr>
    </w:p>
    <w:p w:rsidR="00067294" w:rsidRPr="00067294" w:rsidRDefault="00067294" w:rsidP="00092566">
      <w:pPr>
        <w:autoSpaceDE w:val="0"/>
        <w:autoSpaceDN w:val="0"/>
        <w:adjustRightInd w:val="0"/>
        <w:spacing w:after="0" w:line="240" w:lineRule="auto"/>
        <w:rPr>
          <w:rFonts w:cstheme="minorHAnsi"/>
          <w:bCs/>
        </w:rPr>
      </w:pPr>
    </w:p>
    <w:p w:rsidR="00D8731B" w:rsidRPr="005C6BD5" w:rsidRDefault="00D8731B" w:rsidP="005C6BD5">
      <w:pPr>
        <w:spacing w:after="0" w:line="240" w:lineRule="auto"/>
        <w:rPr>
          <w:b/>
          <w:u w:val="single"/>
        </w:rPr>
      </w:pPr>
      <w:r w:rsidRPr="00944A99">
        <w:rPr>
          <w:b/>
          <w:u w:val="single"/>
        </w:rPr>
        <w:t>PERFORMANCE MEASURE SCORE – SYSTEMATIC REVIEW OF FACE VALIDITY</w:t>
      </w:r>
    </w:p>
    <w:p w:rsidR="0015741C" w:rsidRPr="005C6BD5" w:rsidRDefault="00752F91" w:rsidP="00092566">
      <w:pPr>
        <w:autoSpaceDE w:val="0"/>
        <w:autoSpaceDN w:val="0"/>
        <w:adjustRightInd w:val="0"/>
        <w:spacing w:after="0" w:line="240" w:lineRule="auto"/>
        <w:rPr>
          <w:rFonts w:cstheme="minorHAnsi"/>
          <w:bCs/>
        </w:rPr>
      </w:pPr>
      <w:r w:rsidRPr="005C6BD5">
        <w:rPr>
          <w:rFonts w:cstheme="minorHAnsi"/>
          <w:bCs/>
        </w:rPr>
        <w:t>The results of</w:t>
      </w:r>
      <w:r w:rsidR="00B03312" w:rsidRPr="005C6BD5">
        <w:rPr>
          <w:rFonts w:cstheme="minorHAnsi"/>
          <w:bCs/>
        </w:rPr>
        <w:t xml:space="preserve"> the</w:t>
      </w:r>
      <w:r w:rsidRPr="005C6BD5">
        <w:rPr>
          <w:rFonts w:cstheme="minorHAnsi"/>
          <w:bCs/>
        </w:rPr>
        <w:t xml:space="preserve"> face validity </w:t>
      </w:r>
      <w:r w:rsidR="00B03312" w:rsidRPr="005C6BD5">
        <w:rPr>
          <w:rFonts w:cstheme="minorHAnsi"/>
          <w:bCs/>
        </w:rPr>
        <w:t xml:space="preserve">assessment </w:t>
      </w:r>
      <w:r w:rsidRPr="005C6BD5">
        <w:rPr>
          <w:rFonts w:cstheme="minorHAnsi"/>
          <w:bCs/>
        </w:rPr>
        <w:t xml:space="preserve">indicate that members had high levels of agreement with the statement: </w:t>
      </w:r>
      <w:r w:rsidR="00B03312" w:rsidRPr="005C6BD5">
        <w:rPr>
          <w:rFonts w:cstheme="minorHAnsi"/>
          <w:bCs/>
        </w:rPr>
        <w:t>“The scores obtained from the measure as specified will provide an accurate reflection of quality and can be used to distinguish good and poor quality.”</w:t>
      </w:r>
      <w:r w:rsidR="0015741C" w:rsidRPr="005C6BD5">
        <w:rPr>
          <w:rFonts w:cstheme="minorHAnsi"/>
          <w:bCs/>
        </w:rPr>
        <w:t xml:space="preserve"> </w:t>
      </w:r>
    </w:p>
    <w:p w:rsidR="005B509C" w:rsidRPr="005C6BD5" w:rsidRDefault="005B509C" w:rsidP="00092566">
      <w:pPr>
        <w:autoSpaceDE w:val="0"/>
        <w:autoSpaceDN w:val="0"/>
        <w:adjustRightInd w:val="0"/>
        <w:spacing w:after="0" w:line="240" w:lineRule="auto"/>
        <w:rPr>
          <w:rFonts w:cstheme="minorHAnsi"/>
          <w:bCs/>
        </w:rPr>
      </w:pPr>
    </w:p>
    <w:p w:rsidR="005B509C" w:rsidRPr="00067294" w:rsidRDefault="005B509C" w:rsidP="00092566">
      <w:pPr>
        <w:autoSpaceDE w:val="0"/>
        <w:autoSpaceDN w:val="0"/>
        <w:adjustRightInd w:val="0"/>
        <w:spacing w:after="0" w:line="240" w:lineRule="auto"/>
        <w:rPr>
          <w:rFonts w:cstheme="minorHAnsi"/>
          <w:bCs/>
        </w:rPr>
      </w:pPr>
      <w:r w:rsidRPr="005C6BD5">
        <w:rPr>
          <w:rFonts w:cstheme="minorHAnsi"/>
          <w:bCs/>
        </w:rPr>
        <w:t>The results of the expert panel rating of the validity statement were as follows: N = 37; Mean rating = 4.21 and 86% of respondents either agree or strongly agree that this measure can accurately distinguish good and poor quality.</w:t>
      </w:r>
    </w:p>
    <w:p w:rsidR="00B03312" w:rsidRPr="005C6BD5" w:rsidRDefault="00B03312" w:rsidP="00092566">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4788"/>
        <w:gridCol w:w="4788"/>
      </w:tblGrid>
      <w:tr w:rsidR="00B03312" w:rsidRPr="00067294" w:rsidTr="007F30DD">
        <w:tc>
          <w:tcPr>
            <w:tcW w:w="4788" w:type="dxa"/>
          </w:tcPr>
          <w:p w:rsidR="00B03312" w:rsidRPr="005C6BD5" w:rsidRDefault="00B03312" w:rsidP="007F30DD">
            <w:pPr>
              <w:spacing w:after="200" w:line="276" w:lineRule="auto"/>
            </w:pPr>
            <w:r w:rsidRPr="005C6BD5">
              <w:t>Rating Scale</w:t>
            </w:r>
          </w:p>
        </w:tc>
        <w:tc>
          <w:tcPr>
            <w:tcW w:w="4788" w:type="dxa"/>
          </w:tcPr>
          <w:p w:rsidR="00B03312" w:rsidRPr="005C6BD5" w:rsidRDefault="00B03312" w:rsidP="007F30DD">
            <w:pPr>
              <w:spacing w:after="200" w:line="276" w:lineRule="auto"/>
            </w:pPr>
            <w:r w:rsidRPr="005C6BD5">
              <w:t>Number who selected the rating</w:t>
            </w:r>
          </w:p>
        </w:tc>
      </w:tr>
      <w:tr w:rsidR="00B03312" w:rsidRPr="00067294" w:rsidTr="007F30DD">
        <w:tc>
          <w:tcPr>
            <w:tcW w:w="4788" w:type="dxa"/>
          </w:tcPr>
          <w:p w:rsidR="00B03312" w:rsidRPr="005C6BD5" w:rsidRDefault="00B03312" w:rsidP="007F30DD">
            <w:pPr>
              <w:spacing w:after="200" w:line="276" w:lineRule="auto"/>
            </w:pPr>
            <w:r w:rsidRPr="005C6BD5">
              <w:t>1 – Strongly Disagree</w:t>
            </w:r>
          </w:p>
        </w:tc>
        <w:tc>
          <w:tcPr>
            <w:tcW w:w="4788" w:type="dxa"/>
          </w:tcPr>
          <w:p w:rsidR="00B03312" w:rsidRPr="005C6BD5" w:rsidRDefault="00B03312" w:rsidP="007F30DD">
            <w:pPr>
              <w:spacing w:after="200" w:line="276" w:lineRule="auto"/>
            </w:pPr>
            <w:r w:rsidRPr="005C6BD5">
              <w:t>0</w:t>
            </w:r>
          </w:p>
        </w:tc>
      </w:tr>
      <w:tr w:rsidR="00B03312" w:rsidRPr="00067294" w:rsidTr="007F30DD">
        <w:tc>
          <w:tcPr>
            <w:tcW w:w="4788" w:type="dxa"/>
          </w:tcPr>
          <w:p w:rsidR="00B03312" w:rsidRPr="005C6BD5" w:rsidRDefault="00B03312" w:rsidP="007F30DD">
            <w:pPr>
              <w:spacing w:after="200" w:line="276" w:lineRule="auto"/>
            </w:pPr>
            <w:r w:rsidRPr="005C6BD5">
              <w:t>2 – Disagree</w:t>
            </w:r>
          </w:p>
        </w:tc>
        <w:tc>
          <w:tcPr>
            <w:tcW w:w="4788" w:type="dxa"/>
          </w:tcPr>
          <w:p w:rsidR="00B03312" w:rsidRPr="005C6BD5" w:rsidRDefault="00B03312" w:rsidP="007F30DD">
            <w:pPr>
              <w:spacing w:after="200" w:line="276" w:lineRule="auto"/>
            </w:pPr>
            <w:r w:rsidRPr="005C6BD5">
              <w:t>4</w:t>
            </w:r>
          </w:p>
        </w:tc>
      </w:tr>
      <w:tr w:rsidR="00B03312" w:rsidRPr="00067294" w:rsidTr="007F30DD">
        <w:tc>
          <w:tcPr>
            <w:tcW w:w="4788" w:type="dxa"/>
          </w:tcPr>
          <w:p w:rsidR="00B03312" w:rsidRPr="005C6BD5" w:rsidRDefault="00B03312" w:rsidP="007F30DD">
            <w:pPr>
              <w:spacing w:after="200" w:line="276" w:lineRule="auto"/>
            </w:pPr>
            <w:r w:rsidRPr="005C6BD5">
              <w:t>3 – Neither Agree nor Disagree</w:t>
            </w:r>
          </w:p>
        </w:tc>
        <w:tc>
          <w:tcPr>
            <w:tcW w:w="4788" w:type="dxa"/>
          </w:tcPr>
          <w:p w:rsidR="00B03312" w:rsidRPr="005C6BD5" w:rsidRDefault="00B03312" w:rsidP="007F30DD">
            <w:pPr>
              <w:spacing w:after="200" w:line="276" w:lineRule="auto"/>
            </w:pPr>
            <w:r w:rsidRPr="005C6BD5">
              <w:t>1</w:t>
            </w:r>
          </w:p>
        </w:tc>
      </w:tr>
      <w:tr w:rsidR="00B03312" w:rsidRPr="00067294" w:rsidTr="007F30DD">
        <w:tc>
          <w:tcPr>
            <w:tcW w:w="4788" w:type="dxa"/>
          </w:tcPr>
          <w:p w:rsidR="00B03312" w:rsidRPr="005C6BD5" w:rsidRDefault="00B03312" w:rsidP="007F30DD">
            <w:pPr>
              <w:spacing w:after="200" w:line="276" w:lineRule="auto"/>
            </w:pPr>
            <w:r w:rsidRPr="005C6BD5">
              <w:t>4 – Agree</w:t>
            </w:r>
          </w:p>
        </w:tc>
        <w:tc>
          <w:tcPr>
            <w:tcW w:w="4788" w:type="dxa"/>
          </w:tcPr>
          <w:p w:rsidR="00B03312" w:rsidRPr="005C6BD5" w:rsidRDefault="00B03312" w:rsidP="007F30DD">
            <w:pPr>
              <w:spacing w:after="200" w:line="276" w:lineRule="auto"/>
            </w:pPr>
            <w:r w:rsidRPr="005C6BD5">
              <w:t>15</w:t>
            </w:r>
          </w:p>
        </w:tc>
      </w:tr>
      <w:tr w:rsidR="00B03312" w:rsidRPr="00067294" w:rsidTr="007F30DD">
        <w:tc>
          <w:tcPr>
            <w:tcW w:w="4788" w:type="dxa"/>
          </w:tcPr>
          <w:p w:rsidR="00B03312" w:rsidRPr="005C6BD5" w:rsidRDefault="00B03312" w:rsidP="007F30DD">
            <w:pPr>
              <w:spacing w:after="200" w:line="276" w:lineRule="auto"/>
            </w:pPr>
            <w:r w:rsidRPr="005C6BD5">
              <w:t>5 – Strongly Agree</w:t>
            </w:r>
          </w:p>
        </w:tc>
        <w:tc>
          <w:tcPr>
            <w:tcW w:w="4788" w:type="dxa"/>
          </w:tcPr>
          <w:p w:rsidR="00B03312" w:rsidRPr="005C6BD5" w:rsidRDefault="00B03312" w:rsidP="007F30DD">
            <w:pPr>
              <w:spacing w:after="200" w:line="276" w:lineRule="auto"/>
            </w:pPr>
            <w:r w:rsidRPr="005C6BD5">
              <w:t>17</w:t>
            </w:r>
          </w:p>
        </w:tc>
      </w:tr>
      <w:tr w:rsidR="00B03312" w:rsidRPr="00067294" w:rsidTr="007F30DD">
        <w:tc>
          <w:tcPr>
            <w:tcW w:w="4788" w:type="dxa"/>
            <w:vAlign w:val="center"/>
          </w:tcPr>
          <w:p w:rsidR="00B03312" w:rsidRPr="005C6BD5" w:rsidRDefault="00B03312" w:rsidP="007F30DD">
            <w:pPr>
              <w:spacing w:after="200" w:line="276" w:lineRule="auto"/>
              <w:jc w:val="right"/>
            </w:pPr>
            <w:r w:rsidRPr="005C6BD5">
              <w:t>Total Members:</w:t>
            </w:r>
          </w:p>
        </w:tc>
        <w:tc>
          <w:tcPr>
            <w:tcW w:w="4788" w:type="dxa"/>
          </w:tcPr>
          <w:p w:rsidR="00B03312" w:rsidRPr="005C6BD5" w:rsidRDefault="00B03312" w:rsidP="007F30DD">
            <w:pPr>
              <w:spacing w:after="200" w:line="276" w:lineRule="auto"/>
            </w:pPr>
            <w:r w:rsidRPr="005C6BD5">
              <w:t>37</w:t>
            </w:r>
          </w:p>
        </w:tc>
      </w:tr>
      <w:tr w:rsidR="00B03312" w:rsidTr="007F30DD">
        <w:tc>
          <w:tcPr>
            <w:tcW w:w="4788" w:type="dxa"/>
            <w:vAlign w:val="center"/>
          </w:tcPr>
          <w:p w:rsidR="00B03312" w:rsidRPr="005C6BD5" w:rsidRDefault="00B03312" w:rsidP="007F30DD">
            <w:pPr>
              <w:spacing w:after="200" w:line="276" w:lineRule="auto"/>
              <w:jc w:val="right"/>
            </w:pPr>
            <w:r w:rsidRPr="005C6BD5">
              <w:t>Mean Score:</w:t>
            </w:r>
          </w:p>
        </w:tc>
        <w:tc>
          <w:tcPr>
            <w:tcW w:w="4788" w:type="dxa"/>
          </w:tcPr>
          <w:p w:rsidR="00B03312" w:rsidRDefault="00B03312" w:rsidP="007F30DD">
            <w:r w:rsidRPr="005C6BD5">
              <w:t>4.21</w:t>
            </w:r>
          </w:p>
        </w:tc>
      </w:tr>
    </w:tbl>
    <w:p w:rsidR="00B03312" w:rsidRDefault="00B03312" w:rsidP="00092566">
      <w:pPr>
        <w:autoSpaceDE w:val="0"/>
        <w:autoSpaceDN w:val="0"/>
        <w:adjustRightInd w:val="0"/>
        <w:spacing w:after="0" w:line="240" w:lineRule="auto"/>
        <w:rPr>
          <w:rFonts w:cstheme="minorHAnsi"/>
          <w:bCs/>
        </w:rPr>
      </w:pPr>
    </w:p>
    <w:p w:rsidR="00752F91" w:rsidRPr="00092566" w:rsidRDefault="00752F91" w:rsidP="00092566">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rsidR="00067294" w:rsidRDefault="00D8731B" w:rsidP="00DB3627">
      <w:pPr>
        <w:autoSpaceDE w:val="0"/>
        <w:autoSpaceDN w:val="0"/>
        <w:adjustRightInd w:val="0"/>
        <w:spacing w:after="0" w:line="240" w:lineRule="auto"/>
        <w:rPr>
          <w:rFonts w:cstheme="minorHAnsi"/>
          <w:bCs/>
        </w:rPr>
      </w:pPr>
      <w:r>
        <w:rPr>
          <w:rFonts w:cstheme="minorHAnsi"/>
          <w:bCs/>
        </w:rPr>
        <w:t>The t-test, using the Medicare Limited Data Set Carrier SAF – 5% File for 2012</w:t>
      </w:r>
      <w:r w:rsidR="00186B16">
        <w:rPr>
          <w:rFonts w:cstheme="minorHAnsi"/>
          <w:bCs/>
        </w:rPr>
        <w:t>,</w:t>
      </w:r>
      <w:r>
        <w:rPr>
          <w:rFonts w:cstheme="minorHAnsi"/>
          <w:bCs/>
        </w:rPr>
        <w:t xml:space="preserve"> demonstrated that those with the CRBSI protocol reported were slightly older, less likely to have End Stage Renal Disease, and less likely to be dead. Gender and race were not different between the two groups.</w:t>
      </w:r>
    </w:p>
    <w:p w:rsidR="00067294" w:rsidRDefault="00067294" w:rsidP="00DB3627">
      <w:pPr>
        <w:autoSpaceDE w:val="0"/>
        <w:autoSpaceDN w:val="0"/>
        <w:adjustRightInd w:val="0"/>
        <w:spacing w:after="0" w:line="240" w:lineRule="auto"/>
        <w:rPr>
          <w:rFonts w:cstheme="minorHAnsi"/>
          <w:bCs/>
        </w:rPr>
      </w:pPr>
    </w:p>
    <w:p w:rsidR="00E11839" w:rsidRPr="00A25024" w:rsidRDefault="00E11839" w:rsidP="00DB3627">
      <w:pPr>
        <w:autoSpaceDE w:val="0"/>
        <w:autoSpaceDN w:val="0"/>
        <w:adjustRightInd w:val="0"/>
        <w:spacing w:after="0" w:line="240" w:lineRule="auto"/>
        <w:rPr>
          <w:rFonts w:cstheme="minorHAnsi"/>
          <w:bCs/>
        </w:rPr>
      </w:pPr>
      <w:r w:rsidRPr="005C6BD5">
        <w:rPr>
          <w:rFonts w:cstheme="minorHAnsi"/>
          <w:bCs/>
        </w:rPr>
        <w:t>The results of the face validity assessment indicate that out of 37 experts, over 85% (32) agreed that the measure provides an accurate reflection of quality and can be used to distinguish good and poor quality.</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xml:space="preserve">; what </w:t>
      </w:r>
      <w:r w:rsidR="0022691B">
        <w:rPr>
          <w:rFonts w:cstheme="minorHAnsi"/>
          <w:bCs/>
          <w:i/>
        </w:rPr>
        <w:lastRenderedPageBreak/>
        <w:t>statistical analysis was used</w:t>
      </w:r>
      <w:r w:rsidR="00833325" w:rsidRPr="00A25024">
        <w:rPr>
          <w:rFonts w:cstheme="minorHAnsi"/>
          <w:bCs/>
        </w:rPr>
        <w:t>)</w:t>
      </w:r>
      <w:r w:rsidR="00833325" w:rsidRPr="00A25024">
        <w:rPr>
          <w:rFonts w:cstheme="minorHAnsi"/>
          <w:bCs/>
        </w:rPr>
        <w:br/>
        <w:t xml:space="preserve"> </w:t>
      </w:r>
    </w:p>
    <w:p w:rsidR="004A05BD" w:rsidRPr="00A25024" w:rsidRDefault="004A05BD" w:rsidP="00DB3627">
      <w:pPr>
        <w:autoSpaceDE w:val="0"/>
        <w:autoSpaceDN w:val="0"/>
        <w:adjustRightInd w:val="0"/>
        <w:spacing w:after="0" w:line="240" w:lineRule="auto"/>
        <w:rPr>
          <w:rFonts w:cstheme="minorHAnsi"/>
          <w:bCs/>
        </w:rPr>
      </w:pPr>
      <w:r w:rsidRPr="005C6BD5">
        <w:rPr>
          <w:rFonts w:cstheme="minorHAnsi"/>
          <w:bCs/>
        </w:rPr>
        <w:t>NQF #0464, as specified in NQF and the PCPI Anesthesiology and Critical Workgroup, instructs for the patient with appropriate medical reason denominator exception criteria, report 6030F with modifier 1P; modifier 2P and 3P may not be used.</w:t>
      </w:r>
      <w:r>
        <w:rPr>
          <w:rFonts w:cstheme="minorHAnsi"/>
          <w:bCs/>
        </w:rPr>
        <w:t xml:space="preserve"> </w:t>
      </w:r>
    </w:p>
    <w:p w:rsidR="00833325" w:rsidRPr="00A25024" w:rsidRDefault="00833325" w:rsidP="00DB3627">
      <w:pPr>
        <w:autoSpaceDE w:val="0"/>
        <w:autoSpaceDN w:val="0"/>
        <w:adjustRightInd w:val="0"/>
        <w:spacing w:after="0" w:line="240" w:lineRule="auto"/>
        <w:rPr>
          <w:rFonts w:cstheme="minorHAnsi"/>
          <w:bCs/>
        </w:rPr>
      </w:pPr>
    </w:p>
    <w:p w:rsidR="004A05B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rsidR="004A05BD" w:rsidRDefault="004A05BD" w:rsidP="00092566">
      <w:pPr>
        <w:autoSpaceDE w:val="0"/>
        <w:autoSpaceDN w:val="0"/>
        <w:adjustRightInd w:val="0"/>
        <w:spacing w:after="0" w:line="240" w:lineRule="auto"/>
        <w:rPr>
          <w:rFonts w:cstheme="minorHAnsi"/>
          <w:bCs/>
        </w:rPr>
      </w:pPr>
    </w:p>
    <w:p w:rsidR="00D8731B" w:rsidRDefault="00D8731B" w:rsidP="00092566">
      <w:pPr>
        <w:autoSpaceDE w:val="0"/>
        <w:autoSpaceDN w:val="0"/>
        <w:adjustRightInd w:val="0"/>
        <w:spacing w:after="0" w:line="240" w:lineRule="auto"/>
        <w:rPr>
          <w:rFonts w:cstheme="minorHAnsi"/>
          <w:bCs/>
        </w:rPr>
      </w:pPr>
      <w:r>
        <w:rPr>
          <w:rFonts w:cstheme="minorHAnsi"/>
          <w:bCs/>
        </w:rPr>
        <w:t>Using the Medicare Limited Data Set Carrier SAF – 5% File</w:t>
      </w:r>
      <w:r w:rsidR="00083E0B">
        <w:rPr>
          <w:rFonts w:cstheme="minorHAnsi"/>
          <w:bCs/>
        </w:rPr>
        <w:t xml:space="preserve"> produced the following results:</w:t>
      </w:r>
    </w:p>
    <w:p w:rsidR="00D8731B" w:rsidRDefault="00D8731B" w:rsidP="00092566">
      <w:pPr>
        <w:autoSpaceDE w:val="0"/>
        <w:autoSpaceDN w:val="0"/>
        <w:adjustRightInd w:val="0"/>
        <w:spacing w:after="0" w:line="240" w:lineRule="auto"/>
        <w:rPr>
          <w:rFonts w:cstheme="minorHAnsi"/>
          <w:bCs/>
        </w:rPr>
      </w:pPr>
    </w:p>
    <w:p w:rsidR="00D8731B" w:rsidRPr="00EB4C8C" w:rsidRDefault="00D8731B" w:rsidP="00D8731B">
      <w:pPr>
        <w:spacing w:after="0" w:line="240" w:lineRule="auto"/>
        <w:jc w:val="center"/>
        <w:rPr>
          <w:b/>
          <w:sz w:val="28"/>
        </w:rPr>
      </w:pPr>
      <w:r w:rsidRPr="00EB4C8C">
        <w:rPr>
          <w:b/>
          <w:sz w:val="28"/>
        </w:rPr>
        <w:t>CVC Insertions and CRBSI Protocol Reported and Followed</w:t>
      </w:r>
    </w:p>
    <w:p w:rsidR="00D8731B" w:rsidRPr="00EB4C8C" w:rsidRDefault="00D8731B" w:rsidP="00D8731B">
      <w:pPr>
        <w:spacing w:after="0" w:line="240" w:lineRule="auto"/>
        <w:jc w:val="center"/>
        <w:rPr>
          <w:sz w:val="28"/>
        </w:rPr>
      </w:pPr>
      <w:r w:rsidRPr="00EB4C8C">
        <w:rPr>
          <w:sz w:val="28"/>
        </w:rPr>
        <w:t>Based on Medicare 5% Sample Claims Files</w:t>
      </w:r>
    </w:p>
    <w:p w:rsidR="00D8731B" w:rsidRDefault="00D8731B" w:rsidP="00D8731B">
      <w:pPr>
        <w:spacing w:after="0" w:line="240" w:lineRule="auto"/>
        <w:jc w:val="center"/>
        <w:rPr>
          <w:b/>
          <w:sz w:val="24"/>
        </w:rPr>
      </w:pPr>
    </w:p>
    <w:p w:rsidR="00D8731B" w:rsidRDefault="00D8731B" w:rsidP="00D8731B">
      <w:pPr>
        <w:spacing w:after="0" w:line="240" w:lineRule="auto"/>
        <w:jc w:val="center"/>
        <w:rPr>
          <w:b/>
          <w:sz w:val="24"/>
        </w:rPr>
      </w:pPr>
      <w:r w:rsidRPr="00D01EC0">
        <w:rPr>
          <w:b/>
          <w:sz w:val="24"/>
        </w:rPr>
        <w:t>20</w:t>
      </w:r>
      <w:r>
        <w:rPr>
          <w:b/>
          <w:sz w:val="24"/>
        </w:rPr>
        <w:t>08 – 2012</w:t>
      </w:r>
    </w:p>
    <w:p w:rsidR="00D8731B" w:rsidRDefault="00D8731B" w:rsidP="00D8731B">
      <w:pPr>
        <w:spacing w:after="0" w:line="240" w:lineRule="auto"/>
        <w:jc w:val="center"/>
        <w:rPr>
          <w:b/>
          <w:sz w:val="24"/>
        </w:rPr>
      </w:pPr>
      <w:r>
        <w:rPr>
          <w:b/>
          <w:sz w:val="24"/>
        </w:rPr>
        <w:t>Modifier 1P as Exception</w:t>
      </w:r>
    </w:p>
    <w:p w:rsidR="00D8731B" w:rsidRPr="00AB5433" w:rsidRDefault="00D8731B" w:rsidP="00D8731B">
      <w:pPr>
        <w:spacing w:after="0" w:line="240" w:lineRule="auto"/>
        <w:rPr>
          <w:sz w:val="24"/>
        </w:rPr>
      </w:pPr>
    </w:p>
    <w:p w:rsidR="00D8731B" w:rsidRDefault="00D8731B" w:rsidP="00D8731B">
      <w:pPr>
        <w:spacing w:after="0" w:line="240" w:lineRule="auto"/>
        <w:rPr>
          <w:sz w:val="24"/>
        </w:rPr>
      </w:pPr>
    </w:p>
    <w:tbl>
      <w:tblPr>
        <w:tblW w:w="8860" w:type="dxa"/>
        <w:tblInd w:w="93" w:type="dxa"/>
        <w:tblLook w:val="04A0" w:firstRow="1" w:lastRow="0" w:firstColumn="1" w:lastColumn="0" w:noHBand="0" w:noVBand="1"/>
      </w:tblPr>
      <w:tblGrid>
        <w:gridCol w:w="2660"/>
        <w:gridCol w:w="1240"/>
        <w:gridCol w:w="1240"/>
        <w:gridCol w:w="1240"/>
        <w:gridCol w:w="1240"/>
        <w:gridCol w:w="1240"/>
      </w:tblGrid>
      <w:tr w:rsidR="00D8731B" w:rsidRPr="008B502E" w:rsidTr="00022AC1">
        <w:trPr>
          <w:trHeight w:val="300"/>
        </w:trPr>
        <w:tc>
          <w:tcPr>
            <w:tcW w:w="2660" w:type="dxa"/>
            <w:tcBorders>
              <w:top w:val="single" w:sz="12" w:space="0" w:color="auto"/>
              <w:left w:val="nil"/>
              <w:bottom w:val="single" w:sz="6" w:space="0" w:color="auto"/>
              <w:right w:val="nil"/>
            </w:tcBorders>
            <w:shd w:val="clear" w:color="auto" w:fill="auto"/>
            <w:noWrap/>
            <w:vAlign w:val="bottom"/>
            <w:hideMark/>
          </w:tcPr>
          <w:p w:rsidR="00D8731B" w:rsidRPr="008B502E" w:rsidRDefault="00D8731B" w:rsidP="00022AC1">
            <w:pPr>
              <w:spacing w:before="60" w:after="0" w:line="240" w:lineRule="auto"/>
              <w:rPr>
                <w:rFonts w:ascii="Calibri" w:eastAsia="Times New Roman" w:hAnsi="Calibri" w:cs="Times New Roman"/>
                <w:b/>
                <w:bCs/>
                <w:color w:val="000000"/>
              </w:rPr>
            </w:pPr>
            <w:r w:rsidRPr="008B502E">
              <w:rPr>
                <w:rFonts w:ascii="Calibri" w:eastAsia="Times New Roman" w:hAnsi="Calibri" w:cs="Times New Roman"/>
                <w:b/>
                <w:bCs/>
                <w:color w:val="000000"/>
              </w:rPr>
              <w:t>Indicator</w:t>
            </w:r>
          </w:p>
        </w:tc>
        <w:tc>
          <w:tcPr>
            <w:tcW w:w="1240" w:type="dxa"/>
            <w:tcBorders>
              <w:top w:val="single" w:sz="12" w:space="0" w:color="auto"/>
              <w:left w:val="nil"/>
              <w:bottom w:val="single" w:sz="6" w:space="0" w:color="auto"/>
              <w:right w:val="nil"/>
            </w:tcBorders>
            <w:shd w:val="clear" w:color="auto" w:fill="auto"/>
            <w:noWrap/>
            <w:vAlign w:val="bottom"/>
            <w:hideMark/>
          </w:tcPr>
          <w:p w:rsidR="00D8731B" w:rsidRPr="008B502E" w:rsidRDefault="00D8731B" w:rsidP="00022AC1">
            <w:pPr>
              <w:spacing w:before="60" w:after="0" w:line="240" w:lineRule="auto"/>
              <w:jc w:val="right"/>
              <w:rPr>
                <w:rFonts w:ascii="Calibri" w:eastAsia="Times New Roman" w:hAnsi="Calibri" w:cs="Times New Roman"/>
                <w:b/>
                <w:bCs/>
                <w:color w:val="000000"/>
              </w:rPr>
            </w:pPr>
            <w:r w:rsidRPr="008B502E">
              <w:rPr>
                <w:rFonts w:ascii="Calibri" w:eastAsia="Times New Roman" w:hAnsi="Calibri" w:cs="Times New Roman"/>
                <w:b/>
                <w:bCs/>
                <w:color w:val="000000"/>
              </w:rPr>
              <w:t>2008</w:t>
            </w:r>
          </w:p>
        </w:tc>
        <w:tc>
          <w:tcPr>
            <w:tcW w:w="1240" w:type="dxa"/>
            <w:tcBorders>
              <w:top w:val="single" w:sz="12" w:space="0" w:color="auto"/>
              <w:left w:val="nil"/>
              <w:bottom w:val="single" w:sz="6" w:space="0" w:color="auto"/>
              <w:right w:val="nil"/>
            </w:tcBorders>
            <w:shd w:val="clear" w:color="auto" w:fill="auto"/>
            <w:noWrap/>
            <w:vAlign w:val="bottom"/>
            <w:hideMark/>
          </w:tcPr>
          <w:p w:rsidR="00D8731B" w:rsidRPr="008B502E" w:rsidRDefault="00D8731B" w:rsidP="00022AC1">
            <w:pPr>
              <w:spacing w:before="60" w:after="0" w:line="240" w:lineRule="auto"/>
              <w:jc w:val="right"/>
              <w:rPr>
                <w:rFonts w:ascii="Calibri" w:eastAsia="Times New Roman" w:hAnsi="Calibri" w:cs="Times New Roman"/>
                <w:b/>
                <w:bCs/>
                <w:color w:val="000000"/>
              </w:rPr>
            </w:pPr>
            <w:r w:rsidRPr="008B502E">
              <w:rPr>
                <w:rFonts w:ascii="Calibri" w:eastAsia="Times New Roman" w:hAnsi="Calibri" w:cs="Times New Roman"/>
                <w:b/>
                <w:bCs/>
                <w:color w:val="000000"/>
              </w:rPr>
              <w:t>2009</w:t>
            </w:r>
          </w:p>
        </w:tc>
        <w:tc>
          <w:tcPr>
            <w:tcW w:w="1240" w:type="dxa"/>
            <w:tcBorders>
              <w:top w:val="single" w:sz="12" w:space="0" w:color="auto"/>
              <w:left w:val="nil"/>
              <w:bottom w:val="single" w:sz="6" w:space="0" w:color="auto"/>
              <w:right w:val="nil"/>
            </w:tcBorders>
            <w:shd w:val="clear" w:color="auto" w:fill="auto"/>
            <w:noWrap/>
            <w:vAlign w:val="bottom"/>
            <w:hideMark/>
          </w:tcPr>
          <w:p w:rsidR="00D8731B" w:rsidRPr="008B502E" w:rsidRDefault="00D8731B" w:rsidP="00022AC1">
            <w:pPr>
              <w:spacing w:before="60" w:after="0" w:line="240" w:lineRule="auto"/>
              <w:jc w:val="right"/>
              <w:rPr>
                <w:rFonts w:ascii="Calibri" w:eastAsia="Times New Roman" w:hAnsi="Calibri" w:cs="Times New Roman"/>
                <w:b/>
                <w:bCs/>
                <w:color w:val="000000"/>
              </w:rPr>
            </w:pPr>
            <w:r w:rsidRPr="008B502E">
              <w:rPr>
                <w:rFonts w:ascii="Calibri" w:eastAsia="Times New Roman" w:hAnsi="Calibri" w:cs="Times New Roman"/>
                <w:b/>
                <w:bCs/>
                <w:color w:val="000000"/>
              </w:rPr>
              <w:t>2010</w:t>
            </w:r>
          </w:p>
        </w:tc>
        <w:tc>
          <w:tcPr>
            <w:tcW w:w="1240" w:type="dxa"/>
            <w:tcBorders>
              <w:top w:val="single" w:sz="12" w:space="0" w:color="auto"/>
              <w:left w:val="nil"/>
              <w:bottom w:val="single" w:sz="6" w:space="0" w:color="auto"/>
              <w:right w:val="nil"/>
            </w:tcBorders>
            <w:shd w:val="clear" w:color="auto" w:fill="auto"/>
            <w:noWrap/>
            <w:vAlign w:val="bottom"/>
            <w:hideMark/>
          </w:tcPr>
          <w:p w:rsidR="00D8731B" w:rsidRPr="008B502E" w:rsidRDefault="00D8731B" w:rsidP="00022AC1">
            <w:pPr>
              <w:spacing w:before="60" w:after="0" w:line="240" w:lineRule="auto"/>
              <w:jc w:val="right"/>
              <w:rPr>
                <w:rFonts w:ascii="Calibri" w:eastAsia="Times New Roman" w:hAnsi="Calibri" w:cs="Times New Roman"/>
                <w:b/>
                <w:bCs/>
                <w:color w:val="000000"/>
              </w:rPr>
            </w:pPr>
            <w:r w:rsidRPr="008B502E">
              <w:rPr>
                <w:rFonts w:ascii="Calibri" w:eastAsia="Times New Roman" w:hAnsi="Calibri" w:cs="Times New Roman"/>
                <w:b/>
                <w:bCs/>
                <w:color w:val="000000"/>
              </w:rPr>
              <w:t>2011</w:t>
            </w:r>
          </w:p>
        </w:tc>
        <w:tc>
          <w:tcPr>
            <w:tcW w:w="1240" w:type="dxa"/>
            <w:tcBorders>
              <w:top w:val="single" w:sz="12" w:space="0" w:color="auto"/>
              <w:left w:val="nil"/>
              <w:bottom w:val="single" w:sz="6" w:space="0" w:color="auto"/>
              <w:right w:val="nil"/>
            </w:tcBorders>
            <w:shd w:val="clear" w:color="auto" w:fill="auto"/>
            <w:noWrap/>
            <w:vAlign w:val="bottom"/>
            <w:hideMark/>
          </w:tcPr>
          <w:p w:rsidR="00D8731B" w:rsidRPr="008B502E" w:rsidRDefault="00D8731B" w:rsidP="00022AC1">
            <w:pPr>
              <w:spacing w:before="60" w:after="0" w:line="240" w:lineRule="auto"/>
              <w:jc w:val="right"/>
              <w:rPr>
                <w:rFonts w:ascii="Calibri" w:eastAsia="Times New Roman" w:hAnsi="Calibri" w:cs="Times New Roman"/>
                <w:b/>
                <w:bCs/>
                <w:color w:val="000000"/>
              </w:rPr>
            </w:pPr>
            <w:r w:rsidRPr="008B502E">
              <w:rPr>
                <w:rFonts w:ascii="Calibri" w:eastAsia="Times New Roman" w:hAnsi="Calibri" w:cs="Times New Roman"/>
                <w:b/>
                <w:bCs/>
                <w:color w:val="000000"/>
              </w:rPr>
              <w:t>2012</w:t>
            </w:r>
          </w:p>
        </w:tc>
      </w:tr>
      <w:tr w:rsidR="00D8731B" w:rsidRPr="008B502E" w:rsidTr="00022AC1">
        <w:trPr>
          <w:trHeight w:val="300"/>
        </w:trPr>
        <w:tc>
          <w:tcPr>
            <w:tcW w:w="2660" w:type="dxa"/>
            <w:tcBorders>
              <w:top w:val="single" w:sz="6" w:space="0" w:color="auto"/>
              <w:left w:val="nil"/>
              <w:bottom w:val="nil"/>
              <w:right w:val="nil"/>
            </w:tcBorders>
            <w:shd w:val="clear" w:color="auto" w:fill="auto"/>
            <w:noWrap/>
            <w:vAlign w:val="bottom"/>
            <w:hideMark/>
          </w:tcPr>
          <w:p w:rsidR="00D8731B" w:rsidRPr="008B502E" w:rsidRDefault="00D8731B" w:rsidP="00022AC1">
            <w:pPr>
              <w:spacing w:before="120" w:after="0" w:line="240" w:lineRule="auto"/>
              <w:rPr>
                <w:rFonts w:ascii="Calibri" w:eastAsia="Times New Roman" w:hAnsi="Calibri" w:cs="Times New Roman"/>
                <w:color w:val="000000"/>
              </w:rPr>
            </w:pPr>
            <w:r w:rsidRPr="008B502E">
              <w:rPr>
                <w:rFonts w:ascii="Calibri" w:eastAsia="Times New Roman" w:hAnsi="Calibri" w:cs="Times New Roman"/>
                <w:color w:val="000000"/>
              </w:rPr>
              <w:t>CVC Insertions</w:t>
            </w:r>
          </w:p>
        </w:tc>
        <w:tc>
          <w:tcPr>
            <w:tcW w:w="1240" w:type="dxa"/>
            <w:tcBorders>
              <w:top w:val="single" w:sz="6" w:space="0" w:color="auto"/>
              <w:left w:val="nil"/>
              <w:bottom w:val="nil"/>
              <w:right w:val="nil"/>
            </w:tcBorders>
            <w:shd w:val="clear" w:color="auto" w:fill="auto"/>
            <w:noWrap/>
            <w:vAlign w:val="bottom"/>
            <w:hideMark/>
          </w:tcPr>
          <w:p w:rsidR="00D8731B" w:rsidRPr="008B502E" w:rsidRDefault="00D8731B" w:rsidP="00022AC1">
            <w:pPr>
              <w:spacing w:before="120"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15,248 </w:t>
            </w:r>
          </w:p>
        </w:tc>
        <w:tc>
          <w:tcPr>
            <w:tcW w:w="1240" w:type="dxa"/>
            <w:tcBorders>
              <w:top w:val="single" w:sz="6" w:space="0" w:color="auto"/>
              <w:left w:val="nil"/>
              <w:bottom w:val="nil"/>
              <w:right w:val="nil"/>
            </w:tcBorders>
            <w:shd w:val="clear" w:color="auto" w:fill="auto"/>
            <w:noWrap/>
            <w:vAlign w:val="bottom"/>
            <w:hideMark/>
          </w:tcPr>
          <w:p w:rsidR="00D8731B" w:rsidRPr="008B502E" w:rsidRDefault="00D8731B" w:rsidP="00022AC1">
            <w:pPr>
              <w:spacing w:before="120"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14,718 </w:t>
            </w:r>
          </w:p>
        </w:tc>
        <w:tc>
          <w:tcPr>
            <w:tcW w:w="1240" w:type="dxa"/>
            <w:tcBorders>
              <w:top w:val="single" w:sz="6" w:space="0" w:color="auto"/>
              <w:left w:val="nil"/>
              <w:bottom w:val="nil"/>
              <w:right w:val="nil"/>
            </w:tcBorders>
            <w:shd w:val="clear" w:color="auto" w:fill="auto"/>
            <w:noWrap/>
            <w:vAlign w:val="bottom"/>
            <w:hideMark/>
          </w:tcPr>
          <w:p w:rsidR="00D8731B" w:rsidRPr="008B502E" w:rsidRDefault="00D8731B" w:rsidP="00022AC1">
            <w:pPr>
              <w:spacing w:before="120"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13,722 </w:t>
            </w:r>
          </w:p>
        </w:tc>
        <w:tc>
          <w:tcPr>
            <w:tcW w:w="1240" w:type="dxa"/>
            <w:tcBorders>
              <w:top w:val="single" w:sz="6" w:space="0" w:color="auto"/>
              <w:left w:val="nil"/>
              <w:bottom w:val="nil"/>
              <w:right w:val="nil"/>
            </w:tcBorders>
            <w:shd w:val="clear" w:color="auto" w:fill="auto"/>
            <w:noWrap/>
            <w:vAlign w:val="bottom"/>
            <w:hideMark/>
          </w:tcPr>
          <w:p w:rsidR="00D8731B" w:rsidRPr="008B502E" w:rsidRDefault="00D8731B" w:rsidP="00022AC1">
            <w:pPr>
              <w:spacing w:before="120"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12,971 </w:t>
            </w:r>
          </w:p>
        </w:tc>
        <w:tc>
          <w:tcPr>
            <w:tcW w:w="1240" w:type="dxa"/>
            <w:tcBorders>
              <w:top w:val="single" w:sz="6" w:space="0" w:color="auto"/>
              <w:left w:val="nil"/>
              <w:bottom w:val="nil"/>
              <w:right w:val="nil"/>
            </w:tcBorders>
            <w:shd w:val="clear" w:color="auto" w:fill="auto"/>
            <w:noWrap/>
            <w:vAlign w:val="bottom"/>
            <w:hideMark/>
          </w:tcPr>
          <w:p w:rsidR="00D8731B" w:rsidRPr="008B502E" w:rsidRDefault="00D8731B" w:rsidP="00022AC1">
            <w:pPr>
              <w:spacing w:before="120"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11,372 </w:t>
            </w:r>
          </w:p>
        </w:tc>
      </w:tr>
      <w:tr w:rsidR="00D8731B" w:rsidRPr="008B502E" w:rsidTr="00022AC1">
        <w:trPr>
          <w:trHeight w:val="300"/>
        </w:trPr>
        <w:tc>
          <w:tcPr>
            <w:tcW w:w="266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Protocol </w:t>
            </w:r>
            <w:r w:rsidRPr="008B502E">
              <w:rPr>
                <w:rFonts w:ascii="Calibri" w:eastAsia="Times New Roman" w:hAnsi="Calibri" w:cs="Times New Roman"/>
                <w:color w:val="000000"/>
              </w:rPr>
              <w:t>Reported</w:t>
            </w:r>
            <w:r w:rsidRPr="00CC257A">
              <w:rPr>
                <w:rFonts w:ascii="Calibri" w:eastAsia="Times New Roman" w:hAnsi="Calibri" w:cs="Times New Roman"/>
                <w:color w:val="000000"/>
                <w:vertAlign w:val="superscript"/>
              </w:rPr>
              <w:t>1</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1,231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3,512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5,221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5,945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5,508 </w:t>
            </w:r>
          </w:p>
        </w:tc>
      </w:tr>
      <w:tr w:rsidR="00D8731B" w:rsidRPr="008B502E" w:rsidTr="00022AC1">
        <w:trPr>
          <w:trHeight w:val="300"/>
        </w:trPr>
        <w:tc>
          <w:tcPr>
            <w:tcW w:w="266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ind w:firstLineChars="100" w:firstLine="220"/>
              <w:rPr>
                <w:rFonts w:ascii="Calibri" w:eastAsia="Times New Roman" w:hAnsi="Calibri" w:cs="Times New Roman"/>
                <w:color w:val="000000"/>
              </w:rPr>
            </w:pPr>
            <w:r w:rsidRPr="008B502E">
              <w:rPr>
                <w:rFonts w:ascii="Calibri" w:eastAsia="Times New Roman" w:hAnsi="Calibri" w:cs="Times New Roman"/>
                <w:color w:val="000000"/>
              </w:rPr>
              <w:t xml:space="preserve">Percentage </w:t>
            </w:r>
            <w:r>
              <w:rPr>
                <w:rFonts w:ascii="Calibri" w:eastAsia="Times New Roman" w:hAnsi="Calibri" w:cs="Times New Roman"/>
                <w:color w:val="000000"/>
              </w:rPr>
              <w:t>r</w:t>
            </w:r>
            <w:r w:rsidRPr="008B502E">
              <w:rPr>
                <w:rFonts w:ascii="Calibri" w:eastAsia="Times New Roman" w:hAnsi="Calibri" w:cs="Times New Roman"/>
                <w:color w:val="000000"/>
              </w:rPr>
              <w:t>eported</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8.1%</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23.9%</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38.0%</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45.8%</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48.4%</w:t>
            </w:r>
          </w:p>
        </w:tc>
      </w:tr>
      <w:tr w:rsidR="00D8731B" w:rsidRPr="008B502E" w:rsidTr="00022AC1">
        <w:trPr>
          <w:trHeight w:val="300"/>
        </w:trPr>
        <w:tc>
          <w:tcPr>
            <w:tcW w:w="266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rPr>
                <w:rFonts w:ascii="Calibri" w:eastAsia="Times New Roman" w:hAnsi="Calibri" w:cs="Times New Roman"/>
                <w:color w:val="000000"/>
              </w:rPr>
            </w:pPr>
            <w:r w:rsidRPr="008B502E">
              <w:rPr>
                <w:rFonts w:ascii="Calibri" w:eastAsia="Times New Roman" w:hAnsi="Calibri" w:cs="Times New Roman"/>
                <w:color w:val="000000"/>
              </w:rPr>
              <w:t>Followed</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1,223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3,471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5,159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5,895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5,493 </w:t>
            </w:r>
          </w:p>
        </w:tc>
      </w:tr>
      <w:tr w:rsidR="00D8731B" w:rsidRPr="008B502E" w:rsidTr="00022AC1">
        <w:trPr>
          <w:trHeight w:val="300"/>
        </w:trPr>
        <w:tc>
          <w:tcPr>
            <w:tcW w:w="266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ind w:firstLineChars="100" w:firstLine="220"/>
              <w:rPr>
                <w:rFonts w:ascii="Calibri" w:eastAsia="Times New Roman" w:hAnsi="Calibri" w:cs="Times New Roman"/>
                <w:color w:val="000000"/>
              </w:rPr>
            </w:pPr>
            <w:r w:rsidRPr="008B502E">
              <w:rPr>
                <w:rFonts w:ascii="Calibri" w:eastAsia="Times New Roman" w:hAnsi="Calibri" w:cs="Times New Roman"/>
                <w:color w:val="000000"/>
              </w:rPr>
              <w:t xml:space="preserve">Percentage </w:t>
            </w:r>
            <w:r>
              <w:rPr>
                <w:rFonts w:ascii="Calibri" w:eastAsia="Times New Roman" w:hAnsi="Calibri" w:cs="Times New Roman"/>
                <w:color w:val="000000"/>
              </w:rPr>
              <w:t>f</w:t>
            </w:r>
            <w:r w:rsidRPr="008B502E">
              <w:rPr>
                <w:rFonts w:ascii="Calibri" w:eastAsia="Times New Roman" w:hAnsi="Calibri" w:cs="Times New Roman"/>
                <w:color w:val="000000"/>
              </w:rPr>
              <w:t>ollowed</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99.4%</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98.8%</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98.8%</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99.2%</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99.7%</w:t>
            </w:r>
          </w:p>
        </w:tc>
      </w:tr>
      <w:tr w:rsidR="00D8731B" w:rsidRPr="008B502E" w:rsidTr="00022AC1">
        <w:trPr>
          <w:trHeight w:val="300"/>
        </w:trPr>
        <w:tc>
          <w:tcPr>
            <w:tcW w:w="2660" w:type="dxa"/>
            <w:tcBorders>
              <w:top w:val="nil"/>
              <w:left w:val="nil"/>
              <w:right w:val="nil"/>
            </w:tcBorders>
            <w:shd w:val="clear" w:color="auto" w:fill="auto"/>
            <w:noWrap/>
            <w:vAlign w:val="bottom"/>
            <w:hideMark/>
          </w:tcPr>
          <w:p w:rsidR="00D8731B" w:rsidRPr="008B502E" w:rsidRDefault="00D8731B" w:rsidP="00022AC1">
            <w:pPr>
              <w:spacing w:after="0" w:line="240" w:lineRule="auto"/>
              <w:rPr>
                <w:rFonts w:ascii="Calibri" w:eastAsia="Times New Roman" w:hAnsi="Calibri" w:cs="Times New Roman"/>
                <w:color w:val="000000"/>
              </w:rPr>
            </w:pPr>
          </w:p>
        </w:tc>
        <w:tc>
          <w:tcPr>
            <w:tcW w:w="1240" w:type="dxa"/>
            <w:tcBorders>
              <w:top w:val="nil"/>
              <w:left w:val="nil"/>
              <w:right w:val="nil"/>
            </w:tcBorders>
            <w:shd w:val="clear" w:color="auto" w:fill="auto"/>
            <w:noWrap/>
            <w:vAlign w:val="bottom"/>
            <w:hideMark/>
          </w:tcPr>
          <w:p w:rsidR="00D8731B" w:rsidRPr="008B502E" w:rsidRDefault="00D8731B" w:rsidP="00022AC1">
            <w:pPr>
              <w:spacing w:after="0" w:line="240" w:lineRule="auto"/>
              <w:rPr>
                <w:rFonts w:ascii="Calibri" w:eastAsia="Times New Roman" w:hAnsi="Calibri" w:cs="Times New Roman"/>
                <w:color w:val="000000"/>
              </w:rPr>
            </w:pPr>
          </w:p>
        </w:tc>
        <w:tc>
          <w:tcPr>
            <w:tcW w:w="1240" w:type="dxa"/>
            <w:tcBorders>
              <w:top w:val="nil"/>
              <w:left w:val="nil"/>
              <w:right w:val="nil"/>
            </w:tcBorders>
            <w:shd w:val="clear" w:color="auto" w:fill="auto"/>
            <w:noWrap/>
            <w:vAlign w:val="bottom"/>
            <w:hideMark/>
          </w:tcPr>
          <w:p w:rsidR="00D8731B" w:rsidRPr="008B502E" w:rsidRDefault="00D8731B" w:rsidP="00022AC1">
            <w:pPr>
              <w:spacing w:after="0" w:line="240" w:lineRule="auto"/>
              <w:rPr>
                <w:rFonts w:ascii="Calibri" w:eastAsia="Times New Roman" w:hAnsi="Calibri" w:cs="Times New Roman"/>
                <w:color w:val="000000"/>
              </w:rPr>
            </w:pPr>
          </w:p>
        </w:tc>
        <w:tc>
          <w:tcPr>
            <w:tcW w:w="1240" w:type="dxa"/>
            <w:tcBorders>
              <w:top w:val="nil"/>
              <w:left w:val="nil"/>
              <w:right w:val="nil"/>
            </w:tcBorders>
            <w:shd w:val="clear" w:color="auto" w:fill="auto"/>
            <w:noWrap/>
            <w:vAlign w:val="bottom"/>
            <w:hideMark/>
          </w:tcPr>
          <w:p w:rsidR="00D8731B" w:rsidRPr="008B502E" w:rsidRDefault="00D8731B" w:rsidP="00022AC1">
            <w:pPr>
              <w:spacing w:after="0" w:line="240" w:lineRule="auto"/>
              <w:rPr>
                <w:rFonts w:ascii="Calibri" w:eastAsia="Times New Roman" w:hAnsi="Calibri" w:cs="Times New Roman"/>
                <w:color w:val="000000"/>
              </w:rPr>
            </w:pPr>
          </w:p>
        </w:tc>
        <w:tc>
          <w:tcPr>
            <w:tcW w:w="1240" w:type="dxa"/>
            <w:tcBorders>
              <w:top w:val="nil"/>
              <w:left w:val="nil"/>
              <w:right w:val="nil"/>
            </w:tcBorders>
            <w:shd w:val="clear" w:color="auto" w:fill="auto"/>
            <w:noWrap/>
            <w:vAlign w:val="bottom"/>
            <w:hideMark/>
          </w:tcPr>
          <w:p w:rsidR="00D8731B" w:rsidRPr="008B502E" w:rsidRDefault="00D8731B" w:rsidP="00022AC1">
            <w:pPr>
              <w:spacing w:after="0" w:line="240" w:lineRule="auto"/>
              <w:rPr>
                <w:rFonts w:ascii="Calibri" w:eastAsia="Times New Roman" w:hAnsi="Calibri" w:cs="Times New Roman"/>
                <w:color w:val="000000"/>
              </w:rPr>
            </w:pPr>
          </w:p>
        </w:tc>
        <w:tc>
          <w:tcPr>
            <w:tcW w:w="1240" w:type="dxa"/>
            <w:tcBorders>
              <w:top w:val="nil"/>
              <w:left w:val="nil"/>
              <w:right w:val="nil"/>
            </w:tcBorders>
            <w:shd w:val="clear" w:color="auto" w:fill="auto"/>
            <w:noWrap/>
            <w:vAlign w:val="bottom"/>
            <w:hideMark/>
          </w:tcPr>
          <w:p w:rsidR="00D8731B" w:rsidRPr="008B502E" w:rsidRDefault="00D8731B" w:rsidP="00022AC1">
            <w:pPr>
              <w:spacing w:after="0" w:line="240" w:lineRule="auto"/>
              <w:rPr>
                <w:rFonts w:ascii="Calibri" w:eastAsia="Times New Roman" w:hAnsi="Calibri" w:cs="Times New Roman"/>
                <w:color w:val="000000"/>
              </w:rPr>
            </w:pPr>
          </w:p>
        </w:tc>
      </w:tr>
      <w:tr w:rsidR="00D8731B" w:rsidRPr="008B502E" w:rsidTr="00022AC1">
        <w:trPr>
          <w:trHeight w:val="300"/>
        </w:trPr>
        <w:tc>
          <w:tcPr>
            <w:tcW w:w="266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rPr>
                <w:rFonts w:ascii="Calibri" w:eastAsia="Times New Roman" w:hAnsi="Calibri" w:cs="Times New Roman"/>
                <w:color w:val="000000"/>
              </w:rPr>
            </w:pPr>
            <w:r w:rsidRPr="008B502E">
              <w:rPr>
                <w:rFonts w:ascii="Calibri" w:eastAsia="Times New Roman" w:hAnsi="Calibri" w:cs="Times New Roman"/>
                <w:color w:val="000000"/>
              </w:rPr>
              <w:t>Patients</w:t>
            </w:r>
            <w:r>
              <w:rPr>
                <w:rFonts w:ascii="Calibri" w:eastAsia="Times New Roman" w:hAnsi="Calibri" w:cs="Times New Roman"/>
                <w:color w:val="000000"/>
              </w:rPr>
              <w:t xml:space="preserve"> in Sample</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13,355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12,985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12,250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11,513 </w:t>
            </w:r>
          </w:p>
        </w:tc>
        <w:tc>
          <w:tcPr>
            <w:tcW w:w="1240" w:type="dxa"/>
            <w:tcBorders>
              <w:top w:val="nil"/>
              <w:left w:val="nil"/>
              <w:bottom w:val="nil"/>
              <w:right w:val="nil"/>
            </w:tcBorders>
            <w:shd w:val="clear" w:color="auto" w:fill="auto"/>
            <w:noWrap/>
            <w:vAlign w:val="bottom"/>
            <w:hideMark/>
          </w:tcPr>
          <w:p w:rsidR="00D8731B" w:rsidRPr="008B502E" w:rsidRDefault="00D8731B" w:rsidP="00022AC1">
            <w:pPr>
              <w:spacing w:after="0" w:line="240" w:lineRule="auto"/>
              <w:jc w:val="right"/>
              <w:rPr>
                <w:rFonts w:ascii="Calibri" w:eastAsia="Times New Roman" w:hAnsi="Calibri" w:cs="Times New Roman"/>
                <w:color w:val="000000"/>
              </w:rPr>
            </w:pPr>
            <w:r w:rsidRPr="008B502E">
              <w:rPr>
                <w:rFonts w:ascii="Calibri" w:eastAsia="Times New Roman" w:hAnsi="Calibri" w:cs="Times New Roman"/>
                <w:color w:val="000000"/>
              </w:rPr>
              <w:t xml:space="preserve">10,212 </w:t>
            </w:r>
          </w:p>
        </w:tc>
      </w:tr>
      <w:tr w:rsidR="00D8731B" w:rsidRPr="008B502E" w:rsidTr="00022AC1">
        <w:trPr>
          <w:trHeight w:val="300"/>
        </w:trPr>
        <w:tc>
          <w:tcPr>
            <w:tcW w:w="2660" w:type="dxa"/>
            <w:tcBorders>
              <w:top w:val="nil"/>
              <w:left w:val="nil"/>
              <w:bottom w:val="nil"/>
              <w:right w:val="nil"/>
            </w:tcBorders>
            <w:shd w:val="clear" w:color="auto" w:fill="auto"/>
            <w:noWrap/>
            <w:vAlign w:val="bottom"/>
          </w:tcPr>
          <w:p w:rsidR="00D8731B" w:rsidRPr="008B502E" w:rsidRDefault="00D8731B" w:rsidP="00022AC1">
            <w:pPr>
              <w:spacing w:after="0" w:line="240" w:lineRule="auto"/>
              <w:rPr>
                <w:rFonts w:ascii="Calibri" w:eastAsia="Times New Roman" w:hAnsi="Calibri" w:cs="Times New Roman"/>
                <w:color w:val="000000"/>
              </w:rPr>
            </w:pPr>
            <w:r>
              <w:rPr>
                <w:rFonts w:ascii="Calibri" w:eastAsia="Times New Roman" w:hAnsi="Calibri" w:cs="Times New Roman"/>
                <w:color w:val="000000"/>
              </w:rPr>
              <w:t>Estimated total Medicare</w:t>
            </w:r>
          </w:p>
        </w:tc>
        <w:tc>
          <w:tcPr>
            <w:tcW w:w="1240" w:type="dxa"/>
            <w:tcBorders>
              <w:top w:val="nil"/>
              <w:left w:val="nil"/>
              <w:bottom w:val="nil"/>
              <w:right w:val="nil"/>
            </w:tcBorders>
            <w:shd w:val="clear" w:color="auto" w:fill="auto"/>
            <w:noWrap/>
            <w:vAlign w:val="bottom"/>
          </w:tcPr>
          <w:p w:rsidR="00D8731B" w:rsidRPr="008B502E" w:rsidRDefault="00D8731B" w:rsidP="00022AC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267,100</w:t>
            </w:r>
          </w:p>
        </w:tc>
        <w:tc>
          <w:tcPr>
            <w:tcW w:w="1240" w:type="dxa"/>
            <w:tcBorders>
              <w:top w:val="nil"/>
              <w:left w:val="nil"/>
              <w:bottom w:val="nil"/>
              <w:right w:val="nil"/>
            </w:tcBorders>
            <w:shd w:val="clear" w:color="auto" w:fill="auto"/>
            <w:noWrap/>
            <w:vAlign w:val="bottom"/>
          </w:tcPr>
          <w:p w:rsidR="00D8731B" w:rsidRPr="008B502E" w:rsidRDefault="00D8731B" w:rsidP="00022AC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259,700</w:t>
            </w:r>
          </w:p>
        </w:tc>
        <w:tc>
          <w:tcPr>
            <w:tcW w:w="1240" w:type="dxa"/>
            <w:tcBorders>
              <w:top w:val="nil"/>
              <w:left w:val="nil"/>
              <w:bottom w:val="nil"/>
              <w:right w:val="nil"/>
            </w:tcBorders>
            <w:shd w:val="clear" w:color="auto" w:fill="auto"/>
            <w:noWrap/>
            <w:vAlign w:val="bottom"/>
          </w:tcPr>
          <w:p w:rsidR="00D8731B" w:rsidRPr="008B502E" w:rsidRDefault="00D8731B" w:rsidP="00022AC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245,000</w:t>
            </w:r>
          </w:p>
        </w:tc>
        <w:tc>
          <w:tcPr>
            <w:tcW w:w="1240" w:type="dxa"/>
            <w:tcBorders>
              <w:top w:val="nil"/>
              <w:left w:val="nil"/>
              <w:bottom w:val="nil"/>
              <w:right w:val="nil"/>
            </w:tcBorders>
            <w:shd w:val="clear" w:color="auto" w:fill="auto"/>
            <w:noWrap/>
            <w:vAlign w:val="bottom"/>
          </w:tcPr>
          <w:p w:rsidR="00D8731B" w:rsidRPr="008B502E" w:rsidRDefault="00D8731B" w:rsidP="00022AC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230,260</w:t>
            </w:r>
          </w:p>
        </w:tc>
        <w:tc>
          <w:tcPr>
            <w:tcW w:w="1240" w:type="dxa"/>
            <w:tcBorders>
              <w:top w:val="nil"/>
              <w:left w:val="nil"/>
              <w:bottom w:val="nil"/>
              <w:right w:val="nil"/>
            </w:tcBorders>
            <w:shd w:val="clear" w:color="auto" w:fill="auto"/>
            <w:noWrap/>
            <w:vAlign w:val="bottom"/>
          </w:tcPr>
          <w:p w:rsidR="00D8731B" w:rsidRPr="008B502E" w:rsidRDefault="00D8731B" w:rsidP="00022AC1">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204,240</w:t>
            </w:r>
          </w:p>
        </w:tc>
      </w:tr>
      <w:tr w:rsidR="00D8731B" w:rsidRPr="008B502E" w:rsidTr="00022AC1">
        <w:trPr>
          <w:trHeight w:val="300"/>
        </w:trPr>
        <w:tc>
          <w:tcPr>
            <w:tcW w:w="2660" w:type="dxa"/>
            <w:tcBorders>
              <w:top w:val="nil"/>
              <w:left w:val="nil"/>
              <w:bottom w:val="single" w:sz="6" w:space="0" w:color="auto"/>
              <w:right w:val="nil"/>
            </w:tcBorders>
            <w:shd w:val="clear" w:color="auto" w:fill="auto"/>
            <w:noWrap/>
            <w:vAlign w:val="bottom"/>
          </w:tcPr>
          <w:p w:rsidR="00D8731B" w:rsidRPr="008B502E" w:rsidRDefault="00D8731B" w:rsidP="00022AC1">
            <w:pPr>
              <w:spacing w:after="60" w:line="240" w:lineRule="auto"/>
              <w:ind w:firstLineChars="100" w:firstLine="220"/>
              <w:rPr>
                <w:rFonts w:ascii="Calibri" w:eastAsia="Times New Roman" w:hAnsi="Calibri" w:cs="Times New Roman"/>
                <w:color w:val="000000"/>
              </w:rPr>
            </w:pPr>
            <w:r w:rsidRPr="008B502E">
              <w:rPr>
                <w:rFonts w:ascii="Calibri" w:eastAsia="Times New Roman" w:hAnsi="Calibri" w:cs="Times New Roman"/>
                <w:color w:val="000000"/>
              </w:rPr>
              <w:t xml:space="preserve">Percentage </w:t>
            </w:r>
            <w:r>
              <w:rPr>
                <w:rFonts w:ascii="Calibri" w:eastAsia="Times New Roman" w:hAnsi="Calibri" w:cs="Times New Roman"/>
                <w:color w:val="000000"/>
              </w:rPr>
              <w:t>of patients</w:t>
            </w:r>
            <w:r>
              <w:rPr>
                <w:rFonts w:ascii="Calibri" w:eastAsia="Times New Roman" w:hAnsi="Calibri" w:cs="Times New Roman"/>
                <w:color w:val="000000"/>
              </w:rPr>
              <w:br/>
              <w:t xml:space="preserve">       with any claims in year</w:t>
            </w:r>
          </w:p>
        </w:tc>
        <w:tc>
          <w:tcPr>
            <w:tcW w:w="1240" w:type="dxa"/>
            <w:tcBorders>
              <w:top w:val="nil"/>
              <w:left w:val="nil"/>
              <w:bottom w:val="single" w:sz="6" w:space="0" w:color="auto"/>
              <w:right w:val="nil"/>
            </w:tcBorders>
            <w:shd w:val="clear" w:color="auto" w:fill="auto"/>
            <w:noWrap/>
            <w:vAlign w:val="bottom"/>
          </w:tcPr>
          <w:p w:rsidR="00D8731B" w:rsidRPr="004A2214" w:rsidRDefault="00D8731B" w:rsidP="00022AC1">
            <w:pPr>
              <w:spacing w:after="60" w:line="240" w:lineRule="auto"/>
              <w:jc w:val="right"/>
              <w:rPr>
                <w:rFonts w:ascii="Calibri" w:hAnsi="Calibri"/>
                <w:color w:val="000000"/>
              </w:rPr>
            </w:pPr>
            <w:r w:rsidRPr="004A2214">
              <w:rPr>
                <w:rFonts w:ascii="Calibri" w:hAnsi="Calibri"/>
                <w:color w:val="000000"/>
              </w:rPr>
              <w:t>0.80%</w:t>
            </w:r>
          </w:p>
        </w:tc>
        <w:tc>
          <w:tcPr>
            <w:tcW w:w="1240" w:type="dxa"/>
            <w:tcBorders>
              <w:top w:val="nil"/>
              <w:left w:val="nil"/>
              <w:bottom w:val="single" w:sz="6" w:space="0" w:color="auto"/>
              <w:right w:val="nil"/>
            </w:tcBorders>
            <w:shd w:val="clear" w:color="auto" w:fill="auto"/>
            <w:noWrap/>
            <w:vAlign w:val="bottom"/>
          </w:tcPr>
          <w:p w:rsidR="00D8731B" w:rsidRPr="004A2214" w:rsidRDefault="00D8731B" w:rsidP="00022AC1">
            <w:pPr>
              <w:spacing w:after="60" w:line="240" w:lineRule="auto"/>
              <w:jc w:val="right"/>
              <w:rPr>
                <w:rFonts w:ascii="Calibri" w:hAnsi="Calibri"/>
                <w:color w:val="000000"/>
              </w:rPr>
            </w:pPr>
            <w:r w:rsidRPr="004A2214">
              <w:rPr>
                <w:rFonts w:ascii="Calibri" w:hAnsi="Calibri"/>
                <w:color w:val="000000"/>
              </w:rPr>
              <w:t>0.77%</w:t>
            </w:r>
          </w:p>
        </w:tc>
        <w:tc>
          <w:tcPr>
            <w:tcW w:w="1240" w:type="dxa"/>
            <w:tcBorders>
              <w:top w:val="nil"/>
              <w:left w:val="nil"/>
              <w:bottom w:val="single" w:sz="6" w:space="0" w:color="auto"/>
              <w:right w:val="nil"/>
            </w:tcBorders>
            <w:shd w:val="clear" w:color="auto" w:fill="auto"/>
            <w:noWrap/>
            <w:vAlign w:val="bottom"/>
          </w:tcPr>
          <w:p w:rsidR="00D8731B" w:rsidRPr="004A2214" w:rsidRDefault="00D8731B" w:rsidP="00022AC1">
            <w:pPr>
              <w:spacing w:after="60" w:line="240" w:lineRule="auto"/>
              <w:jc w:val="right"/>
              <w:rPr>
                <w:rFonts w:ascii="Calibri" w:hAnsi="Calibri"/>
                <w:color w:val="000000"/>
              </w:rPr>
            </w:pPr>
            <w:r w:rsidRPr="004A2214">
              <w:rPr>
                <w:rFonts w:ascii="Calibri" w:hAnsi="Calibri"/>
                <w:color w:val="000000"/>
              </w:rPr>
              <w:t>0.72%</w:t>
            </w:r>
          </w:p>
        </w:tc>
        <w:tc>
          <w:tcPr>
            <w:tcW w:w="1240" w:type="dxa"/>
            <w:tcBorders>
              <w:top w:val="nil"/>
              <w:left w:val="nil"/>
              <w:bottom w:val="single" w:sz="6" w:space="0" w:color="auto"/>
              <w:right w:val="nil"/>
            </w:tcBorders>
            <w:shd w:val="clear" w:color="auto" w:fill="auto"/>
            <w:noWrap/>
            <w:vAlign w:val="bottom"/>
          </w:tcPr>
          <w:p w:rsidR="00D8731B" w:rsidRPr="004A2214" w:rsidRDefault="00D8731B" w:rsidP="00022AC1">
            <w:pPr>
              <w:spacing w:after="60" w:line="240" w:lineRule="auto"/>
              <w:jc w:val="right"/>
              <w:rPr>
                <w:rFonts w:ascii="Calibri" w:hAnsi="Calibri"/>
                <w:color w:val="000000"/>
              </w:rPr>
            </w:pPr>
            <w:r w:rsidRPr="004A2214">
              <w:rPr>
                <w:rFonts w:ascii="Calibri" w:hAnsi="Calibri"/>
                <w:color w:val="000000"/>
              </w:rPr>
              <w:t>0.67%</w:t>
            </w:r>
          </w:p>
        </w:tc>
        <w:tc>
          <w:tcPr>
            <w:tcW w:w="1240" w:type="dxa"/>
            <w:tcBorders>
              <w:top w:val="nil"/>
              <w:left w:val="nil"/>
              <w:bottom w:val="single" w:sz="6" w:space="0" w:color="auto"/>
              <w:right w:val="nil"/>
            </w:tcBorders>
            <w:shd w:val="clear" w:color="auto" w:fill="auto"/>
            <w:noWrap/>
            <w:vAlign w:val="bottom"/>
          </w:tcPr>
          <w:p w:rsidR="00D8731B" w:rsidRPr="004A2214" w:rsidRDefault="00D8731B" w:rsidP="00022AC1">
            <w:pPr>
              <w:spacing w:after="60" w:line="240" w:lineRule="auto"/>
              <w:jc w:val="right"/>
              <w:rPr>
                <w:rFonts w:ascii="Calibri" w:hAnsi="Calibri"/>
                <w:color w:val="000000"/>
              </w:rPr>
            </w:pPr>
            <w:r w:rsidRPr="004A2214">
              <w:rPr>
                <w:rFonts w:ascii="Calibri" w:hAnsi="Calibri"/>
                <w:color w:val="000000"/>
              </w:rPr>
              <w:t>0.63%</w:t>
            </w:r>
          </w:p>
        </w:tc>
      </w:tr>
    </w:tbl>
    <w:p w:rsidR="00D8731B" w:rsidRPr="00CC257A" w:rsidRDefault="00D8731B" w:rsidP="00D8731B">
      <w:pPr>
        <w:spacing w:before="120" w:after="0" w:line="240" w:lineRule="auto"/>
        <w:rPr>
          <w:sz w:val="20"/>
        </w:rPr>
      </w:pPr>
      <w:r w:rsidRPr="00CC257A">
        <w:rPr>
          <w:sz w:val="20"/>
          <w:vertAlign w:val="superscript"/>
        </w:rPr>
        <w:t>1</w:t>
      </w:r>
      <w:r w:rsidRPr="00CC257A">
        <w:rPr>
          <w:sz w:val="20"/>
        </w:rPr>
        <w:t>CRBSI Protocol</w:t>
      </w:r>
      <w:r>
        <w:rPr>
          <w:sz w:val="20"/>
        </w:rPr>
        <w:t xml:space="preserve"> reported indicated by CPT 6030F.</w:t>
      </w:r>
    </w:p>
    <w:p w:rsidR="00083E0B" w:rsidRDefault="00083E0B" w:rsidP="00D8731B">
      <w:pPr>
        <w:spacing w:after="0" w:line="240" w:lineRule="auto"/>
        <w:jc w:val="center"/>
        <w:rPr>
          <w:b/>
          <w:sz w:val="28"/>
        </w:rPr>
      </w:pPr>
    </w:p>
    <w:p w:rsidR="00AC78F6" w:rsidRDefault="00AC78F6" w:rsidP="005C6BD5">
      <w:pPr>
        <w:spacing w:after="0" w:line="240" w:lineRule="auto"/>
      </w:pPr>
    </w:p>
    <w:p w:rsidR="00AC78F6" w:rsidRDefault="00AC78F6" w:rsidP="005C6BD5">
      <w:pPr>
        <w:spacing w:after="0" w:line="240" w:lineRule="auto"/>
      </w:pPr>
    </w:p>
    <w:p w:rsidR="00083E0B" w:rsidRPr="005C6BD5" w:rsidRDefault="00083E0B" w:rsidP="005C6BD5">
      <w:pPr>
        <w:spacing w:after="0" w:line="240" w:lineRule="auto"/>
      </w:pPr>
      <w:r>
        <w:t>Using NACOR data produced the following results:</w:t>
      </w:r>
    </w:p>
    <w:p w:rsidR="00083E0B" w:rsidRDefault="00083E0B" w:rsidP="00D8731B">
      <w:pPr>
        <w:spacing w:after="0" w:line="240" w:lineRule="auto"/>
        <w:jc w:val="center"/>
        <w:rPr>
          <w:b/>
          <w:sz w:val="28"/>
        </w:rPr>
      </w:pPr>
    </w:p>
    <w:p w:rsidR="00D8731B" w:rsidRPr="00EB4C8C" w:rsidRDefault="00D8731B" w:rsidP="00D8731B">
      <w:pPr>
        <w:spacing w:after="0" w:line="240" w:lineRule="auto"/>
        <w:jc w:val="center"/>
        <w:rPr>
          <w:b/>
          <w:sz w:val="28"/>
        </w:rPr>
      </w:pPr>
      <w:r w:rsidRPr="00EB4C8C">
        <w:rPr>
          <w:b/>
          <w:sz w:val="28"/>
        </w:rPr>
        <w:t>CVC Insertions and CRBSI Protocol Reported and Followed</w:t>
      </w:r>
    </w:p>
    <w:p w:rsidR="00D8731B" w:rsidRPr="00EB4C8C" w:rsidRDefault="00D8731B" w:rsidP="00D8731B">
      <w:pPr>
        <w:spacing w:after="0" w:line="240" w:lineRule="auto"/>
        <w:jc w:val="center"/>
        <w:rPr>
          <w:sz w:val="28"/>
        </w:rPr>
      </w:pPr>
      <w:r w:rsidRPr="00EB4C8C">
        <w:rPr>
          <w:sz w:val="28"/>
        </w:rPr>
        <w:t xml:space="preserve">Based on </w:t>
      </w:r>
      <w:r>
        <w:rPr>
          <w:sz w:val="28"/>
        </w:rPr>
        <w:t>NACOR data</w:t>
      </w:r>
      <w:r w:rsidR="00022AC1">
        <w:rPr>
          <w:sz w:val="28"/>
        </w:rPr>
        <w:t xml:space="preserve"> (all cases)</w:t>
      </w:r>
    </w:p>
    <w:p w:rsidR="00D8731B" w:rsidRDefault="00D8731B" w:rsidP="00D8731B">
      <w:pPr>
        <w:spacing w:after="0" w:line="240" w:lineRule="auto"/>
        <w:jc w:val="center"/>
        <w:rPr>
          <w:b/>
          <w:sz w:val="24"/>
        </w:rPr>
      </w:pPr>
    </w:p>
    <w:p w:rsidR="00D8731B" w:rsidRDefault="00D8731B" w:rsidP="00D8731B">
      <w:pPr>
        <w:spacing w:after="0" w:line="240" w:lineRule="auto"/>
        <w:jc w:val="center"/>
        <w:rPr>
          <w:b/>
          <w:sz w:val="24"/>
        </w:rPr>
      </w:pPr>
      <w:r w:rsidRPr="00D01EC0">
        <w:rPr>
          <w:b/>
          <w:sz w:val="24"/>
        </w:rPr>
        <w:t>20</w:t>
      </w:r>
      <w:r w:rsidR="00246604">
        <w:rPr>
          <w:b/>
          <w:sz w:val="24"/>
        </w:rPr>
        <w:t>10 – 2013</w:t>
      </w:r>
    </w:p>
    <w:p w:rsidR="00D8731B" w:rsidRDefault="00D8731B" w:rsidP="00D8731B">
      <w:pPr>
        <w:spacing w:after="0" w:line="240" w:lineRule="auto"/>
        <w:jc w:val="center"/>
        <w:rPr>
          <w:b/>
          <w:sz w:val="24"/>
        </w:rPr>
      </w:pPr>
      <w:r>
        <w:rPr>
          <w:b/>
          <w:sz w:val="24"/>
        </w:rPr>
        <w:t>Modifier 1P as Exception</w:t>
      </w:r>
    </w:p>
    <w:p w:rsidR="00D8731B" w:rsidRDefault="00D8731B" w:rsidP="00D8731B">
      <w:pPr>
        <w:spacing w:after="0" w:line="240" w:lineRule="auto"/>
        <w:rPr>
          <w:sz w:val="24"/>
        </w:rPr>
      </w:pPr>
    </w:p>
    <w:p w:rsidR="00246604" w:rsidRDefault="00246604" w:rsidP="00246604">
      <w:pPr>
        <w:spacing w:after="0" w:line="240" w:lineRule="auto"/>
        <w:rPr>
          <w:sz w:val="24"/>
        </w:rPr>
      </w:pPr>
    </w:p>
    <w:tbl>
      <w:tblPr>
        <w:tblW w:w="7620" w:type="dxa"/>
        <w:tblInd w:w="93" w:type="dxa"/>
        <w:tblLook w:val="04A0" w:firstRow="1" w:lastRow="0" w:firstColumn="1" w:lastColumn="0" w:noHBand="0" w:noVBand="1"/>
      </w:tblPr>
      <w:tblGrid>
        <w:gridCol w:w="2660"/>
        <w:gridCol w:w="1240"/>
        <w:gridCol w:w="1240"/>
        <w:gridCol w:w="1240"/>
        <w:gridCol w:w="1240"/>
      </w:tblGrid>
      <w:tr w:rsidR="00246604" w:rsidRPr="008B502E" w:rsidTr="005C6BD5">
        <w:trPr>
          <w:trHeight w:val="300"/>
        </w:trPr>
        <w:tc>
          <w:tcPr>
            <w:tcW w:w="2660" w:type="dxa"/>
            <w:tcBorders>
              <w:top w:val="single" w:sz="12" w:space="0" w:color="auto"/>
              <w:left w:val="nil"/>
              <w:bottom w:val="single" w:sz="6" w:space="0" w:color="auto"/>
              <w:right w:val="nil"/>
            </w:tcBorders>
            <w:shd w:val="clear" w:color="auto" w:fill="auto"/>
            <w:noWrap/>
            <w:vAlign w:val="bottom"/>
            <w:hideMark/>
          </w:tcPr>
          <w:p w:rsidR="00246604" w:rsidRPr="008B502E" w:rsidRDefault="00246604" w:rsidP="004E3406">
            <w:pPr>
              <w:spacing w:before="60" w:after="0" w:line="240" w:lineRule="auto"/>
              <w:rPr>
                <w:rFonts w:ascii="Calibri" w:eastAsia="Times New Roman" w:hAnsi="Calibri" w:cs="Times New Roman"/>
                <w:b/>
                <w:bCs/>
                <w:color w:val="000000"/>
              </w:rPr>
            </w:pPr>
            <w:r w:rsidRPr="008B502E">
              <w:rPr>
                <w:rFonts w:ascii="Calibri" w:eastAsia="Times New Roman" w:hAnsi="Calibri" w:cs="Times New Roman"/>
                <w:b/>
                <w:bCs/>
                <w:color w:val="000000"/>
              </w:rPr>
              <w:lastRenderedPageBreak/>
              <w:t>Indicator</w:t>
            </w:r>
          </w:p>
        </w:tc>
        <w:tc>
          <w:tcPr>
            <w:tcW w:w="1240" w:type="dxa"/>
            <w:tcBorders>
              <w:top w:val="single" w:sz="12" w:space="0" w:color="auto"/>
              <w:left w:val="nil"/>
              <w:bottom w:val="single" w:sz="6" w:space="0" w:color="auto"/>
              <w:right w:val="nil"/>
            </w:tcBorders>
            <w:shd w:val="clear" w:color="auto" w:fill="auto"/>
            <w:noWrap/>
            <w:vAlign w:val="bottom"/>
            <w:hideMark/>
          </w:tcPr>
          <w:p w:rsidR="00246604" w:rsidRPr="008B502E" w:rsidRDefault="00246604" w:rsidP="004E3406">
            <w:pPr>
              <w:spacing w:before="60"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2010</w:t>
            </w:r>
          </w:p>
        </w:tc>
        <w:tc>
          <w:tcPr>
            <w:tcW w:w="1240" w:type="dxa"/>
            <w:tcBorders>
              <w:top w:val="single" w:sz="12" w:space="0" w:color="auto"/>
              <w:left w:val="nil"/>
              <w:bottom w:val="single" w:sz="6" w:space="0" w:color="auto"/>
              <w:right w:val="nil"/>
            </w:tcBorders>
            <w:shd w:val="clear" w:color="auto" w:fill="auto"/>
            <w:noWrap/>
            <w:vAlign w:val="bottom"/>
            <w:hideMark/>
          </w:tcPr>
          <w:p w:rsidR="00246604" w:rsidRPr="008B502E" w:rsidRDefault="00246604" w:rsidP="004E3406">
            <w:pPr>
              <w:spacing w:before="60"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2011</w:t>
            </w:r>
          </w:p>
        </w:tc>
        <w:tc>
          <w:tcPr>
            <w:tcW w:w="1240" w:type="dxa"/>
            <w:tcBorders>
              <w:top w:val="single" w:sz="12" w:space="0" w:color="auto"/>
              <w:left w:val="nil"/>
              <w:bottom w:val="single" w:sz="6" w:space="0" w:color="auto"/>
              <w:right w:val="nil"/>
            </w:tcBorders>
            <w:shd w:val="clear" w:color="auto" w:fill="auto"/>
            <w:noWrap/>
            <w:vAlign w:val="bottom"/>
            <w:hideMark/>
          </w:tcPr>
          <w:p w:rsidR="00246604" w:rsidRPr="008B502E" w:rsidRDefault="00246604" w:rsidP="004E3406">
            <w:pPr>
              <w:spacing w:before="60"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2012</w:t>
            </w:r>
          </w:p>
        </w:tc>
        <w:tc>
          <w:tcPr>
            <w:tcW w:w="1240" w:type="dxa"/>
            <w:tcBorders>
              <w:top w:val="single" w:sz="12" w:space="0" w:color="auto"/>
              <w:left w:val="nil"/>
              <w:bottom w:val="single" w:sz="6" w:space="0" w:color="auto"/>
              <w:right w:val="nil"/>
            </w:tcBorders>
            <w:shd w:val="clear" w:color="auto" w:fill="auto"/>
            <w:noWrap/>
            <w:vAlign w:val="bottom"/>
            <w:hideMark/>
          </w:tcPr>
          <w:p w:rsidR="00246604" w:rsidRPr="008B502E" w:rsidRDefault="00246604" w:rsidP="004E3406">
            <w:pPr>
              <w:spacing w:before="60"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2013 (to 9/30)</w:t>
            </w:r>
          </w:p>
        </w:tc>
      </w:tr>
      <w:tr w:rsidR="00246604" w:rsidRPr="008B502E" w:rsidTr="005C6BD5">
        <w:trPr>
          <w:trHeight w:val="300"/>
        </w:trPr>
        <w:tc>
          <w:tcPr>
            <w:tcW w:w="2660" w:type="dxa"/>
            <w:tcBorders>
              <w:top w:val="single" w:sz="6" w:space="0" w:color="auto"/>
              <w:left w:val="nil"/>
              <w:bottom w:val="nil"/>
              <w:right w:val="nil"/>
            </w:tcBorders>
            <w:shd w:val="clear" w:color="auto" w:fill="auto"/>
            <w:noWrap/>
            <w:vAlign w:val="bottom"/>
            <w:hideMark/>
          </w:tcPr>
          <w:p w:rsidR="00246604" w:rsidRPr="008B502E" w:rsidRDefault="00246604" w:rsidP="004E3406">
            <w:pPr>
              <w:spacing w:before="120" w:after="0" w:line="240" w:lineRule="auto"/>
              <w:rPr>
                <w:rFonts w:ascii="Calibri" w:eastAsia="Times New Roman" w:hAnsi="Calibri" w:cs="Times New Roman"/>
                <w:color w:val="000000"/>
              </w:rPr>
            </w:pPr>
            <w:r w:rsidRPr="008B502E">
              <w:rPr>
                <w:rFonts w:ascii="Calibri" w:eastAsia="Times New Roman" w:hAnsi="Calibri" w:cs="Times New Roman"/>
                <w:color w:val="000000"/>
              </w:rPr>
              <w:t>CVC Insertions</w:t>
            </w:r>
          </w:p>
        </w:tc>
        <w:tc>
          <w:tcPr>
            <w:tcW w:w="1240" w:type="dxa"/>
            <w:tcBorders>
              <w:top w:val="single" w:sz="6" w:space="0" w:color="auto"/>
              <w:left w:val="nil"/>
              <w:bottom w:val="nil"/>
              <w:right w:val="nil"/>
            </w:tcBorders>
            <w:shd w:val="clear" w:color="auto" w:fill="auto"/>
            <w:noWrap/>
            <w:vAlign w:val="bottom"/>
          </w:tcPr>
          <w:p w:rsidR="00246604" w:rsidRPr="008B502E" w:rsidRDefault="00246604" w:rsidP="004E3406">
            <w:pPr>
              <w:spacing w:before="120" w:after="0" w:line="240" w:lineRule="auto"/>
              <w:jc w:val="right"/>
              <w:rPr>
                <w:rFonts w:ascii="Calibri" w:eastAsia="Times New Roman" w:hAnsi="Calibri" w:cs="Times New Roman"/>
                <w:color w:val="000000"/>
              </w:rPr>
            </w:pPr>
            <w:r>
              <w:rPr>
                <w:rFonts w:ascii="Calibri" w:eastAsia="Times New Roman" w:hAnsi="Calibri" w:cs="Times New Roman"/>
                <w:color w:val="000000"/>
              </w:rPr>
              <w:t>49</w:t>
            </w:r>
            <w:r w:rsidR="005C6BD5">
              <w:rPr>
                <w:rFonts w:ascii="Calibri" w:eastAsia="Times New Roman" w:hAnsi="Calibri" w:cs="Times New Roman"/>
                <w:color w:val="000000"/>
              </w:rPr>
              <w:t>,</w:t>
            </w:r>
            <w:r>
              <w:rPr>
                <w:rFonts w:ascii="Calibri" w:eastAsia="Times New Roman" w:hAnsi="Calibri" w:cs="Times New Roman"/>
                <w:color w:val="000000"/>
              </w:rPr>
              <w:t>422</w:t>
            </w:r>
          </w:p>
        </w:tc>
        <w:tc>
          <w:tcPr>
            <w:tcW w:w="1240" w:type="dxa"/>
            <w:tcBorders>
              <w:top w:val="single" w:sz="6" w:space="0" w:color="auto"/>
              <w:left w:val="nil"/>
              <w:bottom w:val="nil"/>
              <w:right w:val="nil"/>
            </w:tcBorders>
            <w:shd w:val="clear" w:color="auto" w:fill="auto"/>
            <w:noWrap/>
            <w:vAlign w:val="bottom"/>
          </w:tcPr>
          <w:p w:rsidR="00246604" w:rsidRPr="008B502E" w:rsidRDefault="00246604" w:rsidP="004E3406">
            <w:pPr>
              <w:spacing w:before="120" w:after="0" w:line="240" w:lineRule="auto"/>
              <w:jc w:val="right"/>
              <w:rPr>
                <w:rFonts w:ascii="Calibri" w:eastAsia="Times New Roman" w:hAnsi="Calibri" w:cs="Times New Roman"/>
                <w:color w:val="000000"/>
              </w:rPr>
            </w:pPr>
            <w:r>
              <w:rPr>
                <w:rFonts w:ascii="Calibri" w:eastAsia="Times New Roman" w:hAnsi="Calibri" w:cs="Times New Roman"/>
                <w:color w:val="000000"/>
              </w:rPr>
              <w:t>61</w:t>
            </w:r>
            <w:r w:rsidR="005C6BD5">
              <w:rPr>
                <w:rFonts w:ascii="Calibri" w:eastAsia="Times New Roman" w:hAnsi="Calibri" w:cs="Times New Roman"/>
                <w:color w:val="000000"/>
              </w:rPr>
              <w:t>,</w:t>
            </w:r>
            <w:r>
              <w:rPr>
                <w:rFonts w:ascii="Calibri" w:eastAsia="Times New Roman" w:hAnsi="Calibri" w:cs="Times New Roman"/>
                <w:color w:val="000000"/>
              </w:rPr>
              <w:t>865</w:t>
            </w:r>
          </w:p>
        </w:tc>
        <w:tc>
          <w:tcPr>
            <w:tcW w:w="1240" w:type="dxa"/>
            <w:tcBorders>
              <w:top w:val="single" w:sz="6" w:space="0" w:color="auto"/>
              <w:left w:val="nil"/>
              <w:bottom w:val="nil"/>
              <w:right w:val="nil"/>
            </w:tcBorders>
            <w:shd w:val="clear" w:color="auto" w:fill="auto"/>
            <w:noWrap/>
            <w:vAlign w:val="bottom"/>
          </w:tcPr>
          <w:p w:rsidR="00246604" w:rsidRPr="008B502E" w:rsidRDefault="00246604" w:rsidP="004E3406">
            <w:pPr>
              <w:spacing w:before="120" w:after="0" w:line="240" w:lineRule="auto"/>
              <w:jc w:val="right"/>
              <w:rPr>
                <w:rFonts w:ascii="Calibri" w:eastAsia="Times New Roman" w:hAnsi="Calibri" w:cs="Times New Roman"/>
                <w:color w:val="000000"/>
              </w:rPr>
            </w:pPr>
            <w:r>
              <w:rPr>
                <w:rFonts w:ascii="Calibri" w:eastAsia="Times New Roman" w:hAnsi="Calibri" w:cs="Times New Roman"/>
                <w:color w:val="000000"/>
              </w:rPr>
              <w:t>66</w:t>
            </w:r>
            <w:r w:rsidR="005C6BD5">
              <w:rPr>
                <w:rFonts w:ascii="Calibri" w:eastAsia="Times New Roman" w:hAnsi="Calibri" w:cs="Times New Roman"/>
                <w:color w:val="000000"/>
              </w:rPr>
              <w:t>,</w:t>
            </w:r>
            <w:r>
              <w:rPr>
                <w:rFonts w:ascii="Calibri" w:eastAsia="Times New Roman" w:hAnsi="Calibri" w:cs="Times New Roman"/>
                <w:color w:val="000000"/>
              </w:rPr>
              <w:t>366</w:t>
            </w:r>
          </w:p>
        </w:tc>
        <w:tc>
          <w:tcPr>
            <w:tcW w:w="1240" w:type="dxa"/>
            <w:tcBorders>
              <w:top w:val="single" w:sz="6" w:space="0" w:color="auto"/>
              <w:left w:val="nil"/>
              <w:bottom w:val="nil"/>
              <w:right w:val="nil"/>
            </w:tcBorders>
            <w:shd w:val="clear" w:color="auto" w:fill="auto"/>
            <w:noWrap/>
            <w:vAlign w:val="bottom"/>
          </w:tcPr>
          <w:p w:rsidR="00246604" w:rsidRPr="008B502E" w:rsidRDefault="00246604" w:rsidP="004E3406">
            <w:pPr>
              <w:spacing w:before="120" w:after="0" w:line="240" w:lineRule="auto"/>
              <w:jc w:val="right"/>
              <w:rPr>
                <w:rFonts w:ascii="Calibri" w:eastAsia="Times New Roman" w:hAnsi="Calibri" w:cs="Times New Roman"/>
                <w:color w:val="000000"/>
              </w:rPr>
            </w:pPr>
            <w:r>
              <w:rPr>
                <w:rFonts w:ascii="Calibri" w:eastAsia="Times New Roman" w:hAnsi="Calibri" w:cs="Times New Roman"/>
                <w:color w:val="000000"/>
              </w:rPr>
              <w:t>48</w:t>
            </w:r>
            <w:r w:rsidR="005C6BD5">
              <w:rPr>
                <w:rFonts w:ascii="Calibri" w:eastAsia="Times New Roman" w:hAnsi="Calibri" w:cs="Times New Roman"/>
                <w:color w:val="000000"/>
              </w:rPr>
              <w:t>,</w:t>
            </w:r>
            <w:r>
              <w:rPr>
                <w:rFonts w:ascii="Calibri" w:eastAsia="Times New Roman" w:hAnsi="Calibri" w:cs="Times New Roman"/>
                <w:color w:val="000000"/>
              </w:rPr>
              <w:t>439</w:t>
            </w:r>
          </w:p>
        </w:tc>
      </w:tr>
      <w:tr w:rsidR="00246604" w:rsidRPr="008B502E" w:rsidTr="005C6BD5">
        <w:trPr>
          <w:trHeight w:val="300"/>
        </w:trPr>
        <w:tc>
          <w:tcPr>
            <w:tcW w:w="2660" w:type="dxa"/>
            <w:tcBorders>
              <w:top w:val="nil"/>
              <w:left w:val="nil"/>
              <w:bottom w:val="nil"/>
              <w:right w:val="nil"/>
            </w:tcBorders>
            <w:shd w:val="clear" w:color="auto" w:fill="auto"/>
            <w:noWrap/>
            <w:vAlign w:val="bottom"/>
            <w:hideMark/>
          </w:tcPr>
          <w:p w:rsidR="00246604" w:rsidRPr="008B502E" w:rsidRDefault="00246604" w:rsidP="004E3406">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Protocol </w:t>
            </w:r>
            <w:r w:rsidRPr="008B502E">
              <w:rPr>
                <w:rFonts w:ascii="Calibri" w:eastAsia="Times New Roman" w:hAnsi="Calibri" w:cs="Times New Roman"/>
                <w:color w:val="000000"/>
              </w:rPr>
              <w:t>Reported</w:t>
            </w:r>
            <w:r w:rsidRPr="00CC257A">
              <w:rPr>
                <w:rFonts w:ascii="Calibri" w:eastAsia="Times New Roman" w:hAnsi="Calibri" w:cs="Times New Roman"/>
                <w:color w:val="000000"/>
                <w:vertAlign w:val="superscript"/>
              </w:rPr>
              <w:t>1</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1,586</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2,430</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2,549</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1,438</w:t>
            </w:r>
          </w:p>
        </w:tc>
      </w:tr>
      <w:tr w:rsidR="00246604" w:rsidRPr="008B502E" w:rsidTr="005C6BD5">
        <w:trPr>
          <w:trHeight w:val="300"/>
        </w:trPr>
        <w:tc>
          <w:tcPr>
            <w:tcW w:w="2660" w:type="dxa"/>
            <w:tcBorders>
              <w:top w:val="nil"/>
              <w:left w:val="nil"/>
              <w:bottom w:val="nil"/>
              <w:right w:val="nil"/>
            </w:tcBorders>
            <w:shd w:val="clear" w:color="auto" w:fill="auto"/>
            <w:noWrap/>
            <w:vAlign w:val="bottom"/>
            <w:hideMark/>
          </w:tcPr>
          <w:p w:rsidR="00246604" w:rsidRPr="008B502E" w:rsidRDefault="00246604" w:rsidP="004E3406">
            <w:pPr>
              <w:spacing w:after="0" w:line="240" w:lineRule="auto"/>
              <w:ind w:firstLineChars="100" w:firstLine="220"/>
              <w:rPr>
                <w:rFonts w:ascii="Calibri" w:eastAsia="Times New Roman" w:hAnsi="Calibri" w:cs="Times New Roman"/>
                <w:color w:val="000000"/>
              </w:rPr>
            </w:pPr>
            <w:r w:rsidRPr="008B502E">
              <w:rPr>
                <w:rFonts w:ascii="Calibri" w:eastAsia="Times New Roman" w:hAnsi="Calibri" w:cs="Times New Roman"/>
                <w:color w:val="000000"/>
              </w:rPr>
              <w:t xml:space="preserve">Percentage </w:t>
            </w:r>
            <w:r>
              <w:rPr>
                <w:rFonts w:ascii="Calibri" w:eastAsia="Times New Roman" w:hAnsi="Calibri" w:cs="Times New Roman"/>
                <w:color w:val="000000"/>
              </w:rPr>
              <w:t>r</w:t>
            </w:r>
            <w:r w:rsidRPr="008B502E">
              <w:rPr>
                <w:rFonts w:ascii="Calibri" w:eastAsia="Times New Roman" w:hAnsi="Calibri" w:cs="Times New Roman"/>
                <w:color w:val="000000"/>
              </w:rPr>
              <w:t>eported</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3.21%</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3.93%</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3.84%</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2.97%</w:t>
            </w:r>
          </w:p>
        </w:tc>
      </w:tr>
      <w:tr w:rsidR="00246604" w:rsidRPr="008B502E" w:rsidTr="005C6BD5">
        <w:trPr>
          <w:trHeight w:val="300"/>
        </w:trPr>
        <w:tc>
          <w:tcPr>
            <w:tcW w:w="2660" w:type="dxa"/>
            <w:tcBorders>
              <w:top w:val="nil"/>
              <w:left w:val="nil"/>
              <w:bottom w:val="nil"/>
              <w:right w:val="nil"/>
            </w:tcBorders>
            <w:shd w:val="clear" w:color="auto" w:fill="auto"/>
            <w:noWrap/>
            <w:vAlign w:val="bottom"/>
            <w:hideMark/>
          </w:tcPr>
          <w:p w:rsidR="00246604" w:rsidRPr="008B502E" w:rsidRDefault="00246604" w:rsidP="004E3406">
            <w:pPr>
              <w:spacing w:after="0" w:line="240" w:lineRule="auto"/>
              <w:rPr>
                <w:rFonts w:ascii="Calibri" w:eastAsia="Times New Roman" w:hAnsi="Calibri" w:cs="Times New Roman"/>
                <w:color w:val="000000"/>
              </w:rPr>
            </w:pPr>
            <w:r w:rsidRPr="008B502E">
              <w:rPr>
                <w:rFonts w:ascii="Calibri" w:eastAsia="Times New Roman" w:hAnsi="Calibri" w:cs="Times New Roman"/>
                <w:color w:val="000000"/>
              </w:rPr>
              <w:t>Followed</w:t>
            </w:r>
          </w:p>
        </w:tc>
        <w:tc>
          <w:tcPr>
            <w:tcW w:w="1240" w:type="dxa"/>
            <w:tcBorders>
              <w:top w:val="nil"/>
              <w:left w:val="nil"/>
              <w:bottom w:val="nil"/>
              <w:right w:val="nil"/>
            </w:tcBorders>
            <w:shd w:val="clear" w:color="auto" w:fill="auto"/>
            <w:noWrap/>
            <w:vAlign w:val="center"/>
          </w:tcPr>
          <w:p w:rsidR="00246604" w:rsidRPr="008B502E" w:rsidRDefault="00246604" w:rsidP="00246604">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1,577</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2,384</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2,515</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1,428</w:t>
            </w:r>
          </w:p>
        </w:tc>
      </w:tr>
      <w:tr w:rsidR="00246604" w:rsidRPr="008B502E" w:rsidTr="005C6BD5">
        <w:trPr>
          <w:trHeight w:val="300"/>
        </w:trPr>
        <w:tc>
          <w:tcPr>
            <w:tcW w:w="2660" w:type="dxa"/>
            <w:tcBorders>
              <w:top w:val="nil"/>
              <w:left w:val="nil"/>
              <w:bottom w:val="nil"/>
              <w:right w:val="nil"/>
            </w:tcBorders>
            <w:shd w:val="clear" w:color="auto" w:fill="auto"/>
            <w:noWrap/>
            <w:vAlign w:val="bottom"/>
            <w:hideMark/>
          </w:tcPr>
          <w:p w:rsidR="00246604" w:rsidRPr="008B502E" w:rsidRDefault="00246604" w:rsidP="004E3406">
            <w:pPr>
              <w:spacing w:after="0" w:line="240" w:lineRule="auto"/>
              <w:ind w:firstLineChars="100" w:firstLine="220"/>
              <w:rPr>
                <w:rFonts w:ascii="Calibri" w:eastAsia="Times New Roman" w:hAnsi="Calibri" w:cs="Times New Roman"/>
                <w:color w:val="000000"/>
              </w:rPr>
            </w:pPr>
            <w:r w:rsidRPr="008B502E">
              <w:rPr>
                <w:rFonts w:ascii="Calibri" w:eastAsia="Times New Roman" w:hAnsi="Calibri" w:cs="Times New Roman"/>
                <w:color w:val="000000"/>
              </w:rPr>
              <w:t xml:space="preserve">Percentage </w:t>
            </w:r>
            <w:r>
              <w:rPr>
                <w:rFonts w:ascii="Calibri" w:eastAsia="Times New Roman" w:hAnsi="Calibri" w:cs="Times New Roman"/>
                <w:color w:val="000000"/>
              </w:rPr>
              <w:t>f</w:t>
            </w:r>
            <w:r w:rsidRPr="008B502E">
              <w:rPr>
                <w:rFonts w:ascii="Calibri" w:eastAsia="Times New Roman" w:hAnsi="Calibri" w:cs="Times New Roman"/>
                <w:color w:val="000000"/>
              </w:rPr>
              <w:t>ollowed</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99.4%</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98.1%</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98.7%</w:t>
            </w:r>
          </w:p>
        </w:tc>
        <w:tc>
          <w:tcPr>
            <w:tcW w:w="1240" w:type="dxa"/>
            <w:tcBorders>
              <w:top w:val="nil"/>
              <w:left w:val="nil"/>
              <w:bottom w:val="nil"/>
              <w:right w:val="nil"/>
            </w:tcBorders>
            <w:shd w:val="clear" w:color="auto" w:fill="auto"/>
            <w:noWrap/>
            <w:vAlign w:val="bottom"/>
          </w:tcPr>
          <w:p w:rsidR="00246604" w:rsidRPr="008B502E" w:rsidRDefault="00246604" w:rsidP="004E3406">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99.3%</w:t>
            </w:r>
          </w:p>
        </w:tc>
      </w:tr>
    </w:tbl>
    <w:p w:rsidR="00C90ED7" w:rsidRDefault="00C90ED7" w:rsidP="00092566">
      <w:pPr>
        <w:autoSpaceDE w:val="0"/>
        <w:autoSpaceDN w:val="0"/>
        <w:adjustRightInd w:val="0"/>
        <w:spacing w:after="0" w:line="240" w:lineRule="auto"/>
        <w:rPr>
          <w:rFonts w:cstheme="minorHAnsi"/>
          <w:bCs/>
        </w:rPr>
      </w:pPr>
    </w:p>
    <w:p w:rsidR="00D8731B" w:rsidRDefault="00022AC1" w:rsidP="00092566">
      <w:pPr>
        <w:autoSpaceDE w:val="0"/>
        <w:autoSpaceDN w:val="0"/>
        <w:adjustRightInd w:val="0"/>
        <w:spacing w:after="0" w:line="240" w:lineRule="auto"/>
        <w:rPr>
          <w:rFonts w:cstheme="minorHAnsi"/>
          <w:bCs/>
        </w:rPr>
      </w:pPr>
      <w:r>
        <w:rPr>
          <w:rFonts w:cstheme="minorHAnsi"/>
          <w:bCs/>
          <w:vanish/>
        </w:rPr>
        <w:cr/>
        <w:t>----</w:t>
      </w:r>
      <w:r>
        <w:rPr>
          <w:rFonts w:cstheme="minorHAnsi"/>
          <w:bCs/>
          <w:vanish/>
        </w:rPr>
        <w:cr/>
        <w:t>/30/2013)ollowing results.dave End-Stage Renal Disease, and less likely to be dead. Gender and race were not different bet</w:t>
      </w:r>
    </w:p>
    <w:p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492919" w:rsidRDefault="00EC2F15" w:rsidP="00DB3627">
      <w:pPr>
        <w:autoSpaceDE w:val="0"/>
        <w:autoSpaceDN w:val="0"/>
        <w:adjustRightInd w:val="0"/>
        <w:spacing w:after="0" w:line="240" w:lineRule="auto"/>
        <w:rPr>
          <w:rFonts w:cstheme="minorHAnsi"/>
          <w:bCs/>
        </w:rPr>
      </w:pPr>
      <w:r>
        <w:rPr>
          <w:rFonts w:cstheme="minorHAnsi"/>
          <w:bCs/>
        </w:rPr>
        <w:t xml:space="preserve">Systematic exclusions to this measure are not necessary; evidence-based sterile precautions are indicated for every CVC insertion in clinical practice.  Exceptions, based largely on the acuity of need for the CVC in trauma or emergency cases, are most appropriately documented on an individual basis, as provided for in the measure specifications.  </w:t>
      </w:r>
    </w:p>
    <w:p w:rsidR="00EC2F15" w:rsidRPr="00A25024" w:rsidRDefault="00EC2F15" w:rsidP="00DB3627">
      <w:pPr>
        <w:autoSpaceDE w:val="0"/>
        <w:autoSpaceDN w:val="0"/>
        <w:adjustRightInd w:val="0"/>
        <w:spacing w:after="0" w:line="240" w:lineRule="auto"/>
        <w:rPr>
          <w:rFonts w:cstheme="minorHAnsi"/>
          <w:bCs/>
        </w:rPr>
      </w:pP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B86EFC"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5C588B">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B86EFC"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B86EFC"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B86EFC"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83E0B" w:rsidRDefault="00743E46" w:rsidP="004A05BD">
      <w:pPr>
        <w:autoSpaceDE w:val="0"/>
        <w:autoSpaceDN w:val="0"/>
        <w:adjustRightInd w:val="0"/>
        <w:spacing w:after="0" w:line="240" w:lineRule="auto"/>
        <w:rPr>
          <w:rFonts w:cstheme="minorHAnsi"/>
          <w:bCs/>
          <w:highlight w:val="yellow"/>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4A05BD" w:rsidRPr="004A05BD" w:rsidRDefault="004A05BD" w:rsidP="004A05BD">
      <w:pPr>
        <w:autoSpaceDE w:val="0"/>
        <w:autoSpaceDN w:val="0"/>
        <w:adjustRightInd w:val="0"/>
        <w:spacing w:after="0" w:line="240" w:lineRule="auto"/>
        <w:rPr>
          <w:rFonts w:cstheme="minorHAnsi"/>
          <w:bCs/>
        </w:rPr>
      </w:pPr>
    </w:p>
    <w:p w:rsidR="004A05BD" w:rsidRDefault="00092566" w:rsidP="004A05BD">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4A05BD" w:rsidRPr="004A05BD" w:rsidRDefault="00092566" w:rsidP="004A05BD">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4A05BD"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rsidR="00092566" w:rsidRPr="00A25024" w:rsidRDefault="00092566" w:rsidP="00092566">
      <w:pPr>
        <w:autoSpaceDE w:val="0"/>
        <w:autoSpaceDN w:val="0"/>
        <w:adjustRightInd w:val="0"/>
        <w:spacing w:after="0" w:line="240" w:lineRule="auto"/>
        <w:rPr>
          <w:rFonts w:cstheme="minorHAnsi"/>
          <w:bCs/>
        </w:rPr>
      </w:pPr>
      <w:r w:rsidRPr="00A25024">
        <w:rPr>
          <w:rFonts w:cstheme="minorHAnsi"/>
          <w:bCs/>
        </w:rPr>
        <w:lastRenderedPageBreak/>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743E46" w:rsidRPr="00743E46">
        <w:rPr>
          <w:rFonts w:cstheme="minorHAnsi"/>
          <w:b/>
          <w:bCs/>
          <w:i/>
          <w:highlight w:val="green"/>
        </w:rPr>
        <w:t xml:space="preserve">if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4A05BD" w:rsidRDefault="00743E46" w:rsidP="004A05BD">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4A05BD" w:rsidRPr="00001D73" w:rsidRDefault="004A05BD" w:rsidP="00092566">
      <w:pPr>
        <w:autoSpaceDE w:val="0"/>
        <w:autoSpaceDN w:val="0"/>
        <w:adjustRightInd w:val="0"/>
        <w:spacing w:after="0" w:line="240" w:lineRule="auto"/>
        <w:rPr>
          <w:rFonts w:cstheme="minorHAnsi"/>
          <w:b/>
          <w:bCs/>
        </w:rPr>
      </w:pPr>
    </w:p>
    <w:p w:rsidR="004A05BD" w:rsidRDefault="00743E46" w:rsidP="004A05BD">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p>
    <w:p w:rsidR="00001D73" w:rsidRDefault="00001D73" w:rsidP="00092566">
      <w:pPr>
        <w:autoSpaceDE w:val="0"/>
        <w:autoSpaceDN w:val="0"/>
        <w:adjustRightInd w:val="0"/>
        <w:spacing w:after="0" w:line="240" w:lineRule="auto"/>
        <w:rPr>
          <w:rFonts w:cstheme="minorHAnsi"/>
          <w:b/>
          <w:bCs/>
        </w:rPr>
      </w:pPr>
    </w:p>
    <w:p w:rsidR="004A05BD" w:rsidRDefault="004A05BD" w:rsidP="00092566">
      <w:pPr>
        <w:autoSpaceDE w:val="0"/>
        <w:autoSpaceDN w:val="0"/>
        <w:adjustRightInd w:val="0"/>
        <w:spacing w:after="0" w:line="240" w:lineRule="auto"/>
        <w:rPr>
          <w:rFonts w:cstheme="minorHAnsi"/>
          <w:b/>
          <w:bCs/>
        </w:rPr>
      </w:pPr>
    </w:p>
    <w:p w:rsidR="004A05BD" w:rsidRDefault="00743E46" w:rsidP="004A05BD">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p>
    <w:p w:rsidR="00743E46" w:rsidRDefault="00092566" w:rsidP="00092566">
      <w:pPr>
        <w:autoSpaceDE w:val="0"/>
        <w:autoSpaceDN w:val="0"/>
        <w:adjustRightInd w:val="0"/>
        <w:spacing w:after="0" w:line="240" w:lineRule="auto"/>
        <w:rPr>
          <w:rFonts w:cstheme="minorHAnsi"/>
          <w:b/>
        </w:rPr>
      </w:pPr>
      <w:r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4A05BD" w:rsidRDefault="00092566" w:rsidP="004A05BD">
      <w:pPr>
        <w:rPr>
          <w:rFonts w:cstheme="minorHAnsi"/>
          <w:bCs/>
        </w:rPr>
      </w:pPr>
    </w:p>
    <w:p w:rsidR="004A05BD" w:rsidRDefault="00743E46" w:rsidP="004A05BD">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092566" w:rsidRPr="00A25024" w:rsidRDefault="00092566" w:rsidP="00092566">
      <w:pPr>
        <w:spacing w:after="0" w:line="240" w:lineRule="auto"/>
        <w:rPr>
          <w:rFonts w:cstheme="minorHAnsi"/>
        </w:rPr>
      </w:pPr>
    </w:p>
    <w:p w:rsidR="00021170" w:rsidRPr="009B1A15" w:rsidRDefault="00092566" w:rsidP="009B1A15">
      <w:pPr>
        <w:spacing w:after="0" w:line="240" w:lineRule="auto"/>
        <w:rPr>
          <w:rFonts w:cstheme="minorHAnsi"/>
        </w:rPr>
      </w:pPr>
      <w:proofErr w:type="gramStart"/>
      <w:r w:rsidRPr="00A25024">
        <w:rPr>
          <w:rFonts w:cstheme="minorHAnsi"/>
          <w:highlight w:val="green"/>
        </w:rPr>
        <w:t>*</w:t>
      </w:r>
      <w:r w:rsidR="009B1A15" w:rsidRPr="009B1A15">
        <w:rPr>
          <w:rFonts w:cstheme="minorHAnsi"/>
          <w:b/>
          <w:highlight w:val="green"/>
        </w:rPr>
        <w:t>2b4.11.</w:t>
      </w:r>
      <w:proofErr w:type="gramEnd"/>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492919" w:rsidRDefault="00D61410" w:rsidP="00D61410">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EC2F15" w:rsidRDefault="00EC2F15" w:rsidP="00D61410">
      <w:pPr>
        <w:autoSpaceDE w:val="0"/>
        <w:autoSpaceDN w:val="0"/>
        <w:adjustRightInd w:val="0"/>
        <w:spacing w:after="0" w:line="240" w:lineRule="auto"/>
        <w:rPr>
          <w:rFonts w:cstheme="minorHAnsi"/>
          <w:bCs/>
        </w:rPr>
      </w:pPr>
    </w:p>
    <w:p w:rsidR="0012288E" w:rsidRDefault="00EC2F15" w:rsidP="00D61410">
      <w:pPr>
        <w:autoSpaceDE w:val="0"/>
        <w:autoSpaceDN w:val="0"/>
        <w:adjustRightInd w:val="0"/>
        <w:spacing w:after="0" w:line="240" w:lineRule="auto"/>
        <w:rPr>
          <w:rFonts w:cstheme="minorHAnsi"/>
          <w:bCs/>
        </w:rPr>
      </w:pPr>
      <w:r>
        <w:rPr>
          <w:rFonts w:cstheme="minorHAnsi"/>
          <w:bCs/>
        </w:rPr>
        <w:t>NACOR is working to report performance on this me</w:t>
      </w:r>
      <w:r w:rsidR="0012288E">
        <w:rPr>
          <w:rFonts w:cstheme="minorHAnsi"/>
          <w:bCs/>
        </w:rPr>
        <w:t>asure to participating groups</w:t>
      </w:r>
      <w:r>
        <w:rPr>
          <w:rFonts w:cstheme="minorHAnsi"/>
          <w:bCs/>
        </w:rPr>
        <w:t xml:space="preserve"> on the practice, facility and individual provider level, showing both trends over time and comparison to national benchmarks.  </w:t>
      </w:r>
      <w:r w:rsidR="0012288E">
        <w:rPr>
          <w:rFonts w:cstheme="minorHAnsi"/>
          <w:bCs/>
        </w:rPr>
        <w:t xml:space="preserve">A preliminary review of the data shows variation in performance at the individual level, even within the same practice, but it is not known if these differences represent failure of compliance with the standards or failure to document.  The purpose of the NACOR reports will be to provide data for the local quality managers to investigate and address these discrepancies.  Anesthesia practices which have engaged in this sort of private reporting and local improvement have demonstrated strong gains in performance.  </w:t>
      </w:r>
    </w:p>
    <w:p w:rsidR="0012288E" w:rsidRDefault="0012288E" w:rsidP="00D61410">
      <w:pPr>
        <w:autoSpaceDE w:val="0"/>
        <w:autoSpaceDN w:val="0"/>
        <w:adjustRightInd w:val="0"/>
        <w:spacing w:after="0" w:line="240" w:lineRule="auto"/>
        <w:rPr>
          <w:rFonts w:cstheme="minorHAnsi"/>
          <w:bCs/>
        </w:rPr>
      </w:pPr>
    </w:p>
    <w:p w:rsidR="00D61410" w:rsidRPr="00A25024" w:rsidRDefault="0012288E" w:rsidP="00D61410">
      <w:pPr>
        <w:autoSpaceDE w:val="0"/>
        <w:autoSpaceDN w:val="0"/>
        <w:adjustRightInd w:val="0"/>
        <w:spacing w:after="0" w:line="240" w:lineRule="auto"/>
        <w:rPr>
          <w:rFonts w:cstheme="minorHAnsi"/>
          <w:bCs/>
        </w:rPr>
      </w:pPr>
      <w:r>
        <w:rPr>
          <w:rFonts w:cstheme="minorHAnsi"/>
          <w:bCs/>
        </w:rPr>
        <w:t xml:space="preserve">One open question for quality measurement in this area is the number of CVC insertions required to demonstrate meaningful variations in performance at the level of individual providers.  At the facility </w:t>
      </w:r>
      <w:r>
        <w:rPr>
          <w:rFonts w:cstheme="minorHAnsi"/>
          <w:bCs/>
        </w:rPr>
        <w:lastRenderedPageBreak/>
        <w:t xml:space="preserve">and practice level this will not be an issue: CVC placement is a common-enough procedure that team-based reporting should generate adequate numbers for performance assessment.  </w:t>
      </w:r>
      <w:r w:rsidR="00D61410" w:rsidRPr="00A25024">
        <w:rPr>
          <w:rFonts w:cstheme="minorHAnsi"/>
          <w:bCs/>
        </w:rPr>
        <w:br/>
        <w:t xml:space="preserve"> </w:t>
      </w:r>
    </w:p>
    <w:p w:rsidR="00D61410" w:rsidRPr="00A25024" w:rsidRDefault="00D61410" w:rsidP="00D61410">
      <w:pPr>
        <w:autoSpaceDE w:val="0"/>
        <w:autoSpaceDN w:val="0"/>
        <w:adjustRightInd w:val="0"/>
        <w:spacing w:after="0" w:line="240" w:lineRule="auto"/>
        <w:rPr>
          <w:rFonts w:cstheme="minorHAnsi"/>
          <w:bCs/>
        </w:rPr>
      </w:pPr>
    </w:p>
    <w:p w:rsidR="00492919"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rsidR="00326B01" w:rsidRDefault="00326B01" w:rsidP="00D61410">
      <w:pPr>
        <w:autoSpaceDE w:val="0"/>
        <w:autoSpaceDN w:val="0"/>
        <w:adjustRightInd w:val="0"/>
        <w:spacing w:after="0" w:line="240" w:lineRule="auto"/>
        <w:rPr>
          <w:rFonts w:cstheme="minorHAnsi"/>
          <w:bCs/>
        </w:rPr>
      </w:pPr>
    </w:p>
    <w:p w:rsidR="00D61410" w:rsidRDefault="00326B01" w:rsidP="00D61410">
      <w:pPr>
        <w:autoSpaceDE w:val="0"/>
        <w:autoSpaceDN w:val="0"/>
        <w:adjustRightInd w:val="0"/>
        <w:spacing w:after="0" w:line="240" w:lineRule="auto"/>
        <w:rPr>
          <w:rFonts w:cstheme="minorHAnsi"/>
          <w:bCs/>
        </w:rPr>
      </w:pPr>
      <w:r>
        <w:rPr>
          <w:rFonts w:cstheme="minorHAnsi"/>
          <w:bCs/>
        </w:rPr>
        <w:t>To date, assessment of performance on this measure remains incomplete.  The issue at present is to increase the number of providers reporting</w:t>
      </w:r>
      <w:r w:rsidR="00F21EA2">
        <w:rPr>
          <w:rFonts w:cstheme="minorHAnsi"/>
          <w:bCs/>
        </w:rPr>
        <w:t xml:space="preserve">, and to improve the mechanisms which bring this data to NACOR.  Facilitating this sort of data collection and analysis was the American Society of Anesthesiologist’s purpose in creating the Anesthesia Quality Institute and launching NACOR.  While enormous progress has occurred, this project is still in its infancy.  Taking on aggregation and reporting of this measure is one early step.  </w:t>
      </w:r>
      <w:r w:rsidR="00D61410" w:rsidRPr="00A25024">
        <w:rPr>
          <w:rFonts w:cstheme="minorHAnsi"/>
          <w:bCs/>
        </w:rPr>
        <w:br/>
      </w:r>
    </w:p>
    <w:p w:rsidR="00D61410" w:rsidRPr="00927027" w:rsidRDefault="00D61410" w:rsidP="00D61410">
      <w:pPr>
        <w:autoSpaceDE w:val="0"/>
        <w:autoSpaceDN w:val="0"/>
        <w:adjustRightInd w:val="0"/>
        <w:spacing w:after="0" w:line="240" w:lineRule="auto"/>
        <w:rPr>
          <w:rFonts w:cstheme="minorHAnsi"/>
          <w:bCs/>
        </w:rPr>
      </w:pPr>
    </w:p>
    <w:p w:rsidR="00492919"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p>
    <w:p w:rsidR="00F21EA2" w:rsidRDefault="00F21EA2" w:rsidP="00D61410">
      <w:pPr>
        <w:autoSpaceDE w:val="0"/>
        <w:autoSpaceDN w:val="0"/>
        <w:adjustRightInd w:val="0"/>
        <w:spacing w:after="0" w:line="240" w:lineRule="auto"/>
        <w:rPr>
          <w:rFonts w:cstheme="minorHAnsi"/>
          <w:bCs/>
        </w:rPr>
      </w:pPr>
    </w:p>
    <w:p w:rsidR="00D61410" w:rsidRPr="00A25024" w:rsidRDefault="00F21EA2" w:rsidP="00D61410">
      <w:pPr>
        <w:autoSpaceDE w:val="0"/>
        <w:autoSpaceDN w:val="0"/>
        <w:adjustRightInd w:val="0"/>
        <w:spacing w:after="0" w:line="240" w:lineRule="auto"/>
        <w:rPr>
          <w:rFonts w:cstheme="minorHAnsi"/>
          <w:bCs/>
        </w:rPr>
      </w:pPr>
      <w:r>
        <w:rPr>
          <w:rFonts w:cstheme="minorHAnsi"/>
          <w:bCs/>
        </w:rPr>
        <w:t xml:space="preserve">The number of CVCs placed by anesthesia professionals in a year is certainly large enough to support meaningful performance assessment, once mechanisms are in place to facilitate provider documentation, electronic abstraction, and transmission to NACOR or similar national aggregators. </w:t>
      </w:r>
      <w:r w:rsidR="00D61410" w:rsidRPr="00A25024">
        <w:rPr>
          <w:rFonts w:cstheme="minorHAnsi"/>
          <w:bCs/>
        </w:rPr>
        <w:br/>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492919"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Pr="00DB3627"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lastRenderedPageBreak/>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sectPr w:rsidR="0079180E" w:rsidRPr="00DB362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407" w:rsidRDefault="007D6407" w:rsidP="005C73CA">
      <w:pPr>
        <w:spacing w:after="0" w:line="240" w:lineRule="auto"/>
      </w:pPr>
      <w:r>
        <w:separator/>
      </w:r>
    </w:p>
  </w:endnote>
  <w:endnote w:type="continuationSeparator" w:id="0">
    <w:p w:rsidR="007D6407" w:rsidRDefault="007D6407"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134504"/>
      <w:docPartObj>
        <w:docPartGallery w:val="Page Numbers (Bottom of Page)"/>
        <w:docPartUnique/>
      </w:docPartObj>
    </w:sdtPr>
    <w:sdtEndPr>
      <w:rPr>
        <w:noProof/>
      </w:rPr>
    </w:sdtEndPr>
    <w:sdtContent>
      <w:p w:rsidR="00C90ED7" w:rsidRDefault="00C90ED7">
        <w:pPr>
          <w:pStyle w:val="Footer"/>
          <w:jc w:val="right"/>
        </w:pPr>
        <w:r>
          <w:t xml:space="preserve">Measure Testing – NQF #0464 – </w:t>
        </w:r>
        <w:r>
          <w:fldChar w:fldCharType="begin"/>
        </w:r>
        <w:r>
          <w:instrText xml:space="preserve"> PAGE   \* MERGEFORMAT </w:instrText>
        </w:r>
        <w:r>
          <w:fldChar w:fldCharType="separate"/>
        </w:r>
        <w:r w:rsidR="00B86EFC">
          <w:rPr>
            <w:noProof/>
          </w:rPr>
          <w:t>4</w:t>
        </w:r>
        <w:r>
          <w:rPr>
            <w:noProof/>
          </w:rPr>
          <w:fldChar w:fldCharType="end"/>
        </w:r>
      </w:p>
    </w:sdtContent>
  </w:sdt>
  <w:p w:rsidR="007D6407" w:rsidRDefault="007D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407" w:rsidRDefault="007D6407" w:rsidP="005C73CA">
      <w:pPr>
        <w:spacing w:after="0" w:line="240" w:lineRule="auto"/>
      </w:pPr>
      <w:r>
        <w:separator/>
      </w:r>
    </w:p>
  </w:footnote>
  <w:footnote w:type="continuationSeparator" w:id="0">
    <w:p w:rsidR="007D6407" w:rsidRDefault="007D6407"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7D6407" w:rsidRPr="00105D8B" w:rsidRDefault="007D6407"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Dutton">
    <w15:presenceInfo w15:providerId="Windows Live" w15:userId="04de8a504a760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4BCB"/>
    <w:rsid w:val="0001094F"/>
    <w:rsid w:val="00021170"/>
    <w:rsid w:val="0002128B"/>
    <w:rsid w:val="00022AC1"/>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7294"/>
    <w:rsid w:val="000775F8"/>
    <w:rsid w:val="00080CF7"/>
    <w:rsid w:val="00083E0B"/>
    <w:rsid w:val="000851B2"/>
    <w:rsid w:val="00092566"/>
    <w:rsid w:val="0009331B"/>
    <w:rsid w:val="000968F8"/>
    <w:rsid w:val="00097012"/>
    <w:rsid w:val="000A637F"/>
    <w:rsid w:val="000B032A"/>
    <w:rsid w:val="000B2DF7"/>
    <w:rsid w:val="000B3880"/>
    <w:rsid w:val="000D7948"/>
    <w:rsid w:val="000D7C84"/>
    <w:rsid w:val="000E4E13"/>
    <w:rsid w:val="000E78F6"/>
    <w:rsid w:val="000F06B5"/>
    <w:rsid w:val="000F39E9"/>
    <w:rsid w:val="00104B45"/>
    <w:rsid w:val="00105D8B"/>
    <w:rsid w:val="0011342F"/>
    <w:rsid w:val="00117F66"/>
    <w:rsid w:val="001202E9"/>
    <w:rsid w:val="0012288E"/>
    <w:rsid w:val="0012454F"/>
    <w:rsid w:val="00127C06"/>
    <w:rsid w:val="00145149"/>
    <w:rsid w:val="0014773C"/>
    <w:rsid w:val="0015741C"/>
    <w:rsid w:val="0017696D"/>
    <w:rsid w:val="001848FC"/>
    <w:rsid w:val="00186B16"/>
    <w:rsid w:val="001969C5"/>
    <w:rsid w:val="001A6CDD"/>
    <w:rsid w:val="001C12EE"/>
    <w:rsid w:val="001C7B02"/>
    <w:rsid w:val="001E4DD4"/>
    <w:rsid w:val="001E69DC"/>
    <w:rsid w:val="001F169D"/>
    <w:rsid w:val="001F1DA1"/>
    <w:rsid w:val="0021195A"/>
    <w:rsid w:val="00213383"/>
    <w:rsid w:val="00220250"/>
    <w:rsid w:val="0022691B"/>
    <w:rsid w:val="00232163"/>
    <w:rsid w:val="002376F8"/>
    <w:rsid w:val="002408E4"/>
    <w:rsid w:val="00241591"/>
    <w:rsid w:val="00246604"/>
    <w:rsid w:val="00250B4F"/>
    <w:rsid w:val="0025762F"/>
    <w:rsid w:val="00287649"/>
    <w:rsid w:val="00287E84"/>
    <w:rsid w:val="0029286C"/>
    <w:rsid w:val="0029300E"/>
    <w:rsid w:val="002B0C3A"/>
    <w:rsid w:val="002B2116"/>
    <w:rsid w:val="002B2D9B"/>
    <w:rsid w:val="002B5016"/>
    <w:rsid w:val="002B7F4D"/>
    <w:rsid w:val="002C285C"/>
    <w:rsid w:val="002C7BE4"/>
    <w:rsid w:val="002D417D"/>
    <w:rsid w:val="002E78A0"/>
    <w:rsid w:val="002F2687"/>
    <w:rsid w:val="002F48E1"/>
    <w:rsid w:val="002F4F3B"/>
    <w:rsid w:val="002F783D"/>
    <w:rsid w:val="003059EB"/>
    <w:rsid w:val="003116AC"/>
    <w:rsid w:val="00315567"/>
    <w:rsid w:val="00326B01"/>
    <w:rsid w:val="00330144"/>
    <w:rsid w:val="00346245"/>
    <w:rsid w:val="00356267"/>
    <w:rsid w:val="00356BAD"/>
    <w:rsid w:val="003605B4"/>
    <w:rsid w:val="003627AC"/>
    <w:rsid w:val="00366914"/>
    <w:rsid w:val="003755CB"/>
    <w:rsid w:val="00383F85"/>
    <w:rsid w:val="003A306C"/>
    <w:rsid w:val="003A7DE7"/>
    <w:rsid w:val="003B1006"/>
    <w:rsid w:val="003C5F11"/>
    <w:rsid w:val="003D6401"/>
    <w:rsid w:val="003E1863"/>
    <w:rsid w:val="0041606D"/>
    <w:rsid w:val="00416962"/>
    <w:rsid w:val="004348CC"/>
    <w:rsid w:val="0045612D"/>
    <w:rsid w:val="00456C23"/>
    <w:rsid w:val="004642E1"/>
    <w:rsid w:val="004658FF"/>
    <w:rsid w:val="00474ED7"/>
    <w:rsid w:val="004756E1"/>
    <w:rsid w:val="0048008A"/>
    <w:rsid w:val="00483E94"/>
    <w:rsid w:val="00484120"/>
    <w:rsid w:val="004853A0"/>
    <w:rsid w:val="00492919"/>
    <w:rsid w:val="00496B5F"/>
    <w:rsid w:val="004A05BD"/>
    <w:rsid w:val="004A2E10"/>
    <w:rsid w:val="004B17FF"/>
    <w:rsid w:val="004B1966"/>
    <w:rsid w:val="004B1BA0"/>
    <w:rsid w:val="004B6CEE"/>
    <w:rsid w:val="004C2443"/>
    <w:rsid w:val="004C498F"/>
    <w:rsid w:val="004C5D29"/>
    <w:rsid w:val="004C681A"/>
    <w:rsid w:val="004D4D8A"/>
    <w:rsid w:val="004E3406"/>
    <w:rsid w:val="004F68EE"/>
    <w:rsid w:val="005038D5"/>
    <w:rsid w:val="00511BA4"/>
    <w:rsid w:val="005149E7"/>
    <w:rsid w:val="005232D6"/>
    <w:rsid w:val="005333CC"/>
    <w:rsid w:val="005363F1"/>
    <w:rsid w:val="0055007C"/>
    <w:rsid w:val="00554922"/>
    <w:rsid w:val="00555282"/>
    <w:rsid w:val="005612CC"/>
    <w:rsid w:val="00563029"/>
    <w:rsid w:val="00567D12"/>
    <w:rsid w:val="00576062"/>
    <w:rsid w:val="00582C02"/>
    <w:rsid w:val="0059559F"/>
    <w:rsid w:val="005A34C1"/>
    <w:rsid w:val="005A3790"/>
    <w:rsid w:val="005A49FF"/>
    <w:rsid w:val="005A7634"/>
    <w:rsid w:val="005B509C"/>
    <w:rsid w:val="005C0447"/>
    <w:rsid w:val="005C588B"/>
    <w:rsid w:val="005C6BD5"/>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2F91"/>
    <w:rsid w:val="00756FDB"/>
    <w:rsid w:val="007665BF"/>
    <w:rsid w:val="007757CE"/>
    <w:rsid w:val="00775800"/>
    <w:rsid w:val="0079180E"/>
    <w:rsid w:val="007950CC"/>
    <w:rsid w:val="0079538B"/>
    <w:rsid w:val="007961B8"/>
    <w:rsid w:val="007A4828"/>
    <w:rsid w:val="007B093D"/>
    <w:rsid w:val="007B2069"/>
    <w:rsid w:val="007C04A1"/>
    <w:rsid w:val="007C21FA"/>
    <w:rsid w:val="007D4351"/>
    <w:rsid w:val="007D6407"/>
    <w:rsid w:val="007D7019"/>
    <w:rsid w:val="007E18DB"/>
    <w:rsid w:val="007E6F1C"/>
    <w:rsid w:val="007F30DD"/>
    <w:rsid w:val="007F32D1"/>
    <w:rsid w:val="00802DEC"/>
    <w:rsid w:val="00804C69"/>
    <w:rsid w:val="0080711D"/>
    <w:rsid w:val="00812B11"/>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96CE1"/>
    <w:rsid w:val="008A1DB7"/>
    <w:rsid w:val="008A403A"/>
    <w:rsid w:val="008A4C13"/>
    <w:rsid w:val="008C54A9"/>
    <w:rsid w:val="008E5834"/>
    <w:rsid w:val="008E67C3"/>
    <w:rsid w:val="008F589F"/>
    <w:rsid w:val="008F76A9"/>
    <w:rsid w:val="00900DBF"/>
    <w:rsid w:val="009048B9"/>
    <w:rsid w:val="00904E91"/>
    <w:rsid w:val="00914F9D"/>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0F66"/>
    <w:rsid w:val="00A01494"/>
    <w:rsid w:val="00A22FA9"/>
    <w:rsid w:val="00A25024"/>
    <w:rsid w:val="00A35F8F"/>
    <w:rsid w:val="00A41377"/>
    <w:rsid w:val="00A4263D"/>
    <w:rsid w:val="00A509B8"/>
    <w:rsid w:val="00A52AB9"/>
    <w:rsid w:val="00A6210B"/>
    <w:rsid w:val="00A7323A"/>
    <w:rsid w:val="00A97798"/>
    <w:rsid w:val="00AA5213"/>
    <w:rsid w:val="00AA65A6"/>
    <w:rsid w:val="00AB021A"/>
    <w:rsid w:val="00AB7402"/>
    <w:rsid w:val="00AC1D8E"/>
    <w:rsid w:val="00AC48FA"/>
    <w:rsid w:val="00AC78F6"/>
    <w:rsid w:val="00AD0240"/>
    <w:rsid w:val="00AD4137"/>
    <w:rsid w:val="00AF47F1"/>
    <w:rsid w:val="00B03312"/>
    <w:rsid w:val="00B037BA"/>
    <w:rsid w:val="00B20139"/>
    <w:rsid w:val="00B218DA"/>
    <w:rsid w:val="00B342FA"/>
    <w:rsid w:val="00B53E8B"/>
    <w:rsid w:val="00B774D2"/>
    <w:rsid w:val="00B8015A"/>
    <w:rsid w:val="00B82A57"/>
    <w:rsid w:val="00B86EFC"/>
    <w:rsid w:val="00BB35AE"/>
    <w:rsid w:val="00BC03A1"/>
    <w:rsid w:val="00BC0D25"/>
    <w:rsid w:val="00BD2505"/>
    <w:rsid w:val="00BD7664"/>
    <w:rsid w:val="00BE0ECF"/>
    <w:rsid w:val="00BE1DB0"/>
    <w:rsid w:val="00BE592D"/>
    <w:rsid w:val="00BF52B0"/>
    <w:rsid w:val="00BF5697"/>
    <w:rsid w:val="00C14CCC"/>
    <w:rsid w:val="00C22C1C"/>
    <w:rsid w:val="00C33F2E"/>
    <w:rsid w:val="00C34936"/>
    <w:rsid w:val="00C34C14"/>
    <w:rsid w:val="00C355B9"/>
    <w:rsid w:val="00C401C4"/>
    <w:rsid w:val="00C41680"/>
    <w:rsid w:val="00C4253B"/>
    <w:rsid w:val="00C60A25"/>
    <w:rsid w:val="00C765C5"/>
    <w:rsid w:val="00C82479"/>
    <w:rsid w:val="00C82E21"/>
    <w:rsid w:val="00C84A60"/>
    <w:rsid w:val="00C867F0"/>
    <w:rsid w:val="00C90ED7"/>
    <w:rsid w:val="00CA06D8"/>
    <w:rsid w:val="00CA345A"/>
    <w:rsid w:val="00CA4CE2"/>
    <w:rsid w:val="00CB49FF"/>
    <w:rsid w:val="00CC02CF"/>
    <w:rsid w:val="00CC086A"/>
    <w:rsid w:val="00CD0F66"/>
    <w:rsid w:val="00CD364B"/>
    <w:rsid w:val="00CE23B8"/>
    <w:rsid w:val="00CE50D7"/>
    <w:rsid w:val="00CF1B1C"/>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8731B"/>
    <w:rsid w:val="00D968D8"/>
    <w:rsid w:val="00DA11EE"/>
    <w:rsid w:val="00DA563D"/>
    <w:rsid w:val="00DA7277"/>
    <w:rsid w:val="00DB3627"/>
    <w:rsid w:val="00DB4724"/>
    <w:rsid w:val="00DC4746"/>
    <w:rsid w:val="00DE7149"/>
    <w:rsid w:val="00E0314C"/>
    <w:rsid w:val="00E11839"/>
    <w:rsid w:val="00E1508F"/>
    <w:rsid w:val="00E27240"/>
    <w:rsid w:val="00E27EDD"/>
    <w:rsid w:val="00E310B9"/>
    <w:rsid w:val="00E37E1B"/>
    <w:rsid w:val="00E562C0"/>
    <w:rsid w:val="00E56629"/>
    <w:rsid w:val="00E63F0B"/>
    <w:rsid w:val="00E672D6"/>
    <w:rsid w:val="00E76024"/>
    <w:rsid w:val="00E856A2"/>
    <w:rsid w:val="00E96884"/>
    <w:rsid w:val="00EA5435"/>
    <w:rsid w:val="00EA5F47"/>
    <w:rsid w:val="00EB02F6"/>
    <w:rsid w:val="00EC2F15"/>
    <w:rsid w:val="00EC79DE"/>
    <w:rsid w:val="00ED2025"/>
    <w:rsid w:val="00ED4ACE"/>
    <w:rsid w:val="00EF2DA7"/>
    <w:rsid w:val="00F21EA2"/>
    <w:rsid w:val="00F435AA"/>
    <w:rsid w:val="00F4504F"/>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54261747">
      <w:bodyDiv w:val="1"/>
      <w:marLeft w:val="0"/>
      <w:marRight w:val="0"/>
      <w:marTop w:val="0"/>
      <w:marBottom w:val="0"/>
      <w:divBdr>
        <w:top w:val="none" w:sz="0" w:space="0" w:color="auto"/>
        <w:left w:val="none" w:sz="0" w:space="0" w:color="auto"/>
        <w:bottom w:val="none" w:sz="0" w:space="0" w:color="auto"/>
        <w:right w:val="none" w:sz="0" w:space="0" w:color="auto"/>
      </w:divBdr>
    </w:div>
    <w:div w:id="929969140">
      <w:bodyDiv w:val="1"/>
      <w:marLeft w:val="0"/>
      <w:marRight w:val="0"/>
      <w:marTop w:val="0"/>
      <w:marBottom w:val="0"/>
      <w:divBdr>
        <w:top w:val="none" w:sz="0" w:space="0" w:color="auto"/>
        <w:left w:val="none" w:sz="0" w:space="0" w:color="auto"/>
        <w:bottom w:val="none" w:sz="0" w:space="0" w:color="auto"/>
        <w:right w:val="none" w:sz="0" w:space="0" w:color="auto"/>
      </w:divBdr>
    </w:div>
    <w:div w:id="977994532">
      <w:bodyDiv w:val="1"/>
      <w:marLeft w:val="0"/>
      <w:marRight w:val="0"/>
      <w:marTop w:val="0"/>
      <w:marBottom w:val="0"/>
      <w:divBdr>
        <w:top w:val="none" w:sz="0" w:space="0" w:color="auto"/>
        <w:left w:val="none" w:sz="0" w:space="0" w:color="auto"/>
        <w:bottom w:val="none" w:sz="0" w:space="0" w:color="auto"/>
        <w:right w:val="none" w:sz="0" w:space="0" w:color="auto"/>
      </w:divBdr>
    </w:div>
    <w:div w:id="1044714890">
      <w:bodyDiv w:val="1"/>
      <w:marLeft w:val="0"/>
      <w:marRight w:val="0"/>
      <w:marTop w:val="0"/>
      <w:marBottom w:val="0"/>
      <w:divBdr>
        <w:top w:val="none" w:sz="0" w:space="0" w:color="auto"/>
        <w:left w:val="none" w:sz="0" w:space="0" w:color="auto"/>
        <w:bottom w:val="none" w:sz="0" w:space="0" w:color="auto"/>
        <w:right w:val="none" w:sz="0" w:space="0" w:color="auto"/>
      </w:divBdr>
    </w:div>
    <w:div w:id="1058548323">
      <w:bodyDiv w:val="1"/>
      <w:marLeft w:val="0"/>
      <w:marRight w:val="0"/>
      <w:marTop w:val="0"/>
      <w:marBottom w:val="0"/>
      <w:divBdr>
        <w:top w:val="none" w:sz="0" w:space="0" w:color="auto"/>
        <w:left w:val="none" w:sz="0" w:space="0" w:color="auto"/>
        <w:bottom w:val="none" w:sz="0" w:space="0" w:color="auto"/>
        <w:right w:val="none" w:sz="0" w:space="0" w:color="auto"/>
      </w:divBdr>
    </w:div>
    <w:div w:id="1070930747">
      <w:bodyDiv w:val="1"/>
      <w:marLeft w:val="0"/>
      <w:marRight w:val="0"/>
      <w:marTop w:val="0"/>
      <w:marBottom w:val="0"/>
      <w:divBdr>
        <w:top w:val="none" w:sz="0" w:space="0" w:color="auto"/>
        <w:left w:val="none" w:sz="0" w:space="0" w:color="auto"/>
        <w:bottom w:val="none" w:sz="0" w:space="0" w:color="auto"/>
        <w:right w:val="none" w:sz="0" w:space="0" w:color="auto"/>
      </w:divBdr>
    </w:div>
    <w:div w:id="1137845397">
      <w:bodyDiv w:val="1"/>
      <w:marLeft w:val="0"/>
      <w:marRight w:val="0"/>
      <w:marTop w:val="0"/>
      <w:marBottom w:val="0"/>
      <w:divBdr>
        <w:top w:val="none" w:sz="0" w:space="0" w:color="auto"/>
        <w:left w:val="none" w:sz="0" w:space="0" w:color="auto"/>
        <w:bottom w:val="none" w:sz="0" w:space="0" w:color="auto"/>
        <w:right w:val="none" w:sz="0" w:space="0" w:color="auto"/>
      </w:divBdr>
    </w:div>
    <w:div w:id="1209537746">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9659475">
      <w:bodyDiv w:val="1"/>
      <w:marLeft w:val="0"/>
      <w:marRight w:val="0"/>
      <w:marTop w:val="0"/>
      <w:marBottom w:val="0"/>
      <w:divBdr>
        <w:top w:val="none" w:sz="0" w:space="0" w:color="auto"/>
        <w:left w:val="none" w:sz="0" w:space="0" w:color="auto"/>
        <w:bottom w:val="none" w:sz="0" w:space="0" w:color="auto"/>
        <w:right w:val="none" w:sz="0" w:space="0" w:color="auto"/>
      </w:divBdr>
    </w:div>
    <w:div w:id="1500652133">
      <w:bodyDiv w:val="1"/>
      <w:marLeft w:val="0"/>
      <w:marRight w:val="0"/>
      <w:marTop w:val="0"/>
      <w:marBottom w:val="0"/>
      <w:divBdr>
        <w:top w:val="none" w:sz="0" w:space="0" w:color="auto"/>
        <w:left w:val="none" w:sz="0" w:space="0" w:color="auto"/>
        <w:bottom w:val="none" w:sz="0" w:space="0" w:color="auto"/>
        <w:right w:val="none" w:sz="0" w:space="0" w:color="auto"/>
      </w:divBdr>
    </w:div>
    <w:div w:id="1566182051">
      <w:bodyDiv w:val="1"/>
      <w:marLeft w:val="0"/>
      <w:marRight w:val="0"/>
      <w:marTop w:val="0"/>
      <w:marBottom w:val="0"/>
      <w:divBdr>
        <w:top w:val="none" w:sz="0" w:space="0" w:color="auto"/>
        <w:left w:val="none" w:sz="0" w:space="0" w:color="auto"/>
        <w:bottom w:val="none" w:sz="0" w:space="0" w:color="auto"/>
        <w:right w:val="none" w:sz="0" w:space="0" w:color="auto"/>
      </w:divBdr>
    </w:div>
    <w:div w:id="1657875725">
      <w:bodyDiv w:val="1"/>
      <w:marLeft w:val="0"/>
      <w:marRight w:val="0"/>
      <w:marTop w:val="0"/>
      <w:marBottom w:val="0"/>
      <w:divBdr>
        <w:top w:val="none" w:sz="0" w:space="0" w:color="auto"/>
        <w:left w:val="none" w:sz="0" w:space="0" w:color="auto"/>
        <w:bottom w:val="none" w:sz="0" w:space="0" w:color="auto"/>
        <w:right w:val="none" w:sz="0" w:space="0" w:color="auto"/>
      </w:divBdr>
    </w:div>
    <w:div w:id="201537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popovich\AppData\Local\Microsoft\Windows\Temporary%20Internet%20Files\Content.Outlook\F0O23TXR\CRBSI%20elgible%20cases%20by%20group%20and%20facilit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popovich\AppData\Local\Microsoft\Windows\Temporary%20Internet%20Files\Content.Outlook\F0O23TXR\CRBSI%20elgible%20cases%20by%20group%20and%20facilit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popovich\AppData\Local\Microsoft\Windows\Temporary%20Internet%20Files\Content.Outlook\F0O23TXR\CRBSI%20elgible%20cases%20by%20group%20and%20facilit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1"/>
          <c:order val="0"/>
          <c:tx>
            <c:strRef>
              <c:f>'by Group'!$B$1</c:f>
              <c:strCache>
                <c:ptCount val="1"/>
                <c:pt idx="0">
                  <c:v>cases</c:v>
                </c:pt>
              </c:strCache>
            </c:strRef>
          </c:tx>
          <c:invertIfNegative val="0"/>
          <c:cat>
            <c:numRef>
              <c:f>'by Group'!$A$2:$A$158</c:f>
              <c:numCache>
                <c:formatCode>General</c:formatCode>
                <c:ptCount val="157"/>
                <c:pt idx="0">
                  <c:v>70</c:v>
                </c:pt>
                <c:pt idx="1">
                  <c:v>250</c:v>
                </c:pt>
                <c:pt idx="2">
                  <c:v>210</c:v>
                </c:pt>
                <c:pt idx="3">
                  <c:v>312</c:v>
                </c:pt>
                <c:pt idx="4">
                  <c:v>177</c:v>
                </c:pt>
                <c:pt idx="5">
                  <c:v>218</c:v>
                </c:pt>
                <c:pt idx="6">
                  <c:v>91</c:v>
                </c:pt>
                <c:pt idx="7">
                  <c:v>257</c:v>
                </c:pt>
                <c:pt idx="8">
                  <c:v>13</c:v>
                </c:pt>
                <c:pt idx="9">
                  <c:v>249</c:v>
                </c:pt>
                <c:pt idx="10">
                  <c:v>313</c:v>
                </c:pt>
                <c:pt idx="11">
                  <c:v>178</c:v>
                </c:pt>
                <c:pt idx="12">
                  <c:v>98</c:v>
                </c:pt>
                <c:pt idx="13">
                  <c:v>219</c:v>
                </c:pt>
                <c:pt idx="14">
                  <c:v>300</c:v>
                </c:pt>
                <c:pt idx="15">
                  <c:v>129</c:v>
                </c:pt>
                <c:pt idx="16">
                  <c:v>237</c:v>
                </c:pt>
                <c:pt idx="17">
                  <c:v>253</c:v>
                </c:pt>
                <c:pt idx="18">
                  <c:v>213</c:v>
                </c:pt>
                <c:pt idx="19">
                  <c:v>100</c:v>
                </c:pt>
                <c:pt idx="20">
                  <c:v>104</c:v>
                </c:pt>
                <c:pt idx="21">
                  <c:v>60</c:v>
                </c:pt>
                <c:pt idx="22">
                  <c:v>152</c:v>
                </c:pt>
                <c:pt idx="23">
                  <c:v>81</c:v>
                </c:pt>
                <c:pt idx="24">
                  <c:v>62</c:v>
                </c:pt>
                <c:pt idx="25">
                  <c:v>135</c:v>
                </c:pt>
                <c:pt idx="26">
                  <c:v>304</c:v>
                </c:pt>
                <c:pt idx="27">
                  <c:v>192</c:v>
                </c:pt>
                <c:pt idx="28">
                  <c:v>56</c:v>
                </c:pt>
                <c:pt idx="29">
                  <c:v>310</c:v>
                </c:pt>
                <c:pt idx="30">
                  <c:v>99</c:v>
                </c:pt>
                <c:pt idx="31">
                  <c:v>194</c:v>
                </c:pt>
                <c:pt idx="32">
                  <c:v>184</c:v>
                </c:pt>
                <c:pt idx="33">
                  <c:v>69</c:v>
                </c:pt>
                <c:pt idx="34">
                  <c:v>183</c:v>
                </c:pt>
                <c:pt idx="35">
                  <c:v>160</c:v>
                </c:pt>
                <c:pt idx="36">
                  <c:v>148</c:v>
                </c:pt>
                <c:pt idx="37">
                  <c:v>64</c:v>
                </c:pt>
                <c:pt idx="38">
                  <c:v>275</c:v>
                </c:pt>
                <c:pt idx="39">
                  <c:v>19</c:v>
                </c:pt>
                <c:pt idx="40">
                  <c:v>76</c:v>
                </c:pt>
                <c:pt idx="41">
                  <c:v>208</c:v>
                </c:pt>
                <c:pt idx="42">
                  <c:v>229</c:v>
                </c:pt>
                <c:pt idx="43">
                  <c:v>108</c:v>
                </c:pt>
                <c:pt idx="44">
                  <c:v>3</c:v>
                </c:pt>
                <c:pt idx="45">
                  <c:v>140</c:v>
                </c:pt>
                <c:pt idx="46">
                  <c:v>18</c:v>
                </c:pt>
                <c:pt idx="47">
                  <c:v>24</c:v>
                </c:pt>
                <c:pt idx="48">
                  <c:v>163</c:v>
                </c:pt>
                <c:pt idx="49">
                  <c:v>232</c:v>
                </c:pt>
                <c:pt idx="50">
                  <c:v>266</c:v>
                </c:pt>
                <c:pt idx="51">
                  <c:v>65</c:v>
                </c:pt>
                <c:pt idx="52">
                  <c:v>267</c:v>
                </c:pt>
                <c:pt idx="53">
                  <c:v>103</c:v>
                </c:pt>
                <c:pt idx="54">
                  <c:v>259</c:v>
                </c:pt>
                <c:pt idx="55">
                  <c:v>215</c:v>
                </c:pt>
                <c:pt idx="56">
                  <c:v>193</c:v>
                </c:pt>
                <c:pt idx="57">
                  <c:v>8</c:v>
                </c:pt>
                <c:pt idx="58">
                  <c:v>258</c:v>
                </c:pt>
                <c:pt idx="59">
                  <c:v>59</c:v>
                </c:pt>
                <c:pt idx="60">
                  <c:v>34</c:v>
                </c:pt>
                <c:pt idx="61">
                  <c:v>10</c:v>
                </c:pt>
                <c:pt idx="62">
                  <c:v>189</c:v>
                </c:pt>
                <c:pt idx="63">
                  <c:v>200</c:v>
                </c:pt>
                <c:pt idx="64">
                  <c:v>85</c:v>
                </c:pt>
                <c:pt idx="65">
                  <c:v>180</c:v>
                </c:pt>
                <c:pt idx="66">
                  <c:v>197</c:v>
                </c:pt>
                <c:pt idx="67">
                  <c:v>191</c:v>
                </c:pt>
                <c:pt idx="68">
                  <c:v>67</c:v>
                </c:pt>
                <c:pt idx="69">
                  <c:v>299</c:v>
                </c:pt>
                <c:pt idx="70">
                  <c:v>92</c:v>
                </c:pt>
                <c:pt idx="71">
                  <c:v>251</c:v>
                </c:pt>
                <c:pt idx="72">
                  <c:v>202</c:v>
                </c:pt>
                <c:pt idx="73">
                  <c:v>101</c:v>
                </c:pt>
                <c:pt idx="74">
                  <c:v>48</c:v>
                </c:pt>
                <c:pt idx="75">
                  <c:v>89</c:v>
                </c:pt>
                <c:pt idx="76">
                  <c:v>146</c:v>
                </c:pt>
                <c:pt idx="77">
                  <c:v>217</c:v>
                </c:pt>
                <c:pt idx="78">
                  <c:v>57</c:v>
                </c:pt>
                <c:pt idx="79">
                  <c:v>49</c:v>
                </c:pt>
                <c:pt idx="80">
                  <c:v>233</c:v>
                </c:pt>
                <c:pt idx="81">
                  <c:v>86</c:v>
                </c:pt>
                <c:pt idx="82">
                  <c:v>282</c:v>
                </c:pt>
                <c:pt idx="83">
                  <c:v>173</c:v>
                </c:pt>
                <c:pt idx="84">
                  <c:v>284</c:v>
                </c:pt>
                <c:pt idx="85">
                  <c:v>228</c:v>
                </c:pt>
                <c:pt idx="86">
                  <c:v>158</c:v>
                </c:pt>
                <c:pt idx="87">
                  <c:v>142</c:v>
                </c:pt>
                <c:pt idx="88">
                  <c:v>5</c:v>
                </c:pt>
                <c:pt idx="89">
                  <c:v>132</c:v>
                </c:pt>
                <c:pt idx="90">
                  <c:v>195</c:v>
                </c:pt>
                <c:pt idx="91">
                  <c:v>50</c:v>
                </c:pt>
                <c:pt idx="92">
                  <c:v>80</c:v>
                </c:pt>
                <c:pt idx="93">
                  <c:v>162</c:v>
                </c:pt>
                <c:pt idx="94">
                  <c:v>260</c:v>
                </c:pt>
                <c:pt idx="95">
                  <c:v>273</c:v>
                </c:pt>
                <c:pt idx="96">
                  <c:v>238</c:v>
                </c:pt>
                <c:pt idx="97">
                  <c:v>36</c:v>
                </c:pt>
                <c:pt idx="98">
                  <c:v>25</c:v>
                </c:pt>
                <c:pt idx="99">
                  <c:v>185</c:v>
                </c:pt>
                <c:pt idx="100">
                  <c:v>39</c:v>
                </c:pt>
                <c:pt idx="101">
                  <c:v>43</c:v>
                </c:pt>
                <c:pt idx="102">
                  <c:v>190</c:v>
                </c:pt>
                <c:pt idx="103">
                  <c:v>110</c:v>
                </c:pt>
                <c:pt idx="104">
                  <c:v>68</c:v>
                </c:pt>
                <c:pt idx="105">
                  <c:v>126</c:v>
                </c:pt>
                <c:pt idx="106">
                  <c:v>51</c:v>
                </c:pt>
                <c:pt idx="107">
                  <c:v>168</c:v>
                </c:pt>
                <c:pt idx="108">
                  <c:v>161</c:v>
                </c:pt>
                <c:pt idx="109">
                  <c:v>157</c:v>
                </c:pt>
                <c:pt idx="110">
                  <c:v>127</c:v>
                </c:pt>
                <c:pt idx="111">
                  <c:v>40</c:v>
                </c:pt>
                <c:pt idx="112">
                  <c:v>111</c:v>
                </c:pt>
                <c:pt idx="113">
                  <c:v>93</c:v>
                </c:pt>
                <c:pt idx="114">
                  <c:v>22</c:v>
                </c:pt>
                <c:pt idx="115">
                  <c:v>75</c:v>
                </c:pt>
                <c:pt idx="116">
                  <c:v>154</c:v>
                </c:pt>
                <c:pt idx="117">
                  <c:v>83</c:v>
                </c:pt>
                <c:pt idx="118">
                  <c:v>23</c:v>
                </c:pt>
                <c:pt idx="119">
                  <c:v>143</c:v>
                </c:pt>
                <c:pt idx="120">
                  <c:v>26</c:v>
                </c:pt>
                <c:pt idx="121">
                  <c:v>102</c:v>
                </c:pt>
                <c:pt idx="122">
                  <c:v>73</c:v>
                </c:pt>
                <c:pt idx="123">
                  <c:v>27</c:v>
                </c:pt>
                <c:pt idx="124">
                  <c:v>21</c:v>
                </c:pt>
                <c:pt idx="125">
                  <c:v>79</c:v>
                </c:pt>
                <c:pt idx="126">
                  <c:v>230</c:v>
                </c:pt>
                <c:pt idx="127">
                  <c:v>7</c:v>
                </c:pt>
                <c:pt idx="128">
                  <c:v>14</c:v>
                </c:pt>
                <c:pt idx="129">
                  <c:v>30</c:v>
                </c:pt>
                <c:pt idx="130">
                  <c:v>107</c:v>
                </c:pt>
                <c:pt idx="131">
                  <c:v>54</c:v>
                </c:pt>
                <c:pt idx="132">
                  <c:v>171</c:v>
                </c:pt>
                <c:pt idx="133">
                  <c:v>203</c:v>
                </c:pt>
                <c:pt idx="134">
                  <c:v>134</c:v>
                </c:pt>
                <c:pt idx="135">
                  <c:v>224</c:v>
                </c:pt>
                <c:pt idx="136">
                  <c:v>16</c:v>
                </c:pt>
                <c:pt idx="137">
                  <c:v>159</c:v>
                </c:pt>
                <c:pt idx="138">
                  <c:v>47</c:v>
                </c:pt>
                <c:pt idx="139">
                  <c:v>44</c:v>
                </c:pt>
                <c:pt idx="140">
                  <c:v>45</c:v>
                </c:pt>
                <c:pt idx="141">
                  <c:v>28</c:v>
                </c:pt>
                <c:pt idx="142">
                  <c:v>166</c:v>
                </c:pt>
                <c:pt idx="143">
                  <c:v>149</c:v>
                </c:pt>
                <c:pt idx="144">
                  <c:v>155</c:v>
                </c:pt>
                <c:pt idx="145">
                  <c:v>42</c:v>
                </c:pt>
                <c:pt idx="146">
                  <c:v>136</c:v>
                </c:pt>
                <c:pt idx="147">
                  <c:v>12</c:v>
                </c:pt>
                <c:pt idx="148">
                  <c:v>61</c:v>
                </c:pt>
                <c:pt idx="149">
                  <c:v>90</c:v>
                </c:pt>
                <c:pt idx="150">
                  <c:v>174</c:v>
                </c:pt>
                <c:pt idx="151">
                  <c:v>55</c:v>
                </c:pt>
                <c:pt idx="152">
                  <c:v>35</c:v>
                </c:pt>
                <c:pt idx="153">
                  <c:v>41</c:v>
                </c:pt>
                <c:pt idx="154">
                  <c:v>114</c:v>
                </c:pt>
                <c:pt idx="155">
                  <c:v>211</c:v>
                </c:pt>
                <c:pt idx="156">
                  <c:v>97</c:v>
                </c:pt>
              </c:numCache>
            </c:numRef>
          </c:cat>
          <c:val>
            <c:numRef>
              <c:f>'by Group'!$B$2:$B$158</c:f>
              <c:numCache>
                <c:formatCode>General</c:formatCode>
                <c:ptCount val="157"/>
                <c:pt idx="0">
                  <c:v>1</c:v>
                </c:pt>
                <c:pt idx="1">
                  <c:v>2</c:v>
                </c:pt>
                <c:pt idx="2">
                  <c:v>2</c:v>
                </c:pt>
                <c:pt idx="3">
                  <c:v>3</c:v>
                </c:pt>
                <c:pt idx="4">
                  <c:v>8</c:v>
                </c:pt>
                <c:pt idx="5">
                  <c:v>10</c:v>
                </c:pt>
                <c:pt idx="6">
                  <c:v>11</c:v>
                </c:pt>
                <c:pt idx="7">
                  <c:v>17</c:v>
                </c:pt>
                <c:pt idx="8">
                  <c:v>20</c:v>
                </c:pt>
                <c:pt idx="9">
                  <c:v>22</c:v>
                </c:pt>
                <c:pt idx="10">
                  <c:v>23</c:v>
                </c:pt>
                <c:pt idx="11">
                  <c:v>25</c:v>
                </c:pt>
                <c:pt idx="12">
                  <c:v>30</c:v>
                </c:pt>
                <c:pt idx="13">
                  <c:v>35</c:v>
                </c:pt>
                <c:pt idx="14">
                  <c:v>45</c:v>
                </c:pt>
                <c:pt idx="15">
                  <c:v>47</c:v>
                </c:pt>
                <c:pt idx="16">
                  <c:v>48</c:v>
                </c:pt>
                <c:pt idx="17">
                  <c:v>49</c:v>
                </c:pt>
                <c:pt idx="18">
                  <c:v>54</c:v>
                </c:pt>
                <c:pt idx="19">
                  <c:v>58</c:v>
                </c:pt>
                <c:pt idx="20">
                  <c:v>58</c:v>
                </c:pt>
                <c:pt idx="21">
                  <c:v>73</c:v>
                </c:pt>
                <c:pt idx="22">
                  <c:v>77</c:v>
                </c:pt>
                <c:pt idx="23">
                  <c:v>84</c:v>
                </c:pt>
                <c:pt idx="24">
                  <c:v>85</c:v>
                </c:pt>
                <c:pt idx="25">
                  <c:v>98</c:v>
                </c:pt>
                <c:pt idx="26">
                  <c:v>104</c:v>
                </c:pt>
                <c:pt idx="27">
                  <c:v>109</c:v>
                </c:pt>
                <c:pt idx="28">
                  <c:v>111</c:v>
                </c:pt>
                <c:pt idx="29">
                  <c:v>115</c:v>
                </c:pt>
                <c:pt idx="30">
                  <c:v>115</c:v>
                </c:pt>
                <c:pt idx="31">
                  <c:v>129</c:v>
                </c:pt>
                <c:pt idx="32">
                  <c:v>141</c:v>
                </c:pt>
                <c:pt idx="33">
                  <c:v>146</c:v>
                </c:pt>
                <c:pt idx="34">
                  <c:v>160</c:v>
                </c:pt>
                <c:pt idx="35">
                  <c:v>161</c:v>
                </c:pt>
                <c:pt idx="36">
                  <c:v>165</c:v>
                </c:pt>
                <c:pt idx="37">
                  <c:v>167</c:v>
                </c:pt>
                <c:pt idx="38">
                  <c:v>175</c:v>
                </c:pt>
                <c:pt idx="39">
                  <c:v>176</c:v>
                </c:pt>
                <c:pt idx="40">
                  <c:v>186</c:v>
                </c:pt>
                <c:pt idx="41">
                  <c:v>191</c:v>
                </c:pt>
                <c:pt idx="42">
                  <c:v>194</c:v>
                </c:pt>
                <c:pt idx="43">
                  <c:v>211</c:v>
                </c:pt>
                <c:pt idx="44">
                  <c:v>227</c:v>
                </c:pt>
                <c:pt idx="45">
                  <c:v>230</c:v>
                </c:pt>
                <c:pt idx="46">
                  <c:v>244</c:v>
                </c:pt>
                <c:pt idx="47">
                  <c:v>261</c:v>
                </c:pt>
                <c:pt idx="48">
                  <c:v>285</c:v>
                </c:pt>
                <c:pt idx="49">
                  <c:v>314</c:v>
                </c:pt>
                <c:pt idx="50">
                  <c:v>322</c:v>
                </c:pt>
                <c:pt idx="51">
                  <c:v>339</c:v>
                </c:pt>
                <c:pt idx="52">
                  <c:v>367</c:v>
                </c:pt>
                <c:pt idx="53">
                  <c:v>370</c:v>
                </c:pt>
                <c:pt idx="54">
                  <c:v>378</c:v>
                </c:pt>
                <c:pt idx="55">
                  <c:v>381</c:v>
                </c:pt>
                <c:pt idx="56">
                  <c:v>396</c:v>
                </c:pt>
                <c:pt idx="57">
                  <c:v>398</c:v>
                </c:pt>
                <c:pt idx="58">
                  <c:v>413</c:v>
                </c:pt>
                <c:pt idx="59">
                  <c:v>420</c:v>
                </c:pt>
                <c:pt idx="60">
                  <c:v>425</c:v>
                </c:pt>
                <c:pt idx="61">
                  <c:v>425</c:v>
                </c:pt>
                <c:pt idx="62">
                  <c:v>446</c:v>
                </c:pt>
                <c:pt idx="63">
                  <c:v>474</c:v>
                </c:pt>
                <c:pt idx="64">
                  <c:v>477</c:v>
                </c:pt>
                <c:pt idx="65">
                  <c:v>542</c:v>
                </c:pt>
                <c:pt idx="66">
                  <c:v>576</c:v>
                </c:pt>
                <c:pt idx="67">
                  <c:v>579</c:v>
                </c:pt>
                <c:pt idx="68">
                  <c:v>611</c:v>
                </c:pt>
                <c:pt idx="69">
                  <c:v>614</c:v>
                </c:pt>
                <c:pt idx="70">
                  <c:v>626</c:v>
                </c:pt>
                <c:pt idx="71">
                  <c:v>693</c:v>
                </c:pt>
                <c:pt idx="72">
                  <c:v>695</c:v>
                </c:pt>
                <c:pt idx="73">
                  <c:v>736</c:v>
                </c:pt>
                <c:pt idx="74">
                  <c:v>746</c:v>
                </c:pt>
                <c:pt idx="75">
                  <c:v>777</c:v>
                </c:pt>
                <c:pt idx="76">
                  <c:v>798</c:v>
                </c:pt>
                <c:pt idx="77">
                  <c:v>822</c:v>
                </c:pt>
                <c:pt idx="78">
                  <c:v>827</c:v>
                </c:pt>
                <c:pt idx="79">
                  <c:v>828</c:v>
                </c:pt>
                <c:pt idx="80">
                  <c:v>847</c:v>
                </c:pt>
                <c:pt idx="81">
                  <c:v>859</c:v>
                </c:pt>
                <c:pt idx="82">
                  <c:v>909</c:v>
                </c:pt>
                <c:pt idx="83">
                  <c:v>909</c:v>
                </c:pt>
                <c:pt idx="84">
                  <c:v>927</c:v>
                </c:pt>
                <c:pt idx="85">
                  <c:v>940</c:v>
                </c:pt>
                <c:pt idx="86">
                  <c:v>953</c:v>
                </c:pt>
                <c:pt idx="87">
                  <c:v>990</c:v>
                </c:pt>
                <c:pt idx="88">
                  <c:v>1005</c:v>
                </c:pt>
                <c:pt idx="89">
                  <c:v>1017</c:v>
                </c:pt>
                <c:pt idx="90">
                  <c:v>1023</c:v>
                </c:pt>
                <c:pt idx="91">
                  <c:v>1025</c:v>
                </c:pt>
                <c:pt idx="92">
                  <c:v>1093</c:v>
                </c:pt>
                <c:pt idx="93">
                  <c:v>1117</c:v>
                </c:pt>
                <c:pt idx="94">
                  <c:v>1144</c:v>
                </c:pt>
                <c:pt idx="95">
                  <c:v>1147</c:v>
                </c:pt>
                <c:pt idx="96">
                  <c:v>1147</c:v>
                </c:pt>
                <c:pt idx="97">
                  <c:v>1188</c:v>
                </c:pt>
                <c:pt idx="98">
                  <c:v>1191</c:v>
                </c:pt>
                <c:pt idx="99">
                  <c:v>1277</c:v>
                </c:pt>
                <c:pt idx="100">
                  <c:v>1360</c:v>
                </c:pt>
                <c:pt idx="101">
                  <c:v>1457</c:v>
                </c:pt>
                <c:pt idx="102">
                  <c:v>1480</c:v>
                </c:pt>
                <c:pt idx="103">
                  <c:v>1485</c:v>
                </c:pt>
                <c:pt idx="104">
                  <c:v>1494</c:v>
                </c:pt>
                <c:pt idx="105">
                  <c:v>1499</c:v>
                </c:pt>
                <c:pt idx="106">
                  <c:v>1541</c:v>
                </c:pt>
                <c:pt idx="107">
                  <c:v>1568</c:v>
                </c:pt>
                <c:pt idx="108">
                  <c:v>1596</c:v>
                </c:pt>
                <c:pt idx="109">
                  <c:v>1619</c:v>
                </c:pt>
                <c:pt idx="110">
                  <c:v>1644</c:v>
                </c:pt>
                <c:pt idx="111">
                  <c:v>1661</c:v>
                </c:pt>
                <c:pt idx="112">
                  <c:v>1706</c:v>
                </c:pt>
                <c:pt idx="113">
                  <c:v>1723</c:v>
                </c:pt>
                <c:pt idx="114">
                  <c:v>1773</c:v>
                </c:pt>
                <c:pt idx="115">
                  <c:v>1782</c:v>
                </c:pt>
                <c:pt idx="116">
                  <c:v>1797</c:v>
                </c:pt>
                <c:pt idx="117">
                  <c:v>1912</c:v>
                </c:pt>
                <c:pt idx="118">
                  <c:v>1916</c:v>
                </c:pt>
                <c:pt idx="119">
                  <c:v>1927</c:v>
                </c:pt>
                <c:pt idx="120">
                  <c:v>1985</c:v>
                </c:pt>
                <c:pt idx="121">
                  <c:v>1994</c:v>
                </c:pt>
                <c:pt idx="122">
                  <c:v>1997</c:v>
                </c:pt>
                <c:pt idx="123">
                  <c:v>2010</c:v>
                </c:pt>
                <c:pt idx="124">
                  <c:v>2019</c:v>
                </c:pt>
                <c:pt idx="125">
                  <c:v>2072</c:v>
                </c:pt>
                <c:pt idx="126">
                  <c:v>2077</c:v>
                </c:pt>
                <c:pt idx="127">
                  <c:v>2092</c:v>
                </c:pt>
                <c:pt idx="128">
                  <c:v>2105</c:v>
                </c:pt>
                <c:pt idx="129">
                  <c:v>2174</c:v>
                </c:pt>
                <c:pt idx="130">
                  <c:v>2181</c:v>
                </c:pt>
                <c:pt idx="131">
                  <c:v>2207</c:v>
                </c:pt>
                <c:pt idx="132">
                  <c:v>2283</c:v>
                </c:pt>
                <c:pt idx="133">
                  <c:v>2294</c:v>
                </c:pt>
                <c:pt idx="134">
                  <c:v>2397</c:v>
                </c:pt>
                <c:pt idx="135">
                  <c:v>2551</c:v>
                </c:pt>
                <c:pt idx="136">
                  <c:v>2552</c:v>
                </c:pt>
                <c:pt idx="137">
                  <c:v>2639</c:v>
                </c:pt>
                <c:pt idx="138">
                  <c:v>2662</c:v>
                </c:pt>
                <c:pt idx="139">
                  <c:v>2728</c:v>
                </c:pt>
                <c:pt idx="140">
                  <c:v>2750</c:v>
                </c:pt>
                <c:pt idx="141">
                  <c:v>2901</c:v>
                </c:pt>
                <c:pt idx="142">
                  <c:v>3162</c:v>
                </c:pt>
                <c:pt idx="143">
                  <c:v>3362</c:v>
                </c:pt>
                <c:pt idx="144">
                  <c:v>3406</c:v>
                </c:pt>
                <c:pt idx="145">
                  <c:v>3471</c:v>
                </c:pt>
                <c:pt idx="146">
                  <c:v>3809</c:v>
                </c:pt>
                <c:pt idx="147">
                  <c:v>4058</c:v>
                </c:pt>
                <c:pt idx="148">
                  <c:v>4382</c:v>
                </c:pt>
                <c:pt idx="149">
                  <c:v>4500</c:v>
                </c:pt>
                <c:pt idx="150">
                  <c:v>5610</c:v>
                </c:pt>
                <c:pt idx="151">
                  <c:v>6093</c:v>
                </c:pt>
                <c:pt idx="152">
                  <c:v>8053</c:v>
                </c:pt>
                <c:pt idx="153">
                  <c:v>9050</c:v>
                </c:pt>
                <c:pt idx="154">
                  <c:v>12983</c:v>
                </c:pt>
                <c:pt idx="155">
                  <c:v>13435</c:v>
                </c:pt>
                <c:pt idx="156">
                  <c:v>14597</c:v>
                </c:pt>
              </c:numCache>
            </c:numRef>
          </c:val>
        </c:ser>
        <c:dLbls>
          <c:showLegendKey val="0"/>
          <c:showVal val="0"/>
          <c:showCatName val="0"/>
          <c:showSerName val="0"/>
          <c:showPercent val="0"/>
          <c:showBubbleSize val="0"/>
        </c:dLbls>
        <c:gapWidth val="150"/>
        <c:axId val="149695488"/>
        <c:axId val="147890944"/>
      </c:barChart>
      <c:catAx>
        <c:axId val="149695488"/>
        <c:scaling>
          <c:orientation val="minMax"/>
        </c:scaling>
        <c:delete val="0"/>
        <c:axPos val="b"/>
        <c:numFmt formatCode="General" sourceLinked="1"/>
        <c:majorTickMark val="out"/>
        <c:minorTickMark val="none"/>
        <c:tickLblPos val="nextTo"/>
        <c:crossAx val="147890944"/>
        <c:crosses val="autoZero"/>
        <c:auto val="1"/>
        <c:lblAlgn val="ctr"/>
        <c:lblOffset val="100"/>
        <c:noMultiLvlLbl val="0"/>
      </c:catAx>
      <c:valAx>
        <c:axId val="147890944"/>
        <c:scaling>
          <c:orientation val="minMax"/>
        </c:scaling>
        <c:delete val="0"/>
        <c:axPos val="l"/>
        <c:majorGridlines/>
        <c:numFmt formatCode="General" sourceLinked="1"/>
        <c:majorTickMark val="out"/>
        <c:minorTickMark val="none"/>
        <c:tickLblPos val="nextTo"/>
        <c:crossAx val="14969548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'by Facility ID'!$C$1</c:f>
              <c:strCache>
                <c:ptCount val="1"/>
                <c:pt idx="0">
                  <c:v>cases</c:v>
                </c:pt>
              </c:strCache>
            </c:strRef>
          </c:tx>
          <c:invertIfNegative val="0"/>
          <c:val>
            <c:numRef>
              <c:f>'by Facility ID'!$C$2:$C$487</c:f>
              <c:numCache>
                <c:formatCode>General</c:formatCode>
                <c:ptCount val="486"/>
                <c:pt idx="0">
                  <c:v>1</c:v>
                </c:pt>
                <c:pt idx="1">
                  <c:v>1</c:v>
                </c:pt>
                <c:pt idx="2">
                  <c:v>1</c:v>
                </c:pt>
                <c:pt idx="3">
                  <c:v>1</c:v>
                </c:pt>
                <c:pt idx="4">
                  <c:v>1</c:v>
                </c:pt>
                <c:pt idx="5">
                  <c:v>1</c:v>
                </c:pt>
                <c:pt idx="6">
                  <c:v>1</c:v>
                </c:pt>
                <c:pt idx="7">
                  <c:v>1</c:v>
                </c:pt>
                <c:pt idx="8">
                  <c:v>1</c:v>
                </c:pt>
                <c:pt idx="9">
                  <c:v>1</c:v>
                </c:pt>
                <c:pt idx="10">
                  <c:v>1</c:v>
                </c:pt>
                <c:pt idx="11">
                  <c:v>1</c:v>
                </c:pt>
                <c:pt idx="12">
                  <c:v>1</c:v>
                </c:pt>
                <c:pt idx="13">
                  <c:v>1</c:v>
                </c:pt>
                <c:pt idx="14">
                  <c:v>1</c:v>
                </c:pt>
                <c:pt idx="15">
                  <c:v>1</c:v>
                </c:pt>
                <c:pt idx="16">
                  <c:v>1</c:v>
                </c:pt>
                <c:pt idx="17">
                  <c:v>1</c:v>
                </c:pt>
                <c:pt idx="18">
                  <c:v>1</c:v>
                </c:pt>
                <c:pt idx="19">
                  <c:v>1</c:v>
                </c:pt>
                <c:pt idx="20">
                  <c:v>1</c:v>
                </c:pt>
                <c:pt idx="21">
                  <c:v>1</c:v>
                </c:pt>
                <c:pt idx="22">
                  <c:v>1</c:v>
                </c:pt>
                <c:pt idx="23">
                  <c:v>1</c:v>
                </c:pt>
                <c:pt idx="24">
                  <c:v>1</c:v>
                </c:pt>
                <c:pt idx="25">
                  <c:v>1</c:v>
                </c:pt>
                <c:pt idx="26">
                  <c:v>1</c:v>
                </c:pt>
                <c:pt idx="27">
                  <c:v>1</c:v>
                </c:pt>
                <c:pt idx="28">
                  <c:v>1</c:v>
                </c:pt>
                <c:pt idx="29">
                  <c:v>1</c:v>
                </c:pt>
                <c:pt idx="30">
                  <c:v>1</c:v>
                </c:pt>
                <c:pt idx="31">
                  <c:v>1</c:v>
                </c:pt>
                <c:pt idx="32">
                  <c:v>1</c:v>
                </c:pt>
                <c:pt idx="33">
                  <c:v>2</c:v>
                </c:pt>
                <c:pt idx="34">
                  <c:v>2</c:v>
                </c:pt>
                <c:pt idx="35">
                  <c:v>2</c:v>
                </c:pt>
                <c:pt idx="36">
                  <c:v>2</c:v>
                </c:pt>
                <c:pt idx="37">
                  <c:v>2</c:v>
                </c:pt>
                <c:pt idx="38">
                  <c:v>2</c:v>
                </c:pt>
                <c:pt idx="39">
                  <c:v>2</c:v>
                </c:pt>
                <c:pt idx="40">
                  <c:v>2</c:v>
                </c:pt>
                <c:pt idx="41">
                  <c:v>2</c:v>
                </c:pt>
                <c:pt idx="42">
                  <c:v>2</c:v>
                </c:pt>
                <c:pt idx="43">
                  <c:v>2</c:v>
                </c:pt>
                <c:pt idx="44">
                  <c:v>2</c:v>
                </c:pt>
                <c:pt idx="45">
                  <c:v>2</c:v>
                </c:pt>
                <c:pt idx="46">
                  <c:v>2</c:v>
                </c:pt>
                <c:pt idx="47">
                  <c:v>2</c:v>
                </c:pt>
                <c:pt idx="48">
                  <c:v>2</c:v>
                </c:pt>
                <c:pt idx="49">
                  <c:v>3</c:v>
                </c:pt>
                <c:pt idx="50">
                  <c:v>3</c:v>
                </c:pt>
                <c:pt idx="51">
                  <c:v>3</c:v>
                </c:pt>
                <c:pt idx="52">
                  <c:v>3</c:v>
                </c:pt>
                <c:pt idx="53">
                  <c:v>3</c:v>
                </c:pt>
                <c:pt idx="54">
                  <c:v>3</c:v>
                </c:pt>
                <c:pt idx="55">
                  <c:v>3</c:v>
                </c:pt>
                <c:pt idx="56">
                  <c:v>3</c:v>
                </c:pt>
                <c:pt idx="57">
                  <c:v>3</c:v>
                </c:pt>
                <c:pt idx="58">
                  <c:v>3</c:v>
                </c:pt>
                <c:pt idx="59">
                  <c:v>3</c:v>
                </c:pt>
                <c:pt idx="60">
                  <c:v>3</c:v>
                </c:pt>
                <c:pt idx="61">
                  <c:v>4</c:v>
                </c:pt>
                <c:pt idx="62">
                  <c:v>4</c:v>
                </c:pt>
                <c:pt idx="63">
                  <c:v>4</c:v>
                </c:pt>
                <c:pt idx="64">
                  <c:v>4</c:v>
                </c:pt>
                <c:pt idx="65">
                  <c:v>4</c:v>
                </c:pt>
                <c:pt idx="66">
                  <c:v>4</c:v>
                </c:pt>
                <c:pt idx="67">
                  <c:v>4</c:v>
                </c:pt>
                <c:pt idx="68">
                  <c:v>4</c:v>
                </c:pt>
                <c:pt idx="69">
                  <c:v>4</c:v>
                </c:pt>
                <c:pt idx="70">
                  <c:v>4</c:v>
                </c:pt>
                <c:pt idx="71">
                  <c:v>4</c:v>
                </c:pt>
                <c:pt idx="72">
                  <c:v>5</c:v>
                </c:pt>
                <c:pt idx="73">
                  <c:v>5</c:v>
                </c:pt>
                <c:pt idx="74">
                  <c:v>5</c:v>
                </c:pt>
                <c:pt idx="75">
                  <c:v>6</c:v>
                </c:pt>
                <c:pt idx="76">
                  <c:v>6</c:v>
                </c:pt>
                <c:pt idx="77">
                  <c:v>6</c:v>
                </c:pt>
                <c:pt idx="78">
                  <c:v>6</c:v>
                </c:pt>
                <c:pt idx="79">
                  <c:v>6</c:v>
                </c:pt>
                <c:pt idx="80">
                  <c:v>6</c:v>
                </c:pt>
                <c:pt idx="81">
                  <c:v>7</c:v>
                </c:pt>
                <c:pt idx="82">
                  <c:v>7</c:v>
                </c:pt>
                <c:pt idx="83">
                  <c:v>7</c:v>
                </c:pt>
                <c:pt idx="84">
                  <c:v>7</c:v>
                </c:pt>
                <c:pt idx="85">
                  <c:v>7</c:v>
                </c:pt>
                <c:pt idx="86">
                  <c:v>7</c:v>
                </c:pt>
                <c:pt idx="87">
                  <c:v>8</c:v>
                </c:pt>
                <c:pt idx="88">
                  <c:v>8</c:v>
                </c:pt>
                <c:pt idx="89">
                  <c:v>8</c:v>
                </c:pt>
                <c:pt idx="90">
                  <c:v>8</c:v>
                </c:pt>
                <c:pt idx="91">
                  <c:v>8</c:v>
                </c:pt>
                <c:pt idx="92">
                  <c:v>8</c:v>
                </c:pt>
                <c:pt idx="93">
                  <c:v>8</c:v>
                </c:pt>
                <c:pt idx="94">
                  <c:v>9</c:v>
                </c:pt>
                <c:pt idx="95">
                  <c:v>9</c:v>
                </c:pt>
                <c:pt idx="96">
                  <c:v>9</c:v>
                </c:pt>
                <c:pt idx="97">
                  <c:v>9</c:v>
                </c:pt>
                <c:pt idx="98">
                  <c:v>10</c:v>
                </c:pt>
                <c:pt idx="99">
                  <c:v>10</c:v>
                </c:pt>
                <c:pt idx="100">
                  <c:v>11</c:v>
                </c:pt>
                <c:pt idx="101">
                  <c:v>11</c:v>
                </c:pt>
                <c:pt idx="102">
                  <c:v>11</c:v>
                </c:pt>
                <c:pt idx="103">
                  <c:v>11</c:v>
                </c:pt>
                <c:pt idx="104">
                  <c:v>12</c:v>
                </c:pt>
                <c:pt idx="105">
                  <c:v>12</c:v>
                </c:pt>
                <c:pt idx="106">
                  <c:v>13</c:v>
                </c:pt>
                <c:pt idx="107">
                  <c:v>13</c:v>
                </c:pt>
                <c:pt idx="108">
                  <c:v>13</c:v>
                </c:pt>
                <c:pt idx="109">
                  <c:v>13</c:v>
                </c:pt>
                <c:pt idx="110">
                  <c:v>14</c:v>
                </c:pt>
                <c:pt idx="111">
                  <c:v>15</c:v>
                </c:pt>
                <c:pt idx="112">
                  <c:v>16</c:v>
                </c:pt>
                <c:pt idx="113">
                  <c:v>16</c:v>
                </c:pt>
                <c:pt idx="114">
                  <c:v>16</c:v>
                </c:pt>
                <c:pt idx="115">
                  <c:v>16</c:v>
                </c:pt>
                <c:pt idx="116">
                  <c:v>17</c:v>
                </c:pt>
                <c:pt idx="117">
                  <c:v>17</c:v>
                </c:pt>
                <c:pt idx="118">
                  <c:v>17</c:v>
                </c:pt>
                <c:pt idx="119">
                  <c:v>18</c:v>
                </c:pt>
                <c:pt idx="120">
                  <c:v>18</c:v>
                </c:pt>
                <c:pt idx="121">
                  <c:v>18</c:v>
                </c:pt>
                <c:pt idx="122">
                  <c:v>18</c:v>
                </c:pt>
                <c:pt idx="123">
                  <c:v>19</c:v>
                </c:pt>
                <c:pt idx="124">
                  <c:v>19</c:v>
                </c:pt>
                <c:pt idx="125">
                  <c:v>21</c:v>
                </c:pt>
                <c:pt idx="126">
                  <c:v>21</c:v>
                </c:pt>
                <c:pt idx="127">
                  <c:v>22</c:v>
                </c:pt>
                <c:pt idx="128">
                  <c:v>23</c:v>
                </c:pt>
                <c:pt idx="129">
                  <c:v>23</c:v>
                </c:pt>
                <c:pt idx="130">
                  <c:v>23</c:v>
                </c:pt>
                <c:pt idx="131">
                  <c:v>23</c:v>
                </c:pt>
                <c:pt idx="132">
                  <c:v>23</c:v>
                </c:pt>
                <c:pt idx="133">
                  <c:v>23</c:v>
                </c:pt>
                <c:pt idx="134">
                  <c:v>24</c:v>
                </c:pt>
                <c:pt idx="135">
                  <c:v>24</c:v>
                </c:pt>
                <c:pt idx="136">
                  <c:v>25</c:v>
                </c:pt>
                <c:pt idx="137">
                  <c:v>26</c:v>
                </c:pt>
                <c:pt idx="138">
                  <c:v>26</c:v>
                </c:pt>
                <c:pt idx="139">
                  <c:v>27</c:v>
                </c:pt>
                <c:pt idx="140">
                  <c:v>27</c:v>
                </c:pt>
                <c:pt idx="141">
                  <c:v>27</c:v>
                </c:pt>
                <c:pt idx="142">
                  <c:v>27</c:v>
                </c:pt>
                <c:pt idx="143">
                  <c:v>28</c:v>
                </c:pt>
                <c:pt idx="144">
                  <c:v>28</c:v>
                </c:pt>
                <c:pt idx="145">
                  <c:v>29</c:v>
                </c:pt>
                <c:pt idx="146">
                  <c:v>29</c:v>
                </c:pt>
                <c:pt idx="147">
                  <c:v>30</c:v>
                </c:pt>
                <c:pt idx="148">
                  <c:v>30</c:v>
                </c:pt>
                <c:pt idx="149">
                  <c:v>30</c:v>
                </c:pt>
                <c:pt idx="150">
                  <c:v>30</c:v>
                </c:pt>
                <c:pt idx="151">
                  <c:v>31</c:v>
                </c:pt>
                <c:pt idx="152">
                  <c:v>32</c:v>
                </c:pt>
                <c:pt idx="153">
                  <c:v>32</c:v>
                </c:pt>
                <c:pt idx="154">
                  <c:v>32</c:v>
                </c:pt>
                <c:pt idx="155">
                  <c:v>33</c:v>
                </c:pt>
                <c:pt idx="156">
                  <c:v>33</c:v>
                </c:pt>
                <c:pt idx="157">
                  <c:v>34</c:v>
                </c:pt>
                <c:pt idx="158">
                  <c:v>34</c:v>
                </c:pt>
                <c:pt idx="159">
                  <c:v>34</c:v>
                </c:pt>
                <c:pt idx="160">
                  <c:v>34</c:v>
                </c:pt>
                <c:pt idx="161">
                  <c:v>35</c:v>
                </c:pt>
                <c:pt idx="162">
                  <c:v>35</c:v>
                </c:pt>
                <c:pt idx="163">
                  <c:v>36</c:v>
                </c:pt>
                <c:pt idx="164">
                  <c:v>36</c:v>
                </c:pt>
                <c:pt idx="165">
                  <c:v>36</c:v>
                </c:pt>
                <c:pt idx="166">
                  <c:v>36</c:v>
                </c:pt>
                <c:pt idx="167">
                  <c:v>36</c:v>
                </c:pt>
                <c:pt idx="168">
                  <c:v>36</c:v>
                </c:pt>
                <c:pt idx="169">
                  <c:v>37</c:v>
                </c:pt>
                <c:pt idx="170">
                  <c:v>38</c:v>
                </c:pt>
                <c:pt idx="171">
                  <c:v>38</c:v>
                </c:pt>
                <c:pt idx="172">
                  <c:v>38</c:v>
                </c:pt>
                <c:pt idx="173">
                  <c:v>40</c:v>
                </c:pt>
                <c:pt idx="174">
                  <c:v>41</c:v>
                </c:pt>
                <c:pt idx="175">
                  <c:v>41</c:v>
                </c:pt>
                <c:pt idx="176">
                  <c:v>42</c:v>
                </c:pt>
                <c:pt idx="177">
                  <c:v>42</c:v>
                </c:pt>
                <c:pt idx="178">
                  <c:v>42</c:v>
                </c:pt>
                <c:pt idx="179">
                  <c:v>43</c:v>
                </c:pt>
                <c:pt idx="180">
                  <c:v>43</c:v>
                </c:pt>
                <c:pt idx="181">
                  <c:v>43</c:v>
                </c:pt>
                <c:pt idx="182">
                  <c:v>44</c:v>
                </c:pt>
                <c:pt idx="183">
                  <c:v>46</c:v>
                </c:pt>
                <c:pt idx="184">
                  <c:v>46</c:v>
                </c:pt>
                <c:pt idx="185">
                  <c:v>46</c:v>
                </c:pt>
                <c:pt idx="186">
                  <c:v>47</c:v>
                </c:pt>
                <c:pt idx="187">
                  <c:v>48</c:v>
                </c:pt>
                <c:pt idx="188">
                  <c:v>51</c:v>
                </c:pt>
                <c:pt idx="189">
                  <c:v>51</c:v>
                </c:pt>
                <c:pt idx="190">
                  <c:v>51</c:v>
                </c:pt>
                <c:pt idx="191">
                  <c:v>51</c:v>
                </c:pt>
                <c:pt idx="192">
                  <c:v>52</c:v>
                </c:pt>
                <c:pt idx="193">
                  <c:v>53</c:v>
                </c:pt>
                <c:pt idx="194">
                  <c:v>54</c:v>
                </c:pt>
                <c:pt idx="195">
                  <c:v>55</c:v>
                </c:pt>
                <c:pt idx="196">
                  <c:v>57</c:v>
                </c:pt>
                <c:pt idx="197">
                  <c:v>58</c:v>
                </c:pt>
                <c:pt idx="198">
                  <c:v>59</c:v>
                </c:pt>
                <c:pt idx="199">
                  <c:v>59</c:v>
                </c:pt>
                <c:pt idx="200">
                  <c:v>60</c:v>
                </c:pt>
                <c:pt idx="201">
                  <c:v>60</c:v>
                </c:pt>
                <c:pt idx="202">
                  <c:v>63</c:v>
                </c:pt>
                <c:pt idx="203">
                  <c:v>63</c:v>
                </c:pt>
                <c:pt idx="204">
                  <c:v>64</c:v>
                </c:pt>
                <c:pt idx="205">
                  <c:v>64</c:v>
                </c:pt>
                <c:pt idx="206">
                  <c:v>68</c:v>
                </c:pt>
                <c:pt idx="207">
                  <c:v>68</c:v>
                </c:pt>
                <c:pt idx="208">
                  <c:v>69</c:v>
                </c:pt>
                <c:pt idx="209">
                  <c:v>69</c:v>
                </c:pt>
                <c:pt idx="210">
                  <c:v>69</c:v>
                </c:pt>
                <c:pt idx="211">
                  <c:v>71</c:v>
                </c:pt>
                <c:pt idx="212">
                  <c:v>71</c:v>
                </c:pt>
                <c:pt idx="213">
                  <c:v>74</c:v>
                </c:pt>
                <c:pt idx="214">
                  <c:v>74</c:v>
                </c:pt>
                <c:pt idx="215">
                  <c:v>75</c:v>
                </c:pt>
                <c:pt idx="216">
                  <c:v>75</c:v>
                </c:pt>
                <c:pt idx="217">
                  <c:v>76</c:v>
                </c:pt>
                <c:pt idx="218">
                  <c:v>77</c:v>
                </c:pt>
                <c:pt idx="219">
                  <c:v>77</c:v>
                </c:pt>
                <c:pt idx="220">
                  <c:v>77</c:v>
                </c:pt>
                <c:pt idx="221">
                  <c:v>77</c:v>
                </c:pt>
                <c:pt idx="222">
                  <c:v>78</c:v>
                </c:pt>
                <c:pt idx="223">
                  <c:v>78</c:v>
                </c:pt>
                <c:pt idx="224">
                  <c:v>78</c:v>
                </c:pt>
                <c:pt idx="225">
                  <c:v>80</c:v>
                </c:pt>
                <c:pt idx="226">
                  <c:v>80</c:v>
                </c:pt>
                <c:pt idx="227">
                  <c:v>81</c:v>
                </c:pt>
                <c:pt idx="228">
                  <c:v>82</c:v>
                </c:pt>
                <c:pt idx="229">
                  <c:v>84</c:v>
                </c:pt>
                <c:pt idx="230">
                  <c:v>84</c:v>
                </c:pt>
                <c:pt idx="231">
                  <c:v>85</c:v>
                </c:pt>
                <c:pt idx="232">
                  <c:v>85</c:v>
                </c:pt>
                <c:pt idx="233">
                  <c:v>86</c:v>
                </c:pt>
                <c:pt idx="234">
                  <c:v>86</c:v>
                </c:pt>
                <c:pt idx="235">
                  <c:v>88</c:v>
                </c:pt>
                <c:pt idx="236">
                  <c:v>90</c:v>
                </c:pt>
                <c:pt idx="237">
                  <c:v>90</c:v>
                </c:pt>
                <c:pt idx="238">
                  <c:v>91</c:v>
                </c:pt>
                <c:pt idx="239">
                  <c:v>95</c:v>
                </c:pt>
                <c:pt idx="240">
                  <c:v>98</c:v>
                </c:pt>
                <c:pt idx="241">
                  <c:v>98</c:v>
                </c:pt>
                <c:pt idx="242">
                  <c:v>98</c:v>
                </c:pt>
                <c:pt idx="243">
                  <c:v>98</c:v>
                </c:pt>
                <c:pt idx="244">
                  <c:v>99</c:v>
                </c:pt>
                <c:pt idx="245">
                  <c:v>101</c:v>
                </c:pt>
                <c:pt idx="246">
                  <c:v>105</c:v>
                </c:pt>
                <c:pt idx="247">
                  <c:v>108</c:v>
                </c:pt>
                <c:pt idx="248">
                  <c:v>109</c:v>
                </c:pt>
                <c:pt idx="249">
                  <c:v>109</c:v>
                </c:pt>
                <c:pt idx="250">
                  <c:v>111</c:v>
                </c:pt>
                <c:pt idx="251">
                  <c:v>112</c:v>
                </c:pt>
                <c:pt idx="252">
                  <c:v>113</c:v>
                </c:pt>
                <c:pt idx="253">
                  <c:v>113</c:v>
                </c:pt>
                <c:pt idx="254">
                  <c:v>113</c:v>
                </c:pt>
                <c:pt idx="255">
                  <c:v>114</c:v>
                </c:pt>
                <c:pt idx="256">
                  <c:v>115</c:v>
                </c:pt>
                <c:pt idx="257">
                  <c:v>115</c:v>
                </c:pt>
                <c:pt idx="258">
                  <c:v>115</c:v>
                </c:pt>
                <c:pt idx="259">
                  <c:v>116</c:v>
                </c:pt>
                <c:pt idx="260">
                  <c:v>117</c:v>
                </c:pt>
                <c:pt idx="261">
                  <c:v>118</c:v>
                </c:pt>
                <c:pt idx="262">
                  <c:v>121</c:v>
                </c:pt>
                <c:pt idx="263">
                  <c:v>121</c:v>
                </c:pt>
                <c:pt idx="264">
                  <c:v>123</c:v>
                </c:pt>
                <c:pt idx="265">
                  <c:v>123</c:v>
                </c:pt>
                <c:pt idx="266">
                  <c:v>126</c:v>
                </c:pt>
                <c:pt idx="267">
                  <c:v>126</c:v>
                </c:pt>
                <c:pt idx="268">
                  <c:v>127</c:v>
                </c:pt>
                <c:pt idx="269">
                  <c:v>133</c:v>
                </c:pt>
                <c:pt idx="270">
                  <c:v>137</c:v>
                </c:pt>
                <c:pt idx="271">
                  <c:v>138</c:v>
                </c:pt>
                <c:pt idx="272">
                  <c:v>139</c:v>
                </c:pt>
                <c:pt idx="273">
                  <c:v>141</c:v>
                </c:pt>
                <c:pt idx="274">
                  <c:v>141</c:v>
                </c:pt>
                <c:pt idx="275">
                  <c:v>142</c:v>
                </c:pt>
                <c:pt idx="276">
                  <c:v>143</c:v>
                </c:pt>
                <c:pt idx="277">
                  <c:v>146</c:v>
                </c:pt>
                <c:pt idx="278">
                  <c:v>147</c:v>
                </c:pt>
                <c:pt idx="279">
                  <c:v>149</c:v>
                </c:pt>
                <c:pt idx="280">
                  <c:v>150</c:v>
                </c:pt>
                <c:pt idx="281">
                  <c:v>153</c:v>
                </c:pt>
                <c:pt idx="282">
                  <c:v>153</c:v>
                </c:pt>
                <c:pt idx="283">
                  <c:v>154</c:v>
                </c:pt>
                <c:pt idx="284">
                  <c:v>155</c:v>
                </c:pt>
                <c:pt idx="285">
                  <c:v>155</c:v>
                </c:pt>
                <c:pt idx="286">
                  <c:v>157</c:v>
                </c:pt>
                <c:pt idx="287">
                  <c:v>159</c:v>
                </c:pt>
                <c:pt idx="288">
                  <c:v>159</c:v>
                </c:pt>
                <c:pt idx="289">
                  <c:v>160</c:v>
                </c:pt>
                <c:pt idx="290">
                  <c:v>161</c:v>
                </c:pt>
                <c:pt idx="291">
                  <c:v>164</c:v>
                </c:pt>
                <c:pt idx="292">
                  <c:v>164</c:v>
                </c:pt>
                <c:pt idx="293">
                  <c:v>164</c:v>
                </c:pt>
                <c:pt idx="294">
                  <c:v>165</c:v>
                </c:pt>
                <c:pt idx="295">
                  <c:v>167</c:v>
                </c:pt>
                <c:pt idx="296">
                  <c:v>169</c:v>
                </c:pt>
                <c:pt idx="297">
                  <c:v>169</c:v>
                </c:pt>
                <c:pt idx="298">
                  <c:v>173</c:v>
                </c:pt>
                <c:pt idx="299">
                  <c:v>174</c:v>
                </c:pt>
                <c:pt idx="300">
                  <c:v>175</c:v>
                </c:pt>
                <c:pt idx="301">
                  <c:v>176</c:v>
                </c:pt>
                <c:pt idx="302">
                  <c:v>177</c:v>
                </c:pt>
                <c:pt idx="303">
                  <c:v>180</c:v>
                </c:pt>
                <c:pt idx="304">
                  <c:v>181</c:v>
                </c:pt>
                <c:pt idx="305">
                  <c:v>183</c:v>
                </c:pt>
                <c:pt idx="306">
                  <c:v>186</c:v>
                </c:pt>
                <c:pt idx="307">
                  <c:v>187</c:v>
                </c:pt>
                <c:pt idx="308">
                  <c:v>190</c:v>
                </c:pt>
                <c:pt idx="309">
                  <c:v>190</c:v>
                </c:pt>
                <c:pt idx="310">
                  <c:v>193</c:v>
                </c:pt>
                <c:pt idx="311">
                  <c:v>194</c:v>
                </c:pt>
                <c:pt idx="312">
                  <c:v>203</c:v>
                </c:pt>
                <c:pt idx="313">
                  <c:v>205</c:v>
                </c:pt>
                <c:pt idx="314">
                  <c:v>206</c:v>
                </c:pt>
                <c:pt idx="315">
                  <c:v>206</c:v>
                </c:pt>
                <c:pt idx="316">
                  <c:v>211</c:v>
                </c:pt>
                <c:pt idx="317">
                  <c:v>212</c:v>
                </c:pt>
                <c:pt idx="318">
                  <c:v>214</c:v>
                </c:pt>
                <c:pt idx="319">
                  <c:v>217</c:v>
                </c:pt>
                <c:pt idx="320">
                  <c:v>222</c:v>
                </c:pt>
                <c:pt idx="321">
                  <c:v>222</c:v>
                </c:pt>
                <c:pt idx="322">
                  <c:v>229</c:v>
                </c:pt>
                <c:pt idx="323">
                  <c:v>230</c:v>
                </c:pt>
                <c:pt idx="324">
                  <c:v>230</c:v>
                </c:pt>
                <c:pt idx="325">
                  <c:v>233</c:v>
                </c:pt>
                <c:pt idx="326">
                  <c:v>237</c:v>
                </c:pt>
                <c:pt idx="327">
                  <c:v>239</c:v>
                </c:pt>
                <c:pt idx="328">
                  <c:v>244</c:v>
                </c:pt>
                <c:pt idx="329">
                  <c:v>246</c:v>
                </c:pt>
                <c:pt idx="330">
                  <c:v>249</c:v>
                </c:pt>
                <c:pt idx="331">
                  <c:v>252</c:v>
                </c:pt>
                <c:pt idx="332">
                  <c:v>256</c:v>
                </c:pt>
                <c:pt idx="333">
                  <c:v>265</c:v>
                </c:pt>
                <c:pt idx="334">
                  <c:v>269</c:v>
                </c:pt>
                <c:pt idx="335">
                  <c:v>270</c:v>
                </c:pt>
                <c:pt idx="336">
                  <c:v>276</c:v>
                </c:pt>
                <c:pt idx="337">
                  <c:v>279</c:v>
                </c:pt>
                <c:pt idx="338">
                  <c:v>283</c:v>
                </c:pt>
                <c:pt idx="339">
                  <c:v>283</c:v>
                </c:pt>
                <c:pt idx="340">
                  <c:v>284</c:v>
                </c:pt>
                <c:pt idx="341">
                  <c:v>285</c:v>
                </c:pt>
                <c:pt idx="342">
                  <c:v>296</c:v>
                </c:pt>
                <c:pt idx="343">
                  <c:v>304</c:v>
                </c:pt>
                <c:pt idx="344">
                  <c:v>304</c:v>
                </c:pt>
                <c:pt idx="345">
                  <c:v>305</c:v>
                </c:pt>
                <c:pt idx="346">
                  <c:v>307</c:v>
                </c:pt>
                <c:pt idx="347">
                  <c:v>309</c:v>
                </c:pt>
                <c:pt idx="348">
                  <c:v>310</c:v>
                </c:pt>
                <c:pt idx="349">
                  <c:v>318</c:v>
                </c:pt>
                <c:pt idx="350">
                  <c:v>322</c:v>
                </c:pt>
                <c:pt idx="351">
                  <c:v>326</c:v>
                </c:pt>
                <c:pt idx="352">
                  <c:v>337</c:v>
                </c:pt>
                <c:pt idx="353">
                  <c:v>338</c:v>
                </c:pt>
                <c:pt idx="354">
                  <c:v>339</c:v>
                </c:pt>
                <c:pt idx="355">
                  <c:v>344</c:v>
                </c:pt>
                <c:pt idx="356">
                  <c:v>349</c:v>
                </c:pt>
                <c:pt idx="357">
                  <c:v>351</c:v>
                </c:pt>
                <c:pt idx="358">
                  <c:v>354</c:v>
                </c:pt>
                <c:pt idx="359">
                  <c:v>355</c:v>
                </c:pt>
                <c:pt idx="360">
                  <c:v>377</c:v>
                </c:pt>
                <c:pt idx="361">
                  <c:v>378</c:v>
                </c:pt>
                <c:pt idx="362">
                  <c:v>379</c:v>
                </c:pt>
                <c:pt idx="363">
                  <c:v>380</c:v>
                </c:pt>
                <c:pt idx="364">
                  <c:v>382</c:v>
                </c:pt>
                <c:pt idx="365">
                  <c:v>383</c:v>
                </c:pt>
                <c:pt idx="366">
                  <c:v>393</c:v>
                </c:pt>
                <c:pt idx="367">
                  <c:v>395</c:v>
                </c:pt>
                <c:pt idx="368">
                  <c:v>398</c:v>
                </c:pt>
                <c:pt idx="369">
                  <c:v>404</c:v>
                </c:pt>
                <c:pt idx="370">
                  <c:v>413</c:v>
                </c:pt>
                <c:pt idx="371">
                  <c:v>413</c:v>
                </c:pt>
                <c:pt idx="372">
                  <c:v>425</c:v>
                </c:pt>
                <c:pt idx="373">
                  <c:v>435</c:v>
                </c:pt>
                <c:pt idx="374">
                  <c:v>441</c:v>
                </c:pt>
                <c:pt idx="375">
                  <c:v>443</c:v>
                </c:pt>
                <c:pt idx="376">
                  <c:v>464</c:v>
                </c:pt>
                <c:pt idx="377">
                  <c:v>473</c:v>
                </c:pt>
                <c:pt idx="378">
                  <c:v>474</c:v>
                </c:pt>
                <c:pt idx="379">
                  <c:v>478</c:v>
                </c:pt>
                <c:pt idx="380">
                  <c:v>481</c:v>
                </c:pt>
                <c:pt idx="381">
                  <c:v>487</c:v>
                </c:pt>
                <c:pt idx="382">
                  <c:v>495</c:v>
                </c:pt>
                <c:pt idx="383">
                  <c:v>497</c:v>
                </c:pt>
                <c:pt idx="384">
                  <c:v>503</c:v>
                </c:pt>
                <c:pt idx="385">
                  <c:v>519</c:v>
                </c:pt>
                <c:pt idx="386">
                  <c:v>520</c:v>
                </c:pt>
                <c:pt idx="387">
                  <c:v>534</c:v>
                </c:pt>
                <c:pt idx="388">
                  <c:v>538</c:v>
                </c:pt>
                <c:pt idx="389">
                  <c:v>542</c:v>
                </c:pt>
                <c:pt idx="390">
                  <c:v>568</c:v>
                </c:pt>
                <c:pt idx="391">
                  <c:v>569</c:v>
                </c:pt>
                <c:pt idx="392">
                  <c:v>576</c:v>
                </c:pt>
                <c:pt idx="393">
                  <c:v>584</c:v>
                </c:pt>
                <c:pt idx="394">
                  <c:v>586</c:v>
                </c:pt>
                <c:pt idx="395">
                  <c:v>592</c:v>
                </c:pt>
                <c:pt idx="396">
                  <c:v>592</c:v>
                </c:pt>
                <c:pt idx="397">
                  <c:v>595</c:v>
                </c:pt>
                <c:pt idx="398">
                  <c:v>609</c:v>
                </c:pt>
                <c:pt idx="399">
                  <c:v>617</c:v>
                </c:pt>
                <c:pt idx="400">
                  <c:v>628</c:v>
                </c:pt>
                <c:pt idx="401">
                  <c:v>632</c:v>
                </c:pt>
                <c:pt idx="402">
                  <c:v>639</c:v>
                </c:pt>
                <c:pt idx="403">
                  <c:v>644</c:v>
                </c:pt>
                <c:pt idx="404">
                  <c:v>679</c:v>
                </c:pt>
                <c:pt idx="405">
                  <c:v>679</c:v>
                </c:pt>
                <c:pt idx="406">
                  <c:v>692</c:v>
                </c:pt>
                <c:pt idx="407">
                  <c:v>695</c:v>
                </c:pt>
                <c:pt idx="408">
                  <c:v>697</c:v>
                </c:pt>
                <c:pt idx="409">
                  <c:v>712</c:v>
                </c:pt>
                <c:pt idx="410">
                  <c:v>724</c:v>
                </c:pt>
                <c:pt idx="411">
                  <c:v>746</c:v>
                </c:pt>
                <c:pt idx="412">
                  <c:v>751</c:v>
                </c:pt>
                <c:pt idx="413">
                  <c:v>762</c:v>
                </c:pt>
                <c:pt idx="414">
                  <c:v>774</c:v>
                </c:pt>
                <c:pt idx="415">
                  <c:v>774</c:v>
                </c:pt>
                <c:pt idx="416">
                  <c:v>781</c:v>
                </c:pt>
                <c:pt idx="417">
                  <c:v>790</c:v>
                </c:pt>
                <c:pt idx="418">
                  <c:v>798</c:v>
                </c:pt>
                <c:pt idx="419">
                  <c:v>813</c:v>
                </c:pt>
                <c:pt idx="420">
                  <c:v>828</c:v>
                </c:pt>
                <c:pt idx="421">
                  <c:v>834</c:v>
                </c:pt>
                <c:pt idx="422">
                  <c:v>842</c:v>
                </c:pt>
                <c:pt idx="423">
                  <c:v>845</c:v>
                </c:pt>
                <c:pt idx="424">
                  <c:v>856</c:v>
                </c:pt>
                <c:pt idx="425">
                  <c:v>856</c:v>
                </c:pt>
                <c:pt idx="426">
                  <c:v>857</c:v>
                </c:pt>
                <c:pt idx="427">
                  <c:v>897</c:v>
                </c:pt>
                <c:pt idx="428">
                  <c:v>900</c:v>
                </c:pt>
                <c:pt idx="429">
                  <c:v>927</c:v>
                </c:pt>
                <c:pt idx="430">
                  <c:v>962</c:v>
                </c:pt>
                <c:pt idx="431">
                  <c:v>973</c:v>
                </c:pt>
                <c:pt idx="432">
                  <c:v>990</c:v>
                </c:pt>
                <c:pt idx="433">
                  <c:v>1005</c:v>
                </c:pt>
                <c:pt idx="434">
                  <c:v>1020</c:v>
                </c:pt>
                <c:pt idx="435">
                  <c:v>1057</c:v>
                </c:pt>
                <c:pt idx="436">
                  <c:v>1079</c:v>
                </c:pt>
                <c:pt idx="437">
                  <c:v>1097</c:v>
                </c:pt>
                <c:pt idx="438">
                  <c:v>1171</c:v>
                </c:pt>
                <c:pt idx="439">
                  <c:v>1182</c:v>
                </c:pt>
                <c:pt idx="440">
                  <c:v>1183</c:v>
                </c:pt>
                <c:pt idx="441">
                  <c:v>1201</c:v>
                </c:pt>
                <c:pt idx="442">
                  <c:v>1226</c:v>
                </c:pt>
                <c:pt idx="443">
                  <c:v>1232</c:v>
                </c:pt>
                <c:pt idx="444">
                  <c:v>1267</c:v>
                </c:pt>
                <c:pt idx="445">
                  <c:v>1333</c:v>
                </c:pt>
                <c:pt idx="446">
                  <c:v>1335</c:v>
                </c:pt>
                <c:pt idx="447">
                  <c:v>1341</c:v>
                </c:pt>
                <c:pt idx="448">
                  <c:v>1386</c:v>
                </c:pt>
                <c:pt idx="449">
                  <c:v>1428</c:v>
                </c:pt>
                <c:pt idx="450">
                  <c:v>1463</c:v>
                </c:pt>
                <c:pt idx="451">
                  <c:v>1519</c:v>
                </c:pt>
                <c:pt idx="452">
                  <c:v>1541</c:v>
                </c:pt>
                <c:pt idx="453">
                  <c:v>1568</c:v>
                </c:pt>
                <c:pt idx="454">
                  <c:v>1576</c:v>
                </c:pt>
                <c:pt idx="455">
                  <c:v>1633</c:v>
                </c:pt>
                <c:pt idx="456">
                  <c:v>1660</c:v>
                </c:pt>
                <c:pt idx="457">
                  <c:v>1661</c:v>
                </c:pt>
                <c:pt idx="458">
                  <c:v>1663</c:v>
                </c:pt>
                <c:pt idx="459">
                  <c:v>1697</c:v>
                </c:pt>
                <c:pt idx="460">
                  <c:v>1700</c:v>
                </c:pt>
                <c:pt idx="461">
                  <c:v>1765</c:v>
                </c:pt>
                <c:pt idx="462">
                  <c:v>1802</c:v>
                </c:pt>
                <c:pt idx="463">
                  <c:v>1829</c:v>
                </c:pt>
                <c:pt idx="464">
                  <c:v>1866</c:v>
                </c:pt>
                <c:pt idx="465">
                  <c:v>1885</c:v>
                </c:pt>
                <c:pt idx="466">
                  <c:v>1975</c:v>
                </c:pt>
                <c:pt idx="467">
                  <c:v>1980</c:v>
                </c:pt>
                <c:pt idx="468">
                  <c:v>1994</c:v>
                </c:pt>
                <c:pt idx="469">
                  <c:v>2019</c:v>
                </c:pt>
                <c:pt idx="470">
                  <c:v>2100</c:v>
                </c:pt>
                <c:pt idx="471">
                  <c:v>2105</c:v>
                </c:pt>
                <c:pt idx="472">
                  <c:v>2174</c:v>
                </c:pt>
                <c:pt idx="473">
                  <c:v>2205</c:v>
                </c:pt>
                <c:pt idx="474">
                  <c:v>2262</c:v>
                </c:pt>
                <c:pt idx="475">
                  <c:v>2313</c:v>
                </c:pt>
                <c:pt idx="476">
                  <c:v>2526</c:v>
                </c:pt>
                <c:pt idx="477">
                  <c:v>3000</c:v>
                </c:pt>
                <c:pt idx="478">
                  <c:v>3124</c:v>
                </c:pt>
                <c:pt idx="479">
                  <c:v>3406</c:v>
                </c:pt>
                <c:pt idx="480">
                  <c:v>3628</c:v>
                </c:pt>
                <c:pt idx="481">
                  <c:v>3690</c:v>
                </c:pt>
                <c:pt idx="482">
                  <c:v>5287</c:v>
                </c:pt>
                <c:pt idx="483">
                  <c:v>5953</c:v>
                </c:pt>
                <c:pt idx="484">
                  <c:v>8642</c:v>
                </c:pt>
                <c:pt idx="485">
                  <c:v>12619</c:v>
                </c:pt>
              </c:numCache>
            </c:numRef>
          </c:val>
        </c:ser>
        <c:dLbls>
          <c:showLegendKey val="0"/>
          <c:showVal val="0"/>
          <c:showCatName val="0"/>
          <c:showSerName val="0"/>
          <c:showPercent val="0"/>
          <c:showBubbleSize val="0"/>
        </c:dLbls>
        <c:gapWidth val="150"/>
        <c:axId val="149557632"/>
        <c:axId val="149559168"/>
      </c:barChart>
      <c:catAx>
        <c:axId val="149557632"/>
        <c:scaling>
          <c:orientation val="minMax"/>
        </c:scaling>
        <c:delete val="0"/>
        <c:axPos val="b"/>
        <c:majorTickMark val="out"/>
        <c:minorTickMark val="none"/>
        <c:tickLblPos val="nextTo"/>
        <c:crossAx val="149559168"/>
        <c:crosses val="autoZero"/>
        <c:auto val="1"/>
        <c:lblAlgn val="ctr"/>
        <c:lblOffset val="100"/>
        <c:noMultiLvlLbl val="0"/>
      </c:catAx>
      <c:valAx>
        <c:axId val="149559168"/>
        <c:scaling>
          <c:orientation val="minMax"/>
        </c:scaling>
        <c:delete val="0"/>
        <c:axPos val="l"/>
        <c:majorGridlines/>
        <c:numFmt formatCode="General" sourceLinked="1"/>
        <c:majorTickMark val="out"/>
        <c:minorTickMark val="none"/>
        <c:tickLblPos val="nextTo"/>
        <c:crossAx val="14955763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Cases</a:t>
            </a:r>
          </a:p>
        </c:rich>
      </c:tx>
      <c:layout/>
      <c:overlay val="0"/>
    </c:title>
    <c:autoTitleDeleted val="0"/>
    <c:plotArea>
      <c:layout/>
      <c:barChart>
        <c:barDir val="col"/>
        <c:grouping val="clustered"/>
        <c:varyColors val="0"/>
        <c:ser>
          <c:idx val="0"/>
          <c:order val="0"/>
          <c:tx>
            <c:strRef>
              <c:f>'by FacilityType'!$B$1</c:f>
              <c:strCache>
                <c:ptCount val="1"/>
                <c:pt idx="0">
                  <c:v>cases</c:v>
                </c:pt>
              </c:strCache>
            </c:strRef>
          </c:tx>
          <c:invertIfNegative val="0"/>
          <c:cat>
            <c:strRef>
              <c:f>'by FacilityType'!$A$2:$A$6</c:f>
              <c:strCache>
                <c:ptCount val="5"/>
                <c:pt idx="0">
                  <c:v>Small Community Hospital (&lt;100 beds)</c:v>
                </c:pt>
                <c:pt idx="1">
                  <c:v>Other</c:v>
                </c:pt>
                <c:pt idx="2">
                  <c:v>University Hospital</c:v>
                </c:pt>
                <c:pt idx="3">
                  <c:v>Large Community Hospital (500+ beds)</c:v>
                </c:pt>
                <c:pt idx="4">
                  <c:v>Medium Community Hospital (100-500 beds)</c:v>
                </c:pt>
              </c:strCache>
            </c:strRef>
          </c:cat>
          <c:val>
            <c:numRef>
              <c:f>'by FacilityType'!$B$2:$B$6</c:f>
              <c:numCache>
                <c:formatCode>General</c:formatCode>
                <c:ptCount val="5"/>
                <c:pt idx="0">
                  <c:v>3706</c:v>
                </c:pt>
                <c:pt idx="1">
                  <c:v>16269</c:v>
                </c:pt>
                <c:pt idx="2">
                  <c:v>38595</c:v>
                </c:pt>
                <c:pt idx="3">
                  <c:v>57113</c:v>
                </c:pt>
                <c:pt idx="4">
                  <c:v>83611</c:v>
                </c:pt>
              </c:numCache>
            </c:numRef>
          </c:val>
        </c:ser>
        <c:dLbls>
          <c:showLegendKey val="0"/>
          <c:showVal val="0"/>
          <c:showCatName val="0"/>
          <c:showSerName val="0"/>
          <c:showPercent val="0"/>
          <c:showBubbleSize val="0"/>
        </c:dLbls>
        <c:gapWidth val="150"/>
        <c:axId val="149575168"/>
        <c:axId val="149576704"/>
      </c:barChart>
      <c:catAx>
        <c:axId val="149575168"/>
        <c:scaling>
          <c:orientation val="minMax"/>
        </c:scaling>
        <c:delete val="0"/>
        <c:axPos val="b"/>
        <c:majorTickMark val="out"/>
        <c:minorTickMark val="none"/>
        <c:tickLblPos val="nextTo"/>
        <c:crossAx val="149576704"/>
        <c:crosses val="autoZero"/>
        <c:auto val="1"/>
        <c:lblAlgn val="ctr"/>
        <c:lblOffset val="100"/>
        <c:noMultiLvlLbl val="0"/>
      </c:catAx>
      <c:valAx>
        <c:axId val="149576704"/>
        <c:scaling>
          <c:orientation val="minMax"/>
        </c:scaling>
        <c:delete val="0"/>
        <c:axPos val="l"/>
        <c:majorGridlines/>
        <c:numFmt formatCode="General" sourceLinked="1"/>
        <c:majorTickMark val="out"/>
        <c:minorTickMark val="none"/>
        <c:tickLblPos val="nextTo"/>
        <c:crossAx val="149575168"/>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95F1A"/>
    <w:rsid w:val="00127222"/>
    <w:rsid w:val="00190AF4"/>
    <w:rsid w:val="00223FA3"/>
    <w:rsid w:val="002A288F"/>
    <w:rsid w:val="002F052A"/>
    <w:rsid w:val="00350176"/>
    <w:rsid w:val="003840F0"/>
    <w:rsid w:val="0053654E"/>
    <w:rsid w:val="005566E3"/>
    <w:rsid w:val="005A54C4"/>
    <w:rsid w:val="00632A7E"/>
    <w:rsid w:val="00632AB6"/>
    <w:rsid w:val="00671777"/>
    <w:rsid w:val="0070300D"/>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90121"/>
    <w:rsid w:val="00CA344F"/>
    <w:rsid w:val="00D1676E"/>
    <w:rsid w:val="00DC0246"/>
    <w:rsid w:val="00E6518A"/>
    <w:rsid w:val="00E73997"/>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83A5B-16AE-48B2-B124-DF0741C70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5443</Words>
  <Characters>31030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Halzack</dc:creator>
  <cp:lastModifiedBy>Matthew Popovich</cp:lastModifiedBy>
  <cp:revision>4</cp:revision>
  <cp:lastPrinted>2014-01-06T19:03:00Z</cp:lastPrinted>
  <dcterms:created xsi:type="dcterms:W3CDTF">2014-01-06T19:49:00Z</dcterms:created>
  <dcterms:modified xsi:type="dcterms:W3CDTF">2014-01-06T21:25:00Z</dcterms:modified>
</cp:coreProperties>
</file>