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AF110F">
            <w:rPr>
              <w:rStyle w:val="Style1"/>
            </w:rPr>
            <w:t>0740</w:t>
          </w:r>
          <w:r w:rsidR="00AF110F">
            <w:rPr>
              <w:rStyle w:val="Style1"/>
            </w:rPr>
            <w:tab/>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AF110F">
            <w:rPr>
              <w:rStyle w:val="Style1"/>
              <w:rFonts w:cstheme="minorHAnsi"/>
            </w:rPr>
            <w:t>Participation in a Systematic Dose Index Registry</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A6416"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A6416"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A6416"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A6416"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A6416"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A6416" w:rsidP="00CD364B">
            <w:pPr>
              <w:autoSpaceDE w:val="0"/>
              <w:autoSpaceDN w:val="0"/>
              <w:adjustRightInd w:val="0"/>
              <w:rPr>
                <w:rFonts w:cstheme="minorHAnsi"/>
                <w:bCs/>
              </w:rPr>
            </w:pPr>
            <w:sdt>
              <w:sdtPr>
                <w:rPr>
                  <w:rFonts w:cstheme="minorHAnsi"/>
                  <w:bCs/>
                  <w:color w:val="0000FF"/>
                </w:rPr>
                <w:id w:val="-1898113707"/>
                <w14:checkbox>
                  <w14:checked w14:val="1"/>
                  <w14:checkedState w14:val="2612" w14:font="MS Gothic"/>
                  <w14:uncheckedState w14:val="2610" w14:font="MS Gothic"/>
                </w14:checkbox>
              </w:sdtPr>
              <w:sdtContent>
                <w:r w:rsidR="00AF110F">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F21B26" w:rsidRPr="009E3200" w:rsidRDefault="00F21B26" w:rsidP="00C40879">
            <w:pPr>
              <w:pStyle w:val="ListParagraph"/>
              <w:autoSpaceDE w:val="0"/>
              <w:autoSpaceDN w:val="0"/>
              <w:adjustRightInd w:val="0"/>
              <w:rPr>
                <w:rFonts w:cstheme="minorHAnsi"/>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A267FD" w:rsidRDefault="00A267FD" w:rsidP="00A267FD">
            <w:pPr>
              <w:rPr>
                <w:rFonts w:cstheme="minorHAnsi"/>
                <w:sz w:val="20"/>
                <w:szCs w:val="20"/>
              </w:rPr>
            </w:pPr>
            <w:bookmarkStart w:id="0" w:name="_Toc256067249"/>
          </w:p>
          <w:p w:rsidR="00A267FD" w:rsidRPr="00A831B4" w:rsidRDefault="00A267FD" w:rsidP="00A267FD">
            <w:pPr>
              <w:rPr>
                <w:rFonts w:cstheme="minorHAnsi"/>
                <w:sz w:val="20"/>
                <w:szCs w:val="20"/>
              </w:rPr>
            </w:pPr>
            <w:r w:rsidRPr="00A831B4">
              <w:rPr>
                <w:rFonts w:cstheme="minorHAnsi"/>
                <w:sz w:val="20"/>
                <w:szCs w:val="20"/>
              </w:rPr>
              <w:t xml:space="preserve">Validity testing of data elements typically analyzes agreement with another authoritative source of the same information. </w:t>
            </w:r>
          </w:p>
          <w:p w:rsidR="00A267FD" w:rsidRDefault="00A267FD" w:rsidP="00145149">
            <w:pPr>
              <w:rPr>
                <w:rFonts w:cstheme="minorHAnsi"/>
                <w:sz w:val="20"/>
                <w:szCs w:val="20"/>
              </w:rPr>
            </w:pPr>
          </w:p>
          <w:p w:rsidR="00A267FD" w:rsidRDefault="00A267FD" w:rsidP="00145149">
            <w:pPr>
              <w:rPr>
                <w:rFonts w:cstheme="minorHAnsi"/>
                <w:sz w:val="20"/>
                <w:szCs w:val="20"/>
              </w:rPr>
            </w:pPr>
            <w:r w:rsidRPr="00A831B4">
              <w:rPr>
                <w:rFonts w:cstheme="minorHAnsi"/>
                <w:sz w:val="20"/>
                <w:szCs w:val="20"/>
              </w:rPr>
              <w:t xml:space="preserve">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p>
          <w:p w:rsidR="00A267FD" w:rsidRDefault="00A267FD" w:rsidP="00145149">
            <w:pPr>
              <w:rPr>
                <w:rFonts w:cstheme="minorHAnsi"/>
                <w:sz w:val="20"/>
                <w:szCs w:val="20"/>
              </w:rPr>
            </w:pPr>
          </w:p>
          <w:p w:rsidR="00A267FD" w:rsidRDefault="00A267FD" w:rsidP="00145149">
            <w:pPr>
              <w:rPr>
                <w:rFonts w:cstheme="minorHAnsi"/>
                <w:sz w:val="20"/>
                <w:szCs w:val="20"/>
              </w:rPr>
            </w:pPr>
            <w:r w:rsidRPr="00A831B4">
              <w:rPr>
                <w:rFonts w:cstheme="minorHAnsi"/>
                <w:sz w:val="20"/>
                <w:szCs w:val="20"/>
              </w:rPr>
              <w:t xml:space="preserve">Face validity of the measure score as a quality indicator may be adequate if accomplished through a systematic and transparent process, by identified experts, and explicitly addresses whether performance scores resulting from the measure as </w:t>
            </w:r>
            <w:r w:rsidRPr="00A831B4">
              <w:rPr>
                <w:rFonts w:cstheme="minorHAnsi"/>
                <w:sz w:val="20"/>
                <w:szCs w:val="20"/>
              </w:rPr>
              <w:lastRenderedPageBreak/>
              <w:t>specified can be used to distinguish good from poor quality.</w:t>
            </w:r>
          </w:p>
          <w:p w:rsidR="00F7756A" w:rsidRDefault="00F7756A" w:rsidP="00145149">
            <w:pPr>
              <w:rPr>
                <w:rFonts w:cstheme="minorHAnsi"/>
                <w:sz w:val="20"/>
                <w:szCs w:val="20"/>
              </w:rPr>
            </w:pPr>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Default="009F2378" w:rsidP="009F2378">
            <w:pPr>
              <w:pStyle w:val="ListParagraph"/>
              <w:numPr>
                <w:ilvl w:val="0"/>
                <w:numId w:val="27"/>
              </w:numPr>
              <w:rPr>
                <w:rFonts w:cstheme="minorHAnsi"/>
                <w:bCs/>
              </w:rPr>
            </w:pPr>
            <w:r w:rsidRPr="009F2378">
              <w:rPr>
                <w:rFonts w:cstheme="minorHAnsi"/>
                <w:bCs/>
              </w:rPr>
              <w:t>No exclusions</w:t>
            </w:r>
          </w:p>
          <w:p w:rsidR="009F2378" w:rsidRPr="009F2378" w:rsidRDefault="009F2378" w:rsidP="009F2378">
            <w:pPr>
              <w:pStyle w:val="ListParagraph"/>
              <w:numPr>
                <w:ilvl w:val="0"/>
                <w:numId w:val="27"/>
              </w:numPr>
              <w:rPr>
                <w:rFonts w:cstheme="minorHAnsi"/>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9F2378" w:rsidRDefault="00145149" w:rsidP="00145149">
            <w:pPr>
              <w:rPr>
                <w:rFonts w:cstheme="minorHAnsi"/>
                <w:b/>
                <w:bCs/>
              </w:rPr>
            </w:pPr>
            <w:r w:rsidRPr="000F034A">
              <w:rPr>
                <w:rFonts w:cstheme="minorHAnsi"/>
                <w:b/>
              </w:rPr>
              <w:t>OR</w:t>
            </w:r>
          </w:p>
          <w:p w:rsidR="009F2378" w:rsidRPr="000F034A" w:rsidRDefault="009F2378"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9F2378" w:rsidRDefault="009F2378" w:rsidP="00145149">
            <w:pPr>
              <w:rPr>
                <w:rFonts w:cstheme="minorHAnsi"/>
              </w:rPr>
            </w:pP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0C62BB" w:rsidRDefault="00C43A1D" w:rsidP="00145149">
            <w:pPr>
              <w:rPr>
                <w:rFonts w:cstheme="minorHAnsi"/>
              </w:rPr>
            </w:pPr>
            <w:r>
              <w:rPr>
                <w:rFonts w:cstheme="minorHAnsi"/>
              </w:rPr>
              <w:t xml:space="preserve">All automated.  </w:t>
            </w: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w:t>
            </w:r>
            <w:r w:rsidRPr="00A831B4">
              <w:rPr>
                <w:rFonts w:cstheme="minorHAnsi"/>
                <w:sz w:val="20"/>
                <w:szCs w:val="20"/>
              </w:rPr>
              <w:lastRenderedPageBreak/>
              <w:t>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Content>
                <w:r w:rsidR="00571F1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Content>
                <w:r>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A6416"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A6416"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1C56CD" w:rsidRPr="00DB7F68" w:rsidRDefault="001C56CD" w:rsidP="001C56CD">
      <w:pPr>
        <w:pStyle w:val="Default"/>
        <w:rPr>
          <w:rFonts w:ascii="Calibri" w:hAnsi="Calibri" w:cs="Calibri"/>
          <w:color w:val="auto"/>
          <w:sz w:val="22"/>
          <w:szCs w:val="22"/>
        </w:rPr>
      </w:pPr>
      <w:r w:rsidRPr="002A6416">
        <w:rPr>
          <w:rStyle w:val="Style1"/>
          <w:rFonts w:eastAsiaTheme="minorEastAsia" w:cstheme="minorHAnsi"/>
        </w:rPr>
        <w:t>Data files from the American College of Radiology Dose Index Registry</w:t>
      </w:r>
      <w:r w:rsidR="00DB7F68" w:rsidRPr="002A6416">
        <w:rPr>
          <w:rStyle w:val="Style1"/>
          <w:rFonts w:eastAsiaTheme="minorEastAsia" w:cstheme="minorHAnsi"/>
        </w:rPr>
        <w:t xml:space="preserve"> (DIR)</w:t>
      </w:r>
      <w:r w:rsidRPr="002A6416">
        <w:rPr>
          <w:rStyle w:val="Style1"/>
          <w:rFonts w:eastAsiaTheme="minorEastAsia" w:cstheme="minorHAnsi"/>
        </w:rPr>
        <w:t xml:space="preserve"> were used for testing. The files contain data </w:t>
      </w:r>
      <w:r w:rsidR="00DB7F68" w:rsidRPr="002A6416">
        <w:rPr>
          <w:rStyle w:val="Style1"/>
          <w:rFonts w:eastAsiaTheme="minorEastAsia" w:cstheme="minorHAnsi"/>
        </w:rPr>
        <w:t xml:space="preserve">on CT radiation dose indices in a standardized format, </w:t>
      </w:r>
      <w:r w:rsidRPr="002A6416">
        <w:rPr>
          <w:rStyle w:val="Style1"/>
          <w:rFonts w:eastAsiaTheme="minorEastAsia" w:cstheme="minorHAnsi"/>
        </w:rPr>
        <w:t xml:space="preserve">submitted from participating facilities using an automated method. Data on all CT exams performed at a facility are submitted to the </w:t>
      </w:r>
      <w:r w:rsidR="00DB7F68" w:rsidRPr="002A6416">
        <w:rPr>
          <w:rStyle w:val="Style1"/>
          <w:rFonts w:eastAsiaTheme="minorEastAsia" w:cstheme="minorHAnsi"/>
        </w:rPr>
        <w:t xml:space="preserve">DIR </w:t>
      </w:r>
      <w:r w:rsidRPr="002A6416">
        <w:rPr>
          <w:rStyle w:val="Style1"/>
          <w:rFonts w:eastAsiaTheme="minorEastAsia" w:cstheme="minorHAnsi"/>
        </w:rPr>
        <w:t xml:space="preserve">registry. Current lists of </w:t>
      </w:r>
      <w:r w:rsidR="00DB7F68" w:rsidRPr="002A6416">
        <w:rPr>
          <w:rStyle w:val="Style1"/>
          <w:rFonts w:eastAsiaTheme="minorEastAsia" w:cstheme="minorHAnsi"/>
        </w:rPr>
        <w:t xml:space="preserve">CT </w:t>
      </w:r>
      <w:r w:rsidRPr="002A6416">
        <w:rPr>
          <w:rStyle w:val="Style1"/>
          <w:rFonts w:eastAsiaTheme="minorEastAsia" w:cstheme="minorHAnsi"/>
        </w:rPr>
        <w:t xml:space="preserve">scanners from which data have been received are </w:t>
      </w:r>
      <w:r w:rsidR="00D377EE" w:rsidRPr="002A6416">
        <w:rPr>
          <w:rStyle w:val="Style1"/>
          <w:rFonts w:eastAsiaTheme="minorEastAsia" w:cstheme="minorHAnsi"/>
        </w:rPr>
        <w:t>posted on the registry web-site at this link:</w:t>
      </w:r>
      <w:r w:rsidR="00D377EE">
        <w:rPr>
          <w:rFonts w:ascii="Calibri" w:hAnsi="Calibri" w:cs="Calibri"/>
          <w:color w:val="auto"/>
          <w:sz w:val="22"/>
          <w:szCs w:val="22"/>
        </w:rPr>
        <w:t xml:space="preserve"> </w:t>
      </w:r>
      <w:hyperlink r:id="rId10" w:history="1">
        <w:r w:rsidR="00D377EE" w:rsidRPr="00BE2F02">
          <w:rPr>
            <w:rStyle w:val="Hyperlink"/>
            <w:rFonts w:ascii="Calibri" w:hAnsi="Calibri" w:cs="Calibri"/>
            <w:sz w:val="22"/>
            <w:szCs w:val="22"/>
          </w:rPr>
          <w:t>http://www.acr.org/~/media/ACR/Documents/PDF/QualitySafety/NRDR/DIR/scanners.pdf</w:t>
        </w:r>
      </w:hyperlink>
      <w:r w:rsidR="00D377EE">
        <w:rPr>
          <w:rFonts w:ascii="Calibri" w:hAnsi="Calibri" w:cs="Calibri"/>
          <w:color w:val="auto"/>
          <w:sz w:val="22"/>
          <w:szCs w:val="22"/>
        </w:rPr>
        <w:t xml:space="preserve"> </w:t>
      </w:r>
    </w:p>
    <w:p w:rsidR="00DB7F68" w:rsidRPr="00DB7F68" w:rsidRDefault="00DB7F68" w:rsidP="001C56CD">
      <w:pPr>
        <w:autoSpaceDE w:val="0"/>
        <w:autoSpaceDN w:val="0"/>
        <w:adjustRightInd w:val="0"/>
        <w:spacing w:after="0" w:line="240" w:lineRule="auto"/>
        <w:rPr>
          <w:rFonts w:cs="Calibri"/>
        </w:rPr>
      </w:pPr>
    </w:p>
    <w:p w:rsidR="001C56CD" w:rsidRPr="00DB7F68" w:rsidRDefault="001C56CD" w:rsidP="001C56CD">
      <w:pPr>
        <w:autoSpaceDE w:val="0"/>
        <w:autoSpaceDN w:val="0"/>
        <w:adjustRightInd w:val="0"/>
        <w:spacing w:after="0" w:line="240" w:lineRule="auto"/>
        <w:rPr>
          <w:rFonts w:cstheme="minorHAnsi"/>
          <w:b/>
          <w:bCs/>
        </w:rPr>
      </w:pPr>
      <w:r w:rsidRPr="002A6416">
        <w:rPr>
          <w:rStyle w:val="Style1"/>
          <w:rFonts w:cstheme="minorHAnsi"/>
          <w:szCs w:val="24"/>
        </w:rPr>
        <w:t xml:space="preserve">All data elements collected in the registry are posted on </w:t>
      </w:r>
      <w:r w:rsidR="00DB7F68" w:rsidRPr="002A6416">
        <w:rPr>
          <w:rStyle w:val="Style1"/>
          <w:rFonts w:cstheme="minorHAnsi"/>
          <w:szCs w:val="24"/>
        </w:rPr>
        <w:t>the Dose Index Registry website</w:t>
      </w:r>
      <w:r w:rsidR="00DB7F68" w:rsidRPr="00DB7F68">
        <w:rPr>
          <w:rFonts w:cs="Calibri"/>
        </w:rPr>
        <w:t xml:space="preserve"> </w:t>
      </w:r>
      <w:r w:rsidRPr="00DB7F68">
        <w:rPr>
          <w:rFonts w:cs="Calibri"/>
        </w:rPr>
        <w:t>(</w:t>
      </w:r>
      <w:hyperlink r:id="rId11" w:history="1">
        <w:r w:rsidRPr="00DB7F68">
          <w:rPr>
            <w:rStyle w:val="Hyperlink"/>
            <w:rFonts w:cs="Calibri"/>
          </w:rPr>
          <w:t>http://www.acr.org/~/media/ACR/Documents/PDF/QualitySafety/NRDR/DIR/DataElementsInDIRHeaderSR.pdf</w:t>
        </w:r>
      </w:hyperlink>
      <w:r w:rsidRPr="00DB7F68">
        <w:rPr>
          <w:rFonts w:cs="Calibri"/>
        </w:rPr>
        <w:t xml:space="preserve">) </w:t>
      </w:r>
      <w:r w:rsidRPr="002A6416">
        <w:rPr>
          <w:rStyle w:val="Style1"/>
          <w:rFonts w:cstheme="minorHAnsi"/>
          <w:szCs w:val="24"/>
        </w:rPr>
        <w:t>and are based on DICOM Radiation Dose St</w:t>
      </w:r>
      <w:r w:rsidR="00DB7F68" w:rsidRPr="002A6416">
        <w:rPr>
          <w:rStyle w:val="Style1"/>
          <w:rFonts w:cstheme="minorHAnsi"/>
          <w:szCs w:val="24"/>
        </w:rPr>
        <w:t>ructured Report as published in</w:t>
      </w:r>
      <w:r w:rsidRPr="002A6416">
        <w:rPr>
          <w:rStyle w:val="Style1"/>
          <w:rFonts w:cstheme="minorHAnsi"/>
          <w:szCs w:val="24"/>
        </w:rPr>
        <w:t xml:space="preserve"> DICOM Content Mapping Resource document PS 3.16-2009</w:t>
      </w:r>
      <w:r w:rsidR="00DB7F68">
        <w:rPr>
          <w:rFonts w:cs="Calibri"/>
        </w:rPr>
        <w:t xml:space="preserve"> </w:t>
      </w:r>
      <w:r w:rsidRPr="00DB7F68">
        <w:rPr>
          <w:rFonts w:cs="Calibri"/>
        </w:rPr>
        <w:t>(</w:t>
      </w:r>
      <w:hyperlink r:id="rId12" w:history="1">
        <w:r w:rsidR="00DB7F68" w:rsidRPr="00DB7F68">
          <w:rPr>
            <w:rStyle w:val="Hyperlink"/>
          </w:rPr>
          <w:t>ftp://medical.nema.org/medical/dicom/2009/09_16pu.pdf</w:t>
        </w:r>
      </w:hyperlink>
      <w:r w:rsidR="00DB7F68" w:rsidRPr="00DB7F68">
        <w:t xml:space="preserve"> </w:t>
      </w:r>
      <w:r w:rsidR="00DB7F68">
        <w:t>).</w:t>
      </w:r>
      <w:r w:rsidRPr="00DB7F68">
        <w:rPr>
          <w:rFonts w:cs="Calibri"/>
        </w:rPr>
        <w:t xml:space="preserve">   </w:t>
      </w:r>
      <w:r w:rsidRPr="002A6416">
        <w:rPr>
          <w:rStyle w:val="Style1"/>
          <w:rFonts w:cstheme="minorHAnsi"/>
          <w:szCs w:val="24"/>
        </w:rPr>
        <w:t>For more information, please see</w:t>
      </w:r>
      <w:r w:rsidRPr="00DB7F68">
        <w:rPr>
          <w:rFonts w:cs="Calibri"/>
        </w:rPr>
        <w:t xml:space="preserve"> </w:t>
      </w:r>
      <w:hyperlink r:id="rId13" w:history="1">
        <w:r w:rsidRPr="00DB7F68">
          <w:rPr>
            <w:rStyle w:val="Hyperlink"/>
            <w:rFonts w:cs="Calibri"/>
          </w:rPr>
          <w:t>http://www.acr.org/Quality-Safety/National-Radiology-Data-Registry/Dose-Index-Registry/About-DIR</w:t>
        </w:r>
      </w:hyperlink>
    </w:p>
    <w:p w:rsidR="001C56CD" w:rsidRDefault="001C56CD" w:rsidP="00DB3627">
      <w:pPr>
        <w:autoSpaceDE w:val="0"/>
        <w:autoSpaceDN w:val="0"/>
        <w:adjustRightInd w:val="0"/>
        <w:spacing w:after="0" w:line="240" w:lineRule="auto"/>
        <w:rPr>
          <w:rFonts w:cstheme="minorHAnsi"/>
          <w:b/>
          <w:bCs/>
        </w:rPr>
      </w:pP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1C56CD" w:rsidRPr="0094069C" w:rsidRDefault="001C56CD" w:rsidP="001C56CD">
      <w:pPr>
        <w:autoSpaceDE w:val="0"/>
        <w:autoSpaceDN w:val="0"/>
        <w:adjustRightInd w:val="0"/>
        <w:spacing w:after="0" w:line="240" w:lineRule="auto"/>
        <w:rPr>
          <w:rFonts w:cs="Calibri"/>
          <w:sz w:val="20"/>
          <w:szCs w:val="20"/>
        </w:rPr>
      </w:pPr>
    </w:p>
    <w:p w:rsidR="0054696F" w:rsidRPr="002A6416" w:rsidRDefault="001C56CD" w:rsidP="001C56CD">
      <w:pPr>
        <w:pStyle w:val="Default"/>
        <w:rPr>
          <w:rStyle w:val="Style1"/>
          <w:rFonts w:eastAsiaTheme="minorEastAsia" w:cstheme="minorHAnsi"/>
        </w:rPr>
      </w:pPr>
      <w:r w:rsidRPr="002A6416">
        <w:rPr>
          <w:rStyle w:val="Style1"/>
          <w:rFonts w:eastAsiaTheme="minorEastAsia" w:cstheme="minorHAnsi"/>
        </w:rPr>
        <w:lastRenderedPageBreak/>
        <w:t xml:space="preserve">The data sample includes all facilities </w:t>
      </w:r>
      <w:r w:rsidR="00443878" w:rsidRPr="002A6416">
        <w:rPr>
          <w:rStyle w:val="Style1"/>
          <w:rFonts w:eastAsiaTheme="minorEastAsia" w:cstheme="minorHAnsi"/>
        </w:rPr>
        <w:t xml:space="preserve">currently </w:t>
      </w:r>
      <w:r w:rsidRPr="002A6416">
        <w:rPr>
          <w:rStyle w:val="Style1"/>
          <w:rFonts w:eastAsiaTheme="minorEastAsia" w:cstheme="minorHAnsi"/>
        </w:rPr>
        <w:t xml:space="preserve">participating in the American College of Radiology Dose Index Registry, which was launched in May 2011. Facilities must register to participate in the registry. A list of registered facilities is maintained. The participating facilities represent various types (such as academic, community), locations (such as metropolitan, rural), parts of the country, and sizes (based on procedure volume). The registry includes data from all major manufacturers of CT scanners, and from scanners of varying ages.  </w:t>
      </w:r>
      <w:r w:rsidR="0054696F" w:rsidRPr="002A6416">
        <w:rPr>
          <w:rStyle w:val="Style1"/>
          <w:rFonts w:eastAsiaTheme="minorEastAsia" w:cstheme="minorHAnsi"/>
        </w:rPr>
        <w:t xml:space="preserve">  </w:t>
      </w:r>
    </w:p>
    <w:p w:rsidR="0054696F" w:rsidRPr="002A6416" w:rsidRDefault="0054696F" w:rsidP="001C56CD">
      <w:pPr>
        <w:pStyle w:val="Default"/>
        <w:rPr>
          <w:rStyle w:val="Style1"/>
          <w:rFonts w:eastAsiaTheme="minorEastAsia" w:cstheme="minorHAnsi"/>
        </w:rPr>
      </w:pPr>
    </w:p>
    <w:p w:rsidR="001C56CD" w:rsidRPr="0054696F" w:rsidRDefault="0054696F" w:rsidP="001C56CD">
      <w:pPr>
        <w:pStyle w:val="Default"/>
        <w:rPr>
          <w:rFonts w:ascii="Calibri" w:hAnsi="Calibri" w:cs="Calibri"/>
          <w:color w:val="auto"/>
          <w:sz w:val="22"/>
          <w:szCs w:val="22"/>
        </w:rPr>
      </w:pPr>
      <w:r w:rsidRPr="002A6416">
        <w:rPr>
          <w:rStyle w:val="Style1"/>
          <w:rFonts w:eastAsiaTheme="minorEastAsia" w:cstheme="minorHAnsi"/>
        </w:rPr>
        <w:t>See here for lists of representative facilities</w:t>
      </w:r>
      <w:r w:rsidRPr="0054696F">
        <w:rPr>
          <w:rFonts w:ascii="Calibri" w:hAnsi="Calibri" w:cs="Calibri"/>
          <w:color w:val="auto"/>
          <w:sz w:val="22"/>
          <w:szCs w:val="22"/>
        </w:rPr>
        <w:t xml:space="preserve"> (</w:t>
      </w:r>
      <w:hyperlink r:id="rId14" w:history="1">
        <w:r w:rsidR="00E4300F" w:rsidRPr="007020CF">
          <w:rPr>
            <w:rStyle w:val="Hyperlink"/>
            <w:rFonts w:ascii="Calibri" w:hAnsi="Calibri" w:cs="Calibri"/>
            <w:sz w:val="22"/>
            <w:szCs w:val="22"/>
          </w:rPr>
          <w:t>http://www.acr.org/~/media/ACR/Documents/PDF/QualitySafety/NRDR/DIR/Representative%20List%20of%20DIR%20Facilities.pdf</w:t>
        </w:r>
      </w:hyperlink>
      <w:r w:rsidRPr="0054696F">
        <w:rPr>
          <w:rFonts w:ascii="Calibri" w:hAnsi="Calibri" w:cs="Calibri"/>
          <w:color w:val="auto"/>
          <w:sz w:val="22"/>
          <w:szCs w:val="22"/>
        </w:rPr>
        <w:t>)</w:t>
      </w:r>
      <w:r w:rsidR="00E4300F">
        <w:rPr>
          <w:rFonts w:ascii="Calibri" w:hAnsi="Calibri" w:cs="Calibri"/>
          <w:color w:val="auto"/>
          <w:sz w:val="22"/>
          <w:szCs w:val="22"/>
        </w:rPr>
        <w:t xml:space="preserve"> </w:t>
      </w:r>
      <w:r w:rsidRPr="002A6416">
        <w:rPr>
          <w:rStyle w:val="Style1"/>
          <w:rFonts w:eastAsiaTheme="minorEastAsia" w:cstheme="minorHAnsi"/>
        </w:rPr>
        <w:t>and here for scanners</w:t>
      </w:r>
      <w:r w:rsidRPr="0054696F">
        <w:rPr>
          <w:rFonts w:ascii="Calibri" w:hAnsi="Calibri" w:cs="Calibri"/>
          <w:color w:val="auto"/>
          <w:sz w:val="22"/>
          <w:szCs w:val="22"/>
        </w:rPr>
        <w:t xml:space="preserve"> (</w:t>
      </w:r>
      <w:hyperlink r:id="rId15" w:history="1">
        <w:r w:rsidR="00E4300F" w:rsidRPr="007020CF">
          <w:rPr>
            <w:rStyle w:val="Hyperlink"/>
            <w:rFonts w:ascii="Calibri" w:hAnsi="Calibri" w:cs="Calibri"/>
            <w:sz w:val="22"/>
            <w:szCs w:val="22"/>
          </w:rPr>
          <w:t>http://www.acr.org/~/media/ACR/Documents/PDF/QualitySafety/NRDR/DIR/scanners.pdf</w:t>
        </w:r>
      </w:hyperlink>
      <w:r w:rsidRPr="0054696F">
        <w:rPr>
          <w:rFonts w:ascii="Calibri" w:hAnsi="Calibri" w:cs="Calibri"/>
          <w:color w:val="auto"/>
          <w:sz w:val="22"/>
          <w:szCs w:val="22"/>
        </w:rPr>
        <w:t>).</w:t>
      </w:r>
      <w:r w:rsidR="00E4300F">
        <w:rPr>
          <w:rFonts w:ascii="Calibri" w:hAnsi="Calibri" w:cs="Calibri"/>
          <w:color w:val="auto"/>
          <w:sz w:val="22"/>
          <w:szCs w:val="22"/>
        </w:rPr>
        <w:t xml:space="preserve"> </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rsidR="00593AAB" w:rsidRPr="002A6416" w:rsidRDefault="00E4300F" w:rsidP="002A6416">
      <w:pPr>
        <w:pStyle w:val="Default"/>
        <w:rPr>
          <w:rStyle w:val="Style1"/>
          <w:rFonts w:eastAsiaTheme="minorEastAsia" w:cstheme="minorHAnsi"/>
        </w:rPr>
      </w:pPr>
      <w:r w:rsidRPr="002A6416">
        <w:rPr>
          <w:rStyle w:val="Style1"/>
          <w:rFonts w:eastAsiaTheme="minorEastAsia" w:cstheme="minorHAnsi"/>
        </w:rPr>
        <w:t xml:space="preserve">Data from </w:t>
      </w:r>
      <w:r w:rsidR="00593AAB" w:rsidRPr="002A6416">
        <w:rPr>
          <w:rStyle w:val="Style1"/>
          <w:rFonts w:eastAsiaTheme="minorEastAsia" w:cstheme="minorHAnsi"/>
        </w:rPr>
        <w:t>May 2011 – December 2013</w:t>
      </w:r>
      <w:r w:rsidRPr="002A6416">
        <w:rPr>
          <w:rStyle w:val="Style1"/>
          <w:rFonts w:eastAsiaTheme="minorEastAsia" w:cstheme="minorHAnsi"/>
        </w:rPr>
        <w:t xml:space="preserve"> are used to calculate for participation statistics and</w:t>
      </w:r>
      <w:r w:rsidR="00593AAB" w:rsidRPr="002A6416">
        <w:rPr>
          <w:rStyle w:val="Style1"/>
          <w:rFonts w:eastAsiaTheme="minorEastAsia" w:cstheme="minorHAnsi"/>
        </w:rPr>
        <w:t xml:space="preserve"> for testing main attestation measure.</w:t>
      </w:r>
    </w:p>
    <w:p w:rsidR="00AA32A8" w:rsidRPr="002A6416" w:rsidRDefault="00E4300F" w:rsidP="002A6416">
      <w:pPr>
        <w:pStyle w:val="Default"/>
        <w:rPr>
          <w:rStyle w:val="Style1"/>
          <w:rFonts w:eastAsiaTheme="minorEastAsia" w:cstheme="minorHAnsi"/>
        </w:rPr>
      </w:pPr>
      <w:r w:rsidRPr="002A6416">
        <w:rPr>
          <w:rStyle w:val="Style1"/>
          <w:rFonts w:eastAsiaTheme="minorEastAsia" w:cstheme="minorHAnsi"/>
        </w:rPr>
        <w:t xml:space="preserve">Data from </w:t>
      </w:r>
      <w:r w:rsidR="00593AAB" w:rsidRPr="002A6416">
        <w:rPr>
          <w:rStyle w:val="Style1"/>
          <w:rFonts w:eastAsiaTheme="minorEastAsia" w:cstheme="minorHAnsi"/>
        </w:rPr>
        <w:t xml:space="preserve">July 1, 2011-June 30, 2013 </w:t>
      </w:r>
      <w:r w:rsidRPr="002A6416">
        <w:rPr>
          <w:rStyle w:val="Style1"/>
          <w:rFonts w:eastAsiaTheme="minorEastAsia" w:cstheme="minorHAnsi"/>
        </w:rPr>
        <w:t>are used for calculating</w:t>
      </w:r>
      <w:r w:rsidR="004603D5" w:rsidRPr="002A6416">
        <w:rPr>
          <w:rStyle w:val="Style1"/>
          <w:rFonts w:eastAsiaTheme="minorEastAsia" w:cstheme="minorHAnsi"/>
        </w:rPr>
        <w:t xml:space="preserve"> trends in dose indices; these trends</w:t>
      </w:r>
      <w:r w:rsidRPr="002A6416">
        <w:rPr>
          <w:rStyle w:val="Style1"/>
          <w:rFonts w:eastAsiaTheme="minorEastAsia" w:cstheme="minorHAnsi"/>
        </w:rPr>
        <w:t xml:space="preserve"> provide</w:t>
      </w:r>
      <w:r w:rsidR="00593AAB" w:rsidRPr="002A6416">
        <w:rPr>
          <w:rStyle w:val="Style1"/>
          <w:rFonts w:eastAsiaTheme="minorEastAsia" w:cstheme="minorHAnsi"/>
        </w:rPr>
        <w:t xml:space="preserve"> supplemental information on </w:t>
      </w:r>
      <w:r w:rsidR="00CE19EE" w:rsidRPr="002A6416">
        <w:rPr>
          <w:rStyle w:val="Style1"/>
          <w:rFonts w:eastAsiaTheme="minorEastAsia" w:cstheme="minorHAnsi"/>
        </w:rPr>
        <w:t xml:space="preserve">the </w:t>
      </w:r>
      <w:r w:rsidR="00593AAB" w:rsidRPr="002A6416">
        <w:rPr>
          <w:rStyle w:val="Style1"/>
          <w:rFonts w:eastAsiaTheme="minorEastAsia" w:cstheme="minorHAnsi"/>
        </w:rPr>
        <w:t>attestation measure.</w:t>
      </w:r>
    </w:p>
    <w:p w:rsidR="00593AAB" w:rsidRDefault="00593AAB" w:rsidP="00DB3627">
      <w:pPr>
        <w:autoSpaceDE w:val="0"/>
        <w:autoSpaceDN w:val="0"/>
        <w:adjustRightInd w:val="0"/>
        <w:spacing w:after="0" w:line="240" w:lineRule="auto"/>
        <w:rPr>
          <w:rFonts w:ascii="Calibri" w:hAnsi="Calibri" w:cs="Calibri"/>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Content>
                <w:r w:rsidR="00571F1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Content>
                <w:r>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A6416"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AA32A8" w:rsidRDefault="002B5016" w:rsidP="00AA32A8">
      <w:pPr>
        <w:autoSpaceDE w:val="0"/>
        <w:autoSpaceDN w:val="0"/>
        <w:adjustRightInd w:val="0"/>
        <w:spacing w:after="0" w:line="240" w:lineRule="auto"/>
        <w:rPr>
          <w:rFonts w:ascii="Calibri" w:hAnsi="Calibri" w:cs="Calibri"/>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593AAB" w:rsidRPr="002A6416" w:rsidRDefault="00AA32A8" w:rsidP="002A6416">
      <w:pPr>
        <w:pStyle w:val="Default"/>
        <w:rPr>
          <w:rStyle w:val="Style1"/>
          <w:rFonts w:eastAsiaTheme="minorEastAsia" w:cstheme="minorHAnsi"/>
        </w:rPr>
      </w:pPr>
      <w:proofErr w:type="gramStart"/>
      <w:r w:rsidRPr="002A6416">
        <w:rPr>
          <w:rStyle w:val="Style1"/>
          <w:rFonts w:eastAsiaTheme="minorEastAsia" w:cstheme="minorHAnsi"/>
        </w:rPr>
        <w:t>At the time of NQF endorsement (September 2011) there were 104 sites actively participating/submitting data</w:t>
      </w:r>
      <w:r w:rsidR="00CE19EE" w:rsidRPr="002A6416">
        <w:rPr>
          <w:rStyle w:val="Style1"/>
          <w:rFonts w:eastAsiaTheme="minorEastAsia" w:cstheme="minorHAnsi"/>
        </w:rPr>
        <w:t>.</w:t>
      </w:r>
      <w:proofErr w:type="gramEnd"/>
      <w:r w:rsidR="00CE19EE" w:rsidRPr="002A6416">
        <w:rPr>
          <w:rStyle w:val="Style1"/>
          <w:rFonts w:eastAsiaTheme="minorEastAsia" w:cstheme="minorHAnsi"/>
        </w:rPr>
        <w:t xml:space="preserve">  As of December 2013, </w:t>
      </w:r>
      <w:r w:rsidR="00416B2A" w:rsidRPr="002A6416">
        <w:rPr>
          <w:rStyle w:val="Style1"/>
          <w:rFonts w:eastAsiaTheme="minorEastAsia" w:cstheme="minorHAnsi"/>
        </w:rPr>
        <w:t>there were</w:t>
      </w:r>
      <w:r w:rsidR="00593AAB" w:rsidRPr="002A6416">
        <w:rPr>
          <w:rStyle w:val="Style1"/>
          <w:rFonts w:eastAsiaTheme="minorEastAsia" w:cstheme="minorHAnsi"/>
        </w:rPr>
        <w:t xml:space="preserve"> </w:t>
      </w:r>
      <w:r w:rsidR="00791D85" w:rsidRPr="002A6416">
        <w:rPr>
          <w:rStyle w:val="Style1"/>
          <w:rFonts w:eastAsiaTheme="minorEastAsia" w:cstheme="minorHAnsi"/>
        </w:rPr>
        <w:t>510</w:t>
      </w:r>
      <w:r w:rsidR="00593AAB" w:rsidRPr="002A6416">
        <w:rPr>
          <w:rStyle w:val="Style1"/>
          <w:rFonts w:eastAsiaTheme="minorEastAsia" w:cstheme="minorHAnsi"/>
        </w:rPr>
        <w:t xml:space="preserve"> sites </w:t>
      </w:r>
      <w:r w:rsidR="00416B2A" w:rsidRPr="002A6416">
        <w:rPr>
          <w:rStyle w:val="Style1"/>
          <w:rFonts w:eastAsiaTheme="minorEastAsia" w:cstheme="minorHAnsi"/>
        </w:rPr>
        <w:t>that had submitted data to the registry</w:t>
      </w:r>
      <w:r w:rsidR="00593AAB" w:rsidRPr="002A6416">
        <w:rPr>
          <w:rStyle w:val="Style1"/>
          <w:rFonts w:eastAsiaTheme="minorEastAsia" w:cstheme="minorHAnsi"/>
        </w:rPr>
        <w:t>.</w:t>
      </w:r>
    </w:p>
    <w:p w:rsidR="00593AAB" w:rsidRPr="002A6416" w:rsidRDefault="00593AAB" w:rsidP="002A6416">
      <w:pPr>
        <w:pStyle w:val="Default"/>
        <w:rPr>
          <w:rStyle w:val="Style1"/>
          <w:rFonts w:eastAsiaTheme="minorEastAsia" w:cstheme="minorHAnsi"/>
        </w:rPr>
      </w:pPr>
    </w:p>
    <w:p w:rsidR="00AA32A8" w:rsidRPr="002A6416" w:rsidRDefault="00593AAB" w:rsidP="002A6416">
      <w:pPr>
        <w:pStyle w:val="Default"/>
        <w:rPr>
          <w:rStyle w:val="Style1"/>
          <w:rFonts w:eastAsiaTheme="minorEastAsia"/>
        </w:rPr>
      </w:pPr>
      <w:r w:rsidRPr="002A6416">
        <w:rPr>
          <w:rStyle w:val="Style1"/>
          <w:rFonts w:eastAsiaTheme="minorEastAsia" w:cstheme="minorHAnsi"/>
        </w:rPr>
        <w:t xml:space="preserve">Number and characteristics of facilities participating and submitting data: Of the </w:t>
      </w:r>
      <w:r w:rsidR="00791D85" w:rsidRPr="002A6416">
        <w:rPr>
          <w:rStyle w:val="Style1"/>
          <w:rFonts w:eastAsiaTheme="minorEastAsia" w:cstheme="minorHAnsi"/>
        </w:rPr>
        <w:t>510</w:t>
      </w:r>
      <w:r w:rsidRPr="002A6416">
        <w:rPr>
          <w:rStyle w:val="Style1"/>
          <w:rFonts w:eastAsiaTheme="minorEastAsia" w:cstheme="minorHAnsi"/>
        </w:rPr>
        <w:t xml:space="preserve"> facilities contributing data through 30 December 2013, over 44% were community hospitals and an additional 32.5% were free standing non-academic facilities.  Academic</w:t>
      </w:r>
      <w:r w:rsidR="00333CB1" w:rsidRPr="002A6416">
        <w:rPr>
          <w:rStyle w:val="Style1"/>
          <w:rFonts w:eastAsiaTheme="minorEastAsia" w:cstheme="minorHAnsi"/>
        </w:rPr>
        <w:t xml:space="preserve"> facilities made up 13.6</w:t>
      </w:r>
      <w:r w:rsidRPr="002A6416">
        <w:rPr>
          <w:rStyle w:val="Style1"/>
          <w:rFonts w:eastAsiaTheme="minorEastAsia" w:cstheme="minorHAnsi"/>
        </w:rPr>
        <w:t xml:space="preserve">%, multispecialty clinics were </w:t>
      </w:r>
      <w:r w:rsidR="00333CB1" w:rsidRPr="002A6416">
        <w:rPr>
          <w:rStyle w:val="Style1"/>
          <w:rFonts w:eastAsiaTheme="minorEastAsia" w:cstheme="minorHAnsi"/>
        </w:rPr>
        <w:t>3.7</w:t>
      </w:r>
      <w:r w:rsidRPr="002A6416">
        <w:rPr>
          <w:rStyle w:val="Style1"/>
          <w:rFonts w:eastAsiaTheme="minorEastAsia" w:cstheme="minorHAnsi"/>
        </w:rPr>
        <w:t xml:space="preserve">% and children’s hospitals </w:t>
      </w:r>
      <w:r w:rsidR="00333CB1" w:rsidRPr="002A6416">
        <w:rPr>
          <w:rStyle w:val="Style1"/>
          <w:rFonts w:eastAsiaTheme="minorEastAsia" w:cstheme="minorHAnsi"/>
        </w:rPr>
        <w:t>3</w:t>
      </w:r>
      <w:r w:rsidRPr="002A6416">
        <w:rPr>
          <w:rStyle w:val="Style1"/>
          <w:rFonts w:eastAsiaTheme="minorEastAsia" w:cstheme="minorHAnsi"/>
        </w:rPr>
        <w:t xml:space="preserve">%.  The locations types were diverse as well – 12.5% of the facilities were rural and one-half were metropolitan, and facilities were distributed all over the country. </w:t>
      </w:r>
      <w:r w:rsidR="00333CB1" w:rsidRPr="002A6416">
        <w:rPr>
          <w:rStyle w:val="Style1"/>
          <w:rFonts w:eastAsiaTheme="minorEastAsia" w:cstheme="minorHAnsi"/>
        </w:rPr>
        <w:t xml:space="preserve"> </w:t>
      </w:r>
      <w:r w:rsidRPr="002A6416">
        <w:rPr>
          <w:rStyle w:val="Style1"/>
          <w:rFonts w:eastAsiaTheme="minorEastAsia" w:cstheme="minorHAnsi"/>
        </w:rPr>
        <w:t>For more details please refer to Table 1</w:t>
      </w:r>
      <w:r w:rsidR="00CE19EE" w:rsidRPr="002A6416">
        <w:rPr>
          <w:rStyle w:val="Style1"/>
          <w:rFonts w:eastAsiaTheme="minorEastAsia" w:cstheme="minorHAnsi"/>
        </w:rPr>
        <w:t xml:space="preserve"> in the uploaded Appendix</w:t>
      </w:r>
      <w:r w:rsidRPr="002A6416">
        <w:rPr>
          <w:rStyle w:val="Style1"/>
          <w:rFonts w:eastAsiaTheme="minorEastAsia" w:cstheme="minorHAnsi"/>
        </w:rPr>
        <w:t>.</w:t>
      </w:r>
    </w:p>
    <w:p w:rsidR="00593AAB" w:rsidRPr="00AA32A8" w:rsidRDefault="00593AAB" w:rsidP="00DB3627">
      <w:pPr>
        <w:autoSpaceDE w:val="0"/>
        <w:autoSpaceDN w:val="0"/>
        <w:adjustRightInd w:val="0"/>
        <w:spacing w:after="0" w:line="240" w:lineRule="auto"/>
        <w:rPr>
          <w:rFonts w:cstheme="minorHAnsi"/>
          <w:bCs/>
          <w:color w:val="FF0000"/>
        </w:rPr>
      </w:pPr>
      <w:bookmarkStart w:id="11" w:name="IDX"/>
      <w:bookmarkEnd w:id="11"/>
    </w:p>
    <w:p w:rsidR="007422FD" w:rsidRPr="002A6416" w:rsidRDefault="002B5016" w:rsidP="00DB3627">
      <w:pPr>
        <w:autoSpaceDE w:val="0"/>
        <w:autoSpaceDN w:val="0"/>
        <w:adjustRightInd w:val="0"/>
        <w:spacing w:after="0" w:line="240" w:lineRule="auto"/>
        <w:rPr>
          <w:rStyle w:val="Style1"/>
          <w:szCs w:val="24"/>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w:t>
      </w:r>
      <w:r w:rsidR="005A7634" w:rsidRPr="00A25024">
        <w:rPr>
          <w:rFonts w:cstheme="minorHAnsi"/>
          <w:bCs/>
          <w:i/>
        </w:rPr>
        <w:lastRenderedPageBreak/>
        <w:t>the sample</w:t>
      </w:r>
      <w:r w:rsidR="007422FD" w:rsidRPr="00A25024">
        <w:rPr>
          <w:rFonts w:cstheme="minorHAnsi"/>
          <w:bCs/>
        </w:rPr>
        <w:t xml:space="preserve">) </w:t>
      </w:r>
      <w:r w:rsidR="007422FD" w:rsidRPr="00A25024">
        <w:rPr>
          <w:rFonts w:cstheme="minorHAnsi"/>
          <w:bCs/>
        </w:rPr>
        <w:br/>
      </w:r>
      <w:r w:rsidR="00BC161C" w:rsidRPr="002A6416">
        <w:rPr>
          <w:rStyle w:val="Style1"/>
          <w:szCs w:val="24"/>
        </w:rPr>
        <w:t xml:space="preserve">As of December 2013, the </w:t>
      </w:r>
      <w:r w:rsidR="00593AAB" w:rsidRPr="002A6416">
        <w:rPr>
          <w:rStyle w:val="Style1"/>
          <w:szCs w:val="24"/>
        </w:rPr>
        <w:t xml:space="preserve">DIR </w:t>
      </w:r>
      <w:r w:rsidR="00BC161C" w:rsidRPr="002A6416">
        <w:rPr>
          <w:rStyle w:val="Style1"/>
          <w:szCs w:val="24"/>
        </w:rPr>
        <w:t>included</w:t>
      </w:r>
      <w:r w:rsidR="00593AAB" w:rsidRPr="002A6416">
        <w:rPr>
          <w:rStyle w:val="Style1"/>
          <w:szCs w:val="24"/>
        </w:rPr>
        <w:t xml:space="preserve"> data on </w:t>
      </w:r>
      <w:r w:rsidR="00BC161C" w:rsidRPr="002A6416">
        <w:rPr>
          <w:rStyle w:val="Style1"/>
          <w:szCs w:val="24"/>
        </w:rPr>
        <w:t>6.9</w:t>
      </w:r>
      <w:r w:rsidR="00593AAB" w:rsidRPr="002A6416">
        <w:rPr>
          <w:rStyle w:val="Style1"/>
          <w:szCs w:val="24"/>
        </w:rPr>
        <w:t xml:space="preserve"> million exams, covering adults and children, men and women.</w:t>
      </w:r>
      <w:r w:rsidR="00BC161C" w:rsidRPr="002A6416">
        <w:rPr>
          <w:rStyle w:val="Style1"/>
          <w:szCs w:val="24"/>
        </w:rPr>
        <w:t xml:space="preserve">  53% of exams were on female patients, and 5% were on children.  For analysis of trends, </w:t>
      </w:r>
      <w:r w:rsidR="00CE19EE" w:rsidRPr="002A6416">
        <w:rPr>
          <w:rStyle w:val="Style1"/>
          <w:szCs w:val="24"/>
        </w:rPr>
        <w:t>all exams at facilities that were in the registry between July 2011 and June 2013</w:t>
      </w:r>
      <w:r w:rsidR="00BC161C" w:rsidRPr="002A6416">
        <w:rPr>
          <w:rStyle w:val="Style1"/>
          <w:szCs w:val="24"/>
        </w:rPr>
        <w:t xml:space="preserve"> were included.  However, patient demographics do not influence any of the tests.</w:t>
      </w:r>
    </w:p>
    <w:p w:rsidR="008C530A" w:rsidRDefault="008C530A"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Pr="002A6416" w:rsidRDefault="00593AAB" w:rsidP="002A6416">
      <w:pPr>
        <w:pStyle w:val="Default"/>
        <w:rPr>
          <w:rStyle w:val="Style1"/>
          <w:rFonts w:eastAsiaTheme="minorEastAsia"/>
        </w:rPr>
      </w:pPr>
      <w:r w:rsidRPr="002A6416">
        <w:rPr>
          <w:rStyle w:val="Style1"/>
          <w:rFonts w:eastAsiaTheme="minorEastAsia"/>
        </w:rPr>
        <w:t>The trend analysis sample only includes facilities that were continuously in the registry between July 2011 and June 2013.</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501265" w:rsidRPr="008948D8" w:rsidRDefault="00501265" w:rsidP="00501265">
      <w:pPr>
        <w:pStyle w:val="Default"/>
        <w:rPr>
          <w:rFonts w:ascii="Calibri" w:hAnsi="Calibri" w:cs="Calibri"/>
          <w:bCs/>
          <w:color w:val="FF0000"/>
          <w:sz w:val="22"/>
          <w:szCs w:val="22"/>
        </w:rPr>
      </w:pPr>
    </w:p>
    <w:p w:rsidR="008C54A9" w:rsidRPr="00A25024" w:rsidRDefault="008C54A9" w:rsidP="00DB3627">
      <w:pPr>
        <w:autoSpaceDE w:val="0"/>
        <w:autoSpaceDN w:val="0"/>
        <w:adjustRightInd w:val="0"/>
        <w:spacing w:after="0" w:line="240" w:lineRule="auto"/>
        <w:rPr>
          <w:rFonts w:cstheme="minorHAnsi"/>
          <w:b/>
          <w:bCs/>
        </w:rPr>
      </w:pPr>
    </w:p>
    <w:p w:rsidR="008C530A"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Content>
          <w:r w:rsidR="00AC40BF">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AC40BF">
        <w:rPr>
          <w:rFonts w:cstheme="minorHAnsi"/>
          <w:bCs/>
        </w:rPr>
        <w:t xml:space="preserve"> </w:t>
      </w:r>
    </w:p>
    <w:p w:rsidR="001969C5" w:rsidRPr="00A25024" w:rsidRDefault="001F7A20" w:rsidP="008C54A9">
      <w:pPr>
        <w:autoSpaceDE w:val="0"/>
        <w:autoSpaceDN w:val="0"/>
        <w:adjustRightInd w:val="0"/>
        <w:spacing w:after="0" w:line="240" w:lineRule="auto"/>
        <w:rPr>
          <w:rFonts w:cstheme="minorHAnsi"/>
          <w:bCs/>
        </w:rPr>
      </w:pPr>
      <w:r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Content>
          <w:r w:rsidRPr="006574D2">
            <w:rPr>
              <w:rFonts w:ascii="MS Gothic" w:eastAsia="MS Gothic" w:cstheme="minorHAnsi" w:hint="eastAsia"/>
              <w:bCs/>
              <w:color w:val="0000FF"/>
            </w:rPr>
            <w:t>☐</w:t>
          </w:r>
        </w:sdtContent>
      </w:sdt>
      <w:r w:rsidRPr="00A25024">
        <w:rPr>
          <w:rFonts w:eastAsia="MS Mincho" w:cstheme="minorHAnsi"/>
          <w:b/>
          <w:bCs/>
          <w:color w:val="0000FF"/>
        </w:rPr>
        <w:t xml:space="preserve"> </w:t>
      </w:r>
      <w:r>
        <w:rPr>
          <w:rFonts w:cstheme="minorHAnsi"/>
          <w:b/>
          <w:bCs/>
        </w:rPr>
        <w:t>P</w:t>
      </w:r>
      <w:r w:rsidRPr="00A25024">
        <w:rPr>
          <w:rFonts w:cstheme="minorHAnsi"/>
          <w:b/>
          <w:bCs/>
        </w:rPr>
        <w:t>erformance measure score</w:t>
      </w:r>
      <w:r w:rsidRPr="00A25024">
        <w:rPr>
          <w:rFonts w:cstheme="minorHAnsi"/>
          <w:bCs/>
        </w:rPr>
        <w:t xml:space="preserve"> (e.g., </w:t>
      </w:r>
      <w:r w:rsidRPr="00A25024">
        <w:rPr>
          <w:rFonts w:cstheme="minorHAnsi"/>
          <w:bCs/>
          <w:i/>
        </w:rPr>
        <w:t>signal-to-noise</w:t>
      </w:r>
      <w:r>
        <w:rPr>
          <w:rFonts w:cstheme="minorHAnsi"/>
          <w:bCs/>
          <w:i/>
        </w:rPr>
        <w:t xml:space="preserve"> analysis</w:t>
      </w:r>
      <w:proofErr w:type="gramStart"/>
      <w:r w:rsidRPr="00A25024">
        <w:rPr>
          <w:rFonts w:cstheme="minorHAnsi"/>
          <w:bCs/>
        </w:rPr>
        <w:t>)</w:t>
      </w:r>
      <w:proofErr w:type="gramEnd"/>
      <w:r w:rsidRPr="00A25024">
        <w:rPr>
          <w:rFonts w:cstheme="minorHAnsi"/>
          <w:bCs/>
        </w:rPr>
        <w:br/>
      </w:r>
      <w:r w:rsidRPr="00A25024">
        <w:rPr>
          <w:rFonts w:cstheme="minorHAnsi"/>
          <w:bCs/>
          <w:u w:val="single"/>
        </w:rPr>
        <w:br/>
      </w:r>
      <w:r>
        <w:rPr>
          <w:rFonts w:cstheme="minorHAnsi"/>
          <w:b/>
          <w:bCs/>
        </w:rPr>
        <w:t>2a2.</w:t>
      </w:r>
      <w:r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091872" w:rsidRDefault="00091872" w:rsidP="008C54A9">
      <w:pPr>
        <w:autoSpaceDE w:val="0"/>
        <w:autoSpaceDN w:val="0"/>
        <w:adjustRightInd w:val="0"/>
        <w:spacing w:after="0" w:line="240" w:lineRule="auto"/>
        <w:rPr>
          <w:rFonts w:cstheme="minorHAnsi"/>
          <w:bCs/>
        </w:rPr>
      </w:pPr>
    </w:p>
    <w:p w:rsidR="008C54A9" w:rsidRPr="002A6416" w:rsidRDefault="008C530A" w:rsidP="002A6416">
      <w:pPr>
        <w:pStyle w:val="Default"/>
        <w:rPr>
          <w:rStyle w:val="Style1"/>
          <w:rFonts w:eastAsiaTheme="minorEastAsia"/>
        </w:rPr>
      </w:pPr>
      <w:r w:rsidRPr="002A6416">
        <w:rPr>
          <w:rStyle w:val="Style1"/>
          <w:rFonts w:eastAsiaTheme="minorEastAsia"/>
        </w:rPr>
        <w:t>Since this measure is an a</w:t>
      </w:r>
      <w:r w:rsidR="00210E1C" w:rsidRPr="002A6416">
        <w:rPr>
          <w:rStyle w:val="Style1"/>
          <w:rFonts w:eastAsiaTheme="minorEastAsia"/>
        </w:rPr>
        <w:t>ttestation measure</w:t>
      </w:r>
      <w:r w:rsidRPr="002A6416">
        <w:rPr>
          <w:rStyle w:val="Style1"/>
          <w:rFonts w:eastAsiaTheme="minorEastAsia"/>
        </w:rPr>
        <w:t>,</w:t>
      </w:r>
      <w:r w:rsidR="00210E1C" w:rsidRPr="002A6416">
        <w:rPr>
          <w:rStyle w:val="Style1"/>
          <w:rFonts w:eastAsiaTheme="minorEastAsia"/>
        </w:rPr>
        <w:t xml:space="preserve"> reliability testing </w:t>
      </w:r>
      <w:r w:rsidRPr="002A6416">
        <w:rPr>
          <w:rStyle w:val="Style1"/>
          <w:rFonts w:eastAsiaTheme="minorEastAsia"/>
        </w:rPr>
        <w:t xml:space="preserve">in terms of assessing repeatability of data elements is </w:t>
      </w:r>
      <w:r w:rsidR="00210E1C" w:rsidRPr="002A6416">
        <w:rPr>
          <w:rStyle w:val="Style1"/>
          <w:rFonts w:eastAsiaTheme="minorEastAsia"/>
        </w:rPr>
        <w:t xml:space="preserve">not applicable.  </w:t>
      </w:r>
      <w:r w:rsidRPr="002A6416">
        <w:rPr>
          <w:rStyle w:val="Style1"/>
          <w:rFonts w:eastAsiaTheme="minorEastAsia"/>
        </w:rPr>
        <w:t xml:space="preserve">However, reliability of the measure score (Y/N) was analyzed based on precision of </w:t>
      </w:r>
      <w:r w:rsidR="00D87743" w:rsidRPr="002A6416">
        <w:rPr>
          <w:rStyle w:val="Style1"/>
          <w:rFonts w:eastAsiaTheme="minorEastAsia"/>
        </w:rPr>
        <w:t xml:space="preserve">registry </w:t>
      </w:r>
      <w:r w:rsidRPr="002A6416">
        <w:rPr>
          <w:rStyle w:val="Style1"/>
          <w:rFonts w:eastAsiaTheme="minorEastAsia"/>
        </w:rPr>
        <w:t xml:space="preserve">data </w:t>
      </w:r>
      <w:r w:rsidR="00D87743" w:rsidRPr="002A6416">
        <w:rPr>
          <w:rStyle w:val="Style1"/>
          <w:rFonts w:eastAsiaTheme="minorEastAsia"/>
        </w:rPr>
        <w:t xml:space="preserve">element </w:t>
      </w:r>
      <w:r w:rsidRPr="002A6416">
        <w:rPr>
          <w:rStyle w:val="Style1"/>
          <w:rFonts w:eastAsiaTheme="minorEastAsia"/>
        </w:rPr>
        <w:t xml:space="preserve">completeness for participants in the registry (ACR DIR) used for source data. </w:t>
      </w:r>
      <w:r w:rsidR="00D87743" w:rsidRPr="002A6416">
        <w:rPr>
          <w:rStyle w:val="Style1"/>
          <w:rFonts w:eastAsiaTheme="minorEastAsia"/>
        </w:rPr>
        <w:t>This is described below.</w:t>
      </w:r>
    </w:p>
    <w:p w:rsidR="002351DE" w:rsidRPr="00416B2A" w:rsidRDefault="002351DE" w:rsidP="00416B2A">
      <w:pPr>
        <w:pStyle w:val="Default"/>
        <w:rPr>
          <w:rFonts w:ascii="Calibri" w:hAnsi="Calibri" w:cs="Calibri"/>
          <w:bCs/>
          <w:color w:val="auto"/>
          <w:sz w:val="22"/>
          <w:szCs w:val="22"/>
        </w:rPr>
      </w:pPr>
    </w:p>
    <w:p w:rsidR="00CE19EE" w:rsidRPr="00A25024" w:rsidRDefault="00CE19EE" w:rsidP="008C54A9">
      <w:pPr>
        <w:autoSpaceDE w:val="0"/>
        <w:autoSpaceDN w:val="0"/>
        <w:adjustRightInd w:val="0"/>
        <w:spacing w:after="0" w:line="240" w:lineRule="auto"/>
        <w:rPr>
          <w:rFonts w:cstheme="minorHAnsi"/>
          <w:bCs/>
        </w:rPr>
      </w:pPr>
    </w:p>
    <w:p w:rsidR="002351DE" w:rsidRDefault="00092566" w:rsidP="002351DE">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2351DE" w:rsidRPr="002A6416" w:rsidRDefault="002351DE" w:rsidP="002351DE">
      <w:pPr>
        <w:pStyle w:val="Default"/>
        <w:rPr>
          <w:rStyle w:val="Style1"/>
          <w:rFonts w:eastAsiaTheme="minorEastAsia" w:cstheme="minorHAnsi"/>
        </w:rPr>
      </w:pPr>
      <w:r w:rsidRPr="002A6416">
        <w:rPr>
          <w:rStyle w:val="Style1"/>
          <w:rFonts w:eastAsiaTheme="minorEastAsia" w:cstheme="minorHAnsi"/>
        </w:rPr>
        <w:t>Mean, median, and inter-quartile range of exams submitted per facility:  On average, facilities had submitted 44,785 valid records per facility.  Half the facilities contributed 32,984 records or more; 75% of the facilities contributed 15,557 or more records; and 25% of the facilities contributed 69,011 records or more.</w:t>
      </w:r>
    </w:p>
    <w:p w:rsidR="007422FD" w:rsidRPr="002A6416" w:rsidRDefault="007422FD" w:rsidP="002A6416">
      <w:pPr>
        <w:pStyle w:val="Default"/>
        <w:rPr>
          <w:rStyle w:val="Style1"/>
          <w:rFonts w:eastAsiaTheme="minorEastAsia"/>
        </w:rPr>
      </w:pPr>
    </w:p>
    <w:p w:rsidR="00322F8B" w:rsidRPr="002A6416" w:rsidRDefault="00322F8B" w:rsidP="00322F8B">
      <w:pPr>
        <w:pStyle w:val="Default"/>
        <w:rPr>
          <w:rStyle w:val="Style1"/>
          <w:rFonts w:eastAsiaTheme="minorEastAsia" w:cstheme="minorHAnsi"/>
        </w:rPr>
      </w:pPr>
      <w:r w:rsidRPr="002A6416">
        <w:rPr>
          <w:rStyle w:val="Style1"/>
          <w:rFonts w:eastAsiaTheme="minorEastAsia" w:cstheme="minorHAnsi"/>
        </w:rPr>
        <w:t xml:space="preserve">Percent records with complete information on critical elements:  Three quarters of participating facilities submitted data where 99% of the records had valid information for study description (standardized procedure name) and </w:t>
      </w:r>
      <w:proofErr w:type="spellStart"/>
      <w:r w:rsidRPr="002A6416">
        <w:rPr>
          <w:rStyle w:val="Style1"/>
          <w:rFonts w:eastAsiaTheme="minorEastAsia" w:cstheme="minorHAnsi"/>
        </w:rPr>
        <w:t>CTDIvol</w:t>
      </w:r>
      <w:proofErr w:type="spellEnd"/>
      <w:r w:rsidRPr="002A6416">
        <w:rPr>
          <w:rStyle w:val="Style1"/>
          <w:rFonts w:eastAsiaTheme="minorEastAsia" w:cstheme="minorHAnsi"/>
        </w:rPr>
        <w:t>, which are critical for reporting on dose indices and comparisons.  On average, facilities had 96% of their records with complete information on the critical elements, and the median facility had complete data on over 99.7% of its records.</w:t>
      </w:r>
    </w:p>
    <w:p w:rsidR="00322F8B" w:rsidRPr="00416B2A" w:rsidRDefault="00322F8B" w:rsidP="00322F8B">
      <w:pPr>
        <w:pStyle w:val="Default"/>
        <w:rPr>
          <w:rFonts w:ascii="Calibri" w:hAnsi="Calibri" w:cs="Calibri"/>
          <w:bCs/>
          <w:color w:val="auto"/>
          <w:sz w:val="22"/>
          <w:szCs w:val="22"/>
        </w:rPr>
      </w:pPr>
    </w:p>
    <w:p w:rsidR="00322F8B" w:rsidRPr="002A6416" w:rsidRDefault="00322F8B" w:rsidP="00322F8B">
      <w:pPr>
        <w:pStyle w:val="Default"/>
        <w:rPr>
          <w:rStyle w:val="Style1"/>
          <w:rFonts w:eastAsiaTheme="minorEastAsia" w:cstheme="minorHAnsi"/>
        </w:rPr>
      </w:pPr>
      <w:r w:rsidRPr="002A6416">
        <w:rPr>
          <w:rStyle w:val="Style1"/>
          <w:rFonts w:eastAsiaTheme="minorEastAsia" w:cstheme="minorHAnsi"/>
        </w:rPr>
        <w:t>Percent of records where exams were mapped to a standardized procedure name for meaningful comparison:  On average, 81% of facilities’ records mapped to a valid standardized procedure name.  For the median facility, almost 92% of the records mapped to a valid standardized procedure name.  Records that are currently mapped may be associated with a standardized name in the future, and this standardized name will be applied retrospectively to all facility records.</w:t>
      </w:r>
    </w:p>
    <w:p w:rsidR="00322F8B" w:rsidRPr="002A6416" w:rsidRDefault="00322F8B" w:rsidP="00322F8B">
      <w:pPr>
        <w:pStyle w:val="Default"/>
        <w:rPr>
          <w:rStyle w:val="Style1"/>
          <w:rFonts w:eastAsiaTheme="minorEastAsia" w:cstheme="minorHAnsi"/>
        </w:rPr>
      </w:pPr>
    </w:p>
    <w:p w:rsidR="00322F8B" w:rsidRPr="00A25024" w:rsidRDefault="00322F8B" w:rsidP="008C54A9">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2351DE" w:rsidRPr="002A6416" w:rsidRDefault="002351DE" w:rsidP="002A6416">
      <w:pPr>
        <w:pStyle w:val="Default"/>
        <w:rPr>
          <w:rStyle w:val="Style1"/>
          <w:rFonts w:eastAsiaTheme="minorEastAsia"/>
        </w:rPr>
      </w:pPr>
      <w:r w:rsidRPr="002A6416">
        <w:rPr>
          <w:rStyle w:val="Style1"/>
          <w:rFonts w:eastAsiaTheme="minorEastAsia"/>
        </w:rPr>
        <w:t>The high percent of records with complete data indicate that participation in the registry is indicative that feedback reports generated by the registry are meaningful to facilities for quality improvement.</w:t>
      </w:r>
    </w:p>
    <w:p w:rsidR="002351DE" w:rsidRDefault="002351DE"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A6416"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Content>
          <w:r w:rsidR="00210E1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A6416"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Content>
          <w:r w:rsidR="00210E1C">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B1334F" w:rsidRPr="00B1334F" w:rsidRDefault="00092566" w:rsidP="00B1334F">
      <w:pPr>
        <w:rPr>
          <w:rFonts w:cstheme="minorHAnsi"/>
          <w:color w:val="00B050"/>
          <w:sz w:val="20"/>
          <w:szCs w:val="20"/>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B1334F" w:rsidRPr="00B1334F">
        <w:rPr>
          <w:rFonts w:cstheme="minorHAnsi"/>
          <w:color w:val="00B050"/>
          <w:sz w:val="20"/>
          <w:szCs w:val="20"/>
        </w:rPr>
        <w:t>.</w:t>
      </w:r>
    </w:p>
    <w:p w:rsidR="00D87743" w:rsidRPr="002A6416" w:rsidRDefault="00D87743" w:rsidP="002A6416">
      <w:pPr>
        <w:pStyle w:val="Default"/>
        <w:rPr>
          <w:rStyle w:val="Style1"/>
          <w:rFonts w:eastAsiaTheme="minorEastAsia"/>
        </w:rPr>
      </w:pPr>
      <w:r w:rsidRPr="002A6416">
        <w:rPr>
          <w:rStyle w:val="Style1"/>
          <w:rFonts w:eastAsiaTheme="minorEastAsia"/>
        </w:rPr>
        <w:t xml:space="preserve">We conducted </w:t>
      </w:r>
      <w:r w:rsidR="00A31590" w:rsidRPr="002A6416">
        <w:rPr>
          <w:rStyle w:val="Style1"/>
          <w:rFonts w:eastAsiaTheme="minorEastAsia"/>
        </w:rPr>
        <w:t>5</w:t>
      </w:r>
      <w:r w:rsidRPr="002A6416">
        <w:rPr>
          <w:rStyle w:val="Style1"/>
          <w:rFonts w:eastAsiaTheme="minorEastAsia"/>
        </w:rPr>
        <w:t xml:space="preserve"> tests of validity:</w:t>
      </w:r>
    </w:p>
    <w:p w:rsidR="00C60D70" w:rsidRPr="002A6416" w:rsidRDefault="003100D6" w:rsidP="002A6416">
      <w:pPr>
        <w:pStyle w:val="Default"/>
        <w:numPr>
          <w:ilvl w:val="0"/>
          <w:numId w:val="44"/>
        </w:numPr>
        <w:rPr>
          <w:rStyle w:val="Style1"/>
          <w:rFonts w:eastAsiaTheme="minorEastAsia"/>
        </w:rPr>
      </w:pPr>
      <w:r w:rsidRPr="002A6416">
        <w:rPr>
          <w:rStyle w:val="Style1"/>
          <w:rFonts w:eastAsiaTheme="minorEastAsia"/>
        </w:rPr>
        <w:t>Hypotheses that the measure score indicates quality; scores are different for groups known to have differences in quality assessed by another method</w:t>
      </w:r>
      <w:r w:rsidR="00C60D70" w:rsidRPr="002A6416">
        <w:rPr>
          <w:rStyle w:val="Style1"/>
          <w:rFonts w:eastAsiaTheme="minorEastAsia"/>
        </w:rPr>
        <w:t xml:space="preserve">: </w:t>
      </w:r>
    </w:p>
    <w:p w:rsidR="002A6416" w:rsidRDefault="002A6416" w:rsidP="002A6416">
      <w:pPr>
        <w:pStyle w:val="Default"/>
        <w:ind w:left="720"/>
        <w:rPr>
          <w:rStyle w:val="Style1"/>
          <w:rFonts w:eastAsiaTheme="minorEastAsia"/>
        </w:rPr>
      </w:pPr>
    </w:p>
    <w:p w:rsidR="00B1334F" w:rsidRPr="002A6416" w:rsidRDefault="00C60D70" w:rsidP="002A6416">
      <w:pPr>
        <w:pStyle w:val="Default"/>
        <w:ind w:left="720"/>
        <w:rPr>
          <w:rStyle w:val="Style1"/>
          <w:rFonts w:eastAsiaTheme="minorEastAsia"/>
        </w:rPr>
      </w:pPr>
      <w:r w:rsidRPr="002A6416">
        <w:rPr>
          <w:rStyle w:val="Style1"/>
          <w:rFonts w:eastAsiaTheme="minorEastAsia"/>
        </w:rPr>
        <w:t xml:space="preserve">We assessed </w:t>
      </w:r>
      <w:r w:rsidR="00151FF3" w:rsidRPr="002A6416">
        <w:rPr>
          <w:rStyle w:val="Style1"/>
          <w:rFonts w:eastAsiaTheme="minorEastAsia"/>
        </w:rPr>
        <w:t>performance</w:t>
      </w:r>
      <w:r w:rsidRPr="002A6416">
        <w:rPr>
          <w:rStyle w:val="Style1"/>
          <w:rFonts w:eastAsiaTheme="minorEastAsia"/>
        </w:rPr>
        <w:t xml:space="preserve"> </w:t>
      </w:r>
      <w:r w:rsidR="00151FF3" w:rsidRPr="002A6416">
        <w:rPr>
          <w:rStyle w:val="Style1"/>
          <w:rFonts w:eastAsiaTheme="minorEastAsia"/>
        </w:rPr>
        <w:t xml:space="preserve">rates for measures included within the ACR DIR to see if there were trends indicating that participation results in improved </w:t>
      </w:r>
      <w:proofErr w:type="gramStart"/>
      <w:r w:rsidR="00151FF3" w:rsidRPr="002A6416">
        <w:rPr>
          <w:rStyle w:val="Style1"/>
          <w:rFonts w:eastAsiaTheme="minorEastAsia"/>
        </w:rPr>
        <w:t>quality,</w:t>
      </w:r>
      <w:proofErr w:type="gramEnd"/>
      <w:r w:rsidR="00151FF3" w:rsidRPr="002A6416">
        <w:rPr>
          <w:rStyle w:val="Style1"/>
          <w:rFonts w:eastAsiaTheme="minorEastAsia"/>
        </w:rPr>
        <w:t xml:space="preserve"> e.g. decreased dose indices. </w:t>
      </w:r>
      <w:r w:rsidR="002351DE" w:rsidRPr="002A6416">
        <w:rPr>
          <w:rStyle w:val="Style1"/>
          <w:rFonts w:eastAsiaTheme="minorEastAsia"/>
        </w:rPr>
        <w:t xml:space="preserve">  We selected three high volume examinations – head without contrast, chest without contrast, and abdomen-pelvis with contra</w:t>
      </w:r>
      <w:r w:rsidR="003402CA" w:rsidRPr="002A6416">
        <w:rPr>
          <w:rStyle w:val="Style1"/>
          <w:rFonts w:eastAsiaTheme="minorEastAsia"/>
        </w:rPr>
        <w:t>s</w:t>
      </w:r>
      <w:r w:rsidR="002351DE" w:rsidRPr="002A6416">
        <w:rPr>
          <w:rStyle w:val="Style1"/>
          <w:rFonts w:eastAsiaTheme="minorEastAsia"/>
        </w:rPr>
        <w:t>t.</w:t>
      </w:r>
      <w:r w:rsidR="003402CA" w:rsidRPr="002A6416">
        <w:rPr>
          <w:rStyle w:val="Style1"/>
          <w:rFonts w:eastAsiaTheme="minorEastAsia"/>
        </w:rPr>
        <w:t xml:space="preserve">  For facilities that were in the registry for every six month period between July 2011 and June 2013, we calculated the median dose index values (</w:t>
      </w:r>
      <w:proofErr w:type="spellStart"/>
      <w:r w:rsidR="003402CA" w:rsidRPr="002A6416">
        <w:rPr>
          <w:rStyle w:val="Style1"/>
          <w:rFonts w:eastAsiaTheme="minorEastAsia"/>
        </w:rPr>
        <w:t>CTDIvol</w:t>
      </w:r>
      <w:proofErr w:type="spellEnd"/>
      <w:r w:rsidR="003402CA" w:rsidRPr="002A6416">
        <w:rPr>
          <w:rStyle w:val="Style1"/>
          <w:rFonts w:eastAsiaTheme="minorEastAsia"/>
        </w:rPr>
        <w:t xml:space="preserve"> and DLP).  This median represents the typical dose indices for that protocol at that facility.  We calculated the mean value of the dose indices across all included facilities for each period and plotted these charts.</w:t>
      </w:r>
    </w:p>
    <w:p w:rsidR="00813DAA" w:rsidRDefault="00813DAA" w:rsidP="00C60D70">
      <w:pPr>
        <w:spacing w:after="0"/>
        <w:ind w:left="720"/>
        <w:rPr>
          <w:rFonts w:cstheme="minorHAnsi"/>
        </w:rPr>
      </w:pPr>
    </w:p>
    <w:p w:rsidR="00813DAA" w:rsidRPr="002A6416" w:rsidRDefault="00813DAA" w:rsidP="002A6416">
      <w:pPr>
        <w:pStyle w:val="Default"/>
        <w:ind w:left="720"/>
        <w:rPr>
          <w:rStyle w:val="Style1"/>
          <w:rFonts w:eastAsiaTheme="minorEastAsia"/>
        </w:rPr>
      </w:pPr>
      <w:r w:rsidRPr="002A6416">
        <w:rPr>
          <w:rStyle w:val="Style1"/>
          <w:rFonts w:eastAsiaTheme="minorEastAsia"/>
        </w:rPr>
        <w:t xml:space="preserve">We perform the trends analysis on </w:t>
      </w:r>
      <w:proofErr w:type="spellStart"/>
      <w:r w:rsidRPr="002A6416">
        <w:rPr>
          <w:rStyle w:val="Style1"/>
          <w:rFonts w:eastAsiaTheme="minorEastAsia"/>
        </w:rPr>
        <w:t>CTDIvol</w:t>
      </w:r>
      <w:proofErr w:type="spellEnd"/>
      <w:r w:rsidRPr="002A6416">
        <w:rPr>
          <w:rStyle w:val="Style1"/>
          <w:rFonts w:eastAsiaTheme="minorEastAsia"/>
        </w:rPr>
        <w:t xml:space="preserve"> and DLP and not the Size-Specific Dose Estimate (SSDE) because not all facilities send us localizer images on all exams to support estimation of SSDE.  We provide feedback on SSDEs for all facilities that provide us with data to support that </w:t>
      </w:r>
      <w:r w:rsidRPr="002A6416">
        <w:rPr>
          <w:rStyle w:val="Style1"/>
          <w:rFonts w:eastAsiaTheme="minorEastAsia"/>
        </w:rPr>
        <w:lastRenderedPageBreak/>
        <w:t xml:space="preserve">estimation, and we are encouraging facilities to move in the direction of SSDE because that is the measure most closely related to patient dose. </w:t>
      </w:r>
    </w:p>
    <w:p w:rsidR="003100D6" w:rsidRPr="003100D6" w:rsidRDefault="003100D6" w:rsidP="003100D6">
      <w:pPr>
        <w:autoSpaceDE w:val="0"/>
        <w:autoSpaceDN w:val="0"/>
        <w:adjustRightInd w:val="0"/>
        <w:spacing w:after="0" w:line="240" w:lineRule="auto"/>
        <w:ind w:left="360"/>
        <w:rPr>
          <w:rFonts w:cstheme="minorHAnsi"/>
          <w:bCs/>
        </w:rPr>
      </w:pPr>
    </w:p>
    <w:p w:rsidR="00C60D70" w:rsidRPr="002A6416" w:rsidRDefault="003100D6" w:rsidP="002A6416">
      <w:pPr>
        <w:pStyle w:val="Default"/>
        <w:numPr>
          <w:ilvl w:val="0"/>
          <w:numId w:val="44"/>
        </w:numPr>
        <w:rPr>
          <w:rStyle w:val="Style1"/>
          <w:rFonts w:eastAsiaTheme="minorEastAsia"/>
        </w:rPr>
      </w:pPr>
      <w:r w:rsidRPr="002A6416">
        <w:rPr>
          <w:rStyle w:val="Style1"/>
          <w:rFonts w:eastAsiaTheme="minorEastAsia"/>
        </w:rPr>
        <w:t>Correlation of measure scores with another valid indicator of quality for the specific topic:</w:t>
      </w:r>
      <w:r w:rsidR="00C60D70" w:rsidRPr="002A6416">
        <w:rPr>
          <w:rStyle w:val="Style1"/>
          <w:rFonts w:eastAsiaTheme="minorEastAsia"/>
        </w:rPr>
        <w:t xml:space="preserve"> </w:t>
      </w:r>
    </w:p>
    <w:p w:rsidR="003100D6" w:rsidRPr="002A6416" w:rsidRDefault="00C60D70" w:rsidP="002A6416">
      <w:pPr>
        <w:pStyle w:val="Default"/>
        <w:ind w:left="720"/>
        <w:rPr>
          <w:rStyle w:val="Style1"/>
          <w:rFonts w:eastAsiaTheme="minorEastAsia"/>
        </w:rPr>
      </w:pPr>
      <w:r w:rsidRPr="002A6416">
        <w:rPr>
          <w:rStyle w:val="Style1"/>
          <w:rFonts w:eastAsiaTheme="minorEastAsia"/>
        </w:rPr>
        <w:t xml:space="preserve">We reviewed other quality improvement activities that similarly assess quality based on dose index registry participation. </w:t>
      </w:r>
    </w:p>
    <w:p w:rsidR="003100D6" w:rsidRPr="003100D6" w:rsidRDefault="003100D6" w:rsidP="003100D6">
      <w:pPr>
        <w:spacing w:after="0" w:line="240" w:lineRule="auto"/>
        <w:ind w:left="1440"/>
        <w:rPr>
          <w:rFonts w:cstheme="minorHAnsi"/>
          <w:sz w:val="20"/>
          <w:szCs w:val="20"/>
          <w:highlight w:val="yellow"/>
        </w:rPr>
      </w:pPr>
    </w:p>
    <w:p w:rsidR="003100D6" w:rsidRPr="002A6416" w:rsidRDefault="003100D6" w:rsidP="002A6416">
      <w:pPr>
        <w:pStyle w:val="Default"/>
        <w:numPr>
          <w:ilvl w:val="0"/>
          <w:numId w:val="44"/>
        </w:numPr>
        <w:rPr>
          <w:rStyle w:val="Style1"/>
          <w:rFonts w:eastAsiaTheme="minorEastAsia"/>
        </w:rPr>
      </w:pPr>
      <w:r w:rsidRPr="002A6416">
        <w:rPr>
          <w:rStyle w:val="Style1"/>
          <w:rFonts w:eastAsiaTheme="minorEastAsia"/>
        </w:rPr>
        <w:t xml:space="preserve">Participation trends: </w:t>
      </w:r>
    </w:p>
    <w:p w:rsidR="00C60D70" w:rsidRPr="002A6416" w:rsidRDefault="00C60D70" w:rsidP="002A6416">
      <w:pPr>
        <w:pStyle w:val="Default"/>
        <w:ind w:left="720"/>
        <w:rPr>
          <w:rStyle w:val="Style1"/>
          <w:rFonts w:eastAsiaTheme="minorEastAsia"/>
        </w:rPr>
      </w:pPr>
      <w:r w:rsidRPr="002A6416">
        <w:rPr>
          <w:rStyle w:val="Style1"/>
          <w:rFonts w:eastAsiaTheme="minorEastAsia"/>
        </w:rPr>
        <w:t xml:space="preserve">We evaluated changes in participation in the ACR DIR to determine potential trends in increased uptake and usage of the registry. </w:t>
      </w:r>
      <w:r w:rsidR="003402CA" w:rsidRPr="002A6416">
        <w:rPr>
          <w:rStyle w:val="Style1"/>
          <w:rFonts w:eastAsiaTheme="minorEastAsia"/>
        </w:rPr>
        <w:t xml:space="preserve">  We plot both the number of facilities and the number of examinations in the registry over time.</w:t>
      </w:r>
    </w:p>
    <w:p w:rsidR="00682C96" w:rsidRPr="002A6416" w:rsidRDefault="00682C96" w:rsidP="002A6416">
      <w:pPr>
        <w:pStyle w:val="Default"/>
        <w:ind w:left="720"/>
        <w:rPr>
          <w:rStyle w:val="Style1"/>
          <w:rFonts w:eastAsiaTheme="minorEastAsia"/>
        </w:rPr>
      </w:pPr>
    </w:p>
    <w:p w:rsidR="005F0C55" w:rsidRPr="002A6416" w:rsidRDefault="005F0C55" w:rsidP="005F0C55">
      <w:pPr>
        <w:pStyle w:val="Default"/>
        <w:ind w:left="720"/>
        <w:rPr>
          <w:rStyle w:val="Style1"/>
          <w:rFonts w:eastAsiaTheme="minorEastAsia"/>
        </w:rPr>
      </w:pPr>
      <w:r w:rsidRPr="002A6416">
        <w:rPr>
          <w:rStyle w:val="Style1"/>
          <w:rFonts w:eastAsiaTheme="minorEastAsia"/>
        </w:rPr>
        <w:t xml:space="preserve">Participating facilities who mapped their study descriptions to standard procedure names receive feedback reports every six months comparing dose indices by exam for each facility to corresponding dose indices at similar facilities.  Separate reports are generated for exams performed on adult patients (older than 18) and exams performed on pediatric patients (age 18 or younger).  Reports contain comparisons of a facility median dose index value for an exam with corresponding values at facilities across the registry, facilities of same type (such as academic, community), in similar locations (such as metropolitan, rural), and in the same census region.  Dose indices in the report include </w:t>
      </w:r>
      <w:proofErr w:type="spellStart"/>
      <w:r w:rsidRPr="002A6416">
        <w:rPr>
          <w:rStyle w:val="Style1"/>
          <w:rFonts w:eastAsiaTheme="minorEastAsia"/>
        </w:rPr>
        <w:t>CTDIvol</w:t>
      </w:r>
      <w:proofErr w:type="spellEnd"/>
      <w:r w:rsidRPr="002A6416">
        <w:rPr>
          <w:rStyle w:val="Style1"/>
          <w:rFonts w:eastAsiaTheme="minorEastAsia"/>
        </w:rPr>
        <w:t>, DLP, and starting in September 2012, Size-Specific Dose Estimates (SSDE).  Detailed charts are provided in pdf format for exams with high volumes at a large number of facilities.  Additional information on lower volume exams are provided on a spreadsheet.  Links to sample reports are provided below.</w:t>
      </w:r>
    </w:p>
    <w:p w:rsidR="005F0C55" w:rsidRPr="002A6416" w:rsidRDefault="005F0C55" w:rsidP="005F0C55">
      <w:pPr>
        <w:pStyle w:val="Default"/>
        <w:ind w:left="720"/>
        <w:rPr>
          <w:rStyle w:val="Style1"/>
          <w:rFonts w:eastAsiaTheme="minorEastAsia"/>
        </w:rPr>
      </w:pPr>
    </w:p>
    <w:p w:rsidR="005F0C55" w:rsidRPr="002A6416" w:rsidRDefault="005F0C55" w:rsidP="005F0C55">
      <w:pPr>
        <w:pStyle w:val="Default"/>
        <w:ind w:left="720"/>
        <w:rPr>
          <w:rStyle w:val="Style1"/>
          <w:rFonts w:eastAsiaTheme="minorEastAsia"/>
        </w:rPr>
      </w:pPr>
      <w:r w:rsidRPr="002A6416">
        <w:rPr>
          <w:rStyle w:val="Style1"/>
          <w:rFonts w:eastAsiaTheme="minorEastAsia"/>
        </w:rPr>
        <w:t>Also facilities have access to their own data at all times and can view how their data compare to registry averages.</w:t>
      </w:r>
    </w:p>
    <w:p w:rsidR="005F0C55" w:rsidRPr="00C60D70" w:rsidRDefault="005F0C55" w:rsidP="00682C96">
      <w:pPr>
        <w:spacing w:after="0" w:line="240" w:lineRule="auto"/>
        <w:ind w:left="720"/>
        <w:rPr>
          <w:rFonts w:cstheme="minorHAnsi"/>
        </w:rPr>
      </w:pPr>
    </w:p>
    <w:p w:rsidR="003100D6" w:rsidRPr="002A6416" w:rsidRDefault="003100D6" w:rsidP="002A6416">
      <w:pPr>
        <w:pStyle w:val="Default"/>
        <w:numPr>
          <w:ilvl w:val="0"/>
          <w:numId w:val="44"/>
        </w:numPr>
        <w:rPr>
          <w:rStyle w:val="Style1"/>
          <w:rFonts w:eastAsiaTheme="minorEastAsia"/>
        </w:rPr>
      </w:pPr>
      <w:r w:rsidRPr="002A6416">
        <w:rPr>
          <w:rStyle w:val="Style1"/>
          <w:rFonts w:eastAsiaTheme="minorEastAsia"/>
        </w:rPr>
        <w:t>Face validity:</w:t>
      </w:r>
    </w:p>
    <w:p w:rsidR="00151FF3" w:rsidRPr="002A6416" w:rsidRDefault="00C60D70" w:rsidP="002A6416">
      <w:pPr>
        <w:pStyle w:val="Default"/>
        <w:ind w:left="720"/>
        <w:rPr>
          <w:rStyle w:val="Style1"/>
          <w:rFonts w:eastAsiaTheme="minorEastAsia"/>
        </w:rPr>
      </w:pPr>
      <w:r w:rsidRPr="002A6416">
        <w:rPr>
          <w:rStyle w:val="Style1"/>
          <w:rFonts w:eastAsiaTheme="minorEastAsia"/>
        </w:rPr>
        <w:t xml:space="preserve">We reviewed publications, quality improvement programs and other activities that provide evidence that participation in registries does improve performance, or that identify measurement of dose indices such as </w:t>
      </w:r>
      <w:proofErr w:type="spellStart"/>
      <w:r w:rsidR="003100D6" w:rsidRPr="002A6416">
        <w:rPr>
          <w:rStyle w:val="Style1"/>
          <w:rFonts w:eastAsiaTheme="minorEastAsia"/>
        </w:rPr>
        <w:t>CTDIvol</w:t>
      </w:r>
      <w:proofErr w:type="spellEnd"/>
      <w:r w:rsidRPr="002A6416">
        <w:rPr>
          <w:rStyle w:val="Style1"/>
          <w:rFonts w:eastAsiaTheme="minorEastAsia"/>
        </w:rPr>
        <w:t xml:space="preserve">, </w:t>
      </w:r>
      <w:r w:rsidR="003100D6" w:rsidRPr="002A6416">
        <w:rPr>
          <w:rStyle w:val="Style1"/>
          <w:rFonts w:eastAsiaTheme="minorEastAsia"/>
        </w:rPr>
        <w:t>DLP</w:t>
      </w:r>
      <w:r w:rsidRPr="002A6416">
        <w:rPr>
          <w:rStyle w:val="Style1"/>
          <w:rFonts w:eastAsiaTheme="minorEastAsia"/>
        </w:rPr>
        <w:t xml:space="preserve">, and </w:t>
      </w:r>
      <w:r w:rsidR="003100D6" w:rsidRPr="002A6416">
        <w:rPr>
          <w:rStyle w:val="Style1"/>
          <w:rFonts w:eastAsiaTheme="minorEastAsia"/>
        </w:rPr>
        <w:t xml:space="preserve">SSDE </w:t>
      </w:r>
      <w:r w:rsidRPr="002A6416">
        <w:rPr>
          <w:rStyle w:val="Style1"/>
          <w:rFonts w:eastAsiaTheme="minorEastAsia"/>
        </w:rPr>
        <w:t>is a valid approach to improving quality</w:t>
      </w:r>
      <w:r w:rsidR="003100D6" w:rsidRPr="002A6416">
        <w:rPr>
          <w:rStyle w:val="Style1"/>
          <w:rFonts w:eastAsiaTheme="minorEastAsia"/>
        </w:rPr>
        <w:t xml:space="preserve">. </w:t>
      </w:r>
    </w:p>
    <w:p w:rsidR="00682C96" w:rsidRDefault="00682C96" w:rsidP="00682C96">
      <w:pPr>
        <w:pStyle w:val="ListParagraph"/>
        <w:spacing w:after="0" w:line="240" w:lineRule="auto"/>
        <w:rPr>
          <w:rFonts w:cstheme="minorHAnsi"/>
        </w:rPr>
      </w:pPr>
    </w:p>
    <w:p w:rsidR="00151FF3" w:rsidRPr="002A6416" w:rsidRDefault="00A31590" w:rsidP="002A6416">
      <w:pPr>
        <w:pStyle w:val="Default"/>
        <w:numPr>
          <w:ilvl w:val="0"/>
          <w:numId w:val="44"/>
        </w:numPr>
        <w:rPr>
          <w:rStyle w:val="Style1"/>
          <w:rFonts w:eastAsiaTheme="minorEastAsia"/>
        </w:rPr>
      </w:pPr>
      <w:r w:rsidRPr="002A6416">
        <w:rPr>
          <w:rStyle w:val="Style1"/>
          <w:rFonts w:eastAsiaTheme="minorEastAsia"/>
        </w:rPr>
        <w:t xml:space="preserve">Case studies: </w:t>
      </w:r>
    </w:p>
    <w:p w:rsidR="003100D6" w:rsidRPr="002A6416" w:rsidRDefault="00A31590" w:rsidP="002A6416">
      <w:pPr>
        <w:pStyle w:val="Default"/>
        <w:ind w:left="720"/>
        <w:rPr>
          <w:rStyle w:val="Style1"/>
          <w:rFonts w:eastAsiaTheme="minorEastAsia"/>
        </w:rPr>
      </w:pPr>
      <w:r w:rsidRPr="002A6416">
        <w:rPr>
          <w:rStyle w:val="Style1"/>
          <w:rFonts w:eastAsiaTheme="minorEastAsia"/>
        </w:rPr>
        <w:t>We gathered case studies from participating facilities of how registry data were used for quality improvement.</w:t>
      </w:r>
    </w:p>
    <w:p w:rsidR="00D87743" w:rsidRDefault="00D87743" w:rsidP="00DB3627">
      <w:pPr>
        <w:autoSpaceDE w:val="0"/>
        <w:autoSpaceDN w:val="0"/>
        <w:adjustRightInd w:val="0"/>
        <w:spacing w:after="0" w:line="240" w:lineRule="auto"/>
        <w:rPr>
          <w:rFonts w:cstheme="minorHAnsi"/>
          <w:bCs/>
          <w:highlight w:val="yellow"/>
        </w:rPr>
      </w:pPr>
    </w:p>
    <w:p w:rsidR="00833325" w:rsidRPr="00A25024" w:rsidRDefault="00833325" w:rsidP="00DB3627">
      <w:pPr>
        <w:autoSpaceDE w:val="0"/>
        <w:autoSpaceDN w:val="0"/>
        <w:adjustRightInd w:val="0"/>
        <w:spacing w:after="0" w:line="240" w:lineRule="auto"/>
        <w:rPr>
          <w:rFonts w:cstheme="minorHAnsi"/>
          <w:bCs/>
        </w:rPr>
      </w:pPr>
    </w:p>
    <w:p w:rsidR="00151FF3" w:rsidRPr="002A6416" w:rsidRDefault="00092566" w:rsidP="00092566">
      <w:pPr>
        <w:autoSpaceDE w:val="0"/>
        <w:autoSpaceDN w:val="0"/>
        <w:adjustRightInd w:val="0"/>
        <w:spacing w:after="0" w:line="240" w:lineRule="auto"/>
        <w:rPr>
          <w:rStyle w:val="Style1"/>
          <w:rFonts w:cs="Trebuchet MS"/>
          <w:szCs w:val="24"/>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151FF3" w:rsidRPr="00151FF3">
        <w:rPr>
          <w:rFonts w:cstheme="minorHAnsi"/>
          <w:bCs/>
        </w:rPr>
        <w:t xml:space="preserve">A. </w:t>
      </w:r>
      <w:r w:rsidR="00151FF3" w:rsidRPr="002A6416">
        <w:rPr>
          <w:rStyle w:val="Style1"/>
          <w:rFonts w:cs="Trebuchet MS"/>
          <w:szCs w:val="24"/>
        </w:rPr>
        <w:t>Hypothes</w:t>
      </w:r>
      <w:r w:rsidR="002351DE" w:rsidRPr="002A6416">
        <w:rPr>
          <w:rStyle w:val="Style1"/>
          <w:rFonts w:cs="Trebuchet MS"/>
          <w:szCs w:val="24"/>
        </w:rPr>
        <w:t>i</w:t>
      </w:r>
      <w:r w:rsidR="00151FF3" w:rsidRPr="002A6416">
        <w:rPr>
          <w:rStyle w:val="Style1"/>
          <w:rFonts w:cs="Trebuchet MS"/>
          <w:szCs w:val="24"/>
        </w:rPr>
        <w:t>s that measure score indicates quality:</w:t>
      </w:r>
    </w:p>
    <w:p w:rsidR="00FC7542" w:rsidRPr="002A6416" w:rsidRDefault="003402CA" w:rsidP="002A6416">
      <w:pPr>
        <w:pStyle w:val="Default"/>
        <w:rPr>
          <w:rStyle w:val="Style1"/>
          <w:rFonts w:eastAsiaTheme="minorEastAsia"/>
        </w:rPr>
      </w:pPr>
      <w:r w:rsidRPr="002A6416">
        <w:rPr>
          <w:rStyle w:val="Style1"/>
          <w:rFonts w:eastAsiaTheme="minorEastAsia"/>
        </w:rPr>
        <w:t xml:space="preserve">The trend charts from the analysis are included in the Appendix as Figure </w:t>
      </w:r>
      <w:r w:rsidR="005F0C55" w:rsidRPr="002A6416">
        <w:rPr>
          <w:rStyle w:val="Style1"/>
          <w:rFonts w:eastAsiaTheme="minorEastAsia"/>
        </w:rPr>
        <w:t>1</w:t>
      </w:r>
      <w:r w:rsidRPr="002A6416">
        <w:rPr>
          <w:rStyle w:val="Style1"/>
          <w:rFonts w:eastAsiaTheme="minorEastAsia"/>
        </w:rPr>
        <w:t xml:space="preserve">.  </w:t>
      </w:r>
      <w:r w:rsidR="00813DAA" w:rsidRPr="002A6416">
        <w:rPr>
          <w:rStyle w:val="Style1"/>
          <w:rFonts w:eastAsiaTheme="minorEastAsia"/>
        </w:rPr>
        <w:t xml:space="preserve">For the four six-month periods between July 2011 and June 2013, </w:t>
      </w:r>
      <w:r w:rsidRPr="002A6416">
        <w:rPr>
          <w:rStyle w:val="Style1"/>
          <w:rFonts w:eastAsiaTheme="minorEastAsia"/>
        </w:rPr>
        <w:t>1</w:t>
      </w:r>
      <w:r w:rsidR="005B5768" w:rsidRPr="002A6416">
        <w:rPr>
          <w:rStyle w:val="Style1"/>
          <w:rFonts w:eastAsiaTheme="minorEastAsia"/>
        </w:rPr>
        <w:t>05</w:t>
      </w:r>
      <w:r w:rsidRPr="002A6416">
        <w:rPr>
          <w:rStyle w:val="Style1"/>
          <w:rFonts w:eastAsiaTheme="minorEastAsia"/>
        </w:rPr>
        <w:t xml:space="preserve"> facilities had data in all periods for head exams 10</w:t>
      </w:r>
      <w:r w:rsidR="005B5768" w:rsidRPr="002A6416">
        <w:rPr>
          <w:rStyle w:val="Style1"/>
          <w:rFonts w:eastAsiaTheme="minorEastAsia"/>
        </w:rPr>
        <w:t>3</w:t>
      </w:r>
      <w:r w:rsidRPr="002A6416">
        <w:rPr>
          <w:rStyle w:val="Style1"/>
          <w:rFonts w:eastAsiaTheme="minorEastAsia"/>
        </w:rPr>
        <w:t xml:space="preserve"> had data for </w:t>
      </w:r>
      <w:r w:rsidR="00813DAA" w:rsidRPr="002A6416">
        <w:rPr>
          <w:rStyle w:val="Style1"/>
          <w:rFonts w:eastAsiaTheme="minorEastAsia"/>
        </w:rPr>
        <w:t>chest exams, and 1</w:t>
      </w:r>
      <w:r w:rsidR="005B5768" w:rsidRPr="002A6416">
        <w:rPr>
          <w:rStyle w:val="Style1"/>
          <w:rFonts w:eastAsiaTheme="minorEastAsia"/>
        </w:rPr>
        <w:t>07</w:t>
      </w:r>
      <w:r w:rsidR="00813DAA" w:rsidRPr="002A6416">
        <w:rPr>
          <w:rStyle w:val="Style1"/>
          <w:rFonts w:eastAsiaTheme="minorEastAsia"/>
        </w:rPr>
        <w:t xml:space="preserve"> had data for abdomen pelvis exams.</w:t>
      </w:r>
    </w:p>
    <w:p w:rsidR="00893E1D" w:rsidRPr="002A6416" w:rsidRDefault="00893E1D" w:rsidP="002A6416">
      <w:pPr>
        <w:pStyle w:val="Default"/>
        <w:rPr>
          <w:rStyle w:val="Style1"/>
          <w:rFonts w:eastAsiaTheme="minorEastAsia"/>
        </w:rPr>
      </w:pPr>
    </w:p>
    <w:p w:rsidR="00813DAA" w:rsidRPr="002A6416" w:rsidRDefault="00893E1D" w:rsidP="002A6416">
      <w:pPr>
        <w:pStyle w:val="Default"/>
        <w:rPr>
          <w:rStyle w:val="Style1"/>
          <w:rFonts w:eastAsiaTheme="minorEastAsia"/>
        </w:rPr>
      </w:pPr>
      <w:r w:rsidRPr="002A6416">
        <w:rPr>
          <w:rStyle w:val="Style1"/>
          <w:rFonts w:eastAsiaTheme="minorEastAsia"/>
        </w:rPr>
        <w:t xml:space="preserve">For head exams, the average </w:t>
      </w:r>
      <w:proofErr w:type="spellStart"/>
      <w:r w:rsidRPr="002A6416">
        <w:rPr>
          <w:rStyle w:val="Style1"/>
          <w:rFonts w:eastAsiaTheme="minorEastAsia"/>
        </w:rPr>
        <w:t>CTDIvol</w:t>
      </w:r>
      <w:proofErr w:type="spellEnd"/>
      <w:r w:rsidRPr="002A6416">
        <w:rPr>
          <w:rStyle w:val="Style1"/>
          <w:rFonts w:eastAsiaTheme="minorEastAsia"/>
        </w:rPr>
        <w:t xml:space="preserve"> across participating facilities decreased by </w:t>
      </w:r>
      <w:r w:rsidR="005B5768" w:rsidRPr="002A6416">
        <w:rPr>
          <w:rStyle w:val="Style1"/>
          <w:rFonts w:eastAsiaTheme="minorEastAsia"/>
        </w:rPr>
        <w:t>7.8</w:t>
      </w:r>
      <w:r w:rsidRPr="002A6416">
        <w:rPr>
          <w:rStyle w:val="Style1"/>
          <w:rFonts w:eastAsiaTheme="minorEastAsia"/>
        </w:rPr>
        <w:t>% and the DLP by 6</w:t>
      </w:r>
      <w:r w:rsidR="005B5768" w:rsidRPr="002A6416">
        <w:rPr>
          <w:rStyle w:val="Style1"/>
          <w:rFonts w:eastAsiaTheme="minorEastAsia"/>
        </w:rPr>
        <w:t>.4</w:t>
      </w:r>
      <w:r w:rsidRPr="002A6416">
        <w:rPr>
          <w:rStyle w:val="Style1"/>
          <w:rFonts w:eastAsiaTheme="minorEastAsia"/>
        </w:rPr>
        <w:t>%</w:t>
      </w:r>
      <w:r w:rsidR="00C07CE3" w:rsidRPr="002A6416">
        <w:rPr>
          <w:rStyle w:val="Style1"/>
          <w:rFonts w:eastAsiaTheme="minorEastAsia"/>
        </w:rPr>
        <w:t xml:space="preserve"> during the two year period</w:t>
      </w:r>
      <w:r w:rsidRPr="002A6416">
        <w:rPr>
          <w:rStyle w:val="Style1"/>
          <w:rFonts w:eastAsiaTheme="minorEastAsia"/>
        </w:rPr>
        <w:t>.</w:t>
      </w:r>
      <w:r w:rsidR="00C07CE3" w:rsidRPr="002A6416">
        <w:rPr>
          <w:rStyle w:val="Style1"/>
          <w:rFonts w:eastAsiaTheme="minorEastAsia"/>
        </w:rPr>
        <w:t xml:space="preserve"> </w:t>
      </w:r>
      <w:r w:rsidRPr="002A6416">
        <w:rPr>
          <w:rStyle w:val="Style1"/>
          <w:rFonts w:eastAsiaTheme="minorEastAsia"/>
        </w:rPr>
        <w:t xml:space="preserve">For abdomen pelvis exams, the average </w:t>
      </w:r>
      <w:proofErr w:type="spellStart"/>
      <w:r w:rsidRPr="002A6416">
        <w:rPr>
          <w:rStyle w:val="Style1"/>
          <w:rFonts w:eastAsiaTheme="minorEastAsia"/>
        </w:rPr>
        <w:t>CTDIvol</w:t>
      </w:r>
      <w:proofErr w:type="spellEnd"/>
      <w:r w:rsidRPr="002A6416">
        <w:rPr>
          <w:rStyle w:val="Style1"/>
          <w:rFonts w:eastAsiaTheme="minorEastAsia"/>
        </w:rPr>
        <w:t xml:space="preserve"> across participating facilities decreased by 17</w:t>
      </w:r>
      <w:r w:rsidR="005B5768" w:rsidRPr="002A6416">
        <w:rPr>
          <w:rStyle w:val="Style1"/>
          <w:rFonts w:eastAsiaTheme="minorEastAsia"/>
        </w:rPr>
        <w:t>.3</w:t>
      </w:r>
      <w:r w:rsidRPr="002A6416">
        <w:rPr>
          <w:rStyle w:val="Style1"/>
          <w:rFonts w:eastAsiaTheme="minorEastAsia"/>
        </w:rPr>
        <w:t>% and the DLP by 16</w:t>
      </w:r>
      <w:r w:rsidR="005B5768" w:rsidRPr="002A6416">
        <w:rPr>
          <w:rStyle w:val="Style1"/>
          <w:rFonts w:eastAsiaTheme="minorEastAsia"/>
        </w:rPr>
        <w:t>.5</w:t>
      </w:r>
      <w:r w:rsidR="00C07CE3" w:rsidRPr="002A6416">
        <w:rPr>
          <w:rStyle w:val="Style1"/>
          <w:rFonts w:eastAsiaTheme="minorEastAsia"/>
        </w:rPr>
        <w:t xml:space="preserve">% for the same period.  </w:t>
      </w:r>
      <w:r w:rsidRPr="002A6416">
        <w:rPr>
          <w:rStyle w:val="Style1"/>
          <w:rFonts w:eastAsiaTheme="minorEastAsia"/>
        </w:rPr>
        <w:t xml:space="preserve">For abdomen pelvis exams, the average </w:t>
      </w:r>
      <w:proofErr w:type="spellStart"/>
      <w:r w:rsidRPr="002A6416">
        <w:rPr>
          <w:rStyle w:val="Style1"/>
          <w:rFonts w:eastAsiaTheme="minorEastAsia"/>
        </w:rPr>
        <w:t>CTDIvol</w:t>
      </w:r>
      <w:proofErr w:type="spellEnd"/>
      <w:r w:rsidRPr="002A6416">
        <w:rPr>
          <w:rStyle w:val="Style1"/>
          <w:rFonts w:eastAsiaTheme="minorEastAsia"/>
        </w:rPr>
        <w:t xml:space="preserve"> across participating facilities decreased by 13% and the DLP by 11%</w:t>
      </w:r>
      <w:r w:rsidR="00C07CE3" w:rsidRPr="002A6416">
        <w:rPr>
          <w:rStyle w:val="Style1"/>
          <w:rFonts w:eastAsiaTheme="minorEastAsia"/>
        </w:rPr>
        <w:t xml:space="preserve"> for this period</w:t>
      </w:r>
      <w:r w:rsidRPr="002A6416">
        <w:rPr>
          <w:rStyle w:val="Style1"/>
          <w:rFonts w:eastAsiaTheme="minorEastAsia"/>
        </w:rPr>
        <w:t>.</w:t>
      </w:r>
      <w:r w:rsidR="005B5768" w:rsidRPr="002A6416">
        <w:rPr>
          <w:rStyle w:val="Style1"/>
          <w:rFonts w:eastAsiaTheme="minorEastAsia"/>
        </w:rPr>
        <w:t xml:space="preserve">  </w:t>
      </w:r>
      <w:r w:rsidR="005B5768" w:rsidRPr="002A6416">
        <w:rPr>
          <w:rStyle w:val="Style1"/>
          <w:rFonts w:eastAsiaTheme="minorEastAsia"/>
        </w:rPr>
        <w:lastRenderedPageBreak/>
        <w:t>None of these are statistically significant because there is substantial variability across facilities in their median dose indices, but these to point to movement in the right direction.</w:t>
      </w:r>
    </w:p>
    <w:p w:rsidR="00FC7542" w:rsidRDefault="00FC7542" w:rsidP="00092566">
      <w:pPr>
        <w:autoSpaceDE w:val="0"/>
        <w:autoSpaceDN w:val="0"/>
        <w:adjustRightInd w:val="0"/>
        <w:spacing w:after="0" w:line="240" w:lineRule="auto"/>
        <w:rPr>
          <w:rFonts w:cstheme="minorHAnsi"/>
          <w:bCs/>
        </w:rPr>
      </w:pPr>
    </w:p>
    <w:p w:rsidR="00C07CE3" w:rsidRPr="002A6416" w:rsidRDefault="00151FF3" w:rsidP="00C07CE3">
      <w:pPr>
        <w:autoSpaceDE w:val="0"/>
        <w:autoSpaceDN w:val="0"/>
        <w:adjustRightInd w:val="0"/>
        <w:spacing w:after="0" w:line="240" w:lineRule="auto"/>
        <w:rPr>
          <w:rStyle w:val="Style1"/>
          <w:rFonts w:cs="Trebuchet MS"/>
          <w:szCs w:val="24"/>
        </w:rPr>
      </w:pPr>
      <w:r>
        <w:rPr>
          <w:rFonts w:cstheme="minorHAnsi"/>
          <w:bCs/>
        </w:rPr>
        <w:t>C</w:t>
      </w:r>
      <w:r w:rsidRPr="002A6416">
        <w:rPr>
          <w:rStyle w:val="Style1"/>
          <w:rFonts w:cs="Trebuchet MS"/>
          <w:szCs w:val="24"/>
        </w:rPr>
        <w:t>. Participation trends</w:t>
      </w:r>
    </w:p>
    <w:p w:rsidR="00C07CE3" w:rsidRDefault="00C07CE3" w:rsidP="00C07CE3">
      <w:pPr>
        <w:autoSpaceDE w:val="0"/>
        <w:autoSpaceDN w:val="0"/>
        <w:adjustRightInd w:val="0"/>
        <w:spacing w:after="0" w:line="240" w:lineRule="auto"/>
        <w:rPr>
          <w:rFonts w:cstheme="minorHAnsi"/>
          <w:bCs/>
        </w:rPr>
      </w:pPr>
    </w:p>
    <w:p w:rsidR="00C07CE3" w:rsidRPr="002A6416" w:rsidRDefault="00C07CE3" w:rsidP="002A6416">
      <w:pPr>
        <w:pStyle w:val="Default"/>
        <w:rPr>
          <w:rStyle w:val="Style1"/>
          <w:rFonts w:eastAsiaTheme="minorEastAsia"/>
        </w:rPr>
      </w:pPr>
      <w:r w:rsidRPr="002A6416">
        <w:rPr>
          <w:rStyle w:val="Style1"/>
          <w:rFonts w:eastAsiaTheme="minorEastAsia"/>
        </w:rPr>
        <w:t xml:space="preserve">The number of participants and number of exams in the registry have grown since the launch of the registry in May 2011.  </w:t>
      </w:r>
      <w:r w:rsidR="005F0C55" w:rsidRPr="002A6416">
        <w:rPr>
          <w:rStyle w:val="Style1"/>
          <w:rFonts w:eastAsiaTheme="minorEastAsia"/>
        </w:rPr>
        <w:t>See F</w:t>
      </w:r>
      <w:r w:rsidRPr="002A6416">
        <w:rPr>
          <w:rStyle w:val="Style1"/>
          <w:rFonts w:eastAsiaTheme="minorEastAsia"/>
        </w:rPr>
        <w:t xml:space="preserve">igure </w:t>
      </w:r>
      <w:r w:rsidR="005F0C55" w:rsidRPr="002A6416">
        <w:rPr>
          <w:rStyle w:val="Style1"/>
          <w:rFonts w:eastAsiaTheme="minorEastAsia"/>
        </w:rPr>
        <w:t>2</w:t>
      </w:r>
      <w:r w:rsidRPr="002A6416">
        <w:rPr>
          <w:rStyle w:val="Style1"/>
          <w:rFonts w:eastAsiaTheme="minorEastAsia"/>
        </w:rPr>
        <w:t xml:space="preserve"> for illustration of this growth.</w:t>
      </w:r>
    </w:p>
    <w:p w:rsidR="005F0C55" w:rsidRDefault="005F0C55" w:rsidP="005F0C55">
      <w:pPr>
        <w:autoSpaceDE w:val="0"/>
        <w:autoSpaceDN w:val="0"/>
        <w:adjustRightInd w:val="0"/>
        <w:spacing w:after="0" w:line="240" w:lineRule="auto"/>
        <w:ind w:left="360"/>
        <w:rPr>
          <w:rFonts w:cstheme="minorHAnsi"/>
          <w:bCs/>
        </w:rPr>
      </w:pPr>
    </w:p>
    <w:p w:rsidR="005F0C55" w:rsidRPr="002A6416" w:rsidRDefault="005F0C55" w:rsidP="005F0C55">
      <w:pPr>
        <w:pStyle w:val="Default"/>
        <w:rPr>
          <w:rStyle w:val="Style1"/>
          <w:rFonts w:eastAsiaTheme="minorEastAsia"/>
        </w:rPr>
      </w:pPr>
      <w:r w:rsidRPr="002A6416">
        <w:rPr>
          <w:rStyle w:val="Style1"/>
          <w:rFonts w:eastAsiaTheme="minorEastAsia"/>
        </w:rPr>
        <w:t xml:space="preserve">Sample semi-annual reports provided to facilities are posted here: </w:t>
      </w:r>
    </w:p>
    <w:p w:rsidR="005F0C55" w:rsidRPr="002A6416" w:rsidRDefault="005F0C55" w:rsidP="005F0C55">
      <w:pPr>
        <w:pStyle w:val="Default"/>
        <w:rPr>
          <w:rFonts w:ascii="Calibri" w:hAnsi="Calibri" w:cs="Calibri"/>
          <w:bCs/>
          <w:color w:val="auto"/>
          <w:sz w:val="22"/>
          <w:szCs w:val="22"/>
        </w:rPr>
      </w:pPr>
      <w:r w:rsidRPr="002A6416">
        <w:rPr>
          <w:rStyle w:val="Style1"/>
          <w:rFonts w:eastAsiaTheme="minorEastAsia"/>
        </w:rPr>
        <w:t>Adult patients:</w:t>
      </w:r>
      <w:r w:rsidRPr="002351DE">
        <w:rPr>
          <w:rFonts w:ascii="Calibri" w:hAnsi="Calibri" w:cs="Calibri"/>
          <w:bCs/>
          <w:color w:val="auto"/>
          <w:sz w:val="22"/>
          <w:szCs w:val="22"/>
          <w:highlight w:val="yellow"/>
        </w:rPr>
        <w:t xml:space="preserve"> </w:t>
      </w:r>
      <w:hyperlink r:id="rId16" w:history="1">
        <w:r w:rsidRPr="002A6416">
          <w:rPr>
            <w:rStyle w:val="Hyperlink"/>
            <w:rFonts w:ascii="Calibri" w:hAnsi="Calibri" w:cs="Calibri"/>
            <w:bCs/>
            <w:sz w:val="22"/>
            <w:szCs w:val="22"/>
          </w:rPr>
          <w:t>http://www.acr.org/~/media/ACR/Documents/PDF/QualitySafety/NRDR/DIR/DIRSampleReport.pdf</w:t>
        </w:r>
      </w:hyperlink>
    </w:p>
    <w:p w:rsidR="005F0C55" w:rsidRPr="002A6416" w:rsidRDefault="005F0C55" w:rsidP="005F0C55">
      <w:pPr>
        <w:pStyle w:val="Default"/>
        <w:rPr>
          <w:rFonts w:ascii="Calibri" w:hAnsi="Calibri" w:cs="Calibri"/>
          <w:bCs/>
          <w:color w:val="auto"/>
          <w:sz w:val="22"/>
          <w:szCs w:val="22"/>
        </w:rPr>
      </w:pPr>
      <w:r w:rsidRPr="002A6416">
        <w:rPr>
          <w:rStyle w:val="Style1"/>
          <w:rFonts w:eastAsiaTheme="minorEastAsia"/>
        </w:rPr>
        <w:t>Pediatric patients:</w:t>
      </w:r>
      <w:r w:rsidRPr="002A6416">
        <w:rPr>
          <w:rFonts w:ascii="Calibri" w:hAnsi="Calibri" w:cs="Calibri"/>
          <w:bCs/>
          <w:color w:val="auto"/>
          <w:sz w:val="22"/>
          <w:szCs w:val="22"/>
        </w:rPr>
        <w:t xml:space="preserve"> </w:t>
      </w:r>
      <w:hyperlink r:id="rId17" w:history="1">
        <w:r w:rsidRPr="002A6416">
          <w:rPr>
            <w:rStyle w:val="Hyperlink"/>
            <w:rFonts w:ascii="Calibri" w:hAnsi="Calibri" w:cs="Calibri"/>
            <w:bCs/>
            <w:sz w:val="22"/>
            <w:szCs w:val="22"/>
          </w:rPr>
          <w:t>http://www.acr.org/~/media/ACR/Documents/PDF/QualitySafety/NRDR/DIR/DIRPedSampleReport.pdf</w:t>
        </w:r>
      </w:hyperlink>
      <w:r w:rsidRPr="002A6416">
        <w:rPr>
          <w:rFonts w:ascii="Calibri" w:hAnsi="Calibri" w:cs="Calibri"/>
          <w:bCs/>
          <w:color w:val="auto"/>
          <w:sz w:val="22"/>
          <w:szCs w:val="22"/>
        </w:rPr>
        <w:t xml:space="preserve"> </w:t>
      </w:r>
    </w:p>
    <w:p w:rsidR="005F0C55" w:rsidRPr="002351DE" w:rsidRDefault="005F0C55" w:rsidP="005F0C55">
      <w:pPr>
        <w:pStyle w:val="Default"/>
        <w:rPr>
          <w:rFonts w:ascii="Calibri" w:hAnsi="Calibri" w:cs="Calibri"/>
          <w:bCs/>
          <w:color w:val="auto"/>
          <w:sz w:val="22"/>
          <w:szCs w:val="22"/>
          <w:highlight w:val="yellow"/>
        </w:rPr>
      </w:pPr>
    </w:p>
    <w:p w:rsidR="005F0C55" w:rsidRPr="002A6416" w:rsidRDefault="005F0C55" w:rsidP="002A6416">
      <w:pPr>
        <w:pStyle w:val="Default"/>
        <w:rPr>
          <w:rStyle w:val="Style1"/>
          <w:rFonts w:eastAsiaTheme="minorEastAsia"/>
        </w:rPr>
      </w:pPr>
      <w:r w:rsidRPr="002A6416">
        <w:rPr>
          <w:rStyle w:val="Style1"/>
          <w:rFonts w:eastAsiaTheme="minorEastAsia"/>
        </w:rPr>
        <w:t>Facilities also receive detailed color-coded spreadsheet reports that help them identify high-priority for review and optimization, and a spreadsheet report with trends to help them determine which protocols have changes in dose indices over time.  An extract from these spreadsheet reports is included in the appendix as Figure 3.</w:t>
      </w:r>
    </w:p>
    <w:p w:rsidR="005F0C55" w:rsidRPr="002A6416" w:rsidRDefault="005F0C55" w:rsidP="002A6416">
      <w:pPr>
        <w:pStyle w:val="Default"/>
        <w:rPr>
          <w:rStyle w:val="Style1"/>
          <w:rFonts w:eastAsiaTheme="minorEastAsia"/>
        </w:rPr>
      </w:pPr>
    </w:p>
    <w:p w:rsidR="005F0C55" w:rsidRPr="002A6416" w:rsidRDefault="005F0C55" w:rsidP="002A6416">
      <w:pPr>
        <w:pStyle w:val="Default"/>
        <w:rPr>
          <w:rStyle w:val="Style1"/>
          <w:rFonts w:eastAsiaTheme="minorEastAsia"/>
        </w:rPr>
      </w:pPr>
      <w:r w:rsidRPr="002A6416">
        <w:rPr>
          <w:rStyle w:val="Style1"/>
          <w:rFonts w:eastAsiaTheme="minorEastAsia"/>
        </w:rPr>
        <w:t>Figure 4 includes examples of live reports available to facilities to examine their own data at any time between semiannual reports.</w:t>
      </w:r>
    </w:p>
    <w:p w:rsidR="005F0C55" w:rsidRDefault="005F0C55" w:rsidP="005F0C55">
      <w:pPr>
        <w:autoSpaceDE w:val="0"/>
        <w:autoSpaceDN w:val="0"/>
        <w:adjustRightInd w:val="0"/>
        <w:spacing w:after="0" w:line="240" w:lineRule="auto"/>
        <w:ind w:left="360"/>
        <w:rPr>
          <w:rFonts w:cstheme="minorHAnsi"/>
          <w:bCs/>
        </w:rPr>
      </w:pPr>
    </w:p>
    <w:p w:rsidR="00C07CE3" w:rsidRPr="00092566" w:rsidRDefault="00C07CE3" w:rsidP="00092566">
      <w:pPr>
        <w:autoSpaceDE w:val="0"/>
        <w:autoSpaceDN w:val="0"/>
        <w:adjustRightInd w:val="0"/>
        <w:spacing w:after="0" w:line="240" w:lineRule="auto"/>
        <w:rPr>
          <w:rFonts w:cstheme="minorHAnsi"/>
          <w:bCs/>
        </w:rPr>
      </w:pPr>
    </w:p>
    <w:p w:rsidR="007422FD" w:rsidRDefault="007757CE" w:rsidP="00DB3627">
      <w:pPr>
        <w:autoSpaceDE w:val="0"/>
        <w:autoSpaceDN w:val="0"/>
        <w:adjustRightInd w:val="0"/>
        <w:spacing w:after="0" w:line="240" w:lineRule="auto"/>
        <w:rPr>
          <w:rFonts w:cstheme="minorHAnsi"/>
          <w:bCs/>
        </w:rPr>
      </w:pPr>
      <w:r w:rsidRPr="00A25024">
        <w:rPr>
          <w:rFonts w:cstheme="minorHAnsi"/>
          <w:b/>
          <w:bCs/>
        </w:rPr>
        <w:t xml:space="preserve">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rsidR="00A31590" w:rsidRPr="002A6416" w:rsidRDefault="00151FF3" w:rsidP="00151FF3">
      <w:pPr>
        <w:pStyle w:val="ListParagraph"/>
        <w:numPr>
          <w:ilvl w:val="0"/>
          <w:numId w:val="31"/>
        </w:numPr>
        <w:autoSpaceDE w:val="0"/>
        <w:autoSpaceDN w:val="0"/>
        <w:adjustRightInd w:val="0"/>
        <w:spacing w:after="0" w:line="240" w:lineRule="auto"/>
        <w:ind w:left="360"/>
        <w:rPr>
          <w:rStyle w:val="Style1"/>
          <w:rFonts w:cs="Trebuchet MS"/>
          <w:szCs w:val="24"/>
        </w:rPr>
      </w:pPr>
      <w:r w:rsidRPr="002A6416">
        <w:rPr>
          <w:rStyle w:val="Style1"/>
          <w:rFonts w:cs="Trebuchet MS"/>
          <w:szCs w:val="24"/>
        </w:rPr>
        <w:t>Hypotheses that m</w:t>
      </w:r>
      <w:r w:rsidR="00A31590" w:rsidRPr="002A6416">
        <w:rPr>
          <w:rStyle w:val="Style1"/>
          <w:rFonts w:cs="Trebuchet MS"/>
          <w:szCs w:val="24"/>
        </w:rPr>
        <w:t>easure score indicates quality</w:t>
      </w:r>
      <w:r w:rsidRPr="002A6416">
        <w:rPr>
          <w:rStyle w:val="Style1"/>
          <w:rFonts w:cs="Trebuchet MS"/>
          <w:szCs w:val="24"/>
        </w:rPr>
        <w:t>:</w:t>
      </w:r>
    </w:p>
    <w:p w:rsidR="00A31590" w:rsidRPr="002A6416" w:rsidRDefault="00C07CE3" w:rsidP="002A6416">
      <w:pPr>
        <w:pStyle w:val="Default"/>
        <w:rPr>
          <w:rStyle w:val="Style1"/>
          <w:rFonts w:eastAsiaTheme="minorEastAsia"/>
        </w:rPr>
      </w:pPr>
      <w:r w:rsidRPr="002A6416">
        <w:rPr>
          <w:rStyle w:val="Style1"/>
          <w:rFonts w:eastAsiaTheme="minorEastAsia"/>
        </w:rPr>
        <w:t xml:space="preserve">The decrease in dose indices over time indicates that participation in the DIR is associated with improvements in performance quality with respect to radiation dose optimization among participating facilities.  While we cannot measure the direct quality differences between participants and non-participants, the trend suggests that the registry provides a valuable infrastructure to help facilities improve protocols. This infrastructure supports the implementation of </w:t>
      </w:r>
      <w:proofErr w:type="gramStart"/>
      <w:r w:rsidRPr="002A6416">
        <w:rPr>
          <w:rStyle w:val="Style1"/>
          <w:rFonts w:eastAsiaTheme="minorEastAsia"/>
        </w:rPr>
        <w:t>accountable</w:t>
      </w:r>
      <w:proofErr w:type="gramEnd"/>
      <w:r w:rsidRPr="002A6416">
        <w:rPr>
          <w:rStyle w:val="Style1"/>
          <w:rFonts w:eastAsiaTheme="minorEastAsia"/>
        </w:rPr>
        <w:t xml:space="preserve"> quality measures such as percent of exams with dose indic</w:t>
      </w:r>
      <w:r w:rsidR="00616D29" w:rsidRPr="002A6416">
        <w:rPr>
          <w:rStyle w:val="Style1"/>
          <w:rFonts w:eastAsiaTheme="minorEastAsia"/>
        </w:rPr>
        <w:t>es within desired target ranges. We intend to submit accountability measures for consideration by NQF in the next few months.  But even with the accountability measures, there is a need for a simple attestation measure for facilities to be able to build the infrastructure to report on more advanced measures.</w:t>
      </w:r>
    </w:p>
    <w:p w:rsidR="00151FF3" w:rsidRPr="00A31590" w:rsidRDefault="00151FF3" w:rsidP="00151FF3">
      <w:pPr>
        <w:autoSpaceDE w:val="0"/>
        <w:autoSpaceDN w:val="0"/>
        <w:adjustRightInd w:val="0"/>
        <w:spacing w:after="0" w:line="240" w:lineRule="auto"/>
        <w:ind w:firstLine="360"/>
        <w:rPr>
          <w:rFonts w:cstheme="minorHAnsi"/>
          <w:bCs/>
        </w:rPr>
      </w:pPr>
    </w:p>
    <w:p w:rsidR="00A31590" w:rsidRPr="002A6416" w:rsidRDefault="00A31590" w:rsidP="00151FF3">
      <w:pPr>
        <w:pStyle w:val="ListParagraph"/>
        <w:numPr>
          <w:ilvl w:val="0"/>
          <w:numId w:val="31"/>
        </w:numPr>
        <w:autoSpaceDE w:val="0"/>
        <w:autoSpaceDN w:val="0"/>
        <w:adjustRightInd w:val="0"/>
        <w:spacing w:after="0" w:line="240" w:lineRule="auto"/>
        <w:ind w:left="360"/>
        <w:rPr>
          <w:rStyle w:val="Style1"/>
          <w:rFonts w:cs="Trebuchet MS"/>
          <w:szCs w:val="24"/>
        </w:rPr>
      </w:pPr>
      <w:r>
        <w:rPr>
          <w:rFonts w:cstheme="minorHAnsi"/>
          <w:bCs/>
        </w:rPr>
        <w:t xml:space="preserve"> </w:t>
      </w:r>
      <w:r w:rsidRPr="002A6416">
        <w:rPr>
          <w:rStyle w:val="Style1"/>
          <w:rFonts w:cs="Trebuchet MS"/>
          <w:szCs w:val="24"/>
        </w:rPr>
        <w:t>Correlation of measure score with other similar indicator</w:t>
      </w:r>
      <w:r w:rsidR="00C7012B" w:rsidRPr="002A6416">
        <w:rPr>
          <w:rStyle w:val="Style1"/>
          <w:rFonts w:cs="Trebuchet MS"/>
          <w:szCs w:val="24"/>
        </w:rPr>
        <w:t>:</w:t>
      </w:r>
    </w:p>
    <w:p w:rsidR="002C0944" w:rsidRDefault="002C0944" w:rsidP="002C0944">
      <w:pPr>
        <w:autoSpaceDE w:val="0"/>
        <w:autoSpaceDN w:val="0"/>
        <w:adjustRightInd w:val="0"/>
        <w:spacing w:after="0" w:line="240" w:lineRule="auto"/>
        <w:ind w:left="360"/>
        <w:rPr>
          <w:rFonts w:cstheme="minorHAnsi"/>
          <w:highlight w:val="yellow"/>
        </w:rPr>
      </w:pPr>
    </w:p>
    <w:p w:rsidR="00616D29" w:rsidRPr="002A6416" w:rsidRDefault="00616D29" w:rsidP="002A6416">
      <w:pPr>
        <w:pStyle w:val="Default"/>
        <w:rPr>
          <w:rStyle w:val="Style1"/>
          <w:rFonts w:eastAsiaTheme="minorEastAsia"/>
        </w:rPr>
      </w:pPr>
      <w:r w:rsidRPr="002A6416">
        <w:rPr>
          <w:rStyle w:val="Style1"/>
          <w:rFonts w:eastAsiaTheme="minorEastAsia"/>
        </w:rPr>
        <w:t>The correlation of this measure with requirements and recommendations from other organizations points to the value of this measure.</w:t>
      </w:r>
    </w:p>
    <w:p w:rsidR="004F1C42" w:rsidRPr="002A6416" w:rsidRDefault="002C0944" w:rsidP="002A6416">
      <w:pPr>
        <w:pStyle w:val="Default"/>
        <w:numPr>
          <w:ilvl w:val="0"/>
          <w:numId w:val="45"/>
        </w:numPr>
        <w:rPr>
          <w:rStyle w:val="Style1"/>
          <w:rFonts w:eastAsiaTheme="minorEastAsia"/>
        </w:rPr>
      </w:pPr>
      <w:r w:rsidRPr="002A6416">
        <w:rPr>
          <w:rStyle w:val="Style1"/>
          <w:rFonts w:eastAsiaTheme="minorEastAsia"/>
        </w:rPr>
        <w:t xml:space="preserve">As of December 2013, the American Board of Radiology has recorded 20 </w:t>
      </w:r>
      <w:proofErr w:type="spellStart"/>
      <w:r w:rsidRPr="002A6416">
        <w:rPr>
          <w:rStyle w:val="Style1"/>
          <w:rFonts w:eastAsiaTheme="minorEastAsia"/>
        </w:rPr>
        <w:t>diplomates</w:t>
      </w:r>
      <w:proofErr w:type="spellEnd"/>
      <w:r w:rsidRPr="002A6416">
        <w:rPr>
          <w:rStyle w:val="Style1"/>
          <w:rFonts w:eastAsiaTheme="minorEastAsia"/>
        </w:rPr>
        <w:t xml:space="preserve"> that have indicated using the ACR DIR Practice Quality Improvement Project for Part IV requirements. </w:t>
      </w:r>
    </w:p>
    <w:p w:rsidR="002C0944" w:rsidRPr="002C0944" w:rsidRDefault="002C0944" w:rsidP="002C0944">
      <w:pPr>
        <w:autoSpaceDE w:val="0"/>
        <w:autoSpaceDN w:val="0"/>
        <w:adjustRightInd w:val="0"/>
        <w:spacing w:after="0" w:line="240" w:lineRule="auto"/>
        <w:rPr>
          <w:rFonts w:cstheme="minorHAnsi"/>
        </w:rPr>
      </w:pPr>
    </w:p>
    <w:p w:rsidR="004F1C42" w:rsidRPr="004F1C42" w:rsidRDefault="004F1C42" w:rsidP="004F1C42">
      <w:pPr>
        <w:pStyle w:val="ListParagraph"/>
        <w:numPr>
          <w:ilvl w:val="1"/>
          <w:numId w:val="26"/>
        </w:numPr>
        <w:tabs>
          <w:tab w:val="clear" w:pos="1440"/>
          <w:tab w:val="num" w:pos="720"/>
        </w:tabs>
        <w:autoSpaceDE w:val="0"/>
        <w:autoSpaceDN w:val="0"/>
        <w:adjustRightInd w:val="0"/>
        <w:spacing w:after="0" w:line="240" w:lineRule="auto"/>
        <w:ind w:left="720"/>
        <w:rPr>
          <w:rFonts w:cstheme="minorHAnsi"/>
        </w:rPr>
      </w:pPr>
      <w:r w:rsidRPr="002A6416">
        <w:rPr>
          <w:rStyle w:val="Style1"/>
          <w:rFonts w:cs="Trebuchet MS"/>
          <w:szCs w:val="24"/>
        </w:rPr>
        <w:t>The Joint Commission Sentinel Alert Issue 47 – Radiation risks of diagnostic imaging, August 24 2011</w:t>
      </w:r>
      <w:r>
        <w:rPr>
          <w:rFonts w:cstheme="minorHAnsi"/>
        </w:rPr>
        <w:t xml:space="preserve"> </w:t>
      </w:r>
      <w:hyperlink r:id="rId18" w:history="1">
        <w:r w:rsidRPr="004F1C42">
          <w:rPr>
            <w:rStyle w:val="Hyperlink"/>
            <w:rFonts w:cstheme="minorHAnsi"/>
          </w:rPr>
          <w:t>http://www.jointcommission.org/sea_issue_47/</w:t>
        </w:r>
      </w:hyperlink>
      <w:r w:rsidRPr="004F1C42">
        <w:rPr>
          <w:rFonts w:cstheme="minorHAnsi"/>
        </w:rPr>
        <w:t xml:space="preserve"> </w:t>
      </w:r>
    </w:p>
    <w:p w:rsidR="004F1C42" w:rsidRPr="002A6416" w:rsidRDefault="004F1C42" w:rsidP="002A6416">
      <w:pPr>
        <w:pStyle w:val="Default"/>
        <w:ind w:left="720"/>
        <w:rPr>
          <w:rStyle w:val="Style1"/>
          <w:rFonts w:eastAsiaTheme="minorEastAsia"/>
        </w:rPr>
      </w:pPr>
      <w:r w:rsidRPr="002A6416">
        <w:rPr>
          <w:rStyle w:val="Style1"/>
          <w:rFonts w:eastAsiaTheme="minorEastAsia"/>
        </w:rPr>
        <w:t>Actions suggested by The Joint Commission:</w:t>
      </w:r>
    </w:p>
    <w:p w:rsidR="004F1C42" w:rsidRPr="002A6416" w:rsidRDefault="004F1C42" w:rsidP="002A6416">
      <w:pPr>
        <w:pStyle w:val="Default"/>
        <w:ind w:left="720"/>
        <w:rPr>
          <w:rStyle w:val="Style1"/>
          <w:rFonts w:eastAsiaTheme="minorEastAsia"/>
        </w:rPr>
      </w:pPr>
      <w:r w:rsidRPr="002A6416">
        <w:rPr>
          <w:rStyle w:val="Style1"/>
          <w:rFonts w:eastAsiaTheme="minorEastAsia"/>
        </w:rPr>
        <w:lastRenderedPageBreak/>
        <w:t>Health care organizations can reduce risks due to avoidable diagnostic radiation by raising awareness among staff and patients of the increased risks associated with cumulative doses and by providing the right test and the right dose through effective processes, safe technology and a culture of safety.</w:t>
      </w:r>
    </w:p>
    <w:p w:rsidR="004F1C42" w:rsidRPr="002A6416" w:rsidRDefault="004F1C42" w:rsidP="002A6416">
      <w:pPr>
        <w:pStyle w:val="Default"/>
        <w:ind w:left="720"/>
        <w:rPr>
          <w:rStyle w:val="Style1"/>
          <w:rFonts w:eastAsiaTheme="minorEastAsia"/>
        </w:rPr>
      </w:pPr>
      <w:r w:rsidRPr="002A6416">
        <w:rPr>
          <w:rStyle w:val="Style1"/>
          <w:rFonts w:eastAsiaTheme="minorEastAsia"/>
        </w:rPr>
        <w:t>In addition, The Joint Commission [endorses the creation of a national registry to track radiation doses as the start of a process to identify optimal and reference doses].</w:t>
      </w:r>
    </w:p>
    <w:p w:rsidR="002C0944" w:rsidRDefault="002C0944" w:rsidP="004F1C42">
      <w:pPr>
        <w:autoSpaceDE w:val="0"/>
        <w:autoSpaceDN w:val="0"/>
        <w:adjustRightInd w:val="0"/>
        <w:spacing w:after="0" w:line="240" w:lineRule="auto"/>
        <w:ind w:left="720"/>
        <w:rPr>
          <w:rFonts w:cstheme="minorHAnsi"/>
        </w:rPr>
      </w:pPr>
    </w:p>
    <w:p w:rsidR="004F1C42" w:rsidRPr="002A6416" w:rsidRDefault="004F1C42" w:rsidP="002A6416">
      <w:pPr>
        <w:pStyle w:val="Default"/>
        <w:numPr>
          <w:ilvl w:val="0"/>
          <w:numId w:val="45"/>
        </w:numPr>
        <w:rPr>
          <w:rStyle w:val="Style1"/>
          <w:rFonts w:eastAsiaTheme="minorEastAsia"/>
        </w:rPr>
      </w:pPr>
      <w:r w:rsidRPr="002A6416">
        <w:rPr>
          <w:rStyle w:val="Style1"/>
          <w:rFonts w:eastAsiaTheme="minorEastAsia"/>
        </w:rPr>
        <w:t xml:space="preserve">The Joint Commission Standards: Revised Requirements for Diagnostic Imaging Services; prepublication December 30, 2013 </w:t>
      </w:r>
      <w:hyperlink r:id="rId19" w:history="1">
        <w:r w:rsidRPr="002A6416">
          <w:rPr>
            <w:rStyle w:val="Style1"/>
            <w:rFonts w:eastAsiaTheme="minorEastAsia"/>
          </w:rPr>
          <w:t>http://www.jointcommission.org/assets/1/6/PREPUB-12-20-2013-DiagImaging_AHC.pdf</w:t>
        </w:r>
      </w:hyperlink>
      <w:r w:rsidRPr="002A6416">
        <w:rPr>
          <w:rStyle w:val="Style1"/>
          <w:rFonts w:eastAsiaTheme="minorEastAsia"/>
        </w:rPr>
        <w:t xml:space="preserve"> </w:t>
      </w:r>
    </w:p>
    <w:p w:rsidR="004F1C42" w:rsidRPr="002A6416" w:rsidRDefault="004F1C42" w:rsidP="002A6416">
      <w:pPr>
        <w:pStyle w:val="Default"/>
        <w:ind w:left="720"/>
        <w:rPr>
          <w:rStyle w:val="Style1"/>
          <w:rFonts w:eastAsiaTheme="minorEastAsia"/>
        </w:rPr>
      </w:pPr>
      <w:r w:rsidRPr="002A6416">
        <w:rPr>
          <w:rStyle w:val="Style1"/>
          <w:rFonts w:eastAsiaTheme="minorEastAsia"/>
        </w:rPr>
        <w:t>Standard PI.02.01.01</w:t>
      </w:r>
    </w:p>
    <w:p w:rsidR="004F1C42" w:rsidRPr="002A6416" w:rsidRDefault="004F1C42" w:rsidP="002A6416">
      <w:pPr>
        <w:pStyle w:val="Default"/>
        <w:ind w:left="720"/>
        <w:rPr>
          <w:rStyle w:val="Style1"/>
          <w:rFonts w:eastAsiaTheme="minorEastAsia"/>
        </w:rPr>
      </w:pPr>
      <w:r w:rsidRPr="002A6416">
        <w:rPr>
          <w:rStyle w:val="Style1"/>
          <w:rFonts w:eastAsiaTheme="minorEastAsia"/>
        </w:rPr>
        <w:t>The organization compiles and analyzes data.</w:t>
      </w:r>
    </w:p>
    <w:p w:rsidR="004F1C42" w:rsidRPr="002A6416" w:rsidRDefault="004F1C42" w:rsidP="002A6416">
      <w:pPr>
        <w:pStyle w:val="Default"/>
        <w:ind w:left="720"/>
        <w:rPr>
          <w:rStyle w:val="Style1"/>
          <w:rFonts w:eastAsiaTheme="minorEastAsia"/>
        </w:rPr>
      </w:pPr>
      <w:r w:rsidRPr="002A6416">
        <w:rPr>
          <w:rStyle w:val="Style1"/>
          <w:rFonts w:eastAsiaTheme="minorEastAsia"/>
        </w:rPr>
        <w:t>Elements of Performance for PI.02.01.01</w:t>
      </w:r>
    </w:p>
    <w:p w:rsidR="004F1C42" w:rsidRPr="002A6416" w:rsidRDefault="004F1C42" w:rsidP="002A6416">
      <w:pPr>
        <w:pStyle w:val="Default"/>
        <w:ind w:left="720"/>
        <w:rPr>
          <w:rStyle w:val="Style1"/>
          <w:rFonts w:eastAsiaTheme="minorEastAsia"/>
        </w:rPr>
      </w:pPr>
      <w:proofErr w:type="gramStart"/>
      <w:r w:rsidRPr="002A6416">
        <w:rPr>
          <w:rStyle w:val="Style1"/>
          <w:rFonts w:eastAsiaTheme="minorEastAsia"/>
        </w:rPr>
        <w:t>A 6.</w:t>
      </w:r>
      <w:proofErr w:type="gramEnd"/>
      <w:r w:rsidRPr="002A6416">
        <w:rPr>
          <w:rStyle w:val="Style1"/>
          <w:rFonts w:eastAsiaTheme="minorEastAsia"/>
        </w:rPr>
        <w:t xml:space="preserve"> For organizations that provide diagnostic computed tomography (CT) services: The organization compiles and analyzes data on patient CT radiation doses and compares it with external benchmarks, when such benchmarks are available.</w:t>
      </w:r>
    </w:p>
    <w:p w:rsidR="004F1C42" w:rsidRPr="004F1C42" w:rsidRDefault="004F1C42" w:rsidP="004F1C42">
      <w:pPr>
        <w:autoSpaceDE w:val="0"/>
        <w:autoSpaceDN w:val="0"/>
        <w:adjustRightInd w:val="0"/>
        <w:spacing w:after="0" w:line="240" w:lineRule="auto"/>
        <w:ind w:left="360"/>
        <w:rPr>
          <w:rFonts w:cstheme="minorHAnsi"/>
          <w:bCs/>
        </w:rPr>
      </w:pPr>
    </w:p>
    <w:p w:rsidR="00A31590" w:rsidRPr="002A6416" w:rsidRDefault="00A31590" w:rsidP="002A6416">
      <w:pPr>
        <w:pStyle w:val="ListParagraph"/>
        <w:numPr>
          <w:ilvl w:val="0"/>
          <w:numId w:val="31"/>
        </w:numPr>
        <w:autoSpaceDE w:val="0"/>
        <w:autoSpaceDN w:val="0"/>
        <w:adjustRightInd w:val="0"/>
        <w:spacing w:after="0" w:line="240" w:lineRule="auto"/>
        <w:ind w:left="360"/>
        <w:rPr>
          <w:rStyle w:val="Style1"/>
          <w:rFonts w:cs="Trebuchet MS"/>
          <w:szCs w:val="24"/>
        </w:rPr>
      </w:pPr>
      <w:r w:rsidRPr="002A6416">
        <w:rPr>
          <w:rStyle w:val="Style1"/>
          <w:rFonts w:cs="Trebuchet MS"/>
          <w:szCs w:val="24"/>
        </w:rPr>
        <w:t>Participation trends</w:t>
      </w:r>
      <w:r w:rsidR="00C7012B" w:rsidRPr="002A6416">
        <w:rPr>
          <w:rStyle w:val="Style1"/>
          <w:rFonts w:cs="Trebuchet MS"/>
          <w:szCs w:val="24"/>
        </w:rPr>
        <w:t>:</w:t>
      </w:r>
    </w:p>
    <w:p w:rsidR="00151FF3" w:rsidRPr="002A6416" w:rsidRDefault="00616D29" w:rsidP="002A6416">
      <w:pPr>
        <w:pStyle w:val="Default"/>
        <w:ind w:left="360"/>
        <w:rPr>
          <w:rStyle w:val="Style1"/>
          <w:rFonts w:eastAsiaTheme="minorEastAsia"/>
        </w:rPr>
      </w:pPr>
      <w:r w:rsidRPr="002A6416">
        <w:rPr>
          <w:rStyle w:val="Style1"/>
          <w:rFonts w:eastAsiaTheme="minorEastAsia"/>
        </w:rPr>
        <w:t xml:space="preserve">The increasing numbers of facilities participating in this voluntary registry points to the value provided by it for quality improvement.  The number of exams and facilities increased in each six month period despite there being no reporting requirement of obvious monetary incentive for participation.  </w:t>
      </w:r>
      <w:r w:rsidR="005F0C55" w:rsidRPr="002A6416">
        <w:rPr>
          <w:rStyle w:val="Style1"/>
          <w:rFonts w:eastAsiaTheme="minorEastAsia"/>
        </w:rPr>
        <w:t>The sample reports demonstrate some of the tools received by participants that help them optimize radiation doses.</w:t>
      </w:r>
    </w:p>
    <w:p w:rsidR="00616D29" w:rsidRDefault="00616D29" w:rsidP="00151FF3">
      <w:pPr>
        <w:autoSpaceDE w:val="0"/>
        <w:autoSpaceDN w:val="0"/>
        <w:adjustRightInd w:val="0"/>
        <w:spacing w:after="0" w:line="240" w:lineRule="auto"/>
        <w:ind w:left="360"/>
        <w:rPr>
          <w:rFonts w:cstheme="minorHAnsi"/>
          <w:bCs/>
        </w:rPr>
      </w:pPr>
    </w:p>
    <w:p w:rsidR="00151FF3" w:rsidRPr="002A6416" w:rsidRDefault="00151FF3" w:rsidP="00151FF3">
      <w:pPr>
        <w:pStyle w:val="ListParagraph"/>
        <w:numPr>
          <w:ilvl w:val="0"/>
          <w:numId w:val="31"/>
        </w:numPr>
        <w:autoSpaceDE w:val="0"/>
        <w:autoSpaceDN w:val="0"/>
        <w:adjustRightInd w:val="0"/>
        <w:spacing w:after="0" w:line="240" w:lineRule="auto"/>
        <w:ind w:left="360"/>
        <w:rPr>
          <w:rStyle w:val="Style1"/>
          <w:rFonts w:cs="Trebuchet MS"/>
          <w:szCs w:val="24"/>
        </w:rPr>
      </w:pPr>
      <w:r w:rsidRPr="002A6416">
        <w:rPr>
          <w:rStyle w:val="Style1"/>
          <w:rFonts w:cs="Trebuchet MS"/>
          <w:szCs w:val="24"/>
        </w:rPr>
        <w:t>Face validity:</w:t>
      </w:r>
    </w:p>
    <w:p w:rsidR="00C7012B" w:rsidRPr="002A6416" w:rsidRDefault="00C7012B" w:rsidP="002A6416">
      <w:pPr>
        <w:pStyle w:val="Default"/>
        <w:ind w:left="360"/>
        <w:rPr>
          <w:rStyle w:val="Style1"/>
          <w:rFonts w:eastAsiaTheme="minorEastAsia"/>
        </w:rPr>
      </w:pPr>
      <w:r w:rsidRPr="002A6416">
        <w:rPr>
          <w:rStyle w:val="Style1"/>
          <w:rFonts w:eastAsiaTheme="minorEastAsia"/>
        </w:rPr>
        <w:t xml:space="preserve">Recognized quality and safety programs and organizations that identify tracking dose indices as a means for improving quality indicate that the measure score can be used to distinguish </w:t>
      </w:r>
      <w:proofErr w:type="gramStart"/>
      <w:r w:rsidRPr="002A6416">
        <w:rPr>
          <w:rStyle w:val="Style1"/>
          <w:rFonts w:eastAsiaTheme="minorEastAsia"/>
        </w:rPr>
        <w:t>good</w:t>
      </w:r>
      <w:proofErr w:type="gramEnd"/>
      <w:r w:rsidRPr="002A6416">
        <w:rPr>
          <w:rStyle w:val="Style1"/>
          <w:rFonts w:eastAsiaTheme="minorEastAsia"/>
        </w:rPr>
        <w:t xml:space="preserve"> from poor quality. Programs we identified are shown below. </w:t>
      </w:r>
    </w:p>
    <w:p w:rsidR="00C7012B" w:rsidRPr="00C7012B" w:rsidRDefault="00C7012B" w:rsidP="00151FF3">
      <w:pPr>
        <w:autoSpaceDE w:val="0"/>
        <w:autoSpaceDN w:val="0"/>
        <w:adjustRightInd w:val="0"/>
        <w:spacing w:after="0" w:line="240" w:lineRule="auto"/>
        <w:ind w:left="360"/>
        <w:rPr>
          <w:rFonts w:cstheme="minorHAnsi"/>
          <w:bCs/>
        </w:rPr>
      </w:pPr>
    </w:p>
    <w:p w:rsidR="00AC7732" w:rsidRPr="002A6416" w:rsidRDefault="00C7012B" w:rsidP="00AC7732">
      <w:pPr>
        <w:pStyle w:val="ListParagraph"/>
        <w:numPr>
          <w:ilvl w:val="1"/>
          <w:numId w:val="26"/>
        </w:numPr>
        <w:tabs>
          <w:tab w:val="clear" w:pos="1440"/>
          <w:tab w:val="num" w:pos="720"/>
        </w:tabs>
        <w:autoSpaceDE w:val="0"/>
        <w:autoSpaceDN w:val="0"/>
        <w:adjustRightInd w:val="0"/>
        <w:spacing w:after="0" w:line="240" w:lineRule="auto"/>
        <w:ind w:left="720"/>
        <w:rPr>
          <w:rStyle w:val="Style1"/>
          <w:rFonts w:cs="Trebuchet MS"/>
          <w:szCs w:val="24"/>
        </w:rPr>
      </w:pPr>
      <w:r w:rsidRPr="002A6416">
        <w:rPr>
          <w:rStyle w:val="Style1"/>
          <w:rFonts w:cs="Trebuchet MS"/>
          <w:szCs w:val="24"/>
        </w:rPr>
        <w:t>CMS Physician Quality Reporting System (PQRS) 2014 Measures Group – Optimizing Patient Exposure to Ionizing Radiation (OPEIR) includes a similar measure on reporting to a dose index registry.</w:t>
      </w:r>
      <w:r w:rsidRPr="00AC7732">
        <w:rPr>
          <w:rFonts w:cstheme="minorHAnsi"/>
          <w:bCs/>
        </w:rPr>
        <w:t xml:space="preserve"> </w:t>
      </w:r>
      <w:hyperlink r:id="rId20" w:history="1">
        <w:r w:rsidRPr="00AC7732">
          <w:rPr>
            <w:rStyle w:val="Hyperlink"/>
            <w:lang w:val="en"/>
          </w:rPr>
          <w:t>2014 PQRS Measure Groups Specifications, Release Notes, Getting Started with 2014 PQRS Measures Groups, 2014 Quality-Data Code Categories, and 2014 PQRS Measures Groups Single Source Code Master</w:t>
        </w:r>
      </w:hyperlink>
      <w:r w:rsidR="00AC7732" w:rsidRPr="00AC7732">
        <w:rPr>
          <w:lang w:val="en"/>
        </w:rPr>
        <w:t xml:space="preserve"> </w:t>
      </w:r>
      <w:r w:rsidR="00AC7732">
        <w:rPr>
          <w:lang w:val="en"/>
        </w:rPr>
        <w:t xml:space="preserve">; </w:t>
      </w:r>
      <w:r w:rsidR="00AC7732" w:rsidRPr="00AC7732">
        <w:rPr>
          <w:lang w:val="en"/>
        </w:rPr>
        <w:t xml:space="preserve"> </w:t>
      </w:r>
      <w:r w:rsidR="00AC7732" w:rsidRPr="002A6416">
        <w:rPr>
          <w:rStyle w:val="Style1"/>
          <w:rFonts w:cs="Trebuchet MS"/>
          <w:szCs w:val="24"/>
        </w:rPr>
        <w:t>2014 Physician Quality Reporting System (PQRS) Measures Groups Specifications Manual 12/13/2013, page 321</w:t>
      </w:r>
    </w:p>
    <w:p w:rsidR="00151FF3" w:rsidRPr="00F066B2" w:rsidRDefault="00151FF3" w:rsidP="00AC7732">
      <w:pPr>
        <w:pStyle w:val="ListParagraph"/>
        <w:autoSpaceDE w:val="0"/>
        <w:autoSpaceDN w:val="0"/>
        <w:adjustRightInd w:val="0"/>
        <w:spacing w:after="0" w:line="240" w:lineRule="auto"/>
        <w:ind w:left="1440"/>
        <w:rPr>
          <w:rFonts w:cstheme="minorHAnsi"/>
          <w:bCs/>
        </w:rPr>
      </w:pPr>
    </w:p>
    <w:p w:rsidR="00F066B2" w:rsidRPr="00F066B2" w:rsidRDefault="00F066B2" w:rsidP="00F066B2">
      <w:pPr>
        <w:pStyle w:val="ListParagraph"/>
        <w:numPr>
          <w:ilvl w:val="1"/>
          <w:numId w:val="26"/>
        </w:numPr>
        <w:tabs>
          <w:tab w:val="clear" w:pos="1440"/>
          <w:tab w:val="num" w:pos="720"/>
        </w:tabs>
        <w:autoSpaceDE w:val="0"/>
        <w:autoSpaceDN w:val="0"/>
        <w:adjustRightInd w:val="0"/>
        <w:spacing w:after="0" w:line="240" w:lineRule="auto"/>
        <w:ind w:left="720"/>
        <w:rPr>
          <w:rFonts w:cstheme="minorHAnsi"/>
          <w:bCs/>
        </w:rPr>
      </w:pPr>
      <w:r w:rsidRPr="002A6416">
        <w:rPr>
          <w:rStyle w:val="Style1"/>
          <w:rFonts w:cs="Trebuchet MS"/>
          <w:szCs w:val="24"/>
        </w:rPr>
        <w:t>American Board of Radiology – Approved Maintenance of Certification Part IV Practice Quality Improvement Project</w:t>
      </w:r>
      <w:r>
        <w:rPr>
          <w:rFonts w:cstheme="minorHAnsi"/>
          <w:bCs/>
        </w:rPr>
        <w:t xml:space="preserve">. </w:t>
      </w:r>
    </w:p>
    <w:p w:rsidR="00F066B2" w:rsidRPr="00AC7732" w:rsidRDefault="002A6416" w:rsidP="00F066B2">
      <w:pPr>
        <w:autoSpaceDE w:val="0"/>
        <w:autoSpaceDN w:val="0"/>
        <w:adjustRightInd w:val="0"/>
        <w:spacing w:after="0" w:line="240" w:lineRule="auto"/>
        <w:ind w:left="720"/>
        <w:rPr>
          <w:color w:val="000000"/>
        </w:rPr>
      </w:pPr>
      <w:hyperlink r:id="rId21" w:history="1">
        <w:r w:rsidR="00F066B2" w:rsidRPr="00BE2F02">
          <w:rPr>
            <w:rStyle w:val="Hyperlink"/>
            <w:rFonts w:cstheme="minorHAnsi"/>
            <w:bCs/>
          </w:rPr>
          <w:t>http://www.theabr.org/moc-dr-pqi-projects</w:t>
        </w:r>
      </w:hyperlink>
      <w:r w:rsidR="00F066B2">
        <w:rPr>
          <w:rFonts w:cstheme="minorHAnsi"/>
          <w:bCs/>
        </w:rPr>
        <w:t xml:space="preserve"> </w:t>
      </w:r>
      <w:r w:rsidR="00F066B2" w:rsidRPr="002A6416">
        <w:rPr>
          <w:rStyle w:val="Style1"/>
          <w:rFonts w:cs="Trebuchet MS"/>
          <w:szCs w:val="24"/>
        </w:rPr>
        <w:t xml:space="preserve">and </w:t>
      </w:r>
      <w:hyperlink r:id="rId22" w:history="1">
        <w:r w:rsidR="00F066B2" w:rsidRPr="00AC7732">
          <w:rPr>
            <w:rStyle w:val="Hyperlink"/>
          </w:rPr>
          <w:t>Dose Index Registry Example</w:t>
        </w:r>
      </w:hyperlink>
    </w:p>
    <w:p w:rsidR="00F066B2" w:rsidRDefault="00F066B2" w:rsidP="00F066B2">
      <w:pPr>
        <w:autoSpaceDE w:val="0"/>
        <w:autoSpaceDN w:val="0"/>
        <w:adjustRightInd w:val="0"/>
        <w:spacing w:after="0" w:line="240" w:lineRule="auto"/>
        <w:ind w:left="720"/>
        <w:rPr>
          <w:rFonts w:cstheme="minorHAnsi"/>
          <w:bCs/>
          <w:highlight w:val="yellow"/>
        </w:rPr>
      </w:pPr>
    </w:p>
    <w:p w:rsidR="00F066B2" w:rsidRPr="002A6416" w:rsidRDefault="00AC7732" w:rsidP="00F066B2">
      <w:pPr>
        <w:pStyle w:val="ListParagraph"/>
        <w:numPr>
          <w:ilvl w:val="1"/>
          <w:numId w:val="26"/>
        </w:numPr>
        <w:tabs>
          <w:tab w:val="clear" w:pos="1440"/>
          <w:tab w:val="num" w:pos="720"/>
        </w:tabs>
        <w:autoSpaceDE w:val="0"/>
        <w:autoSpaceDN w:val="0"/>
        <w:adjustRightInd w:val="0"/>
        <w:spacing w:after="0" w:line="240" w:lineRule="auto"/>
        <w:ind w:left="720"/>
        <w:rPr>
          <w:rStyle w:val="Style1"/>
          <w:rFonts w:cs="Trebuchet MS"/>
          <w:szCs w:val="24"/>
        </w:rPr>
      </w:pPr>
      <w:r w:rsidRPr="002A6416">
        <w:rPr>
          <w:rStyle w:val="Style1"/>
          <w:rFonts w:cs="Trebuchet MS"/>
          <w:szCs w:val="24"/>
        </w:rPr>
        <w:t xml:space="preserve">U.S. Food and Drug Administration Initiative to Reduce Unnecessary Radiation Exposure from Medical Imaging </w:t>
      </w:r>
    </w:p>
    <w:p w:rsidR="00F066B2" w:rsidRDefault="002A6416" w:rsidP="00AC7732">
      <w:pPr>
        <w:autoSpaceDE w:val="0"/>
        <w:autoSpaceDN w:val="0"/>
        <w:adjustRightInd w:val="0"/>
        <w:spacing w:after="0" w:line="240" w:lineRule="auto"/>
        <w:ind w:left="720"/>
        <w:rPr>
          <w:rFonts w:cstheme="minorHAnsi"/>
          <w:bCs/>
        </w:rPr>
      </w:pPr>
      <w:hyperlink r:id="rId23" w:history="1">
        <w:r w:rsidR="00AC7732" w:rsidRPr="00BE2F02">
          <w:rPr>
            <w:rStyle w:val="Hyperlink"/>
            <w:rFonts w:cstheme="minorHAnsi"/>
            <w:bCs/>
          </w:rPr>
          <w:t>http://www.fda.gov/Radiation-emittingProducts/RadiationSafety/RadiationDoseReduction/default.htm</w:t>
        </w:r>
      </w:hyperlink>
      <w:r w:rsidR="00AC7732">
        <w:rPr>
          <w:rFonts w:cstheme="minorHAnsi"/>
          <w:bCs/>
        </w:rPr>
        <w:t xml:space="preserve"> </w:t>
      </w:r>
    </w:p>
    <w:p w:rsidR="00AC7732" w:rsidRPr="002A6416" w:rsidRDefault="00AC7732" w:rsidP="00AC7732">
      <w:pPr>
        <w:autoSpaceDE w:val="0"/>
        <w:autoSpaceDN w:val="0"/>
        <w:adjustRightInd w:val="0"/>
        <w:spacing w:after="0" w:line="240" w:lineRule="auto"/>
        <w:ind w:left="720"/>
        <w:rPr>
          <w:rStyle w:val="Style1"/>
          <w:rFonts w:cs="Trebuchet MS"/>
          <w:szCs w:val="24"/>
        </w:rPr>
      </w:pPr>
      <w:r w:rsidRPr="002A6416">
        <w:rPr>
          <w:rStyle w:val="Style1"/>
          <w:rFonts w:cs="Trebuchet MS"/>
          <w:szCs w:val="24"/>
        </w:rPr>
        <w:t>Tracking Radiation Safety Metrics – Dose Registries</w:t>
      </w:r>
    </w:p>
    <w:p w:rsidR="00AC7732" w:rsidRPr="002A6416" w:rsidRDefault="00AC7732" w:rsidP="00AC7732">
      <w:pPr>
        <w:autoSpaceDE w:val="0"/>
        <w:autoSpaceDN w:val="0"/>
        <w:adjustRightInd w:val="0"/>
        <w:spacing w:after="0" w:line="240" w:lineRule="auto"/>
        <w:ind w:left="720"/>
        <w:rPr>
          <w:rStyle w:val="Style1"/>
          <w:rFonts w:cs="Trebuchet MS"/>
          <w:szCs w:val="24"/>
        </w:rPr>
      </w:pPr>
      <w:r w:rsidRPr="002A6416">
        <w:rPr>
          <w:rStyle w:val="Style1"/>
          <w:rFonts w:cs="Trebuchet MS"/>
          <w:szCs w:val="24"/>
        </w:rPr>
        <w:t xml:space="preserve">Dose registries would enable facilities to compare their radiation doses to those delivered in other facilities for the same exam, and such comparisons over time could assist in optimizing patient radiation doses for medical imaging. The goals of tracking imaging exams and the </w:t>
      </w:r>
      <w:r w:rsidRPr="002A6416">
        <w:rPr>
          <w:rStyle w:val="Style1"/>
          <w:rFonts w:cs="Trebuchet MS"/>
          <w:szCs w:val="24"/>
        </w:rPr>
        <w:lastRenderedPageBreak/>
        <w:t>associated radiation exposure include: (1) providing information at the point-of-care for the referring practitioner (i.e. supporting justification); (2) promoting development and use of diagnostic reference levels (DRLs) (i.e. supporting optimization); (3) providing information for assessment of radiation risks; and (4) establishing a tool for use in research and epidemiology.</w:t>
      </w:r>
    </w:p>
    <w:p w:rsidR="00AC7732" w:rsidRDefault="002A6416" w:rsidP="00AC7732">
      <w:pPr>
        <w:autoSpaceDE w:val="0"/>
        <w:autoSpaceDN w:val="0"/>
        <w:adjustRightInd w:val="0"/>
        <w:spacing w:after="0" w:line="240" w:lineRule="auto"/>
        <w:ind w:left="720"/>
        <w:rPr>
          <w:rFonts w:cstheme="minorHAnsi"/>
          <w:bCs/>
        </w:rPr>
      </w:pPr>
      <w:hyperlink r:id="rId24" w:history="1">
        <w:r w:rsidR="00AC7732" w:rsidRPr="00BE2F02">
          <w:rPr>
            <w:rStyle w:val="Hyperlink"/>
            <w:rFonts w:cstheme="minorHAnsi"/>
            <w:bCs/>
          </w:rPr>
          <w:t>http://www.fda.gov/Radiation-EmittingProducts/RadiationSafety/RadiationDoseReduction/ucm299368.htm</w:t>
        </w:r>
      </w:hyperlink>
      <w:r w:rsidR="00AC7732">
        <w:rPr>
          <w:rFonts w:cstheme="minorHAnsi"/>
          <w:bCs/>
        </w:rPr>
        <w:t xml:space="preserve"> </w:t>
      </w:r>
    </w:p>
    <w:p w:rsidR="00AC7732" w:rsidRDefault="00AC7732" w:rsidP="00AC7732">
      <w:pPr>
        <w:autoSpaceDE w:val="0"/>
        <w:autoSpaceDN w:val="0"/>
        <w:adjustRightInd w:val="0"/>
        <w:spacing w:after="0" w:line="240" w:lineRule="auto"/>
        <w:ind w:left="720"/>
        <w:rPr>
          <w:rFonts w:cstheme="minorHAnsi"/>
          <w:bCs/>
          <w:highlight w:val="yellow"/>
        </w:rPr>
      </w:pPr>
    </w:p>
    <w:p w:rsidR="008871DE" w:rsidRDefault="008871DE" w:rsidP="00151FF3">
      <w:pPr>
        <w:autoSpaceDE w:val="0"/>
        <w:autoSpaceDN w:val="0"/>
        <w:adjustRightInd w:val="0"/>
        <w:spacing w:after="0" w:line="240" w:lineRule="auto"/>
        <w:ind w:left="360"/>
        <w:rPr>
          <w:rFonts w:cstheme="minorHAnsi"/>
          <w:bCs/>
        </w:rPr>
      </w:pPr>
    </w:p>
    <w:p w:rsidR="00682C96" w:rsidRPr="002A6416" w:rsidRDefault="00682C96" w:rsidP="00682C96">
      <w:pPr>
        <w:pStyle w:val="ListParagraph"/>
        <w:numPr>
          <w:ilvl w:val="0"/>
          <w:numId w:val="31"/>
        </w:numPr>
        <w:autoSpaceDE w:val="0"/>
        <w:autoSpaceDN w:val="0"/>
        <w:adjustRightInd w:val="0"/>
        <w:spacing w:after="0" w:line="240" w:lineRule="auto"/>
        <w:ind w:left="360"/>
        <w:rPr>
          <w:rStyle w:val="Style1"/>
          <w:rFonts w:cs="Trebuchet MS"/>
          <w:szCs w:val="24"/>
        </w:rPr>
      </w:pPr>
      <w:r w:rsidRPr="002A6416">
        <w:rPr>
          <w:rStyle w:val="Style1"/>
          <w:rFonts w:cs="Trebuchet MS"/>
          <w:szCs w:val="24"/>
        </w:rPr>
        <w:t xml:space="preserve">Case studies: </w:t>
      </w:r>
    </w:p>
    <w:p w:rsidR="00682C96" w:rsidRDefault="00682C96" w:rsidP="00682C96">
      <w:pPr>
        <w:autoSpaceDE w:val="0"/>
        <w:autoSpaceDN w:val="0"/>
        <w:adjustRightInd w:val="0"/>
        <w:spacing w:after="0" w:line="240" w:lineRule="auto"/>
        <w:ind w:left="360"/>
        <w:rPr>
          <w:rFonts w:cstheme="minorHAnsi"/>
          <w:bCs/>
        </w:rPr>
      </w:pPr>
      <w:r w:rsidRPr="002A6416">
        <w:rPr>
          <w:rStyle w:val="Style1"/>
          <w:rFonts w:cs="Trebuchet MS"/>
          <w:szCs w:val="24"/>
        </w:rPr>
        <w:t xml:space="preserve">Facility representatives contributing case studies – </w:t>
      </w:r>
      <w:r w:rsidR="009467C5" w:rsidRPr="002A6416">
        <w:rPr>
          <w:rStyle w:val="Style1"/>
          <w:rFonts w:cs="Trebuchet MS"/>
          <w:szCs w:val="24"/>
        </w:rPr>
        <w:t>two</w:t>
      </w:r>
      <w:r w:rsidRPr="002A6416">
        <w:rPr>
          <w:rStyle w:val="Style1"/>
          <w:rFonts w:cs="Trebuchet MS"/>
          <w:szCs w:val="24"/>
        </w:rPr>
        <w:t xml:space="preserve"> speakers at the 2013 ACR Annual Informatics and Registries Summit contributed case studies describing their facility’s experience using the registry data to improve quality</w:t>
      </w:r>
      <w:r w:rsidR="00616D29" w:rsidRPr="002A6416">
        <w:rPr>
          <w:rStyle w:val="Style1"/>
          <w:rFonts w:cs="Trebuchet MS"/>
          <w:szCs w:val="24"/>
        </w:rPr>
        <w:t xml:space="preserve"> (See links </w:t>
      </w:r>
      <w:r w:rsidR="00CB2C42" w:rsidRPr="002A6416">
        <w:rPr>
          <w:rStyle w:val="Style1"/>
          <w:rFonts w:cs="Trebuchet MS"/>
          <w:szCs w:val="24"/>
        </w:rPr>
        <w:t>to speaker presentations here:</w:t>
      </w:r>
      <w:r w:rsidR="00CB2C42">
        <w:rPr>
          <w:rFonts w:cstheme="minorHAnsi"/>
          <w:bCs/>
        </w:rPr>
        <w:t xml:space="preserve"> </w:t>
      </w:r>
      <w:hyperlink r:id="rId25" w:history="1">
        <w:r w:rsidR="00CB2C42" w:rsidRPr="007020CF">
          <w:rPr>
            <w:rStyle w:val="Hyperlink"/>
            <w:rFonts w:cstheme="minorHAnsi"/>
            <w:bCs/>
          </w:rPr>
          <w:t>http://www.acrinformatics.org/DataRegistriesForumAgenda.aspx</w:t>
        </w:r>
      </w:hyperlink>
      <w:r w:rsidR="00CB2C42">
        <w:rPr>
          <w:rFonts w:cstheme="minorHAnsi"/>
          <w:bCs/>
        </w:rPr>
        <w:t>)</w:t>
      </w:r>
      <w:r>
        <w:rPr>
          <w:rFonts w:cstheme="minorHAnsi"/>
          <w:bCs/>
        </w:rPr>
        <w:t>.</w:t>
      </w:r>
      <w:r w:rsidR="00CB2C42">
        <w:rPr>
          <w:rFonts w:cstheme="minorHAnsi"/>
          <w:bCs/>
        </w:rPr>
        <w:t xml:space="preserve"> </w:t>
      </w:r>
      <w:r w:rsidRPr="002A6416">
        <w:rPr>
          <w:rStyle w:val="Style1"/>
          <w:rFonts w:cs="Trebuchet MS"/>
          <w:szCs w:val="24"/>
        </w:rPr>
        <w:t xml:space="preserve">Additionally, </w:t>
      </w:r>
      <w:r w:rsidR="009467C5" w:rsidRPr="002A6416">
        <w:rPr>
          <w:rStyle w:val="Style1"/>
          <w:rFonts w:cs="Trebuchet MS"/>
          <w:szCs w:val="24"/>
        </w:rPr>
        <w:t xml:space="preserve">one </w:t>
      </w:r>
      <w:r w:rsidRPr="002A6416">
        <w:rPr>
          <w:rStyle w:val="Style1"/>
          <w:rFonts w:cs="Trebuchet MS"/>
          <w:szCs w:val="24"/>
        </w:rPr>
        <w:t>facility representative provided experience summaries for inclusion in the ACR case studies in “Imaging 3.0” (more information at</w:t>
      </w:r>
      <w:r>
        <w:rPr>
          <w:rFonts w:cstheme="minorHAnsi"/>
          <w:bCs/>
        </w:rPr>
        <w:t xml:space="preserve"> </w:t>
      </w:r>
      <w:hyperlink r:id="rId26" w:history="1">
        <w:r w:rsidRPr="00BE2F02">
          <w:rPr>
            <w:rStyle w:val="Hyperlink"/>
            <w:rFonts w:cstheme="minorHAnsi"/>
            <w:bCs/>
          </w:rPr>
          <w:t>http://www.acr.org/Advocacy/Economics-Health-Policy/Imaging-3/Case-Studies</w:t>
        </w:r>
      </w:hyperlink>
      <w:r>
        <w:rPr>
          <w:rFonts w:cstheme="minorHAnsi"/>
          <w:bCs/>
        </w:rPr>
        <w:t xml:space="preserve"> ). </w:t>
      </w:r>
    </w:p>
    <w:p w:rsidR="00682C96" w:rsidRDefault="00682C96" w:rsidP="00682C96">
      <w:pPr>
        <w:autoSpaceDE w:val="0"/>
        <w:autoSpaceDN w:val="0"/>
        <w:adjustRightInd w:val="0"/>
        <w:spacing w:after="0" w:line="240" w:lineRule="auto"/>
        <w:ind w:left="360"/>
        <w:rPr>
          <w:rFonts w:cstheme="minorHAnsi"/>
          <w:bCs/>
        </w:rPr>
      </w:pPr>
    </w:p>
    <w:p w:rsidR="00682C96" w:rsidRPr="002A6416" w:rsidRDefault="00682C96" w:rsidP="002A6416">
      <w:pPr>
        <w:ind w:left="360"/>
        <w:rPr>
          <w:b/>
        </w:rPr>
      </w:pPr>
      <w:r w:rsidRPr="002A6416">
        <w:rPr>
          <w:b/>
        </w:rPr>
        <w:t>Case Study 1:</w:t>
      </w:r>
      <w:r w:rsidR="008871DE" w:rsidRPr="002A6416">
        <w:rPr>
          <w:b/>
        </w:rPr>
        <w:t xml:space="preserve"> (imaging 3.0)</w:t>
      </w:r>
    </w:p>
    <w:p w:rsidR="008871DE" w:rsidRDefault="008871DE" w:rsidP="008871DE">
      <w:pPr>
        <w:ind w:left="360"/>
        <w:rPr>
          <w:b/>
        </w:rPr>
      </w:pPr>
      <w:r w:rsidRPr="00E85CF4">
        <w:rPr>
          <w:b/>
        </w:rPr>
        <w:t>Demographics</w:t>
      </w:r>
    </w:p>
    <w:p w:rsidR="008871DE" w:rsidRPr="002A6416" w:rsidRDefault="008871DE" w:rsidP="008871DE">
      <w:pPr>
        <w:ind w:left="360"/>
        <w:rPr>
          <w:rStyle w:val="Style1"/>
          <w:rFonts w:cs="Trebuchet MS"/>
          <w:szCs w:val="24"/>
        </w:rPr>
      </w:pPr>
      <w:r>
        <w:t xml:space="preserve"> </w:t>
      </w:r>
      <w:r w:rsidRPr="002A6416">
        <w:rPr>
          <w:rStyle w:val="Style1"/>
          <w:rFonts w:cs="Trebuchet MS"/>
          <w:szCs w:val="24"/>
        </w:rPr>
        <w:t xml:space="preserve">477-bed general medical and surgical hospital </w:t>
      </w:r>
    </w:p>
    <w:p w:rsidR="008871DE" w:rsidRDefault="008871DE" w:rsidP="008871DE">
      <w:pPr>
        <w:ind w:left="360"/>
        <w:rPr>
          <w:b/>
        </w:rPr>
      </w:pPr>
      <w:r w:rsidRPr="00E85CF4">
        <w:rPr>
          <w:b/>
        </w:rPr>
        <w:t>Previous Approach to Optimizing Pat</w:t>
      </w:r>
      <w:r>
        <w:rPr>
          <w:b/>
        </w:rPr>
        <w:t>ient Exposure to Radiation Dose</w:t>
      </w:r>
    </w:p>
    <w:p w:rsidR="008871DE" w:rsidRPr="002A6416" w:rsidRDefault="008871DE" w:rsidP="008871DE">
      <w:pPr>
        <w:ind w:left="360"/>
        <w:rPr>
          <w:rStyle w:val="Style1"/>
          <w:rFonts w:cs="Trebuchet MS"/>
          <w:szCs w:val="24"/>
        </w:rPr>
      </w:pPr>
      <w:r w:rsidRPr="002A6416">
        <w:rPr>
          <w:rStyle w:val="Style1"/>
          <w:rFonts w:cs="Trebuchet MS"/>
          <w:szCs w:val="24"/>
        </w:rPr>
        <w:t>The hospital relied almost exclusively on vendor education, physics evaluations, and radiologist protocols to establish radiation dose.  They had “no true analytic data to set goals for lowering dose.”</w:t>
      </w:r>
    </w:p>
    <w:p w:rsidR="008871DE" w:rsidRDefault="008871DE" w:rsidP="008871DE">
      <w:pPr>
        <w:ind w:left="360"/>
        <w:rPr>
          <w:b/>
        </w:rPr>
      </w:pPr>
      <w:r w:rsidRPr="00E85CF4">
        <w:rPr>
          <w:b/>
        </w:rPr>
        <w:t>Study Approach to Optimizing Pat</w:t>
      </w:r>
      <w:r>
        <w:rPr>
          <w:b/>
        </w:rPr>
        <w:t>ient Exposure to Radiation Dose</w:t>
      </w:r>
    </w:p>
    <w:p w:rsidR="008871DE" w:rsidRPr="002A6416" w:rsidRDefault="008871DE" w:rsidP="008871DE">
      <w:pPr>
        <w:ind w:left="360"/>
        <w:rPr>
          <w:rStyle w:val="Style1"/>
          <w:rFonts w:cs="Trebuchet MS"/>
          <w:szCs w:val="24"/>
        </w:rPr>
      </w:pPr>
      <w:r w:rsidRPr="002A6416">
        <w:rPr>
          <w:rStyle w:val="Style1"/>
          <w:rFonts w:cs="Trebuchet MS"/>
          <w:szCs w:val="24"/>
        </w:rPr>
        <w:t xml:space="preserve">Apply CT software (that claimed) to reduce dose up to 40%, and compare the facility to one without the new technology. A committee was created to promote cohesive work within the department through the transitions in protocol. They met quarterly to review and analyze DIR data.  </w:t>
      </w:r>
    </w:p>
    <w:p w:rsidR="008871DE" w:rsidRDefault="008871DE" w:rsidP="008871DE">
      <w:pPr>
        <w:ind w:left="360"/>
        <w:rPr>
          <w:b/>
        </w:rPr>
      </w:pPr>
      <w:r>
        <w:rPr>
          <w:b/>
        </w:rPr>
        <w:t>Results</w:t>
      </w:r>
    </w:p>
    <w:p w:rsidR="008871DE" w:rsidRPr="002A6416" w:rsidRDefault="008871DE" w:rsidP="008871DE">
      <w:pPr>
        <w:pStyle w:val="ListParagraph"/>
        <w:numPr>
          <w:ilvl w:val="0"/>
          <w:numId w:val="34"/>
        </w:numPr>
        <w:ind w:left="1080"/>
        <w:rPr>
          <w:rStyle w:val="Style1"/>
          <w:rFonts w:cs="Trebuchet MS"/>
          <w:szCs w:val="24"/>
        </w:rPr>
      </w:pPr>
      <w:r w:rsidRPr="002A6416">
        <w:rPr>
          <w:rStyle w:val="Style1"/>
          <w:rFonts w:cs="Trebuchet MS"/>
          <w:szCs w:val="24"/>
        </w:rPr>
        <w:t xml:space="preserve">Since the hospital started using the DIR, they stopped performing delayed scans of the kidneys on patients 18 and younger- those who are at greatest risk for radiation (before the DIR, these additional images were standard for all Abdomen/Pelvis CTs).  </w:t>
      </w:r>
    </w:p>
    <w:p w:rsidR="008871DE" w:rsidRPr="002A6416" w:rsidRDefault="008871DE" w:rsidP="008871DE">
      <w:pPr>
        <w:pStyle w:val="ListParagraph"/>
        <w:numPr>
          <w:ilvl w:val="0"/>
          <w:numId w:val="34"/>
        </w:numPr>
        <w:ind w:left="1080"/>
        <w:rPr>
          <w:rStyle w:val="Style1"/>
          <w:rFonts w:cs="Trebuchet MS"/>
          <w:szCs w:val="24"/>
        </w:rPr>
      </w:pPr>
      <w:r w:rsidRPr="002A6416">
        <w:rPr>
          <w:rStyle w:val="Style1"/>
          <w:rFonts w:cs="Trebuchet MS"/>
          <w:szCs w:val="24"/>
        </w:rPr>
        <w:t xml:space="preserve">Staff radiologists verified that their dose-saving reconstruction algorithms have reduced dose by 30-40%, while maintaining image quality. </w:t>
      </w:r>
    </w:p>
    <w:p w:rsidR="008871DE" w:rsidRPr="002A6416" w:rsidRDefault="008871DE" w:rsidP="008871DE">
      <w:pPr>
        <w:pStyle w:val="ListParagraph"/>
        <w:numPr>
          <w:ilvl w:val="0"/>
          <w:numId w:val="34"/>
        </w:numPr>
        <w:ind w:left="1080"/>
        <w:rPr>
          <w:rStyle w:val="Style1"/>
          <w:rFonts w:cs="Trebuchet MS"/>
          <w:szCs w:val="24"/>
        </w:rPr>
      </w:pPr>
      <w:r w:rsidRPr="002A6416">
        <w:rPr>
          <w:rStyle w:val="Style1"/>
          <w:rFonts w:cs="Trebuchet MS"/>
          <w:szCs w:val="24"/>
        </w:rPr>
        <w:t xml:space="preserve">A reduction in CTA Head and Neck studies was implemented after the DIR showed that the dose for these specific studies was slightly above the national average.  </w:t>
      </w:r>
    </w:p>
    <w:p w:rsidR="008871DE" w:rsidRDefault="008871DE" w:rsidP="008871DE">
      <w:pPr>
        <w:ind w:left="360"/>
        <w:rPr>
          <w:b/>
        </w:rPr>
      </w:pPr>
      <w:r>
        <w:rPr>
          <w:b/>
        </w:rPr>
        <w:t>Conclusion</w:t>
      </w:r>
    </w:p>
    <w:p w:rsidR="008871DE" w:rsidRPr="002A6416" w:rsidRDefault="008871DE" w:rsidP="008871DE">
      <w:pPr>
        <w:pStyle w:val="ListParagraph"/>
        <w:numPr>
          <w:ilvl w:val="0"/>
          <w:numId w:val="35"/>
        </w:numPr>
        <w:ind w:left="1080"/>
        <w:rPr>
          <w:rStyle w:val="Style1"/>
          <w:rFonts w:cs="Trebuchet MS"/>
          <w:szCs w:val="24"/>
        </w:rPr>
      </w:pPr>
      <w:r w:rsidRPr="002A6416">
        <w:rPr>
          <w:rStyle w:val="Style1"/>
          <w:rFonts w:cs="Trebuchet MS"/>
          <w:szCs w:val="24"/>
        </w:rPr>
        <w:lastRenderedPageBreak/>
        <w:t>Protocols were improved “across the board” by viewing the aggregate data.</w:t>
      </w:r>
    </w:p>
    <w:p w:rsidR="008871DE" w:rsidRPr="002A6416" w:rsidRDefault="008871DE" w:rsidP="008871DE">
      <w:pPr>
        <w:pStyle w:val="ListParagraph"/>
        <w:numPr>
          <w:ilvl w:val="0"/>
          <w:numId w:val="35"/>
        </w:numPr>
        <w:ind w:left="1080"/>
        <w:rPr>
          <w:rStyle w:val="Style1"/>
          <w:rFonts w:cs="Trebuchet MS"/>
          <w:szCs w:val="24"/>
        </w:rPr>
      </w:pPr>
      <w:r w:rsidRPr="002A6416">
        <w:rPr>
          <w:rStyle w:val="Style1"/>
          <w:rFonts w:cs="Trebuchet MS"/>
          <w:szCs w:val="24"/>
        </w:rPr>
        <w:t>DIR provides a powerful tool for protecting patients by comparing results with national standards.</w:t>
      </w:r>
    </w:p>
    <w:p w:rsidR="008871DE" w:rsidRPr="002A6416" w:rsidRDefault="008871DE" w:rsidP="008871DE">
      <w:pPr>
        <w:pStyle w:val="ListParagraph"/>
        <w:numPr>
          <w:ilvl w:val="0"/>
          <w:numId w:val="35"/>
        </w:numPr>
        <w:ind w:left="1080"/>
        <w:rPr>
          <w:rStyle w:val="Style1"/>
          <w:rFonts w:cs="Trebuchet MS"/>
          <w:szCs w:val="24"/>
        </w:rPr>
      </w:pPr>
      <w:r w:rsidRPr="002A6416">
        <w:rPr>
          <w:rStyle w:val="Style1"/>
          <w:rFonts w:cs="Trebuchet MS"/>
          <w:szCs w:val="24"/>
        </w:rPr>
        <w:t xml:space="preserve">The DIR is an indispensable tool for achieving a status of As Low </w:t>
      </w:r>
      <w:proofErr w:type="gramStart"/>
      <w:r w:rsidRPr="002A6416">
        <w:rPr>
          <w:rStyle w:val="Style1"/>
          <w:rFonts w:cs="Trebuchet MS"/>
          <w:szCs w:val="24"/>
        </w:rPr>
        <w:t>As</w:t>
      </w:r>
      <w:proofErr w:type="gramEnd"/>
      <w:r w:rsidRPr="002A6416">
        <w:rPr>
          <w:rStyle w:val="Style1"/>
          <w:rFonts w:cs="Trebuchet MS"/>
          <w:szCs w:val="24"/>
        </w:rPr>
        <w:t xml:space="preserve"> Reasonably Achievable (ALARA) for images.</w:t>
      </w:r>
    </w:p>
    <w:p w:rsidR="00682C96" w:rsidRPr="002A6416" w:rsidRDefault="00682C96" w:rsidP="002A6416">
      <w:pPr>
        <w:ind w:left="360"/>
        <w:rPr>
          <w:b/>
        </w:rPr>
      </w:pPr>
      <w:r w:rsidRPr="002A6416">
        <w:rPr>
          <w:b/>
        </w:rPr>
        <w:t xml:space="preserve">Case Study 2: </w:t>
      </w:r>
    </w:p>
    <w:p w:rsidR="008871DE" w:rsidRDefault="008871DE" w:rsidP="008871DE">
      <w:pPr>
        <w:ind w:left="360"/>
      </w:pPr>
      <w:r w:rsidRPr="00E85CF4">
        <w:rPr>
          <w:b/>
        </w:rPr>
        <w:t>Demographics</w:t>
      </w:r>
      <w:r>
        <w:t xml:space="preserve"> </w:t>
      </w:r>
    </w:p>
    <w:p w:rsidR="008871DE" w:rsidRPr="002A6416" w:rsidRDefault="008871DE" w:rsidP="008871DE">
      <w:pPr>
        <w:ind w:left="360"/>
        <w:rPr>
          <w:rStyle w:val="Style1"/>
          <w:rFonts w:cs="Trebuchet MS"/>
          <w:szCs w:val="24"/>
        </w:rPr>
      </w:pPr>
      <w:proofErr w:type="gramStart"/>
      <w:r w:rsidRPr="002A6416">
        <w:rPr>
          <w:rStyle w:val="Style1"/>
          <w:rFonts w:cs="Trebuchet MS"/>
          <w:szCs w:val="24"/>
        </w:rPr>
        <w:t xml:space="preserve">A 666-bed </w:t>
      </w:r>
      <w:r w:rsidR="00CB2C42" w:rsidRPr="002A6416">
        <w:rPr>
          <w:rStyle w:val="Style1"/>
          <w:rFonts w:cs="Trebuchet MS"/>
          <w:szCs w:val="24"/>
        </w:rPr>
        <w:t>academic</w:t>
      </w:r>
      <w:r w:rsidRPr="002A6416">
        <w:rPr>
          <w:rStyle w:val="Style1"/>
          <w:rFonts w:cs="Trebuchet MS"/>
          <w:szCs w:val="24"/>
        </w:rPr>
        <w:t xml:space="preserve"> hospital with a level 1 trauma center.</w:t>
      </w:r>
      <w:proofErr w:type="gramEnd"/>
    </w:p>
    <w:p w:rsidR="008871DE" w:rsidRDefault="008871DE" w:rsidP="008871DE">
      <w:pPr>
        <w:ind w:left="360"/>
        <w:rPr>
          <w:b/>
        </w:rPr>
      </w:pPr>
      <w:r w:rsidRPr="00E85CF4">
        <w:rPr>
          <w:b/>
        </w:rPr>
        <w:t>Previous Approach to Optimizing Pat</w:t>
      </w:r>
      <w:r>
        <w:rPr>
          <w:b/>
        </w:rPr>
        <w:t>ient Exposure to Radiation Dose</w:t>
      </w:r>
    </w:p>
    <w:p w:rsidR="008871DE" w:rsidRPr="002A6416" w:rsidRDefault="008871DE" w:rsidP="008871DE">
      <w:pPr>
        <w:ind w:left="360"/>
        <w:rPr>
          <w:rStyle w:val="Style1"/>
          <w:rFonts w:cs="Trebuchet MS"/>
          <w:szCs w:val="24"/>
        </w:rPr>
      </w:pPr>
      <w:r w:rsidRPr="002A6416">
        <w:rPr>
          <w:rStyle w:val="Style1"/>
          <w:rFonts w:cs="Trebuchet MS"/>
          <w:szCs w:val="24"/>
        </w:rPr>
        <w:t>Retrospective instead of proactive approaches to dosage levels and mistakes in studies (three case studies presented in results section).</w:t>
      </w:r>
    </w:p>
    <w:p w:rsidR="008871DE" w:rsidRDefault="008871DE" w:rsidP="008871DE">
      <w:pPr>
        <w:ind w:left="360"/>
        <w:rPr>
          <w:b/>
        </w:rPr>
      </w:pPr>
      <w:r w:rsidRPr="00E85CF4">
        <w:rPr>
          <w:b/>
        </w:rPr>
        <w:t>Study Approach to Optimizing Pat</w:t>
      </w:r>
      <w:r>
        <w:rPr>
          <w:b/>
        </w:rPr>
        <w:t>ient Exposure to Radiation Dose</w:t>
      </w:r>
    </w:p>
    <w:p w:rsidR="008871DE" w:rsidRPr="002A6416" w:rsidRDefault="008871DE" w:rsidP="008871DE">
      <w:pPr>
        <w:ind w:left="360"/>
        <w:rPr>
          <w:rStyle w:val="Style1"/>
          <w:rFonts w:cs="Trebuchet MS"/>
          <w:szCs w:val="24"/>
        </w:rPr>
      </w:pPr>
      <w:r w:rsidRPr="002A6416">
        <w:rPr>
          <w:rStyle w:val="Style1"/>
          <w:rFonts w:cs="Trebuchet MS"/>
          <w:szCs w:val="24"/>
        </w:rPr>
        <w:t xml:space="preserve">49,500 CT exams were performed in 2012; down 23% from 2010. The main concern was CT dose, and dose management (using the NCDR DIR) became the primary focus for safe and economic reasons. Proactive applications of dose monitoring were applied, including a dose alert case study as well as a size-specific DRL (WIP) case study.  </w:t>
      </w:r>
    </w:p>
    <w:p w:rsidR="008871DE" w:rsidRDefault="008871DE" w:rsidP="008871DE">
      <w:pPr>
        <w:ind w:left="360"/>
      </w:pPr>
      <w:r>
        <w:rPr>
          <w:b/>
        </w:rPr>
        <w:t>Results</w:t>
      </w:r>
      <w:r>
        <w:t xml:space="preserve"> </w:t>
      </w:r>
    </w:p>
    <w:p w:rsidR="008871DE" w:rsidRPr="002A6416" w:rsidRDefault="008871DE" w:rsidP="008871DE">
      <w:pPr>
        <w:ind w:left="360"/>
        <w:rPr>
          <w:rStyle w:val="Style1"/>
          <w:rFonts w:cs="Trebuchet MS"/>
          <w:szCs w:val="24"/>
        </w:rPr>
      </w:pPr>
      <w:r w:rsidRPr="002A6416">
        <w:rPr>
          <w:rStyle w:val="Style1"/>
          <w:rFonts w:cs="Trebuchet MS"/>
          <w:szCs w:val="24"/>
        </w:rPr>
        <w:t xml:space="preserve">Retrospective Case 1: CTPA study </w:t>
      </w:r>
    </w:p>
    <w:p w:rsidR="008871DE" w:rsidRPr="002A6416" w:rsidRDefault="008871DE" w:rsidP="008871DE">
      <w:pPr>
        <w:pStyle w:val="ListParagraph"/>
        <w:numPr>
          <w:ilvl w:val="0"/>
          <w:numId w:val="36"/>
        </w:numPr>
        <w:ind w:left="1080"/>
        <w:rPr>
          <w:rStyle w:val="Style1"/>
          <w:rFonts w:cs="Trebuchet MS"/>
          <w:szCs w:val="24"/>
        </w:rPr>
      </w:pPr>
      <w:r w:rsidRPr="002A6416">
        <w:rPr>
          <w:rStyle w:val="Style1"/>
          <w:rFonts w:cs="Trebuchet MS"/>
          <w:szCs w:val="24"/>
        </w:rPr>
        <w:t>Comparison of effective dose for 800 patients</w:t>
      </w:r>
    </w:p>
    <w:p w:rsidR="008871DE" w:rsidRPr="002A6416" w:rsidRDefault="008871DE" w:rsidP="008871DE">
      <w:pPr>
        <w:pStyle w:val="ListParagraph"/>
        <w:numPr>
          <w:ilvl w:val="0"/>
          <w:numId w:val="36"/>
        </w:numPr>
        <w:ind w:left="1080"/>
        <w:rPr>
          <w:rStyle w:val="Style1"/>
          <w:rFonts w:cs="Trebuchet MS"/>
          <w:szCs w:val="24"/>
        </w:rPr>
      </w:pPr>
      <w:r w:rsidRPr="002A6416">
        <w:rPr>
          <w:rStyle w:val="Style1"/>
          <w:rFonts w:cs="Trebuchet MS"/>
          <w:szCs w:val="24"/>
        </w:rPr>
        <w:t>Very time-consuming (before DIR: 3-4 months, post-DIR: &lt;2 hours)</w:t>
      </w:r>
    </w:p>
    <w:p w:rsidR="008871DE" w:rsidRPr="002A6416" w:rsidRDefault="008871DE" w:rsidP="008871DE">
      <w:pPr>
        <w:ind w:left="360"/>
        <w:rPr>
          <w:rStyle w:val="Style1"/>
          <w:rFonts w:cs="Trebuchet MS"/>
          <w:szCs w:val="24"/>
        </w:rPr>
      </w:pPr>
      <w:r w:rsidRPr="002A6416">
        <w:rPr>
          <w:rStyle w:val="Style1"/>
          <w:rFonts w:cs="Trebuchet MS"/>
          <w:szCs w:val="24"/>
        </w:rPr>
        <w:t>Retrospective Case 2: CT Chest without contrast vs. CT Chest with contrast</w:t>
      </w:r>
    </w:p>
    <w:p w:rsidR="008871DE" w:rsidRPr="002A6416" w:rsidRDefault="008871DE" w:rsidP="008871DE">
      <w:pPr>
        <w:pStyle w:val="ListParagraph"/>
        <w:numPr>
          <w:ilvl w:val="0"/>
          <w:numId w:val="37"/>
        </w:numPr>
        <w:ind w:left="1080"/>
        <w:rPr>
          <w:rStyle w:val="Style1"/>
          <w:rFonts w:cs="Trebuchet MS"/>
          <w:szCs w:val="24"/>
        </w:rPr>
      </w:pPr>
      <w:r w:rsidRPr="002A6416">
        <w:rPr>
          <w:rStyle w:val="Style1"/>
          <w:rFonts w:cs="Trebuchet MS"/>
          <w:szCs w:val="24"/>
        </w:rPr>
        <w:t>From January-June, 2013: CT Chest without contrast dosage was less than or equal to peers</w:t>
      </w:r>
    </w:p>
    <w:p w:rsidR="008871DE" w:rsidRPr="002A6416" w:rsidRDefault="008871DE" w:rsidP="008871DE">
      <w:pPr>
        <w:pStyle w:val="ListParagraph"/>
        <w:numPr>
          <w:ilvl w:val="0"/>
          <w:numId w:val="37"/>
        </w:numPr>
        <w:ind w:left="1080"/>
        <w:rPr>
          <w:rStyle w:val="Style1"/>
          <w:rFonts w:cs="Trebuchet MS"/>
          <w:szCs w:val="24"/>
        </w:rPr>
      </w:pPr>
      <w:r w:rsidRPr="002A6416">
        <w:rPr>
          <w:rStyle w:val="Style1"/>
          <w:rFonts w:cs="Trebuchet MS"/>
          <w:szCs w:val="24"/>
        </w:rPr>
        <w:t>From January-June, 2013: CT Chest with contrast dosage was approximately 20% higher than some peers</w:t>
      </w:r>
    </w:p>
    <w:p w:rsidR="008871DE" w:rsidRPr="002A6416" w:rsidRDefault="008871DE" w:rsidP="008871DE">
      <w:pPr>
        <w:ind w:left="360"/>
        <w:rPr>
          <w:rStyle w:val="Style1"/>
          <w:rFonts w:cs="Trebuchet MS"/>
          <w:szCs w:val="24"/>
        </w:rPr>
      </w:pPr>
      <w:r w:rsidRPr="002A6416">
        <w:rPr>
          <w:rStyle w:val="Style1"/>
          <w:rFonts w:cs="Trebuchet MS"/>
          <w:szCs w:val="24"/>
        </w:rPr>
        <w:t>Retrospective Case 3: Evaluation of ASIR’s performance</w:t>
      </w:r>
    </w:p>
    <w:p w:rsidR="008871DE" w:rsidRPr="002A6416" w:rsidRDefault="008871DE" w:rsidP="008871DE">
      <w:pPr>
        <w:pStyle w:val="ListParagraph"/>
        <w:numPr>
          <w:ilvl w:val="0"/>
          <w:numId w:val="38"/>
        </w:numPr>
        <w:ind w:left="1080"/>
        <w:rPr>
          <w:rStyle w:val="Style1"/>
          <w:rFonts w:cs="Trebuchet MS"/>
          <w:szCs w:val="24"/>
        </w:rPr>
      </w:pPr>
      <w:r w:rsidRPr="002A6416">
        <w:rPr>
          <w:rStyle w:val="Style1"/>
          <w:rFonts w:cs="Trebuchet MS"/>
          <w:szCs w:val="24"/>
        </w:rPr>
        <w:t>The target dose reduction rate for CT of the Chest/Abdomen/Pelvis with contrast was 20%</w:t>
      </w:r>
      <w:proofErr w:type="gramStart"/>
      <w:r w:rsidRPr="002A6416">
        <w:rPr>
          <w:rStyle w:val="Style1"/>
          <w:rFonts w:cs="Trebuchet MS"/>
          <w:szCs w:val="24"/>
        </w:rPr>
        <w:t>,</w:t>
      </w:r>
      <w:proofErr w:type="gramEnd"/>
      <w:r w:rsidRPr="002A6416">
        <w:rPr>
          <w:rStyle w:val="Style1"/>
          <w:rFonts w:cs="Trebuchet MS"/>
          <w:szCs w:val="24"/>
        </w:rPr>
        <w:t xml:space="preserve"> however, the actual dose reduction rate achieved was approximately 18%. </w:t>
      </w:r>
    </w:p>
    <w:p w:rsidR="008871DE" w:rsidRPr="002A6416" w:rsidRDefault="008871DE" w:rsidP="008871DE">
      <w:pPr>
        <w:ind w:left="360"/>
        <w:rPr>
          <w:rStyle w:val="Style1"/>
          <w:rFonts w:cs="Trebuchet MS"/>
          <w:szCs w:val="24"/>
        </w:rPr>
      </w:pPr>
      <w:r w:rsidRPr="002A6416">
        <w:rPr>
          <w:rStyle w:val="Style1"/>
          <w:rFonts w:cs="Trebuchet MS"/>
          <w:szCs w:val="24"/>
        </w:rPr>
        <w:t>Proactive Case 1: Dose Alerts</w:t>
      </w:r>
    </w:p>
    <w:p w:rsidR="008871DE" w:rsidRPr="002A6416" w:rsidRDefault="008871DE" w:rsidP="008871DE">
      <w:pPr>
        <w:pStyle w:val="ListParagraph"/>
        <w:numPr>
          <w:ilvl w:val="0"/>
          <w:numId w:val="38"/>
        </w:numPr>
        <w:ind w:left="1080"/>
        <w:rPr>
          <w:rStyle w:val="Style1"/>
          <w:rFonts w:cs="Trebuchet MS"/>
          <w:szCs w:val="24"/>
        </w:rPr>
      </w:pPr>
      <w:r w:rsidRPr="002A6416">
        <w:rPr>
          <w:rStyle w:val="Style1"/>
          <w:rFonts w:cs="Trebuchet MS"/>
          <w:szCs w:val="24"/>
        </w:rPr>
        <w:t>CT operators were alerted when scan settings exceeded dose thresholds prior to acquisitions (inputs were from the institutional DIR report, e.g. 75th percentiles)</w:t>
      </w:r>
    </w:p>
    <w:p w:rsidR="008871DE" w:rsidRPr="002A6416" w:rsidRDefault="008871DE" w:rsidP="008871DE">
      <w:pPr>
        <w:ind w:left="360"/>
        <w:rPr>
          <w:rStyle w:val="Style1"/>
          <w:rFonts w:cs="Trebuchet MS"/>
          <w:szCs w:val="24"/>
        </w:rPr>
      </w:pPr>
      <w:r w:rsidRPr="002A6416">
        <w:rPr>
          <w:rStyle w:val="Style1"/>
          <w:rFonts w:cs="Trebuchet MS"/>
          <w:szCs w:val="24"/>
        </w:rPr>
        <w:lastRenderedPageBreak/>
        <w:t>Proactive Case 2: Size-specific DRL (WIP)</w:t>
      </w:r>
    </w:p>
    <w:p w:rsidR="008871DE" w:rsidRPr="002A6416" w:rsidRDefault="008871DE" w:rsidP="008871DE">
      <w:pPr>
        <w:pStyle w:val="ListParagraph"/>
        <w:numPr>
          <w:ilvl w:val="0"/>
          <w:numId w:val="38"/>
        </w:numPr>
        <w:ind w:left="1080"/>
        <w:rPr>
          <w:rStyle w:val="Style1"/>
          <w:rFonts w:cs="Trebuchet MS"/>
          <w:szCs w:val="24"/>
        </w:rPr>
      </w:pPr>
      <w:r w:rsidRPr="002A6416">
        <w:rPr>
          <w:rStyle w:val="Style1"/>
          <w:rFonts w:cs="Trebuchet MS"/>
          <w:szCs w:val="24"/>
        </w:rPr>
        <w:t>Factors affecting the CT technique and dose were found to include:</w:t>
      </w:r>
    </w:p>
    <w:p w:rsidR="008871DE" w:rsidRPr="002A6416" w:rsidRDefault="008871DE" w:rsidP="008871DE">
      <w:pPr>
        <w:pStyle w:val="ListParagraph"/>
        <w:numPr>
          <w:ilvl w:val="0"/>
          <w:numId w:val="39"/>
        </w:numPr>
        <w:ind w:left="1440"/>
        <w:rPr>
          <w:rStyle w:val="Style1"/>
          <w:rFonts w:cs="Trebuchet MS"/>
          <w:szCs w:val="24"/>
        </w:rPr>
      </w:pPr>
      <w:r w:rsidRPr="002A6416">
        <w:rPr>
          <w:rStyle w:val="Style1"/>
          <w:rFonts w:cs="Trebuchet MS"/>
          <w:szCs w:val="24"/>
        </w:rPr>
        <w:t>Anatomy/pathology</w:t>
      </w:r>
    </w:p>
    <w:p w:rsidR="008871DE" w:rsidRPr="002A6416" w:rsidRDefault="008871DE" w:rsidP="008871DE">
      <w:pPr>
        <w:pStyle w:val="ListParagraph"/>
        <w:numPr>
          <w:ilvl w:val="0"/>
          <w:numId w:val="39"/>
        </w:numPr>
        <w:ind w:left="1440"/>
        <w:rPr>
          <w:rStyle w:val="Style1"/>
          <w:rFonts w:cs="Trebuchet MS"/>
          <w:szCs w:val="24"/>
        </w:rPr>
      </w:pPr>
      <w:r w:rsidRPr="002A6416">
        <w:rPr>
          <w:rStyle w:val="Style1"/>
          <w:rFonts w:cs="Trebuchet MS"/>
          <w:szCs w:val="24"/>
        </w:rPr>
        <w:t>Patient size/habitus</w:t>
      </w:r>
    </w:p>
    <w:p w:rsidR="008871DE" w:rsidRPr="002A6416" w:rsidRDefault="008871DE" w:rsidP="008871DE">
      <w:pPr>
        <w:pStyle w:val="ListParagraph"/>
        <w:numPr>
          <w:ilvl w:val="0"/>
          <w:numId w:val="39"/>
        </w:numPr>
        <w:ind w:left="1440"/>
        <w:rPr>
          <w:rStyle w:val="Style1"/>
          <w:rFonts w:cs="Trebuchet MS"/>
          <w:szCs w:val="24"/>
        </w:rPr>
      </w:pPr>
      <w:r w:rsidRPr="002A6416">
        <w:rPr>
          <w:rStyle w:val="Style1"/>
          <w:rFonts w:cs="Trebuchet MS"/>
          <w:szCs w:val="24"/>
        </w:rPr>
        <w:t>Age: adult vs. pediatric</w:t>
      </w:r>
    </w:p>
    <w:p w:rsidR="008871DE" w:rsidRPr="002A6416" w:rsidRDefault="008871DE" w:rsidP="008871DE">
      <w:pPr>
        <w:pStyle w:val="ListParagraph"/>
        <w:numPr>
          <w:ilvl w:val="0"/>
          <w:numId w:val="39"/>
        </w:numPr>
        <w:ind w:left="1440"/>
        <w:rPr>
          <w:rStyle w:val="Style1"/>
          <w:rFonts w:cs="Trebuchet MS"/>
          <w:szCs w:val="24"/>
        </w:rPr>
      </w:pPr>
      <w:r w:rsidRPr="002A6416">
        <w:rPr>
          <w:rStyle w:val="Style1"/>
          <w:rFonts w:cs="Trebuchet MS"/>
          <w:szCs w:val="24"/>
        </w:rPr>
        <w:t>Indication: screening vs. follow-up</w:t>
      </w:r>
    </w:p>
    <w:p w:rsidR="008871DE" w:rsidRPr="002A6416" w:rsidRDefault="008871DE" w:rsidP="008871DE">
      <w:pPr>
        <w:pStyle w:val="ListParagraph"/>
        <w:numPr>
          <w:ilvl w:val="0"/>
          <w:numId w:val="39"/>
        </w:numPr>
        <w:ind w:left="1440"/>
        <w:rPr>
          <w:rStyle w:val="Style1"/>
          <w:rFonts w:cs="Trebuchet MS"/>
          <w:szCs w:val="24"/>
        </w:rPr>
      </w:pPr>
      <w:r w:rsidRPr="002A6416">
        <w:rPr>
          <w:rStyle w:val="Style1"/>
          <w:rFonts w:cs="Trebuchet MS"/>
          <w:szCs w:val="24"/>
        </w:rPr>
        <w:t xml:space="preserve">Availability of dose management technologies: ATCM, SIR, special scan modes, etc. </w:t>
      </w:r>
    </w:p>
    <w:p w:rsidR="008871DE" w:rsidRDefault="008871DE" w:rsidP="008871DE">
      <w:pPr>
        <w:pStyle w:val="ListParagraph"/>
        <w:ind w:left="1440"/>
      </w:pPr>
      <w:r>
        <w:t xml:space="preserve"> </w:t>
      </w:r>
    </w:p>
    <w:p w:rsidR="008871DE" w:rsidRDefault="008871DE" w:rsidP="008871DE">
      <w:pPr>
        <w:ind w:left="360"/>
        <w:rPr>
          <w:b/>
        </w:rPr>
      </w:pPr>
      <w:r>
        <w:rPr>
          <w:b/>
        </w:rPr>
        <w:t>Conclusion</w:t>
      </w:r>
    </w:p>
    <w:p w:rsidR="008871DE" w:rsidRPr="002A6416" w:rsidRDefault="008871DE" w:rsidP="008871DE">
      <w:pPr>
        <w:ind w:left="360"/>
        <w:rPr>
          <w:rStyle w:val="Style1"/>
          <w:rFonts w:cs="Trebuchet MS"/>
          <w:szCs w:val="24"/>
        </w:rPr>
      </w:pPr>
      <w:r w:rsidRPr="002A6416">
        <w:rPr>
          <w:rStyle w:val="Style1"/>
          <w:rFonts w:cs="Trebuchet MS"/>
          <w:szCs w:val="24"/>
        </w:rPr>
        <w:t xml:space="preserve">The root cause for the (approximately 20%) higher CT Chest with contrast dosage from January-June, 2013 was that radiologists at the facility had been prescribing the same protocol, despite the existence of a lower dose protocol. </w:t>
      </w:r>
    </w:p>
    <w:p w:rsidR="008871DE" w:rsidRPr="002A6416" w:rsidRDefault="008871DE" w:rsidP="008871DE">
      <w:pPr>
        <w:ind w:left="360"/>
        <w:rPr>
          <w:rStyle w:val="Style1"/>
          <w:rFonts w:cs="Trebuchet MS"/>
          <w:szCs w:val="24"/>
        </w:rPr>
      </w:pPr>
      <w:r w:rsidRPr="002A6416">
        <w:rPr>
          <w:rStyle w:val="Style1"/>
          <w:rFonts w:cs="Trebuchet MS"/>
          <w:szCs w:val="24"/>
        </w:rPr>
        <w:t>DIR is an extremely valuable tool of quality assurance and patient safety for participating facilities, with usage not limited to retrospective application.</w:t>
      </w:r>
    </w:p>
    <w:p w:rsidR="008871DE" w:rsidRPr="002A6416" w:rsidRDefault="008871DE" w:rsidP="008871DE">
      <w:pPr>
        <w:ind w:left="360"/>
        <w:rPr>
          <w:rStyle w:val="Style1"/>
          <w:rFonts w:cs="Trebuchet MS"/>
          <w:szCs w:val="24"/>
        </w:rPr>
      </w:pPr>
      <w:r w:rsidRPr="002A6416">
        <w:rPr>
          <w:rStyle w:val="Style1"/>
          <w:rFonts w:cs="Trebuchet MS"/>
          <w:szCs w:val="24"/>
        </w:rPr>
        <w:t xml:space="preserve">Exam-specific, size-specific DRLs are more appropriate, and ACR is the best resource to lead this long-term vision.  </w:t>
      </w:r>
    </w:p>
    <w:p w:rsidR="008871DE" w:rsidRPr="00F40AC9" w:rsidRDefault="008871DE" w:rsidP="00682C96">
      <w:pPr>
        <w:autoSpaceDE w:val="0"/>
        <w:autoSpaceDN w:val="0"/>
        <w:adjustRightInd w:val="0"/>
        <w:spacing w:after="0" w:line="240" w:lineRule="auto"/>
        <w:ind w:left="360"/>
        <w:rPr>
          <w:rFonts w:cstheme="minorHAnsi"/>
          <w:bCs/>
          <w:highlight w:val="yellow"/>
        </w:rPr>
      </w:pPr>
    </w:p>
    <w:p w:rsidR="00682C96" w:rsidRPr="002A6416" w:rsidRDefault="00682C96" w:rsidP="002A6416">
      <w:pPr>
        <w:ind w:left="360"/>
        <w:rPr>
          <w:b/>
        </w:rPr>
      </w:pPr>
      <w:r w:rsidRPr="002A6416">
        <w:rPr>
          <w:b/>
        </w:rPr>
        <w:t xml:space="preserve">Case Study 3: </w:t>
      </w:r>
    </w:p>
    <w:p w:rsidR="008871DE" w:rsidRDefault="008871DE" w:rsidP="008871DE">
      <w:pPr>
        <w:ind w:left="360"/>
      </w:pPr>
      <w:r w:rsidRPr="00E85CF4">
        <w:rPr>
          <w:b/>
        </w:rPr>
        <w:t>Demographics</w:t>
      </w:r>
      <w:r>
        <w:t xml:space="preserve"> </w:t>
      </w:r>
    </w:p>
    <w:p w:rsidR="008871DE" w:rsidRPr="002A6416" w:rsidRDefault="008871DE" w:rsidP="008871DE">
      <w:pPr>
        <w:ind w:left="360"/>
        <w:rPr>
          <w:rStyle w:val="Style1"/>
          <w:rFonts w:cs="Trebuchet MS"/>
          <w:szCs w:val="24"/>
        </w:rPr>
      </w:pPr>
      <w:r w:rsidRPr="002A6416">
        <w:rPr>
          <w:rStyle w:val="Style1"/>
          <w:rFonts w:cs="Trebuchet MS"/>
          <w:szCs w:val="24"/>
        </w:rPr>
        <w:t xml:space="preserve">Women and children’s 200 bed facility averaging 75,000 annual exams, part of larger 4 </w:t>
      </w:r>
      <w:proofErr w:type="gramStart"/>
      <w:r w:rsidRPr="002A6416">
        <w:rPr>
          <w:rStyle w:val="Style1"/>
          <w:rFonts w:cs="Trebuchet MS"/>
          <w:szCs w:val="24"/>
        </w:rPr>
        <w:t>hospital</w:t>
      </w:r>
      <w:proofErr w:type="gramEnd"/>
      <w:r w:rsidRPr="002A6416">
        <w:rPr>
          <w:rStyle w:val="Style1"/>
          <w:rFonts w:cs="Trebuchet MS"/>
          <w:szCs w:val="24"/>
        </w:rPr>
        <w:t xml:space="preserve"> and vascular institute health system.  </w:t>
      </w:r>
    </w:p>
    <w:p w:rsidR="008871DE" w:rsidRPr="00E85CF4" w:rsidRDefault="008871DE" w:rsidP="008871DE">
      <w:pPr>
        <w:ind w:left="360"/>
        <w:rPr>
          <w:b/>
        </w:rPr>
      </w:pPr>
      <w:r w:rsidRPr="00E85CF4">
        <w:rPr>
          <w:b/>
        </w:rPr>
        <w:t>Previous Approach to Optimizing Pat</w:t>
      </w:r>
      <w:r>
        <w:rPr>
          <w:b/>
        </w:rPr>
        <w:t>ient Exposure to Radiation Dose</w:t>
      </w:r>
      <w:r w:rsidRPr="00E85CF4">
        <w:rPr>
          <w:b/>
        </w:rPr>
        <w:t xml:space="preserve"> </w:t>
      </w:r>
    </w:p>
    <w:p w:rsidR="008871DE" w:rsidRPr="002A6416" w:rsidRDefault="008871DE" w:rsidP="008871DE">
      <w:pPr>
        <w:ind w:left="360"/>
        <w:rPr>
          <w:rStyle w:val="Style1"/>
          <w:rFonts w:cs="Trebuchet MS"/>
          <w:szCs w:val="24"/>
        </w:rPr>
      </w:pPr>
      <w:r w:rsidRPr="002A6416">
        <w:rPr>
          <w:rStyle w:val="Style1"/>
          <w:rFonts w:cs="Trebuchet MS"/>
          <w:szCs w:val="24"/>
        </w:rPr>
        <w:t xml:space="preserve">In 2011 the established Dose Reduction Committee determined data at the facility to be limited, and identified CT Abdomen as an opportunity for dose reduction. In 2012 data was again found to be limited, and the Dose Reduction Committee identified CT </w:t>
      </w:r>
      <w:proofErr w:type="spellStart"/>
      <w:r w:rsidRPr="002A6416">
        <w:rPr>
          <w:rStyle w:val="Style1"/>
          <w:rFonts w:cs="Trebuchet MS"/>
          <w:szCs w:val="24"/>
        </w:rPr>
        <w:t>Paranasal</w:t>
      </w:r>
      <w:proofErr w:type="spellEnd"/>
      <w:r w:rsidRPr="002A6416">
        <w:rPr>
          <w:rStyle w:val="Style1"/>
          <w:rFonts w:cs="Trebuchet MS"/>
          <w:szCs w:val="24"/>
        </w:rPr>
        <w:t xml:space="preserve"> Sinuses without contrast as a new opportunity for dose reduction.    </w:t>
      </w:r>
    </w:p>
    <w:p w:rsidR="008871DE" w:rsidRDefault="008871DE" w:rsidP="008871DE">
      <w:pPr>
        <w:ind w:left="360"/>
        <w:rPr>
          <w:b/>
        </w:rPr>
      </w:pPr>
      <w:r w:rsidRPr="00E85CF4">
        <w:rPr>
          <w:b/>
        </w:rPr>
        <w:t>Study Approach to Optimizing Pat</w:t>
      </w:r>
      <w:r>
        <w:rPr>
          <w:b/>
        </w:rPr>
        <w:t>ient Exposure to Radiation Dose</w:t>
      </w:r>
    </w:p>
    <w:p w:rsidR="008871DE" w:rsidRPr="002A6416" w:rsidRDefault="008871DE" w:rsidP="008871DE">
      <w:pPr>
        <w:ind w:left="360"/>
        <w:rPr>
          <w:rStyle w:val="Style1"/>
          <w:rFonts w:cs="Trebuchet MS"/>
          <w:szCs w:val="24"/>
        </w:rPr>
      </w:pPr>
      <w:r w:rsidRPr="002A6416">
        <w:rPr>
          <w:rStyle w:val="Style1"/>
          <w:rFonts w:cs="Trebuchet MS"/>
          <w:szCs w:val="24"/>
        </w:rPr>
        <w:t>2011: The Dose Reduction Committee formulated the following plans of action to address dose reduction for CT Abdomen studies:</w:t>
      </w:r>
    </w:p>
    <w:p w:rsidR="008871DE" w:rsidRPr="002A6416" w:rsidRDefault="008871DE" w:rsidP="008871DE">
      <w:pPr>
        <w:pStyle w:val="ListParagraph"/>
        <w:numPr>
          <w:ilvl w:val="0"/>
          <w:numId w:val="40"/>
        </w:numPr>
        <w:ind w:left="1080"/>
        <w:rPr>
          <w:rStyle w:val="Style1"/>
          <w:rFonts w:cs="Trebuchet MS"/>
          <w:szCs w:val="24"/>
        </w:rPr>
      </w:pPr>
      <w:r w:rsidRPr="002A6416">
        <w:rPr>
          <w:rStyle w:val="Style1"/>
          <w:rFonts w:cs="Trebuchet MS"/>
          <w:szCs w:val="24"/>
        </w:rPr>
        <w:t>Slice thickness and pitch were to be reviewed</w:t>
      </w:r>
    </w:p>
    <w:p w:rsidR="008871DE" w:rsidRPr="002A6416" w:rsidRDefault="008871DE" w:rsidP="008871DE">
      <w:pPr>
        <w:pStyle w:val="ListParagraph"/>
        <w:numPr>
          <w:ilvl w:val="0"/>
          <w:numId w:val="40"/>
        </w:numPr>
        <w:ind w:left="1080"/>
        <w:rPr>
          <w:rStyle w:val="Style1"/>
          <w:rFonts w:cs="Trebuchet MS"/>
          <w:szCs w:val="24"/>
        </w:rPr>
      </w:pPr>
      <w:r w:rsidRPr="002A6416">
        <w:rPr>
          <w:rStyle w:val="Style1"/>
          <w:rFonts w:cs="Trebuchet MS"/>
          <w:szCs w:val="24"/>
        </w:rPr>
        <w:t>Middle of software upgrade where CARE KV would be installed</w:t>
      </w:r>
    </w:p>
    <w:p w:rsidR="008871DE" w:rsidRPr="002A6416" w:rsidRDefault="008871DE" w:rsidP="008871DE">
      <w:pPr>
        <w:pStyle w:val="ListParagraph"/>
        <w:numPr>
          <w:ilvl w:val="0"/>
          <w:numId w:val="40"/>
        </w:numPr>
        <w:ind w:left="1080"/>
        <w:rPr>
          <w:rStyle w:val="Style1"/>
          <w:rFonts w:cs="Trebuchet MS"/>
          <w:szCs w:val="24"/>
        </w:rPr>
      </w:pPr>
      <w:r w:rsidRPr="002A6416">
        <w:rPr>
          <w:rStyle w:val="Style1"/>
          <w:rFonts w:cs="Trebuchet MS"/>
          <w:szCs w:val="24"/>
        </w:rPr>
        <w:t xml:space="preserve">Optimize workflow and protocols to better utilize </w:t>
      </w:r>
      <w:proofErr w:type="spellStart"/>
      <w:r w:rsidRPr="002A6416">
        <w:rPr>
          <w:rStyle w:val="Style1"/>
          <w:rFonts w:cs="Trebuchet MS"/>
          <w:szCs w:val="24"/>
        </w:rPr>
        <w:t>CareDose</w:t>
      </w:r>
      <w:proofErr w:type="spellEnd"/>
      <w:r w:rsidRPr="002A6416">
        <w:rPr>
          <w:rStyle w:val="Style1"/>
          <w:rFonts w:cs="Trebuchet MS"/>
          <w:szCs w:val="24"/>
        </w:rPr>
        <w:t xml:space="preserve"> and </w:t>
      </w:r>
      <w:proofErr w:type="spellStart"/>
      <w:r w:rsidRPr="002A6416">
        <w:rPr>
          <w:rStyle w:val="Style1"/>
          <w:rFonts w:cs="Trebuchet MS"/>
          <w:szCs w:val="24"/>
        </w:rPr>
        <w:t>CarekV</w:t>
      </w:r>
      <w:proofErr w:type="spellEnd"/>
    </w:p>
    <w:p w:rsidR="008871DE" w:rsidRPr="002A6416" w:rsidRDefault="008871DE" w:rsidP="008871DE">
      <w:pPr>
        <w:pStyle w:val="ListParagraph"/>
        <w:numPr>
          <w:ilvl w:val="0"/>
          <w:numId w:val="40"/>
        </w:numPr>
        <w:ind w:left="1080"/>
        <w:rPr>
          <w:rStyle w:val="Style1"/>
          <w:rFonts w:cs="Trebuchet MS"/>
          <w:szCs w:val="24"/>
        </w:rPr>
      </w:pPr>
      <w:r w:rsidRPr="002A6416">
        <w:rPr>
          <w:rStyle w:val="Style1"/>
          <w:rFonts w:cs="Trebuchet MS"/>
          <w:szCs w:val="24"/>
        </w:rPr>
        <w:t>Hesitant to change too much too fast</w:t>
      </w:r>
    </w:p>
    <w:p w:rsidR="008871DE" w:rsidRDefault="008871DE" w:rsidP="008871DE">
      <w:pPr>
        <w:ind w:left="360"/>
      </w:pPr>
      <w:r>
        <w:rPr>
          <w:b/>
        </w:rPr>
        <w:lastRenderedPageBreak/>
        <w:t>Results</w:t>
      </w:r>
      <w:r>
        <w:t xml:space="preserve"> </w:t>
      </w:r>
    </w:p>
    <w:p w:rsidR="008871DE" w:rsidRPr="002A6416" w:rsidRDefault="008871DE" w:rsidP="008871DE">
      <w:pPr>
        <w:ind w:left="360"/>
        <w:rPr>
          <w:rStyle w:val="Style1"/>
          <w:rFonts w:cs="Trebuchet MS"/>
          <w:szCs w:val="24"/>
        </w:rPr>
      </w:pPr>
      <w:r w:rsidRPr="002A6416">
        <w:rPr>
          <w:rStyle w:val="Style1"/>
          <w:rFonts w:cs="Trebuchet MS"/>
          <w:szCs w:val="24"/>
        </w:rPr>
        <w:t>2012 Data: Data was benchmarked against the NRDR DIR; 209 participants in 2012 data across 7 U.S. Children’s hospitals, broken into age groups of 0-2, 3-6, 7-10, 11-14, and 15-18 years.</w:t>
      </w:r>
    </w:p>
    <w:p w:rsidR="008871DE" w:rsidRPr="002A6416" w:rsidRDefault="008871DE" w:rsidP="008871DE">
      <w:pPr>
        <w:ind w:left="360"/>
        <w:rPr>
          <w:rStyle w:val="Style1"/>
          <w:rFonts w:cs="Trebuchet MS"/>
          <w:szCs w:val="24"/>
        </w:rPr>
      </w:pPr>
      <w:r w:rsidRPr="002A6416">
        <w:rPr>
          <w:rStyle w:val="Style1"/>
          <w:rFonts w:cs="Trebuchet MS"/>
          <w:szCs w:val="24"/>
        </w:rPr>
        <w:t xml:space="preserve">CT Head Brain </w:t>
      </w:r>
      <w:proofErr w:type="gramStart"/>
      <w:r w:rsidRPr="002A6416">
        <w:rPr>
          <w:rStyle w:val="Style1"/>
          <w:rFonts w:cs="Trebuchet MS"/>
          <w:szCs w:val="24"/>
        </w:rPr>
        <w:t>Without</w:t>
      </w:r>
      <w:proofErr w:type="gramEnd"/>
      <w:r w:rsidRPr="002A6416">
        <w:rPr>
          <w:rStyle w:val="Style1"/>
          <w:rFonts w:cs="Trebuchet MS"/>
          <w:szCs w:val="24"/>
        </w:rPr>
        <w:t xml:space="preserve"> IV Contrast: </w:t>
      </w:r>
      <w:proofErr w:type="spellStart"/>
      <w:r w:rsidRPr="002A6416">
        <w:rPr>
          <w:rStyle w:val="Style1"/>
          <w:rFonts w:cs="Trebuchet MS"/>
          <w:szCs w:val="24"/>
        </w:rPr>
        <w:t>CTDIvol</w:t>
      </w:r>
      <w:proofErr w:type="spellEnd"/>
      <w:r w:rsidRPr="002A6416">
        <w:rPr>
          <w:rStyle w:val="Style1"/>
          <w:rFonts w:cs="Trebuchet MS"/>
          <w:szCs w:val="24"/>
        </w:rPr>
        <w:t xml:space="preserve"> Per Scan (Age Group 7-10):</w:t>
      </w:r>
    </w:p>
    <w:tbl>
      <w:tblPr>
        <w:tblStyle w:val="TableGrid"/>
        <w:tblW w:w="9576" w:type="dxa"/>
        <w:tblInd w:w="360" w:type="dxa"/>
        <w:tblLook w:val="04A0" w:firstRow="1" w:lastRow="0" w:firstColumn="1" w:lastColumn="0" w:noHBand="0" w:noVBand="1"/>
      </w:tblPr>
      <w:tblGrid>
        <w:gridCol w:w="1915"/>
        <w:gridCol w:w="1915"/>
        <w:gridCol w:w="1915"/>
        <w:gridCol w:w="1915"/>
        <w:gridCol w:w="1916"/>
      </w:tblGrid>
      <w:tr w:rsidR="008871DE" w:rsidTr="008871DE">
        <w:tc>
          <w:tcPr>
            <w:tcW w:w="1915" w:type="dxa"/>
          </w:tcPr>
          <w:p w:rsidR="008871DE" w:rsidRDefault="008871DE" w:rsidP="00593AAB"/>
        </w:tc>
        <w:tc>
          <w:tcPr>
            <w:tcW w:w="1915" w:type="dxa"/>
          </w:tcPr>
          <w:p w:rsidR="008871DE" w:rsidRDefault="008871DE" w:rsidP="00593AAB">
            <w:r>
              <w:t>N</w:t>
            </w:r>
          </w:p>
        </w:tc>
        <w:tc>
          <w:tcPr>
            <w:tcW w:w="1915" w:type="dxa"/>
          </w:tcPr>
          <w:p w:rsidR="008871DE" w:rsidRDefault="008871DE" w:rsidP="00593AAB">
            <w:r>
              <w:t xml:space="preserve">Median </w:t>
            </w:r>
          </w:p>
        </w:tc>
        <w:tc>
          <w:tcPr>
            <w:tcW w:w="1915" w:type="dxa"/>
          </w:tcPr>
          <w:p w:rsidR="008871DE" w:rsidRDefault="008871DE" w:rsidP="00593AAB">
            <w:r>
              <w:t>Mean</w:t>
            </w:r>
          </w:p>
        </w:tc>
        <w:tc>
          <w:tcPr>
            <w:tcW w:w="1916" w:type="dxa"/>
          </w:tcPr>
          <w:p w:rsidR="008871DE" w:rsidRDefault="008871DE" w:rsidP="00593AAB">
            <w:r>
              <w:t>St Dev</w:t>
            </w:r>
          </w:p>
        </w:tc>
      </w:tr>
      <w:tr w:rsidR="008871DE" w:rsidTr="008871DE">
        <w:tc>
          <w:tcPr>
            <w:tcW w:w="1915" w:type="dxa"/>
          </w:tcPr>
          <w:p w:rsidR="008871DE" w:rsidRDefault="008871DE" w:rsidP="00593AAB">
            <w:r>
              <w:t>Facility</w:t>
            </w:r>
          </w:p>
        </w:tc>
        <w:tc>
          <w:tcPr>
            <w:tcW w:w="1915" w:type="dxa"/>
          </w:tcPr>
          <w:p w:rsidR="008871DE" w:rsidRDefault="008871DE" w:rsidP="00593AAB">
            <w:r>
              <w:t>4</w:t>
            </w:r>
          </w:p>
        </w:tc>
        <w:tc>
          <w:tcPr>
            <w:tcW w:w="1915" w:type="dxa"/>
          </w:tcPr>
          <w:p w:rsidR="008871DE" w:rsidRDefault="008871DE" w:rsidP="00593AAB">
            <w:r>
              <w:t>22</w:t>
            </w:r>
          </w:p>
        </w:tc>
        <w:tc>
          <w:tcPr>
            <w:tcW w:w="1915" w:type="dxa"/>
          </w:tcPr>
          <w:p w:rsidR="008871DE" w:rsidRDefault="008871DE" w:rsidP="00593AAB">
            <w:r>
              <w:t>22</w:t>
            </w:r>
          </w:p>
        </w:tc>
        <w:tc>
          <w:tcPr>
            <w:tcW w:w="1916" w:type="dxa"/>
          </w:tcPr>
          <w:p w:rsidR="008871DE" w:rsidRDefault="008871DE" w:rsidP="00593AAB">
            <w:r>
              <w:t>2</w:t>
            </w:r>
          </w:p>
        </w:tc>
      </w:tr>
      <w:tr w:rsidR="008871DE" w:rsidTr="008871DE">
        <w:tc>
          <w:tcPr>
            <w:tcW w:w="1915" w:type="dxa"/>
          </w:tcPr>
          <w:p w:rsidR="008871DE" w:rsidRDefault="008871DE" w:rsidP="00593AAB">
            <w:r>
              <w:t>All DIR Sites</w:t>
            </w:r>
          </w:p>
        </w:tc>
        <w:tc>
          <w:tcPr>
            <w:tcW w:w="1915" w:type="dxa"/>
          </w:tcPr>
          <w:p w:rsidR="008871DE" w:rsidRDefault="008871DE" w:rsidP="00593AAB">
            <w:r>
              <w:t>1433</w:t>
            </w:r>
          </w:p>
        </w:tc>
        <w:tc>
          <w:tcPr>
            <w:tcW w:w="1915" w:type="dxa"/>
          </w:tcPr>
          <w:p w:rsidR="008871DE" w:rsidRDefault="008871DE" w:rsidP="00593AAB">
            <w:r>
              <w:t>45</w:t>
            </w:r>
          </w:p>
        </w:tc>
        <w:tc>
          <w:tcPr>
            <w:tcW w:w="1915" w:type="dxa"/>
          </w:tcPr>
          <w:p w:rsidR="008871DE" w:rsidRDefault="008871DE" w:rsidP="00593AAB">
            <w:r>
              <w:t>43</w:t>
            </w:r>
          </w:p>
        </w:tc>
        <w:tc>
          <w:tcPr>
            <w:tcW w:w="1916" w:type="dxa"/>
          </w:tcPr>
          <w:p w:rsidR="008871DE" w:rsidRDefault="008871DE" w:rsidP="00593AAB">
            <w:r>
              <w:t>17</w:t>
            </w:r>
          </w:p>
        </w:tc>
      </w:tr>
    </w:tbl>
    <w:p w:rsidR="008871DE" w:rsidRPr="00C56567" w:rsidRDefault="008871DE" w:rsidP="008871DE">
      <w:pPr>
        <w:ind w:left="360"/>
      </w:pPr>
    </w:p>
    <w:p w:rsidR="008871DE" w:rsidRPr="002A6416" w:rsidRDefault="008871DE" w:rsidP="008871DE">
      <w:pPr>
        <w:ind w:left="360"/>
        <w:rPr>
          <w:rStyle w:val="Style1"/>
          <w:rFonts w:cs="Trebuchet MS"/>
          <w:szCs w:val="24"/>
        </w:rPr>
      </w:pPr>
      <w:r w:rsidRPr="002A6416">
        <w:rPr>
          <w:rStyle w:val="Style1"/>
          <w:rFonts w:cs="Trebuchet MS"/>
          <w:szCs w:val="24"/>
        </w:rPr>
        <w:t xml:space="preserve">CT Abdomen/Pelvis </w:t>
      </w:r>
      <w:proofErr w:type="gramStart"/>
      <w:r w:rsidRPr="002A6416">
        <w:rPr>
          <w:rStyle w:val="Style1"/>
          <w:rFonts w:cs="Trebuchet MS"/>
          <w:szCs w:val="24"/>
        </w:rPr>
        <w:t>With</w:t>
      </w:r>
      <w:proofErr w:type="gramEnd"/>
      <w:r w:rsidRPr="002A6416">
        <w:rPr>
          <w:rStyle w:val="Style1"/>
          <w:rFonts w:cs="Trebuchet MS"/>
          <w:szCs w:val="24"/>
        </w:rPr>
        <w:t xml:space="preserve"> IV Contrast: </w:t>
      </w:r>
      <w:proofErr w:type="spellStart"/>
      <w:r w:rsidRPr="002A6416">
        <w:rPr>
          <w:rStyle w:val="Style1"/>
          <w:rFonts w:cs="Trebuchet MS"/>
          <w:szCs w:val="24"/>
        </w:rPr>
        <w:t>CTDIvol</w:t>
      </w:r>
      <w:proofErr w:type="spellEnd"/>
      <w:r w:rsidRPr="002A6416">
        <w:rPr>
          <w:rStyle w:val="Style1"/>
          <w:rFonts w:cs="Trebuchet MS"/>
          <w:szCs w:val="24"/>
        </w:rPr>
        <w:t xml:space="preserve"> Per Scan (Age Group 3-6):</w:t>
      </w:r>
    </w:p>
    <w:tbl>
      <w:tblPr>
        <w:tblStyle w:val="TableGrid"/>
        <w:tblW w:w="9576" w:type="dxa"/>
        <w:tblInd w:w="360" w:type="dxa"/>
        <w:tblLook w:val="04A0" w:firstRow="1" w:lastRow="0" w:firstColumn="1" w:lastColumn="0" w:noHBand="0" w:noVBand="1"/>
      </w:tblPr>
      <w:tblGrid>
        <w:gridCol w:w="1915"/>
        <w:gridCol w:w="1915"/>
        <w:gridCol w:w="1915"/>
        <w:gridCol w:w="1915"/>
        <w:gridCol w:w="1916"/>
      </w:tblGrid>
      <w:tr w:rsidR="008871DE" w:rsidTr="008871DE">
        <w:tc>
          <w:tcPr>
            <w:tcW w:w="1915" w:type="dxa"/>
          </w:tcPr>
          <w:p w:rsidR="008871DE" w:rsidRDefault="008871DE" w:rsidP="00593AAB"/>
        </w:tc>
        <w:tc>
          <w:tcPr>
            <w:tcW w:w="1915" w:type="dxa"/>
          </w:tcPr>
          <w:p w:rsidR="008871DE" w:rsidRDefault="008871DE" w:rsidP="00593AAB">
            <w:r>
              <w:t>N</w:t>
            </w:r>
          </w:p>
        </w:tc>
        <w:tc>
          <w:tcPr>
            <w:tcW w:w="1915" w:type="dxa"/>
          </w:tcPr>
          <w:p w:rsidR="008871DE" w:rsidRDefault="008871DE" w:rsidP="00593AAB">
            <w:r>
              <w:t>Median</w:t>
            </w:r>
          </w:p>
        </w:tc>
        <w:tc>
          <w:tcPr>
            <w:tcW w:w="1915" w:type="dxa"/>
          </w:tcPr>
          <w:p w:rsidR="008871DE" w:rsidRDefault="008871DE" w:rsidP="00593AAB">
            <w:r>
              <w:t>Mean</w:t>
            </w:r>
          </w:p>
        </w:tc>
        <w:tc>
          <w:tcPr>
            <w:tcW w:w="1916" w:type="dxa"/>
          </w:tcPr>
          <w:p w:rsidR="008871DE" w:rsidRDefault="008871DE" w:rsidP="00593AAB">
            <w:r>
              <w:t>St Dev</w:t>
            </w:r>
          </w:p>
        </w:tc>
      </w:tr>
      <w:tr w:rsidR="008871DE" w:rsidTr="008871DE">
        <w:tc>
          <w:tcPr>
            <w:tcW w:w="1915" w:type="dxa"/>
          </w:tcPr>
          <w:p w:rsidR="008871DE" w:rsidRDefault="008871DE" w:rsidP="00593AAB">
            <w:r>
              <w:t>Facility</w:t>
            </w:r>
          </w:p>
        </w:tc>
        <w:tc>
          <w:tcPr>
            <w:tcW w:w="1915" w:type="dxa"/>
          </w:tcPr>
          <w:p w:rsidR="008871DE" w:rsidRDefault="008871DE" w:rsidP="00593AAB">
            <w:r>
              <w:t>4</w:t>
            </w:r>
          </w:p>
        </w:tc>
        <w:tc>
          <w:tcPr>
            <w:tcW w:w="1915" w:type="dxa"/>
          </w:tcPr>
          <w:p w:rsidR="008871DE" w:rsidRDefault="008871DE" w:rsidP="00593AAB">
            <w:r>
              <w:t>17</w:t>
            </w:r>
          </w:p>
        </w:tc>
        <w:tc>
          <w:tcPr>
            <w:tcW w:w="1915" w:type="dxa"/>
          </w:tcPr>
          <w:p w:rsidR="008871DE" w:rsidRDefault="008871DE" w:rsidP="00593AAB">
            <w:r>
              <w:t>18</w:t>
            </w:r>
          </w:p>
        </w:tc>
        <w:tc>
          <w:tcPr>
            <w:tcW w:w="1916" w:type="dxa"/>
          </w:tcPr>
          <w:p w:rsidR="008871DE" w:rsidRDefault="008871DE" w:rsidP="00593AAB">
            <w:r>
              <w:t>2</w:t>
            </w:r>
          </w:p>
        </w:tc>
      </w:tr>
      <w:tr w:rsidR="008871DE" w:rsidTr="008871DE">
        <w:tc>
          <w:tcPr>
            <w:tcW w:w="1915" w:type="dxa"/>
          </w:tcPr>
          <w:p w:rsidR="008871DE" w:rsidRDefault="008871DE" w:rsidP="00593AAB">
            <w:r>
              <w:t>All DIR Sites</w:t>
            </w:r>
          </w:p>
        </w:tc>
        <w:tc>
          <w:tcPr>
            <w:tcW w:w="1915" w:type="dxa"/>
          </w:tcPr>
          <w:p w:rsidR="008871DE" w:rsidRDefault="008871DE" w:rsidP="00593AAB">
            <w:r>
              <w:t>379</w:t>
            </w:r>
          </w:p>
        </w:tc>
        <w:tc>
          <w:tcPr>
            <w:tcW w:w="1915" w:type="dxa"/>
          </w:tcPr>
          <w:p w:rsidR="008871DE" w:rsidRDefault="008871DE" w:rsidP="00593AAB">
            <w:r>
              <w:t>4</w:t>
            </w:r>
          </w:p>
        </w:tc>
        <w:tc>
          <w:tcPr>
            <w:tcW w:w="1915" w:type="dxa"/>
          </w:tcPr>
          <w:p w:rsidR="008871DE" w:rsidRDefault="008871DE" w:rsidP="00593AAB">
            <w:r>
              <w:t>6</w:t>
            </w:r>
          </w:p>
        </w:tc>
        <w:tc>
          <w:tcPr>
            <w:tcW w:w="1916" w:type="dxa"/>
          </w:tcPr>
          <w:p w:rsidR="008871DE" w:rsidRDefault="008871DE" w:rsidP="00593AAB">
            <w:r>
              <w:t>8</w:t>
            </w:r>
          </w:p>
        </w:tc>
      </w:tr>
    </w:tbl>
    <w:p w:rsidR="008871DE" w:rsidRDefault="008871DE" w:rsidP="008871DE">
      <w:pPr>
        <w:ind w:left="360"/>
      </w:pPr>
    </w:p>
    <w:p w:rsidR="008871DE" w:rsidRPr="002A6416" w:rsidRDefault="008871DE" w:rsidP="008871DE">
      <w:pPr>
        <w:pStyle w:val="ListParagraph"/>
        <w:numPr>
          <w:ilvl w:val="0"/>
          <w:numId w:val="41"/>
        </w:numPr>
        <w:ind w:left="1080"/>
        <w:rPr>
          <w:rStyle w:val="Style1"/>
          <w:rFonts w:cs="Trebuchet MS"/>
          <w:szCs w:val="24"/>
        </w:rPr>
      </w:pPr>
      <w:r w:rsidRPr="002A6416">
        <w:rPr>
          <w:rStyle w:val="Style1"/>
          <w:rFonts w:cs="Trebuchet MS"/>
          <w:szCs w:val="24"/>
        </w:rPr>
        <w:t xml:space="preserve">From 2011-2013 the facility decreased </w:t>
      </w:r>
      <w:proofErr w:type="spellStart"/>
      <w:r w:rsidRPr="002A6416">
        <w:rPr>
          <w:rStyle w:val="Style1"/>
          <w:rFonts w:cs="Trebuchet MS"/>
          <w:szCs w:val="24"/>
        </w:rPr>
        <w:t>CTDIvol</w:t>
      </w:r>
      <w:proofErr w:type="spellEnd"/>
      <w:r w:rsidRPr="002A6416">
        <w:rPr>
          <w:rStyle w:val="Style1"/>
          <w:rFonts w:cs="Trebuchet MS"/>
          <w:szCs w:val="24"/>
        </w:rPr>
        <w:t xml:space="preserve"> by &gt;75% in CT Abdomen/Pelvis with IV contrast in 3-6 year olds.</w:t>
      </w:r>
    </w:p>
    <w:p w:rsidR="008871DE" w:rsidRPr="002A6416" w:rsidRDefault="008871DE" w:rsidP="008871DE">
      <w:pPr>
        <w:pStyle w:val="ListParagraph"/>
        <w:numPr>
          <w:ilvl w:val="0"/>
          <w:numId w:val="41"/>
        </w:numPr>
        <w:ind w:left="1080"/>
        <w:rPr>
          <w:rStyle w:val="Style1"/>
          <w:rFonts w:cs="Trebuchet MS"/>
          <w:szCs w:val="24"/>
        </w:rPr>
      </w:pPr>
      <w:proofErr w:type="gramStart"/>
      <w:r w:rsidRPr="002A6416">
        <w:rPr>
          <w:rStyle w:val="Style1"/>
          <w:rFonts w:cs="Trebuchet MS"/>
          <w:szCs w:val="24"/>
        </w:rPr>
        <w:t xml:space="preserve">Reduction of </w:t>
      </w:r>
      <w:proofErr w:type="spellStart"/>
      <w:r w:rsidRPr="002A6416">
        <w:rPr>
          <w:rStyle w:val="Style1"/>
          <w:rFonts w:cs="Trebuchet MS"/>
          <w:szCs w:val="24"/>
        </w:rPr>
        <w:t>CTDIvol</w:t>
      </w:r>
      <w:proofErr w:type="spellEnd"/>
      <w:r w:rsidRPr="002A6416">
        <w:rPr>
          <w:rStyle w:val="Style1"/>
          <w:rFonts w:cs="Trebuchet MS"/>
          <w:szCs w:val="24"/>
        </w:rPr>
        <w:t xml:space="preserve"> of 50% in CT Head </w:t>
      </w:r>
      <w:proofErr w:type="spellStart"/>
      <w:r w:rsidRPr="002A6416">
        <w:rPr>
          <w:rStyle w:val="Style1"/>
          <w:rFonts w:cs="Trebuchet MS"/>
          <w:szCs w:val="24"/>
        </w:rPr>
        <w:t>Angio</w:t>
      </w:r>
      <w:proofErr w:type="spellEnd"/>
      <w:r w:rsidRPr="002A6416">
        <w:rPr>
          <w:rStyle w:val="Style1"/>
          <w:rFonts w:cs="Trebuchet MS"/>
          <w:szCs w:val="24"/>
        </w:rPr>
        <w:t xml:space="preserve"> with IV contrast</w:t>
      </w:r>
      <w:proofErr w:type="gramEnd"/>
      <w:r w:rsidRPr="002A6416">
        <w:rPr>
          <w:rStyle w:val="Style1"/>
          <w:rFonts w:cs="Trebuchet MS"/>
          <w:szCs w:val="24"/>
        </w:rPr>
        <w:t xml:space="preserve"> in 11-14 year olds.</w:t>
      </w:r>
    </w:p>
    <w:p w:rsidR="008871DE" w:rsidRPr="002A6416" w:rsidRDefault="008871DE" w:rsidP="008871DE">
      <w:pPr>
        <w:pStyle w:val="ListParagraph"/>
        <w:numPr>
          <w:ilvl w:val="0"/>
          <w:numId w:val="41"/>
        </w:numPr>
        <w:ind w:left="1080"/>
        <w:rPr>
          <w:rStyle w:val="Style1"/>
          <w:rFonts w:cs="Trebuchet MS"/>
          <w:szCs w:val="24"/>
        </w:rPr>
      </w:pPr>
      <w:r w:rsidRPr="002A6416">
        <w:rPr>
          <w:rStyle w:val="Style1"/>
          <w:rFonts w:cs="Trebuchet MS"/>
          <w:szCs w:val="24"/>
        </w:rPr>
        <w:t>From 2011-2012, the facility experienced an overall reduction in cases that were overexposed, and increase in cases that were underexposed, and continuation of dose reduction education for staff.</w:t>
      </w:r>
    </w:p>
    <w:p w:rsidR="008871DE" w:rsidRDefault="008871DE" w:rsidP="008871DE">
      <w:pPr>
        <w:ind w:left="360"/>
        <w:rPr>
          <w:b/>
        </w:rPr>
      </w:pPr>
      <w:r w:rsidRPr="00E85CF4">
        <w:rPr>
          <w:b/>
        </w:rPr>
        <w:t>Conclusion:</w:t>
      </w:r>
    </w:p>
    <w:p w:rsidR="008871DE" w:rsidRPr="002A6416" w:rsidRDefault="008871DE" w:rsidP="008871DE">
      <w:pPr>
        <w:ind w:left="360"/>
        <w:rPr>
          <w:rStyle w:val="Style1"/>
          <w:rFonts w:cs="Trebuchet MS"/>
          <w:szCs w:val="24"/>
        </w:rPr>
      </w:pPr>
      <w:r w:rsidRPr="002A6416">
        <w:rPr>
          <w:rStyle w:val="Style1"/>
          <w:rFonts w:cs="Trebuchet MS"/>
          <w:szCs w:val="24"/>
        </w:rPr>
        <w:t xml:space="preserve">2012 data showed the facility was able to exceed the national benchmark demonstrating lower radiation dose for Median CT Head </w:t>
      </w:r>
      <w:proofErr w:type="spellStart"/>
      <w:r w:rsidRPr="002A6416">
        <w:rPr>
          <w:rStyle w:val="Style1"/>
          <w:rFonts w:cs="Trebuchet MS"/>
          <w:szCs w:val="24"/>
        </w:rPr>
        <w:t>Brn</w:t>
      </w:r>
      <w:proofErr w:type="spellEnd"/>
      <w:r w:rsidRPr="002A6416">
        <w:rPr>
          <w:rStyle w:val="Style1"/>
          <w:rFonts w:cs="Trebuchet MS"/>
          <w:szCs w:val="24"/>
        </w:rPr>
        <w:t xml:space="preserve"> without IV contrast, </w:t>
      </w:r>
      <w:proofErr w:type="spellStart"/>
      <w:r w:rsidRPr="002A6416">
        <w:rPr>
          <w:rStyle w:val="Style1"/>
          <w:rFonts w:cs="Trebuchet MS"/>
          <w:szCs w:val="24"/>
        </w:rPr>
        <w:t>CTDIvol</w:t>
      </w:r>
      <w:proofErr w:type="spellEnd"/>
      <w:r w:rsidRPr="002A6416">
        <w:rPr>
          <w:rStyle w:val="Style1"/>
          <w:rFonts w:cs="Trebuchet MS"/>
          <w:szCs w:val="24"/>
        </w:rPr>
        <w:t xml:space="preserve"> per scan.</w:t>
      </w:r>
    </w:p>
    <w:p w:rsidR="008871DE" w:rsidRPr="002A6416" w:rsidRDefault="008871DE" w:rsidP="008871DE">
      <w:pPr>
        <w:ind w:left="360"/>
        <w:rPr>
          <w:rStyle w:val="Style1"/>
          <w:rFonts w:cs="Trebuchet MS"/>
          <w:szCs w:val="24"/>
        </w:rPr>
      </w:pPr>
      <w:r w:rsidRPr="002A6416">
        <w:rPr>
          <w:rStyle w:val="Style1"/>
          <w:rFonts w:cs="Trebuchet MS"/>
          <w:szCs w:val="24"/>
        </w:rPr>
        <w:t>Challenges faced by the facility included:</w:t>
      </w:r>
    </w:p>
    <w:p w:rsidR="008871DE" w:rsidRPr="002A6416" w:rsidRDefault="008871DE" w:rsidP="008871DE">
      <w:pPr>
        <w:pStyle w:val="ListParagraph"/>
        <w:numPr>
          <w:ilvl w:val="0"/>
          <w:numId w:val="43"/>
        </w:numPr>
        <w:ind w:left="1080"/>
        <w:rPr>
          <w:rStyle w:val="Style1"/>
          <w:rFonts w:cs="Trebuchet MS"/>
          <w:szCs w:val="24"/>
        </w:rPr>
      </w:pPr>
      <w:r w:rsidRPr="002A6416">
        <w:rPr>
          <w:rStyle w:val="Style1"/>
          <w:rFonts w:cs="Trebuchet MS"/>
          <w:szCs w:val="24"/>
        </w:rPr>
        <w:t>Mapping (protocol naming)</w:t>
      </w:r>
    </w:p>
    <w:p w:rsidR="008871DE" w:rsidRPr="002A6416" w:rsidRDefault="008871DE" w:rsidP="008871DE">
      <w:pPr>
        <w:pStyle w:val="ListParagraph"/>
        <w:numPr>
          <w:ilvl w:val="0"/>
          <w:numId w:val="43"/>
        </w:numPr>
        <w:ind w:left="1080"/>
        <w:rPr>
          <w:rStyle w:val="Style1"/>
          <w:rFonts w:cs="Trebuchet MS"/>
          <w:szCs w:val="24"/>
        </w:rPr>
      </w:pPr>
      <w:r w:rsidRPr="002A6416">
        <w:rPr>
          <w:rStyle w:val="Style1"/>
          <w:rFonts w:cs="Trebuchet MS"/>
          <w:szCs w:val="24"/>
        </w:rPr>
        <w:t>CT scanner software upgrades</w:t>
      </w:r>
    </w:p>
    <w:p w:rsidR="008871DE" w:rsidRPr="002A6416" w:rsidRDefault="008871DE" w:rsidP="008871DE">
      <w:pPr>
        <w:pStyle w:val="ListParagraph"/>
        <w:numPr>
          <w:ilvl w:val="0"/>
          <w:numId w:val="43"/>
        </w:numPr>
        <w:ind w:left="1080"/>
        <w:rPr>
          <w:rStyle w:val="Style1"/>
          <w:rFonts w:cs="Trebuchet MS"/>
          <w:szCs w:val="24"/>
        </w:rPr>
      </w:pPr>
      <w:r w:rsidRPr="002A6416">
        <w:rPr>
          <w:rStyle w:val="Style1"/>
          <w:rFonts w:cs="Trebuchet MS"/>
          <w:szCs w:val="24"/>
        </w:rPr>
        <w:t>Now able to lock CT protocols</w:t>
      </w:r>
    </w:p>
    <w:p w:rsidR="008871DE" w:rsidRPr="002A6416" w:rsidRDefault="008871DE" w:rsidP="008871DE">
      <w:pPr>
        <w:pStyle w:val="ListParagraph"/>
        <w:numPr>
          <w:ilvl w:val="0"/>
          <w:numId w:val="43"/>
        </w:numPr>
        <w:ind w:left="1080"/>
        <w:rPr>
          <w:rStyle w:val="Style1"/>
          <w:rFonts w:cs="Trebuchet MS"/>
          <w:szCs w:val="24"/>
        </w:rPr>
      </w:pPr>
      <w:r w:rsidRPr="002A6416">
        <w:rPr>
          <w:rStyle w:val="Style1"/>
          <w:rFonts w:cs="Trebuchet MS"/>
          <w:szCs w:val="24"/>
        </w:rPr>
        <w:t>Communicating CT changes to all techs</w:t>
      </w:r>
    </w:p>
    <w:p w:rsidR="008871DE" w:rsidRPr="002A6416" w:rsidRDefault="008871DE" w:rsidP="008871DE">
      <w:pPr>
        <w:pStyle w:val="ListParagraph"/>
        <w:numPr>
          <w:ilvl w:val="0"/>
          <w:numId w:val="43"/>
        </w:numPr>
        <w:ind w:left="1080"/>
        <w:rPr>
          <w:rStyle w:val="Style1"/>
          <w:rFonts w:cs="Trebuchet MS"/>
          <w:szCs w:val="24"/>
        </w:rPr>
      </w:pPr>
      <w:r w:rsidRPr="002A6416">
        <w:rPr>
          <w:rStyle w:val="Style1"/>
          <w:rFonts w:cs="Trebuchet MS"/>
          <w:szCs w:val="24"/>
        </w:rPr>
        <w:t>Getting agreement by all radiologists</w:t>
      </w:r>
    </w:p>
    <w:p w:rsidR="008871DE" w:rsidRPr="002A6416" w:rsidRDefault="008871DE" w:rsidP="008871DE">
      <w:pPr>
        <w:pStyle w:val="ListParagraph"/>
        <w:numPr>
          <w:ilvl w:val="0"/>
          <w:numId w:val="43"/>
        </w:numPr>
        <w:ind w:left="1080"/>
        <w:rPr>
          <w:rStyle w:val="Style1"/>
          <w:rFonts w:cs="Trebuchet MS"/>
          <w:szCs w:val="24"/>
        </w:rPr>
      </w:pPr>
      <w:r w:rsidRPr="002A6416">
        <w:rPr>
          <w:rStyle w:val="Style1"/>
          <w:rFonts w:cs="Trebuchet MS"/>
          <w:szCs w:val="24"/>
        </w:rPr>
        <w:t>CT Technologists identified inconsistencies in protocols (varied by physician preference)</w:t>
      </w:r>
    </w:p>
    <w:p w:rsidR="008871DE" w:rsidRPr="002A6416" w:rsidRDefault="008871DE" w:rsidP="008871DE">
      <w:pPr>
        <w:ind w:left="360"/>
        <w:rPr>
          <w:rStyle w:val="Style1"/>
          <w:rFonts w:cs="Trebuchet MS"/>
          <w:szCs w:val="24"/>
        </w:rPr>
      </w:pPr>
      <w:r w:rsidRPr="002A6416">
        <w:rPr>
          <w:rStyle w:val="Style1"/>
          <w:rFonts w:cs="Trebuchet MS"/>
          <w:szCs w:val="24"/>
        </w:rPr>
        <w:t xml:space="preserve">2012: The Dose Reduction Committee formulated the following plans of action to address dose reduction for CT </w:t>
      </w:r>
      <w:proofErr w:type="spellStart"/>
      <w:r w:rsidRPr="002A6416">
        <w:rPr>
          <w:rStyle w:val="Style1"/>
          <w:rFonts w:cs="Trebuchet MS"/>
          <w:szCs w:val="24"/>
        </w:rPr>
        <w:t>Paranasal</w:t>
      </w:r>
      <w:proofErr w:type="spellEnd"/>
      <w:r w:rsidRPr="002A6416">
        <w:rPr>
          <w:rStyle w:val="Style1"/>
          <w:rFonts w:cs="Trebuchet MS"/>
          <w:szCs w:val="24"/>
        </w:rPr>
        <w:t xml:space="preserve"> studies:</w:t>
      </w:r>
    </w:p>
    <w:p w:rsidR="008871DE" w:rsidRPr="002A6416" w:rsidRDefault="008871DE" w:rsidP="008871DE">
      <w:pPr>
        <w:pStyle w:val="ListParagraph"/>
        <w:numPr>
          <w:ilvl w:val="0"/>
          <w:numId w:val="42"/>
        </w:numPr>
        <w:ind w:left="1080"/>
        <w:rPr>
          <w:rStyle w:val="Style1"/>
          <w:rFonts w:cs="Trebuchet MS"/>
          <w:szCs w:val="24"/>
        </w:rPr>
      </w:pPr>
      <w:r w:rsidRPr="002A6416">
        <w:rPr>
          <w:rStyle w:val="Style1"/>
          <w:rFonts w:cs="Trebuchet MS"/>
          <w:szCs w:val="24"/>
        </w:rPr>
        <w:t xml:space="preserve">Safire installation </w:t>
      </w:r>
    </w:p>
    <w:p w:rsidR="008871DE" w:rsidRPr="002A6416" w:rsidRDefault="008871DE" w:rsidP="008871DE">
      <w:pPr>
        <w:pStyle w:val="ListParagraph"/>
        <w:numPr>
          <w:ilvl w:val="0"/>
          <w:numId w:val="42"/>
        </w:numPr>
        <w:ind w:left="1080"/>
        <w:rPr>
          <w:rStyle w:val="Style1"/>
          <w:rFonts w:cs="Trebuchet MS"/>
          <w:szCs w:val="24"/>
        </w:rPr>
      </w:pPr>
      <w:r w:rsidRPr="002A6416">
        <w:rPr>
          <w:rStyle w:val="Style1"/>
          <w:rFonts w:cs="Trebuchet MS"/>
          <w:szCs w:val="24"/>
        </w:rPr>
        <w:t xml:space="preserve">Review CT </w:t>
      </w:r>
      <w:proofErr w:type="spellStart"/>
      <w:r w:rsidRPr="002A6416">
        <w:rPr>
          <w:rStyle w:val="Style1"/>
          <w:rFonts w:cs="Trebuchet MS"/>
          <w:szCs w:val="24"/>
        </w:rPr>
        <w:t>Paranasal</w:t>
      </w:r>
      <w:proofErr w:type="spellEnd"/>
      <w:r w:rsidRPr="002A6416">
        <w:rPr>
          <w:rStyle w:val="Style1"/>
          <w:rFonts w:cs="Trebuchet MS"/>
          <w:szCs w:val="24"/>
        </w:rPr>
        <w:t xml:space="preserve"> protocol and make recommendations  </w:t>
      </w:r>
    </w:p>
    <w:p w:rsidR="008871DE" w:rsidRDefault="008871DE" w:rsidP="00682C96">
      <w:pPr>
        <w:autoSpaceDE w:val="0"/>
        <w:autoSpaceDN w:val="0"/>
        <w:adjustRightInd w:val="0"/>
        <w:spacing w:after="0" w:line="240" w:lineRule="auto"/>
        <w:ind w:left="360"/>
        <w:rPr>
          <w:rFonts w:cstheme="minorHAnsi"/>
          <w:bCs/>
          <w:highlight w:val="yellow"/>
        </w:rPr>
      </w:pPr>
    </w:p>
    <w:p w:rsidR="008871DE" w:rsidRPr="00F40AC9" w:rsidRDefault="008871DE" w:rsidP="00682C96">
      <w:pPr>
        <w:autoSpaceDE w:val="0"/>
        <w:autoSpaceDN w:val="0"/>
        <w:adjustRightInd w:val="0"/>
        <w:spacing w:after="0" w:line="240" w:lineRule="auto"/>
        <w:ind w:left="360"/>
        <w:rPr>
          <w:rFonts w:cstheme="minorHAnsi"/>
          <w:bCs/>
          <w:highlight w:val="yellow"/>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Content>
          <w:r w:rsidR="00210E1C">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F40AC9" w:rsidRPr="002A6416" w:rsidRDefault="000C47BE" w:rsidP="002A6416">
      <w:pPr>
        <w:ind w:left="360"/>
        <w:rPr>
          <w:rStyle w:val="Style1"/>
          <w:rFonts w:cs="Trebuchet MS"/>
          <w:szCs w:val="24"/>
        </w:rPr>
      </w:pPr>
      <w:r w:rsidRPr="002A6416">
        <w:rPr>
          <w:rStyle w:val="Style1"/>
          <w:rFonts w:cs="Trebuchet MS"/>
          <w:szCs w:val="24"/>
        </w:rPr>
        <w:t>Risk adjustment is not directly applicable to the attestation measure on participation in a registry.</w:t>
      </w:r>
    </w:p>
    <w:p w:rsidR="00BB2F80" w:rsidRPr="002A6416" w:rsidRDefault="000C47BE" w:rsidP="002A6416">
      <w:pPr>
        <w:ind w:left="360"/>
        <w:rPr>
          <w:rStyle w:val="Style1"/>
          <w:rFonts w:cs="Trebuchet MS"/>
          <w:szCs w:val="24"/>
        </w:rPr>
      </w:pPr>
      <w:r w:rsidRPr="002A6416">
        <w:rPr>
          <w:rStyle w:val="Style1"/>
          <w:rFonts w:cs="Trebuchet MS"/>
          <w:szCs w:val="24"/>
        </w:rPr>
        <w:t xml:space="preserve">Measures within the registry on dose indices and estimates for exams are risk adjusted by stratification </w:t>
      </w:r>
      <w:r w:rsidR="00FA0F0E" w:rsidRPr="002A6416">
        <w:rPr>
          <w:rStyle w:val="Style1"/>
          <w:rFonts w:cs="Trebuchet MS"/>
          <w:szCs w:val="24"/>
        </w:rPr>
        <w:t>of facilities, standardization of procedure names, and adjustment for patient size with the use of size-specific dose estimates (SSDE)</w:t>
      </w:r>
      <w:r w:rsidRPr="002A6416">
        <w:rPr>
          <w:rStyle w:val="Style1"/>
          <w:rFonts w:cs="Trebuchet MS"/>
          <w:szCs w:val="24"/>
        </w:rPr>
        <w:t>.</w:t>
      </w:r>
      <w:r w:rsidR="00FA0F0E" w:rsidRPr="002A6416">
        <w:rPr>
          <w:rStyle w:val="Style1"/>
          <w:rFonts w:cs="Trebuchet MS"/>
          <w:szCs w:val="24"/>
        </w:rPr>
        <w:t xml:space="preserve">  </w:t>
      </w:r>
    </w:p>
    <w:p w:rsidR="00BB2F80" w:rsidRPr="002A6416" w:rsidRDefault="00FA0F0E" w:rsidP="002A6416">
      <w:pPr>
        <w:ind w:left="360"/>
        <w:rPr>
          <w:rStyle w:val="Style1"/>
          <w:rFonts w:cs="Trebuchet MS"/>
          <w:szCs w:val="24"/>
        </w:rPr>
      </w:pPr>
      <w:r w:rsidRPr="002A6416">
        <w:rPr>
          <w:rStyle w:val="Style1"/>
          <w:rFonts w:cs="Trebuchet MS"/>
          <w:szCs w:val="24"/>
        </w:rPr>
        <w:t xml:space="preserve">In the reports, summary dose indices are stratified by </w:t>
      </w:r>
      <w:r w:rsidR="000C47BE" w:rsidRPr="002A6416">
        <w:rPr>
          <w:rStyle w:val="Style1"/>
          <w:rFonts w:cs="Trebuchet MS"/>
          <w:szCs w:val="24"/>
        </w:rPr>
        <w:t xml:space="preserve">facility type, facility location, </w:t>
      </w:r>
      <w:r w:rsidRPr="002A6416">
        <w:rPr>
          <w:rStyle w:val="Style1"/>
          <w:rFonts w:cs="Trebuchet MS"/>
          <w:szCs w:val="24"/>
        </w:rPr>
        <w:t>and census division.  W</w:t>
      </w:r>
      <w:r w:rsidR="000C47BE" w:rsidRPr="002A6416">
        <w:rPr>
          <w:rStyle w:val="Style1"/>
          <w:rFonts w:cs="Trebuchet MS"/>
          <w:szCs w:val="24"/>
        </w:rPr>
        <w:t xml:space="preserve">hen facilities </w:t>
      </w:r>
      <w:r w:rsidRPr="002A6416">
        <w:rPr>
          <w:rStyle w:val="Style1"/>
          <w:rFonts w:cs="Trebuchet MS"/>
          <w:szCs w:val="24"/>
        </w:rPr>
        <w:t>receive their reports</w:t>
      </w:r>
      <w:r w:rsidR="000C47BE" w:rsidRPr="002A6416">
        <w:rPr>
          <w:rStyle w:val="Style1"/>
          <w:rFonts w:cs="Trebuchet MS"/>
          <w:szCs w:val="24"/>
        </w:rPr>
        <w:t xml:space="preserve">, they can compare their performance </w:t>
      </w:r>
      <w:r w:rsidRPr="002A6416">
        <w:rPr>
          <w:rStyle w:val="Style1"/>
          <w:rFonts w:cs="Trebuchet MS"/>
          <w:szCs w:val="24"/>
        </w:rPr>
        <w:t xml:space="preserve">on a procedure or protocol </w:t>
      </w:r>
      <w:r w:rsidR="000C47BE" w:rsidRPr="002A6416">
        <w:rPr>
          <w:rStyle w:val="Style1"/>
          <w:rFonts w:cs="Trebuchet MS"/>
          <w:szCs w:val="24"/>
        </w:rPr>
        <w:t xml:space="preserve">with </w:t>
      </w:r>
      <w:r w:rsidRPr="002A6416">
        <w:rPr>
          <w:rStyle w:val="Style1"/>
          <w:rFonts w:cs="Trebuchet MS"/>
          <w:szCs w:val="24"/>
        </w:rPr>
        <w:t xml:space="preserve">the </w:t>
      </w:r>
      <w:r w:rsidR="000C47BE" w:rsidRPr="002A6416">
        <w:rPr>
          <w:rStyle w:val="Style1"/>
          <w:rFonts w:cs="Trebuchet MS"/>
          <w:szCs w:val="24"/>
        </w:rPr>
        <w:t>performance of other facilities similar to their type, location, census division</w:t>
      </w:r>
      <w:r w:rsidRPr="002A6416">
        <w:rPr>
          <w:rStyle w:val="Style1"/>
          <w:rFonts w:cs="Trebuchet MS"/>
          <w:szCs w:val="24"/>
        </w:rPr>
        <w:t>, and across all registry participants</w:t>
      </w:r>
      <w:r w:rsidR="000C47BE" w:rsidRPr="002A6416">
        <w:rPr>
          <w:rStyle w:val="Style1"/>
          <w:rFonts w:cs="Trebuchet MS"/>
          <w:szCs w:val="24"/>
        </w:rPr>
        <w:t xml:space="preserve">.  </w:t>
      </w:r>
      <w:r w:rsidR="00BB2F80" w:rsidRPr="002A6416">
        <w:rPr>
          <w:rStyle w:val="Style1"/>
          <w:rFonts w:cs="Trebuchet MS"/>
          <w:szCs w:val="24"/>
        </w:rPr>
        <w:t xml:space="preserve">The stratification scheme accounts for differences in patient populations across geographies, and differences in the types of patients seen at different types of facilities, for example, patients with advanced disease may be more likely to be seen at academic centers.  In the absence of detailed information on patient indication or case history, facility characteristics serve as a proxy for differences in patients receiving the same procedure or exam.  </w:t>
      </w:r>
    </w:p>
    <w:p w:rsidR="00BB2F80" w:rsidRPr="002A6416" w:rsidRDefault="00FA0F0E" w:rsidP="002A6416">
      <w:pPr>
        <w:ind w:left="360"/>
        <w:rPr>
          <w:rStyle w:val="Style1"/>
          <w:rFonts w:cs="Trebuchet MS"/>
          <w:szCs w:val="24"/>
        </w:rPr>
      </w:pPr>
      <w:r w:rsidRPr="002A6416">
        <w:rPr>
          <w:rStyle w:val="Style1"/>
          <w:rFonts w:cs="Trebuchet MS"/>
          <w:szCs w:val="24"/>
        </w:rPr>
        <w:t xml:space="preserve">Procedure names are standardized to a standard terminology, </w:t>
      </w:r>
      <w:proofErr w:type="spellStart"/>
      <w:r w:rsidRPr="002A6416">
        <w:rPr>
          <w:rStyle w:val="Style1"/>
          <w:rFonts w:cs="Trebuchet MS"/>
          <w:szCs w:val="24"/>
        </w:rPr>
        <w:t>RadLex</w:t>
      </w:r>
      <w:proofErr w:type="spellEnd"/>
      <w:r>
        <w:rPr>
          <w:rFonts w:cstheme="minorHAnsi"/>
        </w:rPr>
        <w:t xml:space="preserve"> (</w:t>
      </w:r>
      <w:hyperlink r:id="rId27" w:history="1">
        <w:r w:rsidRPr="00D924B9">
          <w:rPr>
            <w:rStyle w:val="Hyperlink"/>
            <w:rFonts w:cstheme="minorHAnsi"/>
          </w:rPr>
          <w:t>http://playbook.radlex.org</w:t>
        </w:r>
      </w:hyperlink>
      <w:r w:rsidRPr="002A6416">
        <w:rPr>
          <w:rStyle w:val="Style1"/>
          <w:rFonts w:cs="Trebuchet MS"/>
          <w:szCs w:val="24"/>
        </w:rPr>
        <w:t xml:space="preserve">), to ensure comparability across facilities.  </w:t>
      </w:r>
      <w:r w:rsidR="00BB2F80" w:rsidRPr="002A6416">
        <w:rPr>
          <w:rStyle w:val="Style1"/>
          <w:rFonts w:cs="Trebuchet MS"/>
          <w:szCs w:val="24"/>
        </w:rPr>
        <w:t>Without standardization, procedure names vary widely across and within facilities, making it impossible to perform any comparisons for performance assessment.</w:t>
      </w:r>
    </w:p>
    <w:p w:rsidR="00BB2F80" w:rsidRDefault="00BB2F80" w:rsidP="00092566">
      <w:pPr>
        <w:autoSpaceDE w:val="0"/>
        <w:autoSpaceDN w:val="0"/>
        <w:adjustRightInd w:val="0"/>
        <w:spacing w:after="0" w:line="240" w:lineRule="auto"/>
        <w:rPr>
          <w:rFonts w:cstheme="minorHAnsi"/>
        </w:rPr>
      </w:pPr>
    </w:p>
    <w:p w:rsidR="00F40AC9" w:rsidRPr="002A6416" w:rsidRDefault="00BB2F80" w:rsidP="00092566">
      <w:pPr>
        <w:autoSpaceDE w:val="0"/>
        <w:autoSpaceDN w:val="0"/>
        <w:adjustRightInd w:val="0"/>
        <w:spacing w:after="0" w:line="240" w:lineRule="auto"/>
        <w:rPr>
          <w:rStyle w:val="Style1"/>
          <w:rFonts w:cs="Trebuchet MS"/>
          <w:szCs w:val="24"/>
        </w:rPr>
      </w:pPr>
      <w:r w:rsidRPr="002A6416">
        <w:rPr>
          <w:rStyle w:val="Style1"/>
          <w:rFonts w:cs="Trebuchet MS"/>
          <w:szCs w:val="24"/>
        </w:rPr>
        <w:lastRenderedPageBreak/>
        <w:t>V</w:t>
      </w:r>
      <w:r w:rsidR="00FA0F0E" w:rsidRPr="002A6416">
        <w:rPr>
          <w:rStyle w:val="Style1"/>
          <w:rFonts w:cs="Trebuchet MS"/>
          <w:szCs w:val="24"/>
        </w:rPr>
        <w:t>ariations in patient sizes account for necessary and justifiable differences in radiation exposure</w:t>
      </w:r>
      <w:r w:rsidRPr="002A6416">
        <w:rPr>
          <w:rStyle w:val="Style1"/>
          <w:rFonts w:cs="Trebuchet MS"/>
          <w:szCs w:val="24"/>
        </w:rPr>
        <w:t>.  To account for this</w:t>
      </w:r>
      <w:r w:rsidR="00FA0F0E" w:rsidRPr="002A6416">
        <w:rPr>
          <w:rStyle w:val="Style1"/>
          <w:rFonts w:cs="Trebuchet MS"/>
          <w:szCs w:val="24"/>
        </w:rPr>
        <w:t xml:space="preserve">, we calculate and compare size-specific dose estimates for all body exams, using guidelines from the American Association for Physicists in Medicine.  </w:t>
      </w:r>
    </w:p>
    <w:p w:rsidR="000C47BE" w:rsidRDefault="000C47BE" w:rsidP="00092566">
      <w:pPr>
        <w:autoSpaceDE w:val="0"/>
        <w:autoSpaceDN w:val="0"/>
        <w:adjustRightInd w:val="0"/>
        <w:spacing w:after="0" w:line="240" w:lineRule="auto"/>
        <w:rPr>
          <w:rFonts w:cstheme="minorHAnsi"/>
          <w:b/>
          <w:bCs/>
        </w:rPr>
      </w:pPr>
    </w:p>
    <w:p w:rsidR="00FA0F0E" w:rsidRDefault="00FA0F0E"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2A6416"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A6416"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A6416"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Content>
          <w:r w:rsidR="00FA0F0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A6416"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1"/>
            <w14:checkedState w14:val="2612" w14:font="MS Gothic"/>
            <w14:uncheckedState w14:val="2610" w14:font="MS Gothic"/>
          </w14:checkbox>
        </w:sdtPr>
        <w:sdtContent>
          <w:r w:rsidR="00FA0F0E">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text/>
        </w:sdtPr>
        <w:sdtEndPr>
          <w:rPr>
            <w:rStyle w:val="DefaultParagraphFont"/>
            <w:rFonts w:cstheme="minorHAnsi"/>
            <w:b/>
            <w:bCs/>
            <w:color w:val="auto"/>
          </w:rPr>
        </w:sdtEndPr>
        <w:sdtContent>
          <w:r w:rsidR="00FA0F0E">
            <w:rPr>
              <w:rStyle w:val="Style1"/>
            </w:rPr>
            <w:t xml:space="preserve">Adjustment is not applicable to the attestation measure.  Measures within the registry are stratified on the multiple dimensions described in Table 1. </w:t>
          </w:r>
        </w:sdtContent>
      </w:sdt>
    </w:p>
    <w:p w:rsidR="00743E46" w:rsidRDefault="00743E46" w:rsidP="00092566">
      <w:pPr>
        <w:autoSpaceDE w:val="0"/>
        <w:autoSpaceDN w:val="0"/>
        <w:adjustRightInd w:val="0"/>
        <w:spacing w:after="0" w:line="240" w:lineRule="auto"/>
        <w:rPr>
          <w:rFonts w:cstheme="minorHAnsi"/>
          <w:b/>
          <w:bCs/>
        </w:rPr>
      </w:pPr>
    </w:p>
    <w:p w:rsidR="00BB2F80"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BB2F80" w:rsidRPr="00D830A3" w:rsidRDefault="00BB2F80" w:rsidP="00092566">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The measure is an attestation measure for participation, and does not use patient level information. As a result, risk adjustment or stratification </w:t>
      </w:r>
      <w:proofErr w:type="gramStart"/>
      <w:r w:rsidRPr="00D830A3">
        <w:rPr>
          <w:rStyle w:val="Style1"/>
          <w:rFonts w:cs="Trebuchet MS"/>
          <w:szCs w:val="24"/>
        </w:rPr>
        <w:t>are</w:t>
      </w:r>
      <w:proofErr w:type="gramEnd"/>
      <w:r w:rsidRPr="00D830A3">
        <w:rPr>
          <w:rStyle w:val="Style1"/>
          <w:rFonts w:cs="Trebuchet MS"/>
          <w:szCs w:val="24"/>
        </w:rPr>
        <w:t xml:space="preserve"> not really applicable to the measure itself.  As described above, measures within the registry are appropriately standardized and stratified for comparison.</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2C35F6" w:rsidRPr="00D830A3" w:rsidRDefault="002C35F6" w:rsidP="00001D73">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The idea of risk adjustment by stratification is to find a way of comparing apples to apples. In DIR, the participating facilities vary in their patient populations and the types of indications for which patients receive imaging procedures. But the registry has no data on indication or patient history; patient data are limited to age and gender.  Patient populations vary by facility characteristics, and therefore, we use facility characteristics as a proxy for case mix.  DIR provides a way for facilities to compare themselves to similar facilities as well as to all DIR facilities nationwide.   Facilities can take a step by step approach to optimize their dose indices, possibly starting with protocols most different from their peers and attempting to be closer to regional peers before attempting more challenging targets.  </w:t>
      </w:r>
    </w:p>
    <w:p w:rsidR="00001D73" w:rsidRPr="00D830A3" w:rsidRDefault="00001D73" w:rsidP="00001D73">
      <w:pPr>
        <w:autoSpaceDE w:val="0"/>
        <w:autoSpaceDN w:val="0"/>
        <w:adjustRightInd w:val="0"/>
        <w:spacing w:after="0" w:line="240" w:lineRule="auto"/>
        <w:rPr>
          <w:rStyle w:val="Style1"/>
          <w:rFonts w:cs="Trebuchet MS"/>
          <w:szCs w:val="24"/>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210E1C" w:rsidRPr="00210E1C">
        <w:rPr>
          <w:rFonts w:cstheme="minorHAnsi"/>
          <w:b/>
          <w:bCs/>
          <w:highlight w:val="yellow"/>
        </w:rPr>
        <w:t>N/A</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CB2C42" w:rsidRDefault="00743E46" w:rsidP="00CB2C42">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CB2C42" w:rsidRPr="00CB2C42">
        <w:rPr>
          <w:rFonts w:cstheme="minorHAnsi"/>
          <w:bCs/>
        </w:rPr>
        <w:t xml:space="preserve">N/A. </w:t>
      </w:r>
    </w:p>
    <w:p w:rsidR="00001D73" w:rsidRPr="00001D73" w:rsidRDefault="00001D73" w:rsidP="00092566">
      <w:pPr>
        <w:autoSpaceDE w:val="0"/>
        <w:autoSpaceDN w:val="0"/>
        <w:adjustRightInd w:val="0"/>
        <w:spacing w:after="0" w:line="240" w:lineRule="auto"/>
        <w:rPr>
          <w:rFonts w:cstheme="minorHAnsi"/>
          <w:b/>
          <w:bCs/>
        </w:rPr>
      </w:pPr>
    </w:p>
    <w:p w:rsidR="00CB2C42" w:rsidRDefault="00743E46" w:rsidP="00CB2C42">
      <w:pPr>
        <w:autoSpaceDE w:val="0"/>
        <w:autoSpaceDN w:val="0"/>
        <w:adjustRightInd w:val="0"/>
        <w:spacing w:after="0" w:line="240" w:lineRule="auto"/>
        <w:rPr>
          <w:rFonts w:cstheme="minorHAnsi"/>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CB2C42" w:rsidRPr="00CB2C42">
        <w:rPr>
          <w:rFonts w:cstheme="minorHAnsi"/>
          <w:bCs/>
        </w:rPr>
        <w:t xml:space="preserve">N/A. </w:t>
      </w:r>
    </w:p>
    <w:p w:rsidR="00001D73" w:rsidRDefault="00001D73" w:rsidP="00092566">
      <w:pPr>
        <w:autoSpaceDE w:val="0"/>
        <w:autoSpaceDN w:val="0"/>
        <w:adjustRightInd w:val="0"/>
        <w:spacing w:after="0" w:line="240" w:lineRule="auto"/>
        <w:rPr>
          <w:rFonts w:cstheme="minorHAnsi"/>
          <w:b/>
          <w:bCs/>
        </w:rPr>
      </w:pPr>
    </w:p>
    <w:p w:rsidR="00CB2C42" w:rsidRDefault="00743E46" w:rsidP="00CB2C42">
      <w:pPr>
        <w:autoSpaceDE w:val="0"/>
        <w:autoSpaceDN w:val="0"/>
        <w:adjustRightInd w:val="0"/>
        <w:spacing w:after="0" w:line="240" w:lineRule="auto"/>
        <w:rPr>
          <w:rFonts w:cstheme="minorHAnsi"/>
          <w:bCs/>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CB2C42" w:rsidRPr="00CB2C42">
        <w:rPr>
          <w:rFonts w:cstheme="minorHAnsi"/>
          <w:bCs/>
        </w:rPr>
        <w:t xml:space="preserve">N/A. </w:t>
      </w:r>
    </w:p>
    <w:p w:rsidR="00743E46" w:rsidRDefault="00743E46" w:rsidP="00092566">
      <w:pPr>
        <w:autoSpaceDE w:val="0"/>
        <w:autoSpaceDN w:val="0"/>
        <w:adjustRightInd w:val="0"/>
        <w:spacing w:after="0" w:line="240" w:lineRule="auto"/>
        <w:rPr>
          <w:rFonts w:cstheme="minorHAnsi"/>
          <w:b/>
        </w:rPr>
      </w:pP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CB2C42" w:rsidRDefault="00CB2C42" w:rsidP="00092566">
      <w:pPr>
        <w:autoSpaceDE w:val="0"/>
        <w:autoSpaceDN w:val="0"/>
        <w:adjustRightInd w:val="0"/>
        <w:spacing w:after="0" w:line="240" w:lineRule="auto"/>
        <w:rPr>
          <w:rFonts w:cstheme="minorHAnsi"/>
          <w:bCs/>
        </w:rPr>
      </w:pPr>
      <w:proofErr w:type="gramStart"/>
      <w:r w:rsidRPr="00CB2C42">
        <w:rPr>
          <w:rFonts w:cstheme="minorHAnsi"/>
          <w:bCs/>
        </w:rPr>
        <w:t>N/A.</w:t>
      </w:r>
      <w:proofErr w:type="gramEnd"/>
      <w:r w:rsidRPr="00CB2C42">
        <w:rPr>
          <w:rFonts w:cstheme="minorHAnsi"/>
          <w:bCs/>
        </w:rPr>
        <w:t xml:space="preserve"> </w:t>
      </w:r>
    </w:p>
    <w:p w:rsidR="00CB2C42" w:rsidRPr="00CB2C42" w:rsidRDefault="00CB2C42" w:rsidP="00092566">
      <w:pPr>
        <w:autoSpaceDE w:val="0"/>
        <w:autoSpaceDN w:val="0"/>
        <w:adjustRightInd w:val="0"/>
        <w:spacing w:after="0" w:line="240" w:lineRule="auto"/>
        <w:rPr>
          <w:rFonts w:cstheme="minorHAnsi"/>
          <w:bCs/>
        </w:rPr>
      </w:pPr>
    </w:p>
    <w:p w:rsidR="00092566" w:rsidRPr="00D830A3" w:rsidRDefault="00743E46" w:rsidP="00092566">
      <w:pPr>
        <w:autoSpaceDE w:val="0"/>
        <w:autoSpaceDN w:val="0"/>
        <w:adjustRightInd w:val="0"/>
        <w:spacing w:after="0" w:line="240" w:lineRule="auto"/>
        <w:rPr>
          <w:rStyle w:val="Style1"/>
          <w:rFonts w:cs="Trebuchet MS"/>
          <w:szCs w:val="24"/>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roofErr w:type="gramStart"/>
      <w:r w:rsidR="00CB2C42" w:rsidRPr="00D830A3">
        <w:rPr>
          <w:rStyle w:val="Style1"/>
          <w:rFonts w:cs="Trebuchet MS"/>
          <w:szCs w:val="24"/>
        </w:rPr>
        <w:t>N/A.</w:t>
      </w:r>
      <w:proofErr w:type="gramEnd"/>
      <w:r w:rsidR="00CB2C42" w:rsidRPr="00D830A3">
        <w:rPr>
          <w:rStyle w:val="Style1"/>
          <w:rFonts w:cs="Trebuchet MS"/>
          <w:szCs w:val="24"/>
        </w:rPr>
        <w:t xml:space="preserve">  There is no stratification or adjustment applicable to the attestation measure. </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F066B2" w:rsidRDefault="00D61410" w:rsidP="00F066B2">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F066B2" w:rsidRPr="00D830A3" w:rsidRDefault="00D61410" w:rsidP="00F066B2">
      <w:pPr>
        <w:autoSpaceDE w:val="0"/>
        <w:autoSpaceDN w:val="0"/>
        <w:adjustRightInd w:val="0"/>
        <w:spacing w:after="0" w:line="240" w:lineRule="auto"/>
        <w:rPr>
          <w:rStyle w:val="Style1"/>
          <w:rFonts w:cs="Trebuchet MS"/>
          <w:szCs w:val="24"/>
        </w:rPr>
      </w:pPr>
      <w:r w:rsidRPr="009F1E7D">
        <w:rPr>
          <w:rFonts w:cstheme="minorHAnsi"/>
          <w:bCs/>
        </w:rPr>
        <w:br/>
      </w:r>
      <w:r w:rsidR="00F066B2" w:rsidRPr="00D830A3">
        <w:rPr>
          <w:rStyle w:val="Style1"/>
          <w:rFonts w:cs="Trebuchet MS"/>
          <w:szCs w:val="24"/>
        </w:rPr>
        <w:t>As this is an attestation measure, we do not have any data on non-participants</w:t>
      </w:r>
      <w:r w:rsidR="00603B15" w:rsidRPr="00D830A3">
        <w:rPr>
          <w:rStyle w:val="Style1"/>
          <w:rFonts w:cs="Trebuchet MS"/>
          <w:szCs w:val="24"/>
        </w:rPr>
        <w:t xml:space="preserve"> and are unable to measure differences in quality with non-participants</w:t>
      </w:r>
      <w:r w:rsidR="00F066B2" w:rsidRPr="00D830A3">
        <w:rPr>
          <w:rStyle w:val="Style1"/>
          <w:rFonts w:cs="Trebuchet MS"/>
          <w:szCs w:val="24"/>
        </w:rPr>
        <w:t xml:space="preserve">.  </w:t>
      </w:r>
      <w:r w:rsidR="00603B15" w:rsidRPr="00D830A3">
        <w:rPr>
          <w:rStyle w:val="Style1"/>
          <w:rFonts w:cs="Trebuchet MS"/>
          <w:szCs w:val="24"/>
        </w:rPr>
        <w:t>But trend data on dose indices indicate decreases over time in radiation exposure for facilities in the registry. Trend results for three high volume exams are presented above</w:t>
      </w:r>
      <w:r w:rsidR="00CB2C42" w:rsidRPr="00D830A3">
        <w:rPr>
          <w:rStyle w:val="Style1"/>
          <w:rFonts w:cs="Trebuchet MS"/>
          <w:szCs w:val="24"/>
        </w:rPr>
        <w:t xml:space="preserve"> as part of validity testing</w:t>
      </w:r>
      <w:r w:rsidR="00603B15" w:rsidRPr="00D830A3">
        <w:rPr>
          <w:rStyle w:val="Style1"/>
          <w:rFonts w:cs="Trebuchet MS"/>
          <w:szCs w:val="24"/>
        </w:rPr>
        <w:t>.</w:t>
      </w:r>
      <w:r w:rsidR="00AB4882" w:rsidRPr="00D830A3">
        <w:rPr>
          <w:rStyle w:val="Style1"/>
          <w:rFonts w:cs="Trebuchet MS"/>
          <w:szCs w:val="24"/>
        </w:rPr>
        <w:t xml:space="preserve">  See </w:t>
      </w:r>
      <w:r w:rsidR="005F0C55" w:rsidRPr="00D830A3">
        <w:rPr>
          <w:rStyle w:val="Style1"/>
          <w:rFonts w:cs="Trebuchet MS"/>
          <w:szCs w:val="24"/>
        </w:rPr>
        <w:t>Figure 1</w:t>
      </w:r>
      <w:r w:rsidR="00AB4882" w:rsidRPr="00D830A3">
        <w:rPr>
          <w:rStyle w:val="Style1"/>
          <w:rFonts w:cs="Trebuchet MS"/>
          <w:szCs w:val="24"/>
        </w:rPr>
        <w:t xml:space="preserve"> for trend charts.</w:t>
      </w:r>
    </w:p>
    <w:p w:rsidR="00F066B2" w:rsidRPr="00D830A3" w:rsidRDefault="00F066B2" w:rsidP="00F066B2">
      <w:pPr>
        <w:autoSpaceDE w:val="0"/>
        <w:autoSpaceDN w:val="0"/>
        <w:adjustRightInd w:val="0"/>
        <w:spacing w:after="0" w:line="240" w:lineRule="auto"/>
        <w:rPr>
          <w:rStyle w:val="Style1"/>
          <w:rFonts w:cs="Trebuchet MS"/>
          <w:szCs w:val="24"/>
        </w:rPr>
      </w:pPr>
    </w:p>
    <w:p w:rsidR="00D61410" w:rsidRPr="00D830A3" w:rsidRDefault="00F066B2" w:rsidP="00F066B2">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Sample reports demonstrate variability in dose indices that support the need for dose monitoring.  However, the participation measure does not directly address any metrics monitored within the registry.  The benefit of the participation measure is that it helps develop the infrastructure to implement meaningful measures on dose optimization and identify meaningful benchmarks.  </w:t>
      </w:r>
    </w:p>
    <w:p w:rsidR="00F066B2" w:rsidRPr="00F066B2" w:rsidRDefault="00F066B2" w:rsidP="00F066B2">
      <w:pPr>
        <w:autoSpaceDE w:val="0"/>
        <w:autoSpaceDN w:val="0"/>
        <w:adjustRightInd w:val="0"/>
        <w:spacing w:after="0" w:line="240" w:lineRule="auto"/>
        <w:rPr>
          <w:rFonts w:cstheme="minorHAnsi"/>
          <w:bCs/>
          <w:color w:val="FF0000"/>
        </w:rPr>
      </w:pPr>
    </w:p>
    <w:p w:rsidR="009F1E7D" w:rsidRPr="00D830A3" w:rsidRDefault="00D61410" w:rsidP="009F1E7D">
      <w:pPr>
        <w:autoSpaceDE w:val="0"/>
        <w:autoSpaceDN w:val="0"/>
        <w:adjustRightInd w:val="0"/>
        <w:spacing w:after="0" w:line="240" w:lineRule="auto"/>
        <w:rPr>
          <w:rStyle w:val="Style1"/>
          <w:rFonts w:cs="Trebuchet MS"/>
          <w:szCs w:val="24"/>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9F1E7D" w:rsidRPr="00D830A3">
        <w:rPr>
          <w:rStyle w:val="Style1"/>
          <w:rFonts w:cs="Trebuchet MS"/>
          <w:szCs w:val="24"/>
        </w:rPr>
        <w:t>Our internal data indicate that there are approximately 8,500 facilities performing CT in the United States, and our participation of 510 facilities, or our registered base (including facilities in the process of getting set up for data submission) is a little over 658.  While some of the facilities not in the registry undoubtedly have dose monitoring measures in place, there is still a large gap in the use of standard infrastructure to facilitate meaningful standardized comparisons.</w:t>
      </w:r>
    </w:p>
    <w:p w:rsidR="009F1E7D" w:rsidRPr="00D830A3" w:rsidRDefault="009F1E7D" w:rsidP="009F1E7D">
      <w:pPr>
        <w:autoSpaceDE w:val="0"/>
        <w:autoSpaceDN w:val="0"/>
        <w:adjustRightInd w:val="0"/>
        <w:spacing w:after="0" w:line="240" w:lineRule="auto"/>
        <w:rPr>
          <w:rStyle w:val="Style1"/>
          <w:rFonts w:cs="Trebuchet MS"/>
          <w:szCs w:val="24"/>
        </w:rPr>
      </w:pPr>
    </w:p>
    <w:p w:rsidR="009F1E7D" w:rsidRPr="00D830A3" w:rsidRDefault="009F1E7D" w:rsidP="009F1E7D">
      <w:pPr>
        <w:autoSpaceDE w:val="0"/>
        <w:autoSpaceDN w:val="0"/>
        <w:adjustRightInd w:val="0"/>
        <w:spacing w:after="0" w:line="240" w:lineRule="auto"/>
        <w:rPr>
          <w:rStyle w:val="Style1"/>
          <w:rFonts w:cs="Trebuchet MS"/>
          <w:szCs w:val="24"/>
        </w:rPr>
      </w:pPr>
      <w:r w:rsidRPr="00D830A3">
        <w:rPr>
          <w:rStyle w:val="Style1"/>
          <w:rFonts w:cs="Trebuchet MS"/>
          <w:szCs w:val="24"/>
        </w:rPr>
        <w:lastRenderedPageBreak/>
        <w:t xml:space="preserve">Among facilities that are in the registry, there is a trend towards decreasing dose indices over time.  While this is not any indication of whether facilities in the registry are better than the ones that are not, this does point to the opportunity for </w:t>
      </w:r>
      <w:proofErr w:type="gramStart"/>
      <w:r w:rsidRPr="00D830A3">
        <w:rPr>
          <w:rStyle w:val="Style1"/>
          <w:rFonts w:cs="Trebuchet MS"/>
          <w:szCs w:val="24"/>
        </w:rPr>
        <w:t>improvement  for</w:t>
      </w:r>
      <w:proofErr w:type="gramEnd"/>
      <w:r w:rsidRPr="00D830A3">
        <w:rPr>
          <w:rStyle w:val="Style1"/>
          <w:rFonts w:cs="Trebuchet MS"/>
          <w:szCs w:val="24"/>
        </w:rPr>
        <w:t xml:space="preserve"> facilities in the registry.</w:t>
      </w:r>
    </w:p>
    <w:p w:rsidR="009F1E7D" w:rsidRPr="00D830A3" w:rsidRDefault="009F1E7D" w:rsidP="009F1E7D">
      <w:pPr>
        <w:autoSpaceDE w:val="0"/>
        <w:autoSpaceDN w:val="0"/>
        <w:adjustRightInd w:val="0"/>
        <w:spacing w:after="0" w:line="240" w:lineRule="auto"/>
        <w:rPr>
          <w:rStyle w:val="Style1"/>
          <w:rFonts w:cs="Trebuchet MS"/>
          <w:szCs w:val="24"/>
        </w:rPr>
      </w:pPr>
    </w:p>
    <w:p w:rsidR="00D61410" w:rsidRPr="00927027" w:rsidRDefault="00D61410" w:rsidP="00D61410">
      <w:pPr>
        <w:autoSpaceDE w:val="0"/>
        <w:autoSpaceDN w:val="0"/>
        <w:adjustRightInd w:val="0"/>
        <w:spacing w:after="0" w:line="240" w:lineRule="auto"/>
        <w:rPr>
          <w:rFonts w:cstheme="minorHAnsi"/>
          <w:bCs/>
        </w:rPr>
      </w:pPr>
    </w:p>
    <w:p w:rsidR="00F066B2" w:rsidRPr="00F066B2" w:rsidRDefault="00D61410" w:rsidP="009467C5">
      <w:pPr>
        <w:autoSpaceDE w:val="0"/>
        <w:autoSpaceDN w:val="0"/>
        <w:adjustRightInd w:val="0"/>
        <w:spacing w:after="0" w:line="240" w:lineRule="auto"/>
        <w:rPr>
          <w:rFonts w:cstheme="minorHAnsi"/>
          <w:bCs/>
          <w:color w:val="FF0000"/>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791D85" w:rsidRPr="009F1E7D" w:rsidRDefault="00791D85" w:rsidP="00791D85">
      <w:pPr>
        <w:autoSpaceDE w:val="0"/>
        <w:autoSpaceDN w:val="0"/>
        <w:adjustRightInd w:val="0"/>
        <w:spacing w:after="0" w:line="240" w:lineRule="auto"/>
        <w:rPr>
          <w:rFonts w:cstheme="minorHAnsi"/>
          <w:bCs/>
        </w:rPr>
      </w:pPr>
    </w:p>
    <w:p w:rsidR="00F066B2" w:rsidRPr="00D830A3" w:rsidRDefault="00F066B2" w:rsidP="00F066B2">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Opportunities for improvement: </w:t>
      </w:r>
    </w:p>
    <w:p w:rsidR="00F066B2" w:rsidRPr="00D830A3" w:rsidRDefault="00F066B2" w:rsidP="00F066B2">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As we expand participation and more facilities start to </w:t>
      </w:r>
      <w:r w:rsidR="009F1E7D" w:rsidRPr="00D830A3">
        <w:rPr>
          <w:rStyle w:val="Style1"/>
          <w:rFonts w:cs="Trebuchet MS"/>
          <w:szCs w:val="24"/>
        </w:rPr>
        <w:t>use</w:t>
      </w:r>
      <w:r w:rsidRPr="00D830A3">
        <w:rPr>
          <w:rStyle w:val="Style1"/>
          <w:rFonts w:cs="Trebuchet MS"/>
          <w:szCs w:val="24"/>
        </w:rPr>
        <w:t xml:space="preserve"> standardized reports with size-adjusted estimates for standard procedure names, we </w:t>
      </w:r>
      <w:r w:rsidR="009F1E7D" w:rsidRPr="00D830A3">
        <w:rPr>
          <w:rStyle w:val="Style1"/>
          <w:rFonts w:cs="Trebuchet MS"/>
          <w:szCs w:val="24"/>
        </w:rPr>
        <w:t>are now able</w:t>
      </w:r>
      <w:r w:rsidRPr="00D830A3">
        <w:rPr>
          <w:rStyle w:val="Style1"/>
          <w:rFonts w:cs="Trebuchet MS"/>
          <w:szCs w:val="24"/>
        </w:rPr>
        <w:t xml:space="preserve"> to develop accountability measures for radiation dose monitoring that steer participants towards evidence-based benchmarks.  </w:t>
      </w:r>
      <w:r w:rsidR="00791D85" w:rsidRPr="00D830A3">
        <w:rPr>
          <w:rStyle w:val="Style1"/>
          <w:rFonts w:cs="Trebuchet MS"/>
          <w:szCs w:val="24"/>
        </w:rPr>
        <w:t xml:space="preserve">We intend to submit some on these accountability measures to NQF in the next few months.  </w:t>
      </w:r>
      <w:r w:rsidRPr="00D830A3">
        <w:rPr>
          <w:rStyle w:val="Style1"/>
          <w:rFonts w:cs="Trebuchet MS"/>
          <w:szCs w:val="24"/>
        </w:rPr>
        <w:t xml:space="preserve">Such measures may include the use of pediatric protocols for pediatric patients, attaining radiation dose indices within target ranges for </w:t>
      </w:r>
      <w:r w:rsidR="00791D85" w:rsidRPr="00D830A3">
        <w:rPr>
          <w:rStyle w:val="Style1"/>
          <w:rFonts w:cs="Trebuchet MS"/>
          <w:szCs w:val="24"/>
        </w:rPr>
        <w:t xml:space="preserve">high- volume </w:t>
      </w:r>
      <w:r w:rsidRPr="00D830A3">
        <w:rPr>
          <w:rStyle w:val="Style1"/>
          <w:rFonts w:cs="Trebuchet MS"/>
          <w:szCs w:val="24"/>
        </w:rPr>
        <w:t>exams, and the use of standardized procedure names for meaningful comparison and communication.</w:t>
      </w:r>
    </w:p>
    <w:p w:rsidR="00F066B2" w:rsidRPr="00D830A3" w:rsidRDefault="00F066B2" w:rsidP="00F066B2">
      <w:pPr>
        <w:autoSpaceDE w:val="0"/>
        <w:autoSpaceDN w:val="0"/>
        <w:adjustRightInd w:val="0"/>
        <w:spacing w:after="0" w:line="240" w:lineRule="auto"/>
        <w:rPr>
          <w:rStyle w:val="Style1"/>
          <w:rFonts w:cs="Trebuchet MS"/>
          <w:szCs w:val="24"/>
        </w:rPr>
      </w:pPr>
    </w:p>
    <w:p w:rsidR="00D61410" w:rsidRPr="00D830A3" w:rsidRDefault="00F066B2" w:rsidP="00F066B2">
      <w:pPr>
        <w:autoSpaceDE w:val="0"/>
        <w:autoSpaceDN w:val="0"/>
        <w:adjustRightInd w:val="0"/>
        <w:spacing w:after="0" w:line="240" w:lineRule="auto"/>
        <w:rPr>
          <w:rStyle w:val="Style1"/>
          <w:rFonts w:cs="Trebuchet MS"/>
          <w:szCs w:val="24"/>
        </w:rPr>
      </w:pPr>
      <w:r w:rsidRPr="00D830A3">
        <w:rPr>
          <w:rStyle w:val="Style1"/>
          <w:rFonts w:cs="Trebuchet MS"/>
          <w:szCs w:val="24"/>
        </w:rPr>
        <w:t>In the next year, we anticipate adding computed and digital radiography exams to the registry, and subsequently, fluoroscopy and nuclear medicine.  The goal of the registry is to include all exams that use ionizing radiation.  As we add each imaging modality, the registry participation measure will continue to provide support for the development of infrastructure.  As the data collection process for each modality matures, we will be able to develop additional measures to monitor and reduce variations in performance quality.  For example, as we collect sufficient data on patient sizes and radiation dose indices for each exam, we can develop meaningful benchmark ranges.</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C62BB" w:rsidRPr="00D830A3" w:rsidRDefault="00E1508F" w:rsidP="00D830A3">
      <w:pPr>
        <w:autoSpaceDE w:val="0"/>
        <w:autoSpaceDN w:val="0"/>
        <w:adjustRightInd w:val="0"/>
        <w:spacing w:after="0" w:line="240" w:lineRule="auto"/>
        <w:rPr>
          <w:rStyle w:val="Style1"/>
          <w:rFonts w:cs="Trebuchet MS"/>
          <w:szCs w:val="24"/>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r w:rsidR="000F06B5" w:rsidRPr="00791D85">
        <w:rPr>
          <w:rFonts w:cstheme="minorHAnsi"/>
          <w:bCs/>
        </w:rPr>
        <w:t xml:space="preserve"> </w:t>
      </w:r>
      <w:r w:rsidR="000C62BB" w:rsidRPr="00D830A3">
        <w:rPr>
          <w:rStyle w:val="Style1"/>
          <w:rFonts w:cs="Trebuchet MS"/>
          <w:szCs w:val="24"/>
        </w:rPr>
        <w:t>Since the only method and data source for the measure is the ACR Dose Index Registry, comparability is not a significant issue for assessing participation.</w:t>
      </w:r>
    </w:p>
    <w:p w:rsidR="000C62BB" w:rsidRPr="00D830A3" w:rsidRDefault="000C62BB" w:rsidP="00D830A3">
      <w:pPr>
        <w:autoSpaceDE w:val="0"/>
        <w:autoSpaceDN w:val="0"/>
        <w:adjustRightInd w:val="0"/>
        <w:spacing w:after="0" w:line="240" w:lineRule="auto"/>
        <w:rPr>
          <w:rStyle w:val="Style1"/>
          <w:rFonts w:cs="Trebuchet MS"/>
          <w:szCs w:val="24"/>
        </w:rPr>
      </w:pPr>
    </w:p>
    <w:p w:rsidR="000C62BB" w:rsidRPr="00D830A3" w:rsidRDefault="000C62BB" w:rsidP="00D830A3">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However, the manner of data acquisition at a participating facility prior to submission does vary.  Some facilities send data directly from scanners, and others send data from local PACS (Picture Archiving and Communication Systems).  There are differences in scanner manufacturers and models and the age of scanners.  Scanners have different capabilities – some generate DICOM radiation dose structured reports (RDSR), others generate screen images with dose information, and yet others do not display any </w:t>
      </w:r>
      <w:r w:rsidRPr="00D830A3">
        <w:rPr>
          <w:rStyle w:val="Style1"/>
          <w:rFonts w:cs="Trebuchet MS"/>
          <w:szCs w:val="24"/>
        </w:rPr>
        <w:lastRenderedPageBreak/>
        <w:t xml:space="preserve">dose information.  The dose screen images vary across scanner manufacturers and models.  The registry software can accept data from all major manufacturers of CT scanners, General Electric, Siemens, Phillips, and Toshiba, and can process radiation dose structured reports and screen images.  In addition to the registry software, some facilities use commercial or third-party radiation dose monitoring software such as </w:t>
      </w:r>
      <w:proofErr w:type="spellStart"/>
      <w:r w:rsidRPr="00D830A3">
        <w:rPr>
          <w:rStyle w:val="Style1"/>
          <w:rFonts w:cs="Trebuchet MS"/>
          <w:szCs w:val="24"/>
        </w:rPr>
        <w:t>Radimetrics</w:t>
      </w:r>
      <w:proofErr w:type="spellEnd"/>
      <w:r w:rsidRPr="00D830A3">
        <w:rPr>
          <w:rStyle w:val="Style1"/>
          <w:rFonts w:cs="Trebuchet MS"/>
          <w:szCs w:val="24"/>
        </w:rPr>
        <w:t xml:space="preserve">, </w:t>
      </w:r>
      <w:proofErr w:type="spellStart"/>
      <w:r w:rsidRPr="00D830A3">
        <w:rPr>
          <w:rStyle w:val="Style1"/>
          <w:rFonts w:cs="Trebuchet MS"/>
          <w:szCs w:val="24"/>
        </w:rPr>
        <w:t>DoseMonitor</w:t>
      </w:r>
      <w:proofErr w:type="spellEnd"/>
      <w:r w:rsidRPr="00D830A3">
        <w:rPr>
          <w:rStyle w:val="Style1"/>
          <w:rFonts w:cs="Trebuchet MS"/>
          <w:szCs w:val="24"/>
        </w:rPr>
        <w:t xml:space="preserve">, Radiance, Aware, or </w:t>
      </w:r>
      <w:proofErr w:type="spellStart"/>
      <w:r w:rsidRPr="00D830A3">
        <w:rPr>
          <w:rStyle w:val="Style1"/>
          <w:rFonts w:cs="Trebuchet MS"/>
          <w:szCs w:val="24"/>
        </w:rPr>
        <w:t>DoseWatch</w:t>
      </w:r>
      <w:proofErr w:type="spellEnd"/>
      <w:r w:rsidRPr="00D830A3">
        <w:rPr>
          <w:rStyle w:val="Style1"/>
          <w:rFonts w:cs="Trebuchet MS"/>
          <w:szCs w:val="24"/>
        </w:rPr>
        <w:t>.  The registry software cannot obtain dose index measures from scanners that do not even generate screen images, but some of the third-party solutions can.</w:t>
      </w:r>
    </w:p>
    <w:p w:rsidR="000C62BB" w:rsidRPr="00D830A3" w:rsidRDefault="000C62BB" w:rsidP="00D830A3">
      <w:pPr>
        <w:autoSpaceDE w:val="0"/>
        <w:autoSpaceDN w:val="0"/>
        <w:adjustRightInd w:val="0"/>
        <w:spacing w:after="0" w:line="240" w:lineRule="auto"/>
        <w:rPr>
          <w:rStyle w:val="Style1"/>
          <w:rFonts w:cs="Trebuchet MS"/>
          <w:szCs w:val="24"/>
        </w:rPr>
      </w:pPr>
    </w:p>
    <w:p w:rsidR="000C62BB" w:rsidRPr="00D830A3" w:rsidRDefault="000C62BB" w:rsidP="00D830A3">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As mentioned previously, exams are labeled using different schemes for procedure names and there is a great deal of variability.  </w:t>
      </w:r>
    </w:p>
    <w:p w:rsidR="000C62BB" w:rsidRPr="00D830A3" w:rsidRDefault="000C62BB" w:rsidP="00D830A3">
      <w:pPr>
        <w:autoSpaceDE w:val="0"/>
        <w:autoSpaceDN w:val="0"/>
        <w:adjustRightInd w:val="0"/>
        <w:spacing w:after="0" w:line="240" w:lineRule="auto"/>
        <w:rPr>
          <w:rStyle w:val="Style1"/>
          <w:rFonts w:cs="Trebuchet MS"/>
          <w:szCs w:val="24"/>
        </w:rPr>
      </w:pPr>
    </w:p>
    <w:p w:rsidR="000C62BB" w:rsidRPr="00791D85" w:rsidRDefault="000C62BB" w:rsidP="00D830A3">
      <w:pPr>
        <w:autoSpaceDE w:val="0"/>
        <w:autoSpaceDN w:val="0"/>
        <w:adjustRightInd w:val="0"/>
        <w:spacing w:after="0" w:line="240" w:lineRule="auto"/>
        <w:rPr>
          <w:rFonts w:cs="Calibri"/>
          <w:sz w:val="20"/>
          <w:szCs w:val="20"/>
        </w:rPr>
      </w:pPr>
      <w:r w:rsidRPr="00D830A3">
        <w:rPr>
          <w:rStyle w:val="Style1"/>
          <w:rFonts w:cs="Trebuchet MS"/>
          <w:szCs w:val="24"/>
        </w:rPr>
        <w:t>Despite different sources, all records are converted to DICOM radiation dose structured report (RDSR) format before submission to the Dose Index Registry.  The data contain a standard set of DICOM data elements as specified in the data dictionary.  The same mapping tool is provided to all facilities to standardize exam names.  A description of the tool and its use can be found here:</w:t>
      </w:r>
      <w:r w:rsidRPr="00791D85">
        <w:rPr>
          <w:rFonts w:cs="Calibri"/>
          <w:sz w:val="20"/>
          <w:szCs w:val="20"/>
        </w:rPr>
        <w:t xml:space="preserve"> </w:t>
      </w:r>
      <w:hyperlink r:id="rId28" w:history="1">
        <w:r w:rsidRPr="00791D85">
          <w:rPr>
            <w:rStyle w:val="Hyperlink"/>
            <w:rFonts w:cs="Calibri"/>
            <w:color w:val="auto"/>
            <w:sz w:val="20"/>
            <w:szCs w:val="20"/>
          </w:rPr>
          <w:t>http://www.acr.org/~/media/ACR/Documents/PDF/QualitySafety/NRDR/DIR/MappingToolUserGuideDIR.pdf</w:t>
        </w:r>
      </w:hyperlink>
      <w:r w:rsidRPr="00791D85">
        <w:rPr>
          <w:rFonts w:cs="Calibri"/>
          <w:sz w:val="20"/>
          <w:szCs w:val="20"/>
        </w:rPr>
        <w:t>.</w:t>
      </w:r>
    </w:p>
    <w:p w:rsidR="000C62BB" w:rsidRPr="00791D85" w:rsidRDefault="000C62BB" w:rsidP="000C62BB">
      <w:pPr>
        <w:spacing w:after="0" w:line="240" w:lineRule="auto"/>
        <w:rPr>
          <w:rFonts w:cs="Calibri"/>
          <w:sz w:val="20"/>
          <w:szCs w:val="20"/>
        </w:rPr>
      </w:pPr>
    </w:p>
    <w:p w:rsidR="000C62BB" w:rsidRPr="00D830A3" w:rsidRDefault="000C62BB" w:rsidP="00D830A3">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The </w:t>
      </w:r>
      <w:r w:rsidR="00791D85" w:rsidRPr="00D830A3">
        <w:rPr>
          <w:rStyle w:val="Style1"/>
          <w:rFonts w:cs="Trebuchet MS"/>
          <w:szCs w:val="24"/>
        </w:rPr>
        <w:t>510</w:t>
      </w:r>
      <w:r w:rsidRPr="00D830A3">
        <w:rPr>
          <w:rStyle w:val="Style1"/>
          <w:rFonts w:cs="Trebuchet MS"/>
          <w:szCs w:val="24"/>
        </w:rPr>
        <w:t xml:space="preserve"> facilities participating in the Dose Index Registry are used as a data sample to illustrate the extent of variation in local systems.</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DD6991" w:rsidRDefault="00DD6991" w:rsidP="00E1508F">
      <w:pPr>
        <w:autoSpaceDE w:val="0"/>
        <w:autoSpaceDN w:val="0"/>
        <w:adjustRightInd w:val="0"/>
        <w:spacing w:after="0" w:line="240" w:lineRule="auto"/>
        <w:rPr>
          <w:rFonts w:cstheme="minorHAnsi"/>
          <w:bCs/>
        </w:rPr>
      </w:pPr>
    </w:p>
    <w:p w:rsidR="000C62BB" w:rsidRPr="00791D85" w:rsidRDefault="00DD6991" w:rsidP="00DD6991">
      <w:pPr>
        <w:autoSpaceDE w:val="0"/>
        <w:autoSpaceDN w:val="0"/>
        <w:adjustRightInd w:val="0"/>
        <w:spacing w:after="0" w:line="240" w:lineRule="auto"/>
        <w:rPr>
          <w:rFonts w:cs="Calibri"/>
          <w:sz w:val="20"/>
          <w:szCs w:val="20"/>
        </w:rPr>
      </w:pPr>
      <w:r w:rsidRPr="00D830A3">
        <w:rPr>
          <w:rStyle w:val="Style1"/>
          <w:rFonts w:cs="Trebuchet MS"/>
          <w:szCs w:val="24"/>
        </w:rPr>
        <w:t xml:space="preserve">As evidence that the DIR is able to accept data from multiple scanners, a list </w:t>
      </w:r>
      <w:proofErr w:type="gramStart"/>
      <w:r w:rsidRPr="00D830A3">
        <w:rPr>
          <w:rStyle w:val="Style1"/>
          <w:rFonts w:cs="Trebuchet MS"/>
          <w:szCs w:val="24"/>
        </w:rPr>
        <w:t xml:space="preserve">of </w:t>
      </w:r>
      <w:r w:rsidR="000C62BB" w:rsidRPr="00D830A3">
        <w:rPr>
          <w:rStyle w:val="Style1"/>
          <w:rFonts w:cs="Trebuchet MS"/>
          <w:szCs w:val="24"/>
        </w:rPr>
        <w:t xml:space="preserve"> scanners</w:t>
      </w:r>
      <w:proofErr w:type="gramEnd"/>
      <w:r w:rsidR="000C62BB" w:rsidRPr="00D830A3">
        <w:rPr>
          <w:rStyle w:val="Style1"/>
          <w:rFonts w:cs="Trebuchet MS"/>
          <w:szCs w:val="24"/>
        </w:rPr>
        <w:t xml:space="preserve"> </w:t>
      </w:r>
      <w:r w:rsidRPr="00D830A3">
        <w:rPr>
          <w:rStyle w:val="Style1"/>
          <w:rFonts w:cs="Trebuchet MS"/>
          <w:szCs w:val="24"/>
        </w:rPr>
        <w:t xml:space="preserve"> by</w:t>
      </w:r>
      <w:r w:rsidR="000C62BB" w:rsidRPr="00D830A3">
        <w:rPr>
          <w:rStyle w:val="Style1"/>
          <w:rFonts w:cs="Trebuchet MS"/>
          <w:szCs w:val="24"/>
        </w:rPr>
        <w:t xml:space="preserve"> type and software version (where available) in the registry is tabulated.</w:t>
      </w:r>
      <w:r w:rsidR="000C62BB" w:rsidRPr="00791D85">
        <w:rPr>
          <w:rFonts w:cs="Calibri"/>
          <w:sz w:val="20"/>
          <w:szCs w:val="20"/>
        </w:rPr>
        <w:t xml:space="preserve">  </w:t>
      </w:r>
      <w:r w:rsidR="00791D85">
        <w:rPr>
          <w:rFonts w:cs="Calibri"/>
          <w:sz w:val="20"/>
          <w:szCs w:val="20"/>
        </w:rPr>
        <w:t>(</w:t>
      </w:r>
      <w:hyperlink r:id="rId29" w:history="1">
        <w:r w:rsidR="00791D85" w:rsidRPr="00BE2F02">
          <w:rPr>
            <w:rStyle w:val="Hyperlink"/>
            <w:rFonts w:ascii="Calibri" w:hAnsi="Calibri" w:cs="Calibri"/>
          </w:rPr>
          <w:t>http://www.acr.org/~/media/ACR/Documents/PDF/QualitySafety/NRDR/DIR/scanners.pdf</w:t>
        </w:r>
      </w:hyperlink>
      <w:r w:rsidR="00791D85">
        <w:rPr>
          <w:rFonts w:cs="Calibri"/>
          <w:sz w:val="20"/>
          <w:szCs w:val="20"/>
        </w:rPr>
        <w:t>)</w:t>
      </w:r>
    </w:p>
    <w:p w:rsidR="000C62BB" w:rsidRPr="00DD6991" w:rsidRDefault="000C62BB" w:rsidP="000C62BB">
      <w:pPr>
        <w:shd w:val="clear" w:color="auto" w:fill="FFFFFF"/>
        <w:spacing w:after="0" w:line="240" w:lineRule="auto"/>
        <w:rPr>
          <w:rFonts w:cs="Calibri"/>
          <w:sz w:val="20"/>
          <w:szCs w:val="20"/>
        </w:rPr>
      </w:pPr>
    </w:p>
    <w:p w:rsidR="00DD6991" w:rsidRPr="00D830A3" w:rsidRDefault="00DD6991" w:rsidP="00DD6991">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There is variability in the exam names received from multiple facilities.  In the report generated on data submitted between January and June 2013, 19439 distinct study descriptions mapped to 908 standardized procedure names.  One standard exam name, “CT ABDOMEN WITH IV CONTRAST” was associated with at least 198 distinct study descriptions.  On average, 81% of facilities’ records mapped to a valid standardized procedure name.  For the median facility, almost 92% of the records mapped to a valid standardized procedure name.  Records that are currently mapped may be associated with a standardized name in the future, and this standardized name will be applied retrospectively to all facility records. </w:t>
      </w:r>
    </w:p>
    <w:p w:rsidR="00DD6991" w:rsidRPr="00791D85" w:rsidRDefault="00DD6991" w:rsidP="000C62BB">
      <w:pPr>
        <w:shd w:val="clear" w:color="auto" w:fill="FFFFFF"/>
        <w:spacing w:after="0" w:line="240" w:lineRule="auto"/>
        <w:rPr>
          <w:rFonts w:cs="Calibri"/>
          <w:sz w:val="20"/>
          <w:szCs w:val="20"/>
        </w:rPr>
      </w:pPr>
    </w:p>
    <w:p w:rsidR="000C62BB" w:rsidRPr="000C62BB" w:rsidRDefault="000C62BB" w:rsidP="000C62BB">
      <w:pPr>
        <w:autoSpaceDE w:val="0"/>
        <w:autoSpaceDN w:val="0"/>
        <w:adjustRightInd w:val="0"/>
        <w:spacing w:after="0" w:line="240" w:lineRule="auto"/>
        <w:rPr>
          <w:rFonts w:cstheme="minorHAnsi"/>
          <w:bCs/>
          <w:color w:val="FF0000"/>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rsidR="00DD6991" w:rsidRPr="00D830A3" w:rsidRDefault="00DD6991" w:rsidP="00DD6991">
      <w:pPr>
        <w:autoSpaceDE w:val="0"/>
        <w:autoSpaceDN w:val="0"/>
        <w:adjustRightInd w:val="0"/>
        <w:spacing w:after="0" w:line="240" w:lineRule="auto"/>
        <w:rPr>
          <w:rStyle w:val="Style1"/>
          <w:rFonts w:cs="Trebuchet MS"/>
          <w:szCs w:val="24"/>
        </w:rPr>
      </w:pPr>
      <w:r w:rsidRPr="00D830A3">
        <w:rPr>
          <w:rStyle w:val="Style1"/>
          <w:rFonts w:cs="Trebuchet MS"/>
          <w:szCs w:val="24"/>
        </w:rPr>
        <w:t>As described in the reliability section above, a very large percent of submitted data are complete.  Also, all data are obtained in the same format.  The data are fairly consistent across sources and it is not particularly productive to investigate comparability.</w:t>
      </w:r>
    </w:p>
    <w:p w:rsidR="00DD6991" w:rsidRPr="00D830A3" w:rsidRDefault="00DD6991" w:rsidP="00DB3627">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To the extent that scanners are different, the DIR received valid data from a wide range of scanners.  The DIR was able to receive exam names with a large amount of variability and standardize the information for meaningful comparison.   </w:t>
      </w:r>
    </w:p>
    <w:p w:rsidR="008F7E67" w:rsidRDefault="008F7E67" w:rsidP="008F7E67">
      <w:pPr>
        <w:spacing w:after="0" w:line="240" w:lineRule="auto"/>
        <w:rPr>
          <w:rFonts w:cstheme="minorHAnsi"/>
          <w:b/>
          <w:bCs/>
        </w:rPr>
      </w:pPr>
      <w:r>
        <w:rPr>
          <w:rFonts w:cstheme="minorHAnsi"/>
          <w:b/>
          <w:bCs/>
        </w:rPr>
        <w:lastRenderedPageBreak/>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C43A1D" w:rsidRDefault="00C43A1D" w:rsidP="008F7E67">
      <w:pPr>
        <w:autoSpaceDE w:val="0"/>
        <w:autoSpaceDN w:val="0"/>
        <w:adjustRightInd w:val="0"/>
        <w:spacing w:after="0" w:line="240" w:lineRule="auto"/>
        <w:rPr>
          <w:rFonts w:cstheme="minorHAnsi"/>
          <w:bCs/>
        </w:rPr>
      </w:pPr>
    </w:p>
    <w:p w:rsidR="008F7E67" w:rsidRPr="00791D85"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p>
    <w:p w:rsidR="00791D85" w:rsidRPr="00D830A3" w:rsidRDefault="00791D85" w:rsidP="00D830A3">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Of the 510 facilities with valid data submission in the registry, 104 were in the registry at the time that Measure 0740 was endorsed in September 2011. </w:t>
      </w:r>
    </w:p>
    <w:p w:rsidR="00791D85" w:rsidRPr="00D830A3" w:rsidRDefault="00791D85" w:rsidP="00D830A3">
      <w:pPr>
        <w:autoSpaceDE w:val="0"/>
        <w:autoSpaceDN w:val="0"/>
        <w:adjustRightInd w:val="0"/>
        <w:spacing w:after="0" w:line="240" w:lineRule="auto"/>
        <w:rPr>
          <w:rStyle w:val="Style1"/>
          <w:rFonts w:cs="Trebuchet MS"/>
          <w:szCs w:val="24"/>
        </w:rPr>
      </w:pPr>
    </w:p>
    <w:p w:rsidR="007B4639" w:rsidRPr="00D830A3" w:rsidRDefault="00791D85" w:rsidP="00D830A3">
      <w:pPr>
        <w:autoSpaceDE w:val="0"/>
        <w:autoSpaceDN w:val="0"/>
        <w:adjustRightInd w:val="0"/>
        <w:spacing w:after="0" w:line="240" w:lineRule="auto"/>
        <w:rPr>
          <w:rStyle w:val="Style1"/>
          <w:rFonts w:cs="Trebuchet MS"/>
          <w:szCs w:val="24"/>
        </w:rPr>
      </w:pPr>
      <w:r w:rsidRPr="00D830A3">
        <w:rPr>
          <w:rStyle w:val="Style1"/>
          <w:rFonts w:cs="Trebuchet MS"/>
          <w:szCs w:val="24"/>
        </w:rPr>
        <w:t>Mean, median, and inter-quartile range of exams submitted per facility:  On average, facilities had submitted 44785 valid records per facility.  Half the facilities contributed 32984 records or more; 75% of the facilities contributed 15557 or more records; and 25% of the facilities contributed 69011 records or more.</w:t>
      </w:r>
    </w:p>
    <w:p w:rsidR="00791D85" w:rsidRPr="00D830A3" w:rsidRDefault="00791D85" w:rsidP="00D830A3">
      <w:pPr>
        <w:autoSpaceDE w:val="0"/>
        <w:autoSpaceDN w:val="0"/>
        <w:adjustRightInd w:val="0"/>
        <w:spacing w:after="0" w:line="240" w:lineRule="auto"/>
        <w:rPr>
          <w:rStyle w:val="Style1"/>
          <w:rFonts w:cs="Trebuchet MS"/>
          <w:szCs w:val="24"/>
        </w:rPr>
      </w:pPr>
    </w:p>
    <w:p w:rsidR="007B4639" w:rsidRPr="00D830A3" w:rsidRDefault="007B4639" w:rsidP="00D830A3">
      <w:pPr>
        <w:autoSpaceDE w:val="0"/>
        <w:autoSpaceDN w:val="0"/>
        <w:adjustRightInd w:val="0"/>
        <w:spacing w:after="0" w:line="240" w:lineRule="auto"/>
        <w:rPr>
          <w:rStyle w:val="Style1"/>
          <w:rFonts w:cs="Trebuchet MS"/>
          <w:szCs w:val="24"/>
        </w:rPr>
      </w:pPr>
      <w:r w:rsidRPr="00D830A3">
        <w:rPr>
          <w:rStyle w:val="Style1"/>
          <w:rFonts w:cs="Trebuchet MS"/>
          <w:szCs w:val="24"/>
        </w:rPr>
        <w:t>Records submitted by facilities were analyzed for missing data on critical elements.</w:t>
      </w:r>
    </w:p>
    <w:p w:rsidR="000A3EDA" w:rsidRPr="00A25024" w:rsidRDefault="000A3EDA"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791D85" w:rsidRPr="00D830A3" w:rsidRDefault="00791D85" w:rsidP="00791D85">
      <w:pPr>
        <w:autoSpaceDE w:val="0"/>
        <w:autoSpaceDN w:val="0"/>
        <w:adjustRightInd w:val="0"/>
        <w:spacing w:after="0" w:line="240" w:lineRule="auto"/>
        <w:rPr>
          <w:rStyle w:val="Style1"/>
          <w:rFonts w:cs="Trebuchet MS"/>
          <w:szCs w:val="24"/>
        </w:rPr>
      </w:pPr>
      <w:r w:rsidRPr="00D830A3">
        <w:rPr>
          <w:rStyle w:val="Style1"/>
          <w:rFonts w:cs="Trebuchet MS"/>
          <w:szCs w:val="24"/>
        </w:rPr>
        <w:t xml:space="preserve">Three quarters of participating facilities submitted data where 99% of the records had valid information for study description (standardized procedure name) and </w:t>
      </w:r>
      <w:proofErr w:type="spellStart"/>
      <w:r w:rsidRPr="00D830A3">
        <w:rPr>
          <w:rStyle w:val="Style1"/>
          <w:rFonts w:cs="Trebuchet MS"/>
          <w:szCs w:val="24"/>
        </w:rPr>
        <w:t>CTDIvol</w:t>
      </w:r>
      <w:proofErr w:type="spellEnd"/>
      <w:r w:rsidRPr="00D830A3">
        <w:rPr>
          <w:rStyle w:val="Style1"/>
          <w:rFonts w:cs="Trebuchet MS"/>
          <w:szCs w:val="24"/>
        </w:rPr>
        <w:t>, which are critical for reporting on dose indices and benchmarks.  On average, facilities had 96% of their records with complete information on the critical elements, and the median facility had complete data on over 99.7% of its records.</w:t>
      </w:r>
    </w:p>
    <w:p w:rsidR="00791D85" w:rsidRPr="00D830A3" w:rsidRDefault="00791D85" w:rsidP="00791D85">
      <w:pPr>
        <w:autoSpaceDE w:val="0"/>
        <w:autoSpaceDN w:val="0"/>
        <w:adjustRightInd w:val="0"/>
        <w:spacing w:after="0" w:line="240" w:lineRule="auto"/>
        <w:rPr>
          <w:rStyle w:val="Style1"/>
          <w:rFonts w:cs="Trebuchet MS"/>
          <w:szCs w:val="24"/>
        </w:rPr>
      </w:pPr>
    </w:p>
    <w:p w:rsidR="008F7E67" w:rsidRPr="00D830A3" w:rsidRDefault="00791D85" w:rsidP="00791D85">
      <w:pPr>
        <w:autoSpaceDE w:val="0"/>
        <w:autoSpaceDN w:val="0"/>
        <w:adjustRightInd w:val="0"/>
        <w:spacing w:after="0" w:line="240" w:lineRule="auto"/>
        <w:rPr>
          <w:rStyle w:val="Style1"/>
          <w:rFonts w:cs="Trebuchet MS"/>
          <w:szCs w:val="24"/>
        </w:rPr>
      </w:pPr>
      <w:r w:rsidRPr="00D830A3">
        <w:rPr>
          <w:rStyle w:val="Style1"/>
          <w:rFonts w:cs="Trebuchet MS"/>
          <w:szCs w:val="24"/>
        </w:rPr>
        <w:t>Percent of records where exams were mapped to a standardized procedure name for comparison and benchmarking:  On average, 81% of facilities’ records mapped to a valid standardized procedure name.  For the median facility, almost 92% of the records mapped to a valid standardized procedure name.  Records that are currently mapped may be associated with a standardized name in the future, and this standardized name will be applied retrospectively to all facility records.</w:t>
      </w:r>
    </w:p>
    <w:p w:rsidR="00791D85" w:rsidRPr="00791D85" w:rsidRDefault="00791D85" w:rsidP="00791D85">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F7756A" w:rsidRDefault="00F7756A">
      <w:pPr>
        <w:autoSpaceDE w:val="0"/>
        <w:autoSpaceDN w:val="0"/>
        <w:adjustRightInd w:val="0"/>
        <w:spacing w:after="0" w:line="240" w:lineRule="auto"/>
        <w:rPr>
          <w:rFonts w:cstheme="minorHAnsi"/>
          <w:bCs/>
        </w:rPr>
      </w:pPr>
    </w:p>
    <w:p w:rsidR="00111122" w:rsidRPr="00D830A3" w:rsidRDefault="00111122" w:rsidP="00111122">
      <w:pPr>
        <w:autoSpaceDE w:val="0"/>
        <w:autoSpaceDN w:val="0"/>
        <w:adjustRightInd w:val="0"/>
        <w:spacing w:after="0" w:line="240" w:lineRule="auto"/>
        <w:rPr>
          <w:rStyle w:val="Style1"/>
          <w:rFonts w:cs="Trebuchet MS"/>
          <w:szCs w:val="24"/>
        </w:rPr>
      </w:pPr>
      <w:r w:rsidRPr="00D830A3">
        <w:rPr>
          <w:rStyle w:val="Style1"/>
          <w:rFonts w:cs="Trebuchet MS"/>
          <w:szCs w:val="24"/>
        </w:rPr>
        <w:t>Operational use has taught us a great deal about the variability across facilities.  Some examples are as follows:</w:t>
      </w:r>
    </w:p>
    <w:p w:rsidR="00111122" w:rsidRPr="00D830A3" w:rsidRDefault="00111122" w:rsidP="00D830A3">
      <w:pPr>
        <w:pStyle w:val="ListParagraph"/>
        <w:numPr>
          <w:ilvl w:val="0"/>
          <w:numId w:val="46"/>
        </w:numPr>
        <w:autoSpaceDE w:val="0"/>
        <w:autoSpaceDN w:val="0"/>
        <w:adjustRightInd w:val="0"/>
        <w:spacing w:after="0" w:line="240" w:lineRule="auto"/>
        <w:rPr>
          <w:rStyle w:val="Style1"/>
          <w:rFonts w:cs="Trebuchet MS"/>
          <w:szCs w:val="24"/>
        </w:rPr>
      </w:pPr>
      <w:r w:rsidRPr="00D830A3">
        <w:rPr>
          <w:rStyle w:val="Style1"/>
          <w:rFonts w:cs="Trebuchet MS"/>
          <w:szCs w:val="24"/>
        </w:rPr>
        <w:t xml:space="preserve">We were aware early on about the wide range of procedure names across and even within facilities to describe the same exam.  As we worked through the process of standardized names, we learned what kinds of assistance and tools facilities needed to be able to implement the standardization.  </w:t>
      </w:r>
    </w:p>
    <w:p w:rsidR="00111122" w:rsidRPr="00D830A3" w:rsidRDefault="00111122" w:rsidP="00D830A3">
      <w:pPr>
        <w:pStyle w:val="ListParagraph"/>
        <w:numPr>
          <w:ilvl w:val="0"/>
          <w:numId w:val="46"/>
        </w:numPr>
        <w:autoSpaceDE w:val="0"/>
        <w:autoSpaceDN w:val="0"/>
        <w:adjustRightInd w:val="0"/>
        <w:spacing w:after="0" w:line="240" w:lineRule="auto"/>
        <w:rPr>
          <w:rStyle w:val="Style1"/>
          <w:rFonts w:cs="Trebuchet MS"/>
          <w:szCs w:val="24"/>
        </w:rPr>
      </w:pPr>
      <w:r w:rsidRPr="00D830A3">
        <w:rPr>
          <w:rStyle w:val="Style1"/>
          <w:rFonts w:cs="Trebuchet MS"/>
          <w:szCs w:val="24"/>
        </w:rPr>
        <w:lastRenderedPageBreak/>
        <w:t>The experiences of our facilities helped the lexicon developers (</w:t>
      </w:r>
      <w:proofErr w:type="spellStart"/>
      <w:r w:rsidRPr="00D830A3">
        <w:rPr>
          <w:rStyle w:val="Style1"/>
          <w:rFonts w:cs="Trebuchet MS"/>
          <w:szCs w:val="24"/>
        </w:rPr>
        <w:t>RadLex</w:t>
      </w:r>
      <w:proofErr w:type="spellEnd"/>
      <w:r w:rsidRPr="00D830A3">
        <w:rPr>
          <w:rStyle w:val="Style1"/>
          <w:rFonts w:cs="Trebuchet MS"/>
          <w:szCs w:val="24"/>
        </w:rPr>
        <w:t>) implement user-friendly interfaces and continues to inform the development of a complete and useful lexicon.</w:t>
      </w:r>
    </w:p>
    <w:p w:rsidR="00111122" w:rsidRPr="00D830A3" w:rsidRDefault="00111122" w:rsidP="00D830A3">
      <w:pPr>
        <w:pStyle w:val="ListParagraph"/>
        <w:numPr>
          <w:ilvl w:val="0"/>
          <w:numId w:val="46"/>
        </w:numPr>
        <w:autoSpaceDE w:val="0"/>
        <w:autoSpaceDN w:val="0"/>
        <w:adjustRightInd w:val="0"/>
        <w:spacing w:after="0" w:line="240" w:lineRule="auto"/>
        <w:rPr>
          <w:rStyle w:val="Style1"/>
          <w:rFonts w:cs="Trebuchet MS"/>
          <w:szCs w:val="24"/>
        </w:rPr>
      </w:pPr>
      <w:r w:rsidRPr="00D830A3">
        <w:rPr>
          <w:rStyle w:val="Style1"/>
          <w:rFonts w:cs="Trebuchet MS"/>
          <w:szCs w:val="24"/>
        </w:rPr>
        <w:t>We were aware of differences in scanner output with regards to dose information, but the extent of variation between scanners was larger than we had anticipated.  We learned that we needed to use our relationships with manufacturers to seek their assistance in testing the software that we use for data collection.  We also sought advice from manufacturers when trouble-shooting the data acquisition process and used their support in helping their customers get started with data submission.</w:t>
      </w:r>
    </w:p>
    <w:p w:rsidR="00111122" w:rsidRPr="00D830A3" w:rsidRDefault="00111122" w:rsidP="00D830A3">
      <w:pPr>
        <w:pStyle w:val="ListParagraph"/>
        <w:numPr>
          <w:ilvl w:val="0"/>
          <w:numId w:val="46"/>
        </w:numPr>
        <w:autoSpaceDE w:val="0"/>
        <w:autoSpaceDN w:val="0"/>
        <w:adjustRightInd w:val="0"/>
        <w:spacing w:after="0" w:line="240" w:lineRule="auto"/>
        <w:rPr>
          <w:rStyle w:val="Style1"/>
          <w:rFonts w:cs="Trebuchet MS"/>
          <w:szCs w:val="24"/>
        </w:rPr>
      </w:pPr>
      <w:r w:rsidRPr="00D830A3">
        <w:rPr>
          <w:rStyle w:val="Style1"/>
          <w:rFonts w:cs="Trebuchet MS"/>
          <w:szCs w:val="24"/>
        </w:rPr>
        <w:t>We have learned that our facilities are our best resource in solving operational issues and we recruit their assistance in helping other participating facilities get started with data submission.  Facilities often understand hands-on operational issues much better than registry staff or manufacturer representatives.</w:t>
      </w:r>
    </w:p>
    <w:p w:rsidR="00F7756A" w:rsidRPr="00D830A3" w:rsidRDefault="00111122" w:rsidP="00D830A3">
      <w:pPr>
        <w:pStyle w:val="ListParagraph"/>
        <w:numPr>
          <w:ilvl w:val="0"/>
          <w:numId w:val="46"/>
        </w:numPr>
        <w:autoSpaceDE w:val="0"/>
        <w:autoSpaceDN w:val="0"/>
        <w:adjustRightInd w:val="0"/>
        <w:spacing w:after="0" w:line="240" w:lineRule="auto"/>
        <w:rPr>
          <w:rStyle w:val="Style1"/>
          <w:rFonts w:cs="Trebuchet MS"/>
          <w:szCs w:val="24"/>
        </w:rPr>
      </w:pPr>
      <w:bookmarkStart w:id="15" w:name="_GoBack"/>
      <w:bookmarkEnd w:id="15"/>
      <w:r w:rsidRPr="00D830A3">
        <w:rPr>
          <w:rStyle w:val="Style1"/>
          <w:rFonts w:cs="Trebuchet MS"/>
          <w:szCs w:val="24"/>
        </w:rPr>
        <w:t>We continue to learn more about facility operations that we do not fully accommodate and our oversight committee will help us find consensus solutions.  For example, some perfusion exams may have multiple monitoring scans to monitor contrast before performing a scan of the body part of interest and this may lead to misrepresentation of the dose index for an exam.  Some facilities may split and rename an exam such as CT of the chest, abdomen, and pelvis and may have different body parts interpreted by different physicians; the dose index screen in this case may reflect the whole exam but the exam name may only describe one of the body parts.  Our committee is working on solutions to minimize misinterpretation.</w:t>
      </w:r>
    </w:p>
    <w:p w:rsidR="00F7756A" w:rsidRDefault="00F7756A">
      <w:pPr>
        <w:autoSpaceDE w:val="0"/>
        <w:autoSpaceDN w:val="0"/>
        <w:adjustRightInd w:val="0"/>
        <w:spacing w:after="0" w:line="240" w:lineRule="auto"/>
        <w:rPr>
          <w:rFonts w:cstheme="minorHAnsi"/>
          <w:bCs/>
        </w:rPr>
      </w:pPr>
    </w:p>
    <w:p w:rsidR="00F7756A" w:rsidRDefault="00F7756A">
      <w:pPr>
        <w:autoSpaceDE w:val="0"/>
        <w:autoSpaceDN w:val="0"/>
        <w:adjustRightInd w:val="0"/>
        <w:spacing w:after="0" w:line="240" w:lineRule="auto"/>
        <w:rPr>
          <w:rFonts w:cstheme="minorHAnsi"/>
          <w:bCs/>
        </w:rPr>
      </w:pP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30"/>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416" w:rsidRDefault="002A6416" w:rsidP="005C73CA">
      <w:pPr>
        <w:spacing w:after="0" w:line="240" w:lineRule="auto"/>
      </w:pPr>
      <w:r>
        <w:separator/>
      </w:r>
    </w:p>
  </w:endnote>
  <w:endnote w:type="continuationSeparator" w:id="0">
    <w:p w:rsidR="002A6416" w:rsidRDefault="002A6416"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00000287" w:usb1="00000000" w:usb2="00000000" w:usb3="00000000" w:csb0="0000009F"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416" w:rsidRDefault="002A6416">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D830A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416" w:rsidRDefault="002A6416" w:rsidP="005C73CA">
      <w:pPr>
        <w:spacing w:after="0" w:line="240" w:lineRule="auto"/>
      </w:pPr>
      <w:r>
        <w:separator/>
      </w:r>
    </w:p>
  </w:footnote>
  <w:footnote w:type="continuationSeparator" w:id="0">
    <w:p w:rsidR="002A6416" w:rsidRDefault="002A6416"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416" w:rsidRPr="00105D8B" w:rsidRDefault="002A6416"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2327"/>
    <w:multiLevelType w:val="hybridMultilevel"/>
    <w:tmpl w:val="7E0C1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297403"/>
    <w:multiLevelType w:val="hybridMultilevel"/>
    <w:tmpl w:val="F2205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AF6271"/>
    <w:multiLevelType w:val="hybridMultilevel"/>
    <w:tmpl w:val="353CA1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A9E1EE4"/>
    <w:multiLevelType w:val="hybridMultilevel"/>
    <w:tmpl w:val="B1EAF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D6B2F74"/>
    <w:multiLevelType w:val="hybridMultilevel"/>
    <w:tmpl w:val="61AC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5971CAC"/>
    <w:multiLevelType w:val="hybridMultilevel"/>
    <w:tmpl w:val="74FEC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C467B21"/>
    <w:multiLevelType w:val="hybridMultilevel"/>
    <w:tmpl w:val="FC1689DE"/>
    <w:lvl w:ilvl="0" w:tplc="30883D9C">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046757"/>
    <w:multiLevelType w:val="hybridMultilevel"/>
    <w:tmpl w:val="75D2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8BA39C9"/>
    <w:multiLevelType w:val="hybridMultilevel"/>
    <w:tmpl w:val="D5325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CC84933"/>
    <w:multiLevelType w:val="hybridMultilevel"/>
    <w:tmpl w:val="E0801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DC553DF"/>
    <w:multiLevelType w:val="hybridMultilevel"/>
    <w:tmpl w:val="1F5A1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3A647A"/>
    <w:multiLevelType w:val="hybridMultilevel"/>
    <w:tmpl w:val="B524DF2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A7D2D3E"/>
    <w:multiLevelType w:val="hybridMultilevel"/>
    <w:tmpl w:val="A6F44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EED6666"/>
    <w:multiLevelType w:val="hybridMultilevel"/>
    <w:tmpl w:val="5FBAF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BC040C"/>
    <w:multiLevelType w:val="hybridMultilevel"/>
    <w:tmpl w:val="EAD2269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23F4541"/>
    <w:multiLevelType w:val="hybridMultilevel"/>
    <w:tmpl w:val="0F92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53576AD"/>
    <w:multiLevelType w:val="hybridMultilevel"/>
    <w:tmpl w:val="33802ECA"/>
    <w:lvl w:ilvl="0" w:tplc="0F58E524">
      <w:numFmt w:val="bullet"/>
      <w:lvlText w:val="-"/>
      <w:lvlJc w:val="left"/>
      <w:pPr>
        <w:ind w:left="1350" w:hanging="360"/>
      </w:pPr>
      <w:rPr>
        <w:rFonts w:ascii="Calibri" w:eastAsiaTheme="minorEastAsia"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860049"/>
    <w:multiLevelType w:val="hybridMultilevel"/>
    <w:tmpl w:val="599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C4A315C"/>
    <w:multiLevelType w:val="hybridMultilevel"/>
    <w:tmpl w:val="25FCAA7E"/>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6FA2FE6"/>
    <w:multiLevelType w:val="hybridMultilevel"/>
    <w:tmpl w:val="0EA67278"/>
    <w:lvl w:ilvl="0" w:tplc="581694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D70754F"/>
    <w:multiLevelType w:val="hybridMultilevel"/>
    <w:tmpl w:val="75A4A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
  </w:num>
  <w:num w:numId="4">
    <w:abstractNumId w:val="7"/>
  </w:num>
  <w:num w:numId="5">
    <w:abstractNumId w:val="2"/>
  </w:num>
  <w:num w:numId="6">
    <w:abstractNumId w:val="1"/>
  </w:num>
  <w:num w:numId="7">
    <w:abstractNumId w:val="4"/>
  </w:num>
  <w:num w:numId="8">
    <w:abstractNumId w:val="26"/>
  </w:num>
  <w:num w:numId="9">
    <w:abstractNumId w:val="12"/>
  </w:num>
  <w:num w:numId="10">
    <w:abstractNumId w:val="39"/>
  </w:num>
  <w:num w:numId="11">
    <w:abstractNumId w:val="15"/>
  </w:num>
  <w:num w:numId="12">
    <w:abstractNumId w:val="34"/>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37"/>
  </w:num>
  <w:num w:numId="18">
    <w:abstractNumId w:val="29"/>
  </w:num>
  <w:num w:numId="19">
    <w:abstractNumId w:val="27"/>
  </w:num>
  <w:num w:numId="20">
    <w:abstractNumId w:val="20"/>
  </w:num>
  <w:num w:numId="21">
    <w:abstractNumId w:val="24"/>
  </w:num>
  <w:num w:numId="22">
    <w:abstractNumId w:val="19"/>
  </w:num>
  <w:num w:numId="23">
    <w:abstractNumId w:val="8"/>
  </w:num>
  <w:num w:numId="24">
    <w:abstractNumId w:val="17"/>
  </w:num>
  <w:num w:numId="25">
    <w:abstractNumId w:val="16"/>
  </w:num>
  <w:num w:numId="26">
    <w:abstractNumId w:val="42"/>
  </w:num>
  <w:num w:numId="27">
    <w:abstractNumId w:val="40"/>
  </w:num>
  <w:num w:numId="28">
    <w:abstractNumId w:val="21"/>
  </w:num>
  <w:num w:numId="29">
    <w:abstractNumId w:val="9"/>
  </w:num>
  <w:num w:numId="30">
    <w:abstractNumId w:val="32"/>
  </w:num>
  <w:num w:numId="31">
    <w:abstractNumId w:val="36"/>
  </w:num>
  <w:num w:numId="32">
    <w:abstractNumId w:val="11"/>
  </w:num>
  <w:num w:numId="33">
    <w:abstractNumId w:val="38"/>
  </w:num>
  <w:num w:numId="34">
    <w:abstractNumId w:val="44"/>
  </w:num>
  <w:num w:numId="35">
    <w:abstractNumId w:val="18"/>
  </w:num>
  <w:num w:numId="36">
    <w:abstractNumId w:val="35"/>
  </w:num>
  <w:num w:numId="37">
    <w:abstractNumId w:val="41"/>
  </w:num>
  <w:num w:numId="38">
    <w:abstractNumId w:val="6"/>
  </w:num>
  <w:num w:numId="39">
    <w:abstractNumId w:val="43"/>
  </w:num>
  <w:num w:numId="40">
    <w:abstractNumId w:val="31"/>
  </w:num>
  <w:num w:numId="41">
    <w:abstractNumId w:val="28"/>
  </w:num>
  <w:num w:numId="42">
    <w:abstractNumId w:val="0"/>
  </w:num>
  <w:num w:numId="43">
    <w:abstractNumId w:val="33"/>
  </w:num>
  <w:num w:numId="44">
    <w:abstractNumId w:val="13"/>
  </w:num>
  <w:num w:numId="45">
    <w:abstractNumId w:val="3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20"/>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204"/>
    <w:rsid w:val="00052A6F"/>
    <w:rsid w:val="00053F02"/>
    <w:rsid w:val="0005612B"/>
    <w:rsid w:val="000574AB"/>
    <w:rsid w:val="0006147A"/>
    <w:rsid w:val="000775F8"/>
    <w:rsid w:val="00080CF7"/>
    <w:rsid w:val="000851B2"/>
    <w:rsid w:val="00091872"/>
    <w:rsid w:val="00092566"/>
    <w:rsid w:val="000968F8"/>
    <w:rsid w:val="00097012"/>
    <w:rsid w:val="000A3EDA"/>
    <w:rsid w:val="000B032A"/>
    <w:rsid w:val="000B2DF7"/>
    <w:rsid w:val="000B3880"/>
    <w:rsid w:val="000B6580"/>
    <w:rsid w:val="000C47BE"/>
    <w:rsid w:val="000C62BB"/>
    <w:rsid w:val="000D7948"/>
    <w:rsid w:val="000D7C84"/>
    <w:rsid w:val="000E4E13"/>
    <w:rsid w:val="000E78F6"/>
    <w:rsid w:val="000F034A"/>
    <w:rsid w:val="000F06B5"/>
    <w:rsid w:val="000F3418"/>
    <w:rsid w:val="000F39E9"/>
    <w:rsid w:val="00104B45"/>
    <w:rsid w:val="00105D8B"/>
    <w:rsid w:val="00111122"/>
    <w:rsid w:val="0011342F"/>
    <w:rsid w:val="001202E9"/>
    <w:rsid w:val="0012454F"/>
    <w:rsid w:val="00125273"/>
    <w:rsid w:val="0012575E"/>
    <w:rsid w:val="00127C06"/>
    <w:rsid w:val="00145149"/>
    <w:rsid w:val="00145D4F"/>
    <w:rsid w:val="0014773C"/>
    <w:rsid w:val="00151FF3"/>
    <w:rsid w:val="00152E49"/>
    <w:rsid w:val="0017696D"/>
    <w:rsid w:val="001848FC"/>
    <w:rsid w:val="001969C5"/>
    <w:rsid w:val="001A6CDD"/>
    <w:rsid w:val="001C12EE"/>
    <w:rsid w:val="001C56CD"/>
    <w:rsid w:val="001C7B02"/>
    <w:rsid w:val="001E4DD4"/>
    <w:rsid w:val="001E69DC"/>
    <w:rsid w:val="001F169D"/>
    <w:rsid w:val="001F1DA1"/>
    <w:rsid w:val="001F6F93"/>
    <w:rsid w:val="001F7A20"/>
    <w:rsid w:val="00210E1C"/>
    <w:rsid w:val="0021195A"/>
    <w:rsid w:val="00213383"/>
    <w:rsid w:val="00220250"/>
    <w:rsid w:val="0022691B"/>
    <w:rsid w:val="00232163"/>
    <w:rsid w:val="002351DE"/>
    <w:rsid w:val="002376F8"/>
    <w:rsid w:val="002408E4"/>
    <w:rsid w:val="00241591"/>
    <w:rsid w:val="00250B4F"/>
    <w:rsid w:val="0025762F"/>
    <w:rsid w:val="0028114D"/>
    <w:rsid w:val="00287649"/>
    <w:rsid w:val="00287E84"/>
    <w:rsid w:val="0029286C"/>
    <w:rsid w:val="0029300E"/>
    <w:rsid w:val="002A6416"/>
    <w:rsid w:val="002B0C3A"/>
    <w:rsid w:val="002B2116"/>
    <w:rsid w:val="002B2D9B"/>
    <w:rsid w:val="002B5016"/>
    <w:rsid w:val="002B742C"/>
    <w:rsid w:val="002B7F4D"/>
    <w:rsid w:val="002C0944"/>
    <w:rsid w:val="002C285C"/>
    <w:rsid w:val="002C35F6"/>
    <w:rsid w:val="002C7BE4"/>
    <w:rsid w:val="002D417D"/>
    <w:rsid w:val="002D5E5D"/>
    <w:rsid w:val="002E78A0"/>
    <w:rsid w:val="002F2687"/>
    <w:rsid w:val="002F48E1"/>
    <w:rsid w:val="002F4F3B"/>
    <w:rsid w:val="003059EB"/>
    <w:rsid w:val="003100D6"/>
    <w:rsid w:val="003116AC"/>
    <w:rsid w:val="00315567"/>
    <w:rsid w:val="00322F8B"/>
    <w:rsid w:val="00330144"/>
    <w:rsid w:val="00333CB1"/>
    <w:rsid w:val="003402CA"/>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16B2A"/>
    <w:rsid w:val="004348CC"/>
    <w:rsid w:val="00443878"/>
    <w:rsid w:val="004603D5"/>
    <w:rsid w:val="004658FF"/>
    <w:rsid w:val="00474ED7"/>
    <w:rsid w:val="004756E1"/>
    <w:rsid w:val="0048008A"/>
    <w:rsid w:val="00483E94"/>
    <w:rsid w:val="00484120"/>
    <w:rsid w:val="004853A0"/>
    <w:rsid w:val="00496B5F"/>
    <w:rsid w:val="004A2E10"/>
    <w:rsid w:val="004B17FF"/>
    <w:rsid w:val="004B1BA0"/>
    <w:rsid w:val="004B6CEE"/>
    <w:rsid w:val="004C19C2"/>
    <w:rsid w:val="004C2443"/>
    <w:rsid w:val="004C498F"/>
    <w:rsid w:val="004C5D29"/>
    <w:rsid w:val="004C681A"/>
    <w:rsid w:val="004D4D8A"/>
    <w:rsid w:val="004F1C42"/>
    <w:rsid w:val="004F68EE"/>
    <w:rsid w:val="00501265"/>
    <w:rsid w:val="005038D5"/>
    <w:rsid w:val="00511BA4"/>
    <w:rsid w:val="005149E7"/>
    <w:rsid w:val="005232D6"/>
    <w:rsid w:val="005333CC"/>
    <w:rsid w:val="005363F1"/>
    <w:rsid w:val="0054696F"/>
    <w:rsid w:val="0055007C"/>
    <w:rsid w:val="00554922"/>
    <w:rsid w:val="00555282"/>
    <w:rsid w:val="005560E7"/>
    <w:rsid w:val="005612CC"/>
    <w:rsid w:val="00563029"/>
    <w:rsid w:val="00567D12"/>
    <w:rsid w:val="00571F15"/>
    <w:rsid w:val="00576062"/>
    <w:rsid w:val="00593AAB"/>
    <w:rsid w:val="0059559F"/>
    <w:rsid w:val="005A49FF"/>
    <w:rsid w:val="005A7634"/>
    <w:rsid w:val="005B5768"/>
    <w:rsid w:val="005C0447"/>
    <w:rsid w:val="005C739F"/>
    <w:rsid w:val="005C73CA"/>
    <w:rsid w:val="005D4768"/>
    <w:rsid w:val="005E2CAB"/>
    <w:rsid w:val="005E429E"/>
    <w:rsid w:val="005F0C55"/>
    <w:rsid w:val="00601ED4"/>
    <w:rsid w:val="006030BC"/>
    <w:rsid w:val="00603B15"/>
    <w:rsid w:val="00612866"/>
    <w:rsid w:val="00616D29"/>
    <w:rsid w:val="00616EB5"/>
    <w:rsid w:val="006269D4"/>
    <w:rsid w:val="006327D8"/>
    <w:rsid w:val="0064070A"/>
    <w:rsid w:val="00643A01"/>
    <w:rsid w:val="006574D2"/>
    <w:rsid w:val="006676D4"/>
    <w:rsid w:val="00675535"/>
    <w:rsid w:val="00681359"/>
    <w:rsid w:val="00682C96"/>
    <w:rsid w:val="00696262"/>
    <w:rsid w:val="006C3A4F"/>
    <w:rsid w:val="006C4845"/>
    <w:rsid w:val="006D6BC1"/>
    <w:rsid w:val="006E2BFC"/>
    <w:rsid w:val="006E5C57"/>
    <w:rsid w:val="006F002A"/>
    <w:rsid w:val="006F22A5"/>
    <w:rsid w:val="00702C73"/>
    <w:rsid w:val="00713394"/>
    <w:rsid w:val="00724677"/>
    <w:rsid w:val="00725AC2"/>
    <w:rsid w:val="00732880"/>
    <w:rsid w:val="007416B9"/>
    <w:rsid w:val="007422FD"/>
    <w:rsid w:val="00743139"/>
    <w:rsid w:val="00743E46"/>
    <w:rsid w:val="00747C45"/>
    <w:rsid w:val="00756FDB"/>
    <w:rsid w:val="007629B6"/>
    <w:rsid w:val="007665BF"/>
    <w:rsid w:val="00771B2A"/>
    <w:rsid w:val="007757CE"/>
    <w:rsid w:val="00775800"/>
    <w:rsid w:val="0079180E"/>
    <w:rsid w:val="00791D85"/>
    <w:rsid w:val="007950CC"/>
    <w:rsid w:val="0079538B"/>
    <w:rsid w:val="007961B8"/>
    <w:rsid w:val="00797624"/>
    <w:rsid w:val="007A0D12"/>
    <w:rsid w:val="007A4828"/>
    <w:rsid w:val="007B093D"/>
    <w:rsid w:val="007B2069"/>
    <w:rsid w:val="007B4639"/>
    <w:rsid w:val="007C04A1"/>
    <w:rsid w:val="007C21FA"/>
    <w:rsid w:val="007C5A54"/>
    <w:rsid w:val="007D4351"/>
    <w:rsid w:val="007D7019"/>
    <w:rsid w:val="007E18DB"/>
    <w:rsid w:val="007E6F1C"/>
    <w:rsid w:val="00804C69"/>
    <w:rsid w:val="0080711D"/>
    <w:rsid w:val="00813DAA"/>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871DE"/>
    <w:rsid w:val="008916BA"/>
    <w:rsid w:val="00892176"/>
    <w:rsid w:val="00893E1D"/>
    <w:rsid w:val="008948D8"/>
    <w:rsid w:val="008A1DB7"/>
    <w:rsid w:val="008A403A"/>
    <w:rsid w:val="008A4C13"/>
    <w:rsid w:val="008B604D"/>
    <w:rsid w:val="008C530A"/>
    <w:rsid w:val="008C54A9"/>
    <w:rsid w:val="008E67C3"/>
    <w:rsid w:val="008F589F"/>
    <w:rsid w:val="008F76A9"/>
    <w:rsid w:val="008F7E67"/>
    <w:rsid w:val="00900DBF"/>
    <w:rsid w:val="009048B9"/>
    <w:rsid w:val="00904E91"/>
    <w:rsid w:val="00915886"/>
    <w:rsid w:val="009214DC"/>
    <w:rsid w:val="00927027"/>
    <w:rsid w:val="009344BA"/>
    <w:rsid w:val="009467C5"/>
    <w:rsid w:val="00946C77"/>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3200"/>
    <w:rsid w:val="009E78FF"/>
    <w:rsid w:val="009F1E7D"/>
    <w:rsid w:val="009F2378"/>
    <w:rsid w:val="00A01494"/>
    <w:rsid w:val="00A22FA9"/>
    <w:rsid w:val="00A25024"/>
    <w:rsid w:val="00A267FD"/>
    <w:rsid w:val="00A31590"/>
    <w:rsid w:val="00A35F8F"/>
    <w:rsid w:val="00A41377"/>
    <w:rsid w:val="00A4263D"/>
    <w:rsid w:val="00A509B8"/>
    <w:rsid w:val="00A52AB9"/>
    <w:rsid w:val="00A6210B"/>
    <w:rsid w:val="00A700C8"/>
    <w:rsid w:val="00A7323A"/>
    <w:rsid w:val="00A831B4"/>
    <w:rsid w:val="00A97798"/>
    <w:rsid w:val="00AA32A8"/>
    <w:rsid w:val="00AA5213"/>
    <w:rsid w:val="00AA65A6"/>
    <w:rsid w:val="00AB4882"/>
    <w:rsid w:val="00AC1D8E"/>
    <w:rsid w:val="00AC40BF"/>
    <w:rsid w:val="00AC48FA"/>
    <w:rsid w:val="00AC7732"/>
    <w:rsid w:val="00AD0240"/>
    <w:rsid w:val="00AD4137"/>
    <w:rsid w:val="00AF110F"/>
    <w:rsid w:val="00AF46D7"/>
    <w:rsid w:val="00B037BA"/>
    <w:rsid w:val="00B1334F"/>
    <w:rsid w:val="00B20139"/>
    <w:rsid w:val="00B218DA"/>
    <w:rsid w:val="00B342FA"/>
    <w:rsid w:val="00B53E8B"/>
    <w:rsid w:val="00B774D2"/>
    <w:rsid w:val="00B8015A"/>
    <w:rsid w:val="00B82A57"/>
    <w:rsid w:val="00BA053B"/>
    <w:rsid w:val="00BB2F80"/>
    <w:rsid w:val="00BB35AE"/>
    <w:rsid w:val="00BC03A1"/>
    <w:rsid w:val="00BC0D25"/>
    <w:rsid w:val="00BC161C"/>
    <w:rsid w:val="00BD2505"/>
    <w:rsid w:val="00BE592D"/>
    <w:rsid w:val="00BF52B0"/>
    <w:rsid w:val="00BF5697"/>
    <w:rsid w:val="00C07CE3"/>
    <w:rsid w:val="00C14CCC"/>
    <w:rsid w:val="00C22C1C"/>
    <w:rsid w:val="00C33F2E"/>
    <w:rsid w:val="00C34936"/>
    <w:rsid w:val="00C34C14"/>
    <w:rsid w:val="00C355B9"/>
    <w:rsid w:val="00C401C4"/>
    <w:rsid w:val="00C40879"/>
    <w:rsid w:val="00C41680"/>
    <w:rsid w:val="00C43A1D"/>
    <w:rsid w:val="00C60A25"/>
    <w:rsid w:val="00C60D70"/>
    <w:rsid w:val="00C7012B"/>
    <w:rsid w:val="00C765C5"/>
    <w:rsid w:val="00C82479"/>
    <w:rsid w:val="00C867F0"/>
    <w:rsid w:val="00CA06D8"/>
    <w:rsid w:val="00CA345A"/>
    <w:rsid w:val="00CB2C42"/>
    <w:rsid w:val="00CB49FF"/>
    <w:rsid w:val="00CC02CF"/>
    <w:rsid w:val="00CC086A"/>
    <w:rsid w:val="00CD0F66"/>
    <w:rsid w:val="00CD364B"/>
    <w:rsid w:val="00CE19EE"/>
    <w:rsid w:val="00CE23B8"/>
    <w:rsid w:val="00CE50D7"/>
    <w:rsid w:val="00D00344"/>
    <w:rsid w:val="00D1754D"/>
    <w:rsid w:val="00D2223F"/>
    <w:rsid w:val="00D274A4"/>
    <w:rsid w:val="00D277AF"/>
    <w:rsid w:val="00D31163"/>
    <w:rsid w:val="00D320B1"/>
    <w:rsid w:val="00D33AFD"/>
    <w:rsid w:val="00D36489"/>
    <w:rsid w:val="00D377EE"/>
    <w:rsid w:val="00D42195"/>
    <w:rsid w:val="00D50704"/>
    <w:rsid w:val="00D5760A"/>
    <w:rsid w:val="00D61410"/>
    <w:rsid w:val="00D8181D"/>
    <w:rsid w:val="00D830A3"/>
    <w:rsid w:val="00D87743"/>
    <w:rsid w:val="00D968D8"/>
    <w:rsid w:val="00DA563D"/>
    <w:rsid w:val="00DA7277"/>
    <w:rsid w:val="00DB3627"/>
    <w:rsid w:val="00DB4724"/>
    <w:rsid w:val="00DB7F68"/>
    <w:rsid w:val="00DC4746"/>
    <w:rsid w:val="00DD6991"/>
    <w:rsid w:val="00DE7149"/>
    <w:rsid w:val="00E0314C"/>
    <w:rsid w:val="00E1508F"/>
    <w:rsid w:val="00E27240"/>
    <w:rsid w:val="00E27EDD"/>
    <w:rsid w:val="00E30584"/>
    <w:rsid w:val="00E310B9"/>
    <w:rsid w:val="00E37E1B"/>
    <w:rsid w:val="00E4300F"/>
    <w:rsid w:val="00E562C0"/>
    <w:rsid w:val="00E66A71"/>
    <w:rsid w:val="00E672D6"/>
    <w:rsid w:val="00E76024"/>
    <w:rsid w:val="00E856A2"/>
    <w:rsid w:val="00E96884"/>
    <w:rsid w:val="00EA5435"/>
    <w:rsid w:val="00EA5F47"/>
    <w:rsid w:val="00EC79DE"/>
    <w:rsid w:val="00ED4ACE"/>
    <w:rsid w:val="00EE4D35"/>
    <w:rsid w:val="00EF2DA7"/>
    <w:rsid w:val="00F066B2"/>
    <w:rsid w:val="00F21B26"/>
    <w:rsid w:val="00F40AC9"/>
    <w:rsid w:val="00F435AA"/>
    <w:rsid w:val="00F5738A"/>
    <w:rsid w:val="00F612D4"/>
    <w:rsid w:val="00F7756A"/>
    <w:rsid w:val="00F77F1D"/>
    <w:rsid w:val="00F87CCB"/>
    <w:rsid w:val="00FA0F0E"/>
    <w:rsid w:val="00FA48C7"/>
    <w:rsid w:val="00FA6B8D"/>
    <w:rsid w:val="00FB73C1"/>
    <w:rsid w:val="00FC7542"/>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uiPriority w:val="99"/>
    <w:rsid w:val="00C40879"/>
    <w:pPr>
      <w:autoSpaceDE w:val="0"/>
      <w:autoSpaceDN w:val="0"/>
      <w:adjustRightInd w:val="0"/>
      <w:spacing w:after="0" w:line="240" w:lineRule="auto"/>
    </w:pPr>
    <w:rPr>
      <w:rFonts w:ascii="Trebuchet MS" w:eastAsia="Calibri" w:hAnsi="Trebuchet MS" w:cs="Trebuchet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uiPriority w:val="99"/>
    <w:rsid w:val="00C40879"/>
    <w:pPr>
      <w:autoSpaceDE w:val="0"/>
      <w:autoSpaceDN w:val="0"/>
      <w:adjustRightInd w:val="0"/>
      <w:spacing w:after="0" w:line="240" w:lineRule="auto"/>
    </w:pPr>
    <w:rPr>
      <w:rFonts w:ascii="Trebuchet MS" w:eastAsia="Calibri"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52173">
      <w:bodyDiv w:val="1"/>
      <w:marLeft w:val="0"/>
      <w:marRight w:val="0"/>
      <w:marTop w:val="0"/>
      <w:marBottom w:val="0"/>
      <w:divBdr>
        <w:top w:val="none" w:sz="0" w:space="0" w:color="auto"/>
        <w:left w:val="none" w:sz="0" w:space="0" w:color="auto"/>
        <w:bottom w:val="none" w:sz="0" w:space="0" w:color="auto"/>
        <w:right w:val="none" w:sz="0" w:space="0" w:color="auto"/>
      </w:divBdr>
      <w:divsChild>
        <w:div w:id="1421215988">
          <w:marLeft w:val="0"/>
          <w:marRight w:val="0"/>
          <w:marTop w:val="0"/>
          <w:marBottom w:val="0"/>
          <w:divBdr>
            <w:top w:val="none" w:sz="0" w:space="0" w:color="auto"/>
            <w:left w:val="none" w:sz="0" w:space="0" w:color="auto"/>
            <w:bottom w:val="none" w:sz="0" w:space="0" w:color="auto"/>
            <w:right w:val="none" w:sz="0" w:space="0" w:color="auto"/>
          </w:divBdr>
          <w:divsChild>
            <w:div w:id="97976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r.org/Quality-Safety/National-Radiology-Data-Registry/Dose-Index-Registry/About-DIR" TargetMode="External"/><Relationship Id="rId18" Type="http://schemas.openxmlformats.org/officeDocument/2006/relationships/hyperlink" Target="http://www.jointcommission.org/sea_issue_47/" TargetMode="External"/><Relationship Id="rId26" Type="http://schemas.openxmlformats.org/officeDocument/2006/relationships/hyperlink" Target="http://www.acr.org/Advocacy/Economics-Health-Policy/Imaging-3/Case-Studies" TargetMode="External"/><Relationship Id="rId3" Type="http://schemas.openxmlformats.org/officeDocument/2006/relationships/styles" Target="styles.xml"/><Relationship Id="rId21" Type="http://schemas.openxmlformats.org/officeDocument/2006/relationships/hyperlink" Target="http://www.theabr.org/moc-dr-pqi-projects"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tp://medical.nema.org/medical/dicom/2009/09_16pu.pdf" TargetMode="External"/><Relationship Id="rId17" Type="http://schemas.openxmlformats.org/officeDocument/2006/relationships/hyperlink" Target="http://www.acr.org/~/media/ACR/Documents/PDF/QualitySafety/NRDR/DIR/DIRPedSampleReport.pdf" TargetMode="External"/><Relationship Id="rId25" Type="http://schemas.openxmlformats.org/officeDocument/2006/relationships/hyperlink" Target="http://www.acrinformatics.org/DataRegistriesForumAgenda.aspx"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acr.org/~/media/ACR/Documents/PDF/QualitySafety/NRDR/DIR/DIRSampleReport.pdf" TargetMode="External"/><Relationship Id="rId20" Type="http://schemas.openxmlformats.org/officeDocument/2006/relationships/hyperlink" Target="http://www.cms.gov/Medicare/Quality-Initiatives-Patient-Assessment-Instruments/PQRS/Downloads/2014_PQRS_MeasuresGroupSpecs_ReleaseNotes_SupportingDocs_12132013.zip" TargetMode="External"/><Relationship Id="rId29" Type="http://schemas.openxmlformats.org/officeDocument/2006/relationships/hyperlink" Target="http://www.acr.org/~/media/ACR/Documents/PDF/QualitySafety/NRDR/DIR/scanner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r.org/~/media/ACR/Documents/PDF/QualitySafety/NRDR/DIR/DataElementsInDIRHeaderSR.pdf" TargetMode="External"/><Relationship Id="rId24" Type="http://schemas.openxmlformats.org/officeDocument/2006/relationships/hyperlink" Target="http://www.fda.gov/Radiation-EmittingProducts/RadiationSafety/RadiationDoseReduction/ucm299368.ht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acr.org/~/media/ACR/Documents/PDF/QualitySafety/NRDR/DIR/scanners.pdf" TargetMode="External"/><Relationship Id="rId23" Type="http://schemas.openxmlformats.org/officeDocument/2006/relationships/hyperlink" Target="http://www.fda.gov/Radiation-emittingProducts/RadiationSafety/RadiationDoseReduction/default.htm" TargetMode="External"/><Relationship Id="rId28" Type="http://schemas.openxmlformats.org/officeDocument/2006/relationships/hyperlink" Target="http://www.acr.org/~/media/ACR/Documents/PDF/QualitySafety/NRDR/DIR/MappingToolUserGuideDIR.pdf" TargetMode="External"/><Relationship Id="rId10" Type="http://schemas.openxmlformats.org/officeDocument/2006/relationships/hyperlink" Target="http://www.acr.org/~/media/ACR/Documents/PDF/QualitySafety/NRDR/DIR/scanners.pdf" TargetMode="External"/><Relationship Id="rId19" Type="http://schemas.openxmlformats.org/officeDocument/2006/relationships/hyperlink" Target="http://www.jointcommission.org/assets/1/6/PREPUB-12-20-2013-DiagImaging_AHC.pdf"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cr.org/~/media/ACR/Documents/PDF/QualitySafety/NRDR/DIR/Representative%20List%20of%20DIR%20Facilities.pdf" TargetMode="External"/><Relationship Id="rId22" Type="http://schemas.openxmlformats.org/officeDocument/2006/relationships/hyperlink" Target="http://www.theabr.org/theABR/sites/all/themes/abr-media/pdf/Dose_Index_Registry_Example.pdf" TargetMode="External"/><Relationship Id="rId27" Type="http://schemas.openxmlformats.org/officeDocument/2006/relationships/hyperlink" Target="http://playbook.radlex.org" TargetMode="External"/><Relationship Id="rId30"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00000287" w:usb1="00000000" w:usb2="00000000" w:usb3="00000000" w:csb0="0000009F"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32A71"/>
    <w:rsid w:val="00127222"/>
    <w:rsid w:val="00190AF4"/>
    <w:rsid w:val="00216987"/>
    <w:rsid w:val="00223FA3"/>
    <w:rsid w:val="002A288F"/>
    <w:rsid w:val="002F052A"/>
    <w:rsid w:val="00350176"/>
    <w:rsid w:val="003840F0"/>
    <w:rsid w:val="00415A52"/>
    <w:rsid w:val="00437537"/>
    <w:rsid w:val="0053654E"/>
    <w:rsid w:val="00632A7E"/>
    <w:rsid w:val="00632AB6"/>
    <w:rsid w:val="00730B33"/>
    <w:rsid w:val="00772B2A"/>
    <w:rsid w:val="00783278"/>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95BD6"/>
    <w:rsid w:val="00DC0246"/>
    <w:rsid w:val="00E6518A"/>
    <w:rsid w:val="00F540AB"/>
    <w:rsid w:val="00F915BA"/>
    <w:rsid w:val="00FA6652"/>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F830D-2946-420E-AD45-ED9238250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20</Pages>
  <Words>8820</Words>
  <Characters>50278</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Burleson, Judy</cp:lastModifiedBy>
  <cp:revision>19</cp:revision>
  <cp:lastPrinted>2014-01-12T17:30:00Z</cp:lastPrinted>
  <dcterms:created xsi:type="dcterms:W3CDTF">2014-01-09T20:48:00Z</dcterms:created>
  <dcterms:modified xsi:type="dcterms:W3CDTF">2014-01-17T21:53:00Z</dcterms:modified>
</cp:coreProperties>
</file>