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8FC613"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08FC614" w14:textId="77777777" w:rsidR="00496AF8" w:rsidRPr="00496AF8" w:rsidRDefault="00496AF8" w:rsidP="002E2177">
      <w:pPr>
        <w:ind w:left="0" w:firstLine="0"/>
        <w:rPr>
          <w:noProof/>
        </w:rPr>
      </w:pPr>
    </w:p>
    <w:p w14:paraId="308FC615" w14:textId="19B1B7B1" w:rsidR="00496AF8" w:rsidRPr="00E51798" w:rsidRDefault="00496AF8" w:rsidP="002E2177">
      <w:pPr>
        <w:ind w:left="0" w:firstLine="0"/>
        <w:rPr>
          <w:noProof/>
        </w:rPr>
      </w:pPr>
      <w:r w:rsidRPr="00B91F58">
        <w:rPr>
          <w:b/>
          <w:noProof/>
        </w:rPr>
        <w:t>Measure Title</w:t>
      </w:r>
      <w:r w:rsidRPr="007C6F6A">
        <w:rPr>
          <w:noProof/>
        </w:rPr>
        <w:t xml:space="preserve">: </w:t>
      </w:r>
      <w:sdt>
        <w:sdtPr>
          <w:rPr>
            <w:rStyle w:val="Style1"/>
            <w:rFonts w:ascii="Times New Roman" w:hAnsi="Times New Roman" w:cs="Times New Roman"/>
            <w:color w:val="auto"/>
          </w:rPr>
          <w:id w:val="-882640736"/>
          <w:placeholder>
            <w:docPart w:val="61E91D4220034A64A72268AE9C6EBC95"/>
          </w:placeholder>
        </w:sdtPr>
        <w:sdtEndPr>
          <w:rPr>
            <w:rStyle w:val="DefaultParagraphFont"/>
            <w:noProof/>
          </w:rPr>
        </w:sdtEndPr>
        <w:sdtContent>
          <w:sdt>
            <w:sdtPr>
              <w:rPr>
                <w:rStyle w:val="Style1"/>
                <w:rFonts w:ascii="Times New Roman" w:hAnsi="Times New Roman" w:cs="Times New Roman"/>
                <w:color w:val="auto"/>
              </w:rPr>
              <w:id w:val="-624608481"/>
            </w:sdtPr>
            <w:sdtEndPr>
              <w:rPr>
                <w:rStyle w:val="DefaultParagraphFont"/>
                <w:noProof/>
              </w:rPr>
            </w:sdtEndPr>
            <w:sdtContent>
              <w:r w:rsidR="00FB6D58" w:rsidRPr="00D8734D">
                <w:rPr>
                  <w:rStyle w:val="Style1"/>
                  <w:rFonts w:ascii="Times New Roman" w:hAnsi="Times New Roman" w:cs="Times New Roman"/>
                  <w:color w:val="auto"/>
                </w:rPr>
                <w:t xml:space="preserve">INR for Individuals </w:t>
              </w:r>
              <w:r w:rsidR="00FB6D58" w:rsidRPr="00D8734D">
                <w:rPr>
                  <w:rFonts w:ascii="Times New Roman" w:eastAsia="Times New Roman" w:hAnsi="Times New Roman" w:cs="Times New Roman"/>
                </w:rPr>
                <w:t>Taking Warfarin and Interacting Anti-Infective Medications</w:t>
              </w:r>
            </w:sdtContent>
          </w:sdt>
          <w:r w:rsidR="00FB6D58" w:rsidRPr="00D8734D">
            <w:rPr>
              <w:rFonts w:ascii="Times New Roman" w:hAnsi="Times New Roman" w:cs="Times New Roman"/>
              <w:noProof/>
            </w:rPr>
            <w:t xml:space="preserve"> </w:t>
          </w:r>
        </w:sdtContent>
      </w:sdt>
    </w:p>
    <w:p w14:paraId="308FC616" w14:textId="70BEBC88" w:rsidR="00E97E59" w:rsidRDefault="00024526" w:rsidP="002E2177">
      <w:pPr>
        <w:ind w:left="0" w:firstLine="0"/>
        <w:rPr>
          <w:b/>
          <w:noProof/>
        </w:rPr>
      </w:pPr>
      <w:r>
        <w:rPr>
          <w:b/>
          <w:noProof/>
        </w:rPr>
        <w:t xml:space="preserve">IF </w:t>
      </w:r>
      <w:r w:rsidR="00176E60">
        <w:rPr>
          <w:b/>
          <w:noProof/>
        </w:rPr>
        <w:t xml:space="preserve">the measure is </w:t>
      </w:r>
      <w:r>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00E97E59" w:rsidRPr="00E97E59">
        <w:rPr>
          <w:b/>
          <w:noProof/>
        </w:rPr>
        <w:t>Compo</w:t>
      </w:r>
      <w:r w:rsidR="00736E0F">
        <w:rPr>
          <w:b/>
          <w:noProof/>
        </w:rPr>
        <w:t>site</w:t>
      </w:r>
      <w:r w:rsidR="00E97E59" w:rsidRPr="00E97E59">
        <w:rPr>
          <w:b/>
          <w:noProof/>
        </w:rPr>
        <w:t xml:space="preserve"> Measure </w:t>
      </w:r>
      <w:r w:rsidR="00114848">
        <w:rPr>
          <w:b/>
          <w:noProof/>
        </w:rPr>
        <w:t>here</w:t>
      </w:r>
      <w:r w:rsidR="00E97E59" w:rsidRPr="00E97E59">
        <w:rPr>
          <w:b/>
          <w:noProof/>
        </w:rPr>
        <w:t>:</w:t>
      </w:r>
      <w:r w:rsidR="00E97E59">
        <w:rPr>
          <w:noProof/>
        </w:rPr>
        <w:t xml:space="preserve"> </w:t>
      </w:r>
      <w:sdt>
        <w:sdtPr>
          <w:rPr>
            <w:rStyle w:val="Style1"/>
          </w:rPr>
          <w:id w:val="474719354"/>
        </w:sdtPr>
        <w:sdtEndPr>
          <w:rPr>
            <w:rStyle w:val="DefaultParagraphFont"/>
            <w:noProof/>
            <w:color w:val="auto"/>
          </w:rPr>
        </w:sdtEndPr>
        <w:sdtContent>
          <w:r w:rsidR="00745A7B">
            <w:rPr>
              <w:rStyle w:val="Style1"/>
            </w:rPr>
            <w:t>Not applicable</w:t>
          </w:r>
        </w:sdtContent>
      </w:sdt>
    </w:p>
    <w:p w14:paraId="308FC617" w14:textId="77777777" w:rsidR="00114848" w:rsidRDefault="00114848" w:rsidP="002E2177">
      <w:pPr>
        <w:ind w:left="0" w:firstLine="0"/>
        <w:rPr>
          <w:b/>
          <w:noProof/>
        </w:rPr>
      </w:pPr>
    </w:p>
    <w:p w14:paraId="308FC618" w14:textId="60CFA25C"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date w:fullDate="2014-01-16T00:00:00Z">
            <w:dateFormat w:val="M/d/yyyy"/>
            <w:lid w:val="en-US"/>
            <w:storeMappedDataAs w:val="dateTime"/>
            <w:calendar w:val="gregorian"/>
          </w:date>
        </w:sdtPr>
        <w:sdtEndPr>
          <w:rPr>
            <w:rStyle w:val="DefaultParagraphFont"/>
            <w:noProof/>
            <w:color w:val="auto"/>
            <w:u w:val="none"/>
          </w:rPr>
        </w:sdtEndPr>
        <w:sdtContent>
          <w:r w:rsidR="00040450">
            <w:rPr>
              <w:rStyle w:val="Style2"/>
            </w:rPr>
            <w:t>1/16/2014</w:t>
          </w:r>
        </w:sdtContent>
      </w:sdt>
    </w:p>
    <w:p w14:paraId="308FC619" w14:textId="77777777"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14:paraId="308FC622" w14:textId="77777777" w:rsidTr="00176E60">
        <w:trPr>
          <w:jc w:val="center"/>
        </w:trPr>
        <w:tc>
          <w:tcPr>
            <w:tcW w:w="9576" w:type="dxa"/>
          </w:tcPr>
          <w:p w14:paraId="308FC61A" w14:textId="77777777"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14:paraId="308FC61B" w14:textId="671BFC55"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14:paraId="308FC61C" w14:textId="77777777"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14:paraId="308FC61D" w14:textId="77777777"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14:paraId="308FC61E" w14:textId="661DCC14"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14:paraId="308FC61F" w14:textId="77777777"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14:paraId="308FC620" w14:textId="77777777"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14:paraId="308FC621" w14:textId="77777777"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12" w:history="1">
              <w:r w:rsidRPr="00145149">
                <w:rPr>
                  <w:rStyle w:val="Hyperlink"/>
                </w:rPr>
                <w:t>Submitting Standards webpage</w:t>
              </w:r>
            </w:hyperlink>
            <w:r>
              <w:t>.</w:t>
            </w:r>
          </w:p>
        </w:tc>
      </w:tr>
    </w:tbl>
    <w:p w14:paraId="308FC623" w14:textId="77777777"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14:paraId="308FC631" w14:textId="77777777" w:rsidTr="00176E60">
        <w:trPr>
          <w:jc w:val="center"/>
        </w:trPr>
        <w:tc>
          <w:tcPr>
            <w:tcW w:w="9576" w:type="dxa"/>
          </w:tcPr>
          <w:p w14:paraId="308FC624" w14:textId="77777777"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14:paraId="308FC625" w14:textId="77777777" w:rsidR="008B652E" w:rsidRDefault="008B652E" w:rsidP="00176E60">
            <w:pPr>
              <w:rPr>
                <w:b/>
                <w:bCs/>
              </w:rPr>
            </w:pPr>
          </w:p>
          <w:p w14:paraId="308FC626" w14:textId="77777777"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14:paraId="308FC627" w14:textId="77777777" w:rsidR="00176E60" w:rsidRPr="00765156" w:rsidRDefault="00176E60" w:rsidP="00176E60">
            <w:r w:rsidRPr="00765156">
              <w:t xml:space="preserve">The measure focus is a health outcome or is evidence-based, demonstrated as follows: </w:t>
            </w:r>
          </w:p>
          <w:p w14:paraId="308FC628" w14:textId="77777777" w:rsidR="00176E60" w:rsidRPr="00765156" w:rsidRDefault="00176E60" w:rsidP="00176E60">
            <w:pPr>
              <w:numPr>
                <w:ilvl w:val="0"/>
                <w:numId w:val="7"/>
              </w:numPr>
              <w:ind w:left="0" w:firstLine="0"/>
            </w:pPr>
            <w:r w:rsidRPr="00765156">
              <w:rPr>
                <w:u w:val="single"/>
              </w:rPr>
              <w:t>Health outcome</w:t>
            </w:r>
            <w:r w:rsidRPr="00765156">
              <w:t>:</w:t>
            </w:r>
            <w:hyperlink w:anchor="Note3" w:history="1">
              <w:r w:rsidRPr="00765156">
                <w:rPr>
                  <w:rStyle w:val="Hyperlink"/>
                  <w:b/>
                  <w:vertAlign w:val="superscript"/>
                </w:rPr>
                <w:t>3</w:t>
              </w:r>
            </w:hyperlink>
            <w:r w:rsidRPr="00765156">
              <w:t xml:space="preserve"> a rationale supports the relationship of the health outcome to processes or structures of care.</w:t>
            </w:r>
          </w:p>
          <w:p w14:paraId="308FC629" w14:textId="77777777"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r w:rsidRPr="00765156">
              <w:t>,</w:t>
            </w:r>
            <w:hyperlink w:anchor="Note4" w:history="1">
              <w:r w:rsidRPr="00765156">
                <w:rPr>
                  <w:rStyle w:val="Hyperlink"/>
                  <w:b/>
                  <w:vertAlign w:val="superscript"/>
                </w:rPr>
                <w:t>4</w:t>
              </w:r>
            </w:hyperlink>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14:paraId="308FC62A"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14:paraId="308FC62B"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r w:rsidRPr="00765156">
              <w:t>:</w:t>
            </w:r>
            <w:hyperlink w:anchor="Note6" w:history="1">
              <w:r w:rsidRPr="00765156">
                <w:rPr>
                  <w:rStyle w:val="Hyperlink"/>
                  <w:b/>
                  <w:vertAlign w:val="superscript"/>
                </w:rPr>
                <w:t>6</w:t>
              </w:r>
            </w:hyperlink>
            <w:r w:rsidRPr="00765156">
              <w:t xml:space="preserve"> evidence for the quality component as noted above.</w:t>
            </w:r>
          </w:p>
          <w:p w14:paraId="308FC62C" w14:textId="77777777" w:rsidR="00176E60" w:rsidRPr="00765156" w:rsidRDefault="00176E60" w:rsidP="00176E60">
            <w:pPr>
              <w:autoSpaceDE w:val="0"/>
              <w:autoSpaceDN w:val="0"/>
              <w:adjustRightInd w:val="0"/>
              <w:rPr>
                <w:b/>
                <w:bCs/>
                <w:iCs/>
              </w:rPr>
            </w:pPr>
            <w:r w:rsidRPr="00765156">
              <w:rPr>
                <w:b/>
                <w:bCs/>
                <w:iCs/>
              </w:rPr>
              <w:t>Notes</w:t>
            </w:r>
          </w:p>
          <w:p w14:paraId="308FC62D" w14:textId="77777777" w:rsidR="00176E60" w:rsidRPr="00765156" w:rsidRDefault="00176E60" w:rsidP="00176E60">
            <w:pPr>
              <w:pStyle w:val="FootnoteText"/>
              <w:rPr>
                <w:rFonts w:asciiTheme="minorHAnsi" w:hAnsiTheme="minorHAnsi"/>
                <w:sz w:val="22"/>
                <w:szCs w:val="22"/>
              </w:rPr>
            </w:pPr>
            <w:bookmarkStart w:id="0" w:name="Note2"/>
            <w:bookmarkStart w:id="1" w:name="Note3"/>
            <w:bookmarkEnd w:id="0"/>
            <w:bookmarkEnd w:id="1"/>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308FC62E" w14:textId="2B033616" w:rsidR="00176E60" w:rsidRPr="00765156" w:rsidRDefault="00176E60" w:rsidP="00176E60">
            <w:pPr>
              <w:pStyle w:val="FootnoteText"/>
              <w:rPr>
                <w:rFonts w:asciiTheme="minorHAnsi" w:hAnsiTheme="minorHAnsi"/>
                <w:sz w:val="22"/>
                <w:szCs w:val="22"/>
              </w:rPr>
            </w:pPr>
            <w:bookmarkStart w:id="2" w:name="Note4"/>
            <w:bookmarkEnd w:id="2"/>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14:paraId="308FC62F" w14:textId="180CD1A4" w:rsidR="00176E60" w:rsidRPr="00765156" w:rsidRDefault="00176E60" w:rsidP="00176E60">
            <w:pPr>
              <w:pStyle w:val="FootnoteText"/>
              <w:rPr>
                <w:rFonts w:asciiTheme="minorHAnsi" w:hAnsiTheme="minorHAnsi"/>
                <w:sz w:val="22"/>
                <w:szCs w:val="22"/>
              </w:rPr>
            </w:pPr>
            <w:bookmarkStart w:id="3" w:name="Note5"/>
            <w:bookmarkEnd w:id="3"/>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3"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4"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5"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14:paraId="308FC630" w14:textId="77777777" w:rsidR="00176E60" w:rsidRDefault="00176E60" w:rsidP="00176E60">
            <w:pPr>
              <w:ind w:left="90" w:hanging="90"/>
            </w:pPr>
            <w:bookmarkStart w:id="4" w:name="Note6"/>
            <w:bookmarkEnd w:id="4"/>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6" w:history="1">
              <w:r>
                <w:rPr>
                  <w:rStyle w:val="Hyperlink"/>
                </w:rPr>
                <w:t xml:space="preserve">Measurement </w:t>
              </w:r>
              <w:r w:rsidRPr="00765156">
                <w:rPr>
                  <w:rStyle w:val="Hyperlink"/>
                </w:rPr>
                <w:t>Framework: Evaluating Efficiency Across Episodes of Care</w:t>
              </w:r>
            </w:hyperlink>
            <w:r w:rsidRPr="00765156">
              <w:t xml:space="preserve">; </w:t>
            </w:r>
            <w:hyperlink r:id="rId17" w:history="1">
              <w:r w:rsidRPr="00765156">
                <w:rPr>
                  <w:rStyle w:val="Hyperlink"/>
                </w:rPr>
                <w:t>AQA Principles of Efficiency Measures</w:t>
              </w:r>
            </w:hyperlink>
            <w:r w:rsidRPr="00765156">
              <w:t>).</w:t>
            </w:r>
          </w:p>
        </w:tc>
      </w:tr>
    </w:tbl>
    <w:p w14:paraId="308FC632" w14:textId="77777777"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14:paraId="308FC633" w14:textId="77777777"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14:paraId="308FC634" w14:textId="77777777" w:rsidR="00496AF8" w:rsidRPr="00E51798" w:rsidRDefault="00357CAA" w:rsidP="005857F8">
      <w:pPr>
        <w:ind w:left="720" w:hanging="432"/>
        <w:rPr>
          <w:bCs/>
        </w:rPr>
      </w:pPr>
      <w:sdt>
        <w:sdtPr>
          <w:rPr>
            <w:bCs/>
            <w:color w:val="0000FF"/>
          </w:rPr>
          <w:id w:val="1077707841"/>
        </w:sdtPr>
        <w:sdtContent>
          <w:sdt>
            <w:sdtPr>
              <w:rPr>
                <w:bCs/>
                <w:color w:val="0000FF"/>
              </w:rPr>
              <w:id w:val="-624608479"/>
            </w:sdtPr>
            <w:sdtContent>
              <w:r w:rsidR="00FB6D58">
                <w:rPr>
                  <w:rFonts w:ascii="MS Gothic" w:eastAsia="MS Gothic" w:hAnsi="MS Gothic" w:hint="eastAsia"/>
                  <w:bCs/>
                  <w:color w:val="0000FF"/>
                </w:rPr>
                <w:t>☐</w:t>
              </w:r>
            </w:sdtContent>
          </w:sdt>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dtPr>
        <w:sdtEndPr>
          <w:rPr>
            <w:rStyle w:val="DefaultParagraphFont"/>
            <w:rFonts w:cstheme="minorBidi"/>
            <w:color w:val="auto"/>
            <w:u w:val="none"/>
          </w:rPr>
        </w:sdtEndPr>
        <w:sdtContent>
          <w:sdt>
            <w:sdtPr>
              <w:rPr>
                <w:rStyle w:val="Style1"/>
                <w:rFonts w:ascii="Times New Roman" w:hAnsi="Times New Roman" w:cs="Times New Roman"/>
              </w:rPr>
              <w:id w:val="-1248687425"/>
              <w:showingPlcHdr/>
            </w:sdtPr>
            <w:sdtEndPr>
              <w:rPr>
                <w:rStyle w:val="DefaultParagraphFont"/>
                <w:noProof/>
                <w:color w:val="auto"/>
              </w:rPr>
            </w:sdtEndPr>
            <w:sdtContent>
              <w:r w:rsidR="005830E2">
                <w:rPr>
                  <w:rStyle w:val="Style1"/>
                  <w:rFonts w:ascii="Times New Roman" w:hAnsi="Times New Roman" w:cs="Times New Roman"/>
                </w:rPr>
                <w:t xml:space="preserve">     </w:t>
              </w:r>
            </w:sdtContent>
          </w:sdt>
          <w:r w:rsidR="002E0417">
            <w:rPr>
              <w:rStyle w:val="Style2"/>
              <w:rFonts w:cstheme="minorHAnsi"/>
            </w:rPr>
            <w:t xml:space="preserve"> </w:t>
          </w:r>
        </w:sdtContent>
      </w:sdt>
    </w:p>
    <w:p w14:paraId="308FC635" w14:textId="77777777"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r w:rsidRPr="005857F8">
        <w:rPr>
          <w:bCs/>
          <w:i/>
        </w:rPr>
        <w:t xml:space="preserve">HRQoL/functional status, </w:t>
      </w:r>
      <w:r>
        <w:rPr>
          <w:bCs/>
          <w:i/>
        </w:rPr>
        <w:t>symptom/burden</w:t>
      </w:r>
      <w:r w:rsidRPr="005857F8">
        <w:rPr>
          <w:bCs/>
          <w:i/>
        </w:rPr>
        <w:t>, experience with care, health-related behaviors)</w:t>
      </w:r>
    </w:p>
    <w:p w14:paraId="308FC636" w14:textId="4006FC0A" w:rsidR="00496AF8" w:rsidRPr="00E51798" w:rsidRDefault="00357CAA" w:rsidP="005857F8">
      <w:pPr>
        <w:ind w:left="720" w:hanging="432"/>
        <w:rPr>
          <w:bCs/>
        </w:rPr>
      </w:pPr>
      <w:sdt>
        <w:sdtPr>
          <w:rPr>
            <w:bCs/>
            <w:color w:val="0000FF"/>
          </w:rPr>
          <w:id w:val="1309518776"/>
          <w:showingPlcHdr/>
        </w:sdtPr>
        <w:sdtContent>
          <w:r w:rsidR="002E0417">
            <w:rPr>
              <w:bCs/>
              <w:color w:val="0000FF"/>
            </w:rPr>
            <w:t xml:space="preserve">     </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ascii="Times New Roman" w:hAnsi="Times New Roman" w:cs="Times New Roman"/>
          </w:rPr>
          <w:id w:val="322628782"/>
          <w:showingPlcHdr/>
        </w:sdtPr>
        <w:sdtEndPr>
          <w:rPr>
            <w:rStyle w:val="DefaultParagraphFont"/>
            <w:bCs/>
            <w:color w:val="auto"/>
            <w:u w:val="none"/>
          </w:rPr>
        </w:sdtEndPr>
        <w:sdtContent>
          <w:r w:rsidR="002E0417">
            <w:rPr>
              <w:rStyle w:val="Style2"/>
              <w:rFonts w:ascii="Times New Roman" w:hAnsi="Times New Roman" w:cs="Times New Roman"/>
            </w:rPr>
            <w:t xml:space="preserve">     </w:t>
          </w:r>
        </w:sdtContent>
      </w:sdt>
    </w:p>
    <w:p w14:paraId="308FC637" w14:textId="01C2A841" w:rsidR="00496AF8" w:rsidRPr="00E51798" w:rsidRDefault="00357CAA" w:rsidP="00015986">
      <w:pPr>
        <w:ind w:left="432" w:hanging="432"/>
        <w:rPr>
          <w:bCs/>
        </w:rPr>
      </w:pPr>
      <w:sdt>
        <w:sdtPr>
          <w:rPr>
            <w:bCs/>
            <w:color w:val="0000FF"/>
            <w:u w:val="single"/>
          </w:rPr>
          <w:id w:val="-1535727686"/>
        </w:sdtPr>
        <w:sdtContent>
          <w:r w:rsidR="00FB6D58" w:rsidRPr="00745A7B">
            <w:rPr>
              <w:bCs/>
              <w:color w:val="0000FF"/>
            </w:rPr>
            <w:t>X</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ascii="Times New Roman" w:hAnsi="Times New Roman" w:cs="Times New Roman"/>
          </w:rPr>
          <w:id w:val="321244333"/>
        </w:sdtPr>
        <w:sdtEndPr>
          <w:rPr>
            <w:rStyle w:val="DefaultParagraphFont"/>
            <w:bCs/>
            <w:color w:val="auto"/>
            <w:u w:val="none"/>
          </w:rPr>
        </w:sdtEndPr>
        <w:sdtContent>
          <w:sdt>
            <w:sdtPr>
              <w:rPr>
                <w:rStyle w:val="Style1"/>
                <w:rFonts w:ascii="Times New Roman" w:hAnsi="Times New Roman" w:cs="Times New Roman"/>
                <w:color w:val="auto"/>
              </w:rPr>
              <w:id w:val="673466660"/>
            </w:sdtPr>
            <w:sdtEndPr>
              <w:rPr>
                <w:rStyle w:val="DefaultParagraphFont"/>
                <w:noProof/>
              </w:rPr>
            </w:sdtEndPr>
            <w:sdtContent>
              <w:r w:rsidR="00BA73B5" w:rsidRPr="00CA6D42">
                <w:rPr>
                  <w:rStyle w:val="Style1"/>
                  <w:rFonts w:ascii="Times New Roman" w:hAnsi="Times New Roman" w:cs="Times New Roman"/>
                  <w:color w:val="auto"/>
                </w:rPr>
                <w:t xml:space="preserve">INR Monitoring Test for Individuals </w:t>
              </w:r>
              <w:r w:rsidR="00BA73B5" w:rsidRPr="00CA6D42">
                <w:rPr>
                  <w:rFonts w:ascii="Times New Roman" w:eastAsia="Times New Roman" w:hAnsi="Times New Roman" w:cs="Times New Roman"/>
                </w:rPr>
                <w:t>Taking Warfarin and Interacting Anti-Infective Medications</w:t>
              </w:r>
            </w:sdtContent>
          </w:sdt>
        </w:sdtContent>
      </w:sdt>
    </w:p>
    <w:p w14:paraId="308FC638" w14:textId="59271337" w:rsidR="00496AF8" w:rsidRPr="00E51798" w:rsidRDefault="00357CAA" w:rsidP="00015986">
      <w:pPr>
        <w:ind w:left="432" w:hanging="432"/>
        <w:rPr>
          <w:bCs/>
        </w:rPr>
      </w:pPr>
      <w:sdt>
        <w:sdtPr>
          <w:rPr>
            <w:bCs/>
            <w:color w:val="0000FF"/>
            <w:u w:val="single"/>
          </w:rPr>
          <w:id w:val="1676770628"/>
        </w:sdtPr>
        <w:sdtContent>
          <w:r w:rsidR="0015535B">
            <w:rPr>
              <w:rFonts w:ascii="MS Gothic" w:eastAsia="MS Gothic" w:hAnsi="MS Gothic" w:hint="eastAsia"/>
              <w:bCs/>
              <w:color w:val="0000FF"/>
            </w:rPr>
            <w:t>☐</w:t>
          </w:r>
        </w:sdtContent>
      </w:sdt>
      <w:r w:rsidRPr="00357CAA">
        <w:rPr>
          <w:bCs/>
          <w:color w:val="0000FF"/>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14:paraId="308FC639" w14:textId="6E4968F0" w:rsidR="00496AF8" w:rsidRPr="00E51798" w:rsidRDefault="00357CAA" w:rsidP="00015986">
      <w:pPr>
        <w:ind w:left="432" w:hanging="432"/>
        <w:rPr>
          <w:bCs/>
        </w:rPr>
      </w:pPr>
      <w:sdt>
        <w:sdtPr>
          <w:rPr>
            <w:bCs/>
            <w:color w:val="0000FF"/>
          </w:rPr>
          <w:id w:val="1719405626"/>
        </w:sdt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14:paraId="308FC63A" w14:textId="77777777" w:rsidR="00850C35" w:rsidRDefault="00850C35" w:rsidP="002E2177">
      <w:pPr>
        <w:ind w:left="0" w:firstLine="0"/>
        <w:rPr>
          <w:b/>
          <w:bCs/>
        </w:rPr>
      </w:pPr>
    </w:p>
    <w:p w14:paraId="308FC63B" w14:textId="210B9BBC" w:rsidR="00496AF8" w:rsidRDefault="00496AF8" w:rsidP="002E2177">
      <w:pPr>
        <w:ind w:left="0" w:firstLine="0"/>
        <w:rPr>
          <w:bCs/>
          <w:i/>
        </w:rPr>
      </w:pPr>
      <w:r w:rsidRPr="003956E0">
        <w:rPr>
          <w:b/>
          <w:bCs/>
        </w:rPr>
        <w:t xml:space="preserve">HEALTH OUTCOME </w:t>
      </w:r>
      <w:r w:rsidR="005857F8">
        <w:rPr>
          <w:b/>
          <w:bCs/>
        </w:rPr>
        <w:t xml:space="preserve">PERFORMANCE </w:t>
      </w:r>
      <w:r w:rsidRPr="0095290F">
        <w:rPr>
          <w:b/>
          <w:bCs/>
        </w:rPr>
        <w:t xml:space="preserve">MEASURE </w:t>
      </w:r>
      <w:r w:rsidRPr="0095290F">
        <w:rPr>
          <w:bCs/>
          <w:i/>
        </w:rPr>
        <w:t xml:space="preserve">If not </w:t>
      </w:r>
      <w:r w:rsidR="00132070" w:rsidRPr="0095290F">
        <w:rPr>
          <w:bCs/>
          <w:i/>
        </w:rPr>
        <w:t xml:space="preserve">a health outcome, skip to </w:t>
      </w:r>
      <w:hyperlink w:anchor="Section1a3" w:history="1">
        <w:r w:rsidR="00132070" w:rsidRPr="0095290F">
          <w:rPr>
            <w:rStyle w:val="Hyperlink"/>
            <w:bCs/>
            <w:i/>
          </w:rPr>
          <w:t>1</w:t>
        </w:r>
        <w:r w:rsidR="00837121" w:rsidRPr="0095290F">
          <w:rPr>
            <w:rStyle w:val="Hyperlink"/>
            <w:bCs/>
            <w:i/>
          </w:rPr>
          <w:t>a</w:t>
        </w:r>
        <w:r w:rsidR="00132070" w:rsidRPr="0095290F">
          <w:rPr>
            <w:rStyle w:val="Hyperlink"/>
            <w:bCs/>
            <w:i/>
          </w:rPr>
          <w:t>.3</w:t>
        </w:r>
      </w:hyperlink>
    </w:p>
    <w:p w14:paraId="308FC63C" w14:textId="77777777" w:rsidR="002B06BD" w:rsidRDefault="002B06BD" w:rsidP="002B06BD">
      <w:pPr>
        <w:ind w:left="432" w:hanging="432"/>
        <w:rPr>
          <w:b/>
          <w:iCs/>
        </w:rPr>
      </w:pPr>
      <w:r w:rsidRPr="00B439DD">
        <w:rPr>
          <w:b/>
          <w:bCs/>
          <w:color w:val="0000FF"/>
        </w:rPr>
        <w:t>1</w:t>
      </w:r>
      <w:r>
        <w:rPr>
          <w:b/>
          <w:bCs/>
          <w:color w:val="0000FF"/>
        </w:rPr>
        <w:t>a</w:t>
      </w:r>
      <w:r w:rsidRPr="00B439DD">
        <w:rPr>
          <w:b/>
          <w:bCs/>
          <w:color w:val="0000FF"/>
        </w:rPr>
        <w:t>.2.</w:t>
      </w:r>
      <w:r>
        <w:rPr>
          <w:bCs/>
        </w:rPr>
        <w:t xml:space="preserve"> </w:t>
      </w:r>
      <w:r w:rsidRPr="00C5180E">
        <w:rPr>
          <w:b/>
          <w:iCs/>
        </w:rPr>
        <w:t xml:space="preserve">Briefly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14:paraId="308FC63D" w14:textId="77777777"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r w:rsidR="005857F8">
        <w:rPr>
          <w:b/>
          <w:iCs/>
        </w:rPr>
        <w:t>or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14:paraId="308FC63E" w14:textId="37DC17B9" w:rsidR="00496AF8" w:rsidRPr="00DA7FA2" w:rsidRDefault="00496AF8" w:rsidP="002E2177">
      <w:pPr>
        <w:ind w:left="0" w:firstLine="0"/>
        <w:rPr>
          <w:i/>
          <w:iCs/>
        </w:rPr>
      </w:pPr>
      <w:r w:rsidRPr="0095290F">
        <w:rPr>
          <w:i/>
          <w:iCs/>
          <w:u w:val="single"/>
        </w:rPr>
        <w:t>Note</w:t>
      </w:r>
      <w:r w:rsidR="009B5BEA" w:rsidRPr="0095290F">
        <w:rPr>
          <w:i/>
          <w:iCs/>
        </w:rPr>
        <w:t>: F</w:t>
      </w:r>
      <w:r w:rsidRPr="0095290F">
        <w:rPr>
          <w:i/>
          <w:iCs/>
        </w:rPr>
        <w:t xml:space="preserve">or health outcome </w:t>
      </w:r>
      <w:r w:rsidR="005857F8" w:rsidRPr="0095290F">
        <w:rPr>
          <w:i/>
          <w:iCs/>
        </w:rPr>
        <w:t xml:space="preserve">performance </w:t>
      </w:r>
      <w:r w:rsidRPr="0095290F">
        <w:rPr>
          <w:i/>
          <w:iCs/>
        </w:rPr>
        <w:t>measures, no further information is require</w:t>
      </w:r>
      <w:r w:rsidR="005857F8" w:rsidRPr="0095290F">
        <w:rPr>
          <w:i/>
          <w:iCs/>
        </w:rPr>
        <w:t xml:space="preserve">d; however, you may provide evidence for any of the structures, processes, interventions, or service identified above. </w:t>
      </w:r>
    </w:p>
    <w:p w14:paraId="308FC63F" w14:textId="77777777" w:rsidR="002B06BD" w:rsidRDefault="002B06BD" w:rsidP="002E2177">
      <w:pPr>
        <w:ind w:left="0" w:firstLine="0"/>
        <w:rPr>
          <w:b/>
          <w:iCs/>
          <w:caps/>
        </w:rPr>
      </w:pPr>
    </w:p>
    <w:p w14:paraId="308FC640" w14:textId="77777777"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14:paraId="308FC642" w14:textId="38BFEE1D" w:rsidR="00D835C4" w:rsidRPr="00FF0E08" w:rsidRDefault="002B06BD" w:rsidP="00FF0E08">
      <w:pPr>
        <w:ind w:left="0" w:firstLine="0"/>
        <w:rPr>
          <w:i/>
          <w:iCs/>
        </w:rPr>
      </w:pPr>
      <w:bookmarkStart w:id="5" w:name="Section1a3"/>
      <w:bookmarkEnd w:id="5"/>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14:paraId="308FC643" w14:textId="2BDF1E27" w:rsidR="00E23656" w:rsidRPr="00C0235B" w:rsidRDefault="00E23656" w:rsidP="00E23656">
      <w:pPr>
        <w:shd w:val="clear" w:color="auto" w:fill="FFFFFF"/>
        <w:ind w:left="0" w:firstLine="0"/>
        <w:rPr>
          <w:rFonts w:ascii="Times New Roman" w:hAnsi="Times New Roman" w:cs="Times New Roman"/>
        </w:rPr>
      </w:pPr>
      <w:r w:rsidRPr="00C0235B">
        <w:rPr>
          <w:rFonts w:ascii="Times New Roman" w:hAnsi="Times New Roman" w:cs="Times New Roman"/>
        </w:rPr>
        <w:t xml:space="preserve">An important consideration for avoiding bleeding and </w:t>
      </w:r>
      <w:r w:rsidR="001D2CE5">
        <w:rPr>
          <w:rFonts w:ascii="Times New Roman" w:hAnsi="Times New Roman" w:cs="Times New Roman"/>
        </w:rPr>
        <w:t>thromboembolic events</w:t>
      </w:r>
      <w:r w:rsidRPr="00C0235B">
        <w:rPr>
          <w:rFonts w:ascii="Times New Roman" w:hAnsi="Times New Roman" w:cs="Times New Roman"/>
        </w:rPr>
        <w:t xml:space="preserve"> in patients on warfarin therapy</w:t>
      </w:r>
      <w:r w:rsidRPr="00C0235B" w:rsidDel="00E738B5">
        <w:rPr>
          <w:rFonts w:ascii="Times New Roman" w:hAnsi="Times New Roman" w:cs="Times New Roman"/>
        </w:rPr>
        <w:t xml:space="preserve"> </w:t>
      </w:r>
      <w:r w:rsidRPr="00C0235B">
        <w:rPr>
          <w:rFonts w:ascii="Times New Roman" w:hAnsi="Times New Roman" w:cs="Times New Roman"/>
        </w:rPr>
        <w:t>is maintaining the patient's international normalized ratio (INR) within the therapeutic range through appropriate and timely INR monitoring and dose adjustment. The recommended range of INR values is 2 to 3 for most conditions treated with warfarin, including deep venous thrombosis, pulmonary embolus, tissue heart valves, atrial fibrillation, and recurrent systemic embolism</w:t>
      </w:r>
      <w:r w:rsidR="00733DB6" w:rsidRPr="00C0235B">
        <w:rPr>
          <w:rFonts w:ascii="Times New Roman" w:hAnsi="Times New Roman" w:cs="Times New Roman"/>
        </w:rPr>
        <w:t xml:space="preserve"> </w:t>
      </w:r>
      <w:r w:rsidR="007274BD" w:rsidRPr="00C0235B">
        <w:rPr>
          <w:rFonts w:ascii="Times New Roman" w:hAnsi="Times New Roman" w:cs="Times New Roman"/>
        </w:rPr>
        <w:fldChar w:fldCharType="begin"/>
      </w:r>
      <w:r w:rsidR="00086ABA" w:rsidRPr="00C0235B">
        <w:rPr>
          <w:rFonts w:ascii="Times New Roman" w:hAnsi="Times New Roman" w:cs="Times New Roman"/>
        </w:rPr>
        <w:instrText xml:space="preserve"> ADDIN EN.CITE &lt;EndNote&gt;&lt;Cite&gt;&lt;Author&gt;Holbrook&lt;/Author&gt;&lt;Year&gt;2012&lt;/Year&gt;&lt;RecNum&gt;12&lt;/RecNum&gt;&lt;DisplayText&gt;(Holbrook et al., 2012)&lt;/DisplayText&gt;&lt;record&gt;&lt;rec-number&gt;12&lt;/rec-number&gt;&lt;foreign-keys&gt;&lt;key app="EN" db-id="ewtzrt20jd0ra9et0a8v9fvxf9tfe0wwp95e"&gt;12&lt;/key&gt;&lt;/foreign-keys&gt;&lt;ref-type name="Journal Article"&gt;17&lt;/ref-type&gt;&lt;contributors&gt;&lt;authors&gt;&lt;author&gt;Holbrook, A.&lt;/author&gt;&lt;author&gt;S. Schulman&lt;/author&gt;&lt;author&gt;D. M. Witt&lt;/author&gt;&lt;author&gt;P. O. Vandvik&lt;/author&gt;&lt;author&gt;J. Fish&lt;/author&gt;&lt;author&gt;M. J. Kovacs&lt;/author&gt;&lt;author&gt;P. J. Svensson&lt;/author&gt;&lt;author&gt;D. L. Veenstra&lt;/author&gt;&lt;author&gt;M. Crowther&lt;/author&gt;&lt;author&gt;G. H. Guyatt&lt;/author&gt;&lt;/authors&gt;&lt;/contributors&gt;&lt;titles&gt;&lt;title&gt;Evidence-based management of anticoagulant therapy: Antithrombotic Therapy and Prevention of Thrombosis, 9th ed: American College of Chest Physicians Evidence-Based Clinical Practice Guidelines&lt;/title&gt;&lt;secondary-title&gt;Chest&lt;/secondary-title&gt;&lt;/titles&gt;&lt;periodical&gt;&lt;full-title&gt;Chest&lt;/full-title&gt;&lt;/periodical&gt;&lt;pages&gt;e152S-e184S&lt;/pages&gt;&lt;volume&gt;141&lt;/volume&gt;&lt;number&gt;2&lt;/number&gt;&lt;dates&gt;&lt;year&gt;2012&lt;/year&gt;&lt;/dates&gt;&lt;urls&gt;&lt;related-urls&gt;&lt;url&gt;http://www.ncbi.nlm.nih.gov/pmc/articles/PMC3278055/pdf/112295.pdf&lt;/url&gt;&lt;/related-urls&gt;&lt;/urls&gt;&lt;/record&gt;&lt;/Cite&gt;&lt;/EndNote&gt;</w:instrText>
      </w:r>
      <w:r w:rsidR="007274BD" w:rsidRPr="00C0235B">
        <w:rPr>
          <w:rFonts w:ascii="Times New Roman" w:hAnsi="Times New Roman" w:cs="Times New Roman"/>
        </w:rPr>
        <w:fldChar w:fldCharType="separate"/>
      </w:r>
      <w:r w:rsidR="00086ABA" w:rsidRPr="00C0235B">
        <w:rPr>
          <w:rFonts w:ascii="Times New Roman" w:hAnsi="Times New Roman" w:cs="Times New Roman"/>
          <w:noProof/>
        </w:rPr>
        <w:t>(</w:t>
      </w:r>
      <w:hyperlink w:anchor="_ENREF_1_1" w:tooltip="Holbrook, 2012 #12" w:history="1">
        <w:r w:rsidR="00086ABA" w:rsidRPr="00C0235B">
          <w:rPr>
            <w:rFonts w:ascii="Times New Roman" w:hAnsi="Times New Roman" w:cs="Times New Roman"/>
            <w:noProof/>
          </w:rPr>
          <w:t>Holbrook et al., 2012</w:t>
        </w:r>
      </w:hyperlink>
      <w:r w:rsidR="00086ABA" w:rsidRPr="00C0235B">
        <w:rPr>
          <w:rFonts w:ascii="Times New Roman" w:hAnsi="Times New Roman" w:cs="Times New Roman"/>
          <w:noProof/>
        </w:rPr>
        <w:t>)</w:t>
      </w:r>
      <w:r w:rsidR="007274BD" w:rsidRPr="00C0235B">
        <w:rPr>
          <w:rFonts w:ascii="Times New Roman" w:hAnsi="Times New Roman" w:cs="Times New Roman"/>
        </w:rPr>
        <w:fldChar w:fldCharType="end"/>
      </w:r>
      <w:r w:rsidRPr="00C0235B">
        <w:rPr>
          <w:rFonts w:ascii="Times New Roman" w:hAnsi="Times New Roman" w:cs="Times New Roman"/>
        </w:rPr>
        <w:t xml:space="preserve">. </w:t>
      </w:r>
      <w:r w:rsidR="00733DB6" w:rsidRPr="00C0235B">
        <w:rPr>
          <w:rFonts w:ascii="Times New Roman" w:hAnsi="Times New Roman" w:cs="Times New Roman"/>
        </w:rPr>
        <w:t>Warfarin has a narrow therapeutic range and interacts with many drugs, implying that INR tests should be performed if a patient on warfarin is put on a potentially interacting drug. For example, t</w:t>
      </w:r>
      <w:r w:rsidRPr="00C0235B">
        <w:rPr>
          <w:rFonts w:ascii="Times New Roman" w:hAnsi="Times New Roman" w:cs="Times New Roman"/>
        </w:rPr>
        <w:t xml:space="preserve">he 2011 </w:t>
      </w:r>
      <w:r w:rsidRPr="00C0235B">
        <w:rPr>
          <w:rFonts w:ascii="Times New Roman" w:eastAsia="Times New Roman" w:hAnsi="Times New Roman" w:cs="Times New Roman"/>
          <w:bCs/>
          <w:kern w:val="36"/>
        </w:rPr>
        <w:t xml:space="preserve">British Committee </w:t>
      </w:r>
      <w:r w:rsidR="009430B0">
        <w:rPr>
          <w:rFonts w:ascii="Times New Roman" w:eastAsia="Times New Roman" w:hAnsi="Times New Roman" w:cs="Times New Roman"/>
          <w:bCs/>
          <w:kern w:val="36"/>
        </w:rPr>
        <w:t>f</w:t>
      </w:r>
      <w:r w:rsidRPr="00C0235B">
        <w:rPr>
          <w:rFonts w:ascii="Times New Roman" w:eastAsia="Times New Roman" w:hAnsi="Times New Roman" w:cs="Times New Roman"/>
          <w:bCs/>
          <w:kern w:val="36"/>
        </w:rPr>
        <w:t xml:space="preserve">or Standards </w:t>
      </w:r>
      <w:r w:rsidR="009430B0">
        <w:rPr>
          <w:rFonts w:ascii="Times New Roman" w:eastAsia="Times New Roman" w:hAnsi="Times New Roman" w:cs="Times New Roman"/>
          <w:bCs/>
          <w:kern w:val="36"/>
        </w:rPr>
        <w:t>i</w:t>
      </w:r>
      <w:r w:rsidR="00BE27EE">
        <w:rPr>
          <w:rFonts w:ascii="Times New Roman" w:eastAsia="Times New Roman" w:hAnsi="Times New Roman" w:cs="Times New Roman"/>
          <w:bCs/>
          <w:kern w:val="36"/>
        </w:rPr>
        <w:t>n</w:t>
      </w:r>
      <w:r w:rsidRPr="00C0235B">
        <w:rPr>
          <w:rFonts w:ascii="Times New Roman" w:eastAsia="Times New Roman" w:hAnsi="Times New Roman" w:cs="Times New Roman"/>
          <w:bCs/>
          <w:kern w:val="36"/>
        </w:rPr>
        <w:t xml:space="preserve"> Haematology</w:t>
      </w:r>
      <w:r w:rsidRPr="00C0235B">
        <w:rPr>
          <w:rFonts w:ascii="Times New Roman" w:hAnsi="Times New Roman" w:cs="Times New Roman"/>
        </w:rPr>
        <w:t xml:space="preserve"> guidelines </w:t>
      </w:r>
      <w:r w:rsidRPr="00C0235B">
        <w:rPr>
          <w:rFonts w:ascii="Times New Roman" w:eastAsia="Times New Roman" w:hAnsi="Times New Roman" w:cs="Times New Roman"/>
          <w:noProof/>
        </w:rPr>
        <w:t>on oral anticoagulation with warfarin</w:t>
      </w:r>
      <w:r w:rsidRPr="00C0235B">
        <w:rPr>
          <w:rFonts w:ascii="Times New Roman" w:hAnsi="Times New Roman" w:cs="Times New Roman"/>
        </w:rPr>
        <w:t xml:space="preserve"> recommend </w:t>
      </w:r>
      <w:r w:rsidR="000720AD">
        <w:rPr>
          <w:rFonts w:ascii="Times New Roman" w:hAnsi="Times New Roman" w:cs="Times New Roman"/>
        </w:rPr>
        <w:t xml:space="preserve">that the </w:t>
      </w:r>
      <w:r w:rsidRPr="00C0235B">
        <w:rPr>
          <w:rFonts w:ascii="Times New Roman" w:hAnsi="Times New Roman" w:cs="Times New Roman"/>
        </w:rPr>
        <w:t xml:space="preserve">INR test be performed within </w:t>
      </w:r>
      <w:r w:rsidR="003E4761">
        <w:rPr>
          <w:rFonts w:ascii="Times New Roman" w:hAnsi="Times New Roman" w:cs="Times New Roman"/>
        </w:rPr>
        <w:t>three</w:t>
      </w:r>
      <w:r w:rsidR="009430B0">
        <w:rPr>
          <w:rFonts w:ascii="Times New Roman" w:hAnsi="Times New Roman" w:cs="Times New Roman"/>
        </w:rPr>
        <w:t xml:space="preserve"> to </w:t>
      </w:r>
      <w:r w:rsidR="003E4761">
        <w:rPr>
          <w:rFonts w:ascii="Times New Roman" w:hAnsi="Times New Roman" w:cs="Times New Roman"/>
        </w:rPr>
        <w:t>five</w:t>
      </w:r>
      <w:r w:rsidRPr="00C0235B">
        <w:rPr>
          <w:rFonts w:ascii="Times New Roman" w:hAnsi="Times New Roman" w:cs="Times New Roman"/>
        </w:rPr>
        <w:t xml:space="preserve"> days after a potentially interacting drug is prescribed</w:t>
      </w:r>
      <w:r w:rsidR="00733DB6" w:rsidRPr="00C0235B">
        <w:rPr>
          <w:rFonts w:ascii="Times New Roman" w:hAnsi="Times New Roman" w:cs="Times New Roman"/>
        </w:rPr>
        <w:t xml:space="preserve"> </w:t>
      </w:r>
      <w:r w:rsidR="007274BD" w:rsidRPr="00C0235B">
        <w:rPr>
          <w:rFonts w:ascii="Times New Roman" w:hAnsi="Times New Roman" w:cs="Times New Roman"/>
        </w:rPr>
        <w:fldChar w:fldCharType="begin"/>
      </w:r>
      <w:r w:rsidR="00086ABA" w:rsidRPr="00C0235B">
        <w:rPr>
          <w:rFonts w:ascii="Times New Roman" w:hAnsi="Times New Roman" w:cs="Times New Roman"/>
        </w:rPr>
        <w:instrText xml:space="preserve"> ADDIN EN.CITE &lt;EndNote&gt;&lt;Cite&gt;&lt;Author&gt;Keeling&lt;/Author&gt;&lt;Year&gt;2011&lt;/Year&gt;&lt;RecNum&gt;4&lt;/RecNum&gt;&lt;DisplayText&gt;(Keeling et al., 2011)&lt;/DisplayText&gt;&lt;record&gt;&lt;rec-number&gt;4&lt;/rec-number&gt;&lt;foreign-keys&gt;&lt;key app="EN" db-id="ewtzrt20jd0ra9et0a8v9fvxf9tfe0wwp95e"&gt;4&lt;/key&gt;&lt;/foreign-keys&gt;&lt;ref-type name="Journal Article"&gt;17&lt;/ref-type&gt;&lt;contributors&gt;&lt;authors&gt;&lt;author&gt;Keeling, David&lt;/author&gt;&lt;author&gt;Baglin, Trevor&lt;/author&gt;&lt;author&gt;Tait, Campbell&lt;/author&gt;&lt;author&gt;Watson, Henry&lt;/author&gt;&lt;author&gt;Perry, David&lt;/author&gt;&lt;author&gt;Baglin, Caroline&lt;/author&gt;&lt;author&gt;Kitchen, Steve&lt;/author&gt;&lt;author&gt;Makris, Michael&lt;/author&gt;&lt;/authors&gt;&lt;/contributors&gt;&lt;titles&gt;&lt;title&gt;Guidelines on oral anticoagulation with warfarin–fourth edition&lt;/title&gt;&lt;secondary-title&gt;British journal of haematology&lt;/secondary-title&gt;&lt;/titles&gt;&lt;periodical&gt;&lt;full-title&gt;British journal of haematology&lt;/full-title&gt;&lt;/periodical&gt;&lt;pages&gt;311-324&lt;/pages&gt;&lt;volume&gt;154&lt;/volume&gt;&lt;number&gt;3&lt;/number&gt;&lt;dates&gt;&lt;year&gt;2011&lt;/year&gt;&lt;/dates&gt;&lt;isbn&gt;1365-2141&lt;/isbn&gt;&lt;urls&gt;&lt;related-urls&gt;&lt;url&gt;http://onlinelibrary.wiley.com/store/10.1111/j.1365-2141.2011.08753.x/asset/j.1365-2141.2011.08753.x.pdf?v=1&amp;amp;t=ho93cdri&amp;amp;s=5df43d2f18e3cb95283b1d833ffec7800b65725b&lt;/url&gt;&lt;/related-urls&gt;&lt;/urls&gt;&lt;/record&gt;&lt;/Cite&gt;&lt;/EndNote&gt;</w:instrText>
      </w:r>
      <w:r w:rsidR="007274BD" w:rsidRPr="00C0235B">
        <w:rPr>
          <w:rFonts w:ascii="Times New Roman" w:hAnsi="Times New Roman" w:cs="Times New Roman"/>
        </w:rPr>
        <w:fldChar w:fldCharType="separate"/>
      </w:r>
      <w:r w:rsidR="00086ABA" w:rsidRPr="00C0235B">
        <w:rPr>
          <w:rFonts w:ascii="Times New Roman" w:hAnsi="Times New Roman" w:cs="Times New Roman"/>
          <w:noProof/>
        </w:rPr>
        <w:t>(</w:t>
      </w:r>
      <w:hyperlink w:anchor="_ENREF_1_2" w:tooltip="Keeling, 2011 #4" w:history="1">
        <w:r w:rsidR="00086ABA" w:rsidRPr="00C0235B">
          <w:rPr>
            <w:rFonts w:ascii="Times New Roman" w:hAnsi="Times New Roman" w:cs="Times New Roman"/>
            <w:noProof/>
          </w:rPr>
          <w:t>Keeling et al., 2011</w:t>
        </w:r>
      </w:hyperlink>
      <w:r w:rsidR="00086ABA" w:rsidRPr="00C0235B">
        <w:rPr>
          <w:rFonts w:ascii="Times New Roman" w:hAnsi="Times New Roman" w:cs="Times New Roman"/>
          <w:noProof/>
        </w:rPr>
        <w:t>)</w:t>
      </w:r>
      <w:r w:rsidR="007274BD" w:rsidRPr="00C0235B">
        <w:rPr>
          <w:rFonts w:ascii="Times New Roman" w:hAnsi="Times New Roman" w:cs="Times New Roman"/>
        </w:rPr>
        <w:fldChar w:fldCharType="end"/>
      </w:r>
      <w:r w:rsidRPr="00C0235B">
        <w:rPr>
          <w:rFonts w:ascii="Times New Roman" w:hAnsi="Times New Roman" w:cs="Times New Roman"/>
        </w:rPr>
        <w:t xml:space="preserve">. </w:t>
      </w:r>
    </w:p>
    <w:p w14:paraId="308FC644" w14:textId="77777777" w:rsidR="00E23656" w:rsidRPr="00C0235B" w:rsidRDefault="00E23656" w:rsidP="00E23656">
      <w:pPr>
        <w:ind w:left="432" w:hanging="432"/>
        <w:rPr>
          <w:rFonts w:ascii="Times New Roman" w:hAnsi="Times New Roman" w:cs="Times New Roman"/>
          <w:iCs/>
        </w:rPr>
      </w:pPr>
    </w:p>
    <w:p w14:paraId="308FC645" w14:textId="7663A60E" w:rsidR="00BC5B04" w:rsidRPr="00856B74" w:rsidRDefault="00BC5B04" w:rsidP="00BC5B04">
      <w:pPr>
        <w:pStyle w:val="NoSpacing"/>
        <w:rPr>
          <w:rFonts w:ascii="Times New Roman" w:eastAsia="Times New Roman" w:hAnsi="Times New Roman"/>
        </w:rPr>
      </w:pPr>
      <w:r w:rsidRPr="00856B74">
        <w:rPr>
          <w:rFonts w:ascii="Times New Roman" w:eastAsia="Times New Roman" w:hAnsi="Times New Roman"/>
        </w:rPr>
        <w:t xml:space="preserve">The measure focus is on INR monitoring of patients on </w:t>
      </w:r>
      <w:r w:rsidR="00E23656">
        <w:rPr>
          <w:rFonts w:ascii="Times New Roman" w:eastAsia="Times New Roman" w:hAnsi="Times New Roman"/>
        </w:rPr>
        <w:t>warfarin</w:t>
      </w:r>
      <w:r w:rsidRPr="00856B74">
        <w:rPr>
          <w:rFonts w:ascii="Times New Roman" w:eastAsia="Times New Roman" w:hAnsi="Times New Roman"/>
        </w:rPr>
        <w:t xml:space="preserve"> and interacting anti-infectives. </w:t>
      </w:r>
      <w:r w:rsidRPr="00856B74">
        <w:rPr>
          <w:rFonts w:ascii="Times New Roman" w:hAnsi="Times New Roman"/>
        </w:rPr>
        <w:t xml:space="preserve">Some anti-infective medications are known to affect the anticoagulant effect of warfarin. Because warfarin has a narrow therapeutic range, monitoring with the INR test is required shortly after these anti-infectives are prescribed and dose adjustment is performed, if necessary, </w:t>
      </w:r>
      <w:r w:rsidR="00E23656">
        <w:rPr>
          <w:rFonts w:ascii="Times New Roman" w:hAnsi="Times New Roman"/>
        </w:rPr>
        <w:t>in order that</w:t>
      </w:r>
      <w:r w:rsidRPr="00856B74">
        <w:rPr>
          <w:rFonts w:ascii="Times New Roman" w:hAnsi="Times New Roman"/>
        </w:rPr>
        <w:t xml:space="preserve"> the patient </w:t>
      </w:r>
      <w:r w:rsidR="00E23656">
        <w:rPr>
          <w:rFonts w:ascii="Times New Roman" w:hAnsi="Times New Roman"/>
        </w:rPr>
        <w:t>remains</w:t>
      </w:r>
      <w:r w:rsidRPr="00856B74">
        <w:rPr>
          <w:rFonts w:ascii="Times New Roman" w:hAnsi="Times New Roman"/>
        </w:rPr>
        <w:t xml:space="preserve"> within the therapeutic range and avoid</w:t>
      </w:r>
      <w:r w:rsidR="00E23656">
        <w:rPr>
          <w:rFonts w:ascii="Times New Roman" w:hAnsi="Times New Roman"/>
        </w:rPr>
        <w:t>s</w:t>
      </w:r>
      <w:r w:rsidRPr="00856B74">
        <w:rPr>
          <w:rFonts w:ascii="Times New Roman" w:hAnsi="Times New Roman"/>
        </w:rPr>
        <w:t xml:space="preserve"> thromboembolism or bleeding complications</w:t>
      </w:r>
      <w:r w:rsidR="00733DB6">
        <w:rPr>
          <w:rFonts w:ascii="Times New Roman" w:hAnsi="Times New Roman"/>
        </w:rPr>
        <w:t>. The measure focuses on anti-infective drugs because they are commonly used in acute care settings</w:t>
      </w:r>
      <w:r w:rsidR="0031400A">
        <w:rPr>
          <w:rFonts w:ascii="Times New Roman" w:hAnsi="Times New Roman"/>
        </w:rPr>
        <w:t>,</w:t>
      </w:r>
      <w:r w:rsidR="00733DB6">
        <w:rPr>
          <w:rFonts w:ascii="Times New Roman" w:hAnsi="Times New Roman"/>
        </w:rPr>
        <w:t xml:space="preserve"> which increases the risk of </w:t>
      </w:r>
      <w:r w:rsidR="00A007CD">
        <w:rPr>
          <w:rFonts w:ascii="Times New Roman" w:hAnsi="Times New Roman"/>
        </w:rPr>
        <w:t xml:space="preserve">a possible interaction being overlooked. </w:t>
      </w:r>
    </w:p>
    <w:p w14:paraId="308FC646" w14:textId="77777777" w:rsidR="00BC5B04" w:rsidRPr="00856B74" w:rsidRDefault="00BC5B04" w:rsidP="00BC5B04">
      <w:pPr>
        <w:pStyle w:val="NoSpacing"/>
        <w:rPr>
          <w:rFonts w:ascii="Times New Roman" w:eastAsia="Times New Roman" w:hAnsi="Times New Roman"/>
        </w:rPr>
      </w:pPr>
    </w:p>
    <w:p w14:paraId="308FC647" w14:textId="3BDD7B93" w:rsidR="00BC5B04" w:rsidRPr="00856B74" w:rsidRDefault="006A0BD1" w:rsidP="00BC5B04">
      <w:pPr>
        <w:pStyle w:val="NoSpacing"/>
        <w:rPr>
          <w:rFonts w:ascii="Times New Roman" w:eastAsia="Times New Roman" w:hAnsi="Times New Roman"/>
          <w:u w:val="single"/>
        </w:rPr>
      </w:pPr>
      <w:r>
        <w:rPr>
          <w:rFonts w:ascii="Times New Roman" w:eastAsia="Times New Roman" w:hAnsi="Times New Roman"/>
          <w:u w:val="single"/>
        </w:rPr>
        <w:t>Links of P</w:t>
      </w:r>
      <w:r w:rsidR="00BC5B04" w:rsidRPr="00856B74">
        <w:rPr>
          <w:rFonts w:ascii="Times New Roman" w:eastAsia="Times New Roman" w:hAnsi="Times New Roman"/>
          <w:u w:val="single"/>
        </w:rPr>
        <w:t xml:space="preserve">rocess </w:t>
      </w:r>
      <w:r w:rsidR="00650B32" w:rsidRPr="002C0B73">
        <w:rPr>
          <w:rFonts w:ascii="Times New Roman" w:eastAsia="Times New Roman" w:hAnsi="Times New Roman"/>
          <w:szCs w:val="24"/>
          <w:u w:val="single"/>
        </w:rPr>
        <w:sym w:font="Wingdings" w:char="F0E0"/>
      </w:r>
      <w:r w:rsidR="00650B32">
        <w:rPr>
          <w:rFonts w:ascii="Times New Roman" w:eastAsia="Times New Roman" w:hAnsi="Times New Roman"/>
          <w:szCs w:val="24"/>
          <w:u w:val="single"/>
        </w:rPr>
        <w:t xml:space="preserve"> </w:t>
      </w:r>
      <w:r>
        <w:rPr>
          <w:rFonts w:ascii="Times New Roman" w:eastAsia="Times New Roman" w:hAnsi="Times New Roman"/>
          <w:u w:val="single"/>
        </w:rPr>
        <w:t>Health O</w:t>
      </w:r>
      <w:r w:rsidR="00BC5B04" w:rsidRPr="00856B74">
        <w:rPr>
          <w:rFonts w:ascii="Times New Roman" w:eastAsia="Times New Roman" w:hAnsi="Times New Roman"/>
          <w:u w:val="single"/>
        </w:rPr>
        <w:t>utcome</w:t>
      </w:r>
    </w:p>
    <w:p w14:paraId="308FC648" w14:textId="7952371B" w:rsidR="00BC5B04" w:rsidRPr="00856B74" w:rsidRDefault="00BC5B04" w:rsidP="00BC5B04">
      <w:pPr>
        <w:pStyle w:val="NoSpacing"/>
        <w:rPr>
          <w:rFonts w:ascii="Times New Roman" w:eastAsia="Times New Roman" w:hAnsi="Times New Roman"/>
        </w:rPr>
      </w:pPr>
      <w:r w:rsidRPr="00856B74">
        <w:rPr>
          <w:rFonts w:ascii="Times New Roman" w:hAnsi="Times New Roman"/>
        </w:rPr>
        <w:t>Monitoring of patients on warfarin with the INR test</w:t>
      </w:r>
      <w:r w:rsidRPr="00856B74" w:rsidDel="008733AD">
        <w:rPr>
          <w:rFonts w:ascii="Times New Roman" w:eastAsia="Times New Roman" w:hAnsi="Times New Roman"/>
        </w:rPr>
        <w:t xml:space="preserve"> </w:t>
      </w:r>
      <w:r w:rsidRPr="00856B74">
        <w:rPr>
          <w:rFonts w:ascii="Times New Roman" w:hAnsi="Times New Roman"/>
        </w:rPr>
        <w:t xml:space="preserve">within </w:t>
      </w:r>
      <w:r w:rsidR="009B274A">
        <w:rPr>
          <w:rFonts w:ascii="Times New Roman" w:hAnsi="Times New Roman"/>
        </w:rPr>
        <w:t>three</w:t>
      </w:r>
      <w:r w:rsidR="000720AD">
        <w:rPr>
          <w:rFonts w:ascii="Times New Roman" w:hAnsi="Times New Roman"/>
        </w:rPr>
        <w:t xml:space="preserve"> to </w:t>
      </w:r>
      <w:r w:rsidR="009B274A">
        <w:rPr>
          <w:rFonts w:ascii="Times New Roman" w:hAnsi="Times New Roman"/>
        </w:rPr>
        <w:t>five</w:t>
      </w:r>
      <w:r w:rsidRPr="00856B74">
        <w:rPr>
          <w:rFonts w:ascii="Times New Roman" w:hAnsi="Times New Roman"/>
        </w:rPr>
        <w:t xml:space="preserve"> days after an interacting anti-infective is prescribed</w:t>
      </w:r>
      <w:r w:rsidR="00650B32">
        <w:rPr>
          <w:rFonts w:ascii="Times New Roman" w:hAnsi="Times New Roman"/>
        </w:rPr>
        <w:t xml:space="preserve"> </w:t>
      </w:r>
      <w:r w:rsidR="00650B32" w:rsidRPr="00650B32">
        <w:rPr>
          <w:rFonts w:ascii="Times New Roman" w:eastAsia="Times New Roman" w:hAnsi="Times New Roman"/>
          <w:szCs w:val="24"/>
        </w:rPr>
        <w:sym w:font="Wingdings" w:char="F0E0"/>
      </w:r>
    </w:p>
    <w:p w14:paraId="308FC649" w14:textId="69AEAB12" w:rsidR="00BC5B04" w:rsidRPr="00856B74" w:rsidRDefault="00BC5B04" w:rsidP="00BC5B04">
      <w:pPr>
        <w:pStyle w:val="NoSpacing"/>
        <w:rPr>
          <w:rFonts w:ascii="Times New Roman" w:eastAsia="Times New Roman" w:hAnsi="Times New Roman"/>
        </w:rPr>
      </w:pPr>
      <w:r w:rsidRPr="00856B74">
        <w:rPr>
          <w:rFonts w:ascii="Times New Roman" w:eastAsia="Times New Roman" w:hAnsi="Times New Roman"/>
        </w:rPr>
        <w:t>Dose adjustment of warfarin, if necessary</w:t>
      </w:r>
      <w:r w:rsidR="00650B32">
        <w:rPr>
          <w:rFonts w:ascii="Times New Roman" w:eastAsia="Times New Roman" w:hAnsi="Times New Roman"/>
        </w:rPr>
        <w:t xml:space="preserve"> </w:t>
      </w:r>
      <w:r w:rsidR="00650B32" w:rsidRPr="00650B32">
        <w:rPr>
          <w:rFonts w:ascii="Times New Roman" w:eastAsia="Times New Roman" w:hAnsi="Times New Roman"/>
          <w:szCs w:val="24"/>
        </w:rPr>
        <w:sym w:font="Wingdings" w:char="F0E0"/>
      </w:r>
    </w:p>
    <w:p w14:paraId="308FC64A" w14:textId="40DE0415" w:rsidR="00BC5B04" w:rsidRPr="00856B74" w:rsidRDefault="00BC5B04" w:rsidP="00BC5B04">
      <w:pPr>
        <w:pStyle w:val="NoSpacing"/>
        <w:rPr>
          <w:rFonts w:ascii="Times New Roman" w:eastAsia="Times New Roman" w:hAnsi="Times New Roman"/>
        </w:rPr>
      </w:pPr>
      <w:r w:rsidRPr="00856B74">
        <w:rPr>
          <w:rFonts w:ascii="Times New Roman" w:eastAsia="Times New Roman" w:hAnsi="Times New Roman"/>
        </w:rPr>
        <w:t>INR value within the therapeutic range of warfarin</w:t>
      </w:r>
      <w:r w:rsidR="00650B32">
        <w:rPr>
          <w:rFonts w:ascii="Times New Roman" w:eastAsia="Times New Roman" w:hAnsi="Times New Roman"/>
        </w:rPr>
        <w:t xml:space="preserve"> </w:t>
      </w:r>
      <w:r w:rsidR="00650B32" w:rsidRPr="00650B32">
        <w:rPr>
          <w:rFonts w:ascii="Times New Roman" w:eastAsia="Times New Roman" w:hAnsi="Times New Roman"/>
          <w:szCs w:val="24"/>
        </w:rPr>
        <w:sym w:font="Wingdings" w:char="F0E0"/>
      </w:r>
      <w:r w:rsidRPr="00856B74">
        <w:rPr>
          <w:rFonts w:ascii="Times New Roman" w:eastAsia="Times New Roman" w:hAnsi="Times New Roman"/>
        </w:rPr>
        <w:t xml:space="preserve"> </w:t>
      </w:r>
    </w:p>
    <w:p w14:paraId="308FC64B" w14:textId="43B86538" w:rsidR="00BC5B04" w:rsidRPr="00856B74" w:rsidRDefault="00BC5B04" w:rsidP="00BC5B04">
      <w:pPr>
        <w:pStyle w:val="NoSpacing"/>
        <w:rPr>
          <w:rFonts w:ascii="Times New Roman" w:eastAsia="Times New Roman" w:hAnsi="Times New Roman"/>
        </w:rPr>
      </w:pPr>
      <w:r w:rsidRPr="00856B74">
        <w:rPr>
          <w:rFonts w:ascii="Times New Roman" w:eastAsia="Times New Roman" w:hAnsi="Times New Roman"/>
        </w:rPr>
        <w:t xml:space="preserve">Fewer bleeding and thromboembolic events </w:t>
      </w:r>
      <w:r w:rsidR="00650B32" w:rsidRPr="00650B32">
        <w:rPr>
          <w:rFonts w:ascii="Times New Roman" w:eastAsia="Times New Roman" w:hAnsi="Times New Roman"/>
          <w:szCs w:val="24"/>
        </w:rPr>
        <w:sym w:font="Wingdings" w:char="F0E0"/>
      </w:r>
    </w:p>
    <w:p w14:paraId="308FC64C" w14:textId="77777777" w:rsidR="00BC5B04" w:rsidRPr="00856B74" w:rsidRDefault="00BC5B04" w:rsidP="00BC5B04">
      <w:pPr>
        <w:pStyle w:val="NoSpacing"/>
        <w:rPr>
          <w:rFonts w:ascii="Times New Roman" w:eastAsia="Times New Roman" w:hAnsi="Times New Roman"/>
        </w:rPr>
      </w:pPr>
      <w:r w:rsidRPr="00856B74">
        <w:rPr>
          <w:rFonts w:ascii="Times New Roman" w:eastAsia="Times New Roman" w:hAnsi="Times New Roman"/>
        </w:rPr>
        <w:t xml:space="preserve">Lower hospitalization rates and lower mortality rates </w:t>
      </w:r>
    </w:p>
    <w:p w14:paraId="308FC64D" w14:textId="77777777" w:rsidR="00BC5B04" w:rsidRPr="00856B74" w:rsidRDefault="00BC5B04" w:rsidP="00BC5B04">
      <w:pPr>
        <w:pStyle w:val="NoSpacing"/>
        <w:rPr>
          <w:rFonts w:ascii="Times New Roman" w:eastAsia="Times New Roman" w:hAnsi="Times New Roman"/>
        </w:rPr>
      </w:pPr>
    </w:p>
    <w:p w14:paraId="308FC64E" w14:textId="77777777" w:rsidR="00BC5B04" w:rsidRPr="006A0BD1" w:rsidRDefault="00BC5B04" w:rsidP="00BC5B04">
      <w:pPr>
        <w:pStyle w:val="NoSpacing"/>
        <w:rPr>
          <w:rFonts w:ascii="Times New Roman" w:eastAsia="Times New Roman" w:hAnsi="Times New Roman"/>
          <w:u w:val="single"/>
        </w:rPr>
      </w:pPr>
      <w:r w:rsidRPr="006A0BD1">
        <w:rPr>
          <w:rFonts w:ascii="Times New Roman" w:eastAsia="Times New Roman" w:hAnsi="Times New Roman"/>
          <w:u w:val="single"/>
        </w:rPr>
        <w:lastRenderedPageBreak/>
        <w:t>Summary</w:t>
      </w:r>
    </w:p>
    <w:p w14:paraId="308FC64F" w14:textId="1FD5ED02" w:rsidR="00BC5B04" w:rsidRPr="00C7614C" w:rsidRDefault="00BC5B04" w:rsidP="00BC5B04">
      <w:pPr>
        <w:pStyle w:val="NoSpacing"/>
        <w:rPr>
          <w:rFonts w:ascii="Times New Roman" w:eastAsia="Times New Roman" w:hAnsi="Times New Roman"/>
        </w:rPr>
      </w:pPr>
      <w:r w:rsidRPr="00856B74">
        <w:rPr>
          <w:rFonts w:ascii="Times New Roman" w:eastAsia="Times New Roman" w:hAnsi="Times New Roman"/>
        </w:rPr>
        <w:t xml:space="preserve">The desired outcome for this measure is fewer bleeding and </w:t>
      </w:r>
      <w:r w:rsidR="00C27EF2">
        <w:rPr>
          <w:rFonts w:ascii="Times New Roman" w:eastAsia="Times New Roman" w:hAnsi="Times New Roman"/>
        </w:rPr>
        <w:t>thromboembolic events</w:t>
      </w:r>
      <w:r w:rsidRPr="00856B74">
        <w:rPr>
          <w:rFonts w:ascii="Times New Roman" w:eastAsia="Times New Roman" w:hAnsi="Times New Roman"/>
        </w:rPr>
        <w:t xml:space="preserve"> in individuals on warfarin who are prescribed an interacting anti-infective medication. INR monitoring within </w:t>
      </w:r>
      <w:r w:rsidR="000720AD">
        <w:rPr>
          <w:rFonts w:ascii="Times New Roman" w:eastAsia="Times New Roman" w:hAnsi="Times New Roman"/>
        </w:rPr>
        <w:t>three to five</w:t>
      </w:r>
      <w:r w:rsidRPr="00856B74">
        <w:rPr>
          <w:rFonts w:ascii="Times New Roman" w:eastAsia="Times New Roman" w:hAnsi="Times New Roman"/>
        </w:rPr>
        <w:t xml:space="preserve"> days after the interacting anti-infective medication is prescribed should result in </w:t>
      </w:r>
      <w:r w:rsidR="00A007CD">
        <w:rPr>
          <w:rFonts w:ascii="Times New Roman" w:eastAsia="Times New Roman" w:hAnsi="Times New Roman"/>
        </w:rPr>
        <w:t xml:space="preserve">dose adjustment, if necessary, and </w:t>
      </w:r>
      <w:r w:rsidRPr="00856B74">
        <w:rPr>
          <w:rFonts w:ascii="Times New Roman" w:eastAsia="Times New Roman" w:hAnsi="Times New Roman"/>
        </w:rPr>
        <w:t xml:space="preserve">the INR value remaining in the therapeutic range, resulting in fewer bleeding and </w:t>
      </w:r>
      <w:r w:rsidR="00D4786B">
        <w:rPr>
          <w:rFonts w:ascii="Times New Roman" w:eastAsia="Times New Roman" w:hAnsi="Times New Roman"/>
        </w:rPr>
        <w:t>thromboembolic events</w:t>
      </w:r>
      <w:r w:rsidRPr="00856B74">
        <w:rPr>
          <w:rFonts w:ascii="Times New Roman" w:eastAsia="Times New Roman" w:hAnsi="Times New Roman"/>
        </w:rPr>
        <w:t xml:space="preserve"> and thus, fewer hospitalizations and deaths.</w:t>
      </w:r>
      <w:r w:rsidRPr="00C7614C">
        <w:rPr>
          <w:rFonts w:ascii="Times New Roman" w:eastAsia="Times New Roman" w:hAnsi="Times New Roman"/>
        </w:rPr>
        <w:t xml:space="preserve"> </w:t>
      </w:r>
    </w:p>
    <w:p w14:paraId="308FC650" w14:textId="77777777" w:rsidR="00BC5B04" w:rsidRDefault="00BC5B04" w:rsidP="00BC5B04">
      <w:pPr>
        <w:ind w:left="432" w:hanging="432"/>
        <w:rPr>
          <w:color w:val="0000FF"/>
        </w:rPr>
      </w:pPr>
    </w:p>
    <w:p w14:paraId="308FC651" w14:textId="77777777" w:rsidR="00BC5B04" w:rsidRPr="00856B74" w:rsidRDefault="00BC5B04" w:rsidP="00BC5B04">
      <w:pPr>
        <w:ind w:left="0" w:firstLine="0"/>
        <w:rPr>
          <w:rFonts w:ascii="Times New Roman" w:hAnsi="Times New Roman" w:cs="Times New Roman"/>
          <w:iCs/>
          <w:u w:val="single"/>
        </w:rPr>
      </w:pPr>
      <w:r w:rsidRPr="00856B74">
        <w:rPr>
          <w:rFonts w:ascii="Times New Roman" w:hAnsi="Times New Roman" w:cs="Times New Roman"/>
          <w:iCs/>
          <w:u w:val="single"/>
        </w:rPr>
        <w:t>Citations for 1a.</w:t>
      </w:r>
      <w:r>
        <w:rPr>
          <w:rFonts w:ascii="Times New Roman" w:hAnsi="Times New Roman" w:cs="Times New Roman"/>
          <w:iCs/>
          <w:u w:val="single"/>
        </w:rPr>
        <w:t>3</w:t>
      </w:r>
    </w:p>
    <w:p w14:paraId="308FC652" w14:textId="77777777" w:rsidR="00086ABA" w:rsidRPr="00C0235B" w:rsidRDefault="007274BD" w:rsidP="00086ABA">
      <w:pPr>
        <w:ind w:left="720" w:hanging="720"/>
        <w:rPr>
          <w:rFonts w:ascii="Times New Roman" w:hAnsi="Times New Roman" w:cs="Times New Roman"/>
          <w:noProof/>
        </w:rPr>
      </w:pPr>
      <w:r>
        <w:fldChar w:fldCharType="begin"/>
      </w:r>
      <w:r w:rsidR="00086ABA">
        <w:instrText xml:space="preserve"> ADDIN EN.SECTION.REFLIST </w:instrText>
      </w:r>
      <w:r>
        <w:fldChar w:fldCharType="separate"/>
      </w:r>
      <w:bookmarkStart w:id="6" w:name="_ENREF_1_1"/>
      <w:r w:rsidR="00086ABA" w:rsidRPr="00C0235B">
        <w:rPr>
          <w:rFonts w:ascii="Times New Roman" w:hAnsi="Times New Roman" w:cs="Times New Roman"/>
          <w:noProof/>
        </w:rPr>
        <w:t xml:space="preserve">Holbrook, A., Schulman, S., Witt, D. M., Vandvik, P. O., Fish, J., Kovacs, M. J., . . . Guyatt, G. H. (2012). Evidence-based management of anticoagulant therapy: Antithrombotic Therapy and Prevention of Thrombosis, 9th ed: American College of Chest Physicians Evidence-Based Clinical Practice Guidelines. </w:t>
      </w:r>
      <w:r w:rsidR="00086ABA" w:rsidRPr="00C0235B">
        <w:rPr>
          <w:rFonts w:ascii="Times New Roman" w:hAnsi="Times New Roman" w:cs="Times New Roman"/>
          <w:i/>
          <w:noProof/>
        </w:rPr>
        <w:t>Chest, 141</w:t>
      </w:r>
      <w:r w:rsidR="00086ABA" w:rsidRPr="00C0235B">
        <w:rPr>
          <w:rFonts w:ascii="Times New Roman" w:hAnsi="Times New Roman" w:cs="Times New Roman"/>
          <w:noProof/>
        </w:rPr>
        <w:t xml:space="preserve">(2), e152S-e184S. </w:t>
      </w:r>
      <w:bookmarkEnd w:id="6"/>
    </w:p>
    <w:p w14:paraId="308FC653" w14:textId="4E324086" w:rsidR="00086ABA" w:rsidRPr="00C0235B" w:rsidRDefault="00086ABA" w:rsidP="00086ABA">
      <w:pPr>
        <w:ind w:left="720" w:hanging="720"/>
        <w:rPr>
          <w:rFonts w:ascii="Times New Roman" w:hAnsi="Times New Roman" w:cs="Times New Roman"/>
          <w:noProof/>
        </w:rPr>
      </w:pPr>
      <w:bookmarkStart w:id="7" w:name="_ENREF_1_2"/>
      <w:r w:rsidRPr="00C0235B">
        <w:rPr>
          <w:rFonts w:ascii="Times New Roman" w:hAnsi="Times New Roman" w:cs="Times New Roman"/>
          <w:noProof/>
        </w:rPr>
        <w:t xml:space="preserve">Keeling, D., Baglin, T., Tait, C., Watson, H., Perry, D., Baglin, C., . . . Makris, M. (2011). Guidelines on oral anticoagulation with warfarin–fourth edition. </w:t>
      </w:r>
      <w:r w:rsidRPr="00C0235B">
        <w:rPr>
          <w:rFonts w:ascii="Times New Roman" w:hAnsi="Times New Roman" w:cs="Times New Roman"/>
          <w:i/>
          <w:noProof/>
        </w:rPr>
        <w:t xml:space="preserve">British </w:t>
      </w:r>
      <w:r w:rsidR="00157B39">
        <w:rPr>
          <w:rFonts w:ascii="Times New Roman" w:hAnsi="Times New Roman" w:cs="Times New Roman"/>
          <w:i/>
          <w:noProof/>
        </w:rPr>
        <w:t>J</w:t>
      </w:r>
      <w:r w:rsidRPr="00C0235B">
        <w:rPr>
          <w:rFonts w:ascii="Times New Roman" w:hAnsi="Times New Roman" w:cs="Times New Roman"/>
          <w:i/>
          <w:noProof/>
        </w:rPr>
        <w:t xml:space="preserve">ournal of </w:t>
      </w:r>
      <w:r w:rsidR="00157B39">
        <w:rPr>
          <w:rFonts w:ascii="Times New Roman" w:hAnsi="Times New Roman" w:cs="Times New Roman"/>
          <w:i/>
          <w:noProof/>
        </w:rPr>
        <w:t>H</w:t>
      </w:r>
      <w:r w:rsidRPr="00C0235B">
        <w:rPr>
          <w:rFonts w:ascii="Times New Roman" w:hAnsi="Times New Roman" w:cs="Times New Roman"/>
          <w:i/>
          <w:noProof/>
        </w:rPr>
        <w:t>aematology, 154</w:t>
      </w:r>
      <w:r w:rsidRPr="00C0235B">
        <w:rPr>
          <w:rFonts w:ascii="Times New Roman" w:hAnsi="Times New Roman" w:cs="Times New Roman"/>
          <w:noProof/>
        </w:rPr>
        <w:t xml:space="preserve">(3), 311-324. </w:t>
      </w:r>
      <w:bookmarkEnd w:id="7"/>
    </w:p>
    <w:p w14:paraId="308FC654" w14:textId="77777777" w:rsidR="00086ABA" w:rsidRDefault="00086ABA" w:rsidP="00086ABA">
      <w:pPr>
        <w:rPr>
          <w:rFonts w:ascii="Times New Roman" w:hAnsi="Times New Roman" w:cs="Times New Roman"/>
          <w:noProof/>
          <w:sz w:val="24"/>
        </w:rPr>
      </w:pPr>
    </w:p>
    <w:p w14:paraId="308FC657" w14:textId="64E2D680" w:rsidR="0055559D" w:rsidRDefault="007274BD" w:rsidP="002E2177">
      <w:pPr>
        <w:ind w:left="0" w:firstLine="0"/>
        <w:rPr>
          <w:b/>
        </w:rPr>
      </w:pPr>
      <w:r>
        <w:fldChar w:fldCharType="end"/>
      </w:r>
      <w:r w:rsidR="00FD4D82" w:rsidRPr="0094689F">
        <w:rPr>
          <w:b/>
          <w:color w:val="0000FF"/>
        </w:rPr>
        <w:t>1</w:t>
      </w:r>
      <w:r w:rsidR="00773485" w:rsidRPr="0094689F">
        <w:rPr>
          <w:b/>
          <w:color w:val="0000FF"/>
        </w:rPr>
        <w:t>a</w:t>
      </w:r>
      <w:r w:rsidR="00FD4D82" w:rsidRPr="0094689F">
        <w:rPr>
          <w:b/>
          <w:color w:val="0000FF"/>
        </w:rPr>
        <w:t>.</w:t>
      </w:r>
      <w:r w:rsidR="0094689F" w:rsidRPr="0094689F">
        <w:rPr>
          <w:b/>
          <w:color w:val="0000FF"/>
        </w:rPr>
        <w:t>3.</w:t>
      </w:r>
      <w:r w:rsidR="002B06BD">
        <w:rPr>
          <w:b/>
          <w:color w:val="0000FF"/>
        </w:rPr>
        <w:t>1</w:t>
      </w:r>
      <w:r w:rsidR="001B38BF">
        <w:rPr>
          <w:b/>
          <w:color w:val="0000FF"/>
        </w:rPr>
        <w:t>.</w:t>
      </w:r>
      <w:r w:rsidR="00FD4D82">
        <w:rPr>
          <w:color w:val="0000FF"/>
        </w:rPr>
        <w:t xml:space="preserve"> </w:t>
      </w:r>
      <w:r w:rsidR="00FD4D82" w:rsidRPr="00CB06C9">
        <w:rPr>
          <w:b/>
        </w:rPr>
        <w:t>What is the source of</w:t>
      </w:r>
      <w:r w:rsidR="00030F43">
        <w:rPr>
          <w:b/>
        </w:rPr>
        <w:t xml:space="preserve"> the</w:t>
      </w:r>
      <w:r w:rsidR="00FD4D82" w:rsidRPr="00CB06C9">
        <w:rPr>
          <w:b/>
        </w:rPr>
        <w:t xml:space="preserve"> </w:t>
      </w:r>
      <w:r w:rsidR="007573F0" w:rsidRPr="00030F43">
        <w:rPr>
          <w:b/>
          <w:u w:val="single"/>
        </w:rPr>
        <w:t xml:space="preserve">systematic review of the body of </w:t>
      </w:r>
      <w:r w:rsidR="00FD4D82"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00FD4D82" w:rsidRPr="00CB06C9">
        <w:rPr>
          <w:b/>
        </w:rPr>
        <w:t>?</w:t>
      </w:r>
    </w:p>
    <w:p w14:paraId="308FC658" w14:textId="5104E13B" w:rsidR="00FD4D82" w:rsidRDefault="00357CAA" w:rsidP="002E2177">
      <w:pPr>
        <w:ind w:left="0" w:firstLine="0"/>
      </w:pPr>
      <w:sdt>
        <w:sdtPr>
          <w:rPr>
            <w:bCs/>
            <w:color w:val="0000FF"/>
            <w:sz w:val="16"/>
            <w:szCs w:val="16"/>
          </w:rPr>
          <w:id w:val="-468508862"/>
        </w:sdtPr>
        <w:sdtContent>
          <w:sdt>
            <w:sdtPr>
              <w:rPr>
                <w:bCs/>
                <w:color w:val="0000FF"/>
                <w:u w:val="single"/>
              </w:rPr>
              <w:id w:val="1077022443"/>
            </w:sdtPr>
            <w:sdtContent>
              <w:r w:rsidR="00745A7B" w:rsidRPr="00745A7B">
                <w:rPr>
                  <w:bCs/>
                  <w:color w:val="0000FF"/>
                </w:rPr>
                <w:t>X</w:t>
              </w:r>
            </w:sdtContent>
          </w:sdt>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14:paraId="308FC659" w14:textId="77777777" w:rsidR="00FD4D82" w:rsidRDefault="00357CAA" w:rsidP="002E2177">
      <w:pPr>
        <w:ind w:left="0" w:firstLine="0"/>
        <w:rPr>
          <w:b/>
          <w:i/>
        </w:rPr>
      </w:pPr>
      <w:sdt>
        <w:sdtPr>
          <w:rPr>
            <w:bCs/>
            <w:color w:val="0000FF"/>
          </w:rPr>
          <w:id w:val="-411317169"/>
        </w:sdt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14:paraId="308FC65A" w14:textId="089DD273" w:rsidR="007573F0" w:rsidRDefault="00357CAA" w:rsidP="002E2177">
      <w:pPr>
        <w:ind w:left="0" w:firstLine="0"/>
      </w:pPr>
      <w:sdt>
        <w:sdtPr>
          <w:rPr>
            <w:bCs/>
            <w:color w:val="0000FF"/>
            <w:u w:val="single"/>
          </w:rPr>
          <w:id w:val="1199589694"/>
        </w:sdtPr>
        <w:sdtContent>
          <w:sdt>
            <w:sdtPr>
              <w:rPr>
                <w:bCs/>
                <w:color w:val="0000FF"/>
                <w:u w:val="single"/>
              </w:rPr>
              <w:id w:val="1755473292"/>
            </w:sdtPr>
            <w:sdtContent>
              <w:r w:rsidR="00745A7B" w:rsidRPr="00745A7B">
                <w:rPr>
                  <w:bCs/>
                  <w:color w:val="0000FF"/>
                </w:rPr>
                <w:t>X</w:t>
              </w:r>
            </w:sdtContent>
          </w:sdt>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14:paraId="308FC65B" w14:textId="4115F58E" w:rsidR="00FD4D82" w:rsidRDefault="00357CAA" w:rsidP="002E2177">
      <w:pPr>
        <w:ind w:left="0" w:firstLine="0"/>
      </w:pPr>
      <w:sdt>
        <w:sdtPr>
          <w:rPr>
            <w:bCs/>
            <w:color w:val="0000FF"/>
            <w:u w:val="single"/>
          </w:rPr>
          <w:id w:val="302275832"/>
        </w:sdtPr>
        <w:sdtContent>
          <w:sdt>
            <w:sdtPr>
              <w:rPr>
                <w:bCs/>
                <w:color w:val="0000FF"/>
                <w:u w:val="single"/>
              </w:rPr>
              <w:id w:val="215484431"/>
            </w:sdtPr>
            <w:sdtContent>
              <w:r w:rsidR="00745A7B" w:rsidRPr="00745A7B">
                <w:rPr>
                  <w:bCs/>
                  <w:color w:val="0000FF"/>
                </w:rPr>
                <w:t>X</w:t>
              </w:r>
            </w:sdtContent>
          </w:sdt>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14:paraId="308FC65C" w14:textId="77777777" w:rsidR="00FD4D82" w:rsidRDefault="00FD4D82" w:rsidP="002E2177">
      <w:pPr>
        <w:ind w:left="0" w:firstLine="0"/>
      </w:pPr>
    </w:p>
    <w:p w14:paraId="308FC65D" w14:textId="77777777" w:rsidR="00201FF9" w:rsidRPr="00201FF9" w:rsidRDefault="00201FF9" w:rsidP="002E2177">
      <w:pPr>
        <w:ind w:left="0" w:firstLine="0"/>
        <w:rPr>
          <w:i/>
        </w:rPr>
      </w:pPr>
      <w:r w:rsidRPr="0095290F">
        <w:rPr>
          <w:i/>
        </w:rPr>
        <w:t xml:space="preserve">Please complete the sections indicated </w:t>
      </w:r>
      <w:r w:rsidR="00030F43" w:rsidRPr="0095290F">
        <w:rPr>
          <w:i/>
        </w:rPr>
        <w:t xml:space="preserve">above </w:t>
      </w:r>
      <w:r w:rsidRPr="0095290F">
        <w:rPr>
          <w:i/>
        </w:rPr>
        <w:t xml:space="preserve">for the source of evidence. You may skip the </w:t>
      </w:r>
      <w:r w:rsidR="00030F43" w:rsidRPr="0095290F">
        <w:rPr>
          <w:i/>
        </w:rPr>
        <w:t>section</w:t>
      </w:r>
      <w:r w:rsidRPr="0095290F">
        <w:rPr>
          <w:i/>
        </w:rPr>
        <w:t>s that do not apply.</w:t>
      </w:r>
    </w:p>
    <w:p w14:paraId="308FC65E" w14:textId="77777777" w:rsidR="00201FF9" w:rsidRDefault="00201FF9" w:rsidP="002E2177">
      <w:pPr>
        <w:ind w:left="0" w:firstLine="0"/>
        <w:rPr>
          <w:b/>
          <w:color w:val="0070C0"/>
        </w:rPr>
      </w:pPr>
    </w:p>
    <w:p w14:paraId="308FC65F" w14:textId="77777777" w:rsidR="009B5BEA" w:rsidRPr="00FD4D82" w:rsidRDefault="00FD4D82" w:rsidP="002E2177">
      <w:pPr>
        <w:ind w:left="0" w:firstLine="0"/>
        <w:rPr>
          <w:b/>
        </w:rPr>
      </w:pPr>
      <w:bookmarkStart w:id="8" w:name="Section1a4"/>
      <w:bookmarkEnd w:id="8"/>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14:paraId="308FC661" w14:textId="35C2E933" w:rsidR="00101432" w:rsidRPr="00FF0E08" w:rsidRDefault="008B51D9" w:rsidP="00FF0E08">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r w:rsidR="007274BD">
        <w:rPr>
          <w:rFonts w:ascii="Times New Roman" w:eastAsia="Times New Roman" w:hAnsi="Times New Roman" w:cs="Times New Roman"/>
          <w:sz w:val="24"/>
        </w:rPr>
        <w:fldChar w:fldCharType="begin"/>
      </w:r>
      <w:r w:rsidR="00101432">
        <w:rPr>
          <w:rFonts w:ascii="Times New Roman" w:eastAsia="Times New Roman" w:hAnsi="Times New Roman" w:cs="Times New Roman"/>
          <w:sz w:val="24"/>
        </w:rPr>
        <w:instrText xml:space="preserve"> ADDIN EN.CITE &lt;EndNote&gt;&lt;Cite Hidden="1"&gt;&lt;Author&gt;Keeling&lt;/Author&gt;&lt;Year&gt;2011&lt;/Year&gt;&lt;RecNum&gt;4&lt;/RecNum&gt;&lt;record&gt;&lt;rec-number&gt;4&lt;/rec-number&gt;&lt;foreign-keys&gt;&lt;key app="EN" db-id="ewtzrt20jd0ra9et0a8v9fvxf9tfe0wwp95e"&gt;4&lt;/key&gt;&lt;/foreign-keys&gt;&lt;ref-type name="Journal Article"&gt;17&lt;/ref-type&gt;&lt;contributors&gt;&lt;authors&gt;&lt;author&gt;Keeling, David&lt;/author&gt;&lt;author&gt;Baglin, Trevor&lt;/author&gt;&lt;author&gt;Tait, Campbell&lt;/author&gt;&lt;author&gt;Watson, Henry&lt;/author&gt;&lt;author&gt;Perry, David&lt;/author&gt;&lt;author&gt;Baglin, Caroline&lt;/author&gt;&lt;author&gt;Kitchen, Steve&lt;/author&gt;&lt;author&gt;Makris, Michael&lt;/author&gt;&lt;/authors&gt;&lt;/contributors&gt;&lt;titles&gt;&lt;title&gt;Guidelines on oral anticoagulation with warfarin–fourth edition&lt;/title&gt;&lt;secondary-title&gt;British journal of haematology&lt;/secondary-title&gt;&lt;/titles&gt;&lt;periodical&gt;&lt;full-title&gt;British journal of haematology&lt;/full-title&gt;&lt;/periodical&gt;&lt;pages&gt;311-324&lt;/pages&gt;&lt;volume&gt;154&lt;/volume&gt;&lt;number&gt;3&lt;/number&gt;&lt;dates&gt;&lt;year&gt;2011&lt;/year&gt;&lt;/dates&gt;&lt;isbn&gt;1365-2141&lt;/isbn&gt;&lt;urls&gt;&lt;related-urls&gt;&lt;url&gt;http://onlinelibrary.wiley.com/store/10.1111/j.1365-2141.2011.08753.x/asset/j.1365-2141.2011.08753.x.pdf?v=1&amp;amp;t=ho93cdri&amp;amp;s=5df43d2f18e3cb95283b1d833ffec7800b65725b&lt;/url&gt;&lt;/related-urls&gt;&lt;/urls&gt;&lt;/record&gt;&lt;/Cite&gt;&lt;/EndNote&gt;</w:instrText>
      </w:r>
      <w:r w:rsidR="007274BD">
        <w:rPr>
          <w:rFonts w:ascii="Times New Roman" w:eastAsia="Times New Roman" w:hAnsi="Times New Roman" w:cs="Times New Roman"/>
          <w:sz w:val="24"/>
        </w:rPr>
        <w:fldChar w:fldCharType="end"/>
      </w:r>
    </w:p>
    <w:p w14:paraId="308FC662" w14:textId="41F71B29" w:rsidR="00086ABA" w:rsidRPr="00C0235B" w:rsidRDefault="007274BD" w:rsidP="00086ABA">
      <w:pPr>
        <w:pStyle w:val="CommentText"/>
        <w:ind w:left="720" w:hanging="720"/>
        <w:rPr>
          <w:rFonts w:ascii="Times New Roman" w:eastAsia="Times New Roman" w:hAnsi="Times New Roman" w:cs="Times New Roman"/>
          <w:noProof/>
          <w:sz w:val="22"/>
          <w:szCs w:val="22"/>
        </w:rPr>
      </w:pPr>
      <w:r>
        <w:rPr>
          <w:rFonts w:ascii="Times New Roman" w:eastAsia="Times New Roman" w:hAnsi="Times New Roman" w:cs="Times New Roman"/>
          <w:sz w:val="24"/>
        </w:rPr>
        <w:fldChar w:fldCharType="begin"/>
      </w:r>
      <w:r w:rsidR="00101432">
        <w:rPr>
          <w:rFonts w:ascii="Times New Roman" w:eastAsia="Times New Roman" w:hAnsi="Times New Roman" w:cs="Times New Roman"/>
          <w:sz w:val="24"/>
        </w:rPr>
        <w:instrText xml:space="preserve"> ADDIN EN.SECTION.REFLIST </w:instrText>
      </w:r>
      <w:r>
        <w:rPr>
          <w:rFonts w:ascii="Times New Roman" w:eastAsia="Times New Roman" w:hAnsi="Times New Roman" w:cs="Times New Roman"/>
          <w:sz w:val="24"/>
        </w:rPr>
        <w:fldChar w:fldCharType="separate"/>
      </w:r>
      <w:bookmarkStart w:id="9" w:name="_ENREF_2_1"/>
      <w:r w:rsidR="00086ABA" w:rsidRPr="00C0235B">
        <w:rPr>
          <w:rFonts w:ascii="Times New Roman" w:eastAsia="Times New Roman" w:hAnsi="Times New Roman" w:cs="Times New Roman"/>
          <w:noProof/>
          <w:sz w:val="22"/>
          <w:szCs w:val="22"/>
        </w:rPr>
        <w:t xml:space="preserve">Keeling, D., Baglin, T., Tait, C., Watson, H., Perry, D., Baglin, C., . . . Makris, M. (2011). Guidelines on oral anticoagulation with warfarin–fourth edition. </w:t>
      </w:r>
      <w:r w:rsidR="00086ABA" w:rsidRPr="00C0235B">
        <w:rPr>
          <w:rFonts w:ascii="Times New Roman" w:eastAsia="Times New Roman" w:hAnsi="Times New Roman" w:cs="Times New Roman"/>
          <w:i/>
          <w:noProof/>
          <w:sz w:val="22"/>
          <w:szCs w:val="22"/>
        </w:rPr>
        <w:t xml:space="preserve">British </w:t>
      </w:r>
      <w:r w:rsidR="004C166B">
        <w:rPr>
          <w:rFonts w:ascii="Times New Roman" w:eastAsia="Times New Roman" w:hAnsi="Times New Roman" w:cs="Times New Roman"/>
          <w:i/>
          <w:noProof/>
          <w:sz w:val="22"/>
          <w:szCs w:val="22"/>
        </w:rPr>
        <w:t>J</w:t>
      </w:r>
      <w:r w:rsidR="00086ABA" w:rsidRPr="00C0235B">
        <w:rPr>
          <w:rFonts w:ascii="Times New Roman" w:eastAsia="Times New Roman" w:hAnsi="Times New Roman" w:cs="Times New Roman"/>
          <w:i/>
          <w:noProof/>
          <w:sz w:val="22"/>
          <w:szCs w:val="22"/>
        </w:rPr>
        <w:t xml:space="preserve">ournal of </w:t>
      </w:r>
      <w:r w:rsidR="004C166B">
        <w:rPr>
          <w:rFonts w:ascii="Times New Roman" w:eastAsia="Times New Roman" w:hAnsi="Times New Roman" w:cs="Times New Roman"/>
          <w:i/>
          <w:noProof/>
          <w:sz w:val="22"/>
          <w:szCs w:val="22"/>
        </w:rPr>
        <w:t>H</w:t>
      </w:r>
      <w:r w:rsidR="00086ABA" w:rsidRPr="00C0235B">
        <w:rPr>
          <w:rFonts w:ascii="Times New Roman" w:eastAsia="Times New Roman" w:hAnsi="Times New Roman" w:cs="Times New Roman"/>
          <w:i/>
          <w:noProof/>
          <w:sz w:val="22"/>
          <w:szCs w:val="22"/>
        </w:rPr>
        <w:t>aematology, 154</w:t>
      </w:r>
      <w:r w:rsidR="00086ABA" w:rsidRPr="00C0235B">
        <w:rPr>
          <w:rFonts w:ascii="Times New Roman" w:eastAsia="Times New Roman" w:hAnsi="Times New Roman" w:cs="Times New Roman"/>
          <w:noProof/>
          <w:sz w:val="22"/>
          <w:szCs w:val="22"/>
        </w:rPr>
        <w:t xml:space="preserve">(3), 311-324. </w:t>
      </w:r>
      <w:bookmarkEnd w:id="9"/>
    </w:p>
    <w:p w14:paraId="308FC666" w14:textId="5703E532" w:rsidR="00101432" w:rsidRDefault="007274BD" w:rsidP="00650B32">
      <w:pPr>
        <w:pStyle w:val="CommentText"/>
        <w:ind w:left="720"/>
        <w:rPr>
          <w:rFonts w:ascii="Times New Roman" w:eastAsia="Times New Roman" w:hAnsi="Times New Roman" w:cs="Times New Roman"/>
          <w:sz w:val="22"/>
          <w:szCs w:val="22"/>
        </w:rPr>
      </w:pPr>
      <w:r>
        <w:rPr>
          <w:rFonts w:ascii="Times New Roman" w:eastAsia="Times New Roman" w:hAnsi="Times New Roman" w:cs="Times New Roman"/>
          <w:sz w:val="24"/>
        </w:rPr>
        <w:fldChar w:fldCharType="end"/>
      </w:r>
      <w:hyperlink r:id="rId18" w:history="1">
        <w:r w:rsidR="00807CE8" w:rsidRPr="00F9071C">
          <w:rPr>
            <w:rStyle w:val="Hyperlink"/>
            <w:rFonts w:ascii="Times New Roman" w:eastAsia="Times New Roman" w:hAnsi="Times New Roman" w:cs="Times New Roman"/>
            <w:sz w:val="22"/>
            <w:szCs w:val="22"/>
          </w:rPr>
          <w:t>http://onlinelibrary.wiley.com/doi/10.1111/j.1365-2141.2011.08753.x/pdf</w:t>
        </w:r>
      </w:hyperlink>
    </w:p>
    <w:p w14:paraId="6571423F" w14:textId="77777777" w:rsidR="00745A7B" w:rsidRDefault="00745A7B" w:rsidP="002E2177">
      <w:pPr>
        <w:ind w:left="0" w:firstLine="0"/>
        <w:rPr>
          <w:b/>
          <w:color w:val="0000FF"/>
        </w:rPr>
      </w:pPr>
    </w:p>
    <w:p w14:paraId="308FC669" w14:textId="77777777"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14:paraId="308FC66C" w14:textId="77F94EEE" w:rsidR="00164787" w:rsidRPr="00C0235B" w:rsidRDefault="00164787" w:rsidP="00164787">
      <w:pPr>
        <w:ind w:left="0" w:firstLine="0"/>
        <w:rPr>
          <w:rFonts w:ascii="Times New Roman" w:eastAsia="Times New Roman" w:hAnsi="Times New Roman" w:cs="Times New Roman"/>
        </w:rPr>
      </w:pPr>
      <w:r w:rsidRPr="00C0235B">
        <w:rPr>
          <w:rFonts w:ascii="Times New Roman" w:eastAsia="Times New Roman" w:hAnsi="Times New Roman" w:cs="Times New Roman"/>
        </w:rPr>
        <w:t>Keeling et al.</w:t>
      </w:r>
      <w:r w:rsidRPr="00C0235B">
        <w:rPr>
          <w:rFonts w:ascii="Times New Roman" w:hAnsi="Times New Roman" w:cs="Times New Roman"/>
          <w:bCs/>
        </w:rPr>
        <w:t xml:space="preserve"> (2011). </w:t>
      </w:r>
      <w:r w:rsidRPr="00C0235B">
        <w:rPr>
          <w:rFonts w:ascii="Times New Roman" w:eastAsia="Times New Roman" w:hAnsi="Times New Roman" w:cs="Times New Roman"/>
          <w:noProof/>
        </w:rPr>
        <w:t>Guidelines on oral anticoagulation with warfarin–fourth edition</w:t>
      </w:r>
      <w:r w:rsidRPr="00C0235B">
        <w:rPr>
          <w:rFonts w:ascii="Times New Roman" w:eastAsia="Times New Roman" w:hAnsi="Times New Roman" w:cs="Times New Roman"/>
        </w:rPr>
        <w:t xml:space="preserve">: </w:t>
      </w:r>
      <w:r w:rsidRPr="00C0235B">
        <w:rPr>
          <w:rFonts w:ascii="Times New Roman" w:eastAsia="Times New Roman" w:hAnsi="Times New Roman" w:cs="Times New Roman"/>
          <w:bCs/>
          <w:kern w:val="36"/>
        </w:rPr>
        <w:t xml:space="preserve">British Committee </w:t>
      </w:r>
      <w:r w:rsidR="00650B32">
        <w:rPr>
          <w:rFonts w:ascii="Times New Roman" w:eastAsia="Times New Roman" w:hAnsi="Times New Roman" w:cs="Times New Roman"/>
          <w:bCs/>
          <w:kern w:val="36"/>
        </w:rPr>
        <w:t>for</w:t>
      </w:r>
      <w:r w:rsidRPr="00C0235B">
        <w:rPr>
          <w:rFonts w:ascii="Times New Roman" w:eastAsia="Times New Roman" w:hAnsi="Times New Roman" w:cs="Times New Roman"/>
          <w:bCs/>
          <w:kern w:val="36"/>
        </w:rPr>
        <w:t xml:space="preserve"> Standards </w:t>
      </w:r>
      <w:r w:rsidR="00650B32">
        <w:rPr>
          <w:rFonts w:ascii="Times New Roman" w:eastAsia="Times New Roman" w:hAnsi="Times New Roman" w:cs="Times New Roman"/>
          <w:bCs/>
          <w:kern w:val="36"/>
        </w:rPr>
        <w:t>i</w:t>
      </w:r>
      <w:r w:rsidRPr="00C0235B">
        <w:rPr>
          <w:rFonts w:ascii="Times New Roman" w:eastAsia="Times New Roman" w:hAnsi="Times New Roman" w:cs="Times New Roman"/>
          <w:bCs/>
          <w:kern w:val="36"/>
        </w:rPr>
        <w:t>n Haematology</w:t>
      </w:r>
      <w:r w:rsidRPr="00C0235B">
        <w:rPr>
          <w:rFonts w:ascii="Times New Roman" w:eastAsia="Times New Roman" w:hAnsi="Times New Roman" w:cs="Times New Roman"/>
        </w:rPr>
        <w:t xml:space="preserve"> (page 320):</w:t>
      </w:r>
    </w:p>
    <w:p w14:paraId="308FC66E" w14:textId="77777777" w:rsidR="00164787" w:rsidRDefault="00164787" w:rsidP="00650B32">
      <w:pPr>
        <w:ind w:firstLine="0"/>
        <w:rPr>
          <w:rFonts w:ascii="Times New Roman" w:eastAsia="Times New Roman" w:hAnsi="Times New Roman"/>
          <w:i/>
        </w:rPr>
      </w:pPr>
      <w:r w:rsidRPr="000720AD">
        <w:rPr>
          <w:rFonts w:ascii="Times New Roman" w:eastAsia="Times New Roman" w:hAnsi="Times New Roman"/>
          <w:i/>
        </w:rPr>
        <w:t>10.6 Drug interactions</w:t>
      </w:r>
    </w:p>
    <w:p w14:paraId="3B24B054" w14:textId="16485FDE" w:rsidR="009B6419" w:rsidRPr="000720AD" w:rsidRDefault="009B6419" w:rsidP="00650B32">
      <w:pPr>
        <w:ind w:firstLine="0"/>
        <w:rPr>
          <w:rFonts w:ascii="Times New Roman" w:eastAsia="Times New Roman" w:hAnsi="Times New Roman" w:cs="Times New Roman"/>
          <w:i/>
        </w:rPr>
      </w:pPr>
      <w:r>
        <w:rPr>
          <w:rFonts w:ascii="Times New Roman" w:eastAsia="Times New Roman" w:hAnsi="Times New Roman" w:cs="Times New Roman"/>
          <w:i/>
        </w:rPr>
        <w:t>Recommendations</w:t>
      </w:r>
    </w:p>
    <w:p w14:paraId="308FC66F" w14:textId="5603601C" w:rsidR="00964E97" w:rsidRPr="009B6419" w:rsidRDefault="00964E97" w:rsidP="009B6419">
      <w:pPr>
        <w:pStyle w:val="ListParagraph"/>
        <w:numPr>
          <w:ilvl w:val="0"/>
          <w:numId w:val="19"/>
        </w:numPr>
        <w:spacing w:after="0" w:line="240" w:lineRule="auto"/>
        <w:rPr>
          <w:rFonts w:ascii="Calibri" w:eastAsia="Times New Roman" w:hAnsi="Calibri"/>
          <w:b/>
        </w:rPr>
      </w:pPr>
      <w:r w:rsidRPr="009B6419">
        <w:rPr>
          <w:rFonts w:ascii="Times New Roman" w:eastAsia="Times New Roman" w:hAnsi="Times New Roman"/>
          <w:b/>
        </w:rPr>
        <w:t xml:space="preserve">All patients on warfarin who are prescribed a drug that may interact with it should have an INR performed after 3–5 </w:t>
      </w:r>
      <w:r w:rsidRPr="009B6419">
        <w:rPr>
          <w:rFonts w:ascii="Times New Roman" w:eastAsia="Times New Roman" w:hAnsi="Times New Roman" w:cs="Times New Roman"/>
          <w:b/>
        </w:rPr>
        <w:t>d</w:t>
      </w:r>
      <w:r w:rsidRPr="009B6419">
        <w:rPr>
          <w:rFonts w:ascii="Times New Roman" w:eastAsia="Times New Roman" w:hAnsi="Times New Roman"/>
          <w:b/>
        </w:rPr>
        <w:t xml:space="preserve"> (2C).</w:t>
      </w:r>
    </w:p>
    <w:p w14:paraId="308FC670" w14:textId="77777777" w:rsidR="00A00B5E" w:rsidRDefault="00A00B5E" w:rsidP="00265702">
      <w:pPr>
        <w:ind w:left="0" w:firstLine="0"/>
        <w:rPr>
          <w:b/>
          <w:color w:val="0000FF"/>
        </w:rPr>
      </w:pPr>
    </w:p>
    <w:p w14:paraId="308FC672" w14:textId="5DBAA5C8"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p>
    <w:p w14:paraId="308FC673" w14:textId="77777777" w:rsidR="00164787" w:rsidRPr="00C0235B" w:rsidRDefault="00164787" w:rsidP="00164787">
      <w:pPr>
        <w:ind w:left="0" w:firstLine="0"/>
        <w:rPr>
          <w:rFonts w:ascii="Times New Roman" w:hAnsi="Times New Roman" w:cs="Times New Roman"/>
        </w:rPr>
      </w:pPr>
      <w:r w:rsidRPr="00C0235B">
        <w:rPr>
          <w:rFonts w:ascii="Times New Roman" w:hAnsi="Times New Roman" w:cs="Times New Roman"/>
        </w:rPr>
        <w:t xml:space="preserve">The following definition applies to the grade used for the guideline recommendation by Keeling et al. (2011) listed in Section 1a.4.2 of this form (definition provided in </w:t>
      </w:r>
      <w:r w:rsidRPr="00C0235B">
        <w:rPr>
          <w:rFonts w:ascii="Times New Roman" w:hAnsi="Times New Roman" w:cs="Times New Roman"/>
          <w:noProof/>
        </w:rPr>
        <w:t>British Committee for Standards in Haemotology, 2010</w:t>
      </w:r>
      <w:r w:rsidRPr="00C0235B">
        <w:rPr>
          <w:rFonts w:ascii="Times New Roman" w:hAnsi="Times New Roman" w:cs="Times New Roman"/>
        </w:rPr>
        <w:t>):</w:t>
      </w:r>
    </w:p>
    <w:p w14:paraId="308FC675" w14:textId="77777777" w:rsidR="002D2CE4" w:rsidRPr="00C0235B" w:rsidRDefault="002D2CE4" w:rsidP="004A4785">
      <w:pPr>
        <w:ind w:firstLine="0"/>
      </w:pPr>
      <w:r w:rsidRPr="004A4785">
        <w:rPr>
          <w:rStyle w:val="Strong"/>
          <w:rFonts w:ascii="Times New Roman" w:hAnsi="Times New Roman"/>
        </w:rPr>
        <w:lastRenderedPageBreak/>
        <w:t xml:space="preserve">Strength of Recommendation. Weak (grade 2): </w:t>
      </w:r>
      <w:r w:rsidRPr="009E1C19">
        <w:rPr>
          <w:rFonts w:ascii="Times New Roman" w:eastAsia="Times New Roman" w:hAnsi="Times New Roman" w:cs="Times New Roman"/>
        </w:rPr>
        <w:t>Where the magnitude of benefit or not is less certain a weaker grade 2 recommendation is made. Grade 2 recommendations require judicious application to individual patients. Regard as ‘suggest’.</w:t>
      </w:r>
    </w:p>
    <w:p w14:paraId="308FC676" w14:textId="620CB54B" w:rsidR="002D2CE4" w:rsidRPr="00C0235B" w:rsidRDefault="002D2CE4" w:rsidP="004A4785">
      <w:pPr>
        <w:pStyle w:val="NormalWeb"/>
        <w:shd w:val="clear" w:color="auto" w:fill="FFFFFF"/>
        <w:ind w:left="360"/>
        <w:rPr>
          <w:sz w:val="22"/>
          <w:szCs w:val="22"/>
        </w:rPr>
      </w:pPr>
      <w:r w:rsidRPr="00C0235B">
        <w:rPr>
          <w:rStyle w:val="Strong"/>
          <w:sz w:val="22"/>
          <w:szCs w:val="22"/>
        </w:rPr>
        <w:t xml:space="preserve">Quality of Evidence. (C) </w:t>
      </w:r>
      <w:r w:rsidR="00A928D6" w:rsidRPr="00C0235B">
        <w:rPr>
          <w:rStyle w:val="Strong"/>
          <w:sz w:val="22"/>
          <w:szCs w:val="22"/>
        </w:rPr>
        <w:t>Low</w:t>
      </w:r>
      <w:r w:rsidR="004A4785">
        <w:rPr>
          <w:rStyle w:val="Strong"/>
          <w:sz w:val="22"/>
          <w:szCs w:val="22"/>
        </w:rPr>
        <w:t>:</w:t>
      </w:r>
      <w:r w:rsidR="00A928D6" w:rsidRPr="00C0235B">
        <w:rPr>
          <w:sz w:val="22"/>
          <w:szCs w:val="22"/>
        </w:rPr>
        <w:t xml:space="preserve"> </w:t>
      </w:r>
      <w:r w:rsidRPr="00C0235B">
        <w:rPr>
          <w:sz w:val="22"/>
          <w:szCs w:val="22"/>
        </w:rPr>
        <w:t>Further research is likely to have an important impact on confidence in the estimate of effect and is likely to change the estimate. Current evidence from observational studies, case series or just opinion.</w:t>
      </w:r>
    </w:p>
    <w:p w14:paraId="308FC677" w14:textId="56B78875" w:rsidR="00A007CD" w:rsidRPr="00C0235B" w:rsidRDefault="00A007CD" w:rsidP="00C32FBA">
      <w:pPr>
        <w:pStyle w:val="NormalWeb"/>
        <w:shd w:val="clear" w:color="auto" w:fill="FFFFFF"/>
        <w:spacing w:before="0" w:beforeAutospacing="0" w:after="0" w:afterAutospacing="0"/>
        <w:rPr>
          <w:sz w:val="22"/>
          <w:szCs w:val="22"/>
        </w:rPr>
      </w:pPr>
      <w:r w:rsidRPr="00C0235B">
        <w:rPr>
          <w:sz w:val="22"/>
          <w:szCs w:val="22"/>
        </w:rPr>
        <w:t xml:space="preserve">Note that the evidence underlying recommendations to reduce drug-drug interactions tends to be weak in general, </w:t>
      </w:r>
      <w:r w:rsidR="00E27C05">
        <w:rPr>
          <w:sz w:val="22"/>
          <w:szCs w:val="22"/>
        </w:rPr>
        <w:t>because</w:t>
      </w:r>
      <w:r w:rsidRPr="00C0235B">
        <w:rPr>
          <w:sz w:val="22"/>
          <w:szCs w:val="22"/>
        </w:rPr>
        <w:t xml:space="preserve"> conducting randomized trials to study such interactions would be unethical. </w:t>
      </w:r>
    </w:p>
    <w:p w14:paraId="47F79ED0" w14:textId="77777777" w:rsidR="00C32FBA" w:rsidRPr="00C0235B" w:rsidRDefault="00C32FBA" w:rsidP="00C32FBA">
      <w:pPr>
        <w:pStyle w:val="NormalWeb"/>
        <w:shd w:val="clear" w:color="auto" w:fill="FFFFFF"/>
        <w:spacing w:before="0" w:beforeAutospacing="0" w:after="0" w:afterAutospacing="0"/>
        <w:rPr>
          <w:sz w:val="22"/>
          <w:szCs w:val="22"/>
        </w:rPr>
      </w:pPr>
    </w:p>
    <w:p w14:paraId="308FC679" w14:textId="07E90459" w:rsidR="00A12762" w:rsidRPr="00FF0E08" w:rsidRDefault="00965FF6" w:rsidP="00265702">
      <w:pPr>
        <w:ind w:left="0" w:firstLine="0"/>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14:paraId="308FC67A" w14:textId="77777777" w:rsidR="00A928D6" w:rsidRPr="00A928D6" w:rsidRDefault="00A928D6" w:rsidP="00A928D6">
      <w:pPr>
        <w:ind w:left="0" w:firstLine="0"/>
        <w:rPr>
          <w:rFonts w:ascii="Times New Roman" w:hAnsi="Times New Roman" w:cs="Times New Roman"/>
        </w:rPr>
      </w:pPr>
      <w:r w:rsidRPr="00903BBE">
        <w:rPr>
          <w:rFonts w:ascii="Times New Roman" w:hAnsi="Times New Roman" w:cs="Times New Roman"/>
        </w:rPr>
        <w:t xml:space="preserve">The following </w:t>
      </w:r>
      <w:r>
        <w:rPr>
          <w:rFonts w:ascii="Times New Roman" w:hAnsi="Times New Roman" w:cs="Times New Roman"/>
        </w:rPr>
        <w:t xml:space="preserve">is a complete set of </w:t>
      </w:r>
      <w:r w:rsidRPr="00903BBE">
        <w:rPr>
          <w:rFonts w:ascii="Times New Roman" w:hAnsi="Times New Roman" w:cs="Times New Roman"/>
        </w:rPr>
        <w:t xml:space="preserve">definitions </w:t>
      </w:r>
      <w:r>
        <w:rPr>
          <w:rFonts w:ascii="Times New Roman" w:hAnsi="Times New Roman" w:cs="Times New Roman"/>
        </w:rPr>
        <w:t xml:space="preserve">that apply to the grades used for the recommendations in </w:t>
      </w:r>
      <w:r w:rsidRPr="00A928D6">
        <w:rPr>
          <w:rFonts w:ascii="Times New Roman" w:hAnsi="Times New Roman" w:cs="Times New Roman"/>
        </w:rPr>
        <w:t xml:space="preserve">the guidelines by Keeling et al. (2011) (definitions provided in </w:t>
      </w:r>
      <w:r w:rsidRPr="00A928D6">
        <w:rPr>
          <w:rFonts w:ascii="Times New Roman" w:hAnsi="Times New Roman" w:cs="Times New Roman"/>
          <w:noProof/>
        </w:rPr>
        <w:t>British Committee for Standards in Haemotology</w:t>
      </w:r>
      <w:r w:rsidRPr="00A928D6">
        <w:rPr>
          <w:rFonts w:ascii="Times New Roman" w:hAnsi="Times New Roman" w:cs="Times New Roman"/>
        </w:rPr>
        <w:t>, 201</w:t>
      </w:r>
      <w:r>
        <w:rPr>
          <w:rFonts w:ascii="Times New Roman" w:hAnsi="Times New Roman" w:cs="Times New Roman"/>
        </w:rPr>
        <w:t>0</w:t>
      </w:r>
      <w:r w:rsidRPr="00A928D6">
        <w:rPr>
          <w:rFonts w:ascii="Times New Roman" w:hAnsi="Times New Roman" w:cs="Times New Roman"/>
        </w:rPr>
        <w:t>):</w:t>
      </w:r>
    </w:p>
    <w:p w14:paraId="2D7754F7" w14:textId="0EFD76DD" w:rsidR="009B6419" w:rsidRPr="009B6419" w:rsidRDefault="009B6419" w:rsidP="009B6419">
      <w:pPr>
        <w:pStyle w:val="NormalWeb"/>
        <w:shd w:val="clear" w:color="auto" w:fill="FFFFFF"/>
        <w:spacing w:before="0" w:beforeAutospacing="0" w:after="0" w:afterAutospacing="0"/>
        <w:ind w:left="360"/>
        <w:rPr>
          <w:sz w:val="22"/>
          <w:szCs w:val="22"/>
        </w:rPr>
      </w:pPr>
      <w:r w:rsidRPr="009B6419">
        <w:rPr>
          <w:sz w:val="22"/>
          <w:szCs w:val="22"/>
        </w:rPr>
        <w:t>From January 2010 BCSH guidelines have used the GRADE nomenclature for assessing levels of evidence and providing recommendations in guidelines</w:t>
      </w:r>
      <w:r>
        <w:rPr>
          <w:sz w:val="22"/>
          <w:szCs w:val="22"/>
        </w:rPr>
        <w:t xml:space="preserve"> </w:t>
      </w:r>
      <w:r w:rsidR="007274BD">
        <w:rPr>
          <w:sz w:val="22"/>
          <w:szCs w:val="22"/>
        </w:rPr>
        <w:fldChar w:fldCharType="begin"/>
      </w:r>
      <w:r w:rsidR="00101432">
        <w:rPr>
          <w:sz w:val="22"/>
          <w:szCs w:val="22"/>
        </w:rPr>
        <w:instrText xml:space="preserve"> ADDIN EN.CITE &lt;EndNote&gt;&lt;Cite&gt;&lt;Author&gt;British Committee for Standards in Haemotology&lt;/Author&gt;&lt;Year&gt;2010&lt;/Year&gt;&lt;RecNum&gt;6&lt;/RecNum&gt;&lt;DisplayText&gt;(British Committee for Standards in Haemotology, 2010)&lt;/DisplayText&gt;&lt;record&gt;&lt;rec-number&gt;6&lt;/rec-number&gt;&lt;foreign-keys&gt;&lt;key app="EN" db-id="ewtzrt20jd0ra9et0a8v9fvxf9tfe0wwp95e"&gt;6&lt;/key&gt;&lt;/foreign-keys&gt;&lt;ref-type name="Web Page"&gt;12&lt;/ref-type&gt;&lt;contributors&gt;&lt;authors&gt;&lt;author&gt;British Committee for Standards in Haemotology,&lt;/author&gt;&lt;/authors&gt;&lt;/contributors&gt;&lt;titles&gt;&lt;title&gt;Evidence Levels and Grades of Recommendation. GRADE&lt;/title&gt;&lt;/titles&gt;&lt;volume&gt;2013&lt;/volume&gt;&lt;number&gt;October 31&lt;/number&gt;&lt;dates&gt;&lt;year&gt;2010&lt;/year&gt;&lt;/dates&gt;&lt;urls&gt;&lt;related-urls&gt;&lt;url&gt;http://www.bcshguidelines.com/BCSH_PROCESS/EVIDENCE_LEVELS_AND_GRADES_OF_RECOMMENDATION/43_GRADE.html&lt;/url&gt;&lt;/related-urls&gt;&lt;/urls&gt;&lt;/record&gt;&lt;/Cite&gt;&lt;/EndNote&gt;</w:instrText>
      </w:r>
      <w:r w:rsidR="007274BD">
        <w:rPr>
          <w:sz w:val="22"/>
          <w:szCs w:val="22"/>
        </w:rPr>
        <w:fldChar w:fldCharType="separate"/>
      </w:r>
      <w:r w:rsidR="00101432">
        <w:rPr>
          <w:sz w:val="22"/>
          <w:szCs w:val="22"/>
        </w:rPr>
        <w:t>(</w:t>
      </w:r>
      <w:hyperlink w:anchor="_ENREF_4_1" w:tooltip="British Committee for Standards in Haemotology, 2010 #6" w:history="1">
        <w:r w:rsidR="00086ABA">
          <w:rPr>
            <w:sz w:val="22"/>
            <w:szCs w:val="22"/>
          </w:rPr>
          <w:t>British Committee for Standards in Haemotology, 2010</w:t>
        </w:r>
      </w:hyperlink>
      <w:r w:rsidR="00101432">
        <w:rPr>
          <w:sz w:val="22"/>
          <w:szCs w:val="22"/>
        </w:rPr>
        <w:t>)</w:t>
      </w:r>
      <w:r w:rsidR="007274BD">
        <w:rPr>
          <w:sz w:val="22"/>
          <w:szCs w:val="22"/>
        </w:rPr>
        <w:fldChar w:fldCharType="end"/>
      </w:r>
      <w:r w:rsidRPr="002F394C">
        <w:rPr>
          <w:sz w:val="22"/>
          <w:szCs w:val="22"/>
        </w:rPr>
        <w:t xml:space="preserve">. </w:t>
      </w:r>
      <w:r w:rsidRPr="009B6419">
        <w:rPr>
          <w:sz w:val="22"/>
          <w:szCs w:val="22"/>
        </w:rPr>
        <w:t>For laboratory tests guidance is related specifically to clinical utility (that is the ability of a test to alter clinical outcome).</w:t>
      </w:r>
      <w:r w:rsidR="00C32FBA">
        <w:rPr>
          <w:sz w:val="22"/>
          <w:szCs w:val="22"/>
        </w:rPr>
        <w:t xml:space="preserve"> </w:t>
      </w:r>
      <w:r w:rsidRPr="009B6419">
        <w:rPr>
          <w:sz w:val="22"/>
          <w:szCs w:val="22"/>
        </w:rPr>
        <w:t>GRADE stands for: Grading of Recommendations Assessment, Development and Evaluation.</w:t>
      </w:r>
      <w:r w:rsidRPr="009B6419">
        <w:rPr>
          <w:sz w:val="22"/>
          <w:szCs w:val="22"/>
        </w:rPr>
        <w:br/>
      </w:r>
      <w:r w:rsidRPr="009B6419">
        <w:rPr>
          <w:sz w:val="22"/>
          <w:szCs w:val="22"/>
        </w:rPr>
        <w:br/>
        <w:t>STRENGTH OF RECOMMENDATIONS:</w:t>
      </w:r>
    </w:p>
    <w:p w14:paraId="56034DA3" w14:textId="77777777" w:rsidR="009B6419" w:rsidRPr="009B6419" w:rsidRDefault="009B6419" w:rsidP="009B6419">
      <w:pPr>
        <w:pStyle w:val="NormalWeb"/>
        <w:spacing w:before="0" w:beforeAutospacing="0" w:after="0" w:afterAutospacing="0"/>
        <w:ind w:left="360"/>
        <w:rPr>
          <w:sz w:val="22"/>
          <w:szCs w:val="22"/>
        </w:rPr>
      </w:pPr>
      <w:r w:rsidRPr="009B6419">
        <w:rPr>
          <w:rStyle w:val="Strong"/>
          <w:sz w:val="22"/>
          <w:szCs w:val="22"/>
        </w:rPr>
        <w:t>Strong (grade 1):</w:t>
      </w:r>
      <w:r w:rsidRPr="009B6419">
        <w:rPr>
          <w:sz w:val="22"/>
          <w:szCs w:val="22"/>
        </w:rPr>
        <w:t xml:space="preserve"> Strong recommendations (grade 1) are made when there is confidence that the benefits do or do not outweigh harm and burden. Grade 1 recommendations can be applied uniformly to most patients. Regard as 'recommend'.</w:t>
      </w:r>
    </w:p>
    <w:p w14:paraId="57C6521C" w14:textId="77777777" w:rsidR="009B6419" w:rsidRPr="009B6419" w:rsidRDefault="009B6419" w:rsidP="009B6419">
      <w:pPr>
        <w:pStyle w:val="NormalWeb"/>
        <w:spacing w:before="0" w:beforeAutospacing="0" w:after="0" w:afterAutospacing="0"/>
        <w:ind w:left="360"/>
        <w:rPr>
          <w:sz w:val="22"/>
          <w:szCs w:val="22"/>
        </w:rPr>
      </w:pPr>
      <w:r w:rsidRPr="009B6419">
        <w:rPr>
          <w:rStyle w:val="Strong"/>
          <w:sz w:val="22"/>
          <w:szCs w:val="22"/>
        </w:rPr>
        <w:t xml:space="preserve">Weak (grade 2): </w:t>
      </w:r>
      <w:r w:rsidRPr="009B6419">
        <w:rPr>
          <w:sz w:val="22"/>
          <w:szCs w:val="22"/>
        </w:rPr>
        <w:t>Where the magnitude of benefit or not is less certain a weaker grade 2 recommendation is made. Grade 2 recommendations require judicious application to individual patients. Regard as ‘suggest’.</w:t>
      </w:r>
    </w:p>
    <w:p w14:paraId="6E48EB96" w14:textId="77777777" w:rsidR="009B6419" w:rsidRPr="009B6419" w:rsidRDefault="009B6419" w:rsidP="009B6419">
      <w:pPr>
        <w:pStyle w:val="NormalWeb"/>
        <w:spacing w:before="0" w:beforeAutospacing="0" w:after="0" w:afterAutospacing="0"/>
        <w:rPr>
          <w:sz w:val="22"/>
          <w:szCs w:val="22"/>
        </w:rPr>
      </w:pPr>
      <w:r w:rsidRPr="009B6419">
        <w:rPr>
          <w:sz w:val="22"/>
          <w:szCs w:val="22"/>
        </w:rPr>
        <w:t> </w:t>
      </w:r>
    </w:p>
    <w:p w14:paraId="7E82DD83" w14:textId="77777777" w:rsidR="009B6419" w:rsidRPr="009B6419" w:rsidRDefault="009B6419" w:rsidP="009B6419">
      <w:pPr>
        <w:pStyle w:val="NormalWeb"/>
        <w:spacing w:before="0" w:beforeAutospacing="0" w:after="0" w:afterAutospacing="0"/>
        <w:ind w:left="360"/>
        <w:rPr>
          <w:sz w:val="22"/>
          <w:szCs w:val="22"/>
        </w:rPr>
      </w:pPr>
      <w:r w:rsidRPr="009B6419">
        <w:rPr>
          <w:sz w:val="22"/>
          <w:szCs w:val="22"/>
        </w:rPr>
        <w:t>QUALITY OF EVIDENCE</w:t>
      </w:r>
    </w:p>
    <w:p w14:paraId="7D78ECBD" w14:textId="77777777" w:rsidR="009B6419" w:rsidRPr="009B6419" w:rsidRDefault="009B6419" w:rsidP="009B6419">
      <w:pPr>
        <w:pStyle w:val="NormalWeb"/>
        <w:spacing w:before="0" w:beforeAutospacing="0" w:after="0" w:afterAutospacing="0"/>
        <w:ind w:left="360"/>
        <w:rPr>
          <w:sz w:val="22"/>
          <w:szCs w:val="22"/>
        </w:rPr>
      </w:pPr>
      <w:r w:rsidRPr="009B6419">
        <w:rPr>
          <w:sz w:val="22"/>
          <w:szCs w:val="22"/>
        </w:rPr>
        <w:t>The quality of evidence is graded as high (A), moderate (B) or low (C). To put this in context it is useful to consider the uncertainty of knowledge and whether further research could change what we know or our certainty.</w:t>
      </w:r>
    </w:p>
    <w:p w14:paraId="231EFC22" w14:textId="375AA8EC" w:rsidR="009B6419" w:rsidRPr="009B6419" w:rsidRDefault="009B6419" w:rsidP="009B6419">
      <w:pPr>
        <w:pStyle w:val="NormalWeb"/>
        <w:spacing w:before="0" w:beforeAutospacing="0" w:after="0" w:afterAutospacing="0"/>
        <w:ind w:left="360"/>
        <w:rPr>
          <w:sz w:val="22"/>
          <w:szCs w:val="22"/>
        </w:rPr>
      </w:pPr>
      <w:r w:rsidRPr="009B6419">
        <w:rPr>
          <w:rStyle w:val="Strong"/>
          <w:sz w:val="22"/>
          <w:szCs w:val="22"/>
        </w:rPr>
        <w:t>(A) High</w:t>
      </w:r>
      <w:r w:rsidR="00C32FBA">
        <w:rPr>
          <w:sz w:val="22"/>
          <w:szCs w:val="22"/>
        </w:rPr>
        <w:t xml:space="preserve"> </w:t>
      </w:r>
      <w:r w:rsidRPr="009B6419">
        <w:rPr>
          <w:sz w:val="22"/>
          <w:szCs w:val="22"/>
        </w:rPr>
        <w:t>Further research is very unlikely to change confidence in the estimate of effect. Current evidence derived from randomised clinical trials without important limitations.</w:t>
      </w:r>
    </w:p>
    <w:p w14:paraId="76BB665C" w14:textId="34194856" w:rsidR="009B6419" w:rsidRPr="009B6419" w:rsidRDefault="009B6419" w:rsidP="009B6419">
      <w:pPr>
        <w:pStyle w:val="NormalWeb"/>
        <w:spacing w:before="0" w:beforeAutospacing="0" w:after="0" w:afterAutospacing="0"/>
        <w:ind w:left="360"/>
        <w:rPr>
          <w:sz w:val="22"/>
          <w:szCs w:val="22"/>
        </w:rPr>
      </w:pPr>
      <w:r w:rsidRPr="009B6419">
        <w:rPr>
          <w:rStyle w:val="Strong"/>
          <w:sz w:val="22"/>
          <w:szCs w:val="22"/>
        </w:rPr>
        <w:t xml:space="preserve">(B) </w:t>
      </w:r>
      <w:r w:rsidR="00BE27EE" w:rsidRPr="009B6419">
        <w:rPr>
          <w:rStyle w:val="Strong"/>
          <w:sz w:val="22"/>
          <w:szCs w:val="22"/>
        </w:rPr>
        <w:t>Moderate</w:t>
      </w:r>
      <w:r w:rsidR="00BE27EE">
        <w:rPr>
          <w:rStyle w:val="Strong"/>
          <w:sz w:val="22"/>
          <w:szCs w:val="22"/>
        </w:rPr>
        <w:t xml:space="preserve"> </w:t>
      </w:r>
      <w:r w:rsidR="00BE27EE" w:rsidRPr="009B6419">
        <w:rPr>
          <w:sz w:val="22"/>
          <w:szCs w:val="22"/>
        </w:rPr>
        <w:t>Further</w:t>
      </w:r>
      <w:r w:rsidRPr="009B6419">
        <w:rPr>
          <w:sz w:val="22"/>
          <w:szCs w:val="22"/>
        </w:rPr>
        <w:t xml:space="preserve"> research may well have an important impact on confidence in the estimate of effect and may change the estimate. Current evidence derived from randomised clinical trials with important limitations (e.g. inconsistent results, imprecision - wide confidence intervals or methodological flaws - e.g. lack of blinding, large losses to follow up, failure to adhere to intention to treat analysis),or very strong evidence from observational studies or case series (e.g. large or very large and consistent estimates of the magnitude of a treatment effect or demonstration of a dose-response gradient).</w:t>
      </w:r>
    </w:p>
    <w:p w14:paraId="0E52D89A" w14:textId="384E5CA8" w:rsidR="009B6419" w:rsidRPr="009B6419" w:rsidRDefault="009B6419" w:rsidP="009B6419">
      <w:pPr>
        <w:pStyle w:val="NormalWeb"/>
        <w:spacing w:before="0" w:beforeAutospacing="0" w:after="0" w:afterAutospacing="0"/>
        <w:ind w:left="360"/>
        <w:rPr>
          <w:sz w:val="22"/>
          <w:szCs w:val="22"/>
        </w:rPr>
      </w:pPr>
      <w:r w:rsidRPr="009B6419">
        <w:rPr>
          <w:rStyle w:val="Strong"/>
          <w:sz w:val="22"/>
          <w:szCs w:val="22"/>
        </w:rPr>
        <w:t>(C) Low</w:t>
      </w:r>
      <w:r w:rsidR="00C32FBA">
        <w:rPr>
          <w:sz w:val="22"/>
          <w:szCs w:val="22"/>
        </w:rPr>
        <w:t xml:space="preserve"> </w:t>
      </w:r>
      <w:r w:rsidRPr="009B6419">
        <w:rPr>
          <w:sz w:val="22"/>
          <w:szCs w:val="22"/>
        </w:rPr>
        <w:t>Further research is likely to have an important impact on confidence in the estimate of effect and is likely to change the estimate. Current evidence from observational studies, case series or just opinion.</w:t>
      </w:r>
    </w:p>
    <w:p w14:paraId="308FC67E" w14:textId="07E7B127" w:rsidR="00167D86" w:rsidRPr="002F394C" w:rsidRDefault="009B6419" w:rsidP="009B6419">
      <w:pPr>
        <w:pStyle w:val="NormalWeb"/>
        <w:shd w:val="clear" w:color="auto" w:fill="FFFFFF"/>
        <w:spacing w:before="0" w:beforeAutospacing="0" w:after="0" w:afterAutospacing="0"/>
        <w:ind w:left="360"/>
        <w:rPr>
          <w:sz w:val="22"/>
          <w:szCs w:val="22"/>
        </w:rPr>
      </w:pPr>
      <w:r>
        <w:rPr>
          <w:sz w:val="22"/>
          <w:szCs w:val="22"/>
        </w:rPr>
        <w:t xml:space="preserve"> </w:t>
      </w:r>
    </w:p>
    <w:p w14:paraId="308FC68B" w14:textId="79F7E776" w:rsidR="00DC175C" w:rsidRPr="00FF0E08" w:rsidRDefault="00776F6D" w:rsidP="00FF0E08">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14:paraId="6F30BAA7" w14:textId="7D044550" w:rsidR="00011AE4" w:rsidRPr="00011AE4" w:rsidRDefault="007274BD" w:rsidP="00011AE4">
      <w:pPr>
        <w:rPr>
          <w:rFonts w:ascii="Times New Roman" w:hAnsi="Times New Roman"/>
        </w:rPr>
      </w:pPr>
      <w:r w:rsidRPr="00E27C05">
        <w:rPr>
          <w:rFonts w:ascii="Times New Roman" w:hAnsi="Times New Roman" w:cs="Times New Roman"/>
        </w:rPr>
        <w:fldChar w:fldCharType="begin"/>
      </w:r>
      <w:r w:rsidR="008F1331" w:rsidRPr="00E27C05">
        <w:rPr>
          <w:rFonts w:ascii="Times New Roman" w:hAnsi="Times New Roman" w:cs="Times New Roman"/>
        </w:rPr>
        <w:instrText xml:space="preserve"> ADDIN EN.SECTION.REFLIST </w:instrText>
      </w:r>
      <w:r w:rsidRPr="00E27C05">
        <w:rPr>
          <w:rFonts w:ascii="Times New Roman" w:hAnsi="Times New Roman" w:cs="Times New Roman"/>
        </w:rPr>
        <w:fldChar w:fldCharType="separate"/>
      </w:r>
      <w:bookmarkStart w:id="10" w:name="_ENREF_4_1"/>
      <w:r w:rsidR="00086ABA" w:rsidRPr="00E27C05">
        <w:rPr>
          <w:rFonts w:ascii="Times New Roman" w:hAnsi="Times New Roman" w:cs="Times New Roman"/>
          <w:noProof/>
        </w:rPr>
        <w:t xml:space="preserve">British Committee for Standards in Haemotology. (2010). </w:t>
      </w:r>
      <w:r w:rsidR="00086ABA" w:rsidRPr="004A4785">
        <w:rPr>
          <w:rFonts w:ascii="Times New Roman" w:hAnsi="Times New Roman"/>
          <w:i/>
        </w:rPr>
        <w:t>Evidence Levels and Grades of Recommendation. GRADE.</w:t>
      </w:r>
      <w:r w:rsidR="00086ABA" w:rsidRPr="00E27C05">
        <w:rPr>
          <w:rFonts w:ascii="Times New Roman" w:hAnsi="Times New Roman" w:cs="Times New Roman"/>
          <w:noProof/>
        </w:rPr>
        <w:t xml:space="preserve"> Retrieved October 31, 2013, from </w:t>
      </w:r>
      <w:hyperlink r:id="rId19" w:history="1">
        <w:r w:rsidR="00086ABA" w:rsidRPr="00ED7A9A">
          <w:rPr>
            <w:rStyle w:val="Hyperlink"/>
            <w:rFonts w:ascii="Times New Roman" w:hAnsi="Times New Roman" w:cs="Times New Roman"/>
          </w:rPr>
          <w:t>http://www.bcshguidelines.com/BCSH_PROCESS/EVIDENCE_LEVELS_AND_GRADES_OF_RECOMMENDATION/43_GRADE.</w:t>
        </w:r>
        <w:r w:rsidR="00086ABA" w:rsidRPr="00ED7A9A">
          <w:rPr>
            <w:rStyle w:val="Hyperlink"/>
            <w:rFonts w:ascii="Times New Roman" w:hAnsi="Times New Roman" w:cs="Times New Roman"/>
          </w:rPr>
          <w:t>h</w:t>
        </w:r>
        <w:r w:rsidR="00086ABA" w:rsidRPr="00ED7A9A">
          <w:rPr>
            <w:rStyle w:val="Hyperlink"/>
            <w:rFonts w:ascii="Times New Roman" w:hAnsi="Times New Roman" w:cs="Times New Roman"/>
          </w:rPr>
          <w:t>tml</w:t>
        </w:r>
        <w:bookmarkEnd w:id="10"/>
      </w:hyperlink>
    </w:p>
    <w:p w14:paraId="308FC68D" w14:textId="77777777" w:rsidR="00086ABA" w:rsidRPr="00E27C05" w:rsidRDefault="00086ABA" w:rsidP="00086ABA">
      <w:pPr>
        <w:rPr>
          <w:rFonts w:ascii="Times New Roman" w:hAnsi="Times New Roman" w:cs="Times New Roman"/>
          <w:noProof/>
          <w:sz w:val="24"/>
        </w:rPr>
      </w:pPr>
    </w:p>
    <w:p w14:paraId="308FC691" w14:textId="0E7D9E61" w:rsidR="00736AEC" w:rsidRDefault="007274BD" w:rsidP="002E2177">
      <w:pPr>
        <w:ind w:left="432" w:hanging="432"/>
        <w:rPr>
          <w:b/>
        </w:rPr>
      </w:pPr>
      <w:r w:rsidRPr="00E27C05">
        <w:rPr>
          <w:rFonts w:ascii="Times New Roman" w:hAnsi="Times New Roman" w:cs="Times New Roman"/>
        </w:rPr>
        <w:fldChar w:fldCharType="end"/>
      </w:r>
      <w:r w:rsidR="00736AEC" w:rsidRPr="00CB06C9">
        <w:rPr>
          <w:b/>
          <w:color w:val="0000FF"/>
        </w:rPr>
        <w:t>1</w:t>
      </w:r>
      <w:r w:rsidR="00773485" w:rsidRPr="00CB06C9">
        <w:rPr>
          <w:b/>
          <w:color w:val="0000FF"/>
        </w:rPr>
        <w:t>a</w:t>
      </w:r>
      <w:r w:rsidR="00736AEC" w:rsidRPr="00CB06C9">
        <w:rPr>
          <w:b/>
          <w:color w:val="0000FF"/>
        </w:rPr>
        <w:t>.4.</w:t>
      </w:r>
      <w:r w:rsidR="00776F6D">
        <w:rPr>
          <w:b/>
          <w:color w:val="0000FF"/>
        </w:rPr>
        <w:t>6</w:t>
      </w:r>
      <w:r w:rsidR="00CB06C9">
        <w:rPr>
          <w:b/>
        </w:rPr>
        <w:t>.</w:t>
      </w:r>
      <w:r w:rsidR="00736AEC" w:rsidRPr="00CB06C9">
        <w:rPr>
          <w:b/>
        </w:rPr>
        <w:t xml:space="preserve"> </w:t>
      </w:r>
      <w:r w:rsidR="00162036">
        <w:rPr>
          <w:b/>
        </w:rPr>
        <w:t>If guideline is evidence-based (rather than expert opinion), a</w:t>
      </w:r>
      <w:r w:rsidR="00736AEC">
        <w:rPr>
          <w:b/>
        </w:rPr>
        <w:t xml:space="preserve">re the details of </w:t>
      </w:r>
      <w:r w:rsidR="00162036">
        <w:rPr>
          <w:b/>
        </w:rPr>
        <w:t xml:space="preserve">the </w:t>
      </w:r>
      <w:r w:rsidR="00736AEC">
        <w:rPr>
          <w:b/>
        </w:rPr>
        <w:t>quantity, quality, and consistency of the body of evidence available</w:t>
      </w:r>
      <w:r w:rsidR="00162036">
        <w:rPr>
          <w:b/>
        </w:rPr>
        <w:t xml:space="preserve"> (e.g., evidence tables)</w:t>
      </w:r>
      <w:r w:rsidR="00736AEC">
        <w:rPr>
          <w:b/>
        </w:rPr>
        <w:t>?</w:t>
      </w:r>
    </w:p>
    <w:p w14:paraId="308FC692" w14:textId="77777777" w:rsidR="00FC32D3" w:rsidRPr="0095290F" w:rsidRDefault="00357CAA" w:rsidP="00FC32D3">
      <w:pPr>
        <w:ind w:left="720" w:hanging="432"/>
        <w:rPr>
          <w:b/>
        </w:rPr>
      </w:pPr>
      <w:sdt>
        <w:sdtPr>
          <w:rPr>
            <w:bCs/>
            <w:color w:val="0000FF"/>
          </w:rPr>
          <w:id w:val="-1346319738"/>
        </w:sdtPr>
        <w:sdtContent>
          <w:r w:rsidR="00FC32D3">
            <w:rPr>
              <w:rFonts w:ascii="MS Gothic" w:eastAsia="MS Gothic" w:hAnsi="MS Gothic" w:hint="eastAsia"/>
              <w:bCs/>
              <w:color w:val="0000FF"/>
            </w:rPr>
            <w:t>☐</w:t>
          </w:r>
        </w:sdtContent>
      </w:sdt>
      <w:r w:rsidR="00FC32D3">
        <w:rPr>
          <w:b/>
        </w:rPr>
        <w:t xml:space="preserve"> </w:t>
      </w:r>
      <w:r w:rsidR="00FC32D3" w:rsidRPr="00736AEC">
        <w:t>Yes</w:t>
      </w:r>
      <w:r w:rsidR="00FC32D3">
        <w:rPr>
          <w:b/>
        </w:rPr>
        <w:t xml:space="preserve"> </w:t>
      </w:r>
      <w:r w:rsidR="00FC32D3" w:rsidRPr="0095290F">
        <w:rPr>
          <w:rFonts w:cstheme="minorHAnsi"/>
          <w:b/>
        </w:rPr>
        <w:t>→</w:t>
      </w:r>
      <w:r w:rsidR="00FC32D3" w:rsidRPr="0095290F">
        <w:rPr>
          <w:b/>
        </w:rPr>
        <w:t xml:space="preserve"> </w:t>
      </w:r>
      <w:r w:rsidR="00FC32D3" w:rsidRPr="0095290F">
        <w:rPr>
          <w:b/>
          <w:i/>
        </w:rPr>
        <w:t xml:space="preserve">complete section </w:t>
      </w:r>
      <w:hyperlink w:anchor="Section1a7" w:history="1">
        <w:r w:rsidR="00FC32D3" w:rsidRPr="0095290F">
          <w:rPr>
            <w:rStyle w:val="Hyperlink"/>
            <w:b/>
            <w:i/>
          </w:rPr>
          <w:t>1a.7</w:t>
        </w:r>
      </w:hyperlink>
    </w:p>
    <w:p w14:paraId="308FC693" w14:textId="1D2322BF" w:rsidR="00736AEC" w:rsidRDefault="00357CAA" w:rsidP="0098657F">
      <w:pPr>
        <w:ind w:left="1008" w:hanging="720"/>
      </w:pPr>
      <w:sdt>
        <w:sdtPr>
          <w:rPr>
            <w:bCs/>
            <w:color w:val="0000FF"/>
            <w:u w:val="single"/>
          </w:rPr>
          <w:id w:val="777454248"/>
        </w:sdtPr>
        <w:sdtContent>
          <w:sdt>
            <w:sdtPr>
              <w:rPr>
                <w:bCs/>
                <w:color w:val="0000FF"/>
                <w:u w:val="single"/>
              </w:rPr>
              <w:id w:val="-775176498"/>
            </w:sdtPr>
            <w:sdtContent>
              <w:r w:rsidR="00026A0B" w:rsidRPr="00745A7B">
                <w:rPr>
                  <w:bCs/>
                  <w:color w:val="0000FF"/>
                </w:rPr>
                <w:t>X</w:t>
              </w:r>
            </w:sdtContent>
          </w:sdt>
        </w:sdtContent>
      </w:sdt>
      <w:r w:rsidR="00736AEC" w:rsidRPr="0095290F">
        <w:rPr>
          <w:b/>
        </w:rPr>
        <w:t xml:space="preserve"> </w:t>
      </w:r>
      <w:r w:rsidR="00736AEC" w:rsidRPr="0095290F">
        <w:t>No</w:t>
      </w:r>
      <w:r w:rsidR="00307FA5" w:rsidRPr="0095290F">
        <w:t xml:space="preserve"> </w:t>
      </w:r>
      <w:r w:rsidR="007C1887" w:rsidRPr="0095290F">
        <w:rPr>
          <w:rFonts w:cstheme="minorHAnsi"/>
          <w:b/>
        </w:rPr>
        <w:t>→</w:t>
      </w:r>
      <w:r w:rsidR="0087564A" w:rsidRPr="0095290F">
        <w:rPr>
          <w:rFonts w:cstheme="minorHAnsi"/>
          <w:b/>
        </w:rPr>
        <w:t xml:space="preserve"> </w:t>
      </w:r>
      <w:r w:rsidR="0087564A" w:rsidRPr="0095290F">
        <w:rPr>
          <w:rStyle w:val="Hyperlink"/>
          <w:b/>
          <w:i/>
          <w:color w:val="auto"/>
          <w:u w:val="none"/>
        </w:rPr>
        <w:t>report on another systematic review</w:t>
      </w:r>
      <w:r w:rsidR="00701CC3" w:rsidRPr="0095290F">
        <w:rPr>
          <w:rStyle w:val="Hyperlink"/>
          <w:b/>
          <w:i/>
          <w:color w:val="auto"/>
          <w:u w:val="none"/>
        </w:rPr>
        <w:t xml:space="preserve"> of the evidence</w:t>
      </w:r>
      <w:r w:rsidR="0087564A" w:rsidRPr="0095290F">
        <w:rPr>
          <w:rStyle w:val="Hyperlink"/>
          <w:b/>
          <w:i/>
          <w:color w:val="auto"/>
          <w:u w:val="none"/>
        </w:rPr>
        <w:t xml:space="preserve"> in</w:t>
      </w:r>
      <w:r w:rsidR="0098657F" w:rsidRPr="0095290F">
        <w:rPr>
          <w:rStyle w:val="Hyperlink"/>
          <w:b/>
          <w:i/>
          <w:color w:val="auto"/>
          <w:u w:val="none"/>
        </w:rPr>
        <w:t xml:space="preserve"> sections</w:t>
      </w:r>
      <w:r w:rsidR="0087564A" w:rsidRPr="0095290F">
        <w:rPr>
          <w:rStyle w:val="Hyperlink"/>
          <w:b/>
          <w:i/>
          <w:color w:val="auto"/>
          <w:u w:val="none"/>
        </w:rPr>
        <w:t xml:space="preserve"> </w:t>
      </w:r>
      <w:hyperlink w:anchor="Section1a6" w:history="1">
        <w:r w:rsidR="0087564A" w:rsidRPr="0095290F">
          <w:rPr>
            <w:rStyle w:val="Hyperlink"/>
            <w:b/>
            <w:i/>
          </w:rPr>
          <w:t>1a.6</w:t>
        </w:r>
      </w:hyperlink>
      <w:r w:rsidR="0087564A" w:rsidRPr="0095290F">
        <w:rPr>
          <w:rStyle w:val="Hyperlink"/>
          <w:b/>
          <w:i/>
          <w:color w:val="auto"/>
          <w:u w:val="none"/>
        </w:rPr>
        <w:t xml:space="preserve"> and </w:t>
      </w:r>
      <w:hyperlink w:anchor="Section1a7" w:history="1">
        <w:r w:rsidR="0087564A" w:rsidRPr="0095290F">
          <w:rPr>
            <w:rStyle w:val="Hyperlink"/>
            <w:b/>
            <w:i/>
          </w:rPr>
          <w:t>1a.7</w:t>
        </w:r>
      </w:hyperlink>
      <w:r w:rsidR="00701CC3" w:rsidRPr="0095290F">
        <w:rPr>
          <w:rStyle w:val="Hyperlink"/>
          <w:b/>
          <w:i/>
          <w:color w:val="auto"/>
          <w:u w:val="none"/>
        </w:rPr>
        <w:t>;</w:t>
      </w:r>
      <w:r w:rsidR="0087564A" w:rsidRPr="0095290F">
        <w:rPr>
          <w:rStyle w:val="Hyperlink"/>
          <w:b/>
          <w:i/>
          <w:color w:val="auto"/>
          <w:u w:val="none"/>
        </w:rPr>
        <w:t xml:space="preserve"> </w:t>
      </w:r>
      <w:r w:rsidR="00B74629" w:rsidRPr="0095290F">
        <w:rPr>
          <w:rStyle w:val="Hyperlink"/>
          <w:b/>
          <w:i/>
          <w:color w:val="auto"/>
          <w:u w:val="none"/>
        </w:rPr>
        <w:t xml:space="preserve">if </w:t>
      </w:r>
      <w:r w:rsidR="00063601" w:rsidRPr="0095290F">
        <w:rPr>
          <w:rStyle w:val="Hyperlink"/>
          <w:b/>
          <w:i/>
          <w:color w:val="auto"/>
          <w:u w:val="none"/>
        </w:rPr>
        <w:t xml:space="preserve">another review </w:t>
      </w:r>
      <w:r w:rsidR="00B74629" w:rsidRPr="0095290F">
        <w:rPr>
          <w:rStyle w:val="Hyperlink"/>
          <w:b/>
          <w:i/>
          <w:color w:val="auto"/>
          <w:u w:val="none"/>
        </w:rPr>
        <w:t xml:space="preserve">does not exist, </w:t>
      </w:r>
      <w:r w:rsidR="00923295" w:rsidRPr="0095290F">
        <w:rPr>
          <w:rFonts w:cstheme="minorHAnsi"/>
          <w:b/>
          <w:i/>
        </w:rPr>
        <w:t xml:space="preserve">provide what is known </w:t>
      </w:r>
      <w:r w:rsidR="00701CC3" w:rsidRPr="0095290F">
        <w:rPr>
          <w:rFonts w:cstheme="minorHAnsi"/>
          <w:b/>
          <w:i/>
        </w:rPr>
        <w:t xml:space="preserve">from the guideline review of evidence </w:t>
      </w:r>
      <w:r w:rsidR="00923295" w:rsidRPr="0095290F">
        <w:rPr>
          <w:rFonts w:cstheme="minorHAnsi"/>
          <w:b/>
          <w:i/>
        </w:rPr>
        <w:t xml:space="preserve">in </w:t>
      </w:r>
      <w:hyperlink w:anchor="Section1a7" w:history="1">
        <w:r w:rsidR="009477D6" w:rsidRPr="0095290F">
          <w:rPr>
            <w:rStyle w:val="Hyperlink"/>
            <w:b/>
            <w:i/>
          </w:rPr>
          <w:t>1a.7</w:t>
        </w:r>
      </w:hyperlink>
    </w:p>
    <w:p w14:paraId="308FC694" w14:textId="77777777" w:rsidR="00736AEC" w:rsidRDefault="00736AEC" w:rsidP="00736AEC">
      <w:pPr>
        <w:rPr>
          <w:b/>
        </w:rPr>
      </w:pPr>
    </w:p>
    <w:p w14:paraId="308FC695" w14:textId="77777777" w:rsidR="00EE5AF6" w:rsidRDefault="00EE5AF6" w:rsidP="00307FA5">
      <w:pPr>
        <w:ind w:left="0" w:firstLine="0"/>
        <w:rPr>
          <w:color w:val="0000FF"/>
        </w:rPr>
      </w:pPr>
      <w:bookmarkStart w:id="11" w:name="Section1a5"/>
      <w:bookmarkEnd w:id="11"/>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14:paraId="308FC696" w14:textId="7BBC78EC"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p>
    <w:p w14:paraId="308FC697" w14:textId="77777777"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14:paraId="308FC698" w14:textId="77777777" w:rsidR="008A45F3" w:rsidRPr="00095EC9"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14:paraId="308FC699" w14:textId="77777777" w:rsidR="00307FA5" w:rsidRPr="00095EC9" w:rsidRDefault="008A45F3" w:rsidP="00307FA5">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14:paraId="308FC69A" w14:textId="77777777"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14:paraId="308FC69C" w14:textId="77777777" w:rsidR="00EE5AF6" w:rsidRPr="00201FF9" w:rsidRDefault="00923295" w:rsidP="002E2177">
      <w:pPr>
        <w:ind w:left="432" w:hanging="432"/>
        <w:rPr>
          <w:i/>
        </w:rPr>
      </w:pPr>
      <w:r w:rsidRPr="004031B7">
        <w:rPr>
          <w:b/>
          <w:i/>
        </w:rPr>
        <w:t xml:space="preserve">Complete section </w:t>
      </w:r>
      <w:hyperlink w:anchor="Section1a7" w:history="1">
        <w:r w:rsidR="009477D6" w:rsidRPr="004031B7">
          <w:rPr>
            <w:rStyle w:val="Hyperlink"/>
            <w:b/>
            <w:i/>
          </w:rPr>
          <w:t>1a.7</w:t>
        </w:r>
      </w:hyperlink>
    </w:p>
    <w:p w14:paraId="308FC69D" w14:textId="77777777" w:rsidR="00EE5AF6" w:rsidRDefault="00EE5AF6" w:rsidP="002E2177">
      <w:pPr>
        <w:ind w:left="432" w:hanging="432"/>
        <w:rPr>
          <w:b/>
          <w:color w:val="0000FF"/>
        </w:rPr>
      </w:pPr>
    </w:p>
    <w:p w14:paraId="308FC69E" w14:textId="77777777" w:rsidR="00EE5AF6" w:rsidRPr="00DF278A" w:rsidRDefault="00EE5AF6" w:rsidP="002E2177">
      <w:pPr>
        <w:ind w:left="432" w:hanging="432"/>
      </w:pPr>
      <w:bookmarkStart w:id="12" w:name="Section1a6"/>
      <w:bookmarkEnd w:id="12"/>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14:paraId="308FC6A0" w14:textId="176C34F3" w:rsidR="002E7E2C" w:rsidRPr="00FF0E08" w:rsidRDefault="00EE5AF6" w:rsidP="00EE5AF6">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14:paraId="308FC6A1" w14:textId="77777777" w:rsidR="00E27C05" w:rsidRDefault="002E7E2C" w:rsidP="00FF0E08">
      <w:pPr>
        <w:ind w:left="0" w:firstLine="0"/>
        <w:rPr>
          <w:rFonts w:ascii="Times New Roman" w:hAnsi="Times New Roman" w:cs="Times New Roman"/>
        </w:rPr>
      </w:pPr>
      <w:r w:rsidRPr="002E7E2C">
        <w:rPr>
          <w:rFonts w:ascii="Times New Roman" w:hAnsi="Times New Roman" w:cs="Times New Roman"/>
        </w:rPr>
        <w:t xml:space="preserve">Multiple monographs, each entitled "Warfarin Sodium Oral (Anticoagulants) - [Specific Medication] Interaction." These monographs are available </w:t>
      </w:r>
      <w:r w:rsidR="008C4209">
        <w:rPr>
          <w:rFonts w:ascii="Times New Roman" w:hAnsi="Times New Roman" w:cs="Times New Roman"/>
        </w:rPr>
        <w:t>through a subscription service from</w:t>
      </w:r>
      <w:r w:rsidRPr="002E7E2C">
        <w:rPr>
          <w:rFonts w:ascii="Times New Roman" w:hAnsi="Times New Roman" w:cs="Times New Roman"/>
        </w:rPr>
        <w:t xml:space="preserve">: </w:t>
      </w:r>
    </w:p>
    <w:p w14:paraId="308FC6A3" w14:textId="70BC3FD0" w:rsidR="009F549F" w:rsidRDefault="00A92377" w:rsidP="004A4785">
      <w:r w:rsidRPr="00A92377">
        <w:rPr>
          <w:rFonts w:ascii="Times New Roman" w:hAnsi="Times New Roman" w:cs="Times New Roman"/>
        </w:rPr>
        <w:t xml:space="preserve">Wolters Kluwer Health. </w:t>
      </w:r>
      <w:r w:rsidR="008B0D60" w:rsidRPr="008B0D60">
        <w:rPr>
          <w:rFonts w:ascii="Times New Roman" w:hAnsi="Times New Roman" w:cs="Times New Roman"/>
        </w:rPr>
        <w:t xml:space="preserve">(2013). </w:t>
      </w:r>
      <w:r w:rsidR="002E7E2C" w:rsidRPr="002E7E2C">
        <w:rPr>
          <w:rFonts w:ascii="Times New Roman" w:hAnsi="Times New Roman" w:cs="Times New Roman"/>
        </w:rPr>
        <w:t xml:space="preserve">Facts &amp; Comparison Formulary Monograph Service™. Wolters Kluwer Health. Retrieved November 22, 2013, from </w:t>
      </w:r>
      <w:hyperlink r:id="rId20" w:history="1">
        <w:r w:rsidR="004A4785" w:rsidRPr="00D259F4">
          <w:rPr>
            <w:rStyle w:val="Hyperlink"/>
            <w:rFonts w:ascii="Times New Roman" w:hAnsi="Times New Roman" w:cs="Times New Roman"/>
          </w:rPr>
          <w:t>http://www.factsandcomparisons.com/formulary-monograph-service-online/</w:t>
        </w:r>
      </w:hyperlink>
    </w:p>
    <w:p w14:paraId="308FC6A4" w14:textId="77777777" w:rsidR="002E7E2C" w:rsidRPr="002E7E2C" w:rsidRDefault="002E7E2C" w:rsidP="00EE5AF6">
      <w:pPr>
        <w:ind w:left="0" w:firstLine="0"/>
        <w:rPr>
          <w:rFonts w:ascii="Arial" w:hAnsi="Arial" w:cs="Arial"/>
        </w:rPr>
      </w:pPr>
    </w:p>
    <w:p w14:paraId="308FC6A6" w14:textId="035FA66A" w:rsidR="00484344"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14:paraId="308FC6A7" w14:textId="77777777" w:rsidR="008C4209" w:rsidRPr="008C4209" w:rsidRDefault="008C4209" w:rsidP="00EE5AF6">
      <w:pPr>
        <w:ind w:left="0" w:firstLine="0"/>
        <w:rPr>
          <w:rFonts w:ascii="Times New Roman" w:hAnsi="Times New Roman" w:cs="Times New Roman"/>
        </w:rPr>
      </w:pPr>
      <w:r w:rsidRPr="008C4209">
        <w:rPr>
          <w:rFonts w:ascii="Times New Roman" w:hAnsi="Times New Roman" w:cs="Times New Roman"/>
        </w:rPr>
        <w:t>The citation and URL for methodology for evidence review and grading are the same as in 1a.6.1.</w:t>
      </w:r>
    </w:p>
    <w:p w14:paraId="308FC6A8" w14:textId="77777777" w:rsidR="008C4209" w:rsidRDefault="008C4209" w:rsidP="00EE5AF6">
      <w:pPr>
        <w:ind w:left="0" w:firstLine="0"/>
      </w:pPr>
    </w:p>
    <w:p w14:paraId="308FC6A9" w14:textId="77777777" w:rsidR="00C84623" w:rsidRDefault="00C84623" w:rsidP="00EE5AF6">
      <w:pPr>
        <w:ind w:left="0" w:firstLine="0"/>
      </w:pPr>
      <w:r w:rsidRPr="004031B7">
        <w:rPr>
          <w:b/>
          <w:i/>
        </w:rPr>
        <w:t xml:space="preserve">Complete section </w:t>
      </w:r>
      <w:hyperlink w:anchor="Section1a7" w:history="1">
        <w:r w:rsidRPr="004031B7">
          <w:rPr>
            <w:rStyle w:val="Hyperlink"/>
            <w:b/>
            <w:i/>
          </w:rPr>
          <w:t>1a.7</w:t>
        </w:r>
      </w:hyperlink>
    </w:p>
    <w:p w14:paraId="308FC6AA" w14:textId="77777777" w:rsidR="00C84623" w:rsidRDefault="00C84623" w:rsidP="00EE5AF6">
      <w:pPr>
        <w:ind w:left="0" w:firstLine="0"/>
        <w:rPr>
          <w:b/>
          <w:color w:val="0000FF"/>
        </w:rPr>
      </w:pPr>
    </w:p>
    <w:p w14:paraId="308FC6AB" w14:textId="77777777"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14:paraId="308FC6AD" w14:textId="5D765490"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r w:rsidRPr="00DA7FA2">
        <w:t xml:space="preserve"> </w:t>
      </w:r>
    </w:p>
    <w:p w14:paraId="308FC6AE" w14:textId="77777777" w:rsidR="00FE42C9" w:rsidRPr="00AE037D" w:rsidRDefault="00AE037D" w:rsidP="00EE5AF6">
      <w:pPr>
        <w:ind w:left="0" w:firstLine="0"/>
        <w:rPr>
          <w:rFonts w:ascii="Times New Roman" w:hAnsi="Times New Roman" w:cs="Times New Roman"/>
        </w:rPr>
      </w:pPr>
      <w:r w:rsidRPr="00AE037D">
        <w:rPr>
          <w:rFonts w:ascii="Times New Roman" w:hAnsi="Times New Roman" w:cs="Times New Roman"/>
        </w:rPr>
        <w:t>The specific topic addressed in the evidence review was the interaction between warfarin and anti-infective</w:t>
      </w:r>
      <w:r>
        <w:rPr>
          <w:rFonts w:ascii="Times New Roman" w:hAnsi="Times New Roman" w:cs="Times New Roman"/>
        </w:rPr>
        <w:t xml:space="preserve"> medications</w:t>
      </w:r>
      <w:r w:rsidRPr="00AE037D">
        <w:rPr>
          <w:rFonts w:ascii="Times New Roman" w:hAnsi="Times New Roman" w:cs="Times New Roman"/>
        </w:rPr>
        <w:t>.</w:t>
      </w:r>
    </w:p>
    <w:p w14:paraId="308FC6AF" w14:textId="77777777" w:rsidR="00FE42C9" w:rsidRPr="00DA7FA2" w:rsidRDefault="00FE42C9" w:rsidP="00EE5AF6">
      <w:pPr>
        <w:ind w:left="0" w:firstLine="0"/>
      </w:pPr>
    </w:p>
    <w:p w14:paraId="308FC6B1" w14:textId="74489160" w:rsidR="00FD0CE6" w:rsidRPr="00FF0E08"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14:paraId="308FC6B2" w14:textId="6606A57B" w:rsidR="00FE42C9" w:rsidRPr="00FE42C9" w:rsidRDefault="00AE037D" w:rsidP="00EA79C9">
      <w:pPr>
        <w:ind w:left="0" w:firstLine="0"/>
        <w:rPr>
          <w:rFonts w:ascii="Times New Roman" w:hAnsi="Times New Roman" w:cs="Times New Roman"/>
        </w:rPr>
      </w:pPr>
      <w:r>
        <w:rPr>
          <w:rFonts w:ascii="Times New Roman" w:hAnsi="Times New Roman" w:cs="Times New Roman"/>
        </w:rPr>
        <w:t>A grade was assigned for the evidence provided for each medication</w:t>
      </w:r>
      <w:r w:rsidR="008C4209" w:rsidRPr="008C4209">
        <w:rPr>
          <w:rFonts w:ascii="Times New Roman" w:hAnsi="Times New Roman" w:cs="Times New Roman"/>
        </w:rPr>
        <w:t xml:space="preserve"> </w:t>
      </w:r>
      <w:r w:rsidR="008C4209">
        <w:rPr>
          <w:rFonts w:ascii="Times New Roman" w:hAnsi="Times New Roman" w:cs="Times New Roman"/>
        </w:rPr>
        <w:t xml:space="preserve">by the </w:t>
      </w:r>
      <w:r w:rsidR="008C4209" w:rsidRPr="002E7E2C">
        <w:rPr>
          <w:rFonts w:ascii="Times New Roman" w:hAnsi="Times New Roman" w:cs="Times New Roman"/>
        </w:rPr>
        <w:t>Facts &amp; Comparis</w:t>
      </w:r>
      <w:r w:rsidR="008C4209">
        <w:rPr>
          <w:rFonts w:ascii="Times New Roman" w:hAnsi="Times New Roman" w:cs="Times New Roman"/>
        </w:rPr>
        <w:t>on Formulary Monograph Service™</w:t>
      </w:r>
      <w:r w:rsidR="008C4209" w:rsidRPr="002E7E2C">
        <w:rPr>
          <w:rFonts w:ascii="Times New Roman" w:hAnsi="Times New Roman" w:cs="Times New Roman"/>
        </w:rPr>
        <w:t xml:space="preserve"> (Wolters Kluwer Health</w:t>
      </w:r>
      <w:r w:rsidR="008C4209">
        <w:rPr>
          <w:rFonts w:ascii="Times New Roman" w:hAnsi="Times New Roman" w:cs="Times New Roman"/>
        </w:rPr>
        <w:t>,</w:t>
      </w:r>
      <w:r w:rsidR="008C4209" w:rsidRPr="002E7E2C">
        <w:rPr>
          <w:rFonts w:ascii="Times New Roman" w:hAnsi="Times New Roman" w:cs="Times New Roman"/>
        </w:rPr>
        <w:t xml:space="preserve"> 2013)</w:t>
      </w:r>
      <w:r w:rsidR="008D1AB1">
        <w:rPr>
          <w:rFonts w:ascii="Times New Roman" w:hAnsi="Times New Roman" w:cs="Times New Roman"/>
        </w:rPr>
        <w:t xml:space="preserve"> </w:t>
      </w:r>
      <w:r w:rsidR="001E2F05">
        <w:rPr>
          <w:rFonts w:ascii="Times New Roman" w:hAnsi="Times New Roman" w:cs="Times New Roman"/>
        </w:rPr>
        <w:t>that range</w:t>
      </w:r>
      <w:r w:rsidR="004A4785">
        <w:rPr>
          <w:rFonts w:ascii="Times New Roman" w:hAnsi="Times New Roman" w:cs="Times New Roman"/>
        </w:rPr>
        <w:t>d</w:t>
      </w:r>
      <w:r w:rsidR="001E2F05">
        <w:rPr>
          <w:rFonts w:ascii="Times New Roman" w:hAnsi="Times New Roman" w:cs="Times New Roman"/>
        </w:rPr>
        <w:t xml:space="preserve"> from 1 (</w:t>
      </w:r>
      <w:r w:rsidR="001E2F05">
        <w:rPr>
          <w:rFonts w:ascii="Times New Roman" w:hAnsi="Times New Roman" w:cs="Times New Roman"/>
          <w:noProof/>
        </w:rPr>
        <w:t>Doubtful/Unknown) to 5 (Established).</w:t>
      </w:r>
      <w:r>
        <w:rPr>
          <w:rFonts w:ascii="Times New Roman" w:hAnsi="Times New Roman" w:cs="Times New Roman"/>
        </w:rPr>
        <w:t xml:space="preserve"> </w:t>
      </w:r>
    </w:p>
    <w:p w14:paraId="308FC6B3" w14:textId="77777777" w:rsidR="00484344" w:rsidRPr="00FE42C9" w:rsidRDefault="00484344" w:rsidP="00EA79C9">
      <w:pPr>
        <w:ind w:left="0" w:firstLine="0"/>
        <w:rPr>
          <w:rFonts w:ascii="Times New Roman" w:hAnsi="Times New Roman" w:cs="Times New Roman"/>
        </w:rPr>
      </w:pPr>
    </w:p>
    <w:p w14:paraId="308FC6B5" w14:textId="693D204E" w:rsidR="00484344" w:rsidRPr="00FF0E08" w:rsidRDefault="00095EC9" w:rsidP="002E2177">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r w:rsidR="00EA79C9">
        <w:rPr>
          <w:b/>
        </w:rPr>
        <w:t xml:space="preserve">Provide all </w:t>
      </w:r>
      <w:r w:rsidR="00205857">
        <w:rPr>
          <w:b/>
        </w:rPr>
        <w:t xml:space="preserve">other </w:t>
      </w:r>
      <w:r w:rsidR="00EA79C9">
        <w:rPr>
          <w:b/>
        </w:rPr>
        <w:t xml:space="preserve">grades and associated definitions for strength of the evidence in the </w:t>
      </w:r>
      <w:r w:rsidR="00C54E40">
        <w:rPr>
          <w:b/>
        </w:rPr>
        <w:t xml:space="preserve">grading system. </w:t>
      </w:r>
    </w:p>
    <w:p w14:paraId="308FC6B6" w14:textId="77777777" w:rsidR="00FE42C9" w:rsidRPr="000C63A5" w:rsidRDefault="00FE42C9" w:rsidP="002E2177">
      <w:pPr>
        <w:ind w:left="0" w:firstLine="0"/>
        <w:rPr>
          <w:rFonts w:ascii="Times New Roman" w:hAnsi="Times New Roman" w:cs="Times New Roman"/>
          <w:noProof/>
        </w:rPr>
      </w:pPr>
      <w:r>
        <w:rPr>
          <w:rFonts w:ascii="Times New Roman" w:hAnsi="Times New Roman" w:cs="Times New Roman"/>
          <w:noProof/>
        </w:rPr>
        <w:t>The following scale is used for grading the strength of the evidence</w:t>
      </w:r>
      <w:r w:rsidR="008C4209">
        <w:rPr>
          <w:rFonts w:ascii="Times New Roman" w:hAnsi="Times New Roman" w:cs="Times New Roman"/>
          <w:noProof/>
        </w:rPr>
        <w:t xml:space="preserve"> </w:t>
      </w:r>
      <w:r w:rsidR="008C4209" w:rsidRPr="002E7E2C">
        <w:rPr>
          <w:rFonts w:ascii="Times New Roman" w:hAnsi="Times New Roman" w:cs="Times New Roman"/>
        </w:rPr>
        <w:t>(Wolters Kluwer Health</w:t>
      </w:r>
      <w:r w:rsidR="008C4209">
        <w:rPr>
          <w:rFonts w:ascii="Times New Roman" w:hAnsi="Times New Roman" w:cs="Times New Roman"/>
        </w:rPr>
        <w:t>,</w:t>
      </w:r>
      <w:r w:rsidR="008C4209" w:rsidRPr="002E7E2C">
        <w:rPr>
          <w:rFonts w:ascii="Times New Roman" w:hAnsi="Times New Roman" w:cs="Times New Roman"/>
        </w:rPr>
        <w:t xml:space="preserve"> 2013)</w:t>
      </w:r>
      <w:r>
        <w:rPr>
          <w:rFonts w:ascii="Times New Roman" w:hAnsi="Times New Roman" w:cs="Times New Roman"/>
          <w:noProof/>
        </w:rPr>
        <w:t>:</w:t>
      </w:r>
    </w:p>
    <w:p w14:paraId="308FC6B7" w14:textId="77777777" w:rsidR="000C63A5" w:rsidRDefault="00FE42C9" w:rsidP="004A4785">
      <w:pPr>
        <w:ind w:firstLine="0"/>
        <w:rPr>
          <w:rFonts w:ascii="Times New Roman" w:hAnsi="Times New Roman" w:cs="Times New Roman"/>
          <w:noProof/>
        </w:rPr>
      </w:pPr>
      <w:r>
        <w:rPr>
          <w:rFonts w:ascii="Times New Roman" w:hAnsi="Times New Roman" w:cs="Times New Roman"/>
          <w:noProof/>
        </w:rPr>
        <w:t>5-</w:t>
      </w:r>
      <w:r w:rsidR="000C63A5">
        <w:rPr>
          <w:rFonts w:ascii="Times New Roman" w:hAnsi="Times New Roman" w:cs="Times New Roman"/>
          <w:noProof/>
        </w:rPr>
        <w:t>Established</w:t>
      </w:r>
    </w:p>
    <w:p w14:paraId="308FC6B8" w14:textId="77777777" w:rsidR="000C63A5" w:rsidRDefault="00FE42C9" w:rsidP="004A4785">
      <w:pPr>
        <w:ind w:firstLine="0"/>
        <w:rPr>
          <w:rFonts w:ascii="Times New Roman" w:hAnsi="Times New Roman" w:cs="Times New Roman"/>
          <w:noProof/>
        </w:rPr>
      </w:pPr>
      <w:r>
        <w:rPr>
          <w:rFonts w:ascii="Times New Roman" w:hAnsi="Times New Roman" w:cs="Times New Roman"/>
          <w:noProof/>
        </w:rPr>
        <w:t>4-</w:t>
      </w:r>
      <w:r w:rsidR="000C63A5">
        <w:rPr>
          <w:rFonts w:ascii="Times New Roman" w:hAnsi="Times New Roman" w:cs="Times New Roman"/>
          <w:noProof/>
        </w:rPr>
        <w:t>Probable</w:t>
      </w:r>
    </w:p>
    <w:p w14:paraId="308FC6B9" w14:textId="77777777" w:rsidR="000C63A5" w:rsidRDefault="00FE42C9" w:rsidP="004A4785">
      <w:pPr>
        <w:ind w:firstLine="0"/>
        <w:rPr>
          <w:rFonts w:ascii="Times New Roman" w:hAnsi="Times New Roman" w:cs="Times New Roman"/>
          <w:noProof/>
        </w:rPr>
      </w:pPr>
      <w:r>
        <w:rPr>
          <w:rFonts w:ascii="Times New Roman" w:hAnsi="Times New Roman" w:cs="Times New Roman"/>
          <w:noProof/>
        </w:rPr>
        <w:t>3-</w:t>
      </w:r>
      <w:r w:rsidR="000C63A5">
        <w:rPr>
          <w:rFonts w:ascii="Times New Roman" w:hAnsi="Times New Roman" w:cs="Times New Roman"/>
          <w:noProof/>
        </w:rPr>
        <w:t>Suspected</w:t>
      </w:r>
    </w:p>
    <w:p w14:paraId="308FC6BA" w14:textId="77777777" w:rsidR="000C63A5" w:rsidRDefault="00FE42C9" w:rsidP="004A4785">
      <w:pPr>
        <w:ind w:firstLine="0"/>
        <w:rPr>
          <w:rFonts w:ascii="Times New Roman" w:hAnsi="Times New Roman" w:cs="Times New Roman"/>
          <w:noProof/>
        </w:rPr>
      </w:pPr>
      <w:r>
        <w:rPr>
          <w:rFonts w:ascii="Times New Roman" w:hAnsi="Times New Roman" w:cs="Times New Roman"/>
          <w:noProof/>
        </w:rPr>
        <w:lastRenderedPageBreak/>
        <w:t>2-</w:t>
      </w:r>
      <w:r w:rsidR="000C63A5">
        <w:rPr>
          <w:rFonts w:ascii="Times New Roman" w:hAnsi="Times New Roman" w:cs="Times New Roman"/>
          <w:noProof/>
        </w:rPr>
        <w:t>Possible</w:t>
      </w:r>
    </w:p>
    <w:p w14:paraId="308FC6BB" w14:textId="77777777" w:rsidR="000C63A5" w:rsidRDefault="00FE42C9" w:rsidP="004A4785">
      <w:pPr>
        <w:ind w:firstLine="0"/>
        <w:rPr>
          <w:rFonts w:ascii="Times New Roman" w:hAnsi="Times New Roman" w:cs="Times New Roman"/>
          <w:noProof/>
        </w:rPr>
      </w:pPr>
      <w:r>
        <w:rPr>
          <w:rFonts w:ascii="Times New Roman" w:hAnsi="Times New Roman" w:cs="Times New Roman"/>
          <w:noProof/>
        </w:rPr>
        <w:t>1-</w:t>
      </w:r>
      <w:r w:rsidR="000C63A5">
        <w:rPr>
          <w:rFonts w:ascii="Times New Roman" w:hAnsi="Times New Roman" w:cs="Times New Roman"/>
          <w:noProof/>
        </w:rPr>
        <w:t>Doubtful/Unknown</w:t>
      </w:r>
    </w:p>
    <w:p w14:paraId="308FC6BC" w14:textId="77777777" w:rsidR="008C4209" w:rsidRDefault="008C4209" w:rsidP="008C4209">
      <w:pPr>
        <w:ind w:left="0" w:firstLine="0"/>
        <w:rPr>
          <w:rFonts w:ascii="Times New Roman" w:hAnsi="Times New Roman" w:cs="Times New Roman"/>
          <w:noProof/>
        </w:rPr>
      </w:pPr>
    </w:p>
    <w:p w14:paraId="308FC6BD" w14:textId="77777777" w:rsidR="008C4209" w:rsidRPr="000C63A5" w:rsidRDefault="008C4209" w:rsidP="008C4209">
      <w:pPr>
        <w:ind w:left="0" w:firstLine="0"/>
        <w:rPr>
          <w:rFonts w:ascii="Times New Roman" w:hAnsi="Times New Roman" w:cs="Times New Roman"/>
          <w:noProof/>
        </w:rPr>
      </w:pPr>
      <w:r>
        <w:rPr>
          <w:rFonts w:ascii="Times New Roman" w:hAnsi="Times New Roman" w:cs="Times New Roman"/>
          <w:noProof/>
        </w:rPr>
        <w:t xml:space="preserve">The following scale is used for grading the severity of the interaction </w:t>
      </w:r>
      <w:r w:rsidRPr="002E7E2C">
        <w:rPr>
          <w:rFonts w:ascii="Times New Roman" w:hAnsi="Times New Roman" w:cs="Times New Roman"/>
        </w:rPr>
        <w:t>(Wolters Kluwer Health</w:t>
      </w:r>
      <w:r>
        <w:rPr>
          <w:rFonts w:ascii="Times New Roman" w:hAnsi="Times New Roman" w:cs="Times New Roman"/>
        </w:rPr>
        <w:t>,</w:t>
      </w:r>
      <w:r w:rsidRPr="002E7E2C">
        <w:rPr>
          <w:rFonts w:ascii="Times New Roman" w:hAnsi="Times New Roman" w:cs="Times New Roman"/>
        </w:rPr>
        <w:t xml:space="preserve"> 2013)</w:t>
      </w:r>
      <w:r>
        <w:rPr>
          <w:rFonts w:ascii="Times New Roman" w:hAnsi="Times New Roman" w:cs="Times New Roman"/>
          <w:noProof/>
        </w:rPr>
        <w:t>:</w:t>
      </w:r>
    </w:p>
    <w:p w14:paraId="308FC6BE" w14:textId="77777777" w:rsidR="008C4209" w:rsidRDefault="008C4209" w:rsidP="004A4785">
      <w:pPr>
        <w:ind w:firstLine="0"/>
        <w:rPr>
          <w:rFonts w:ascii="Times New Roman" w:hAnsi="Times New Roman" w:cs="Times New Roman"/>
          <w:noProof/>
        </w:rPr>
      </w:pPr>
      <w:r>
        <w:rPr>
          <w:rFonts w:ascii="Times New Roman" w:hAnsi="Times New Roman" w:cs="Times New Roman"/>
          <w:noProof/>
        </w:rPr>
        <w:t>3-Major</w:t>
      </w:r>
    </w:p>
    <w:p w14:paraId="308FC6BF" w14:textId="77777777" w:rsidR="008C4209" w:rsidRDefault="008C4209" w:rsidP="004A4785">
      <w:pPr>
        <w:ind w:firstLine="0"/>
        <w:rPr>
          <w:rFonts w:ascii="Times New Roman" w:hAnsi="Times New Roman" w:cs="Times New Roman"/>
          <w:noProof/>
        </w:rPr>
      </w:pPr>
      <w:r>
        <w:rPr>
          <w:rFonts w:ascii="Times New Roman" w:hAnsi="Times New Roman" w:cs="Times New Roman"/>
          <w:noProof/>
        </w:rPr>
        <w:t>2-Moderate</w:t>
      </w:r>
    </w:p>
    <w:p w14:paraId="308FC6C0" w14:textId="77777777" w:rsidR="008C4209" w:rsidRDefault="008C4209" w:rsidP="004A4785">
      <w:pPr>
        <w:ind w:firstLine="0"/>
        <w:rPr>
          <w:rFonts w:ascii="Times New Roman" w:hAnsi="Times New Roman" w:cs="Times New Roman"/>
          <w:noProof/>
        </w:rPr>
      </w:pPr>
      <w:r>
        <w:rPr>
          <w:rFonts w:ascii="Times New Roman" w:hAnsi="Times New Roman" w:cs="Times New Roman"/>
          <w:noProof/>
        </w:rPr>
        <w:t>1-Minor</w:t>
      </w:r>
    </w:p>
    <w:p w14:paraId="308FC6C1" w14:textId="77777777" w:rsidR="008C4209" w:rsidRDefault="008C4209" w:rsidP="004A4785">
      <w:pPr>
        <w:ind w:firstLine="0"/>
        <w:rPr>
          <w:rFonts w:ascii="Times New Roman" w:hAnsi="Times New Roman" w:cs="Times New Roman"/>
          <w:noProof/>
        </w:rPr>
      </w:pPr>
      <w:r>
        <w:rPr>
          <w:rFonts w:ascii="Times New Roman" w:hAnsi="Times New Roman" w:cs="Times New Roman"/>
          <w:noProof/>
        </w:rPr>
        <w:t>0-None</w:t>
      </w:r>
    </w:p>
    <w:p w14:paraId="308FC6C2" w14:textId="77777777" w:rsidR="000C63A5" w:rsidRPr="009B5BEA" w:rsidRDefault="000C63A5" w:rsidP="002E2177">
      <w:pPr>
        <w:ind w:left="0" w:firstLine="0"/>
        <w:rPr>
          <w:noProof/>
        </w:rPr>
      </w:pPr>
    </w:p>
    <w:p w14:paraId="308FC6C3" w14:textId="73EA4F29" w:rsidR="00496AF8" w:rsidRPr="00466D03" w:rsidRDefault="00496AF8" w:rsidP="002E2177">
      <w:pPr>
        <w:ind w:left="432" w:hanging="432"/>
        <w:rPr>
          <w:rFonts w:ascii="Times New Roman" w:hAnsi="Times New Roman" w:cs="Times New Roman"/>
        </w:rPr>
      </w:pPr>
      <w:bookmarkStart w:id="13" w:name="Section1a7"/>
      <w:bookmarkEnd w:id="13"/>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Fonts w:ascii="Times New Roman" w:hAnsi="Times New Roman" w:cs="Times New Roman"/>
            <w:color w:val="auto"/>
            <w:u w:val="none"/>
          </w:rPr>
          <w:id w:val="-1666395719"/>
        </w:sdtPr>
        <w:sdtEndPr>
          <w:rPr>
            <w:rStyle w:val="DefaultParagraphFont"/>
          </w:rPr>
        </w:sdtEndPr>
        <w:sdtContent>
          <w:r w:rsidR="00FE42C9" w:rsidRPr="00A1396E">
            <w:rPr>
              <w:rStyle w:val="Style2"/>
              <w:rFonts w:ascii="Times New Roman" w:hAnsi="Times New Roman" w:cs="Times New Roman"/>
              <w:color w:val="auto"/>
              <w:u w:val="none"/>
            </w:rPr>
            <w:t>The time period</w:t>
          </w:r>
          <w:r w:rsidR="008C4209" w:rsidRPr="00A1396E">
            <w:rPr>
              <w:rStyle w:val="Style2"/>
              <w:rFonts w:ascii="Times New Roman" w:hAnsi="Times New Roman" w:cs="Times New Roman"/>
              <w:color w:val="auto"/>
              <w:u w:val="none"/>
            </w:rPr>
            <w:t xml:space="preserve"> associated with</w:t>
          </w:r>
          <w:r w:rsidR="00FE42C9" w:rsidRPr="00A1396E">
            <w:rPr>
              <w:rStyle w:val="Style2"/>
              <w:rFonts w:ascii="Times New Roman" w:hAnsi="Times New Roman" w:cs="Times New Roman"/>
              <w:color w:val="auto"/>
              <w:u w:val="none"/>
            </w:rPr>
            <w:t xml:space="preserve"> the cited studies vary by medication, but </w:t>
          </w:r>
          <w:r w:rsidR="001E2F05" w:rsidRPr="00A1396E">
            <w:rPr>
              <w:rStyle w:val="Style2"/>
              <w:rFonts w:ascii="Times New Roman" w:hAnsi="Times New Roman" w:cs="Times New Roman"/>
              <w:color w:val="auto"/>
              <w:u w:val="none"/>
            </w:rPr>
            <w:t xml:space="preserve">the publication dates cover </w:t>
          </w:r>
          <w:r w:rsidR="00740653" w:rsidRPr="00A1396E">
            <w:rPr>
              <w:rStyle w:val="Style2"/>
              <w:rFonts w:ascii="Times New Roman" w:hAnsi="Times New Roman" w:cs="Times New Roman"/>
              <w:color w:val="auto"/>
              <w:u w:val="none"/>
            </w:rPr>
            <w:t>1965</w:t>
          </w:r>
          <w:r w:rsidR="00FE42C9" w:rsidRPr="00A1396E">
            <w:rPr>
              <w:rStyle w:val="Style2"/>
              <w:rFonts w:ascii="Times New Roman" w:hAnsi="Times New Roman" w:cs="Times New Roman"/>
              <w:color w:val="auto"/>
              <w:u w:val="none"/>
            </w:rPr>
            <w:t xml:space="preserve"> through the present.</w:t>
          </w:r>
        </w:sdtContent>
      </w:sdt>
    </w:p>
    <w:p w14:paraId="308FC6C4" w14:textId="753F6515" w:rsidR="00484344" w:rsidRDefault="00484344" w:rsidP="002E2177">
      <w:pPr>
        <w:ind w:left="0" w:firstLine="0"/>
        <w:rPr>
          <w:b/>
          <w:noProof/>
        </w:rPr>
      </w:pPr>
    </w:p>
    <w:p w14:paraId="308FC6C5" w14:textId="77777777"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14:paraId="308FC6C7" w14:textId="00D8F696" w:rsidR="00496AF8" w:rsidRPr="00FF0E08" w:rsidRDefault="001B772D" w:rsidP="00FF0E08">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14:paraId="308FC6C8" w14:textId="7F7CB84A" w:rsidR="00FE42C9" w:rsidRPr="00FE42C9" w:rsidRDefault="00F90ECA" w:rsidP="002E2177">
      <w:pPr>
        <w:ind w:left="0" w:firstLine="0"/>
        <w:rPr>
          <w:rFonts w:ascii="Times New Roman" w:hAnsi="Times New Roman" w:cs="Times New Roman"/>
        </w:rPr>
      </w:pPr>
      <w:r>
        <w:rPr>
          <w:rFonts w:ascii="Times New Roman" w:hAnsi="Times New Roman" w:cs="Times New Roman"/>
        </w:rPr>
        <w:t>For each medication, i</w:t>
      </w:r>
      <w:r w:rsidR="00FE42C9">
        <w:rPr>
          <w:rFonts w:ascii="Times New Roman" w:hAnsi="Times New Roman" w:cs="Times New Roman"/>
        </w:rPr>
        <w:t xml:space="preserve">nformation </w:t>
      </w:r>
      <w:r w:rsidR="006A72E0">
        <w:rPr>
          <w:rFonts w:ascii="Times New Roman" w:hAnsi="Times New Roman" w:cs="Times New Roman"/>
        </w:rPr>
        <w:t xml:space="preserve">about the number and type of study designs </w:t>
      </w:r>
      <w:r w:rsidR="00FE42C9">
        <w:rPr>
          <w:rFonts w:ascii="Times New Roman" w:hAnsi="Times New Roman" w:cs="Times New Roman"/>
        </w:rPr>
        <w:t xml:space="preserve">is </w:t>
      </w:r>
      <w:r w:rsidR="00556ABA">
        <w:rPr>
          <w:rFonts w:ascii="Times New Roman" w:hAnsi="Times New Roman" w:cs="Times New Roman"/>
        </w:rPr>
        <w:t>summariz</w:t>
      </w:r>
      <w:r w:rsidR="00FE42C9">
        <w:rPr>
          <w:rFonts w:ascii="Times New Roman" w:hAnsi="Times New Roman" w:cs="Times New Roman"/>
        </w:rPr>
        <w:t xml:space="preserve">ed </w:t>
      </w:r>
      <w:r w:rsidR="00ED7A9A">
        <w:rPr>
          <w:rFonts w:ascii="Times New Roman" w:hAnsi="Times New Roman" w:cs="Times New Roman"/>
        </w:rPr>
        <w:t>in Table 1</w:t>
      </w:r>
      <w:r w:rsidR="00CC025B">
        <w:rPr>
          <w:rFonts w:ascii="Times New Roman" w:hAnsi="Times New Roman" w:cs="Times New Roman"/>
        </w:rPr>
        <w:t>.</w:t>
      </w:r>
      <w:r w:rsidR="00466D03">
        <w:rPr>
          <w:rFonts w:ascii="Times New Roman" w:hAnsi="Times New Roman" w:cs="Times New Roman"/>
        </w:rPr>
        <w:t xml:space="preserve"> This information was derived from the </w:t>
      </w:r>
      <w:r w:rsidR="007C3BDE">
        <w:rPr>
          <w:rFonts w:ascii="Times New Roman" w:hAnsi="Times New Roman" w:cs="Times New Roman"/>
        </w:rPr>
        <w:t xml:space="preserve">monographs </w:t>
      </w:r>
      <w:r w:rsidR="003516AA">
        <w:rPr>
          <w:rFonts w:ascii="Times New Roman" w:hAnsi="Times New Roman" w:cs="Times New Roman"/>
        </w:rPr>
        <w:t xml:space="preserve">available </w:t>
      </w:r>
      <w:r w:rsidR="00A1396E">
        <w:rPr>
          <w:rFonts w:ascii="Times New Roman" w:hAnsi="Times New Roman" w:cs="Times New Roman"/>
        </w:rPr>
        <w:t xml:space="preserve">through </w:t>
      </w:r>
      <w:r w:rsidR="007C3BDE">
        <w:rPr>
          <w:rFonts w:ascii="Times New Roman" w:hAnsi="Times New Roman" w:cs="Times New Roman"/>
        </w:rPr>
        <w:t>the Facts &amp; Comparison</w:t>
      </w:r>
      <w:r w:rsidR="007C3BDE" w:rsidRPr="007C3BDE">
        <w:rPr>
          <w:rFonts w:ascii="Times New Roman" w:hAnsi="Times New Roman" w:cs="Times New Roman"/>
        </w:rPr>
        <w:t xml:space="preserve"> </w:t>
      </w:r>
      <w:r w:rsidR="007C3BDE">
        <w:rPr>
          <w:rFonts w:ascii="Times New Roman" w:hAnsi="Times New Roman" w:cs="Times New Roman"/>
        </w:rPr>
        <w:t>Formulary Monograph Service™ (Wolters Kluwer Health, 2013).</w:t>
      </w:r>
    </w:p>
    <w:p w14:paraId="308FC6C9" w14:textId="77777777" w:rsidR="00FE42C9" w:rsidRPr="000D649E" w:rsidRDefault="00FE42C9" w:rsidP="002E2177">
      <w:pPr>
        <w:ind w:left="0" w:firstLine="0"/>
      </w:pPr>
    </w:p>
    <w:p w14:paraId="308FC6CB" w14:textId="3638E693" w:rsidR="00D14F0B" w:rsidRPr="00FF0E08" w:rsidRDefault="001B772D" w:rsidP="00FF0E08">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r w:rsidR="00496AF8" w:rsidRPr="00C5180E">
        <w:rPr>
          <w:b/>
        </w:rPr>
        <w:t xml:space="preserve">What is the overall quality of evidence </w:t>
      </w:r>
      <w:r w:rsidR="00496AF8" w:rsidRPr="00C5180E">
        <w:rPr>
          <w:b/>
          <w:u w:val="single"/>
        </w:rPr>
        <w:t>across studies</w:t>
      </w:r>
      <w:r w:rsidR="00496AF8" w:rsidRPr="00C5180E">
        <w:rPr>
          <w:b/>
        </w:rPr>
        <w:t xml:space="preserve"> in the body of evidence</w:t>
      </w:r>
      <w:r w:rsidR="00496AF8" w:rsidRPr="001B772D">
        <w:t>? (</w:t>
      </w:r>
      <w:r w:rsidR="006709EB" w:rsidRPr="006709EB">
        <w:rPr>
          <w:i/>
        </w:rPr>
        <w:t xml:space="preserve">discuss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14:paraId="2CA1B45E" w14:textId="215AD6A7" w:rsidR="00CC2A00" w:rsidRPr="00C32FBA" w:rsidRDefault="00CC025B" w:rsidP="002E2177">
      <w:pPr>
        <w:ind w:left="0" w:firstLine="0"/>
        <w:rPr>
          <w:rFonts w:ascii="Times New Roman" w:hAnsi="Times New Roman"/>
        </w:rPr>
        <w:sectPr w:rsidR="00CC2A00" w:rsidRPr="00C32FBA" w:rsidSect="004A4785">
          <w:headerReference w:type="default" r:id="rId21"/>
          <w:footerReference w:type="default" r:id="rId22"/>
          <w:pgSz w:w="12240" w:h="15840"/>
          <w:pgMar w:top="1440" w:right="1440" w:bottom="1440" w:left="1440" w:header="720" w:footer="720" w:gutter="0"/>
          <w:cols w:space="720"/>
          <w:docGrid w:linePitch="360"/>
        </w:sectPr>
      </w:pPr>
      <w:r>
        <w:rPr>
          <w:rFonts w:ascii="Times New Roman" w:hAnsi="Times New Roman" w:cs="Times New Roman"/>
        </w:rPr>
        <w:t xml:space="preserve">The quality of </w:t>
      </w:r>
      <w:r w:rsidR="00466D03">
        <w:rPr>
          <w:rFonts w:ascii="Times New Roman" w:hAnsi="Times New Roman" w:cs="Times New Roman"/>
        </w:rPr>
        <w:t xml:space="preserve">the </w:t>
      </w:r>
      <w:r>
        <w:rPr>
          <w:rFonts w:ascii="Times New Roman" w:hAnsi="Times New Roman" w:cs="Times New Roman"/>
        </w:rPr>
        <w:t xml:space="preserve">evidence </w:t>
      </w:r>
      <w:r w:rsidR="00956191">
        <w:rPr>
          <w:rFonts w:ascii="Times New Roman" w:hAnsi="Times New Roman" w:cs="Times New Roman"/>
        </w:rPr>
        <w:t xml:space="preserve">depends on the type of studies conducted </w:t>
      </w:r>
      <w:r w:rsidR="00EA50A8">
        <w:rPr>
          <w:rFonts w:ascii="Times New Roman" w:hAnsi="Times New Roman" w:cs="Times New Roman"/>
        </w:rPr>
        <w:t xml:space="preserve">to investigate the interaction between warfarin and </w:t>
      </w:r>
      <w:r w:rsidR="00A1396E">
        <w:rPr>
          <w:rFonts w:ascii="Times New Roman" w:hAnsi="Times New Roman" w:cs="Times New Roman"/>
        </w:rPr>
        <w:t xml:space="preserve">each </w:t>
      </w:r>
      <w:r>
        <w:rPr>
          <w:rFonts w:ascii="Times New Roman" w:hAnsi="Times New Roman" w:cs="Times New Roman"/>
        </w:rPr>
        <w:t xml:space="preserve">medication. </w:t>
      </w:r>
      <w:r w:rsidR="00466D03">
        <w:rPr>
          <w:rFonts w:ascii="Times New Roman" w:hAnsi="Times New Roman" w:cs="Times New Roman"/>
        </w:rPr>
        <w:t>For each medication, t</w:t>
      </w:r>
      <w:r>
        <w:rPr>
          <w:rFonts w:ascii="Times New Roman" w:hAnsi="Times New Roman" w:cs="Times New Roman"/>
        </w:rPr>
        <w:t xml:space="preserve">he </w:t>
      </w:r>
      <w:r w:rsidR="00466D03">
        <w:rPr>
          <w:rFonts w:ascii="Times New Roman" w:hAnsi="Times New Roman" w:cs="Times New Roman"/>
        </w:rPr>
        <w:t xml:space="preserve">rating of the </w:t>
      </w:r>
      <w:r>
        <w:rPr>
          <w:rFonts w:ascii="Times New Roman" w:hAnsi="Times New Roman" w:cs="Times New Roman"/>
        </w:rPr>
        <w:t xml:space="preserve">evidence </w:t>
      </w:r>
      <w:r w:rsidR="00EA50A8">
        <w:rPr>
          <w:rFonts w:ascii="Times New Roman" w:hAnsi="Times New Roman" w:cs="Times New Roman"/>
        </w:rPr>
        <w:t xml:space="preserve">cited to </w:t>
      </w:r>
      <w:r w:rsidR="00466D03">
        <w:rPr>
          <w:rFonts w:ascii="Times New Roman" w:hAnsi="Times New Roman" w:cs="Times New Roman"/>
        </w:rPr>
        <w:t xml:space="preserve">support the interaction with warfarin </w:t>
      </w:r>
      <w:r w:rsidR="00556ABA">
        <w:rPr>
          <w:rFonts w:ascii="Times New Roman" w:hAnsi="Times New Roman" w:cs="Times New Roman"/>
        </w:rPr>
        <w:t xml:space="preserve">is </w:t>
      </w:r>
      <w:r w:rsidR="00466D03">
        <w:rPr>
          <w:rFonts w:ascii="Times New Roman" w:hAnsi="Times New Roman" w:cs="Times New Roman"/>
        </w:rPr>
        <w:t>provided in Table 1.</w:t>
      </w:r>
      <w:r w:rsidR="00556ABA">
        <w:rPr>
          <w:rFonts w:ascii="Times New Roman" w:hAnsi="Times New Roman" w:cs="Times New Roman"/>
        </w:rPr>
        <w:t xml:space="preserve"> </w:t>
      </w:r>
      <w:r w:rsidR="00466D03">
        <w:rPr>
          <w:rFonts w:ascii="Times New Roman" w:hAnsi="Times New Roman" w:cs="Times New Roman"/>
        </w:rPr>
        <w:t xml:space="preserve">The evidence was rated as part of the </w:t>
      </w:r>
      <w:r w:rsidR="00A1396E">
        <w:rPr>
          <w:rFonts w:ascii="Times New Roman" w:hAnsi="Times New Roman" w:cs="Times New Roman"/>
        </w:rPr>
        <w:t xml:space="preserve">monograph from the </w:t>
      </w:r>
      <w:r w:rsidR="00617F87">
        <w:rPr>
          <w:rFonts w:ascii="Times New Roman" w:hAnsi="Times New Roman" w:cs="Times New Roman"/>
        </w:rPr>
        <w:t>Facts &amp; Comparison</w:t>
      </w:r>
      <w:r w:rsidR="00617F87" w:rsidRPr="007C3BDE">
        <w:rPr>
          <w:rFonts w:ascii="Times New Roman" w:hAnsi="Times New Roman" w:cs="Times New Roman"/>
        </w:rPr>
        <w:t xml:space="preserve"> </w:t>
      </w:r>
      <w:r w:rsidR="00617F87">
        <w:rPr>
          <w:rFonts w:ascii="Times New Roman" w:hAnsi="Times New Roman" w:cs="Times New Roman"/>
        </w:rPr>
        <w:t xml:space="preserve">Formulary Monograph Service™ </w:t>
      </w:r>
      <w:r w:rsidR="00466D03">
        <w:rPr>
          <w:rFonts w:ascii="Times New Roman" w:hAnsi="Times New Roman" w:cs="Times New Roman"/>
        </w:rPr>
        <w:t>(Wolters Kluwer Health, 2013).</w:t>
      </w:r>
    </w:p>
    <w:p w14:paraId="514AF8ED" w14:textId="28517275" w:rsidR="00C9381C" w:rsidRDefault="008D1AB1" w:rsidP="009F2E38">
      <w:pPr>
        <w:ind w:left="0" w:firstLine="0"/>
        <w:rPr>
          <w:rFonts w:cs="Times New Roman"/>
          <w:b/>
        </w:rPr>
      </w:pPr>
      <w:r w:rsidRPr="009F2E38">
        <w:rPr>
          <w:b/>
        </w:rPr>
        <w:lastRenderedPageBreak/>
        <w:t xml:space="preserve">Table 1. Evidence Supporting Clinical Effect of Interactions </w:t>
      </w:r>
      <w:r w:rsidR="00120717">
        <w:rPr>
          <w:rFonts w:cs="Times New Roman"/>
          <w:b/>
        </w:rPr>
        <w:t>b</w:t>
      </w:r>
      <w:r w:rsidRPr="009F2E38">
        <w:rPr>
          <w:rFonts w:cs="Times New Roman"/>
          <w:b/>
        </w:rPr>
        <w:t>etween</w:t>
      </w:r>
      <w:r w:rsidRPr="009F2E38">
        <w:rPr>
          <w:b/>
        </w:rPr>
        <w:t xml:space="preserve"> Warfarin and Anti-Infective Medications </w:t>
      </w:r>
    </w:p>
    <w:p w14:paraId="58DD0F3C" w14:textId="443C7B42" w:rsidR="008D1AB1" w:rsidRPr="009F2E38" w:rsidRDefault="008D1AB1" w:rsidP="009F2E38">
      <w:pPr>
        <w:ind w:left="0" w:firstLine="0"/>
        <w:rPr>
          <w:b/>
        </w:rPr>
      </w:pPr>
      <w:r w:rsidRPr="009F2E38">
        <w:rPr>
          <w:b/>
        </w:rPr>
        <w:t>(Adapted from Drug Facts Interaction, Wolters Kluwer Health, 2013)</w:t>
      </w:r>
    </w:p>
    <w:tbl>
      <w:tblPr>
        <w:tblW w:w="5000" w:type="pct"/>
        <w:tblLayout w:type="fixed"/>
        <w:tblLook w:val="04A0" w:firstRow="1" w:lastRow="0" w:firstColumn="1" w:lastColumn="0" w:noHBand="0" w:noVBand="1"/>
      </w:tblPr>
      <w:tblGrid>
        <w:gridCol w:w="2448"/>
        <w:gridCol w:w="1800"/>
        <w:gridCol w:w="1349"/>
        <w:gridCol w:w="1710"/>
        <w:gridCol w:w="1800"/>
        <w:gridCol w:w="2522"/>
        <w:gridCol w:w="1547"/>
      </w:tblGrid>
      <w:tr w:rsidR="008D1AB1" w:rsidRPr="008D1AB1" w14:paraId="046C6E87" w14:textId="77777777" w:rsidTr="00C97E30">
        <w:trPr>
          <w:trHeight w:val="20"/>
          <w:tblHeader/>
        </w:trPr>
        <w:tc>
          <w:tcPr>
            <w:tcW w:w="9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7E2C6" w14:textId="77777777" w:rsidR="008D1AB1" w:rsidRPr="00C9381C" w:rsidRDefault="008D1AB1" w:rsidP="00F5570C">
            <w:pPr>
              <w:ind w:left="0" w:firstLine="0"/>
              <w:rPr>
                <w:rFonts w:ascii="Calibri" w:eastAsia="Times New Roman" w:hAnsi="Calibri"/>
                <w:b/>
              </w:rPr>
            </w:pPr>
            <w:r w:rsidRPr="00C9381C">
              <w:rPr>
                <w:rFonts w:ascii="Calibri" w:eastAsia="Times New Roman" w:hAnsi="Calibri"/>
                <w:b/>
              </w:rPr>
              <w:t>Anti-Infective Medication</w:t>
            </w:r>
          </w:p>
        </w:tc>
        <w:tc>
          <w:tcPr>
            <w:tcW w:w="683" w:type="pct"/>
            <w:tcBorders>
              <w:top w:val="single" w:sz="4" w:space="0" w:color="auto"/>
              <w:left w:val="nil"/>
              <w:bottom w:val="single" w:sz="4" w:space="0" w:color="auto"/>
              <w:right w:val="single" w:sz="4" w:space="0" w:color="auto"/>
            </w:tcBorders>
            <w:shd w:val="clear" w:color="auto" w:fill="auto"/>
            <w:vAlign w:val="bottom"/>
            <w:hideMark/>
          </w:tcPr>
          <w:p w14:paraId="32C37ECD" w14:textId="77777777" w:rsidR="008D1AB1" w:rsidRPr="00C9381C" w:rsidRDefault="008D1AB1" w:rsidP="008D1AB1">
            <w:pPr>
              <w:ind w:left="0" w:firstLine="0"/>
              <w:jc w:val="center"/>
              <w:rPr>
                <w:rFonts w:ascii="Calibri" w:eastAsia="Times New Roman" w:hAnsi="Calibri"/>
                <w:b/>
              </w:rPr>
            </w:pPr>
            <w:r w:rsidRPr="00C9381C">
              <w:rPr>
                <w:rFonts w:ascii="Calibri" w:eastAsia="Times New Roman" w:hAnsi="Calibri"/>
                <w:b/>
              </w:rPr>
              <w:t>Anticoagulant Effect</w:t>
            </w:r>
          </w:p>
        </w:tc>
        <w:tc>
          <w:tcPr>
            <w:tcW w:w="512" w:type="pct"/>
            <w:tcBorders>
              <w:top w:val="single" w:sz="4" w:space="0" w:color="auto"/>
              <w:left w:val="nil"/>
              <w:bottom w:val="single" w:sz="4" w:space="0" w:color="auto"/>
              <w:right w:val="single" w:sz="4" w:space="0" w:color="auto"/>
            </w:tcBorders>
            <w:shd w:val="clear" w:color="auto" w:fill="auto"/>
            <w:vAlign w:val="bottom"/>
            <w:hideMark/>
          </w:tcPr>
          <w:p w14:paraId="10E45325" w14:textId="77777777" w:rsidR="008D1AB1" w:rsidRPr="00C9381C" w:rsidRDefault="008D1AB1" w:rsidP="008D1AB1">
            <w:pPr>
              <w:ind w:left="0" w:firstLine="0"/>
              <w:jc w:val="center"/>
              <w:rPr>
                <w:rFonts w:ascii="Calibri" w:eastAsia="Times New Roman" w:hAnsi="Calibri"/>
                <w:b/>
              </w:rPr>
            </w:pPr>
            <w:r w:rsidRPr="00C9381C">
              <w:rPr>
                <w:rFonts w:ascii="Calibri" w:eastAsia="Times New Roman" w:hAnsi="Calibri"/>
                <w:b/>
              </w:rPr>
              <w:t>Drug Facts Interaction Severity Rating*</w:t>
            </w:r>
          </w:p>
        </w:tc>
        <w:tc>
          <w:tcPr>
            <w:tcW w:w="649" w:type="pct"/>
            <w:tcBorders>
              <w:top w:val="single" w:sz="4" w:space="0" w:color="auto"/>
              <w:left w:val="nil"/>
              <w:bottom w:val="single" w:sz="4" w:space="0" w:color="auto"/>
              <w:right w:val="single" w:sz="4" w:space="0" w:color="auto"/>
            </w:tcBorders>
            <w:shd w:val="clear" w:color="auto" w:fill="auto"/>
            <w:vAlign w:val="bottom"/>
            <w:hideMark/>
          </w:tcPr>
          <w:p w14:paraId="22566FA9" w14:textId="77777777" w:rsidR="008D1AB1" w:rsidRPr="00C9381C" w:rsidRDefault="008D1AB1" w:rsidP="008D1AB1">
            <w:pPr>
              <w:ind w:left="0" w:firstLine="0"/>
              <w:jc w:val="center"/>
              <w:rPr>
                <w:rFonts w:ascii="Calibri" w:eastAsia="Times New Roman" w:hAnsi="Calibri"/>
                <w:b/>
              </w:rPr>
            </w:pPr>
            <w:r w:rsidRPr="00C9381C">
              <w:rPr>
                <w:rFonts w:ascii="Calibri" w:eastAsia="Times New Roman" w:hAnsi="Calibri"/>
                <w:b/>
              </w:rPr>
              <w:t>Drug Facts Interaction Documentation Rating**</w:t>
            </w:r>
          </w:p>
        </w:tc>
        <w:tc>
          <w:tcPr>
            <w:tcW w:w="683" w:type="pct"/>
            <w:tcBorders>
              <w:top w:val="single" w:sz="4" w:space="0" w:color="auto"/>
              <w:left w:val="nil"/>
              <w:bottom w:val="single" w:sz="4" w:space="0" w:color="auto"/>
              <w:right w:val="single" w:sz="4" w:space="0" w:color="auto"/>
            </w:tcBorders>
            <w:shd w:val="clear" w:color="auto" w:fill="auto"/>
            <w:vAlign w:val="bottom"/>
            <w:hideMark/>
          </w:tcPr>
          <w:p w14:paraId="6906693A" w14:textId="77777777" w:rsidR="008D1AB1" w:rsidRPr="00C9381C" w:rsidRDefault="008D1AB1" w:rsidP="008D1AB1">
            <w:pPr>
              <w:ind w:left="0" w:firstLine="0"/>
              <w:jc w:val="center"/>
              <w:rPr>
                <w:rFonts w:ascii="Calibri" w:eastAsia="Times New Roman" w:hAnsi="Calibri"/>
                <w:b/>
              </w:rPr>
            </w:pPr>
            <w:r w:rsidRPr="00C9381C">
              <w:rPr>
                <w:rFonts w:ascii="Calibri" w:eastAsia="Times New Roman" w:hAnsi="Calibri"/>
                <w:b/>
              </w:rPr>
              <w:t>Pharmacokinetic Studies</w:t>
            </w:r>
          </w:p>
        </w:tc>
        <w:tc>
          <w:tcPr>
            <w:tcW w:w="957" w:type="pct"/>
            <w:tcBorders>
              <w:top w:val="single" w:sz="4" w:space="0" w:color="auto"/>
              <w:left w:val="nil"/>
              <w:bottom w:val="single" w:sz="4" w:space="0" w:color="auto"/>
              <w:right w:val="single" w:sz="4" w:space="0" w:color="auto"/>
            </w:tcBorders>
            <w:shd w:val="clear" w:color="auto" w:fill="auto"/>
            <w:vAlign w:val="bottom"/>
            <w:hideMark/>
          </w:tcPr>
          <w:p w14:paraId="35FFD72C" w14:textId="77777777" w:rsidR="008D1AB1" w:rsidRPr="00C9381C" w:rsidRDefault="008D1AB1" w:rsidP="008D1AB1">
            <w:pPr>
              <w:ind w:left="0" w:firstLine="0"/>
              <w:jc w:val="center"/>
              <w:rPr>
                <w:rFonts w:ascii="Calibri" w:eastAsia="Times New Roman" w:hAnsi="Calibri"/>
                <w:b/>
              </w:rPr>
            </w:pPr>
            <w:r w:rsidRPr="00C9381C">
              <w:rPr>
                <w:rFonts w:ascii="Calibri" w:eastAsia="Times New Roman" w:hAnsi="Calibri"/>
                <w:b/>
              </w:rPr>
              <w:t>Epidemiologic Studies</w:t>
            </w:r>
          </w:p>
        </w:tc>
        <w:tc>
          <w:tcPr>
            <w:tcW w:w="587" w:type="pct"/>
            <w:tcBorders>
              <w:top w:val="single" w:sz="4" w:space="0" w:color="auto"/>
              <w:left w:val="nil"/>
              <w:bottom w:val="single" w:sz="4" w:space="0" w:color="auto"/>
              <w:right w:val="single" w:sz="4" w:space="0" w:color="auto"/>
            </w:tcBorders>
            <w:shd w:val="clear" w:color="auto" w:fill="auto"/>
            <w:vAlign w:val="bottom"/>
            <w:hideMark/>
          </w:tcPr>
          <w:p w14:paraId="32EE8B8D" w14:textId="77777777" w:rsidR="008D1AB1" w:rsidRPr="00C9381C" w:rsidRDefault="008D1AB1" w:rsidP="008D1AB1">
            <w:pPr>
              <w:ind w:left="0" w:firstLine="0"/>
              <w:jc w:val="center"/>
              <w:rPr>
                <w:rFonts w:ascii="Calibri" w:eastAsia="Times New Roman" w:hAnsi="Calibri"/>
                <w:b/>
              </w:rPr>
            </w:pPr>
            <w:r w:rsidRPr="00C9381C">
              <w:rPr>
                <w:rFonts w:ascii="Calibri" w:eastAsia="Times New Roman" w:hAnsi="Calibri"/>
                <w:b/>
              </w:rPr>
              <w:t>Case Reports</w:t>
            </w:r>
          </w:p>
        </w:tc>
      </w:tr>
      <w:tr w:rsidR="008D1AB1" w:rsidRPr="008D1AB1" w14:paraId="74EECB9E"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4ED8DD66"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Aminoglycosides</w:t>
            </w:r>
          </w:p>
        </w:tc>
        <w:tc>
          <w:tcPr>
            <w:tcW w:w="683" w:type="pct"/>
            <w:tcBorders>
              <w:top w:val="nil"/>
              <w:left w:val="nil"/>
              <w:bottom w:val="single" w:sz="4" w:space="0" w:color="auto"/>
              <w:right w:val="single" w:sz="4" w:space="0" w:color="auto"/>
            </w:tcBorders>
            <w:shd w:val="clear" w:color="000000" w:fill="BFBFBF"/>
            <w:hideMark/>
          </w:tcPr>
          <w:p w14:paraId="70B28046"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0AEFDEB1"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2F3ED6F0"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18C8763A"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5D6C5C05"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21131A90"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1887B059"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8066D4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Neomycin</w:t>
            </w:r>
          </w:p>
        </w:tc>
        <w:tc>
          <w:tcPr>
            <w:tcW w:w="683" w:type="pct"/>
            <w:tcBorders>
              <w:top w:val="nil"/>
              <w:left w:val="nil"/>
              <w:bottom w:val="single" w:sz="4" w:space="0" w:color="auto"/>
              <w:right w:val="single" w:sz="4" w:space="0" w:color="auto"/>
            </w:tcBorders>
            <w:shd w:val="clear" w:color="auto" w:fill="auto"/>
            <w:hideMark/>
          </w:tcPr>
          <w:p w14:paraId="799B007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A6D3CC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BC27C6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4F2C80B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3 studies (1965, 1970, 1976)</w:t>
            </w:r>
          </w:p>
        </w:tc>
        <w:tc>
          <w:tcPr>
            <w:tcW w:w="957" w:type="pct"/>
            <w:tcBorders>
              <w:top w:val="nil"/>
              <w:left w:val="nil"/>
              <w:bottom w:val="single" w:sz="4" w:space="0" w:color="auto"/>
              <w:right w:val="single" w:sz="4" w:space="0" w:color="auto"/>
            </w:tcBorders>
            <w:shd w:val="clear" w:color="auto" w:fill="auto"/>
            <w:hideMark/>
          </w:tcPr>
          <w:p w14:paraId="7953F1B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246D84A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r>
      <w:tr w:rsidR="008D1AB1" w:rsidRPr="008D1AB1" w14:paraId="7607CD02"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2885157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Paromomycin</w:t>
            </w:r>
          </w:p>
        </w:tc>
        <w:tc>
          <w:tcPr>
            <w:tcW w:w="683" w:type="pct"/>
            <w:tcBorders>
              <w:top w:val="nil"/>
              <w:left w:val="nil"/>
              <w:bottom w:val="single" w:sz="4" w:space="0" w:color="auto"/>
              <w:right w:val="single" w:sz="4" w:space="0" w:color="auto"/>
            </w:tcBorders>
            <w:shd w:val="clear" w:color="auto" w:fill="auto"/>
            <w:hideMark/>
          </w:tcPr>
          <w:p w14:paraId="1494FC2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329A250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E8C6F7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4C9CF8D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Neomycin: 3 studies (1965, 1970, 1976)</w:t>
            </w:r>
          </w:p>
        </w:tc>
        <w:tc>
          <w:tcPr>
            <w:tcW w:w="957" w:type="pct"/>
            <w:tcBorders>
              <w:top w:val="nil"/>
              <w:left w:val="nil"/>
              <w:bottom w:val="single" w:sz="4" w:space="0" w:color="auto"/>
              <w:right w:val="single" w:sz="4" w:space="0" w:color="auto"/>
            </w:tcBorders>
            <w:shd w:val="clear" w:color="auto" w:fill="auto"/>
            <w:hideMark/>
          </w:tcPr>
          <w:p w14:paraId="3D03AE1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513B967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r>
      <w:tr w:rsidR="008D1AB1" w:rsidRPr="008D1AB1" w14:paraId="3D9D3717"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2450C302"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Antifungals</w:t>
            </w:r>
          </w:p>
        </w:tc>
        <w:tc>
          <w:tcPr>
            <w:tcW w:w="683" w:type="pct"/>
            <w:tcBorders>
              <w:top w:val="nil"/>
              <w:left w:val="nil"/>
              <w:bottom w:val="single" w:sz="4" w:space="0" w:color="auto"/>
              <w:right w:val="single" w:sz="4" w:space="0" w:color="auto"/>
            </w:tcBorders>
            <w:shd w:val="clear" w:color="000000" w:fill="BFBFBF"/>
            <w:hideMark/>
          </w:tcPr>
          <w:p w14:paraId="4955F22D"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01388902"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70ECD157"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4827D89D"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3BADD487"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16BF228D"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5F2BB45B"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3574C3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Fluconazole</w:t>
            </w:r>
          </w:p>
        </w:tc>
        <w:tc>
          <w:tcPr>
            <w:tcW w:w="683" w:type="pct"/>
            <w:tcBorders>
              <w:top w:val="nil"/>
              <w:left w:val="nil"/>
              <w:bottom w:val="single" w:sz="4" w:space="0" w:color="auto"/>
              <w:right w:val="single" w:sz="4" w:space="0" w:color="auto"/>
            </w:tcBorders>
            <w:shd w:val="clear" w:color="auto" w:fill="auto"/>
            <w:hideMark/>
          </w:tcPr>
          <w:p w14:paraId="5713B22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29A713C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09AFAD2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Established</w:t>
            </w:r>
          </w:p>
        </w:tc>
        <w:tc>
          <w:tcPr>
            <w:tcW w:w="683" w:type="pct"/>
            <w:tcBorders>
              <w:top w:val="nil"/>
              <w:left w:val="nil"/>
              <w:bottom w:val="single" w:sz="4" w:space="0" w:color="auto"/>
              <w:right w:val="single" w:sz="4" w:space="0" w:color="auto"/>
            </w:tcBorders>
            <w:shd w:val="clear" w:color="auto" w:fill="auto"/>
            <w:hideMark/>
          </w:tcPr>
          <w:p w14:paraId="3392EA3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8 studies (1986-1993)</w:t>
            </w:r>
          </w:p>
        </w:tc>
        <w:tc>
          <w:tcPr>
            <w:tcW w:w="957" w:type="pct"/>
            <w:tcBorders>
              <w:top w:val="nil"/>
              <w:left w:val="nil"/>
              <w:bottom w:val="single" w:sz="4" w:space="0" w:color="auto"/>
              <w:right w:val="single" w:sz="4" w:space="0" w:color="auto"/>
            </w:tcBorders>
            <w:shd w:val="clear" w:color="auto" w:fill="auto"/>
            <w:hideMark/>
          </w:tcPr>
          <w:p w14:paraId="2631190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case-control study (2008), 1 pharmacoepidemiologic study of azole antifungals (2012)</w:t>
            </w:r>
          </w:p>
        </w:tc>
        <w:tc>
          <w:tcPr>
            <w:tcW w:w="587" w:type="pct"/>
            <w:tcBorders>
              <w:top w:val="nil"/>
              <w:left w:val="nil"/>
              <w:bottom w:val="single" w:sz="4" w:space="0" w:color="auto"/>
              <w:right w:val="single" w:sz="4" w:space="0" w:color="auto"/>
            </w:tcBorders>
            <w:shd w:val="clear" w:color="auto" w:fill="auto"/>
            <w:hideMark/>
          </w:tcPr>
          <w:p w14:paraId="4499E67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r>
      <w:tr w:rsidR="008D1AB1" w:rsidRPr="008D1AB1" w14:paraId="2EBA6AE4"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2AB2DF5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Griseofulvin</w:t>
            </w:r>
          </w:p>
        </w:tc>
        <w:tc>
          <w:tcPr>
            <w:tcW w:w="683" w:type="pct"/>
            <w:tcBorders>
              <w:top w:val="nil"/>
              <w:left w:val="nil"/>
              <w:bottom w:val="single" w:sz="4" w:space="0" w:color="auto"/>
              <w:right w:val="single" w:sz="4" w:space="0" w:color="auto"/>
            </w:tcBorders>
            <w:shd w:val="clear" w:color="auto" w:fill="auto"/>
            <w:hideMark/>
          </w:tcPr>
          <w:p w14:paraId="2B2E4BF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2A243FC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4BAEBBD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0968C9B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studies (1967, 1970)</w:t>
            </w:r>
          </w:p>
        </w:tc>
        <w:tc>
          <w:tcPr>
            <w:tcW w:w="957" w:type="pct"/>
            <w:tcBorders>
              <w:top w:val="nil"/>
              <w:left w:val="nil"/>
              <w:bottom w:val="single" w:sz="4" w:space="0" w:color="auto"/>
              <w:right w:val="single" w:sz="4" w:space="0" w:color="auto"/>
            </w:tcBorders>
            <w:shd w:val="clear" w:color="auto" w:fill="auto"/>
            <w:hideMark/>
          </w:tcPr>
          <w:p w14:paraId="140F94E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34D01B7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(1986)</w:t>
            </w:r>
          </w:p>
        </w:tc>
      </w:tr>
      <w:tr w:rsidR="008D1AB1" w:rsidRPr="008D1AB1" w14:paraId="5112515F"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40A36B5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Itraconazole</w:t>
            </w:r>
          </w:p>
        </w:tc>
        <w:tc>
          <w:tcPr>
            <w:tcW w:w="683" w:type="pct"/>
            <w:tcBorders>
              <w:top w:val="nil"/>
              <w:left w:val="nil"/>
              <w:bottom w:val="single" w:sz="4" w:space="0" w:color="auto"/>
              <w:right w:val="single" w:sz="4" w:space="0" w:color="auto"/>
            </w:tcBorders>
            <w:shd w:val="clear" w:color="auto" w:fill="auto"/>
            <w:hideMark/>
          </w:tcPr>
          <w:p w14:paraId="5858EEF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66D58E0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29B71AE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7090FB9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0511D07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pharmacoepidemiologic study of azole antifungals (2012)</w:t>
            </w:r>
          </w:p>
        </w:tc>
        <w:tc>
          <w:tcPr>
            <w:tcW w:w="587" w:type="pct"/>
            <w:tcBorders>
              <w:top w:val="nil"/>
              <w:left w:val="nil"/>
              <w:bottom w:val="single" w:sz="4" w:space="0" w:color="auto"/>
              <w:right w:val="single" w:sz="4" w:space="0" w:color="auto"/>
            </w:tcBorders>
            <w:shd w:val="clear" w:color="auto" w:fill="auto"/>
            <w:hideMark/>
          </w:tcPr>
          <w:p w14:paraId="177726A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(1990, 2011)</w:t>
            </w:r>
          </w:p>
        </w:tc>
      </w:tr>
      <w:tr w:rsidR="008D1AB1" w:rsidRPr="008D1AB1" w14:paraId="4C2A6D7B"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46C883A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Ketoconazole</w:t>
            </w:r>
          </w:p>
        </w:tc>
        <w:tc>
          <w:tcPr>
            <w:tcW w:w="683" w:type="pct"/>
            <w:tcBorders>
              <w:top w:val="nil"/>
              <w:left w:val="nil"/>
              <w:bottom w:val="single" w:sz="4" w:space="0" w:color="auto"/>
              <w:right w:val="single" w:sz="4" w:space="0" w:color="auto"/>
            </w:tcBorders>
            <w:shd w:val="clear" w:color="auto" w:fill="auto"/>
            <w:hideMark/>
          </w:tcPr>
          <w:p w14:paraId="156F64D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6D7CC81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67155D2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nil"/>
              <w:right w:val="nil"/>
            </w:tcBorders>
            <w:shd w:val="clear" w:color="auto" w:fill="auto"/>
            <w:hideMark/>
          </w:tcPr>
          <w:p w14:paraId="39A41EA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(1982)</w:t>
            </w:r>
          </w:p>
        </w:tc>
        <w:tc>
          <w:tcPr>
            <w:tcW w:w="957" w:type="pct"/>
            <w:tcBorders>
              <w:top w:val="nil"/>
              <w:left w:val="single" w:sz="4" w:space="0" w:color="auto"/>
              <w:bottom w:val="single" w:sz="4" w:space="0" w:color="auto"/>
              <w:right w:val="single" w:sz="4" w:space="0" w:color="auto"/>
            </w:tcBorders>
            <w:shd w:val="clear" w:color="auto" w:fill="auto"/>
            <w:hideMark/>
          </w:tcPr>
          <w:p w14:paraId="6838B2F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pharmacoepidemiologic study of azole antifungals (2012)</w:t>
            </w:r>
          </w:p>
        </w:tc>
        <w:tc>
          <w:tcPr>
            <w:tcW w:w="587" w:type="pct"/>
            <w:tcBorders>
              <w:top w:val="nil"/>
              <w:left w:val="nil"/>
              <w:bottom w:val="single" w:sz="4" w:space="0" w:color="auto"/>
              <w:right w:val="single" w:sz="4" w:space="0" w:color="auto"/>
            </w:tcBorders>
            <w:shd w:val="clear" w:color="auto" w:fill="auto"/>
            <w:hideMark/>
          </w:tcPr>
          <w:p w14:paraId="6235FCA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(1984, 2009)</w:t>
            </w:r>
          </w:p>
        </w:tc>
      </w:tr>
      <w:tr w:rsidR="008D1AB1" w:rsidRPr="008D1AB1" w14:paraId="54305D8E"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12B6E73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Miconazole Oral Gel</w:t>
            </w:r>
          </w:p>
        </w:tc>
        <w:tc>
          <w:tcPr>
            <w:tcW w:w="683" w:type="pct"/>
            <w:tcBorders>
              <w:top w:val="nil"/>
              <w:left w:val="nil"/>
              <w:bottom w:val="single" w:sz="4" w:space="0" w:color="auto"/>
              <w:right w:val="single" w:sz="4" w:space="0" w:color="auto"/>
            </w:tcBorders>
            <w:shd w:val="clear" w:color="auto" w:fill="auto"/>
            <w:hideMark/>
          </w:tcPr>
          <w:p w14:paraId="0DD1198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Increased </w:t>
            </w:r>
            <w:r w:rsidRPr="00C9381C">
              <w:rPr>
                <w:rFonts w:ascii="Calibri" w:eastAsia="Times New Roman" w:hAnsi="Calibri"/>
                <w:color w:val="000000"/>
              </w:rPr>
              <w:br/>
            </w:r>
          </w:p>
        </w:tc>
        <w:tc>
          <w:tcPr>
            <w:tcW w:w="512" w:type="pct"/>
            <w:tcBorders>
              <w:top w:val="nil"/>
              <w:left w:val="nil"/>
              <w:bottom w:val="single" w:sz="4" w:space="0" w:color="auto"/>
              <w:right w:val="single" w:sz="4" w:space="0" w:color="auto"/>
            </w:tcBorders>
            <w:shd w:val="clear" w:color="auto" w:fill="auto"/>
            <w:noWrap/>
            <w:hideMark/>
          </w:tcPr>
          <w:p w14:paraId="29CCFCC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380A22A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single" w:sz="4" w:space="0" w:color="auto"/>
              <w:left w:val="nil"/>
              <w:bottom w:val="single" w:sz="4" w:space="0" w:color="auto"/>
              <w:right w:val="single" w:sz="4" w:space="0" w:color="auto"/>
            </w:tcBorders>
            <w:shd w:val="clear" w:color="auto" w:fill="auto"/>
            <w:hideMark/>
          </w:tcPr>
          <w:p w14:paraId="77DF472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(1992)</w:t>
            </w:r>
          </w:p>
        </w:tc>
        <w:tc>
          <w:tcPr>
            <w:tcW w:w="957" w:type="pct"/>
            <w:tcBorders>
              <w:top w:val="nil"/>
              <w:left w:val="nil"/>
              <w:bottom w:val="single" w:sz="4" w:space="0" w:color="auto"/>
              <w:right w:val="single" w:sz="4" w:space="0" w:color="auto"/>
            </w:tcBorders>
            <w:shd w:val="clear" w:color="auto" w:fill="auto"/>
            <w:hideMark/>
          </w:tcPr>
          <w:p w14:paraId="4BB902F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retrospective study (2011)</w:t>
            </w:r>
          </w:p>
        </w:tc>
        <w:tc>
          <w:tcPr>
            <w:tcW w:w="587" w:type="pct"/>
            <w:tcBorders>
              <w:top w:val="nil"/>
              <w:left w:val="nil"/>
              <w:bottom w:val="single" w:sz="4" w:space="0" w:color="auto"/>
              <w:right w:val="single" w:sz="4" w:space="0" w:color="auto"/>
            </w:tcBorders>
            <w:shd w:val="clear" w:color="auto" w:fill="auto"/>
            <w:hideMark/>
          </w:tcPr>
          <w:p w14:paraId="13B2FA13" w14:textId="51F03736"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13 case reports or case series (1977-2004)</w:t>
            </w:r>
          </w:p>
        </w:tc>
      </w:tr>
      <w:tr w:rsidR="008D1AB1" w:rsidRPr="008D1AB1" w14:paraId="32D317A7"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E81E25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Miconazole Topical Gel</w:t>
            </w:r>
          </w:p>
        </w:tc>
        <w:tc>
          <w:tcPr>
            <w:tcW w:w="683" w:type="pct"/>
            <w:tcBorders>
              <w:top w:val="nil"/>
              <w:left w:val="nil"/>
              <w:bottom w:val="single" w:sz="4" w:space="0" w:color="auto"/>
              <w:right w:val="single" w:sz="4" w:space="0" w:color="auto"/>
            </w:tcBorders>
            <w:shd w:val="clear" w:color="auto" w:fill="auto"/>
            <w:hideMark/>
          </w:tcPr>
          <w:p w14:paraId="37D4B73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Increased </w:t>
            </w:r>
            <w:r w:rsidRPr="00C9381C">
              <w:rPr>
                <w:rFonts w:ascii="Calibri" w:eastAsia="Times New Roman" w:hAnsi="Calibri"/>
                <w:color w:val="000000"/>
              </w:rPr>
              <w:br/>
            </w:r>
          </w:p>
        </w:tc>
        <w:tc>
          <w:tcPr>
            <w:tcW w:w="512" w:type="pct"/>
            <w:tcBorders>
              <w:top w:val="nil"/>
              <w:left w:val="nil"/>
              <w:bottom w:val="single" w:sz="4" w:space="0" w:color="auto"/>
              <w:right w:val="single" w:sz="4" w:space="0" w:color="auto"/>
            </w:tcBorders>
            <w:shd w:val="clear" w:color="auto" w:fill="auto"/>
            <w:noWrap/>
            <w:hideMark/>
          </w:tcPr>
          <w:p w14:paraId="7686694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1D8121D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7DFBB0D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3BBBCE0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2EDB6C3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 5 case reports or case series </w:t>
            </w:r>
            <w:r w:rsidRPr="00C9381C">
              <w:rPr>
                <w:rFonts w:ascii="Calibri" w:eastAsia="Times New Roman" w:hAnsi="Calibri"/>
                <w:color w:val="000000"/>
              </w:rPr>
              <w:lastRenderedPageBreak/>
              <w:t>(2002-2010)</w:t>
            </w:r>
          </w:p>
        </w:tc>
      </w:tr>
      <w:tr w:rsidR="008D1AB1" w:rsidRPr="008D1AB1" w14:paraId="60E9B335"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73F38C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Miconazole Vag Supp</w:t>
            </w:r>
          </w:p>
        </w:tc>
        <w:tc>
          <w:tcPr>
            <w:tcW w:w="683" w:type="pct"/>
            <w:tcBorders>
              <w:top w:val="nil"/>
              <w:left w:val="nil"/>
              <w:bottom w:val="single" w:sz="4" w:space="0" w:color="auto"/>
              <w:right w:val="single" w:sz="4" w:space="0" w:color="auto"/>
            </w:tcBorders>
            <w:shd w:val="clear" w:color="auto" w:fill="auto"/>
            <w:hideMark/>
          </w:tcPr>
          <w:p w14:paraId="7F73408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Increased </w:t>
            </w:r>
            <w:r w:rsidRPr="00C9381C">
              <w:rPr>
                <w:rFonts w:ascii="Calibri" w:eastAsia="Times New Roman" w:hAnsi="Calibri"/>
                <w:color w:val="000000"/>
              </w:rPr>
              <w:br/>
            </w:r>
          </w:p>
        </w:tc>
        <w:tc>
          <w:tcPr>
            <w:tcW w:w="512" w:type="pct"/>
            <w:tcBorders>
              <w:top w:val="nil"/>
              <w:left w:val="nil"/>
              <w:bottom w:val="single" w:sz="4" w:space="0" w:color="auto"/>
              <w:right w:val="single" w:sz="4" w:space="0" w:color="auto"/>
            </w:tcBorders>
            <w:shd w:val="clear" w:color="auto" w:fill="auto"/>
            <w:noWrap/>
            <w:hideMark/>
          </w:tcPr>
          <w:p w14:paraId="03805BE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6E51ADE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4E89C86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16DA859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5844C29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miconazole topical gel: </w:t>
            </w:r>
            <w:r w:rsidRPr="00C9381C">
              <w:rPr>
                <w:rFonts w:ascii="Calibri" w:eastAsia="Times New Roman" w:hAnsi="Calibri"/>
                <w:color w:val="000000"/>
              </w:rPr>
              <w:br/>
              <w:t>5 case reports or case series (2002-2010)</w:t>
            </w:r>
          </w:p>
        </w:tc>
      </w:tr>
      <w:tr w:rsidR="008D1AB1" w:rsidRPr="008D1AB1" w14:paraId="307E0486"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08CD35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Terbinafine</w:t>
            </w:r>
          </w:p>
        </w:tc>
        <w:tc>
          <w:tcPr>
            <w:tcW w:w="683" w:type="pct"/>
            <w:tcBorders>
              <w:top w:val="nil"/>
              <w:left w:val="nil"/>
              <w:bottom w:val="single" w:sz="4" w:space="0" w:color="auto"/>
              <w:right w:val="single" w:sz="4" w:space="0" w:color="auto"/>
            </w:tcBorders>
            <w:shd w:val="clear" w:color="auto" w:fill="auto"/>
            <w:hideMark/>
          </w:tcPr>
          <w:p w14:paraId="3595923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461641D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5EE974F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nil"/>
              <w:right w:val="nil"/>
            </w:tcBorders>
            <w:shd w:val="clear" w:color="auto" w:fill="auto"/>
            <w:hideMark/>
          </w:tcPr>
          <w:p w14:paraId="3D3995C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single" w:sz="4" w:space="0" w:color="auto"/>
              <w:bottom w:val="single" w:sz="4" w:space="0" w:color="auto"/>
              <w:right w:val="single" w:sz="4" w:space="0" w:color="auto"/>
            </w:tcBorders>
            <w:shd w:val="clear" w:color="auto" w:fill="auto"/>
            <w:hideMark/>
          </w:tcPr>
          <w:p w14:paraId="6533CFE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0FBBBE3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3 case reports (1998-2009)</w:t>
            </w:r>
          </w:p>
        </w:tc>
      </w:tr>
      <w:tr w:rsidR="008D1AB1" w:rsidRPr="008D1AB1" w14:paraId="55D9483F"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D8064C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Voriconazole</w:t>
            </w:r>
          </w:p>
        </w:tc>
        <w:tc>
          <w:tcPr>
            <w:tcW w:w="683" w:type="pct"/>
            <w:tcBorders>
              <w:top w:val="nil"/>
              <w:left w:val="nil"/>
              <w:bottom w:val="single" w:sz="4" w:space="0" w:color="auto"/>
              <w:right w:val="single" w:sz="4" w:space="0" w:color="auto"/>
            </w:tcBorders>
            <w:shd w:val="clear" w:color="auto" w:fill="auto"/>
            <w:hideMark/>
          </w:tcPr>
          <w:p w14:paraId="71A6961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1ED9810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1937765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single" w:sz="4" w:space="0" w:color="auto"/>
              <w:left w:val="nil"/>
              <w:bottom w:val="single" w:sz="4" w:space="0" w:color="auto"/>
              <w:right w:val="single" w:sz="4" w:space="0" w:color="auto"/>
            </w:tcBorders>
            <w:shd w:val="clear" w:color="auto" w:fill="auto"/>
            <w:hideMark/>
          </w:tcPr>
          <w:p w14:paraId="7FC45D3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double-blind, placebo-controlled, 2-way crossover study (2003)</w:t>
            </w:r>
          </w:p>
        </w:tc>
        <w:tc>
          <w:tcPr>
            <w:tcW w:w="957" w:type="pct"/>
            <w:tcBorders>
              <w:top w:val="nil"/>
              <w:left w:val="nil"/>
              <w:bottom w:val="single" w:sz="4" w:space="0" w:color="auto"/>
              <w:right w:val="single" w:sz="4" w:space="0" w:color="auto"/>
            </w:tcBorders>
            <w:shd w:val="clear" w:color="auto" w:fill="auto"/>
            <w:hideMark/>
          </w:tcPr>
          <w:p w14:paraId="2B39173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483C8C2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r>
      <w:tr w:rsidR="008D1AB1" w:rsidRPr="008D1AB1" w14:paraId="7E890DE6"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0BB58CCE"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Anti-malarial</w:t>
            </w:r>
          </w:p>
        </w:tc>
        <w:tc>
          <w:tcPr>
            <w:tcW w:w="683" w:type="pct"/>
            <w:tcBorders>
              <w:top w:val="nil"/>
              <w:left w:val="nil"/>
              <w:bottom w:val="single" w:sz="4" w:space="0" w:color="auto"/>
              <w:right w:val="single" w:sz="4" w:space="0" w:color="auto"/>
            </w:tcBorders>
            <w:shd w:val="clear" w:color="000000" w:fill="BFBFBF"/>
            <w:hideMark/>
          </w:tcPr>
          <w:p w14:paraId="4EE76E3C"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1F7CE4DE"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1564CFCC"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578492F5"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1406B6A5"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60999229"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4378D5D8"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AE73D0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Atovaquone</w:t>
            </w:r>
          </w:p>
        </w:tc>
        <w:tc>
          <w:tcPr>
            <w:tcW w:w="683" w:type="pct"/>
            <w:tcBorders>
              <w:top w:val="nil"/>
              <w:left w:val="nil"/>
              <w:bottom w:val="single" w:sz="4" w:space="0" w:color="auto"/>
              <w:right w:val="single" w:sz="4" w:space="0" w:color="auto"/>
            </w:tcBorders>
            <w:shd w:val="clear" w:color="auto" w:fill="auto"/>
            <w:hideMark/>
          </w:tcPr>
          <w:p w14:paraId="441DBF0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435C53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DDB6A6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458DDDB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6E7E94D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09209EC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(2011)</w:t>
            </w:r>
          </w:p>
        </w:tc>
      </w:tr>
      <w:tr w:rsidR="008D1AB1" w:rsidRPr="008D1AB1" w14:paraId="2B8583BD"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DB0A23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Mefloquine</w:t>
            </w:r>
          </w:p>
        </w:tc>
        <w:tc>
          <w:tcPr>
            <w:tcW w:w="683" w:type="pct"/>
            <w:tcBorders>
              <w:top w:val="nil"/>
              <w:left w:val="nil"/>
              <w:bottom w:val="single" w:sz="4" w:space="0" w:color="auto"/>
              <w:right w:val="single" w:sz="4" w:space="0" w:color="auto"/>
            </w:tcBorders>
            <w:shd w:val="clear" w:color="auto" w:fill="auto"/>
            <w:hideMark/>
          </w:tcPr>
          <w:p w14:paraId="4C4C4DF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265877E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2AFC3A4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29545E1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24AB010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4F52835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(both in 2001)</w:t>
            </w:r>
          </w:p>
        </w:tc>
      </w:tr>
      <w:tr w:rsidR="008D1AB1" w:rsidRPr="008D1AB1" w14:paraId="18F12500"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C1BA90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Proguanil</w:t>
            </w:r>
          </w:p>
        </w:tc>
        <w:tc>
          <w:tcPr>
            <w:tcW w:w="683" w:type="pct"/>
            <w:tcBorders>
              <w:top w:val="nil"/>
              <w:left w:val="nil"/>
              <w:bottom w:val="single" w:sz="4" w:space="0" w:color="auto"/>
              <w:right w:val="single" w:sz="4" w:space="0" w:color="auto"/>
            </w:tcBorders>
            <w:shd w:val="clear" w:color="auto" w:fill="auto"/>
            <w:hideMark/>
          </w:tcPr>
          <w:p w14:paraId="0C3124D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545E88F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49B9758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6ADE70F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729FB08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7344294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(1991)</w:t>
            </w:r>
          </w:p>
        </w:tc>
      </w:tr>
      <w:tr w:rsidR="008D1AB1" w:rsidRPr="008D1AB1" w14:paraId="0123A8CD"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7625232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Quinine</w:t>
            </w:r>
          </w:p>
        </w:tc>
        <w:tc>
          <w:tcPr>
            <w:tcW w:w="683" w:type="pct"/>
            <w:tcBorders>
              <w:top w:val="nil"/>
              <w:left w:val="nil"/>
              <w:bottom w:val="single" w:sz="4" w:space="0" w:color="auto"/>
              <w:right w:val="single" w:sz="4" w:space="0" w:color="auto"/>
            </w:tcBorders>
            <w:shd w:val="clear" w:color="auto" w:fill="auto"/>
            <w:hideMark/>
          </w:tcPr>
          <w:p w14:paraId="09C1705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5CFED0A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36969E5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4B4507A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32439DA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6703356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(1968, 1969)</w:t>
            </w:r>
          </w:p>
        </w:tc>
      </w:tr>
      <w:tr w:rsidR="008D1AB1" w:rsidRPr="008D1AB1" w14:paraId="72D45EF3"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500F7CCA"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Antiviral</w:t>
            </w:r>
          </w:p>
        </w:tc>
        <w:tc>
          <w:tcPr>
            <w:tcW w:w="683" w:type="pct"/>
            <w:tcBorders>
              <w:top w:val="nil"/>
              <w:left w:val="nil"/>
              <w:bottom w:val="single" w:sz="4" w:space="0" w:color="auto"/>
              <w:right w:val="single" w:sz="4" w:space="0" w:color="auto"/>
            </w:tcBorders>
            <w:shd w:val="clear" w:color="000000" w:fill="BFBFBF"/>
            <w:hideMark/>
          </w:tcPr>
          <w:p w14:paraId="7D3333B0"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3052D83B"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753E1B7C"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6AB14BE5"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2EB986F4"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1E7B14A9"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4E81947D"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84B7C0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Atazanavir</w:t>
            </w:r>
          </w:p>
        </w:tc>
        <w:tc>
          <w:tcPr>
            <w:tcW w:w="683" w:type="pct"/>
            <w:tcBorders>
              <w:top w:val="nil"/>
              <w:left w:val="nil"/>
              <w:bottom w:val="single" w:sz="4" w:space="0" w:color="auto"/>
              <w:right w:val="single" w:sz="4" w:space="0" w:color="auto"/>
            </w:tcBorders>
            <w:shd w:val="clear" w:color="auto" w:fill="auto"/>
            <w:hideMark/>
          </w:tcPr>
          <w:p w14:paraId="62E1D3A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0C81E04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6D869EA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60811461" w14:textId="0CF81869"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52F7B16B" w14:textId="7B1F55D1"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035E2A18" w14:textId="41F93B79"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r>
      <w:tr w:rsidR="008D1AB1" w:rsidRPr="008D1AB1" w14:paraId="195CC8E4"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C2A5AF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Darunavir</w:t>
            </w:r>
          </w:p>
        </w:tc>
        <w:tc>
          <w:tcPr>
            <w:tcW w:w="683" w:type="pct"/>
            <w:tcBorders>
              <w:top w:val="nil"/>
              <w:left w:val="nil"/>
              <w:bottom w:val="single" w:sz="4" w:space="0" w:color="auto"/>
              <w:right w:val="single" w:sz="4" w:space="0" w:color="auto"/>
            </w:tcBorders>
            <w:shd w:val="clear" w:color="auto" w:fill="auto"/>
            <w:hideMark/>
          </w:tcPr>
          <w:p w14:paraId="5FF0DAF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360C639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14562E8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4943456F" w14:textId="6D75D06E"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34CB981B" w14:textId="42FAD578"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0197030D" w14:textId="60182F5A"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r>
      <w:tr w:rsidR="008D1AB1" w:rsidRPr="008D1AB1" w14:paraId="716C3E9D"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17938B0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Fosamprenavir</w:t>
            </w:r>
          </w:p>
        </w:tc>
        <w:tc>
          <w:tcPr>
            <w:tcW w:w="683" w:type="pct"/>
            <w:tcBorders>
              <w:top w:val="nil"/>
              <w:left w:val="nil"/>
              <w:bottom w:val="single" w:sz="4" w:space="0" w:color="auto"/>
              <w:right w:val="single" w:sz="4" w:space="0" w:color="auto"/>
            </w:tcBorders>
            <w:shd w:val="clear" w:color="auto" w:fill="auto"/>
            <w:hideMark/>
          </w:tcPr>
          <w:p w14:paraId="1249535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220FE16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646061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57656DBF" w14:textId="713039C7"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69302D7F" w14:textId="37863000"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784E5DAA" w14:textId="3ACA8295"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r>
      <w:tr w:rsidR="008D1AB1" w:rsidRPr="008D1AB1" w14:paraId="6E41ADE2"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0AAF09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Indinavir</w:t>
            </w:r>
          </w:p>
        </w:tc>
        <w:tc>
          <w:tcPr>
            <w:tcW w:w="683" w:type="pct"/>
            <w:tcBorders>
              <w:top w:val="nil"/>
              <w:left w:val="nil"/>
              <w:bottom w:val="single" w:sz="4" w:space="0" w:color="auto"/>
              <w:right w:val="single" w:sz="4" w:space="0" w:color="auto"/>
            </w:tcBorders>
            <w:shd w:val="clear" w:color="auto" w:fill="auto"/>
            <w:hideMark/>
          </w:tcPr>
          <w:p w14:paraId="18DDA05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Increased/ </w:t>
            </w:r>
            <w:r w:rsidRPr="00C9381C">
              <w:rPr>
                <w:rFonts w:ascii="Calibri" w:eastAsia="Times New Roman" w:hAnsi="Calibri"/>
                <w:color w:val="000000"/>
              </w:rPr>
              <w:lastRenderedPageBreak/>
              <w:t>Decreased</w:t>
            </w:r>
          </w:p>
        </w:tc>
        <w:tc>
          <w:tcPr>
            <w:tcW w:w="512" w:type="pct"/>
            <w:tcBorders>
              <w:top w:val="nil"/>
              <w:left w:val="nil"/>
              <w:bottom w:val="single" w:sz="4" w:space="0" w:color="auto"/>
              <w:right w:val="single" w:sz="4" w:space="0" w:color="auto"/>
            </w:tcBorders>
            <w:shd w:val="clear" w:color="auto" w:fill="auto"/>
            <w:noWrap/>
            <w:hideMark/>
          </w:tcPr>
          <w:p w14:paraId="095BD86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Moderate</w:t>
            </w:r>
          </w:p>
        </w:tc>
        <w:tc>
          <w:tcPr>
            <w:tcW w:w="649" w:type="pct"/>
            <w:tcBorders>
              <w:top w:val="nil"/>
              <w:left w:val="nil"/>
              <w:bottom w:val="single" w:sz="4" w:space="0" w:color="auto"/>
              <w:right w:val="single" w:sz="4" w:space="0" w:color="auto"/>
            </w:tcBorders>
            <w:shd w:val="clear" w:color="auto" w:fill="auto"/>
            <w:noWrap/>
            <w:hideMark/>
          </w:tcPr>
          <w:p w14:paraId="2389E23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7BB899BE" w14:textId="53BAD118"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73EF0395" w14:textId="505554BA"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33696B2F" w14:textId="55544CC9" w:rsidR="008D1AB1" w:rsidRPr="00C9381C" w:rsidRDefault="00120717" w:rsidP="008D1AB1">
            <w:pPr>
              <w:ind w:left="0" w:firstLine="0"/>
              <w:outlineLvl w:val="0"/>
              <w:rPr>
                <w:rFonts w:ascii="Calibri" w:eastAsia="Times New Roman" w:hAnsi="Calibri"/>
                <w:color w:val="000000"/>
              </w:rPr>
            </w:pPr>
            <w:r w:rsidRPr="002A28E4">
              <w:rPr>
                <w:rFonts w:ascii="Calibri" w:eastAsia="Times New Roman" w:hAnsi="Calibri" w:cs="Times New Roman"/>
                <w:color w:val="000000"/>
              </w:rPr>
              <w:t>not applicable</w:t>
            </w:r>
          </w:p>
        </w:tc>
      </w:tr>
      <w:tr w:rsidR="008D1AB1" w:rsidRPr="008D1AB1" w14:paraId="3A5E8207"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8B89FB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Interferon alpha</w:t>
            </w:r>
          </w:p>
        </w:tc>
        <w:tc>
          <w:tcPr>
            <w:tcW w:w="683" w:type="pct"/>
            <w:tcBorders>
              <w:top w:val="nil"/>
              <w:left w:val="nil"/>
              <w:bottom w:val="single" w:sz="4" w:space="0" w:color="auto"/>
              <w:right w:val="single" w:sz="4" w:space="0" w:color="auto"/>
            </w:tcBorders>
            <w:shd w:val="clear" w:color="auto" w:fill="auto"/>
            <w:hideMark/>
          </w:tcPr>
          <w:p w14:paraId="0DD385C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06BEC39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F61104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29B9562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462A9CB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6BC9DE3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(1995, 1998)</w:t>
            </w:r>
          </w:p>
        </w:tc>
      </w:tr>
      <w:tr w:rsidR="008D1AB1" w:rsidRPr="008D1AB1" w14:paraId="5946AFD3"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6AF1A3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Interferon beta</w:t>
            </w:r>
          </w:p>
        </w:tc>
        <w:tc>
          <w:tcPr>
            <w:tcW w:w="683" w:type="pct"/>
            <w:tcBorders>
              <w:top w:val="nil"/>
              <w:left w:val="nil"/>
              <w:bottom w:val="single" w:sz="4" w:space="0" w:color="auto"/>
              <w:right w:val="single" w:sz="4" w:space="0" w:color="auto"/>
            </w:tcBorders>
            <w:shd w:val="clear" w:color="auto" w:fill="auto"/>
            <w:hideMark/>
          </w:tcPr>
          <w:p w14:paraId="168E6BE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70CD68C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1339BCE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2910307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6D1F796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6B81452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(1995)</w:t>
            </w:r>
          </w:p>
        </w:tc>
      </w:tr>
      <w:tr w:rsidR="008D1AB1" w:rsidRPr="008D1AB1" w14:paraId="4691D0BB"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7D4169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Nelfinavir</w:t>
            </w:r>
          </w:p>
        </w:tc>
        <w:tc>
          <w:tcPr>
            <w:tcW w:w="683" w:type="pct"/>
            <w:tcBorders>
              <w:top w:val="nil"/>
              <w:left w:val="nil"/>
              <w:bottom w:val="single" w:sz="4" w:space="0" w:color="auto"/>
              <w:right w:val="single" w:sz="4" w:space="0" w:color="auto"/>
            </w:tcBorders>
            <w:shd w:val="clear" w:color="auto" w:fill="auto"/>
            <w:hideMark/>
          </w:tcPr>
          <w:p w14:paraId="6E731F4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5184D09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6F44432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28D0C50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6C2438B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retrospective study (2012), 1 case-control study (2013)</w:t>
            </w:r>
          </w:p>
        </w:tc>
        <w:tc>
          <w:tcPr>
            <w:tcW w:w="587" w:type="pct"/>
            <w:tcBorders>
              <w:top w:val="nil"/>
              <w:left w:val="nil"/>
              <w:bottom w:val="single" w:sz="4" w:space="0" w:color="auto"/>
              <w:right w:val="single" w:sz="4" w:space="0" w:color="auto"/>
            </w:tcBorders>
            <w:shd w:val="clear" w:color="auto" w:fill="auto"/>
            <w:hideMark/>
          </w:tcPr>
          <w:p w14:paraId="449FEE9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7 case reports or case series (1998-2012)</w:t>
            </w:r>
          </w:p>
        </w:tc>
      </w:tr>
      <w:tr w:rsidR="008D1AB1" w:rsidRPr="008D1AB1" w14:paraId="632E4BE0"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3016BA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Nevirapine</w:t>
            </w:r>
          </w:p>
        </w:tc>
        <w:tc>
          <w:tcPr>
            <w:tcW w:w="683" w:type="pct"/>
            <w:tcBorders>
              <w:top w:val="nil"/>
              <w:left w:val="nil"/>
              <w:bottom w:val="single" w:sz="4" w:space="0" w:color="auto"/>
              <w:right w:val="single" w:sz="4" w:space="0" w:color="auto"/>
            </w:tcBorders>
            <w:shd w:val="clear" w:color="auto" w:fill="auto"/>
            <w:hideMark/>
          </w:tcPr>
          <w:p w14:paraId="488BB7B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3313BD5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1753DF5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07AAF40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4461777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6A308A1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4 case reports (2001-2008)</w:t>
            </w:r>
          </w:p>
        </w:tc>
      </w:tr>
      <w:tr w:rsidR="008D1AB1" w:rsidRPr="008D1AB1" w14:paraId="238FD2A3"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221C11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Oseltamivir</w:t>
            </w:r>
          </w:p>
        </w:tc>
        <w:tc>
          <w:tcPr>
            <w:tcW w:w="683" w:type="pct"/>
            <w:tcBorders>
              <w:top w:val="nil"/>
              <w:left w:val="nil"/>
              <w:bottom w:val="single" w:sz="4" w:space="0" w:color="auto"/>
              <w:right w:val="single" w:sz="4" w:space="0" w:color="auto"/>
            </w:tcBorders>
            <w:shd w:val="clear" w:color="auto" w:fill="auto"/>
            <w:hideMark/>
          </w:tcPr>
          <w:p w14:paraId="63F88A3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50DAF5B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7B112B8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5CBF767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(2010)</w:t>
            </w:r>
          </w:p>
        </w:tc>
        <w:tc>
          <w:tcPr>
            <w:tcW w:w="957" w:type="pct"/>
            <w:tcBorders>
              <w:top w:val="nil"/>
              <w:left w:val="nil"/>
              <w:bottom w:val="single" w:sz="4" w:space="0" w:color="auto"/>
              <w:right w:val="single" w:sz="4" w:space="0" w:color="auto"/>
            </w:tcBorders>
            <w:shd w:val="clear" w:color="auto" w:fill="auto"/>
            <w:hideMark/>
          </w:tcPr>
          <w:p w14:paraId="382FA0E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163C54D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series (2006, 2009)</w:t>
            </w:r>
          </w:p>
        </w:tc>
      </w:tr>
      <w:tr w:rsidR="008D1AB1" w:rsidRPr="008D1AB1" w14:paraId="76ED59DC"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F908DD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Ribavirin</w:t>
            </w:r>
          </w:p>
        </w:tc>
        <w:tc>
          <w:tcPr>
            <w:tcW w:w="683" w:type="pct"/>
            <w:tcBorders>
              <w:top w:val="nil"/>
              <w:left w:val="nil"/>
              <w:bottom w:val="single" w:sz="4" w:space="0" w:color="auto"/>
              <w:right w:val="single" w:sz="4" w:space="0" w:color="auto"/>
            </w:tcBorders>
            <w:shd w:val="clear" w:color="auto" w:fill="auto"/>
            <w:hideMark/>
          </w:tcPr>
          <w:p w14:paraId="479DFD5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130BFD9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4E0B882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2B733043" w14:textId="28DA03F0" w:rsidR="008D1AB1" w:rsidRPr="00C9381C" w:rsidRDefault="00120717" w:rsidP="008D1AB1">
            <w:pPr>
              <w:ind w:left="0" w:firstLine="0"/>
              <w:outlineLvl w:val="0"/>
              <w:rPr>
                <w:rFonts w:ascii="Calibri" w:eastAsia="Times New Roman" w:hAnsi="Calibri"/>
                <w:color w:val="000000"/>
              </w:rPr>
            </w:pPr>
            <w:r w:rsidRPr="00351BFD">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7D0F49FC" w14:textId="7F72635E" w:rsidR="008D1AB1" w:rsidRPr="00C9381C" w:rsidRDefault="00120717" w:rsidP="008D1AB1">
            <w:pPr>
              <w:ind w:left="0" w:firstLine="0"/>
              <w:outlineLvl w:val="0"/>
              <w:rPr>
                <w:rFonts w:ascii="Calibri" w:eastAsia="Times New Roman" w:hAnsi="Calibri"/>
                <w:color w:val="000000"/>
              </w:rPr>
            </w:pPr>
            <w:r w:rsidRPr="00351BFD">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4E964BF8" w14:textId="57F42046" w:rsidR="008D1AB1" w:rsidRPr="00C9381C" w:rsidRDefault="00120717" w:rsidP="008D1AB1">
            <w:pPr>
              <w:ind w:left="0" w:firstLine="0"/>
              <w:outlineLvl w:val="0"/>
              <w:rPr>
                <w:rFonts w:ascii="Calibri" w:eastAsia="Times New Roman" w:hAnsi="Calibri"/>
                <w:color w:val="000000"/>
              </w:rPr>
            </w:pPr>
            <w:r w:rsidRPr="00351BFD">
              <w:rPr>
                <w:rFonts w:ascii="Calibri" w:eastAsia="Times New Roman" w:hAnsi="Calibri" w:cs="Times New Roman"/>
                <w:color w:val="000000"/>
              </w:rPr>
              <w:t>not applicable</w:t>
            </w:r>
          </w:p>
        </w:tc>
      </w:tr>
      <w:tr w:rsidR="008D1AB1" w:rsidRPr="008D1AB1" w14:paraId="3EE012BD"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A9D34E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Ritonavir</w:t>
            </w:r>
          </w:p>
        </w:tc>
        <w:tc>
          <w:tcPr>
            <w:tcW w:w="683" w:type="pct"/>
            <w:tcBorders>
              <w:top w:val="nil"/>
              <w:left w:val="nil"/>
              <w:bottom w:val="single" w:sz="4" w:space="0" w:color="auto"/>
              <w:right w:val="single" w:sz="4" w:space="0" w:color="auto"/>
            </w:tcBorders>
            <w:shd w:val="clear" w:color="auto" w:fill="auto"/>
            <w:hideMark/>
          </w:tcPr>
          <w:p w14:paraId="4C04201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554F205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7978BB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6BD869A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685970D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retrospective study (2012), 1 case-control study (2013)</w:t>
            </w:r>
          </w:p>
        </w:tc>
        <w:tc>
          <w:tcPr>
            <w:tcW w:w="587" w:type="pct"/>
            <w:tcBorders>
              <w:top w:val="nil"/>
              <w:left w:val="nil"/>
              <w:bottom w:val="single" w:sz="4" w:space="0" w:color="auto"/>
              <w:right w:val="single" w:sz="4" w:space="0" w:color="auto"/>
            </w:tcBorders>
            <w:shd w:val="clear" w:color="auto" w:fill="auto"/>
            <w:hideMark/>
          </w:tcPr>
          <w:p w14:paraId="4A4B1E8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7 case reports (1998-2012)</w:t>
            </w:r>
          </w:p>
        </w:tc>
      </w:tr>
      <w:tr w:rsidR="008D1AB1" w:rsidRPr="008D1AB1" w14:paraId="25E3F373"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53BBEB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Saquinavir</w:t>
            </w:r>
          </w:p>
        </w:tc>
        <w:tc>
          <w:tcPr>
            <w:tcW w:w="683" w:type="pct"/>
            <w:tcBorders>
              <w:top w:val="nil"/>
              <w:left w:val="nil"/>
              <w:bottom w:val="single" w:sz="4" w:space="0" w:color="auto"/>
              <w:right w:val="single" w:sz="4" w:space="0" w:color="auto"/>
            </w:tcBorders>
            <w:shd w:val="clear" w:color="auto" w:fill="auto"/>
            <w:hideMark/>
          </w:tcPr>
          <w:p w14:paraId="50114FF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4334D75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D36426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059E57CB" w14:textId="47A763C6" w:rsidR="008D1AB1" w:rsidRPr="00C9381C" w:rsidRDefault="00120717" w:rsidP="008D1AB1">
            <w:pPr>
              <w:ind w:left="0" w:firstLine="0"/>
              <w:outlineLvl w:val="0"/>
              <w:rPr>
                <w:rFonts w:ascii="Calibri" w:eastAsia="Times New Roman" w:hAnsi="Calibri"/>
                <w:color w:val="000000"/>
              </w:rPr>
            </w:pPr>
            <w:r w:rsidRPr="00A64253">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269AA937" w14:textId="7F3A0814" w:rsidR="008D1AB1" w:rsidRPr="00C9381C" w:rsidRDefault="00120717" w:rsidP="008D1AB1">
            <w:pPr>
              <w:ind w:left="0" w:firstLine="0"/>
              <w:outlineLvl w:val="0"/>
              <w:rPr>
                <w:rFonts w:ascii="Calibri" w:eastAsia="Times New Roman" w:hAnsi="Calibri"/>
                <w:color w:val="000000"/>
              </w:rPr>
            </w:pPr>
            <w:r w:rsidRPr="00A64253">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165A6BBD" w14:textId="00F95E1C" w:rsidR="008D1AB1" w:rsidRPr="00C9381C" w:rsidRDefault="00120717" w:rsidP="008D1AB1">
            <w:pPr>
              <w:ind w:left="0" w:firstLine="0"/>
              <w:outlineLvl w:val="0"/>
              <w:rPr>
                <w:rFonts w:ascii="Calibri" w:eastAsia="Times New Roman" w:hAnsi="Calibri"/>
                <w:color w:val="000000"/>
              </w:rPr>
            </w:pPr>
            <w:r w:rsidRPr="00A64253">
              <w:rPr>
                <w:rFonts w:ascii="Calibri" w:eastAsia="Times New Roman" w:hAnsi="Calibri" w:cs="Times New Roman"/>
                <w:color w:val="000000"/>
              </w:rPr>
              <w:t>not applicable</w:t>
            </w:r>
          </w:p>
        </w:tc>
      </w:tr>
      <w:tr w:rsidR="008D1AB1" w:rsidRPr="008D1AB1" w14:paraId="1F2DDAD3"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4FF48B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Tipranavir</w:t>
            </w:r>
          </w:p>
        </w:tc>
        <w:tc>
          <w:tcPr>
            <w:tcW w:w="683" w:type="pct"/>
            <w:tcBorders>
              <w:top w:val="nil"/>
              <w:left w:val="nil"/>
              <w:bottom w:val="single" w:sz="4" w:space="0" w:color="auto"/>
              <w:right w:val="single" w:sz="4" w:space="0" w:color="auto"/>
            </w:tcBorders>
            <w:shd w:val="clear" w:color="auto" w:fill="auto"/>
            <w:hideMark/>
          </w:tcPr>
          <w:p w14:paraId="40944D7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 Decreased</w:t>
            </w:r>
          </w:p>
        </w:tc>
        <w:tc>
          <w:tcPr>
            <w:tcW w:w="512" w:type="pct"/>
            <w:tcBorders>
              <w:top w:val="nil"/>
              <w:left w:val="nil"/>
              <w:bottom w:val="single" w:sz="4" w:space="0" w:color="auto"/>
              <w:right w:val="single" w:sz="4" w:space="0" w:color="auto"/>
            </w:tcBorders>
            <w:shd w:val="clear" w:color="auto" w:fill="auto"/>
            <w:noWrap/>
            <w:hideMark/>
          </w:tcPr>
          <w:p w14:paraId="146CE40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307424C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72B2B589" w14:textId="757FD902" w:rsidR="008D1AB1" w:rsidRPr="00C9381C" w:rsidRDefault="00120717" w:rsidP="008D1AB1">
            <w:pPr>
              <w:ind w:left="0" w:firstLine="0"/>
              <w:outlineLvl w:val="0"/>
              <w:rPr>
                <w:rFonts w:ascii="Calibri" w:eastAsia="Times New Roman" w:hAnsi="Calibri"/>
                <w:color w:val="000000"/>
              </w:rPr>
            </w:pPr>
            <w:r>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4CEB362A" w14:textId="7D593657" w:rsidR="008D1AB1" w:rsidRPr="00C9381C" w:rsidRDefault="00120717" w:rsidP="008D1AB1">
            <w:pPr>
              <w:ind w:left="0" w:firstLine="0"/>
              <w:outlineLvl w:val="0"/>
              <w:rPr>
                <w:rFonts w:ascii="Calibri" w:eastAsia="Times New Roman" w:hAnsi="Calibri"/>
                <w:color w:val="000000"/>
              </w:rPr>
            </w:pPr>
            <w:r w:rsidRPr="000C4C83">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7689CA96" w14:textId="62569663" w:rsidR="008D1AB1" w:rsidRPr="00C9381C" w:rsidRDefault="00120717" w:rsidP="008D1AB1">
            <w:pPr>
              <w:ind w:left="0" w:firstLine="0"/>
              <w:outlineLvl w:val="0"/>
              <w:rPr>
                <w:rFonts w:ascii="Calibri" w:eastAsia="Times New Roman" w:hAnsi="Calibri"/>
                <w:color w:val="000000"/>
              </w:rPr>
            </w:pPr>
            <w:r w:rsidRPr="000C4C83">
              <w:rPr>
                <w:rFonts w:ascii="Calibri" w:eastAsia="Times New Roman" w:hAnsi="Calibri" w:cs="Times New Roman"/>
                <w:color w:val="000000"/>
              </w:rPr>
              <w:t>not applicable</w:t>
            </w:r>
          </w:p>
        </w:tc>
      </w:tr>
      <w:tr w:rsidR="008D1AB1" w:rsidRPr="008D1AB1" w14:paraId="265A6BB6"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3D308D92"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Cephalosporins</w:t>
            </w:r>
          </w:p>
        </w:tc>
        <w:tc>
          <w:tcPr>
            <w:tcW w:w="683" w:type="pct"/>
            <w:tcBorders>
              <w:top w:val="nil"/>
              <w:left w:val="nil"/>
              <w:bottom w:val="single" w:sz="4" w:space="0" w:color="auto"/>
              <w:right w:val="single" w:sz="4" w:space="0" w:color="auto"/>
            </w:tcBorders>
            <w:shd w:val="clear" w:color="000000" w:fill="BFBFBF"/>
            <w:hideMark/>
          </w:tcPr>
          <w:p w14:paraId="0AB3E75E"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32BFC602"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021C11CC"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09E37523"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761171C4"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164669ED"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48C99AF1"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75E2EAF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Cefotetan</w:t>
            </w:r>
          </w:p>
        </w:tc>
        <w:tc>
          <w:tcPr>
            <w:tcW w:w="683" w:type="pct"/>
            <w:tcBorders>
              <w:top w:val="nil"/>
              <w:left w:val="nil"/>
              <w:bottom w:val="single" w:sz="4" w:space="0" w:color="auto"/>
              <w:right w:val="single" w:sz="4" w:space="0" w:color="auto"/>
            </w:tcBorders>
            <w:shd w:val="clear" w:color="auto" w:fill="auto"/>
            <w:hideMark/>
          </w:tcPr>
          <w:p w14:paraId="1D5C513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79A42B8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2A25D81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08E0D21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33E8720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Cefamandole: 1 retrospective study (1984), 1 prospective study (1987)</w:t>
            </w:r>
          </w:p>
        </w:tc>
        <w:tc>
          <w:tcPr>
            <w:tcW w:w="587" w:type="pct"/>
            <w:tcBorders>
              <w:top w:val="nil"/>
              <w:left w:val="nil"/>
              <w:bottom w:val="single" w:sz="4" w:space="0" w:color="auto"/>
              <w:right w:val="single" w:sz="4" w:space="0" w:color="auto"/>
            </w:tcBorders>
            <w:shd w:val="clear" w:color="auto" w:fill="auto"/>
            <w:hideMark/>
          </w:tcPr>
          <w:p w14:paraId="776A6C4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r>
      <w:tr w:rsidR="008D1AB1" w:rsidRPr="008D1AB1" w14:paraId="63696D60"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7949E8A3"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Fluoroquinolones</w:t>
            </w:r>
          </w:p>
        </w:tc>
        <w:tc>
          <w:tcPr>
            <w:tcW w:w="683" w:type="pct"/>
            <w:tcBorders>
              <w:top w:val="nil"/>
              <w:left w:val="nil"/>
              <w:bottom w:val="single" w:sz="4" w:space="0" w:color="auto"/>
              <w:right w:val="single" w:sz="4" w:space="0" w:color="auto"/>
            </w:tcBorders>
            <w:shd w:val="clear" w:color="000000" w:fill="BFBFBF"/>
            <w:hideMark/>
          </w:tcPr>
          <w:p w14:paraId="236EB44C"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69077D7B"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5F65C886"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5ECAABA6"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2027D985"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33D09178"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0512370C"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E95F25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Ciprofloxacin</w:t>
            </w:r>
          </w:p>
        </w:tc>
        <w:tc>
          <w:tcPr>
            <w:tcW w:w="683" w:type="pct"/>
            <w:tcBorders>
              <w:top w:val="nil"/>
              <w:left w:val="nil"/>
              <w:bottom w:val="single" w:sz="4" w:space="0" w:color="auto"/>
              <w:right w:val="single" w:sz="4" w:space="0" w:color="auto"/>
            </w:tcBorders>
            <w:shd w:val="clear" w:color="auto" w:fill="auto"/>
            <w:hideMark/>
          </w:tcPr>
          <w:p w14:paraId="397EADC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BDC76C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63C60DA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nil"/>
            </w:tcBorders>
            <w:shd w:val="clear" w:color="auto" w:fill="auto"/>
            <w:hideMark/>
          </w:tcPr>
          <w:p w14:paraId="4005C90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single" w:sz="4" w:space="0" w:color="auto"/>
              <w:bottom w:val="single" w:sz="4" w:space="0" w:color="auto"/>
              <w:right w:val="single" w:sz="4" w:space="0" w:color="auto"/>
            </w:tcBorders>
            <w:shd w:val="clear" w:color="auto" w:fill="auto"/>
            <w:hideMark/>
          </w:tcPr>
          <w:p w14:paraId="38FF09AF" w14:textId="6BDE4534"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nested case-control study (2010), 3 controlled studies (1991-1996)</w:t>
            </w:r>
          </w:p>
        </w:tc>
        <w:tc>
          <w:tcPr>
            <w:tcW w:w="587" w:type="pct"/>
            <w:tcBorders>
              <w:top w:val="nil"/>
              <w:left w:val="nil"/>
              <w:bottom w:val="single" w:sz="4" w:space="0" w:color="auto"/>
              <w:right w:val="single" w:sz="4" w:space="0" w:color="auto"/>
            </w:tcBorders>
            <w:shd w:val="clear" w:color="auto" w:fill="auto"/>
            <w:hideMark/>
          </w:tcPr>
          <w:p w14:paraId="2B23521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9 case reports (1989-2000)</w:t>
            </w:r>
          </w:p>
        </w:tc>
      </w:tr>
      <w:tr w:rsidR="008D1AB1" w:rsidRPr="008D1AB1" w14:paraId="3040D0CC"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26D67B4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Levofloxacin</w:t>
            </w:r>
          </w:p>
        </w:tc>
        <w:tc>
          <w:tcPr>
            <w:tcW w:w="683" w:type="pct"/>
            <w:tcBorders>
              <w:top w:val="nil"/>
              <w:left w:val="nil"/>
              <w:bottom w:val="single" w:sz="4" w:space="0" w:color="auto"/>
              <w:right w:val="single" w:sz="4" w:space="0" w:color="auto"/>
            </w:tcBorders>
            <w:shd w:val="clear" w:color="auto" w:fill="auto"/>
            <w:hideMark/>
          </w:tcPr>
          <w:p w14:paraId="0D4474A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163B783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0280B30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single" w:sz="4" w:space="0" w:color="auto"/>
              <w:left w:val="nil"/>
              <w:bottom w:val="single" w:sz="4" w:space="0" w:color="auto"/>
              <w:right w:val="single" w:sz="4" w:space="0" w:color="auto"/>
            </w:tcBorders>
            <w:shd w:val="clear" w:color="auto" w:fill="auto"/>
            <w:hideMark/>
          </w:tcPr>
          <w:p w14:paraId="1E5FBDA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(1996)</w:t>
            </w:r>
          </w:p>
        </w:tc>
        <w:tc>
          <w:tcPr>
            <w:tcW w:w="957" w:type="pct"/>
            <w:tcBorders>
              <w:top w:val="nil"/>
              <w:left w:val="nil"/>
              <w:bottom w:val="single" w:sz="4" w:space="0" w:color="auto"/>
              <w:right w:val="single" w:sz="4" w:space="0" w:color="auto"/>
            </w:tcBorders>
            <w:shd w:val="clear" w:color="auto" w:fill="auto"/>
            <w:hideMark/>
          </w:tcPr>
          <w:p w14:paraId="59FA669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2 retrospective reviews </w:t>
            </w:r>
            <w:r w:rsidRPr="00C9381C">
              <w:rPr>
                <w:rFonts w:ascii="Calibri" w:eastAsia="Times New Roman" w:hAnsi="Calibri"/>
                <w:color w:val="000000"/>
              </w:rPr>
              <w:lastRenderedPageBreak/>
              <w:t>(2006, 2009), 1 case-control study (2005)</w:t>
            </w:r>
          </w:p>
        </w:tc>
        <w:tc>
          <w:tcPr>
            <w:tcW w:w="587" w:type="pct"/>
            <w:tcBorders>
              <w:top w:val="nil"/>
              <w:left w:val="nil"/>
              <w:bottom w:val="single" w:sz="4" w:space="0" w:color="auto"/>
              <w:right w:val="single" w:sz="4" w:space="0" w:color="auto"/>
            </w:tcBorders>
            <w:shd w:val="clear" w:color="auto" w:fill="auto"/>
            <w:hideMark/>
          </w:tcPr>
          <w:p w14:paraId="763D7F1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 xml:space="preserve">5 case reports </w:t>
            </w:r>
            <w:r w:rsidRPr="00C9381C">
              <w:rPr>
                <w:rFonts w:ascii="Calibri" w:eastAsia="Times New Roman" w:hAnsi="Calibri"/>
                <w:color w:val="000000"/>
              </w:rPr>
              <w:lastRenderedPageBreak/>
              <w:t>(2001-2007)</w:t>
            </w:r>
          </w:p>
        </w:tc>
      </w:tr>
      <w:tr w:rsidR="008D1AB1" w:rsidRPr="008D1AB1" w14:paraId="4F53EF2F"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4196F44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Moxifloxacin</w:t>
            </w:r>
          </w:p>
        </w:tc>
        <w:tc>
          <w:tcPr>
            <w:tcW w:w="683" w:type="pct"/>
            <w:tcBorders>
              <w:top w:val="nil"/>
              <w:left w:val="nil"/>
              <w:bottom w:val="single" w:sz="4" w:space="0" w:color="auto"/>
              <w:right w:val="single" w:sz="4" w:space="0" w:color="auto"/>
            </w:tcBorders>
            <w:shd w:val="clear" w:color="auto" w:fill="auto"/>
            <w:hideMark/>
          </w:tcPr>
          <w:p w14:paraId="5727382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16A194D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4FD70AA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nil"/>
              <w:right w:val="nil"/>
            </w:tcBorders>
            <w:shd w:val="clear" w:color="auto" w:fill="auto"/>
            <w:hideMark/>
          </w:tcPr>
          <w:p w14:paraId="07C0F57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single" w:sz="4" w:space="0" w:color="auto"/>
              <w:bottom w:val="single" w:sz="4" w:space="0" w:color="auto"/>
              <w:right w:val="single" w:sz="4" w:space="0" w:color="auto"/>
            </w:tcBorders>
            <w:shd w:val="clear" w:color="auto" w:fill="auto"/>
            <w:hideMark/>
          </w:tcPr>
          <w:p w14:paraId="1095008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3F41833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4 case reports (2003-2008)</w:t>
            </w:r>
          </w:p>
        </w:tc>
      </w:tr>
      <w:tr w:rsidR="008D1AB1" w:rsidRPr="008D1AB1" w14:paraId="6886D233"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20BB0D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Norfloxacin</w:t>
            </w:r>
          </w:p>
        </w:tc>
        <w:tc>
          <w:tcPr>
            <w:tcW w:w="683" w:type="pct"/>
            <w:tcBorders>
              <w:top w:val="nil"/>
              <w:left w:val="nil"/>
              <w:bottom w:val="single" w:sz="4" w:space="0" w:color="auto"/>
              <w:right w:val="single" w:sz="4" w:space="0" w:color="auto"/>
            </w:tcBorders>
            <w:shd w:val="clear" w:color="auto" w:fill="auto"/>
            <w:hideMark/>
          </w:tcPr>
          <w:p w14:paraId="758D29D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38AD3E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3FEF303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single" w:sz="4" w:space="0" w:color="auto"/>
              <w:left w:val="nil"/>
              <w:bottom w:val="single" w:sz="4" w:space="0" w:color="auto"/>
              <w:right w:val="single" w:sz="4" w:space="0" w:color="auto"/>
            </w:tcBorders>
            <w:shd w:val="clear" w:color="auto" w:fill="auto"/>
            <w:hideMark/>
          </w:tcPr>
          <w:p w14:paraId="561865E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(1990)</w:t>
            </w:r>
          </w:p>
        </w:tc>
        <w:tc>
          <w:tcPr>
            <w:tcW w:w="957" w:type="pct"/>
            <w:tcBorders>
              <w:top w:val="nil"/>
              <w:left w:val="nil"/>
              <w:bottom w:val="single" w:sz="4" w:space="0" w:color="auto"/>
              <w:right w:val="single" w:sz="4" w:space="0" w:color="auto"/>
            </w:tcBorders>
            <w:shd w:val="clear" w:color="auto" w:fill="auto"/>
            <w:hideMark/>
          </w:tcPr>
          <w:p w14:paraId="010AE95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1AA5DFC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(1989, 1991)</w:t>
            </w:r>
          </w:p>
        </w:tc>
      </w:tr>
      <w:tr w:rsidR="008D1AB1" w:rsidRPr="008D1AB1" w14:paraId="589A41F7"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173ACC0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Ofloxacin</w:t>
            </w:r>
          </w:p>
        </w:tc>
        <w:tc>
          <w:tcPr>
            <w:tcW w:w="683" w:type="pct"/>
            <w:tcBorders>
              <w:top w:val="nil"/>
              <w:left w:val="nil"/>
              <w:bottom w:val="single" w:sz="4" w:space="0" w:color="auto"/>
              <w:right w:val="single" w:sz="4" w:space="0" w:color="auto"/>
            </w:tcBorders>
            <w:shd w:val="clear" w:color="auto" w:fill="auto"/>
            <w:hideMark/>
          </w:tcPr>
          <w:p w14:paraId="45B0F99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3163C45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5B6EFC3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single" w:sz="4" w:space="0" w:color="auto"/>
              <w:left w:val="nil"/>
              <w:bottom w:val="single" w:sz="4" w:space="0" w:color="auto"/>
              <w:right w:val="nil"/>
            </w:tcBorders>
            <w:shd w:val="clear" w:color="auto" w:fill="auto"/>
            <w:hideMark/>
          </w:tcPr>
          <w:p w14:paraId="4BCEAAF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single" w:sz="4" w:space="0" w:color="auto"/>
              <w:bottom w:val="single" w:sz="4" w:space="0" w:color="auto"/>
              <w:right w:val="single" w:sz="4" w:space="0" w:color="auto"/>
            </w:tcBorders>
            <w:shd w:val="clear" w:color="auto" w:fill="auto"/>
            <w:hideMark/>
          </w:tcPr>
          <w:p w14:paraId="528094A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29D4825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(1988, 1993)</w:t>
            </w:r>
          </w:p>
        </w:tc>
      </w:tr>
      <w:tr w:rsidR="008D1AB1" w:rsidRPr="008D1AB1" w14:paraId="6A80E3D7"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30E17733"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Macrolides</w:t>
            </w:r>
          </w:p>
        </w:tc>
        <w:tc>
          <w:tcPr>
            <w:tcW w:w="683" w:type="pct"/>
            <w:tcBorders>
              <w:top w:val="nil"/>
              <w:left w:val="nil"/>
              <w:bottom w:val="single" w:sz="4" w:space="0" w:color="auto"/>
              <w:right w:val="single" w:sz="4" w:space="0" w:color="auto"/>
            </w:tcBorders>
            <w:shd w:val="clear" w:color="000000" w:fill="BFBFBF"/>
            <w:hideMark/>
          </w:tcPr>
          <w:p w14:paraId="54A6AA88"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18E8F66E"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3C429754"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61B44249"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5B5FE361"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08A2D98E"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465E5C05"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DB1A55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Azithromycin</w:t>
            </w:r>
          </w:p>
        </w:tc>
        <w:tc>
          <w:tcPr>
            <w:tcW w:w="683" w:type="pct"/>
            <w:tcBorders>
              <w:top w:val="nil"/>
              <w:left w:val="nil"/>
              <w:bottom w:val="single" w:sz="4" w:space="0" w:color="auto"/>
              <w:right w:val="single" w:sz="4" w:space="0" w:color="auto"/>
            </w:tcBorders>
            <w:shd w:val="clear" w:color="auto" w:fill="auto"/>
            <w:hideMark/>
          </w:tcPr>
          <w:p w14:paraId="5320EC9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3120818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4715950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2203BD0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0476D2C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1 study and 1 retrospective study (2004, 2005), 1 case-control study (2000), 1 retrospective cohort study (2004) </w:t>
            </w:r>
          </w:p>
        </w:tc>
        <w:tc>
          <w:tcPr>
            <w:tcW w:w="587" w:type="pct"/>
            <w:tcBorders>
              <w:top w:val="nil"/>
              <w:left w:val="nil"/>
              <w:bottom w:val="single" w:sz="4" w:space="0" w:color="auto"/>
              <w:right w:val="single" w:sz="4" w:space="0" w:color="auto"/>
            </w:tcBorders>
            <w:shd w:val="clear" w:color="auto" w:fill="auto"/>
            <w:hideMark/>
          </w:tcPr>
          <w:p w14:paraId="5D8159C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6 case reports (1996-2004)</w:t>
            </w:r>
          </w:p>
        </w:tc>
      </w:tr>
      <w:tr w:rsidR="008D1AB1" w:rsidRPr="008D1AB1" w14:paraId="67A411B1"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2CFD0A2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Clarithromycin</w:t>
            </w:r>
          </w:p>
        </w:tc>
        <w:tc>
          <w:tcPr>
            <w:tcW w:w="683" w:type="pct"/>
            <w:tcBorders>
              <w:top w:val="nil"/>
              <w:left w:val="nil"/>
              <w:bottom w:val="single" w:sz="4" w:space="0" w:color="auto"/>
              <w:right w:val="single" w:sz="4" w:space="0" w:color="auto"/>
            </w:tcBorders>
            <w:shd w:val="clear" w:color="auto" w:fill="auto"/>
            <w:hideMark/>
          </w:tcPr>
          <w:p w14:paraId="027B47F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E83D73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32E4640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7EDF15F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4F5BB83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(2004)</w:t>
            </w:r>
          </w:p>
        </w:tc>
        <w:tc>
          <w:tcPr>
            <w:tcW w:w="587" w:type="pct"/>
            <w:tcBorders>
              <w:top w:val="nil"/>
              <w:left w:val="nil"/>
              <w:bottom w:val="single" w:sz="4" w:space="0" w:color="auto"/>
              <w:right w:val="single" w:sz="4" w:space="0" w:color="auto"/>
            </w:tcBorders>
            <w:shd w:val="clear" w:color="auto" w:fill="auto"/>
            <w:hideMark/>
          </w:tcPr>
          <w:p w14:paraId="0CB71B6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6 case reports (1996-2001)</w:t>
            </w:r>
          </w:p>
        </w:tc>
      </w:tr>
      <w:tr w:rsidR="008D1AB1" w:rsidRPr="008D1AB1" w14:paraId="69932927"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1C479F2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Erythromycin</w:t>
            </w:r>
          </w:p>
        </w:tc>
        <w:tc>
          <w:tcPr>
            <w:tcW w:w="683" w:type="pct"/>
            <w:tcBorders>
              <w:top w:val="nil"/>
              <w:left w:val="nil"/>
              <w:bottom w:val="single" w:sz="4" w:space="0" w:color="auto"/>
              <w:right w:val="single" w:sz="4" w:space="0" w:color="auto"/>
            </w:tcBorders>
            <w:shd w:val="clear" w:color="auto" w:fill="auto"/>
            <w:hideMark/>
          </w:tcPr>
          <w:p w14:paraId="02B050B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11537E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660E4DF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4DD204A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(1998), 2 controlled studies (1984, 1989)</w:t>
            </w:r>
          </w:p>
        </w:tc>
        <w:tc>
          <w:tcPr>
            <w:tcW w:w="957" w:type="pct"/>
            <w:tcBorders>
              <w:top w:val="nil"/>
              <w:left w:val="nil"/>
              <w:bottom w:val="single" w:sz="4" w:space="0" w:color="auto"/>
              <w:right w:val="single" w:sz="4" w:space="0" w:color="auto"/>
            </w:tcBorders>
            <w:shd w:val="clear" w:color="auto" w:fill="auto"/>
            <w:hideMark/>
          </w:tcPr>
          <w:p w14:paraId="0D09412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(2004)</w:t>
            </w:r>
          </w:p>
        </w:tc>
        <w:tc>
          <w:tcPr>
            <w:tcW w:w="587" w:type="pct"/>
            <w:tcBorders>
              <w:top w:val="nil"/>
              <w:left w:val="nil"/>
              <w:bottom w:val="single" w:sz="4" w:space="0" w:color="auto"/>
              <w:right w:val="single" w:sz="4" w:space="0" w:color="auto"/>
            </w:tcBorders>
            <w:shd w:val="clear" w:color="auto" w:fill="auto"/>
            <w:hideMark/>
          </w:tcPr>
          <w:p w14:paraId="3716324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9 case reports (1980-2010) </w:t>
            </w:r>
          </w:p>
        </w:tc>
      </w:tr>
      <w:tr w:rsidR="008D1AB1" w:rsidRPr="008D1AB1" w14:paraId="2A1EA693"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4D9E9DD3"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Penicillin</w:t>
            </w:r>
          </w:p>
        </w:tc>
        <w:tc>
          <w:tcPr>
            <w:tcW w:w="683" w:type="pct"/>
            <w:tcBorders>
              <w:top w:val="nil"/>
              <w:left w:val="nil"/>
              <w:bottom w:val="single" w:sz="4" w:space="0" w:color="auto"/>
              <w:right w:val="single" w:sz="4" w:space="0" w:color="auto"/>
            </w:tcBorders>
            <w:shd w:val="clear" w:color="000000" w:fill="BFBFBF"/>
            <w:hideMark/>
          </w:tcPr>
          <w:p w14:paraId="59198DA1"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445B3B7F"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7B064116"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39FBF3E9"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11C90258"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676BB57F"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0D8D8CDB"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74E91C4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Amoxicillin</w:t>
            </w:r>
          </w:p>
        </w:tc>
        <w:tc>
          <w:tcPr>
            <w:tcW w:w="683" w:type="pct"/>
            <w:tcBorders>
              <w:top w:val="nil"/>
              <w:left w:val="nil"/>
              <w:bottom w:val="single" w:sz="4" w:space="0" w:color="auto"/>
              <w:right w:val="single" w:sz="4" w:space="0" w:color="auto"/>
            </w:tcBorders>
            <w:shd w:val="clear" w:color="auto" w:fill="auto"/>
            <w:hideMark/>
          </w:tcPr>
          <w:p w14:paraId="2DEEEFE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276C44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6155346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1CC763D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284E6A4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634FF59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4 case reports (1993-2001)</w:t>
            </w:r>
          </w:p>
        </w:tc>
      </w:tr>
      <w:tr w:rsidR="008D1AB1" w:rsidRPr="008D1AB1" w14:paraId="2E5F4F13"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A616FB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Amoxicillin/clavulanic acid</w:t>
            </w:r>
          </w:p>
        </w:tc>
        <w:tc>
          <w:tcPr>
            <w:tcW w:w="683" w:type="pct"/>
            <w:tcBorders>
              <w:top w:val="nil"/>
              <w:left w:val="nil"/>
              <w:bottom w:val="single" w:sz="4" w:space="0" w:color="auto"/>
              <w:right w:val="single" w:sz="4" w:space="0" w:color="auto"/>
            </w:tcBorders>
            <w:shd w:val="clear" w:color="auto" w:fill="auto"/>
            <w:hideMark/>
          </w:tcPr>
          <w:p w14:paraId="5707CE9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618D748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0ABB908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58A40A5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(2011)</w:t>
            </w:r>
          </w:p>
        </w:tc>
        <w:tc>
          <w:tcPr>
            <w:tcW w:w="957" w:type="pct"/>
            <w:tcBorders>
              <w:top w:val="nil"/>
              <w:left w:val="nil"/>
              <w:bottom w:val="single" w:sz="4" w:space="0" w:color="auto"/>
              <w:right w:val="single" w:sz="4" w:space="0" w:color="auto"/>
            </w:tcBorders>
            <w:shd w:val="clear" w:color="auto" w:fill="auto"/>
            <w:hideMark/>
          </w:tcPr>
          <w:p w14:paraId="282EA00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1FBCF06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5 case reports (1993-2009)</w:t>
            </w:r>
          </w:p>
        </w:tc>
      </w:tr>
      <w:tr w:rsidR="008D1AB1" w:rsidRPr="008D1AB1" w14:paraId="3EAB2E20"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1969537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Ampicillin</w:t>
            </w:r>
          </w:p>
        </w:tc>
        <w:tc>
          <w:tcPr>
            <w:tcW w:w="683" w:type="pct"/>
            <w:tcBorders>
              <w:top w:val="nil"/>
              <w:left w:val="nil"/>
              <w:bottom w:val="single" w:sz="4" w:space="0" w:color="auto"/>
              <w:right w:val="single" w:sz="4" w:space="0" w:color="auto"/>
            </w:tcBorders>
            <w:shd w:val="clear" w:color="auto" w:fill="auto"/>
            <w:hideMark/>
          </w:tcPr>
          <w:p w14:paraId="78B39B3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1D57C7B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4B9636E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0959DCC7" w14:textId="77777777" w:rsidR="00BE25C7" w:rsidRDefault="008D1AB1" w:rsidP="00C9381C">
            <w:pPr>
              <w:ind w:left="0" w:firstLine="0"/>
              <w:outlineLvl w:val="0"/>
              <w:rPr>
                <w:rFonts w:ascii="Calibri" w:eastAsia="Times New Roman" w:hAnsi="Calibri" w:cs="Times New Roman"/>
                <w:color w:val="000000"/>
              </w:rPr>
            </w:pPr>
            <w:r w:rsidRPr="00C9381C">
              <w:rPr>
                <w:rFonts w:ascii="Calibri" w:eastAsia="Times New Roman" w:hAnsi="Calibri"/>
                <w:color w:val="000000"/>
              </w:rPr>
              <w:t xml:space="preserve">Evidence in ampicillin monograph relates to </w:t>
            </w:r>
            <w:r w:rsidRPr="00C9381C">
              <w:rPr>
                <w:rFonts w:ascii="Calibri" w:eastAsia="Times New Roman" w:hAnsi="Calibri"/>
                <w:color w:val="000000"/>
              </w:rPr>
              <w:lastRenderedPageBreak/>
              <w:t>amoxicillin and amoxicillin/</w:t>
            </w:r>
          </w:p>
          <w:p w14:paraId="5CC56AA6" w14:textId="5777845A"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clavulanic acid (see above for those results)</w:t>
            </w:r>
          </w:p>
        </w:tc>
        <w:tc>
          <w:tcPr>
            <w:tcW w:w="957" w:type="pct"/>
            <w:tcBorders>
              <w:top w:val="nil"/>
              <w:left w:val="nil"/>
              <w:bottom w:val="single" w:sz="4" w:space="0" w:color="auto"/>
              <w:right w:val="single" w:sz="4" w:space="0" w:color="auto"/>
            </w:tcBorders>
            <w:shd w:val="clear" w:color="auto" w:fill="auto"/>
            <w:hideMark/>
          </w:tcPr>
          <w:p w14:paraId="1C9952A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 xml:space="preserve">Evidence in ampicillin monograph relates to amoxicillin and amoxicillin/clavulanic </w:t>
            </w:r>
            <w:r w:rsidRPr="00C9381C">
              <w:rPr>
                <w:rFonts w:ascii="Calibri" w:eastAsia="Times New Roman" w:hAnsi="Calibri"/>
                <w:color w:val="000000"/>
              </w:rPr>
              <w:lastRenderedPageBreak/>
              <w:t>acid (see above for those results)</w:t>
            </w:r>
          </w:p>
        </w:tc>
        <w:tc>
          <w:tcPr>
            <w:tcW w:w="587" w:type="pct"/>
            <w:tcBorders>
              <w:top w:val="nil"/>
              <w:left w:val="nil"/>
              <w:bottom w:val="single" w:sz="4" w:space="0" w:color="auto"/>
              <w:right w:val="single" w:sz="4" w:space="0" w:color="auto"/>
            </w:tcBorders>
            <w:shd w:val="clear" w:color="auto" w:fill="auto"/>
            <w:hideMark/>
          </w:tcPr>
          <w:p w14:paraId="0FB10EBD" w14:textId="77777777" w:rsidR="00BE25C7" w:rsidRDefault="008D1AB1" w:rsidP="00C9381C">
            <w:pPr>
              <w:ind w:left="0" w:firstLine="0"/>
              <w:outlineLvl w:val="0"/>
              <w:rPr>
                <w:rFonts w:ascii="Calibri" w:eastAsia="Times New Roman" w:hAnsi="Calibri" w:cs="Times New Roman"/>
                <w:color w:val="000000"/>
              </w:rPr>
            </w:pPr>
            <w:r w:rsidRPr="00C9381C">
              <w:rPr>
                <w:rFonts w:ascii="Calibri" w:eastAsia="Times New Roman" w:hAnsi="Calibri"/>
                <w:color w:val="000000"/>
              </w:rPr>
              <w:lastRenderedPageBreak/>
              <w:t xml:space="preserve">Evidence in ampicillin monograph relates to </w:t>
            </w:r>
            <w:r w:rsidRPr="00C9381C">
              <w:rPr>
                <w:rFonts w:ascii="Calibri" w:eastAsia="Times New Roman" w:hAnsi="Calibri"/>
                <w:color w:val="000000"/>
              </w:rPr>
              <w:lastRenderedPageBreak/>
              <w:t>amoxicillin and amoxicillin/</w:t>
            </w:r>
          </w:p>
          <w:p w14:paraId="41038251" w14:textId="168F170B"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clavulanic acid (see above for those results)</w:t>
            </w:r>
          </w:p>
        </w:tc>
      </w:tr>
      <w:tr w:rsidR="008D1AB1" w:rsidRPr="008D1AB1" w14:paraId="164DFCD2"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48154D2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Dicloxacillin</w:t>
            </w:r>
          </w:p>
        </w:tc>
        <w:tc>
          <w:tcPr>
            <w:tcW w:w="683" w:type="pct"/>
            <w:tcBorders>
              <w:top w:val="nil"/>
              <w:left w:val="nil"/>
              <w:bottom w:val="single" w:sz="4" w:space="0" w:color="auto"/>
              <w:right w:val="single" w:sz="4" w:space="0" w:color="auto"/>
            </w:tcBorders>
            <w:shd w:val="clear" w:color="auto" w:fill="auto"/>
            <w:hideMark/>
          </w:tcPr>
          <w:p w14:paraId="743DAE9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7D60373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6F32263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71F02C7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25E5FAF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02DA933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6 case reports (1987-2010)</w:t>
            </w:r>
          </w:p>
        </w:tc>
      </w:tr>
      <w:tr w:rsidR="008D1AB1" w:rsidRPr="008D1AB1" w14:paraId="31B79A8D"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48E8D05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Nafcillin</w:t>
            </w:r>
          </w:p>
        </w:tc>
        <w:tc>
          <w:tcPr>
            <w:tcW w:w="683" w:type="pct"/>
            <w:tcBorders>
              <w:top w:val="nil"/>
              <w:left w:val="nil"/>
              <w:bottom w:val="single" w:sz="4" w:space="0" w:color="auto"/>
              <w:right w:val="single" w:sz="4" w:space="0" w:color="auto"/>
            </w:tcBorders>
            <w:shd w:val="clear" w:color="auto" w:fill="auto"/>
            <w:hideMark/>
          </w:tcPr>
          <w:p w14:paraId="268D987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211EAE3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310DB15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nil"/>
              <w:left w:val="nil"/>
              <w:bottom w:val="single" w:sz="4" w:space="0" w:color="auto"/>
              <w:right w:val="single" w:sz="4" w:space="0" w:color="auto"/>
            </w:tcBorders>
            <w:shd w:val="clear" w:color="auto" w:fill="auto"/>
            <w:hideMark/>
          </w:tcPr>
          <w:p w14:paraId="755A50F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24E2050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0DE8A96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7 case reports (1984-2007)</w:t>
            </w:r>
          </w:p>
        </w:tc>
      </w:tr>
      <w:tr w:rsidR="008D1AB1" w:rsidRPr="008D1AB1" w14:paraId="3FB9CE79"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BB0EDA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Oxacillin</w:t>
            </w:r>
          </w:p>
        </w:tc>
        <w:tc>
          <w:tcPr>
            <w:tcW w:w="683" w:type="pct"/>
            <w:tcBorders>
              <w:top w:val="nil"/>
              <w:left w:val="nil"/>
              <w:bottom w:val="single" w:sz="4" w:space="0" w:color="auto"/>
              <w:right w:val="single" w:sz="4" w:space="0" w:color="auto"/>
            </w:tcBorders>
            <w:shd w:val="clear" w:color="auto" w:fill="auto"/>
            <w:hideMark/>
          </w:tcPr>
          <w:p w14:paraId="7D9A4F7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23E6CD9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6868DE9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0987D280" w14:textId="77777777" w:rsidR="00BE25C7" w:rsidRDefault="008D1AB1" w:rsidP="00C9381C">
            <w:pPr>
              <w:ind w:left="0" w:firstLine="0"/>
              <w:outlineLvl w:val="0"/>
              <w:rPr>
                <w:rFonts w:ascii="Calibri" w:eastAsia="Times New Roman" w:hAnsi="Calibri" w:cs="Times New Roman"/>
                <w:color w:val="000000"/>
              </w:rPr>
            </w:pPr>
            <w:r w:rsidRPr="00C9381C">
              <w:rPr>
                <w:rFonts w:ascii="Calibri" w:eastAsia="Times New Roman" w:hAnsi="Calibri"/>
                <w:color w:val="000000"/>
              </w:rPr>
              <w:t>Evidence in oxacillin monograph relates to amoxicillin and amoxicillin/</w:t>
            </w:r>
          </w:p>
          <w:p w14:paraId="1A30E396" w14:textId="3AA3272E"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clavulanic acid (see above for those results)</w:t>
            </w:r>
          </w:p>
        </w:tc>
        <w:tc>
          <w:tcPr>
            <w:tcW w:w="957" w:type="pct"/>
            <w:tcBorders>
              <w:top w:val="nil"/>
              <w:left w:val="nil"/>
              <w:bottom w:val="single" w:sz="4" w:space="0" w:color="auto"/>
              <w:right w:val="single" w:sz="4" w:space="0" w:color="auto"/>
            </w:tcBorders>
            <w:shd w:val="clear" w:color="auto" w:fill="auto"/>
            <w:hideMark/>
          </w:tcPr>
          <w:p w14:paraId="6097ADF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oxacillin monograph relates to amoxicillin and amoxicillin/clavulanic acid (see above for those results)</w:t>
            </w:r>
          </w:p>
        </w:tc>
        <w:tc>
          <w:tcPr>
            <w:tcW w:w="587" w:type="pct"/>
            <w:tcBorders>
              <w:top w:val="nil"/>
              <w:left w:val="nil"/>
              <w:bottom w:val="single" w:sz="4" w:space="0" w:color="auto"/>
              <w:right w:val="single" w:sz="4" w:space="0" w:color="auto"/>
            </w:tcBorders>
            <w:shd w:val="clear" w:color="auto" w:fill="auto"/>
            <w:hideMark/>
          </w:tcPr>
          <w:p w14:paraId="35F9803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oxacillin monograph relates to amoxicillin and amoxicillin/ clavulanic acid (see above for those results)</w:t>
            </w:r>
          </w:p>
        </w:tc>
      </w:tr>
      <w:tr w:rsidR="008D1AB1" w:rsidRPr="008D1AB1" w14:paraId="07C1F53E"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632CCC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Penicillin G</w:t>
            </w:r>
          </w:p>
        </w:tc>
        <w:tc>
          <w:tcPr>
            <w:tcW w:w="683" w:type="pct"/>
            <w:tcBorders>
              <w:top w:val="nil"/>
              <w:left w:val="nil"/>
              <w:bottom w:val="single" w:sz="4" w:space="0" w:color="auto"/>
              <w:right w:val="single" w:sz="4" w:space="0" w:color="auto"/>
            </w:tcBorders>
            <w:shd w:val="clear" w:color="auto" w:fill="auto"/>
            <w:hideMark/>
          </w:tcPr>
          <w:p w14:paraId="75E6B97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2F652B5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573DB70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75A24C8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6E5E7C2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39CCFAE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(1976)</w:t>
            </w:r>
          </w:p>
        </w:tc>
      </w:tr>
      <w:tr w:rsidR="008D1AB1" w:rsidRPr="008D1AB1" w14:paraId="06944B7C"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6E9FB0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Piperacillin</w:t>
            </w:r>
          </w:p>
        </w:tc>
        <w:tc>
          <w:tcPr>
            <w:tcW w:w="683" w:type="pct"/>
            <w:tcBorders>
              <w:top w:val="nil"/>
              <w:left w:val="nil"/>
              <w:bottom w:val="single" w:sz="4" w:space="0" w:color="auto"/>
              <w:right w:val="single" w:sz="4" w:space="0" w:color="auto"/>
            </w:tcBorders>
            <w:shd w:val="clear" w:color="auto" w:fill="auto"/>
            <w:hideMark/>
          </w:tcPr>
          <w:p w14:paraId="49501B8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213CD7A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362A9BD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1BA9E72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Evidence in piperacillin monograph relates to amoxicillin and amoxicillin/ clavulanic acid (see above for </w:t>
            </w:r>
            <w:r w:rsidRPr="00C9381C">
              <w:rPr>
                <w:rFonts w:ascii="Calibri" w:eastAsia="Times New Roman" w:hAnsi="Calibri"/>
                <w:color w:val="000000"/>
              </w:rPr>
              <w:lastRenderedPageBreak/>
              <w:t>those results)</w:t>
            </w:r>
          </w:p>
        </w:tc>
        <w:tc>
          <w:tcPr>
            <w:tcW w:w="957" w:type="pct"/>
            <w:tcBorders>
              <w:top w:val="nil"/>
              <w:left w:val="nil"/>
              <w:bottom w:val="single" w:sz="4" w:space="0" w:color="auto"/>
              <w:right w:val="single" w:sz="4" w:space="0" w:color="auto"/>
            </w:tcBorders>
            <w:shd w:val="clear" w:color="auto" w:fill="auto"/>
            <w:hideMark/>
          </w:tcPr>
          <w:p w14:paraId="60152DF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Evidence in piperacillin monograph relates to amoxicillin and amoxicillin/clavulanic acid (see above for those results)</w:t>
            </w:r>
          </w:p>
        </w:tc>
        <w:tc>
          <w:tcPr>
            <w:tcW w:w="587" w:type="pct"/>
            <w:tcBorders>
              <w:top w:val="nil"/>
              <w:left w:val="nil"/>
              <w:bottom w:val="single" w:sz="4" w:space="0" w:color="auto"/>
              <w:right w:val="single" w:sz="4" w:space="0" w:color="auto"/>
            </w:tcBorders>
            <w:shd w:val="clear" w:color="auto" w:fill="auto"/>
            <w:hideMark/>
          </w:tcPr>
          <w:p w14:paraId="2791271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Evidence in piperacillin monograph relates to amoxicillin and amoxicillin/ clavulanic acid </w:t>
            </w:r>
            <w:r w:rsidRPr="00C9381C">
              <w:rPr>
                <w:rFonts w:ascii="Calibri" w:eastAsia="Times New Roman" w:hAnsi="Calibri"/>
                <w:color w:val="000000"/>
              </w:rPr>
              <w:lastRenderedPageBreak/>
              <w:t>(see above for those results)</w:t>
            </w:r>
          </w:p>
        </w:tc>
      </w:tr>
      <w:tr w:rsidR="008D1AB1" w:rsidRPr="008D1AB1" w14:paraId="745A99D5"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220902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Ticarcillin</w:t>
            </w:r>
          </w:p>
        </w:tc>
        <w:tc>
          <w:tcPr>
            <w:tcW w:w="683" w:type="pct"/>
            <w:tcBorders>
              <w:top w:val="nil"/>
              <w:left w:val="nil"/>
              <w:bottom w:val="single" w:sz="4" w:space="0" w:color="auto"/>
              <w:right w:val="single" w:sz="4" w:space="0" w:color="auto"/>
            </w:tcBorders>
            <w:shd w:val="clear" w:color="auto" w:fill="auto"/>
            <w:hideMark/>
          </w:tcPr>
          <w:p w14:paraId="3646827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4A08748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416AAF8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19B25A82" w14:textId="77777777" w:rsidR="00BE25C7" w:rsidRDefault="008D1AB1" w:rsidP="00C9381C">
            <w:pPr>
              <w:ind w:left="0" w:firstLine="0"/>
              <w:outlineLvl w:val="0"/>
              <w:rPr>
                <w:rFonts w:ascii="Calibri" w:eastAsia="Times New Roman" w:hAnsi="Calibri" w:cs="Times New Roman"/>
                <w:color w:val="000000"/>
              </w:rPr>
            </w:pPr>
            <w:r w:rsidRPr="00C9381C">
              <w:rPr>
                <w:rFonts w:ascii="Calibri" w:eastAsia="Times New Roman" w:hAnsi="Calibri"/>
                <w:color w:val="000000"/>
              </w:rPr>
              <w:t>Evidence in ticarcillin monograph relates to amoxicillin and amoxicillin/</w:t>
            </w:r>
          </w:p>
          <w:p w14:paraId="34DD14D4" w14:textId="6A46F42E"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clavulanic acid (see above for those results)</w:t>
            </w:r>
          </w:p>
        </w:tc>
        <w:tc>
          <w:tcPr>
            <w:tcW w:w="957" w:type="pct"/>
            <w:tcBorders>
              <w:top w:val="nil"/>
              <w:left w:val="nil"/>
              <w:bottom w:val="single" w:sz="4" w:space="0" w:color="auto"/>
              <w:right w:val="single" w:sz="4" w:space="0" w:color="auto"/>
            </w:tcBorders>
            <w:shd w:val="clear" w:color="auto" w:fill="auto"/>
            <w:hideMark/>
          </w:tcPr>
          <w:p w14:paraId="2074DEB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ticarcillin monograph relates to amoxicillin and amoxicillin/clavulanic acid (see above for those results)</w:t>
            </w:r>
          </w:p>
        </w:tc>
        <w:tc>
          <w:tcPr>
            <w:tcW w:w="587" w:type="pct"/>
            <w:tcBorders>
              <w:top w:val="nil"/>
              <w:left w:val="nil"/>
              <w:bottom w:val="single" w:sz="4" w:space="0" w:color="auto"/>
              <w:right w:val="single" w:sz="4" w:space="0" w:color="auto"/>
            </w:tcBorders>
            <w:shd w:val="clear" w:color="auto" w:fill="auto"/>
            <w:hideMark/>
          </w:tcPr>
          <w:p w14:paraId="46F9B3D6" w14:textId="77777777" w:rsidR="00BE25C7" w:rsidRDefault="008D1AB1" w:rsidP="00C9381C">
            <w:pPr>
              <w:ind w:left="0" w:firstLine="0"/>
              <w:outlineLvl w:val="0"/>
              <w:rPr>
                <w:rFonts w:ascii="Calibri" w:eastAsia="Times New Roman" w:hAnsi="Calibri" w:cs="Times New Roman"/>
                <w:color w:val="000000"/>
              </w:rPr>
            </w:pPr>
            <w:r w:rsidRPr="00C9381C">
              <w:rPr>
                <w:rFonts w:ascii="Calibri" w:eastAsia="Times New Roman" w:hAnsi="Calibri"/>
                <w:color w:val="000000"/>
              </w:rPr>
              <w:t>Evidence in ticarcillin monograph relates to amoxicillin and amoxicillin/</w:t>
            </w:r>
          </w:p>
          <w:p w14:paraId="3E91A458" w14:textId="7474E996"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clavulanic acid (see above for those results)</w:t>
            </w:r>
          </w:p>
        </w:tc>
      </w:tr>
      <w:tr w:rsidR="008D1AB1" w:rsidRPr="008D1AB1" w14:paraId="714B28AD"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52CC86B9"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Tetracycline</w:t>
            </w:r>
          </w:p>
        </w:tc>
        <w:tc>
          <w:tcPr>
            <w:tcW w:w="683" w:type="pct"/>
            <w:tcBorders>
              <w:top w:val="nil"/>
              <w:left w:val="nil"/>
              <w:bottom w:val="single" w:sz="4" w:space="0" w:color="auto"/>
              <w:right w:val="single" w:sz="4" w:space="0" w:color="auto"/>
            </w:tcBorders>
            <w:shd w:val="clear" w:color="000000" w:fill="BFBFBF"/>
            <w:hideMark/>
          </w:tcPr>
          <w:p w14:paraId="0B595B46"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7E0F4DC4"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2C274108"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78F687E0"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24C79084"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16FFE043"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4C33089D"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B6479D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Demeclocycline</w:t>
            </w:r>
          </w:p>
        </w:tc>
        <w:tc>
          <w:tcPr>
            <w:tcW w:w="683" w:type="pct"/>
            <w:tcBorders>
              <w:top w:val="nil"/>
              <w:left w:val="nil"/>
              <w:bottom w:val="single" w:sz="4" w:space="0" w:color="auto"/>
              <w:right w:val="single" w:sz="4" w:space="0" w:color="auto"/>
            </w:tcBorders>
            <w:shd w:val="clear" w:color="auto" w:fill="auto"/>
            <w:hideMark/>
          </w:tcPr>
          <w:p w14:paraId="08A33D3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796F660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41AA039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3258AB0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0EA5BFA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07B52AA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demeclo-cycline monograph relates to doxycycline (see below for those results)</w:t>
            </w:r>
          </w:p>
        </w:tc>
      </w:tr>
      <w:tr w:rsidR="008D1AB1" w:rsidRPr="008D1AB1" w14:paraId="264AD551"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CDE39B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Doxycycline</w:t>
            </w:r>
          </w:p>
        </w:tc>
        <w:tc>
          <w:tcPr>
            <w:tcW w:w="683" w:type="pct"/>
            <w:tcBorders>
              <w:top w:val="nil"/>
              <w:left w:val="nil"/>
              <w:bottom w:val="single" w:sz="4" w:space="0" w:color="auto"/>
              <w:right w:val="single" w:sz="4" w:space="0" w:color="auto"/>
            </w:tcBorders>
            <w:shd w:val="clear" w:color="auto" w:fill="auto"/>
            <w:hideMark/>
          </w:tcPr>
          <w:p w14:paraId="5459E52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17B996D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45DC5F0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3235FD0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5C39214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16BE86E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4 case reports (1980-2007)</w:t>
            </w:r>
          </w:p>
        </w:tc>
      </w:tr>
      <w:tr w:rsidR="008D1AB1" w:rsidRPr="008D1AB1" w14:paraId="2B3563BF"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1FE6462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Minocycline</w:t>
            </w:r>
          </w:p>
        </w:tc>
        <w:tc>
          <w:tcPr>
            <w:tcW w:w="683" w:type="pct"/>
            <w:tcBorders>
              <w:top w:val="nil"/>
              <w:left w:val="nil"/>
              <w:bottom w:val="single" w:sz="4" w:space="0" w:color="auto"/>
              <w:right w:val="single" w:sz="4" w:space="0" w:color="auto"/>
            </w:tcBorders>
            <w:shd w:val="clear" w:color="auto" w:fill="auto"/>
            <w:hideMark/>
          </w:tcPr>
          <w:p w14:paraId="601D920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6977937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2B6151A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4F85BB6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5873021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4F23CB2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minocycline monograph relates to doxycycline (see above for those results)</w:t>
            </w:r>
          </w:p>
        </w:tc>
      </w:tr>
      <w:tr w:rsidR="008D1AB1" w:rsidRPr="008D1AB1" w14:paraId="6177A477"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A40624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Oxytetracycline</w:t>
            </w:r>
          </w:p>
        </w:tc>
        <w:tc>
          <w:tcPr>
            <w:tcW w:w="683" w:type="pct"/>
            <w:tcBorders>
              <w:top w:val="nil"/>
              <w:left w:val="nil"/>
              <w:bottom w:val="single" w:sz="4" w:space="0" w:color="auto"/>
              <w:right w:val="single" w:sz="4" w:space="0" w:color="auto"/>
            </w:tcBorders>
            <w:shd w:val="clear" w:color="auto" w:fill="auto"/>
            <w:hideMark/>
          </w:tcPr>
          <w:p w14:paraId="53078AC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single" w:sz="4" w:space="0" w:color="auto"/>
              <w:left w:val="nil"/>
              <w:bottom w:val="single" w:sz="4" w:space="0" w:color="auto"/>
              <w:right w:val="single" w:sz="4" w:space="0" w:color="000000"/>
            </w:tcBorders>
            <w:shd w:val="clear" w:color="auto" w:fill="auto"/>
            <w:hideMark/>
          </w:tcPr>
          <w:p w14:paraId="63648CB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Major </w:t>
            </w:r>
          </w:p>
        </w:tc>
        <w:tc>
          <w:tcPr>
            <w:tcW w:w="649" w:type="pct"/>
            <w:tcBorders>
              <w:top w:val="single" w:sz="4" w:space="0" w:color="auto"/>
              <w:left w:val="nil"/>
              <w:bottom w:val="single" w:sz="4" w:space="0" w:color="auto"/>
              <w:right w:val="single" w:sz="4" w:space="0" w:color="000000"/>
            </w:tcBorders>
            <w:shd w:val="clear" w:color="auto" w:fill="auto"/>
          </w:tcPr>
          <w:p w14:paraId="2378770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5F7AC96A" w14:textId="05BD9B76" w:rsidR="008D1AB1" w:rsidRPr="00C9381C" w:rsidRDefault="00BE25C7" w:rsidP="008D1AB1">
            <w:pPr>
              <w:ind w:left="0" w:firstLine="0"/>
              <w:outlineLvl w:val="0"/>
              <w:rPr>
                <w:rFonts w:ascii="Calibri" w:eastAsia="Times New Roman" w:hAnsi="Calibri"/>
                <w:color w:val="000000"/>
              </w:rPr>
            </w:pPr>
            <w:r w:rsidRPr="001B2206">
              <w:rPr>
                <w:rFonts w:ascii="Calibri" w:eastAsia="Times New Roman" w:hAnsi="Calibri" w:cs="Times New Roman"/>
                <w:color w:val="000000"/>
              </w:rPr>
              <w:t>not applicable</w:t>
            </w:r>
          </w:p>
        </w:tc>
        <w:tc>
          <w:tcPr>
            <w:tcW w:w="957" w:type="pct"/>
            <w:tcBorders>
              <w:top w:val="nil"/>
              <w:left w:val="nil"/>
              <w:bottom w:val="single" w:sz="4" w:space="0" w:color="auto"/>
              <w:right w:val="single" w:sz="4" w:space="0" w:color="auto"/>
            </w:tcBorders>
            <w:shd w:val="clear" w:color="auto" w:fill="auto"/>
            <w:hideMark/>
          </w:tcPr>
          <w:p w14:paraId="048DD61B" w14:textId="17BE6882" w:rsidR="008D1AB1" w:rsidRPr="00C9381C" w:rsidRDefault="00BE25C7" w:rsidP="008D1AB1">
            <w:pPr>
              <w:ind w:left="0" w:firstLine="0"/>
              <w:outlineLvl w:val="0"/>
              <w:rPr>
                <w:rFonts w:ascii="Calibri" w:eastAsia="Times New Roman" w:hAnsi="Calibri"/>
                <w:color w:val="000000"/>
              </w:rPr>
            </w:pPr>
            <w:r w:rsidRPr="001B2206">
              <w:rPr>
                <w:rFonts w:ascii="Calibri" w:eastAsia="Times New Roman" w:hAnsi="Calibri" w:cs="Times New Roman"/>
                <w:color w:val="000000"/>
              </w:rPr>
              <w:t>not applicable</w:t>
            </w:r>
          </w:p>
        </w:tc>
        <w:tc>
          <w:tcPr>
            <w:tcW w:w="587" w:type="pct"/>
            <w:tcBorders>
              <w:top w:val="nil"/>
              <w:left w:val="nil"/>
              <w:bottom w:val="single" w:sz="4" w:space="0" w:color="auto"/>
              <w:right w:val="single" w:sz="4" w:space="0" w:color="auto"/>
            </w:tcBorders>
            <w:shd w:val="clear" w:color="auto" w:fill="auto"/>
            <w:hideMark/>
          </w:tcPr>
          <w:p w14:paraId="505B812E" w14:textId="0EABC9C5" w:rsidR="008D1AB1" w:rsidRPr="00C9381C" w:rsidRDefault="00BE25C7" w:rsidP="008D1AB1">
            <w:pPr>
              <w:ind w:left="0" w:firstLine="0"/>
              <w:outlineLvl w:val="0"/>
              <w:rPr>
                <w:rFonts w:ascii="Calibri" w:eastAsia="Times New Roman" w:hAnsi="Calibri"/>
                <w:color w:val="000000"/>
              </w:rPr>
            </w:pPr>
            <w:r w:rsidRPr="001B2206">
              <w:rPr>
                <w:rFonts w:ascii="Calibri" w:eastAsia="Times New Roman" w:hAnsi="Calibri" w:cs="Times New Roman"/>
                <w:color w:val="000000"/>
              </w:rPr>
              <w:t>not applicable</w:t>
            </w:r>
          </w:p>
        </w:tc>
      </w:tr>
      <w:tr w:rsidR="008D1AB1" w:rsidRPr="008D1AB1" w14:paraId="1FB6620B"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45ED528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Tetracycline</w:t>
            </w:r>
          </w:p>
        </w:tc>
        <w:tc>
          <w:tcPr>
            <w:tcW w:w="683" w:type="pct"/>
            <w:tcBorders>
              <w:top w:val="nil"/>
              <w:left w:val="nil"/>
              <w:bottom w:val="single" w:sz="4" w:space="0" w:color="auto"/>
              <w:right w:val="single" w:sz="4" w:space="0" w:color="auto"/>
            </w:tcBorders>
            <w:shd w:val="clear" w:color="auto" w:fill="auto"/>
            <w:hideMark/>
          </w:tcPr>
          <w:p w14:paraId="3C83009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08B9B57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577424B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1DB19C6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41CA1B6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0189D4D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(1989, 1992)</w:t>
            </w:r>
          </w:p>
        </w:tc>
      </w:tr>
      <w:tr w:rsidR="008D1AB1" w:rsidRPr="008D1AB1" w14:paraId="1AD0246E"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32DC0D19"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Anti-infective, Misc</w:t>
            </w:r>
          </w:p>
        </w:tc>
        <w:tc>
          <w:tcPr>
            <w:tcW w:w="683" w:type="pct"/>
            <w:tcBorders>
              <w:top w:val="nil"/>
              <w:left w:val="nil"/>
              <w:bottom w:val="single" w:sz="4" w:space="0" w:color="auto"/>
              <w:right w:val="single" w:sz="4" w:space="0" w:color="auto"/>
            </w:tcBorders>
            <w:shd w:val="clear" w:color="000000" w:fill="BFBFBF"/>
            <w:hideMark/>
          </w:tcPr>
          <w:p w14:paraId="3EEF59E7"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7F58BEA1"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0A962891"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nil"/>
              <w:left w:val="nil"/>
              <w:bottom w:val="single" w:sz="4" w:space="0" w:color="auto"/>
              <w:right w:val="single" w:sz="4" w:space="0" w:color="auto"/>
            </w:tcBorders>
            <w:shd w:val="clear" w:color="000000" w:fill="BFBFBF"/>
            <w:hideMark/>
          </w:tcPr>
          <w:p w14:paraId="3D9F02BD"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nil"/>
              <w:left w:val="nil"/>
              <w:bottom w:val="single" w:sz="4" w:space="0" w:color="auto"/>
              <w:right w:val="single" w:sz="4" w:space="0" w:color="auto"/>
            </w:tcBorders>
            <w:shd w:val="clear" w:color="000000" w:fill="BFBFBF"/>
            <w:hideMark/>
          </w:tcPr>
          <w:p w14:paraId="1838F21E"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nil"/>
              <w:left w:val="nil"/>
              <w:bottom w:val="single" w:sz="4" w:space="0" w:color="auto"/>
              <w:right w:val="single" w:sz="4" w:space="0" w:color="auto"/>
            </w:tcBorders>
            <w:shd w:val="clear" w:color="000000" w:fill="BFBFBF"/>
            <w:hideMark/>
          </w:tcPr>
          <w:p w14:paraId="5BAD1A20"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66DC3949"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E124B8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Chloramphenicol</w:t>
            </w:r>
          </w:p>
        </w:tc>
        <w:tc>
          <w:tcPr>
            <w:tcW w:w="683" w:type="pct"/>
            <w:tcBorders>
              <w:top w:val="nil"/>
              <w:left w:val="nil"/>
              <w:bottom w:val="single" w:sz="4" w:space="0" w:color="auto"/>
              <w:right w:val="single" w:sz="4" w:space="0" w:color="auto"/>
            </w:tcBorders>
            <w:shd w:val="clear" w:color="auto" w:fill="auto"/>
            <w:hideMark/>
          </w:tcPr>
          <w:p w14:paraId="5EE8636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1439DC0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0AB9E2B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183A48F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studies (1962, 1969)</w:t>
            </w:r>
          </w:p>
        </w:tc>
        <w:tc>
          <w:tcPr>
            <w:tcW w:w="957" w:type="pct"/>
            <w:tcBorders>
              <w:top w:val="nil"/>
              <w:left w:val="nil"/>
              <w:bottom w:val="single" w:sz="4" w:space="0" w:color="auto"/>
              <w:right w:val="single" w:sz="4" w:space="0" w:color="auto"/>
            </w:tcBorders>
            <w:shd w:val="clear" w:color="auto" w:fill="auto"/>
            <w:hideMark/>
          </w:tcPr>
          <w:p w14:paraId="0F0EDD9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4857AED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(1999)</w:t>
            </w:r>
          </w:p>
        </w:tc>
      </w:tr>
      <w:tr w:rsidR="008D1AB1" w:rsidRPr="008D1AB1" w14:paraId="3551DD23"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298EA00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Isoniazid </w:t>
            </w:r>
          </w:p>
        </w:tc>
        <w:tc>
          <w:tcPr>
            <w:tcW w:w="683" w:type="pct"/>
            <w:tcBorders>
              <w:top w:val="nil"/>
              <w:left w:val="nil"/>
              <w:bottom w:val="single" w:sz="4" w:space="0" w:color="auto"/>
              <w:right w:val="single" w:sz="4" w:space="0" w:color="auto"/>
            </w:tcBorders>
            <w:shd w:val="clear" w:color="auto" w:fill="auto"/>
            <w:hideMark/>
          </w:tcPr>
          <w:p w14:paraId="5F9E05B5" w14:textId="77777777" w:rsidR="008D1AB1" w:rsidRPr="00C9381C" w:rsidRDefault="008D1AB1" w:rsidP="008D1AB1">
            <w:pPr>
              <w:ind w:left="0" w:firstLine="0"/>
              <w:outlineLvl w:val="0"/>
              <w:rPr>
                <w:rFonts w:ascii="Calibri" w:eastAsia="Times New Roman" w:hAnsi="Calibri"/>
              </w:rPr>
            </w:pPr>
            <w:r w:rsidRPr="00C9381C">
              <w:rPr>
                <w:rFonts w:ascii="Calibri" w:eastAsia="Times New Roman" w:hAnsi="Calibri"/>
              </w:rPr>
              <w:t>Increased</w:t>
            </w:r>
          </w:p>
          <w:p w14:paraId="4C4DD070" w14:textId="77777777" w:rsidR="008D1AB1" w:rsidRPr="00C9381C" w:rsidRDefault="008D1AB1" w:rsidP="008D1AB1">
            <w:pPr>
              <w:ind w:left="0" w:firstLine="0"/>
              <w:outlineLvl w:val="0"/>
              <w:rPr>
                <w:rFonts w:ascii="Calibri" w:eastAsia="Times New Roman" w:hAnsi="Calibri"/>
              </w:rPr>
            </w:pPr>
          </w:p>
        </w:tc>
        <w:tc>
          <w:tcPr>
            <w:tcW w:w="512" w:type="pct"/>
            <w:tcBorders>
              <w:top w:val="nil"/>
              <w:left w:val="nil"/>
              <w:bottom w:val="single" w:sz="4" w:space="0" w:color="auto"/>
              <w:right w:val="single" w:sz="4" w:space="0" w:color="auto"/>
            </w:tcBorders>
            <w:shd w:val="clear" w:color="auto" w:fill="auto"/>
            <w:noWrap/>
            <w:hideMark/>
          </w:tcPr>
          <w:p w14:paraId="604230C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665719B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36816063" w14:textId="485B8E56"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in dogs (1971), 1 study in rabbits (1979)</w:t>
            </w:r>
          </w:p>
        </w:tc>
        <w:tc>
          <w:tcPr>
            <w:tcW w:w="957" w:type="pct"/>
            <w:tcBorders>
              <w:top w:val="nil"/>
              <w:left w:val="nil"/>
              <w:bottom w:val="single" w:sz="4" w:space="0" w:color="auto"/>
              <w:right w:val="single" w:sz="4" w:space="0" w:color="auto"/>
            </w:tcBorders>
            <w:shd w:val="clear" w:color="auto" w:fill="auto"/>
            <w:hideMark/>
          </w:tcPr>
          <w:p w14:paraId="1C5B7B9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7CA0866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(1977)</w:t>
            </w:r>
          </w:p>
        </w:tc>
      </w:tr>
      <w:tr w:rsidR="008D1AB1" w:rsidRPr="008D1AB1" w14:paraId="7EE99D97"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209D63F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Metronidazole</w:t>
            </w:r>
          </w:p>
        </w:tc>
        <w:tc>
          <w:tcPr>
            <w:tcW w:w="683" w:type="pct"/>
            <w:tcBorders>
              <w:top w:val="nil"/>
              <w:left w:val="nil"/>
              <w:bottom w:val="single" w:sz="4" w:space="0" w:color="auto"/>
              <w:right w:val="single" w:sz="4" w:space="0" w:color="auto"/>
            </w:tcBorders>
            <w:shd w:val="clear" w:color="auto" w:fill="auto"/>
            <w:hideMark/>
          </w:tcPr>
          <w:p w14:paraId="5110521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7A2B37D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670B19D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nil"/>
              <w:left w:val="nil"/>
              <w:bottom w:val="single" w:sz="4" w:space="0" w:color="auto"/>
              <w:right w:val="single" w:sz="4" w:space="0" w:color="auto"/>
            </w:tcBorders>
            <w:shd w:val="clear" w:color="auto" w:fill="auto"/>
            <w:hideMark/>
          </w:tcPr>
          <w:p w14:paraId="2FEC017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study (1976)</w:t>
            </w:r>
          </w:p>
        </w:tc>
        <w:tc>
          <w:tcPr>
            <w:tcW w:w="957" w:type="pct"/>
            <w:tcBorders>
              <w:top w:val="nil"/>
              <w:left w:val="nil"/>
              <w:bottom w:val="single" w:sz="4" w:space="0" w:color="auto"/>
              <w:right w:val="single" w:sz="4" w:space="0" w:color="auto"/>
            </w:tcBorders>
            <w:shd w:val="clear" w:color="auto" w:fill="auto"/>
            <w:hideMark/>
          </w:tcPr>
          <w:p w14:paraId="0BFFEA7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cohort study (2006)</w:t>
            </w:r>
          </w:p>
        </w:tc>
        <w:tc>
          <w:tcPr>
            <w:tcW w:w="587" w:type="pct"/>
            <w:tcBorders>
              <w:top w:val="nil"/>
              <w:left w:val="nil"/>
              <w:bottom w:val="single" w:sz="4" w:space="0" w:color="auto"/>
              <w:right w:val="single" w:sz="4" w:space="0" w:color="auto"/>
            </w:tcBorders>
            <w:shd w:val="clear" w:color="auto" w:fill="auto"/>
            <w:hideMark/>
          </w:tcPr>
          <w:p w14:paraId="73D2F40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3 case reports (1976-2008)</w:t>
            </w:r>
          </w:p>
        </w:tc>
      </w:tr>
      <w:tr w:rsidR="008D1AB1" w:rsidRPr="008D1AB1" w14:paraId="6B4C4619"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34FA84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Rifaximin</w:t>
            </w:r>
          </w:p>
        </w:tc>
        <w:tc>
          <w:tcPr>
            <w:tcW w:w="683" w:type="pct"/>
            <w:tcBorders>
              <w:top w:val="nil"/>
              <w:left w:val="nil"/>
              <w:bottom w:val="single" w:sz="4" w:space="0" w:color="auto"/>
              <w:right w:val="single" w:sz="4" w:space="0" w:color="auto"/>
            </w:tcBorders>
            <w:shd w:val="clear" w:color="auto" w:fill="auto"/>
            <w:hideMark/>
          </w:tcPr>
          <w:p w14:paraId="01F6D64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7588182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Moderate</w:t>
            </w:r>
          </w:p>
        </w:tc>
        <w:tc>
          <w:tcPr>
            <w:tcW w:w="649" w:type="pct"/>
            <w:tcBorders>
              <w:top w:val="nil"/>
              <w:left w:val="nil"/>
              <w:bottom w:val="single" w:sz="4" w:space="0" w:color="auto"/>
              <w:right w:val="single" w:sz="4" w:space="0" w:color="auto"/>
            </w:tcBorders>
            <w:shd w:val="clear" w:color="auto" w:fill="auto"/>
            <w:noWrap/>
            <w:hideMark/>
          </w:tcPr>
          <w:p w14:paraId="01132AE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Possible</w:t>
            </w:r>
          </w:p>
        </w:tc>
        <w:tc>
          <w:tcPr>
            <w:tcW w:w="683" w:type="pct"/>
            <w:tcBorders>
              <w:top w:val="nil"/>
              <w:left w:val="nil"/>
              <w:bottom w:val="single" w:sz="4" w:space="0" w:color="auto"/>
              <w:right w:val="single" w:sz="4" w:space="0" w:color="auto"/>
            </w:tcBorders>
            <w:shd w:val="clear" w:color="auto" w:fill="auto"/>
            <w:hideMark/>
          </w:tcPr>
          <w:p w14:paraId="5762644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nil"/>
              <w:bottom w:val="single" w:sz="4" w:space="0" w:color="auto"/>
              <w:right w:val="single" w:sz="4" w:space="0" w:color="auto"/>
            </w:tcBorders>
            <w:shd w:val="clear" w:color="auto" w:fill="auto"/>
            <w:hideMark/>
          </w:tcPr>
          <w:p w14:paraId="74AE72C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63771AC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 case report (2011)</w:t>
            </w:r>
          </w:p>
        </w:tc>
      </w:tr>
      <w:tr w:rsidR="008D1AB1" w:rsidRPr="008D1AB1" w14:paraId="4E356D6F"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682A112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Sulfamethoxazole</w:t>
            </w:r>
          </w:p>
        </w:tc>
        <w:tc>
          <w:tcPr>
            <w:tcW w:w="683" w:type="pct"/>
            <w:tcBorders>
              <w:top w:val="nil"/>
              <w:left w:val="nil"/>
              <w:bottom w:val="single" w:sz="4" w:space="0" w:color="auto"/>
              <w:right w:val="single" w:sz="4" w:space="0" w:color="auto"/>
            </w:tcBorders>
            <w:shd w:val="clear" w:color="auto" w:fill="auto"/>
            <w:hideMark/>
          </w:tcPr>
          <w:p w14:paraId="30E22BB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6FB2E33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3CC2A9F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Established</w:t>
            </w:r>
          </w:p>
        </w:tc>
        <w:tc>
          <w:tcPr>
            <w:tcW w:w="683" w:type="pct"/>
            <w:tcBorders>
              <w:top w:val="nil"/>
              <w:left w:val="nil"/>
              <w:bottom w:val="single" w:sz="4" w:space="0" w:color="auto"/>
              <w:right w:val="single" w:sz="4" w:space="0" w:color="auto"/>
            </w:tcBorders>
            <w:shd w:val="clear" w:color="auto" w:fill="auto"/>
            <w:hideMark/>
          </w:tcPr>
          <w:p w14:paraId="13002B0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controlled studies (1975, 2005), 2 studies (2007, 2008)</w:t>
            </w:r>
          </w:p>
        </w:tc>
        <w:tc>
          <w:tcPr>
            <w:tcW w:w="957" w:type="pct"/>
            <w:tcBorders>
              <w:top w:val="nil"/>
              <w:left w:val="nil"/>
              <w:bottom w:val="single" w:sz="4" w:space="0" w:color="auto"/>
              <w:right w:val="single" w:sz="4" w:space="0" w:color="auto"/>
            </w:tcBorders>
            <w:shd w:val="clear" w:color="auto" w:fill="auto"/>
            <w:hideMark/>
          </w:tcPr>
          <w:p w14:paraId="087E5B8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population-based, nested, case-control studies (2008, 2010)</w:t>
            </w:r>
          </w:p>
        </w:tc>
        <w:tc>
          <w:tcPr>
            <w:tcW w:w="587" w:type="pct"/>
            <w:tcBorders>
              <w:top w:val="nil"/>
              <w:left w:val="nil"/>
              <w:bottom w:val="single" w:sz="4" w:space="0" w:color="auto"/>
              <w:right w:val="single" w:sz="4" w:space="0" w:color="auto"/>
            </w:tcBorders>
            <w:shd w:val="clear" w:color="auto" w:fill="auto"/>
            <w:hideMark/>
          </w:tcPr>
          <w:p w14:paraId="728AB45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9 case reports (1975-2005) </w:t>
            </w:r>
          </w:p>
        </w:tc>
      </w:tr>
      <w:tr w:rsidR="008D1AB1" w:rsidRPr="008D1AB1" w14:paraId="6F0DEDA4"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72B4108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Sulfisoxazole</w:t>
            </w:r>
          </w:p>
        </w:tc>
        <w:tc>
          <w:tcPr>
            <w:tcW w:w="683" w:type="pct"/>
            <w:tcBorders>
              <w:top w:val="nil"/>
              <w:left w:val="nil"/>
              <w:bottom w:val="single" w:sz="4" w:space="0" w:color="auto"/>
              <w:right w:val="single" w:sz="4" w:space="0" w:color="auto"/>
            </w:tcBorders>
            <w:shd w:val="clear" w:color="auto" w:fill="auto"/>
            <w:hideMark/>
          </w:tcPr>
          <w:p w14:paraId="00EA85F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single" w:sz="4" w:space="0" w:color="auto"/>
              <w:left w:val="nil"/>
              <w:bottom w:val="single" w:sz="4" w:space="0" w:color="auto"/>
              <w:right w:val="single" w:sz="4" w:space="0" w:color="000000"/>
            </w:tcBorders>
            <w:shd w:val="clear" w:color="auto" w:fill="auto"/>
            <w:hideMark/>
          </w:tcPr>
          <w:p w14:paraId="402187A1"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single" w:sz="4" w:space="0" w:color="auto"/>
              <w:left w:val="nil"/>
              <w:bottom w:val="single" w:sz="4" w:space="0" w:color="auto"/>
              <w:right w:val="single" w:sz="4" w:space="0" w:color="000000"/>
            </w:tcBorders>
            <w:shd w:val="clear" w:color="auto" w:fill="auto"/>
          </w:tcPr>
          <w:p w14:paraId="615D08D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Established</w:t>
            </w:r>
          </w:p>
        </w:tc>
        <w:tc>
          <w:tcPr>
            <w:tcW w:w="683" w:type="pct"/>
            <w:tcBorders>
              <w:top w:val="nil"/>
              <w:left w:val="nil"/>
              <w:bottom w:val="single" w:sz="4" w:space="0" w:color="auto"/>
              <w:right w:val="single" w:sz="4" w:space="0" w:color="auto"/>
            </w:tcBorders>
            <w:shd w:val="clear" w:color="auto" w:fill="auto"/>
            <w:hideMark/>
          </w:tcPr>
          <w:p w14:paraId="49295E9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n/a</w:t>
            </w:r>
          </w:p>
        </w:tc>
        <w:tc>
          <w:tcPr>
            <w:tcW w:w="957" w:type="pct"/>
            <w:tcBorders>
              <w:top w:val="nil"/>
              <w:left w:val="nil"/>
              <w:bottom w:val="single" w:sz="4" w:space="0" w:color="auto"/>
              <w:right w:val="single" w:sz="4" w:space="0" w:color="auto"/>
            </w:tcBorders>
            <w:shd w:val="clear" w:color="auto" w:fill="auto"/>
            <w:hideMark/>
          </w:tcPr>
          <w:p w14:paraId="531DFCE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3 controlled studies</w:t>
            </w:r>
          </w:p>
        </w:tc>
        <w:tc>
          <w:tcPr>
            <w:tcW w:w="587" w:type="pct"/>
            <w:tcBorders>
              <w:top w:val="nil"/>
              <w:left w:val="nil"/>
              <w:bottom w:val="single" w:sz="4" w:space="0" w:color="auto"/>
              <w:right w:val="single" w:sz="4" w:space="0" w:color="auto"/>
            </w:tcBorders>
            <w:shd w:val="clear" w:color="auto" w:fill="auto"/>
            <w:hideMark/>
          </w:tcPr>
          <w:p w14:paraId="407BF90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12 case reports</w:t>
            </w:r>
          </w:p>
        </w:tc>
      </w:tr>
      <w:tr w:rsidR="008D1AB1" w:rsidRPr="008D1AB1" w14:paraId="0DBC8451"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046293D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Telithromycin</w:t>
            </w:r>
          </w:p>
        </w:tc>
        <w:tc>
          <w:tcPr>
            <w:tcW w:w="683" w:type="pct"/>
            <w:tcBorders>
              <w:top w:val="nil"/>
              <w:left w:val="nil"/>
              <w:bottom w:val="single" w:sz="4" w:space="0" w:color="auto"/>
              <w:right w:val="single" w:sz="4" w:space="0" w:color="auto"/>
            </w:tcBorders>
            <w:shd w:val="clear" w:color="auto" w:fill="auto"/>
            <w:hideMark/>
          </w:tcPr>
          <w:p w14:paraId="54CE116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007E2052"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01AA87F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Probable</w:t>
            </w:r>
          </w:p>
        </w:tc>
        <w:tc>
          <w:tcPr>
            <w:tcW w:w="683" w:type="pct"/>
            <w:tcBorders>
              <w:top w:val="single" w:sz="4" w:space="0" w:color="auto"/>
              <w:left w:val="nil"/>
              <w:bottom w:val="single" w:sz="4" w:space="0" w:color="auto"/>
              <w:right w:val="nil"/>
            </w:tcBorders>
            <w:shd w:val="clear" w:color="auto" w:fill="auto"/>
            <w:hideMark/>
          </w:tcPr>
          <w:p w14:paraId="062FB01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957" w:type="pct"/>
            <w:tcBorders>
              <w:top w:val="nil"/>
              <w:left w:val="single" w:sz="4" w:space="0" w:color="auto"/>
              <w:bottom w:val="single" w:sz="4" w:space="0" w:color="auto"/>
              <w:right w:val="single" w:sz="4" w:space="0" w:color="auto"/>
            </w:tcBorders>
            <w:shd w:val="clear" w:color="auto" w:fill="auto"/>
            <w:hideMark/>
          </w:tcPr>
          <w:p w14:paraId="6E83CDD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517B997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2 case reports (2004, 2006)</w:t>
            </w:r>
          </w:p>
        </w:tc>
      </w:tr>
      <w:tr w:rsidR="008D1AB1" w:rsidRPr="008D1AB1" w14:paraId="2CC29FDE"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142CCF7A"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Tinidazole</w:t>
            </w:r>
          </w:p>
        </w:tc>
        <w:tc>
          <w:tcPr>
            <w:tcW w:w="683" w:type="pct"/>
            <w:tcBorders>
              <w:top w:val="nil"/>
              <w:left w:val="nil"/>
              <w:bottom w:val="single" w:sz="4" w:space="0" w:color="auto"/>
              <w:right w:val="single" w:sz="4" w:space="0" w:color="auto"/>
            </w:tcBorders>
            <w:shd w:val="clear" w:color="auto" w:fill="auto"/>
            <w:hideMark/>
          </w:tcPr>
          <w:p w14:paraId="162029B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Increased</w:t>
            </w:r>
          </w:p>
        </w:tc>
        <w:tc>
          <w:tcPr>
            <w:tcW w:w="512" w:type="pct"/>
            <w:tcBorders>
              <w:top w:val="nil"/>
              <w:left w:val="nil"/>
              <w:bottom w:val="single" w:sz="4" w:space="0" w:color="auto"/>
              <w:right w:val="single" w:sz="4" w:space="0" w:color="auto"/>
            </w:tcBorders>
            <w:shd w:val="clear" w:color="auto" w:fill="auto"/>
            <w:noWrap/>
            <w:hideMark/>
          </w:tcPr>
          <w:p w14:paraId="6AECA29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1325C67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Suspected</w:t>
            </w:r>
          </w:p>
        </w:tc>
        <w:tc>
          <w:tcPr>
            <w:tcW w:w="683" w:type="pct"/>
            <w:tcBorders>
              <w:top w:val="single" w:sz="4" w:space="0" w:color="auto"/>
              <w:left w:val="nil"/>
              <w:bottom w:val="single" w:sz="4" w:space="0" w:color="auto"/>
              <w:right w:val="single" w:sz="4" w:space="0" w:color="auto"/>
            </w:tcBorders>
            <w:shd w:val="clear" w:color="auto" w:fill="auto"/>
            <w:hideMark/>
          </w:tcPr>
          <w:p w14:paraId="2B3C37DF"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tinidazole monograph relates to metronidazole (see above for those results)</w:t>
            </w:r>
          </w:p>
        </w:tc>
        <w:tc>
          <w:tcPr>
            <w:tcW w:w="957" w:type="pct"/>
            <w:tcBorders>
              <w:top w:val="single" w:sz="4" w:space="0" w:color="auto"/>
              <w:left w:val="single" w:sz="4" w:space="0" w:color="auto"/>
              <w:bottom w:val="single" w:sz="4" w:space="0" w:color="auto"/>
              <w:right w:val="single" w:sz="4" w:space="0" w:color="auto"/>
            </w:tcBorders>
            <w:shd w:val="clear" w:color="auto" w:fill="auto"/>
            <w:hideMark/>
          </w:tcPr>
          <w:p w14:paraId="4038420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tinidazole monograph relates to metronidazole (see above for those results)</w:t>
            </w:r>
          </w:p>
        </w:tc>
        <w:tc>
          <w:tcPr>
            <w:tcW w:w="587" w:type="pct"/>
            <w:tcBorders>
              <w:top w:val="single" w:sz="4" w:space="0" w:color="auto"/>
              <w:left w:val="single" w:sz="4" w:space="0" w:color="auto"/>
              <w:bottom w:val="single" w:sz="4" w:space="0" w:color="auto"/>
              <w:right w:val="single" w:sz="4" w:space="0" w:color="auto"/>
            </w:tcBorders>
            <w:shd w:val="clear" w:color="auto" w:fill="auto"/>
            <w:hideMark/>
          </w:tcPr>
          <w:p w14:paraId="4949BC1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tinidazole monograph relates to metronidazole (see above for those results)</w:t>
            </w:r>
          </w:p>
        </w:tc>
      </w:tr>
      <w:tr w:rsidR="008D1AB1" w:rsidRPr="008D1AB1" w14:paraId="36D8E852" w14:textId="77777777" w:rsidTr="00C97E30">
        <w:trPr>
          <w:trHeight w:val="20"/>
        </w:trPr>
        <w:tc>
          <w:tcPr>
            <w:tcW w:w="929" w:type="pct"/>
            <w:tcBorders>
              <w:top w:val="nil"/>
              <w:left w:val="single" w:sz="4" w:space="0" w:color="auto"/>
              <w:bottom w:val="single" w:sz="4" w:space="0" w:color="auto"/>
              <w:right w:val="single" w:sz="4" w:space="0" w:color="auto"/>
            </w:tcBorders>
            <w:shd w:val="clear" w:color="000000" w:fill="BFBFBF"/>
            <w:noWrap/>
            <w:hideMark/>
          </w:tcPr>
          <w:p w14:paraId="417BE0BD" w14:textId="77777777" w:rsidR="008D1AB1" w:rsidRPr="00C9381C" w:rsidRDefault="008D1AB1" w:rsidP="008D1AB1">
            <w:pPr>
              <w:ind w:left="0" w:firstLine="0"/>
              <w:rPr>
                <w:rFonts w:ascii="Calibri" w:eastAsia="Times New Roman" w:hAnsi="Calibri"/>
                <w:b/>
                <w:color w:val="000000"/>
              </w:rPr>
            </w:pPr>
            <w:r w:rsidRPr="00C9381C">
              <w:rPr>
                <w:rFonts w:ascii="Calibri" w:eastAsia="Times New Roman" w:hAnsi="Calibri"/>
                <w:b/>
                <w:color w:val="000000"/>
              </w:rPr>
              <w:t>Other</w:t>
            </w:r>
          </w:p>
        </w:tc>
        <w:tc>
          <w:tcPr>
            <w:tcW w:w="683" w:type="pct"/>
            <w:tcBorders>
              <w:top w:val="nil"/>
              <w:left w:val="nil"/>
              <w:bottom w:val="single" w:sz="4" w:space="0" w:color="auto"/>
              <w:right w:val="single" w:sz="4" w:space="0" w:color="auto"/>
            </w:tcBorders>
            <w:shd w:val="clear" w:color="000000" w:fill="BFBFBF"/>
            <w:hideMark/>
          </w:tcPr>
          <w:p w14:paraId="48698B60"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12" w:type="pct"/>
            <w:tcBorders>
              <w:top w:val="nil"/>
              <w:left w:val="nil"/>
              <w:bottom w:val="single" w:sz="4" w:space="0" w:color="auto"/>
              <w:right w:val="single" w:sz="4" w:space="0" w:color="auto"/>
            </w:tcBorders>
            <w:shd w:val="clear" w:color="000000" w:fill="BFBFBF"/>
            <w:noWrap/>
            <w:hideMark/>
          </w:tcPr>
          <w:p w14:paraId="1414BE1D"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49" w:type="pct"/>
            <w:tcBorders>
              <w:top w:val="nil"/>
              <w:left w:val="nil"/>
              <w:bottom w:val="single" w:sz="4" w:space="0" w:color="auto"/>
              <w:right w:val="single" w:sz="4" w:space="0" w:color="auto"/>
            </w:tcBorders>
            <w:shd w:val="clear" w:color="000000" w:fill="BFBFBF"/>
            <w:noWrap/>
            <w:hideMark/>
          </w:tcPr>
          <w:p w14:paraId="7ACE2903"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683" w:type="pct"/>
            <w:tcBorders>
              <w:top w:val="single" w:sz="4" w:space="0" w:color="auto"/>
              <w:left w:val="nil"/>
              <w:bottom w:val="single" w:sz="4" w:space="0" w:color="auto"/>
              <w:right w:val="single" w:sz="4" w:space="0" w:color="auto"/>
            </w:tcBorders>
            <w:shd w:val="clear" w:color="000000" w:fill="BFBFBF"/>
            <w:hideMark/>
          </w:tcPr>
          <w:p w14:paraId="5208470F"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957" w:type="pct"/>
            <w:tcBorders>
              <w:top w:val="single" w:sz="4" w:space="0" w:color="auto"/>
              <w:left w:val="nil"/>
              <w:bottom w:val="single" w:sz="4" w:space="0" w:color="auto"/>
              <w:right w:val="single" w:sz="4" w:space="0" w:color="auto"/>
            </w:tcBorders>
            <w:shd w:val="clear" w:color="000000" w:fill="BFBFBF"/>
            <w:hideMark/>
          </w:tcPr>
          <w:p w14:paraId="229AE4BD"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c>
          <w:tcPr>
            <w:tcW w:w="587" w:type="pct"/>
            <w:tcBorders>
              <w:top w:val="single" w:sz="4" w:space="0" w:color="auto"/>
              <w:left w:val="nil"/>
              <w:bottom w:val="single" w:sz="4" w:space="0" w:color="auto"/>
              <w:right w:val="single" w:sz="4" w:space="0" w:color="auto"/>
            </w:tcBorders>
            <w:shd w:val="clear" w:color="000000" w:fill="BFBFBF"/>
            <w:hideMark/>
          </w:tcPr>
          <w:p w14:paraId="2B45FBC8" w14:textId="77777777" w:rsidR="008D1AB1" w:rsidRPr="00C9381C" w:rsidRDefault="008D1AB1" w:rsidP="008D1AB1">
            <w:pPr>
              <w:ind w:left="0" w:firstLine="0"/>
              <w:rPr>
                <w:rFonts w:ascii="Calibri" w:eastAsia="Times New Roman" w:hAnsi="Calibri"/>
                <w:color w:val="000000"/>
              </w:rPr>
            </w:pPr>
            <w:r w:rsidRPr="00C9381C">
              <w:rPr>
                <w:rFonts w:ascii="Calibri" w:eastAsia="Times New Roman" w:hAnsi="Calibri"/>
                <w:color w:val="000000"/>
              </w:rPr>
              <w:t> </w:t>
            </w:r>
          </w:p>
        </w:tc>
      </w:tr>
      <w:tr w:rsidR="008D1AB1" w:rsidRPr="008D1AB1" w14:paraId="72014139"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A55624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Rifabutin</w:t>
            </w:r>
          </w:p>
        </w:tc>
        <w:tc>
          <w:tcPr>
            <w:tcW w:w="683" w:type="pct"/>
            <w:tcBorders>
              <w:top w:val="nil"/>
              <w:left w:val="nil"/>
              <w:bottom w:val="single" w:sz="4" w:space="0" w:color="auto"/>
              <w:right w:val="single" w:sz="4" w:space="0" w:color="auto"/>
            </w:tcBorders>
            <w:shd w:val="clear" w:color="auto" w:fill="auto"/>
            <w:hideMark/>
          </w:tcPr>
          <w:p w14:paraId="78A7815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4D1936F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5B5DF466"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Established</w:t>
            </w:r>
          </w:p>
        </w:tc>
        <w:tc>
          <w:tcPr>
            <w:tcW w:w="683" w:type="pct"/>
            <w:tcBorders>
              <w:top w:val="nil"/>
              <w:left w:val="nil"/>
              <w:bottom w:val="single" w:sz="4" w:space="0" w:color="auto"/>
              <w:right w:val="single" w:sz="4" w:space="0" w:color="auto"/>
            </w:tcBorders>
            <w:shd w:val="clear" w:color="auto" w:fill="auto"/>
            <w:hideMark/>
          </w:tcPr>
          <w:p w14:paraId="3E75CB0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 xml:space="preserve">Evidence in </w:t>
            </w:r>
            <w:r w:rsidRPr="00C9381C">
              <w:rPr>
                <w:rFonts w:ascii="Calibri" w:eastAsia="Times New Roman" w:hAnsi="Calibri"/>
                <w:color w:val="000000"/>
              </w:rPr>
              <w:lastRenderedPageBreak/>
              <w:t>rifabutin monograph relates to rifampin (see below for those results)</w:t>
            </w:r>
          </w:p>
        </w:tc>
        <w:tc>
          <w:tcPr>
            <w:tcW w:w="957" w:type="pct"/>
            <w:tcBorders>
              <w:top w:val="nil"/>
              <w:left w:val="nil"/>
              <w:bottom w:val="single" w:sz="4" w:space="0" w:color="auto"/>
              <w:right w:val="single" w:sz="4" w:space="0" w:color="auto"/>
            </w:tcBorders>
            <w:shd w:val="clear" w:color="auto" w:fill="auto"/>
            <w:hideMark/>
          </w:tcPr>
          <w:p w14:paraId="47FA29C0"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 xml:space="preserve">Evidence in rifabutin </w:t>
            </w:r>
            <w:r w:rsidRPr="00C9381C">
              <w:rPr>
                <w:rFonts w:ascii="Calibri" w:eastAsia="Times New Roman" w:hAnsi="Calibri"/>
                <w:color w:val="000000"/>
              </w:rPr>
              <w:lastRenderedPageBreak/>
              <w:t>monograph relates to rifampin (see below for those results)</w:t>
            </w:r>
          </w:p>
        </w:tc>
        <w:tc>
          <w:tcPr>
            <w:tcW w:w="587" w:type="pct"/>
            <w:tcBorders>
              <w:top w:val="nil"/>
              <w:left w:val="nil"/>
              <w:bottom w:val="single" w:sz="4" w:space="0" w:color="auto"/>
              <w:right w:val="single" w:sz="4" w:space="0" w:color="auto"/>
            </w:tcBorders>
            <w:shd w:val="clear" w:color="auto" w:fill="auto"/>
            <w:hideMark/>
          </w:tcPr>
          <w:p w14:paraId="632087A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lastRenderedPageBreak/>
              <w:t xml:space="preserve">Evidence in </w:t>
            </w:r>
            <w:r w:rsidRPr="00C9381C">
              <w:rPr>
                <w:rFonts w:ascii="Calibri" w:eastAsia="Times New Roman" w:hAnsi="Calibri"/>
                <w:color w:val="000000"/>
              </w:rPr>
              <w:lastRenderedPageBreak/>
              <w:t>rifabutin monograph relates to rifampin (see below for those results)</w:t>
            </w:r>
          </w:p>
        </w:tc>
      </w:tr>
      <w:tr w:rsidR="008D1AB1" w:rsidRPr="008D1AB1" w14:paraId="64A979E5"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353017F3" w14:textId="7F98373D" w:rsidR="008D1AB1" w:rsidRPr="00C9381C" w:rsidRDefault="008D1AB1" w:rsidP="008D1AB1">
            <w:pPr>
              <w:ind w:left="0" w:firstLine="0"/>
              <w:outlineLvl w:val="0"/>
              <w:rPr>
                <w:rFonts w:ascii="Calibri" w:eastAsia="Times New Roman" w:hAnsi="Calibri"/>
                <w:color w:val="000000"/>
              </w:rPr>
            </w:pPr>
            <w:r>
              <w:rPr>
                <w:rFonts w:ascii="Calibri" w:eastAsia="Times New Roman" w:hAnsi="Calibri"/>
                <w:color w:val="000000"/>
              </w:rPr>
              <w:lastRenderedPageBreak/>
              <w:t xml:space="preserve">Rifampin (Found on </w:t>
            </w:r>
            <w:r w:rsidR="00BE25C7">
              <w:rPr>
                <w:rFonts w:ascii="Calibri" w:eastAsia="Times New Roman" w:hAnsi="Calibri" w:cs="Times New Roman"/>
                <w:color w:val="000000"/>
              </w:rPr>
              <w:t>R</w:t>
            </w:r>
            <w:r w:rsidRPr="00C9381C">
              <w:rPr>
                <w:rFonts w:ascii="Calibri" w:eastAsia="Times New Roman" w:hAnsi="Calibri" w:cs="Times New Roman"/>
                <w:color w:val="000000"/>
              </w:rPr>
              <w:t>ifamycins</w:t>
            </w:r>
            <w:r w:rsidRPr="00C9381C">
              <w:rPr>
                <w:rFonts w:ascii="Calibri" w:eastAsia="Times New Roman" w:hAnsi="Calibri"/>
                <w:color w:val="000000"/>
              </w:rPr>
              <w:t xml:space="preserve"> Drug Facts)</w:t>
            </w:r>
          </w:p>
        </w:tc>
        <w:tc>
          <w:tcPr>
            <w:tcW w:w="683" w:type="pct"/>
            <w:tcBorders>
              <w:top w:val="nil"/>
              <w:left w:val="nil"/>
              <w:bottom w:val="single" w:sz="4" w:space="0" w:color="auto"/>
              <w:right w:val="single" w:sz="4" w:space="0" w:color="auto"/>
            </w:tcBorders>
            <w:shd w:val="clear" w:color="auto" w:fill="auto"/>
            <w:hideMark/>
          </w:tcPr>
          <w:p w14:paraId="1113A2DE"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395BCD1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11D84FF7"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Established</w:t>
            </w:r>
          </w:p>
        </w:tc>
        <w:tc>
          <w:tcPr>
            <w:tcW w:w="683" w:type="pct"/>
            <w:tcBorders>
              <w:top w:val="nil"/>
              <w:left w:val="nil"/>
              <w:bottom w:val="single" w:sz="4" w:space="0" w:color="auto"/>
              <w:right w:val="single" w:sz="4" w:space="0" w:color="auto"/>
            </w:tcBorders>
            <w:shd w:val="clear" w:color="auto" w:fill="auto"/>
            <w:hideMark/>
          </w:tcPr>
          <w:p w14:paraId="32807153"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4 studies (1974-2001)</w:t>
            </w:r>
          </w:p>
        </w:tc>
        <w:tc>
          <w:tcPr>
            <w:tcW w:w="957" w:type="pct"/>
            <w:tcBorders>
              <w:top w:val="nil"/>
              <w:left w:val="nil"/>
              <w:bottom w:val="single" w:sz="4" w:space="0" w:color="auto"/>
              <w:right w:val="single" w:sz="4" w:space="0" w:color="auto"/>
            </w:tcBorders>
            <w:shd w:val="clear" w:color="auto" w:fill="auto"/>
            <w:hideMark/>
          </w:tcPr>
          <w:p w14:paraId="048858A5"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none</w:t>
            </w:r>
          </w:p>
        </w:tc>
        <w:tc>
          <w:tcPr>
            <w:tcW w:w="587" w:type="pct"/>
            <w:tcBorders>
              <w:top w:val="nil"/>
              <w:left w:val="nil"/>
              <w:bottom w:val="single" w:sz="4" w:space="0" w:color="auto"/>
              <w:right w:val="single" w:sz="4" w:space="0" w:color="auto"/>
            </w:tcBorders>
            <w:shd w:val="clear" w:color="auto" w:fill="auto"/>
            <w:hideMark/>
          </w:tcPr>
          <w:p w14:paraId="7DBD5D1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3 case reports (1974-1975)</w:t>
            </w:r>
          </w:p>
        </w:tc>
      </w:tr>
      <w:tr w:rsidR="008D1AB1" w:rsidRPr="008D1AB1" w14:paraId="0F588DA6" w14:textId="77777777" w:rsidTr="00C97E30">
        <w:trPr>
          <w:trHeight w:val="20"/>
        </w:trPr>
        <w:tc>
          <w:tcPr>
            <w:tcW w:w="929" w:type="pct"/>
            <w:tcBorders>
              <w:top w:val="nil"/>
              <w:left w:val="single" w:sz="4" w:space="0" w:color="auto"/>
              <w:bottom w:val="single" w:sz="4" w:space="0" w:color="auto"/>
              <w:right w:val="single" w:sz="4" w:space="0" w:color="auto"/>
            </w:tcBorders>
            <w:shd w:val="clear" w:color="auto" w:fill="auto"/>
            <w:noWrap/>
            <w:hideMark/>
          </w:tcPr>
          <w:p w14:paraId="54B64319"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Rifapentine</w:t>
            </w:r>
          </w:p>
        </w:tc>
        <w:tc>
          <w:tcPr>
            <w:tcW w:w="683" w:type="pct"/>
            <w:tcBorders>
              <w:top w:val="nil"/>
              <w:left w:val="nil"/>
              <w:bottom w:val="single" w:sz="4" w:space="0" w:color="auto"/>
              <w:right w:val="single" w:sz="4" w:space="0" w:color="auto"/>
            </w:tcBorders>
            <w:shd w:val="clear" w:color="auto" w:fill="auto"/>
            <w:hideMark/>
          </w:tcPr>
          <w:p w14:paraId="6F38E80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Decreased</w:t>
            </w:r>
          </w:p>
        </w:tc>
        <w:tc>
          <w:tcPr>
            <w:tcW w:w="512" w:type="pct"/>
            <w:tcBorders>
              <w:top w:val="nil"/>
              <w:left w:val="nil"/>
              <w:bottom w:val="single" w:sz="4" w:space="0" w:color="auto"/>
              <w:right w:val="single" w:sz="4" w:space="0" w:color="auto"/>
            </w:tcBorders>
            <w:shd w:val="clear" w:color="auto" w:fill="auto"/>
            <w:noWrap/>
            <w:hideMark/>
          </w:tcPr>
          <w:p w14:paraId="752B2FFC"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Major</w:t>
            </w:r>
          </w:p>
        </w:tc>
        <w:tc>
          <w:tcPr>
            <w:tcW w:w="649" w:type="pct"/>
            <w:tcBorders>
              <w:top w:val="nil"/>
              <w:left w:val="nil"/>
              <w:bottom w:val="single" w:sz="4" w:space="0" w:color="auto"/>
              <w:right w:val="single" w:sz="4" w:space="0" w:color="auto"/>
            </w:tcBorders>
            <w:shd w:val="clear" w:color="auto" w:fill="auto"/>
            <w:noWrap/>
            <w:hideMark/>
          </w:tcPr>
          <w:p w14:paraId="14DCBABB"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Established</w:t>
            </w:r>
          </w:p>
        </w:tc>
        <w:tc>
          <w:tcPr>
            <w:tcW w:w="683" w:type="pct"/>
            <w:tcBorders>
              <w:top w:val="nil"/>
              <w:left w:val="nil"/>
              <w:bottom w:val="single" w:sz="4" w:space="0" w:color="auto"/>
              <w:right w:val="single" w:sz="4" w:space="0" w:color="auto"/>
            </w:tcBorders>
            <w:shd w:val="clear" w:color="auto" w:fill="auto"/>
            <w:hideMark/>
          </w:tcPr>
          <w:p w14:paraId="72F445DD"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rifapentine monograph relates to rifampin (see above for those results)</w:t>
            </w:r>
          </w:p>
        </w:tc>
        <w:tc>
          <w:tcPr>
            <w:tcW w:w="957" w:type="pct"/>
            <w:tcBorders>
              <w:top w:val="nil"/>
              <w:left w:val="nil"/>
              <w:bottom w:val="single" w:sz="4" w:space="0" w:color="auto"/>
              <w:right w:val="single" w:sz="4" w:space="0" w:color="auto"/>
            </w:tcBorders>
            <w:shd w:val="clear" w:color="auto" w:fill="auto"/>
            <w:hideMark/>
          </w:tcPr>
          <w:p w14:paraId="20291664"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rifapentine monograph relates to rifampin (see above for those results)</w:t>
            </w:r>
          </w:p>
        </w:tc>
        <w:tc>
          <w:tcPr>
            <w:tcW w:w="587" w:type="pct"/>
            <w:tcBorders>
              <w:top w:val="nil"/>
              <w:left w:val="nil"/>
              <w:bottom w:val="single" w:sz="4" w:space="0" w:color="auto"/>
              <w:right w:val="single" w:sz="4" w:space="0" w:color="auto"/>
            </w:tcBorders>
            <w:shd w:val="clear" w:color="auto" w:fill="auto"/>
            <w:hideMark/>
          </w:tcPr>
          <w:p w14:paraId="634CAB68" w14:textId="77777777" w:rsidR="008D1AB1" w:rsidRPr="00C9381C" w:rsidRDefault="008D1AB1" w:rsidP="008D1AB1">
            <w:pPr>
              <w:ind w:left="0" w:firstLine="0"/>
              <w:outlineLvl w:val="0"/>
              <w:rPr>
                <w:rFonts w:ascii="Calibri" w:eastAsia="Times New Roman" w:hAnsi="Calibri"/>
                <w:color w:val="000000"/>
              </w:rPr>
            </w:pPr>
            <w:r w:rsidRPr="00C9381C">
              <w:rPr>
                <w:rFonts w:ascii="Calibri" w:eastAsia="Times New Roman" w:hAnsi="Calibri"/>
                <w:color w:val="000000"/>
              </w:rPr>
              <w:t>Evidence in rifapentine monograph relates to rifampin (see above for those results)</w:t>
            </w:r>
          </w:p>
        </w:tc>
      </w:tr>
    </w:tbl>
    <w:p w14:paraId="08799F57" w14:textId="5B9751CA" w:rsidR="008D1AB1" w:rsidRPr="00251111" w:rsidRDefault="008D1AB1" w:rsidP="008D1AB1">
      <w:pPr>
        <w:ind w:left="270" w:hanging="270"/>
        <w:rPr>
          <w:rFonts w:ascii="Times New Roman" w:hAnsi="Times New Roman" w:cs="Times New Roman"/>
          <w:sz w:val="20"/>
          <w:szCs w:val="20"/>
        </w:rPr>
      </w:pPr>
      <w:r w:rsidRPr="00251111">
        <w:rPr>
          <w:rFonts w:ascii="Times New Roman" w:hAnsi="Times New Roman" w:cs="Times New Roman"/>
          <w:sz w:val="20"/>
          <w:szCs w:val="20"/>
        </w:rPr>
        <w:t xml:space="preserve">Source: </w:t>
      </w:r>
      <w:r>
        <w:rPr>
          <w:rFonts w:ascii="Times New Roman" w:hAnsi="Times New Roman" w:cs="Times New Roman"/>
          <w:sz w:val="20"/>
          <w:szCs w:val="20"/>
        </w:rPr>
        <w:t>Multiple monographs, each entitled "</w:t>
      </w:r>
      <w:r w:rsidRPr="00EB74E6">
        <w:rPr>
          <w:rFonts w:ascii="Times New Roman" w:hAnsi="Times New Roman" w:cs="Times New Roman"/>
          <w:sz w:val="20"/>
          <w:szCs w:val="20"/>
        </w:rPr>
        <w:t xml:space="preserve">Warfarin Sodium Oral (Anticoagulants) - </w:t>
      </w:r>
      <w:r>
        <w:rPr>
          <w:rFonts w:ascii="Times New Roman" w:hAnsi="Times New Roman" w:cs="Times New Roman"/>
          <w:sz w:val="20"/>
          <w:szCs w:val="20"/>
        </w:rPr>
        <w:t>[Specific Medication]</w:t>
      </w:r>
      <w:r w:rsidRPr="00EB74E6">
        <w:rPr>
          <w:rFonts w:ascii="Times New Roman" w:hAnsi="Times New Roman" w:cs="Times New Roman"/>
          <w:sz w:val="20"/>
          <w:szCs w:val="20"/>
        </w:rPr>
        <w:t xml:space="preserve"> Interaction</w:t>
      </w:r>
      <w:r>
        <w:rPr>
          <w:rFonts w:ascii="Times New Roman" w:hAnsi="Times New Roman" w:cs="Times New Roman"/>
          <w:sz w:val="20"/>
          <w:szCs w:val="20"/>
        </w:rPr>
        <w:t xml:space="preserve">." These monographs are available </w:t>
      </w:r>
      <w:r w:rsidRPr="008C0B5B">
        <w:rPr>
          <w:rFonts w:ascii="Times New Roman" w:hAnsi="Times New Roman" w:cs="Times New Roman"/>
          <w:sz w:val="20"/>
          <w:szCs w:val="20"/>
        </w:rPr>
        <w:t>through a subscription service from: Facts &amp; Comparison Formulary Monograph Service™. (2013). Wolters Kluwer Health. Retrieved November 22,</w:t>
      </w:r>
      <w:r w:rsidRPr="00251111">
        <w:rPr>
          <w:rFonts w:ascii="Times New Roman" w:hAnsi="Times New Roman" w:cs="Times New Roman"/>
          <w:sz w:val="20"/>
          <w:szCs w:val="20"/>
        </w:rPr>
        <w:t xml:space="preserve"> 2013, from </w:t>
      </w:r>
      <w:hyperlink r:id="rId23" w:history="1">
        <w:r w:rsidRPr="00BE3755">
          <w:rPr>
            <w:rStyle w:val="Hyperlink"/>
            <w:rFonts w:ascii="Times New Roman" w:hAnsi="Times New Roman" w:cs="Times New Roman"/>
            <w:sz w:val="20"/>
            <w:szCs w:val="20"/>
          </w:rPr>
          <w:t>http://www.factsandcomparisons.com/formulary-monograph-service-online/</w:t>
        </w:r>
      </w:hyperlink>
      <w:r w:rsidRPr="00251111">
        <w:rPr>
          <w:rFonts w:ascii="Times New Roman" w:hAnsi="Times New Roman" w:cs="Times New Roman"/>
          <w:sz w:val="20"/>
          <w:szCs w:val="20"/>
        </w:rPr>
        <w:t xml:space="preserve"> </w:t>
      </w:r>
    </w:p>
    <w:p w14:paraId="3CE28879" w14:textId="7399DBC9" w:rsidR="008D1AB1" w:rsidRDefault="008D1AB1" w:rsidP="008D1AB1">
      <w:pPr>
        <w:ind w:left="270" w:hanging="270"/>
        <w:rPr>
          <w:rFonts w:ascii="Times New Roman" w:eastAsia="Times New Roman" w:hAnsi="Times New Roman" w:cs="Times New Roman"/>
          <w:b/>
          <w:sz w:val="20"/>
          <w:szCs w:val="20"/>
        </w:rPr>
      </w:pPr>
      <w:r>
        <w:t>*</w:t>
      </w:r>
      <w:r w:rsidRPr="000C6832">
        <w:rPr>
          <w:rFonts w:ascii="Times New Roman" w:eastAsia="Times New Roman" w:hAnsi="Times New Roman" w:cs="Times New Roman"/>
          <w:sz w:val="20"/>
          <w:szCs w:val="20"/>
        </w:rPr>
        <w:t>The "</w:t>
      </w:r>
      <w:r>
        <w:rPr>
          <w:rFonts w:ascii="Times New Roman" w:eastAsia="Times New Roman" w:hAnsi="Times New Roman" w:cs="Times New Roman"/>
          <w:sz w:val="20"/>
          <w:szCs w:val="20"/>
        </w:rPr>
        <w:t>Severity</w:t>
      </w:r>
      <w:r w:rsidRPr="000C6832">
        <w:rPr>
          <w:rFonts w:ascii="Times New Roman" w:eastAsia="Times New Roman" w:hAnsi="Times New Roman" w:cs="Times New Roman"/>
          <w:sz w:val="20"/>
          <w:szCs w:val="20"/>
        </w:rPr>
        <w:t xml:space="preserve"> Rating" refers to the </w:t>
      </w:r>
      <w:r>
        <w:rPr>
          <w:rFonts w:ascii="Times New Roman" w:eastAsia="Times New Roman" w:hAnsi="Times New Roman" w:cs="Times New Roman"/>
          <w:sz w:val="20"/>
          <w:szCs w:val="20"/>
        </w:rPr>
        <w:t>severity of the clinical reaction</w:t>
      </w:r>
      <w:r w:rsidRPr="000C683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that might result from </w:t>
      </w:r>
      <w:r>
        <w:rPr>
          <w:rFonts w:ascii="Times New Roman" w:hAnsi="Times New Roman" w:cs="Times New Roman"/>
          <w:sz w:val="20"/>
          <w:szCs w:val="20"/>
        </w:rPr>
        <w:t>an</w:t>
      </w:r>
      <w:r w:rsidRPr="000C6832">
        <w:rPr>
          <w:rFonts w:ascii="Times New Roman" w:hAnsi="Times New Roman" w:cs="Times New Roman"/>
          <w:sz w:val="20"/>
          <w:szCs w:val="20"/>
        </w:rPr>
        <w:t xml:space="preserve"> interaction</w:t>
      </w:r>
      <w:r>
        <w:rPr>
          <w:rFonts w:ascii="Times New Roman" w:hAnsi="Times New Roman" w:cs="Times New Roman"/>
          <w:sz w:val="20"/>
          <w:szCs w:val="20"/>
        </w:rPr>
        <w:t xml:space="preserve"> between warfarin and the specific medication</w:t>
      </w:r>
      <w:r>
        <w:rPr>
          <w:rFonts w:ascii="Times New Roman" w:eastAsia="Times New Roman" w:hAnsi="Times New Roman" w:cs="Times New Roman"/>
          <w:sz w:val="20"/>
          <w:szCs w:val="20"/>
        </w:rPr>
        <w:t xml:space="preserve">. The severity rating is taken from </w:t>
      </w:r>
      <w:r w:rsidRPr="000C6832">
        <w:rPr>
          <w:rFonts w:ascii="Times New Roman" w:hAnsi="Times New Roman" w:cs="Times New Roman"/>
          <w:sz w:val="20"/>
          <w:szCs w:val="20"/>
        </w:rPr>
        <w:t xml:space="preserve">the medication-specific monographs </w:t>
      </w:r>
      <w:r>
        <w:rPr>
          <w:rFonts w:ascii="Times New Roman" w:hAnsi="Times New Roman" w:cs="Times New Roman"/>
          <w:sz w:val="20"/>
          <w:szCs w:val="20"/>
        </w:rPr>
        <w:t>by</w:t>
      </w:r>
      <w:r w:rsidRPr="000C6832">
        <w:rPr>
          <w:rFonts w:ascii="Times New Roman" w:hAnsi="Times New Roman" w:cs="Times New Roman"/>
          <w:sz w:val="20"/>
          <w:szCs w:val="20"/>
        </w:rPr>
        <w:t xml:space="preserve"> the</w:t>
      </w:r>
      <w:r>
        <w:rPr>
          <w:rFonts w:ascii="Times New Roman" w:eastAsia="Times New Roman" w:hAnsi="Times New Roman" w:cs="Times New Roman"/>
          <w:sz w:val="20"/>
          <w:szCs w:val="20"/>
        </w:rPr>
        <w:t xml:space="preserve"> </w:t>
      </w:r>
      <w:r w:rsidRPr="000C6832">
        <w:rPr>
          <w:rFonts w:ascii="Times New Roman" w:hAnsi="Times New Roman" w:cs="Times New Roman"/>
          <w:sz w:val="20"/>
          <w:szCs w:val="20"/>
        </w:rPr>
        <w:t>Facts &amp; Comparison Formulary Monograph Service™ (Wolters Kluwer Health, 2013)</w:t>
      </w:r>
      <w:r w:rsidR="00BE25C7">
        <w:rPr>
          <w:rFonts w:ascii="Times New Roman" w:hAnsi="Times New Roman" w:cs="Times New Roman"/>
          <w:sz w:val="20"/>
          <w:szCs w:val="20"/>
        </w:rPr>
        <w:t>.</w:t>
      </w:r>
      <w:r>
        <w:rPr>
          <w:rFonts w:ascii="Times New Roman" w:hAnsi="Times New Roman" w:cs="Times New Roman"/>
          <w:sz w:val="20"/>
          <w:szCs w:val="20"/>
        </w:rPr>
        <w:t xml:space="preserve"> These monographs provide a severity rating based on information available from the literature. </w:t>
      </w:r>
    </w:p>
    <w:p w14:paraId="5C871542" w14:textId="14F2D166" w:rsidR="00CC2A00" w:rsidRPr="00C97E30" w:rsidRDefault="008D1AB1" w:rsidP="00C97E30">
      <w:pPr>
        <w:ind w:left="270" w:hanging="270"/>
        <w:rPr>
          <w:rFonts w:ascii="Times New Roman" w:eastAsia="Times New Roman" w:hAnsi="Times New Roman"/>
          <w:sz w:val="20"/>
        </w:rPr>
        <w:sectPr w:rsidR="00CC2A00" w:rsidRPr="00C97E30" w:rsidSect="00CC2A00">
          <w:pgSz w:w="15840" w:h="12240" w:orient="landscape"/>
          <w:pgMar w:top="1440" w:right="1440" w:bottom="1440" w:left="1440" w:header="720" w:footer="720" w:gutter="0"/>
          <w:cols w:space="720"/>
          <w:docGrid w:linePitch="360"/>
        </w:sectPr>
      </w:pPr>
      <w:r w:rsidRPr="000C6832">
        <w:rPr>
          <w:rFonts w:ascii="Times New Roman" w:eastAsia="Times New Roman" w:hAnsi="Times New Roman" w:cs="Times New Roman"/>
          <w:sz w:val="20"/>
          <w:szCs w:val="20"/>
        </w:rPr>
        <w:t xml:space="preserve">**The "Documentation Rating" refers to the strength of the evidence as rated in </w:t>
      </w:r>
      <w:r w:rsidRPr="000C6832">
        <w:rPr>
          <w:rFonts w:ascii="Times New Roman" w:hAnsi="Times New Roman" w:cs="Times New Roman"/>
          <w:sz w:val="20"/>
          <w:szCs w:val="20"/>
        </w:rPr>
        <w:t xml:space="preserve">the medication-specific monographs from the Facts &amp; Comparison Formulary Monograph Service™ (Wolters Kluwer Health, 2013). These monographs provide measures of effect from selected epidemiologic studies, which </w:t>
      </w:r>
      <w:r>
        <w:rPr>
          <w:rFonts w:ascii="Times New Roman" w:hAnsi="Times New Roman" w:cs="Times New Roman"/>
          <w:sz w:val="20"/>
          <w:szCs w:val="20"/>
        </w:rPr>
        <w:t>are</w:t>
      </w:r>
      <w:r w:rsidRPr="000C6832">
        <w:rPr>
          <w:rFonts w:ascii="Times New Roman" w:hAnsi="Times New Roman" w:cs="Times New Roman"/>
          <w:sz w:val="20"/>
          <w:szCs w:val="20"/>
        </w:rPr>
        <w:t xml:space="preserve"> considered in the rating of the documentation assigned to the interaction</w:t>
      </w:r>
      <w:r>
        <w:rPr>
          <w:rFonts w:ascii="Times New Roman" w:hAnsi="Times New Roman" w:cs="Times New Roman"/>
          <w:sz w:val="20"/>
          <w:szCs w:val="20"/>
        </w:rPr>
        <w:t xml:space="preserve"> between warfarin and the specific medication</w:t>
      </w:r>
      <w:r w:rsidR="00C97E30">
        <w:rPr>
          <w:rFonts w:ascii="Times New Roman" w:eastAsia="Times New Roman" w:hAnsi="Times New Roman" w:cs="Times New Roman"/>
          <w:sz w:val="20"/>
          <w:szCs w:val="20"/>
        </w:rPr>
        <w:t>.</w:t>
      </w:r>
    </w:p>
    <w:p w14:paraId="308FC6CE" w14:textId="52889348" w:rsidR="00496AF8" w:rsidRDefault="00C5180E" w:rsidP="002E2177">
      <w:pPr>
        <w:ind w:left="0" w:firstLine="0"/>
        <w:rPr>
          <w:b/>
        </w:rPr>
      </w:pPr>
      <w:r w:rsidRPr="003956E0">
        <w:rPr>
          <w:b/>
        </w:rPr>
        <w:lastRenderedPageBreak/>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14:paraId="308FC6D1" w14:textId="1CC05A5E" w:rsidR="009B5BEA" w:rsidRPr="00FF0E08" w:rsidRDefault="001B772D" w:rsidP="00FF0E08">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14:paraId="308FC6D2" w14:textId="77777777" w:rsidR="00302542" w:rsidRPr="00302542" w:rsidRDefault="00064FF4" w:rsidP="002E2177">
      <w:pPr>
        <w:ind w:left="0" w:firstLine="0"/>
        <w:rPr>
          <w:rFonts w:ascii="Times New Roman" w:hAnsi="Times New Roman" w:cs="Times New Roman"/>
        </w:rPr>
      </w:pPr>
      <w:r>
        <w:rPr>
          <w:rFonts w:ascii="Times New Roman" w:hAnsi="Times New Roman" w:cs="Times New Roman"/>
        </w:rPr>
        <w:t xml:space="preserve">The monographs </w:t>
      </w:r>
      <w:r w:rsidR="001C0E15">
        <w:rPr>
          <w:rFonts w:ascii="Times New Roman" w:hAnsi="Times New Roman" w:cs="Times New Roman"/>
        </w:rPr>
        <w:t>from the Facts &amp; Comparison</w:t>
      </w:r>
      <w:r w:rsidR="001C0E15" w:rsidRPr="007C3BDE">
        <w:rPr>
          <w:rFonts w:ascii="Times New Roman" w:hAnsi="Times New Roman" w:cs="Times New Roman"/>
        </w:rPr>
        <w:t xml:space="preserve"> </w:t>
      </w:r>
      <w:r w:rsidR="001C0E15">
        <w:rPr>
          <w:rFonts w:ascii="Times New Roman" w:hAnsi="Times New Roman" w:cs="Times New Roman"/>
        </w:rPr>
        <w:t>Formulary Monograph Service™ (Wolters Kluwer Health, 2013)</w:t>
      </w:r>
      <w:r w:rsidR="00891F39">
        <w:rPr>
          <w:rFonts w:ascii="Times New Roman" w:hAnsi="Times New Roman" w:cs="Times New Roman"/>
        </w:rPr>
        <w:t xml:space="preserve"> provide </w:t>
      </w:r>
      <w:r w:rsidR="00B83044">
        <w:rPr>
          <w:rFonts w:ascii="Times New Roman" w:hAnsi="Times New Roman" w:cs="Times New Roman"/>
        </w:rPr>
        <w:t xml:space="preserve">measures of effect from </w:t>
      </w:r>
      <w:r w:rsidR="00A1396E">
        <w:rPr>
          <w:rFonts w:ascii="Times New Roman" w:hAnsi="Times New Roman" w:cs="Times New Roman"/>
        </w:rPr>
        <w:t xml:space="preserve">the cited </w:t>
      </w:r>
      <w:r w:rsidR="00B83044">
        <w:rPr>
          <w:rFonts w:ascii="Times New Roman" w:hAnsi="Times New Roman" w:cs="Times New Roman"/>
        </w:rPr>
        <w:t>epidemiologic studies</w:t>
      </w:r>
      <w:r w:rsidR="005256CA">
        <w:rPr>
          <w:rFonts w:ascii="Times New Roman" w:hAnsi="Times New Roman" w:cs="Times New Roman"/>
        </w:rPr>
        <w:t>. This information is considered in the rating of the documentation that is assigned to</w:t>
      </w:r>
      <w:r w:rsidR="001352BB">
        <w:rPr>
          <w:rFonts w:ascii="Times New Roman" w:hAnsi="Times New Roman" w:cs="Times New Roman"/>
        </w:rPr>
        <w:t xml:space="preserve"> the interaction</w:t>
      </w:r>
      <w:r w:rsidR="00A1396E">
        <w:rPr>
          <w:rFonts w:ascii="Times New Roman" w:hAnsi="Times New Roman" w:cs="Times New Roman"/>
        </w:rPr>
        <w:t xml:space="preserve"> in the monograph</w:t>
      </w:r>
      <w:r w:rsidR="001352BB">
        <w:rPr>
          <w:rFonts w:ascii="Times New Roman" w:hAnsi="Times New Roman" w:cs="Times New Roman"/>
        </w:rPr>
        <w:t>.</w:t>
      </w:r>
    </w:p>
    <w:p w14:paraId="308FC6D3" w14:textId="77777777" w:rsidR="00302542" w:rsidRPr="004F0883" w:rsidRDefault="00302542" w:rsidP="002E2177">
      <w:pPr>
        <w:ind w:left="0" w:firstLine="0"/>
      </w:pPr>
    </w:p>
    <w:p w14:paraId="308FC6D5" w14:textId="0E7319D7" w:rsidR="008A7344" w:rsidRPr="00FF0E0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r w:rsidR="00496AF8" w:rsidRPr="00C5180E">
        <w:rPr>
          <w:b/>
        </w:rPr>
        <w:t>What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14:paraId="308FC6D6" w14:textId="2AE926E2" w:rsidR="00617F87" w:rsidRPr="00617F87" w:rsidRDefault="00617F87" w:rsidP="002E2177">
      <w:pPr>
        <w:ind w:left="0" w:firstLine="0"/>
        <w:rPr>
          <w:rFonts w:ascii="Times New Roman" w:hAnsi="Times New Roman" w:cs="Times New Roman"/>
        </w:rPr>
      </w:pPr>
      <w:r>
        <w:rPr>
          <w:rFonts w:ascii="Times New Roman" w:hAnsi="Times New Roman" w:cs="Times New Roman"/>
        </w:rPr>
        <w:t xml:space="preserve">The harms </w:t>
      </w:r>
      <w:r w:rsidR="007E03E6">
        <w:rPr>
          <w:rFonts w:ascii="Times New Roman" w:hAnsi="Times New Roman" w:cs="Times New Roman"/>
        </w:rPr>
        <w:t>that occur</w:t>
      </w:r>
      <w:r>
        <w:rPr>
          <w:rFonts w:ascii="Times New Roman" w:hAnsi="Times New Roman" w:cs="Times New Roman"/>
        </w:rPr>
        <w:t xml:space="preserve"> as a result of interactions between warfarin and the individual medications cover a wide spectrum of adverse drug reactions. However, the harms </w:t>
      </w:r>
      <w:r w:rsidR="00AB282B">
        <w:rPr>
          <w:rFonts w:ascii="Times New Roman" w:hAnsi="Times New Roman" w:cs="Times New Roman"/>
        </w:rPr>
        <w:t xml:space="preserve">of interest </w:t>
      </w:r>
      <w:r w:rsidR="007E03E6">
        <w:rPr>
          <w:rFonts w:ascii="Times New Roman" w:hAnsi="Times New Roman" w:cs="Times New Roman"/>
        </w:rPr>
        <w:t xml:space="preserve">for this measure </w:t>
      </w:r>
      <w:r>
        <w:rPr>
          <w:rFonts w:ascii="Times New Roman" w:hAnsi="Times New Roman" w:cs="Times New Roman"/>
        </w:rPr>
        <w:t xml:space="preserve">are </w:t>
      </w:r>
      <w:r w:rsidR="007E03E6">
        <w:rPr>
          <w:rFonts w:ascii="Times New Roman" w:hAnsi="Times New Roman" w:cs="Times New Roman"/>
        </w:rPr>
        <w:t>primari</w:t>
      </w:r>
      <w:r>
        <w:rPr>
          <w:rFonts w:ascii="Times New Roman" w:hAnsi="Times New Roman" w:cs="Times New Roman"/>
        </w:rPr>
        <w:t xml:space="preserve">ly </w:t>
      </w:r>
      <w:r w:rsidR="00AB282B">
        <w:rPr>
          <w:rFonts w:ascii="Times New Roman" w:hAnsi="Times New Roman" w:cs="Times New Roman"/>
        </w:rPr>
        <w:t xml:space="preserve">related to the </w:t>
      </w:r>
      <w:r>
        <w:rPr>
          <w:rFonts w:ascii="Times New Roman" w:hAnsi="Times New Roman" w:cs="Times New Roman"/>
        </w:rPr>
        <w:t>anticoagulation effect of warfarin that may result in bleeding</w:t>
      </w:r>
      <w:r w:rsidR="00AB282B">
        <w:rPr>
          <w:rFonts w:ascii="Times New Roman" w:hAnsi="Times New Roman" w:cs="Times New Roman"/>
        </w:rPr>
        <w:t xml:space="preserve"> events</w:t>
      </w:r>
      <w:r>
        <w:rPr>
          <w:rFonts w:ascii="Times New Roman" w:hAnsi="Times New Roman" w:cs="Times New Roman"/>
        </w:rPr>
        <w:t>, thromboemboli</w:t>
      </w:r>
      <w:r w:rsidR="00AB282B">
        <w:rPr>
          <w:rFonts w:ascii="Times New Roman" w:hAnsi="Times New Roman" w:cs="Times New Roman"/>
        </w:rPr>
        <w:t>c events</w:t>
      </w:r>
      <w:r>
        <w:rPr>
          <w:rFonts w:ascii="Times New Roman" w:hAnsi="Times New Roman" w:cs="Times New Roman"/>
        </w:rPr>
        <w:t xml:space="preserve">, </w:t>
      </w:r>
      <w:r w:rsidR="001C0E15">
        <w:rPr>
          <w:rFonts w:ascii="Times New Roman" w:hAnsi="Times New Roman" w:cs="Times New Roman"/>
        </w:rPr>
        <w:t>or</w:t>
      </w:r>
      <w:r>
        <w:rPr>
          <w:rFonts w:ascii="Times New Roman" w:hAnsi="Times New Roman" w:cs="Times New Roman"/>
        </w:rPr>
        <w:t xml:space="preserve"> death. </w:t>
      </w:r>
    </w:p>
    <w:p w14:paraId="308FC6D7" w14:textId="77777777" w:rsidR="00617F87" w:rsidRPr="00617F87" w:rsidRDefault="00617F87" w:rsidP="002E2177">
      <w:pPr>
        <w:ind w:left="0" w:firstLine="0"/>
        <w:rPr>
          <w:rFonts w:ascii="Times New Roman" w:hAnsi="Times New Roman" w:cs="Times New Roman"/>
        </w:rPr>
      </w:pPr>
    </w:p>
    <w:p w14:paraId="308FC6D8" w14:textId="77777777"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14:paraId="308FC6D9" w14:textId="133FE4F4"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14:paraId="308FC6DC" w14:textId="77777777" w:rsidR="008F1331" w:rsidRPr="00CA6D42" w:rsidRDefault="008F1331" w:rsidP="002E0C3F">
      <w:pPr>
        <w:ind w:left="0" w:firstLine="0"/>
        <w:rPr>
          <w:b/>
        </w:rPr>
      </w:pPr>
    </w:p>
    <w:p w14:paraId="308FC6DD" w14:textId="77777777" w:rsidR="00837121" w:rsidRPr="00837121" w:rsidRDefault="00837121" w:rsidP="002E2177">
      <w:pPr>
        <w:ind w:left="0" w:firstLine="0"/>
        <w:rPr>
          <w:b/>
        </w:rPr>
      </w:pPr>
      <w:bookmarkStart w:id="14" w:name="Section1a8"/>
      <w:bookmarkEnd w:id="14"/>
      <w:r w:rsidRPr="0015535B">
        <w:rPr>
          <w:b/>
          <w:color w:val="0000FF"/>
        </w:rPr>
        <w:t xml:space="preserve">1a.8 </w:t>
      </w:r>
      <w:r w:rsidRPr="00837121">
        <w:rPr>
          <w:b/>
        </w:rPr>
        <w:t>OTHER SOURCE OF EVIDENCE</w:t>
      </w:r>
    </w:p>
    <w:p w14:paraId="308FC6DF" w14:textId="5A04113F" w:rsidR="00E20081" w:rsidRPr="00FF0E08"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14:paraId="308FC6E0" w14:textId="77777777" w:rsidR="00E20081" w:rsidRPr="0075280A" w:rsidRDefault="00E20081" w:rsidP="00E20081">
      <w:pPr>
        <w:ind w:left="0" w:firstLine="0"/>
        <w:rPr>
          <w:rFonts w:ascii="Times New Roman" w:hAnsi="Times New Roman" w:cs="Times New Roman"/>
        </w:rPr>
      </w:pPr>
      <w:r w:rsidRPr="0075280A">
        <w:rPr>
          <w:rFonts w:ascii="Times New Roman" w:hAnsi="Times New Roman" w:cs="Times New Roman"/>
        </w:rPr>
        <w:t xml:space="preserve">In this section, we summarize the findings of </w:t>
      </w:r>
      <w:r w:rsidR="00346B86">
        <w:rPr>
          <w:rFonts w:ascii="Times New Roman" w:hAnsi="Times New Roman" w:cs="Times New Roman"/>
        </w:rPr>
        <w:t>six</w:t>
      </w:r>
      <w:r w:rsidRPr="0075280A">
        <w:rPr>
          <w:rFonts w:ascii="Times New Roman" w:hAnsi="Times New Roman" w:cs="Times New Roman"/>
        </w:rPr>
        <w:t xml:space="preserve"> recent studies </w:t>
      </w:r>
      <w:r>
        <w:rPr>
          <w:rFonts w:ascii="Times New Roman" w:hAnsi="Times New Roman" w:cs="Times New Roman"/>
        </w:rPr>
        <w:t>published in the medical literature that focus on</w:t>
      </w:r>
      <w:r w:rsidRPr="0075280A">
        <w:rPr>
          <w:rFonts w:ascii="Times New Roman" w:hAnsi="Times New Roman" w:cs="Times New Roman"/>
        </w:rPr>
        <w:t xml:space="preserve"> the relationship </w:t>
      </w:r>
      <w:r w:rsidR="00A1396E">
        <w:rPr>
          <w:rFonts w:ascii="Times New Roman" w:hAnsi="Times New Roman" w:cs="Times New Roman"/>
        </w:rPr>
        <w:t>of</w:t>
      </w:r>
      <w:r w:rsidR="00A1396E" w:rsidRPr="0075280A">
        <w:rPr>
          <w:rFonts w:ascii="Times New Roman" w:hAnsi="Times New Roman" w:cs="Times New Roman"/>
        </w:rPr>
        <w:t xml:space="preserve"> </w:t>
      </w:r>
      <w:r w:rsidR="00346B86">
        <w:rPr>
          <w:rFonts w:ascii="Times New Roman" w:hAnsi="Times New Roman" w:cs="Times New Roman"/>
        </w:rPr>
        <w:t>interactions between warfarin and anti-infective</w:t>
      </w:r>
      <w:r w:rsidR="005F5C97">
        <w:rPr>
          <w:rFonts w:ascii="Times New Roman" w:hAnsi="Times New Roman" w:cs="Times New Roman"/>
        </w:rPr>
        <w:t xml:space="preserve"> medication</w:t>
      </w:r>
      <w:r w:rsidR="00346B86">
        <w:rPr>
          <w:rFonts w:ascii="Times New Roman" w:hAnsi="Times New Roman" w:cs="Times New Roman"/>
        </w:rPr>
        <w:t>s</w:t>
      </w:r>
      <w:r w:rsidRPr="0075280A">
        <w:rPr>
          <w:rFonts w:ascii="Times New Roman" w:hAnsi="Times New Roman" w:cs="Times New Roman"/>
        </w:rPr>
        <w:t xml:space="preserve"> and </w:t>
      </w:r>
      <w:r w:rsidR="00346B86">
        <w:rPr>
          <w:rFonts w:ascii="Times New Roman" w:hAnsi="Times New Roman" w:cs="Times New Roman"/>
        </w:rPr>
        <w:t>adverse</w:t>
      </w:r>
      <w:r w:rsidRPr="0075280A">
        <w:rPr>
          <w:rFonts w:ascii="Times New Roman" w:hAnsi="Times New Roman" w:cs="Times New Roman"/>
        </w:rPr>
        <w:t xml:space="preserve"> outcomes </w:t>
      </w:r>
      <w:r>
        <w:rPr>
          <w:rFonts w:ascii="Times New Roman" w:hAnsi="Times New Roman" w:cs="Times New Roman"/>
        </w:rPr>
        <w:t>in</w:t>
      </w:r>
      <w:r w:rsidRPr="0075280A">
        <w:rPr>
          <w:rFonts w:ascii="Times New Roman" w:hAnsi="Times New Roman" w:cs="Times New Roman"/>
        </w:rPr>
        <w:t xml:space="preserve"> patients </w:t>
      </w:r>
      <w:r w:rsidR="00346B86">
        <w:rPr>
          <w:rFonts w:ascii="Times New Roman" w:hAnsi="Times New Roman" w:cs="Times New Roman"/>
        </w:rPr>
        <w:t>taking the two medications</w:t>
      </w:r>
      <w:r w:rsidRPr="0075280A">
        <w:rPr>
          <w:rFonts w:ascii="Times New Roman" w:hAnsi="Times New Roman" w:cs="Times New Roman"/>
        </w:rPr>
        <w:t xml:space="preserve">. </w:t>
      </w:r>
    </w:p>
    <w:p w14:paraId="308FC6E1" w14:textId="77777777" w:rsidR="00E20081" w:rsidRDefault="00E20081" w:rsidP="002E2177">
      <w:pPr>
        <w:ind w:left="0" w:firstLine="0"/>
        <w:rPr>
          <w:b/>
          <w:color w:val="0000FF"/>
        </w:rPr>
      </w:pPr>
    </w:p>
    <w:p w14:paraId="308FC6E3" w14:textId="7444324D" w:rsidR="0008768E" w:rsidRPr="00FF0E08" w:rsidRDefault="00837121" w:rsidP="002E2177">
      <w:pPr>
        <w:ind w:left="0" w:firstLine="0"/>
        <w:rPr>
          <w:b/>
        </w:rPr>
      </w:pPr>
      <w:r w:rsidRPr="0015535B">
        <w:rPr>
          <w:b/>
          <w:color w:val="0000FF"/>
        </w:rPr>
        <w:t>1a.8.1</w:t>
      </w:r>
      <w:r w:rsidRPr="006C7F30">
        <w:rPr>
          <w:color w:val="0070C0"/>
        </w:rPr>
        <w:t xml:space="preserve"> </w:t>
      </w:r>
      <w:r w:rsidRPr="006C7F30">
        <w:rPr>
          <w:b/>
        </w:rPr>
        <w:t>What process was used to identify the evidence?</w:t>
      </w:r>
    </w:p>
    <w:p w14:paraId="308FC6E4" w14:textId="65CD7569" w:rsidR="00E20081" w:rsidRPr="0075280A" w:rsidRDefault="00977D58" w:rsidP="00E20081">
      <w:pPr>
        <w:ind w:left="0" w:firstLine="0"/>
        <w:rPr>
          <w:rFonts w:ascii="Times New Roman" w:hAnsi="Times New Roman" w:cs="Times New Roman"/>
        </w:rPr>
      </w:pPr>
      <w:r>
        <w:rPr>
          <w:rFonts w:ascii="Times New Roman" w:hAnsi="Times New Roman" w:cs="Times New Roman"/>
        </w:rPr>
        <w:t>Six</w:t>
      </w:r>
      <w:r w:rsidR="00E20081" w:rsidRPr="0075280A">
        <w:rPr>
          <w:rFonts w:ascii="Times New Roman" w:hAnsi="Times New Roman" w:cs="Times New Roman"/>
        </w:rPr>
        <w:t xml:space="preserve"> studies were identified</w:t>
      </w:r>
      <w:r w:rsidR="00E20081" w:rsidRPr="0075280A">
        <w:rPr>
          <w:rFonts w:ascii="Times New Roman" w:hAnsi="Times New Roman" w:cs="Times New Roman"/>
          <w:color w:val="000000"/>
        </w:rPr>
        <w:t xml:space="preserve"> using hand searches of </w:t>
      </w:r>
      <w:r w:rsidR="00E20081" w:rsidRPr="0075280A">
        <w:rPr>
          <w:rFonts w:ascii="Times New Roman" w:eastAsia="Times New Roman" w:hAnsi="Times New Roman" w:cs="Times New Roman"/>
        </w:rPr>
        <w:t xml:space="preserve">reference lists of relevant clinical practice guidelines and other relevant articles and Web of Science citation searches of key articles. </w:t>
      </w:r>
      <w:r w:rsidR="00E20081" w:rsidRPr="0075280A">
        <w:rPr>
          <w:rFonts w:ascii="Times New Roman" w:eastAsia="SimSun" w:hAnsi="Times New Roman" w:cs="Times New Roman"/>
        </w:rPr>
        <w:t xml:space="preserve">The abstracts and/or full-text articles from both types of searches were reviewed to identify those studies that addressed the relationship </w:t>
      </w:r>
      <w:r w:rsidR="008E13D8" w:rsidRPr="0075280A">
        <w:rPr>
          <w:rFonts w:ascii="Times New Roman" w:hAnsi="Times New Roman" w:cs="Times New Roman"/>
        </w:rPr>
        <w:t xml:space="preserve">between </w:t>
      </w:r>
      <w:r w:rsidR="008E13D8">
        <w:rPr>
          <w:rFonts w:ascii="Times New Roman" w:hAnsi="Times New Roman" w:cs="Times New Roman"/>
        </w:rPr>
        <w:t>interactions between warfarin and anti-infectives</w:t>
      </w:r>
      <w:r w:rsidR="008E13D8" w:rsidRPr="0075280A">
        <w:rPr>
          <w:rFonts w:ascii="Times New Roman" w:hAnsi="Times New Roman" w:cs="Times New Roman"/>
        </w:rPr>
        <w:t xml:space="preserve"> and </w:t>
      </w:r>
      <w:r w:rsidR="008E13D8">
        <w:rPr>
          <w:rFonts w:ascii="Times New Roman" w:hAnsi="Times New Roman" w:cs="Times New Roman"/>
        </w:rPr>
        <w:t>adverse</w:t>
      </w:r>
      <w:r w:rsidR="008E13D8" w:rsidRPr="0075280A">
        <w:rPr>
          <w:rFonts w:ascii="Times New Roman" w:hAnsi="Times New Roman" w:cs="Times New Roman"/>
        </w:rPr>
        <w:t xml:space="preserve"> outcomes</w:t>
      </w:r>
      <w:r w:rsidR="00E20081" w:rsidRPr="0075280A">
        <w:rPr>
          <w:rFonts w:ascii="Times New Roman" w:eastAsia="SimSun" w:hAnsi="Times New Roman" w:cs="Times New Roman"/>
        </w:rPr>
        <w:t xml:space="preserve">. The </w:t>
      </w:r>
      <w:r w:rsidR="008E13D8">
        <w:rPr>
          <w:rFonts w:ascii="Times New Roman" w:eastAsia="SimSun" w:hAnsi="Times New Roman" w:cs="Times New Roman"/>
        </w:rPr>
        <w:t>six</w:t>
      </w:r>
      <w:r w:rsidR="00E20081" w:rsidRPr="0075280A">
        <w:rPr>
          <w:rFonts w:ascii="Times New Roman" w:eastAsia="SimSun" w:hAnsi="Times New Roman" w:cs="Times New Roman"/>
        </w:rPr>
        <w:t xml:space="preserve"> selected studies met the following criteria: the study </w:t>
      </w:r>
      <w:r w:rsidR="008E13D8">
        <w:rPr>
          <w:rFonts w:ascii="Times New Roman" w:eastAsia="SimSun" w:hAnsi="Times New Roman" w:cs="Times New Roman"/>
        </w:rPr>
        <w:t>identified patients on warfarin who also took an anti-infective medication</w:t>
      </w:r>
      <w:r w:rsidR="00E20081" w:rsidRPr="0075280A">
        <w:rPr>
          <w:rFonts w:ascii="Times New Roman" w:eastAsia="SimSun" w:hAnsi="Times New Roman" w:cs="Times New Roman"/>
        </w:rPr>
        <w:t>, the study reported patient outcomes</w:t>
      </w:r>
      <w:r w:rsidR="008E13D8">
        <w:rPr>
          <w:rFonts w:ascii="Times New Roman" w:eastAsia="SimSun" w:hAnsi="Times New Roman" w:cs="Times New Roman"/>
        </w:rPr>
        <w:t xml:space="preserve"> among those taking the two medications</w:t>
      </w:r>
      <w:r w:rsidR="00E20081" w:rsidRPr="0075280A">
        <w:rPr>
          <w:rFonts w:ascii="Times New Roman" w:eastAsia="SimSun" w:hAnsi="Times New Roman" w:cs="Times New Roman"/>
        </w:rPr>
        <w:t xml:space="preserve">, and the study was published in the last </w:t>
      </w:r>
      <w:r w:rsidR="00951632">
        <w:rPr>
          <w:rFonts w:ascii="Times New Roman" w:eastAsia="SimSun" w:hAnsi="Times New Roman" w:cs="Times New Roman"/>
        </w:rPr>
        <w:t>10</w:t>
      </w:r>
      <w:r w:rsidR="00E20081" w:rsidRPr="0075280A">
        <w:rPr>
          <w:rFonts w:ascii="Times New Roman" w:eastAsia="SimSun" w:hAnsi="Times New Roman" w:cs="Times New Roman"/>
        </w:rPr>
        <w:t xml:space="preserve"> years.</w:t>
      </w:r>
    </w:p>
    <w:p w14:paraId="308FC6E5" w14:textId="77777777" w:rsidR="00E20081" w:rsidRDefault="00E20081" w:rsidP="002E2177">
      <w:pPr>
        <w:ind w:left="0" w:firstLine="0"/>
      </w:pPr>
    </w:p>
    <w:p w14:paraId="308FC6E7" w14:textId="149C8395" w:rsidR="0008768E" w:rsidRDefault="00837121" w:rsidP="00FF0E08">
      <w:pPr>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14:paraId="308FC6E8" w14:textId="58D37EDA" w:rsidR="0008768E" w:rsidRPr="00A1396E" w:rsidRDefault="0008768E" w:rsidP="0008768E">
      <w:pPr>
        <w:ind w:left="0" w:firstLine="0"/>
        <w:rPr>
          <w:rFonts w:ascii="Times New Roman" w:hAnsi="Times New Roman" w:cs="Times New Roman"/>
        </w:rPr>
      </w:pPr>
      <w:r w:rsidRPr="00A1396E">
        <w:rPr>
          <w:rFonts w:ascii="Times New Roman" w:hAnsi="Times New Roman" w:cs="Times New Roman"/>
        </w:rPr>
        <w:t xml:space="preserve">Zhang, Young, &amp; Berger (2006): In this retrospective cohort study of 17,895 patients (mean age 64.3 years) with at least one claim for warfarin between October 2003 and September 2004, 2,634 (14.7%) experienced hemorrhage within one week of receiving their prescription for warfarin. Of this cohort, 3,385 patients (18.9%) were concomitantly taking cephalosporins and 779 patients (4.4%) were taking metronidazole. Compared to the rate of hemorrhage in the overall cohort of warfarin users (14.7%) and those taking warfarin only (14.2%), those also taking cephalosporins and those taking metronidazole were at a higher risk for hemorrhage with rates of 17.2% (p&lt;0.05) and 22.7% (p&lt;0.05), respectively. The odds ratios (ORs) for hemorrhage </w:t>
      </w:r>
      <w:r w:rsidR="002157CA" w:rsidRPr="00A1396E">
        <w:rPr>
          <w:rFonts w:ascii="Times New Roman" w:hAnsi="Times New Roman" w:cs="Times New Roman"/>
        </w:rPr>
        <w:t xml:space="preserve">were </w:t>
      </w:r>
      <w:r w:rsidRPr="00A1396E">
        <w:rPr>
          <w:rFonts w:ascii="Times New Roman" w:hAnsi="Times New Roman" w:cs="Times New Roman"/>
        </w:rPr>
        <w:t xml:space="preserve">1.16 (95% CI 1.04-1.29) in warfarin users taking cephalosporins and 1.58 (95% CI 1.32-1.89) in those taking metronidazole. In total, </w:t>
      </w:r>
      <w:r w:rsidR="002157CA" w:rsidRPr="00A1396E">
        <w:rPr>
          <w:rFonts w:ascii="Times New Roman" w:hAnsi="Times New Roman" w:cs="Times New Roman"/>
        </w:rPr>
        <w:t xml:space="preserve">2,634 </w:t>
      </w:r>
      <w:r w:rsidRPr="00A1396E">
        <w:rPr>
          <w:rFonts w:ascii="Times New Roman" w:hAnsi="Times New Roman" w:cs="Times New Roman"/>
        </w:rPr>
        <w:t>patients (1</w:t>
      </w:r>
      <w:r w:rsidR="002157CA" w:rsidRPr="00A1396E">
        <w:rPr>
          <w:rFonts w:ascii="Times New Roman" w:hAnsi="Times New Roman" w:cs="Times New Roman"/>
        </w:rPr>
        <w:t>4</w:t>
      </w:r>
      <w:r w:rsidRPr="00A1396E">
        <w:rPr>
          <w:rFonts w:ascii="Times New Roman" w:hAnsi="Times New Roman" w:cs="Times New Roman"/>
        </w:rPr>
        <w:t xml:space="preserve">.7%) </w:t>
      </w:r>
      <w:r w:rsidRPr="00641ECD">
        <w:rPr>
          <w:rFonts w:ascii="Times New Roman" w:hAnsi="Times New Roman" w:cs="Times New Roman"/>
        </w:rPr>
        <w:t xml:space="preserve">experienced </w:t>
      </w:r>
      <w:r w:rsidR="002157CA" w:rsidRPr="00641ECD">
        <w:rPr>
          <w:rFonts w:ascii="Times New Roman" w:hAnsi="Times New Roman" w:cs="Times New Roman"/>
        </w:rPr>
        <w:t xml:space="preserve">some type of </w:t>
      </w:r>
      <w:r w:rsidRPr="00641ECD">
        <w:rPr>
          <w:rFonts w:ascii="Times New Roman" w:hAnsi="Times New Roman" w:cs="Times New Roman"/>
        </w:rPr>
        <w:t xml:space="preserve">hemorrhage, but </w:t>
      </w:r>
      <w:r w:rsidR="00AC7D99" w:rsidRPr="00641ECD">
        <w:rPr>
          <w:rFonts w:ascii="Times New Roman" w:hAnsi="Times New Roman" w:cs="Times New Roman"/>
        </w:rPr>
        <w:t>a</w:t>
      </w:r>
      <w:r w:rsidRPr="00641ECD">
        <w:rPr>
          <w:rFonts w:ascii="Times New Roman" w:hAnsi="Times New Roman" w:cs="Times New Roman"/>
        </w:rPr>
        <w:t xml:space="preserve"> breakdown between those taking anti-infectives and those not </w:t>
      </w:r>
      <w:r w:rsidR="00AC7D99" w:rsidRPr="00641ECD">
        <w:rPr>
          <w:rFonts w:ascii="Times New Roman" w:hAnsi="Times New Roman" w:cs="Times New Roman"/>
        </w:rPr>
        <w:t>taking</w:t>
      </w:r>
      <w:r w:rsidR="00AC7D99">
        <w:rPr>
          <w:rFonts w:ascii="Times New Roman" w:hAnsi="Times New Roman" w:cs="Times New Roman"/>
        </w:rPr>
        <w:t xml:space="preserve"> </w:t>
      </w:r>
      <w:r w:rsidRPr="00A1396E">
        <w:rPr>
          <w:rFonts w:ascii="Times New Roman" w:hAnsi="Times New Roman" w:cs="Times New Roman"/>
        </w:rPr>
        <w:t xml:space="preserve">was </w:t>
      </w:r>
      <w:r w:rsidR="00AC7D99">
        <w:rPr>
          <w:rFonts w:ascii="Times New Roman" w:hAnsi="Times New Roman" w:cs="Times New Roman"/>
        </w:rPr>
        <w:t xml:space="preserve">not </w:t>
      </w:r>
      <w:r w:rsidRPr="00A1396E">
        <w:rPr>
          <w:rFonts w:ascii="Times New Roman" w:hAnsi="Times New Roman" w:cs="Times New Roman"/>
        </w:rPr>
        <w:t xml:space="preserve">provided. </w:t>
      </w:r>
    </w:p>
    <w:p w14:paraId="308FC6E9" w14:textId="77777777" w:rsidR="0008768E" w:rsidRPr="00A1396E" w:rsidRDefault="0008768E" w:rsidP="0008768E">
      <w:pPr>
        <w:ind w:left="0" w:firstLine="0"/>
        <w:rPr>
          <w:rFonts w:ascii="Times New Roman" w:hAnsi="Times New Roman" w:cs="Times New Roman"/>
        </w:rPr>
      </w:pPr>
    </w:p>
    <w:p w14:paraId="308FC6EA" w14:textId="30A388A3" w:rsidR="0008768E" w:rsidRPr="00A1396E" w:rsidRDefault="0008768E" w:rsidP="0008768E">
      <w:pPr>
        <w:ind w:left="0" w:firstLine="0"/>
        <w:rPr>
          <w:rFonts w:ascii="Times New Roman" w:hAnsi="Times New Roman" w:cs="Times New Roman"/>
        </w:rPr>
      </w:pPr>
      <w:proofErr w:type="spellStart"/>
      <w:r w:rsidRPr="00A1396E">
        <w:rPr>
          <w:rFonts w:ascii="Times New Roman" w:hAnsi="Times New Roman" w:cs="Times New Roman"/>
        </w:rPr>
        <w:t>Schelleman</w:t>
      </w:r>
      <w:bookmarkStart w:id="15" w:name="_GoBack"/>
      <w:bookmarkEnd w:id="15"/>
      <w:proofErr w:type="spellEnd"/>
      <w:r w:rsidRPr="00A1396E">
        <w:rPr>
          <w:rFonts w:ascii="Times New Roman" w:hAnsi="Times New Roman" w:cs="Times New Roman"/>
        </w:rPr>
        <w:t xml:space="preserve"> et al. (2008): In this nested case-control and case-crossover study of Medicaid data, 308,100 patients taking warfarin experienced 11,444 gastrointestinal hemorrhages requiring hospitalization (4.89 </w:t>
      </w:r>
      <w:r w:rsidRPr="00A1396E">
        <w:rPr>
          <w:rFonts w:ascii="Times New Roman" w:hAnsi="Times New Roman" w:cs="Times New Roman"/>
        </w:rPr>
        <w:lastRenderedPageBreak/>
        <w:t xml:space="preserve">cases per 100 patient-years). </w:t>
      </w:r>
      <w:r w:rsidR="005E1877" w:rsidRPr="00A1396E">
        <w:rPr>
          <w:rFonts w:ascii="Times New Roman" w:hAnsi="Times New Roman" w:cs="Times New Roman"/>
        </w:rPr>
        <w:t>Each of these cases was matched to up to 50 controls (</w:t>
      </w:r>
      <w:r w:rsidR="00207CA8" w:rsidRPr="00A1396E">
        <w:rPr>
          <w:rFonts w:ascii="Times New Roman" w:hAnsi="Times New Roman" w:cs="Times New Roman"/>
        </w:rPr>
        <w:t xml:space="preserve">combined samples, </w:t>
      </w:r>
      <w:r w:rsidR="005E1877" w:rsidRPr="00A1396E">
        <w:rPr>
          <w:rFonts w:ascii="Times New Roman" w:hAnsi="Times New Roman" w:cs="Times New Roman"/>
        </w:rPr>
        <w:t>33.7% male, 26.3% &lt;60 years, 28.5%</w:t>
      </w:r>
      <w:r w:rsidR="00951632">
        <w:rPr>
          <w:rFonts w:ascii="Times New Roman" w:hAnsi="Times New Roman" w:cs="Times New Roman"/>
        </w:rPr>
        <w:t xml:space="preserve"> </w:t>
      </w:r>
      <w:r w:rsidR="005E1877" w:rsidRPr="00A1396E">
        <w:rPr>
          <w:rFonts w:ascii="Times New Roman" w:hAnsi="Times New Roman" w:cs="Times New Roman"/>
        </w:rPr>
        <w:t xml:space="preserve">≥80 years). </w:t>
      </w:r>
      <w:r w:rsidRPr="00A1396E">
        <w:rPr>
          <w:rFonts w:ascii="Times New Roman" w:hAnsi="Times New Roman" w:cs="Times New Roman"/>
        </w:rPr>
        <w:t xml:space="preserve">Odds ratios for anti-infective drugs were calculated by identifying patients experiencing bleeds within </w:t>
      </w:r>
      <w:r w:rsidR="005554A3">
        <w:rPr>
          <w:rFonts w:ascii="Times New Roman" w:hAnsi="Times New Roman" w:cs="Times New Roman"/>
        </w:rPr>
        <w:t>six</w:t>
      </w:r>
      <w:r w:rsidRPr="00A1396E">
        <w:rPr>
          <w:rFonts w:ascii="Times New Roman" w:hAnsi="Times New Roman" w:cs="Times New Roman"/>
        </w:rPr>
        <w:t xml:space="preserve"> to </w:t>
      </w:r>
      <w:r w:rsidR="00641ECD">
        <w:rPr>
          <w:rFonts w:ascii="Times New Roman" w:hAnsi="Times New Roman" w:cs="Times New Roman"/>
        </w:rPr>
        <w:t>ten</w:t>
      </w:r>
      <w:r w:rsidRPr="00A1396E">
        <w:rPr>
          <w:rFonts w:ascii="Times New Roman" w:hAnsi="Times New Roman" w:cs="Times New Roman"/>
        </w:rPr>
        <w:t xml:space="preserve"> days after filling a prescription for anti-infectives, since it takes </w:t>
      </w:r>
      <w:r w:rsidR="005554A3">
        <w:rPr>
          <w:rFonts w:ascii="Times New Roman" w:hAnsi="Times New Roman" w:cs="Times New Roman"/>
        </w:rPr>
        <w:t>five</w:t>
      </w:r>
      <w:r w:rsidRPr="00A1396E">
        <w:rPr>
          <w:rFonts w:ascii="Times New Roman" w:hAnsi="Times New Roman" w:cs="Times New Roman"/>
        </w:rPr>
        <w:t xml:space="preserve"> days for most anti-infective drugs to reach steady state concentrations. For each drug examined, the risk of a gastrointestinal hemorrhage after a fill of an anti-infective based on ORs was significantly higher, except for amoxicillin: ciprofloxacin 1.58 (95% CI 1.22-2.04), levofloxacin 1.64 (95% CI 1.31-2.04), </w:t>
      </w:r>
      <w:proofErr w:type="spellStart"/>
      <w:r w:rsidRPr="00A1396E">
        <w:rPr>
          <w:rFonts w:ascii="Times New Roman" w:hAnsi="Times New Roman" w:cs="Times New Roman"/>
        </w:rPr>
        <w:t>gatifloxacin</w:t>
      </w:r>
      <w:proofErr w:type="spellEnd"/>
      <w:r w:rsidRPr="00A1396E">
        <w:rPr>
          <w:rFonts w:ascii="Times New Roman" w:hAnsi="Times New Roman" w:cs="Times New Roman"/>
        </w:rPr>
        <w:t xml:space="preserve"> 2.10 (95% CI 1.07-4.11), </w:t>
      </w:r>
      <w:proofErr w:type="spellStart"/>
      <w:r w:rsidRPr="00A1396E">
        <w:rPr>
          <w:rFonts w:ascii="Times New Roman" w:hAnsi="Times New Roman" w:cs="Times New Roman"/>
        </w:rPr>
        <w:t>cotrimoxazole</w:t>
      </w:r>
      <w:proofErr w:type="spellEnd"/>
      <w:r w:rsidRPr="00A1396E">
        <w:rPr>
          <w:rFonts w:ascii="Times New Roman" w:hAnsi="Times New Roman" w:cs="Times New Roman"/>
        </w:rPr>
        <w:t xml:space="preserve"> 2.70 (95% CI 2.14-3.41), fluconazole 2.23 (95% CI 1.49-3.33), cephalexin 1.37 (95% CI 1.05-1.80), and amoxicillin 1.28 (95% CI 0.99-1.65). However, most ORs for bleeds within </w:t>
      </w:r>
      <w:r w:rsidR="00B55F8C">
        <w:rPr>
          <w:rFonts w:ascii="Times New Roman" w:hAnsi="Times New Roman" w:cs="Times New Roman"/>
        </w:rPr>
        <w:t>zero</w:t>
      </w:r>
      <w:r w:rsidRPr="00A1396E">
        <w:rPr>
          <w:rFonts w:ascii="Times New Roman" w:hAnsi="Times New Roman" w:cs="Times New Roman"/>
        </w:rPr>
        <w:t xml:space="preserve"> to </w:t>
      </w:r>
      <w:r w:rsidR="00B55F8C">
        <w:rPr>
          <w:rFonts w:ascii="Times New Roman" w:hAnsi="Times New Roman" w:cs="Times New Roman"/>
        </w:rPr>
        <w:t>five</w:t>
      </w:r>
      <w:r w:rsidRPr="00A1396E">
        <w:rPr>
          <w:rFonts w:ascii="Times New Roman" w:hAnsi="Times New Roman" w:cs="Times New Roman"/>
        </w:rPr>
        <w:t xml:space="preserve"> days of filling an anti-infective prescription exceeded those at </w:t>
      </w:r>
      <w:r w:rsidR="00B55F8C">
        <w:rPr>
          <w:rFonts w:ascii="Times New Roman" w:hAnsi="Times New Roman" w:cs="Times New Roman"/>
        </w:rPr>
        <w:t>six</w:t>
      </w:r>
      <w:r w:rsidRPr="00A1396E">
        <w:rPr>
          <w:rFonts w:ascii="Times New Roman" w:hAnsi="Times New Roman" w:cs="Times New Roman"/>
        </w:rPr>
        <w:t xml:space="preserve"> to 10 days: ciprofloxacin 2.14 (95% CI 1.76-2.</w:t>
      </w:r>
      <w:r w:rsidR="00B36CD8" w:rsidRPr="00A1396E">
        <w:rPr>
          <w:rFonts w:ascii="Times New Roman" w:hAnsi="Times New Roman" w:cs="Times New Roman"/>
        </w:rPr>
        <w:t>62</w:t>
      </w:r>
      <w:r w:rsidRPr="00A1396E">
        <w:rPr>
          <w:rFonts w:ascii="Times New Roman" w:hAnsi="Times New Roman" w:cs="Times New Roman"/>
        </w:rPr>
        <w:t xml:space="preserve">), levofloxacin 2.48 (95% CI 2.10-2.93), </w:t>
      </w:r>
      <w:proofErr w:type="spellStart"/>
      <w:r w:rsidRPr="00A1396E">
        <w:rPr>
          <w:rFonts w:ascii="Times New Roman" w:hAnsi="Times New Roman" w:cs="Times New Roman"/>
        </w:rPr>
        <w:t>gatifloxacin</w:t>
      </w:r>
      <w:proofErr w:type="spellEnd"/>
      <w:r w:rsidRPr="00A1396E">
        <w:rPr>
          <w:rFonts w:ascii="Times New Roman" w:hAnsi="Times New Roman" w:cs="Times New Roman"/>
        </w:rPr>
        <w:t xml:space="preserve"> 3.02 (95% CI 1.81-5.03), </w:t>
      </w:r>
      <w:proofErr w:type="spellStart"/>
      <w:r w:rsidRPr="00A1396E">
        <w:rPr>
          <w:rFonts w:ascii="Times New Roman" w:hAnsi="Times New Roman" w:cs="Times New Roman"/>
        </w:rPr>
        <w:t>cotrimoxazole</w:t>
      </w:r>
      <w:proofErr w:type="spellEnd"/>
      <w:r w:rsidRPr="00A1396E">
        <w:rPr>
          <w:rFonts w:ascii="Times New Roman" w:hAnsi="Times New Roman" w:cs="Times New Roman"/>
        </w:rPr>
        <w:t xml:space="preserve"> 1.56 (95% CI 1.19-2.06), fluconazole 1.66 (95% CI 1.09-2.53), cephalexin 1.72 (95% CI 1.38-2.16), and amoxicillin 1.47 (95% CI 1.17-1.84). Controlling for indication by using cephalexin, a drug not classified as potentially interacting with warfarin, the authors found significant associations </w:t>
      </w:r>
      <w:r w:rsidR="00B55F8C" w:rsidRPr="00A1396E">
        <w:rPr>
          <w:rFonts w:ascii="Times New Roman" w:hAnsi="Times New Roman" w:cs="Times New Roman"/>
        </w:rPr>
        <w:t xml:space="preserve">only </w:t>
      </w:r>
      <w:r w:rsidRPr="00A1396E">
        <w:rPr>
          <w:rFonts w:ascii="Times New Roman" w:hAnsi="Times New Roman" w:cs="Times New Roman"/>
        </w:rPr>
        <w:t xml:space="preserve">with </w:t>
      </w:r>
      <w:proofErr w:type="spellStart"/>
      <w:r w:rsidRPr="00A1396E">
        <w:rPr>
          <w:rFonts w:ascii="Times New Roman" w:hAnsi="Times New Roman" w:cs="Times New Roman"/>
        </w:rPr>
        <w:t>cotrimoxazole</w:t>
      </w:r>
      <w:proofErr w:type="spellEnd"/>
      <w:r w:rsidRPr="00A1396E">
        <w:rPr>
          <w:rFonts w:ascii="Times New Roman" w:hAnsi="Times New Roman" w:cs="Times New Roman"/>
        </w:rPr>
        <w:t xml:space="preserve"> at </w:t>
      </w:r>
      <w:r w:rsidR="00B55F8C">
        <w:rPr>
          <w:rFonts w:ascii="Times New Roman" w:hAnsi="Times New Roman" w:cs="Times New Roman"/>
        </w:rPr>
        <w:t>six</w:t>
      </w:r>
      <w:r w:rsidRPr="00A1396E">
        <w:rPr>
          <w:rFonts w:ascii="Times New Roman" w:hAnsi="Times New Roman" w:cs="Times New Roman"/>
        </w:rPr>
        <w:t xml:space="preserve"> to </w:t>
      </w:r>
      <w:r w:rsidR="00641ECD">
        <w:rPr>
          <w:rFonts w:ascii="Times New Roman" w:hAnsi="Times New Roman" w:cs="Times New Roman"/>
        </w:rPr>
        <w:t xml:space="preserve"> ten </w:t>
      </w:r>
      <w:r w:rsidRPr="00A1396E">
        <w:rPr>
          <w:rFonts w:ascii="Times New Roman" w:hAnsi="Times New Roman" w:cs="Times New Roman"/>
        </w:rPr>
        <w:t xml:space="preserve">days (adjusted OR 1.66, 95% CI 1.01-2.74) and fluconazole at 11 to 15 days (adjusted OR 2.59, 95% CI 1.18-5.69). They suggest that the observed increased risk of hemorrhage in patients taking warfarin and an antibiotic may be partially due to the underlying infection rather than an interaction between warfarin and the anti-infective. </w:t>
      </w:r>
    </w:p>
    <w:p w14:paraId="308FC6EB" w14:textId="77777777" w:rsidR="0008768E" w:rsidRPr="00A1396E" w:rsidRDefault="0008768E" w:rsidP="0008768E">
      <w:pPr>
        <w:ind w:left="0" w:firstLine="0"/>
        <w:rPr>
          <w:rFonts w:ascii="Times New Roman" w:hAnsi="Times New Roman" w:cs="Times New Roman"/>
        </w:rPr>
      </w:pPr>
    </w:p>
    <w:p w14:paraId="308FC6EC" w14:textId="64AE66DE" w:rsidR="0008768E" w:rsidRPr="00A1396E" w:rsidRDefault="0008768E" w:rsidP="0008768E">
      <w:pPr>
        <w:ind w:left="0" w:firstLine="0"/>
        <w:rPr>
          <w:rFonts w:ascii="Times New Roman" w:hAnsi="Times New Roman" w:cs="Times New Roman"/>
        </w:rPr>
      </w:pPr>
      <w:r w:rsidRPr="00A1396E">
        <w:rPr>
          <w:rFonts w:ascii="Times New Roman" w:hAnsi="Times New Roman" w:cs="Times New Roman"/>
        </w:rPr>
        <w:t xml:space="preserve">Penning-van </w:t>
      </w:r>
      <w:proofErr w:type="spellStart"/>
      <w:r w:rsidRPr="00A1396E">
        <w:rPr>
          <w:rFonts w:ascii="Times New Roman" w:hAnsi="Times New Roman" w:cs="Times New Roman"/>
        </w:rPr>
        <w:t>Beest</w:t>
      </w:r>
      <w:proofErr w:type="spellEnd"/>
      <w:r w:rsidRPr="00A1396E">
        <w:rPr>
          <w:rFonts w:ascii="Times New Roman" w:hAnsi="Times New Roman" w:cs="Times New Roman"/>
        </w:rPr>
        <w:t xml:space="preserve">, </w:t>
      </w:r>
      <w:proofErr w:type="spellStart"/>
      <w:r w:rsidRPr="00A1396E">
        <w:rPr>
          <w:rFonts w:ascii="Times New Roman" w:hAnsi="Times New Roman" w:cs="Times New Roman"/>
        </w:rPr>
        <w:t>Koerselman</w:t>
      </w:r>
      <w:proofErr w:type="spellEnd"/>
      <w:r w:rsidRPr="00A1396E">
        <w:rPr>
          <w:rFonts w:ascii="Times New Roman" w:hAnsi="Times New Roman" w:cs="Times New Roman"/>
        </w:rPr>
        <w:t xml:space="preserve">, &amp; </w:t>
      </w:r>
      <w:proofErr w:type="spellStart"/>
      <w:r w:rsidRPr="00A1396E">
        <w:rPr>
          <w:rFonts w:ascii="Times New Roman" w:hAnsi="Times New Roman" w:cs="Times New Roman"/>
        </w:rPr>
        <w:t>Herings</w:t>
      </w:r>
      <w:proofErr w:type="spellEnd"/>
      <w:r w:rsidRPr="00A1396E">
        <w:rPr>
          <w:rFonts w:ascii="Times New Roman" w:hAnsi="Times New Roman" w:cs="Times New Roman"/>
        </w:rPr>
        <w:t xml:space="preserve"> (2008): This retrospective cohort study of 59,987 patients (age range: 40-80 years) taking </w:t>
      </w:r>
      <w:proofErr w:type="spellStart"/>
      <w:r w:rsidRPr="00A1396E">
        <w:rPr>
          <w:rFonts w:ascii="Times New Roman" w:hAnsi="Times New Roman" w:cs="Times New Roman"/>
        </w:rPr>
        <w:t>acenocoumarol</w:t>
      </w:r>
      <w:proofErr w:type="spellEnd"/>
      <w:r w:rsidRPr="00A1396E">
        <w:rPr>
          <w:rFonts w:ascii="Times New Roman" w:hAnsi="Times New Roman" w:cs="Times New Roman"/>
        </w:rPr>
        <w:t xml:space="preserve"> or </w:t>
      </w:r>
      <w:proofErr w:type="spellStart"/>
      <w:r w:rsidRPr="00A1396E">
        <w:rPr>
          <w:rFonts w:ascii="Times New Roman" w:hAnsi="Times New Roman" w:cs="Times New Roman"/>
        </w:rPr>
        <w:t>phenprocoumon</w:t>
      </w:r>
      <w:proofErr w:type="spellEnd"/>
      <w:r w:rsidRPr="00A1396E">
        <w:rPr>
          <w:rFonts w:ascii="Times New Roman" w:hAnsi="Times New Roman" w:cs="Times New Roman"/>
        </w:rPr>
        <w:t xml:space="preserve"> determined relative risk of bleeding for those patients concurrently taking an antibiotic, based on pharmacy dispensing data and hospital discharge</w:t>
      </w:r>
      <w:r w:rsidR="006970A5" w:rsidRPr="00A1396E">
        <w:rPr>
          <w:rFonts w:ascii="Times New Roman" w:hAnsi="Times New Roman" w:cs="Times New Roman"/>
        </w:rPr>
        <w:t xml:space="preserve"> data</w:t>
      </w:r>
      <w:r w:rsidR="00B9221C">
        <w:rPr>
          <w:rFonts w:ascii="Times New Roman" w:hAnsi="Times New Roman" w:cs="Times New Roman"/>
        </w:rPr>
        <w:t xml:space="preserve"> for 1996-2004</w:t>
      </w:r>
      <w:r w:rsidRPr="00A1396E">
        <w:rPr>
          <w:rFonts w:ascii="Times New Roman" w:hAnsi="Times New Roman" w:cs="Times New Roman"/>
        </w:rPr>
        <w:t xml:space="preserve">. </w:t>
      </w:r>
      <w:r w:rsidR="008D5273">
        <w:rPr>
          <w:rFonts w:ascii="Times New Roman" w:hAnsi="Times New Roman" w:cs="Times New Roman"/>
        </w:rPr>
        <w:t xml:space="preserve">A total of </w:t>
      </w:r>
      <w:r w:rsidRPr="00A1396E">
        <w:rPr>
          <w:rFonts w:ascii="Times New Roman" w:hAnsi="Times New Roman" w:cs="Times New Roman"/>
        </w:rPr>
        <w:t>1,850 patients were hospitalized for bleeding during the study</w:t>
      </w:r>
      <w:r w:rsidR="008D5273">
        <w:rPr>
          <w:rFonts w:ascii="Times New Roman" w:hAnsi="Times New Roman" w:cs="Times New Roman"/>
        </w:rPr>
        <w:t>, of which</w:t>
      </w:r>
      <w:r w:rsidR="008D5273" w:rsidRPr="00A1396E">
        <w:rPr>
          <w:rFonts w:ascii="Times New Roman" w:hAnsi="Times New Roman" w:cs="Times New Roman"/>
        </w:rPr>
        <w:t xml:space="preserve"> </w:t>
      </w:r>
      <w:r w:rsidRPr="00A1396E">
        <w:rPr>
          <w:rFonts w:ascii="Times New Roman" w:hAnsi="Times New Roman" w:cs="Times New Roman"/>
        </w:rPr>
        <w:t xml:space="preserve">73 patients were taking </w:t>
      </w:r>
      <w:proofErr w:type="spellStart"/>
      <w:r w:rsidR="008D5273">
        <w:rPr>
          <w:rFonts w:ascii="Times New Roman" w:hAnsi="Times New Roman" w:cs="Times New Roman"/>
        </w:rPr>
        <w:t>coumarin</w:t>
      </w:r>
      <w:proofErr w:type="spellEnd"/>
      <w:r w:rsidR="008D5273">
        <w:rPr>
          <w:rFonts w:ascii="Times New Roman" w:hAnsi="Times New Roman" w:cs="Times New Roman"/>
        </w:rPr>
        <w:t xml:space="preserve"> and </w:t>
      </w:r>
      <w:r w:rsidRPr="00A1396E">
        <w:rPr>
          <w:rFonts w:ascii="Times New Roman" w:hAnsi="Times New Roman" w:cs="Times New Roman"/>
        </w:rPr>
        <w:t xml:space="preserve">an antibiotic. Patients on </w:t>
      </w:r>
      <w:proofErr w:type="spellStart"/>
      <w:r w:rsidR="00B86CD9">
        <w:rPr>
          <w:rFonts w:ascii="Times New Roman" w:hAnsi="Times New Roman" w:cs="Times New Roman"/>
        </w:rPr>
        <w:t>coum</w:t>
      </w:r>
      <w:r w:rsidR="00B86CD9" w:rsidRPr="00A1396E">
        <w:rPr>
          <w:rFonts w:ascii="Times New Roman" w:hAnsi="Times New Roman" w:cs="Times New Roman"/>
        </w:rPr>
        <w:t>arin</w:t>
      </w:r>
      <w:proofErr w:type="spellEnd"/>
      <w:r w:rsidR="00B86CD9" w:rsidRPr="00A1396E">
        <w:rPr>
          <w:rFonts w:ascii="Times New Roman" w:hAnsi="Times New Roman" w:cs="Times New Roman"/>
        </w:rPr>
        <w:t xml:space="preserve"> </w:t>
      </w:r>
      <w:r w:rsidRPr="00A1396E">
        <w:rPr>
          <w:rFonts w:ascii="Times New Roman" w:hAnsi="Times New Roman" w:cs="Times New Roman"/>
        </w:rPr>
        <w:t xml:space="preserve">also taking </w:t>
      </w:r>
      <w:proofErr w:type="spellStart"/>
      <w:r w:rsidRPr="00A1396E">
        <w:rPr>
          <w:rFonts w:ascii="Times New Roman" w:hAnsi="Times New Roman" w:cs="Times New Roman"/>
        </w:rPr>
        <w:t>cefradine</w:t>
      </w:r>
      <w:proofErr w:type="spellEnd"/>
      <w:r w:rsidRPr="00A1396E">
        <w:rPr>
          <w:rFonts w:ascii="Times New Roman" w:hAnsi="Times New Roman" w:cs="Times New Roman"/>
        </w:rPr>
        <w:t xml:space="preserve"> had the greatest risk of bleeding with </w:t>
      </w:r>
      <w:r w:rsidR="008D1E61">
        <w:rPr>
          <w:rFonts w:ascii="Times New Roman" w:hAnsi="Times New Roman" w:cs="Times New Roman"/>
        </w:rPr>
        <w:t>relative risks (</w:t>
      </w:r>
      <w:r w:rsidRPr="00A1396E">
        <w:rPr>
          <w:rFonts w:ascii="Times New Roman" w:hAnsi="Times New Roman" w:cs="Times New Roman"/>
        </w:rPr>
        <w:t>RR</w:t>
      </w:r>
      <w:r w:rsidR="008D1E61">
        <w:rPr>
          <w:rFonts w:ascii="Times New Roman" w:hAnsi="Times New Roman" w:cs="Times New Roman"/>
        </w:rPr>
        <w:t>)</w:t>
      </w:r>
      <w:r w:rsidRPr="00A1396E">
        <w:rPr>
          <w:rFonts w:ascii="Times New Roman" w:hAnsi="Times New Roman" w:cs="Times New Roman"/>
        </w:rPr>
        <w:t xml:space="preserve"> of 53.4 (95% CI 17.2-166.1), followed by patients taking neomycin, who had RR of 43.4 (95% CI 6.1-308.6). Other antibiotics also showed increased risk of bleeding: amoxicillin/clavulanic acid 4.7 (95% CI 2.8-7.9), doxycycline 2.6 (</w:t>
      </w:r>
      <w:r w:rsidR="00792116" w:rsidRPr="00A1396E">
        <w:rPr>
          <w:rFonts w:ascii="Times New Roman" w:hAnsi="Times New Roman" w:cs="Times New Roman"/>
        </w:rPr>
        <w:t xml:space="preserve">95% CI </w:t>
      </w:r>
      <w:r w:rsidRPr="00A1396E">
        <w:rPr>
          <w:rFonts w:ascii="Times New Roman" w:hAnsi="Times New Roman" w:cs="Times New Roman"/>
        </w:rPr>
        <w:t xml:space="preserve">1.4-4.8), amoxicillin 3.0 (95% CI 1.6-5.8), ciprofloxacin 3.9 (95% CI 1.8-8.2), </w:t>
      </w:r>
      <w:proofErr w:type="spellStart"/>
      <w:r w:rsidRPr="00A1396E">
        <w:rPr>
          <w:rFonts w:ascii="Times New Roman" w:hAnsi="Times New Roman" w:cs="Times New Roman"/>
        </w:rPr>
        <w:t>cotrimoxazole</w:t>
      </w:r>
      <w:proofErr w:type="spellEnd"/>
      <w:r w:rsidRPr="00A1396E">
        <w:rPr>
          <w:rFonts w:ascii="Times New Roman" w:hAnsi="Times New Roman" w:cs="Times New Roman"/>
        </w:rPr>
        <w:t xml:space="preserve"> 5.3 (95% CI 2.4-11.8), </w:t>
      </w:r>
      <w:proofErr w:type="spellStart"/>
      <w:r w:rsidRPr="00A1396E">
        <w:rPr>
          <w:rFonts w:ascii="Times New Roman" w:hAnsi="Times New Roman" w:cs="Times New Roman"/>
        </w:rPr>
        <w:t>pheneticillin</w:t>
      </w:r>
      <w:proofErr w:type="spellEnd"/>
      <w:r w:rsidRPr="00A1396E">
        <w:rPr>
          <w:rFonts w:ascii="Times New Roman" w:hAnsi="Times New Roman" w:cs="Times New Roman"/>
        </w:rPr>
        <w:t xml:space="preserve"> 4.6 (95% CI 1.2-18.5), and tetracycline 8.7 (95% CI 1.2-62.0). All but one of the rest of the antibiotics showed an increased risk of hemorrhage, but not significantly greater than 1.0: </w:t>
      </w:r>
      <w:proofErr w:type="spellStart"/>
      <w:r w:rsidRPr="00A1396E">
        <w:rPr>
          <w:rFonts w:ascii="Times New Roman" w:hAnsi="Times New Roman" w:cs="Times New Roman"/>
        </w:rPr>
        <w:t>flucloxacillin</w:t>
      </w:r>
      <w:proofErr w:type="spellEnd"/>
      <w:r w:rsidRPr="00A1396E">
        <w:rPr>
          <w:rFonts w:ascii="Times New Roman" w:hAnsi="Times New Roman" w:cs="Times New Roman"/>
        </w:rPr>
        <w:t xml:space="preserve"> 2.2 (95% CI 0.7-6.9), </w:t>
      </w:r>
      <w:proofErr w:type="spellStart"/>
      <w:r w:rsidRPr="00A1396E">
        <w:rPr>
          <w:rFonts w:ascii="Times New Roman" w:hAnsi="Times New Roman" w:cs="Times New Roman"/>
        </w:rPr>
        <w:t>norfloxacin</w:t>
      </w:r>
      <w:proofErr w:type="spellEnd"/>
      <w:r w:rsidRPr="00A1396E">
        <w:rPr>
          <w:rFonts w:ascii="Times New Roman" w:hAnsi="Times New Roman" w:cs="Times New Roman"/>
        </w:rPr>
        <w:t xml:space="preserve"> 2.2 (95% CI 0.7-6.7), </w:t>
      </w:r>
      <w:proofErr w:type="spellStart"/>
      <w:r w:rsidRPr="00A1396E">
        <w:rPr>
          <w:rFonts w:ascii="Times New Roman" w:hAnsi="Times New Roman" w:cs="Times New Roman"/>
        </w:rPr>
        <w:t>ofloxacin</w:t>
      </w:r>
      <w:proofErr w:type="spellEnd"/>
      <w:r w:rsidRPr="00A1396E">
        <w:rPr>
          <w:rFonts w:ascii="Times New Roman" w:hAnsi="Times New Roman" w:cs="Times New Roman"/>
        </w:rPr>
        <w:t xml:space="preserve"> 2.8 (95% CI 0.7-11.3), </w:t>
      </w:r>
      <w:proofErr w:type="spellStart"/>
      <w:r w:rsidRPr="00A1396E">
        <w:rPr>
          <w:rFonts w:ascii="Times New Roman" w:hAnsi="Times New Roman" w:cs="Times New Roman"/>
        </w:rPr>
        <w:t>nitrofurantoin</w:t>
      </w:r>
      <w:proofErr w:type="spellEnd"/>
      <w:r w:rsidRPr="00A1396E">
        <w:rPr>
          <w:rFonts w:ascii="Times New Roman" w:hAnsi="Times New Roman" w:cs="Times New Roman"/>
        </w:rPr>
        <w:t xml:space="preserve"> 0.8 (95% CI 0.2-3.2), trimethoprim 1.3 (95% CI 0.3-5.4), clarithromycin 1.8 (95% CI 0.4-7.0), azithromycin 4.1 (95% CI 1.0-16.2), </w:t>
      </w:r>
      <w:proofErr w:type="spellStart"/>
      <w:r w:rsidRPr="00A1396E">
        <w:rPr>
          <w:rFonts w:ascii="Times New Roman" w:hAnsi="Times New Roman" w:cs="Times New Roman"/>
        </w:rPr>
        <w:t>eythromycin</w:t>
      </w:r>
      <w:proofErr w:type="spellEnd"/>
      <w:r w:rsidRPr="00A1396E">
        <w:rPr>
          <w:rFonts w:ascii="Times New Roman" w:hAnsi="Times New Roman" w:cs="Times New Roman"/>
        </w:rPr>
        <w:t xml:space="preserve"> 4.2 (95% CI 0.6-29.5), </w:t>
      </w:r>
      <w:proofErr w:type="spellStart"/>
      <w:r w:rsidRPr="00A1396E">
        <w:rPr>
          <w:rFonts w:ascii="Times New Roman" w:hAnsi="Times New Roman" w:cs="Times New Roman"/>
        </w:rPr>
        <w:t>phenoxymethylpenicillin</w:t>
      </w:r>
      <w:proofErr w:type="spellEnd"/>
      <w:r w:rsidRPr="00A1396E">
        <w:rPr>
          <w:rFonts w:ascii="Times New Roman" w:hAnsi="Times New Roman" w:cs="Times New Roman"/>
        </w:rPr>
        <w:t xml:space="preserve"> 4.7 (95% CI 0.7-33.2), </w:t>
      </w:r>
      <w:proofErr w:type="spellStart"/>
      <w:r w:rsidRPr="00A1396E">
        <w:rPr>
          <w:rFonts w:ascii="Times New Roman" w:hAnsi="Times New Roman" w:cs="Times New Roman"/>
        </w:rPr>
        <w:t>benzathinebenzylpenicillin</w:t>
      </w:r>
      <w:proofErr w:type="spellEnd"/>
      <w:r w:rsidRPr="00A1396E">
        <w:rPr>
          <w:rFonts w:ascii="Times New Roman" w:hAnsi="Times New Roman" w:cs="Times New Roman"/>
        </w:rPr>
        <w:t xml:space="preserve"> 5.8 (95% CI 0.8-41.5). </w:t>
      </w:r>
    </w:p>
    <w:p w14:paraId="308FC6ED" w14:textId="77777777" w:rsidR="0008768E" w:rsidRPr="00A1396E" w:rsidRDefault="0008768E" w:rsidP="0008768E">
      <w:pPr>
        <w:ind w:left="0" w:firstLine="0"/>
        <w:rPr>
          <w:rFonts w:ascii="Times New Roman" w:hAnsi="Times New Roman" w:cs="Times New Roman"/>
          <w:b/>
          <w:color w:val="0070C0"/>
        </w:rPr>
      </w:pPr>
    </w:p>
    <w:p w14:paraId="308FC6EE" w14:textId="0BFD4099" w:rsidR="0008768E" w:rsidRPr="00A1396E" w:rsidRDefault="0008768E" w:rsidP="0008768E">
      <w:pPr>
        <w:ind w:left="0" w:firstLine="0"/>
        <w:rPr>
          <w:rFonts w:ascii="Times New Roman" w:hAnsi="Times New Roman" w:cs="Times New Roman"/>
        </w:rPr>
      </w:pPr>
      <w:r w:rsidRPr="00A1396E">
        <w:rPr>
          <w:rFonts w:ascii="Times New Roman" w:hAnsi="Times New Roman" w:cs="Times New Roman"/>
        </w:rPr>
        <w:t xml:space="preserve">Fischer, </w:t>
      </w:r>
      <w:proofErr w:type="spellStart"/>
      <w:r w:rsidRPr="00A1396E">
        <w:rPr>
          <w:rFonts w:ascii="Times New Roman" w:hAnsi="Times New Roman" w:cs="Times New Roman"/>
        </w:rPr>
        <w:t>Juurlink</w:t>
      </w:r>
      <w:proofErr w:type="spellEnd"/>
      <w:r w:rsidRPr="00A1396E">
        <w:rPr>
          <w:rFonts w:ascii="Times New Roman" w:hAnsi="Times New Roman" w:cs="Times New Roman"/>
        </w:rPr>
        <w:t xml:space="preserve">, </w:t>
      </w:r>
      <w:proofErr w:type="spellStart"/>
      <w:r w:rsidRPr="00A1396E">
        <w:rPr>
          <w:rFonts w:ascii="Times New Roman" w:hAnsi="Times New Roman" w:cs="Times New Roman"/>
        </w:rPr>
        <w:t>Mamdani</w:t>
      </w:r>
      <w:proofErr w:type="spellEnd"/>
      <w:r w:rsidRPr="00A1396E">
        <w:rPr>
          <w:rFonts w:ascii="Times New Roman" w:hAnsi="Times New Roman" w:cs="Times New Roman"/>
        </w:rPr>
        <w:t xml:space="preserve">, Kopp &amp; </w:t>
      </w:r>
      <w:proofErr w:type="spellStart"/>
      <w:r w:rsidRPr="00A1396E">
        <w:rPr>
          <w:rFonts w:ascii="Times New Roman" w:hAnsi="Times New Roman" w:cs="Times New Roman"/>
        </w:rPr>
        <w:t>Laupacis</w:t>
      </w:r>
      <w:proofErr w:type="spellEnd"/>
      <w:r w:rsidRPr="00A1396E">
        <w:rPr>
          <w:rFonts w:ascii="Times New Roman" w:hAnsi="Times New Roman" w:cs="Times New Roman"/>
        </w:rPr>
        <w:t xml:space="preserve"> (2010): In this population-based, nested case-control study of 134,637 patients (median age 80 years) taking warfarin, cases of upper gastrointestinal bleeding were matched to up to 10 controls and compared using claims data</w:t>
      </w:r>
      <w:r w:rsidR="00792116">
        <w:rPr>
          <w:rFonts w:ascii="Times New Roman" w:hAnsi="Times New Roman" w:cs="Times New Roman"/>
        </w:rPr>
        <w:t xml:space="preserve"> for 1997-2007</w:t>
      </w:r>
      <w:r w:rsidRPr="00A1396E">
        <w:rPr>
          <w:rFonts w:ascii="Times New Roman" w:hAnsi="Times New Roman" w:cs="Times New Roman"/>
        </w:rPr>
        <w:t>. Of the antibiotics examined, cases were more likely than control</w:t>
      </w:r>
      <w:r w:rsidR="00792116">
        <w:rPr>
          <w:rFonts w:ascii="Times New Roman" w:hAnsi="Times New Roman" w:cs="Times New Roman"/>
        </w:rPr>
        <w:t>s</w:t>
      </w:r>
      <w:r w:rsidRPr="00A1396E">
        <w:rPr>
          <w:rFonts w:ascii="Times New Roman" w:hAnsi="Times New Roman" w:cs="Times New Roman"/>
        </w:rPr>
        <w:t xml:space="preserve"> to be taking </w:t>
      </w:r>
      <w:proofErr w:type="spellStart"/>
      <w:r w:rsidRPr="00A1396E">
        <w:rPr>
          <w:rFonts w:ascii="Times New Roman" w:hAnsi="Times New Roman" w:cs="Times New Roman"/>
        </w:rPr>
        <w:t>cotrimoxazole</w:t>
      </w:r>
      <w:proofErr w:type="spellEnd"/>
      <w:r w:rsidRPr="00A1396E">
        <w:rPr>
          <w:rFonts w:ascii="Times New Roman" w:hAnsi="Times New Roman" w:cs="Times New Roman"/>
        </w:rPr>
        <w:t xml:space="preserve"> (adjusted OR 3.84, 95% CI 2.33-6.33) and ciprofloxacin (adjusted OR 1.94, 95% CI 1.28-2.95). The number of patients </w:t>
      </w:r>
      <w:r w:rsidR="00792116">
        <w:rPr>
          <w:rFonts w:ascii="Times New Roman" w:hAnsi="Times New Roman" w:cs="Times New Roman"/>
        </w:rPr>
        <w:t xml:space="preserve">on warfarin </w:t>
      </w:r>
      <w:r w:rsidRPr="00A1396E">
        <w:rPr>
          <w:rFonts w:ascii="Times New Roman" w:hAnsi="Times New Roman" w:cs="Times New Roman"/>
        </w:rPr>
        <w:t xml:space="preserve">experiencing bleeding complications on different antibiotics ranged from </w:t>
      </w:r>
      <w:r w:rsidR="00B55F8C">
        <w:rPr>
          <w:rFonts w:ascii="Times New Roman" w:hAnsi="Times New Roman" w:cs="Times New Roman"/>
        </w:rPr>
        <w:t>five</w:t>
      </w:r>
      <w:r w:rsidRPr="00A1396E">
        <w:rPr>
          <w:rFonts w:ascii="Times New Roman" w:hAnsi="Times New Roman" w:cs="Times New Roman"/>
        </w:rPr>
        <w:t xml:space="preserve"> on </w:t>
      </w:r>
      <w:proofErr w:type="spellStart"/>
      <w:r w:rsidRPr="00A1396E">
        <w:rPr>
          <w:rFonts w:ascii="Times New Roman" w:hAnsi="Times New Roman" w:cs="Times New Roman"/>
        </w:rPr>
        <w:t>norfloxacin</w:t>
      </w:r>
      <w:proofErr w:type="spellEnd"/>
      <w:r w:rsidRPr="00A1396E">
        <w:rPr>
          <w:rFonts w:ascii="Times New Roman" w:hAnsi="Times New Roman" w:cs="Times New Roman"/>
        </w:rPr>
        <w:t xml:space="preserve"> to 31 on ciprofloxacin. Other antibiotics examined did not exhibit a significant increase in bleeding when compared to patients not taking them, including amoxicillin or ampicillin (adjusted OR 1.37, 95% CI 0.92-2.05), </w:t>
      </w:r>
      <w:proofErr w:type="spellStart"/>
      <w:r w:rsidRPr="00A1396E">
        <w:rPr>
          <w:rFonts w:ascii="Times New Roman" w:hAnsi="Times New Roman" w:cs="Times New Roman"/>
        </w:rPr>
        <w:t>nitrofurantoin</w:t>
      </w:r>
      <w:proofErr w:type="spellEnd"/>
      <w:r w:rsidRPr="00A1396E">
        <w:rPr>
          <w:rFonts w:ascii="Times New Roman" w:hAnsi="Times New Roman" w:cs="Times New Roman"/>
        </w:rPr>
        <w:t xml:space="preserve"> (adjusted OR 1.40, 95% CI 0.71-2.75), </w:t>
      </w:r>
      <w:proofErr w:type="spellStart"/>
      <w:r w:rsidRPr="00A1396E">
        <w:rPr>
          <w:rFonts w:ascii="Times New Roman" w:hAnsi="Times New Roman" w:cs="Times New Roman"/>
        </w:rPr>
        <w:t>norfloxacin</w:t>
      </w:r>
      <w:proofErr w:type="spellEnd"/>
      <w:r w:rsidRPr="00A1396E">
        <w:rPr>
          <w:rFonts w:ascii="Times New Roman" w:hAnsi="Times New Roman" w:cs="Times New Roman"/>
        </w:rPr>
        <w:t xml:space="preserve"> (adjusted OR 0.38, 95% CI 0.12-1.26), and ocular antibiotics (adjusted OR 0.99, 95% CI 0.50-1.93). </w:t>
      </w:r>
    </w:p>
    <w:p w14:paraId="308FC6EF" w14:textId="77777777" w:rsidR="0008768E" w:rsidRPr="00A1396E" w:rsidRDefault="0008768E" w:rsidP="0008768E">
      <w:pPr>
        <w:ind w:left="0" w:firstLine="0"/>
        <w:rPr>
          <w:rFonts w:ascii="Times New Roman" w:hAnsi="Times New Roman" w:cs="Times New Roman"/>
        </w:rPr>
      </w:pPr>
    </w:p>
    <w:p w14:paraId="308FC6F0" w14:textId="6C27BDC3" w:rsidR="0008768E" w:rsidRPr="00A1396E" w:rsidRDefault="0008768E" w:rsidP="0008768E">
      <w:pPr>
        <w:ind w:left="0" w:firstLine="0"/>
        <w:rPr>
          <w:rFonts w:ascii="Times New Roman" w:hAnsi="Times New Roman" w:cs="Times New Roman"/>
        </w:rPr>
      </w:pPr>
      <w:proofErr w:type="spellStart"/>
      <w:r w:rsidRPr="00A1396E">
        <w:rPr>
          <w:rFonts w:ascii="Times New Roman" w:hAnsi="Times New Roman" w:cs="Times New Roman"/>
        </w:rPr>
        <w:t>Jobski</w:t>
      </w:r>
      <w:proofErr w:type="spellEnd"/>
      <w:r w:rsidRPr="00A1396E">
        <w:rPr>
          <w:rFonts w:ascii="Times New Roman" w:hAnsi="Times New Roman" w:cs="Times New Roman"/>
        </w:rPr>
        <w:t xml:space="preserve">, Behr, &amp; </w:t>
      </w:r>
      <w:proofErr w:type="spellStart"/>
      <w:r w:rsidRPr="00A1396E">
        <w:rPr>
          <w:rFonts w:ascii="Times New Roman" w:hAnsi="Times New Roman" w:cs="Times New Roman"/>
        </w:rPr>
        <w:t>Garbe</w:t>
      </w:r>
      <w:proofErr w:type="spellEnd"/>
      <w:r w:rsidRPr="00A1396E">
        <w:rPr>
          <w:rFonts w:ascii="Times New Roman" w:hAnsi="Times New Roman" w:cs="Times New Roman"/>
        </w:rPr>
        <w:t xml:space="preserve"> (</w:t>
      </w:r>
      <w:r w:rsidR="00C15359" w:rsidRPr="00A1396E">
        <w:rPr>
          <w:rFonts w:ascii="Times New Roman" w:hAnsi="Times New Roman" w:cs="Times New Roman"/>
        </w:rPr>
        <w:t>201</w:t>
      </w:r>
      <w:r w:rsidR="00C15359">
        <w:rPr>
          <w:rFonts w:ascii="Times New Roman" w:hAnsi="Times New Roman" w:cs="Times New Roman"/>
        </w:rPr>
        <w:t>1</w:t>
      </w:r>
      <w:r w:rsidRPr="00A1396E">
        <w:rPr>
          <w:rFonts w:ascii="Times New Roman" w:hAnsi="Times New Roman" w:cs="Times New Roman"/>
        </w:rPr>
        <w:t>): In this nested case-control study in a cohort of 246,220 German patients (mean age 67.6 years)</w:t>
      </w:r>
      <w:r w:rsidR="00E6731C">
        <w:rPr>
          <w:rFonts w:ascii="Times New Roman" w:hAnsi="Times New Roman" w:cs="Times New Roman"/>
        </w:rPr>
        <w:t xml:space="preserve"> </w:t>
      </w:r>
      <w:r w:rsidRPr="00A1396E">
        <w:rPr>
          <w:rFonts w:ascii="Times New Roman" w:hAnsi="Times New Roman" w:cs="Times New Roman"/>
        </w:rPr>
        <w:t xml:space="preserve">taking </w:t>
      </w:r>
      <w:proofErr w:type="spellStart"/>
      <w:r w:rsidRPr="00A1396E">
        <w:rPr>
          <w:rFonts w:ascii="Times New Roman" w:hAnsi="Times New Roman" w:cs="Times New Roman"/>
        </w:rPr>
        <w:t>phenprocoumon</w:t>
      </w:r>
      <w:proofErr w:type="spellEnd"/>
      <w:r w:rsidRPr="00A1396E">
        <w:rPr>
          <w:rFonts w:ascii="Times New Roman" w:hAnsi="Times New Roman" w:cs="Times New Roman"/>
        </w:rPr>
        <w:t xml:space="preserve"> based on claims data, the most frequently used vitamin K antagonist in Germany, patients taking antibiotic drugs concurrently with </w:t>
      </w:r>
      <w:proofErr w:type="spellStart"/>
      <w:r w:rsidRPr="00A1396E">
        <w:rPr>
          <w:rFonts w:ascii="Times New Roman" w:hAnsi="Times New Roman" w:cs="Times New Roman"/>
        </w:rPr>
        <w:t>phenprocoumon</w:t>
      </w:r>
      <w:proofErr w:type="spellEnd"/>
      <w:r w:rsidRPr="00A1396E">
        <w:rPr>
          <w:rFonts w:ascii="Times New Roman" w:hAnsi="Times New Roman" w:cs="Times New Roman"/>
        </w:rPr>
        <w:t xml:space="preserve"> saw increased risk of hemorrhage. A total of 2,553 patients required hospitalization for bleeding, with the number of patients taking specific antibiotics ranging from </w:t>
      </w:r>
      <w:r w:rsidR="00B55F8C">
        <w:rPr>
          <w:rFonts w:ascii="Times New Roman" w:hAnsi="Times New Roman" w:cs="Times New Roman"/>
        </w:rPr>
        <w:t>six</w:t>
      </w:r>
      <w:r w:rsidR="002E425D" w:rsidRPr="00A1396E">
        <w:rPr>
          <w:rFonts w:ascii="Times New Roman" w:hAnsi="Times New Roman" w:cs="Times New Roman"/>
        </w:rPr>
        <w:t xml:space="preserve"> </w:t>
      </w:r>
      <w:r w:rsidRPr="00A1396E">
        <w:rPr>
          <w:rFonts w:ascii="Times New Roman" w:hAnsi="Times New Roman" w:cs="Times New Roman"/>
        </w:rPr>
        <w:t xml:space="preserve">taking </w:t>
      </w:r>
      <w:proofErr w:type="spellStart"/>
      <w:r w:rsidR="002E425D" w:rsidRPr="00A1396E">
        <w:rPr>
          <w:rFonts w:ascii="Times New Roman" w:hAnsi="Times New Roman" w:cs="Times New Roman"/>
        </w:rPr>
        <w:t>ofloxacin</w:t>
      </w:r>
      <w:proofErr w:type="spellEnd"/>
      <w:r w:rsidR="002E425D" w:rsidRPr="00A1396E">
        <w:rPr>
          <w:rFonts w:ascii="Times New Roman" w:hAnsi="Times New Roman" w:cs="Times New Roman"/>
        </w:rPr>
        <w:t xml:space="preserve"> </w:t>
      </w:r>
      <w:r w:rsidRPr="00A1396E">
        <w:rPr>
          <w:rFonts w:ascii="Times New Roman" w:hAnsi="Times New Roman" w:cs="Times New Roman"/>
        </w:rPr>
        <w:t xml:space="preserve">to </w:t>
      </w:r>
      <w:r w:rsidR="00D96227" w:rsidRPr="00A1396E">
        <w:rPr>
          <w:rFonts w:ascii="Times New Roman" w:hAnsi="Times New Roman" w:cs="Times New Roman"/>
        </w:rPr>
        <w:t xml:space="preserve">37 </w:t>
      </w:r>
      <w:r w:rsidRPr="00A1396E">
        <w:rPr>
          <w:rFonts w:ascii="Times New Roman" w:hAnsi="Times New Roman" w:cs="Times New Roman"/>
        </w:rPr>
        <w:t xml:space="preserve">taking </w:t>
      </w:r>
      <w:r w:rsidR="002157CA" w:rsidRPr="00A1396E">
        <w:rPr>
          <w:rFonts w:ascii="Times New Roman" w:hAnsi="Times New Roman" w:cs="Times New Roman"/>
        </w:rPr>
        <w:t>ciprofloxacin</w:t>
      </w:r>
      <w:r w:rsidRPr="00A1396E">
        <w:rPr>
          <w:rFonts w:ascii="Times New Roman" w:hAnsi="Times New Roman" w:cs="Times New Roman"/>
        </w:rPr>
        <w:t xml:space="preserve">. </w:t>
      </w:r>
      <w:r w:rsidR="00E6731C">
        <w:rPr>
          <w:rFonts w:ascii="Times New Roman" w:hAnsi="Times New Roman" w:cs="Times New Roman"/>
        </w:rPr>
        <w:t xml:space="preserve">These </w:t>
      </w:r>
      <w:r w:rsidR="00E6731C">
        <w:rPr>
          <w:rFonts w:ascii="Times New Roman" w:hAnsi="Times New Roman" w:cs="Times New Roman"/>
        </w:rPr>
        <w:lastRenderedPageBreak/>
        <w:t xml:space="preserve">"cases" were matched to 25,348 controls. </w:t>
      </w:r>
      <w:r w:rsidRPr="00A1396E">
        <w:rPr>
          <w:rFonts w:ascii="Times New Roman" w:hAnsi="Times New Roman" w:cs="Times New Roman"/>
        </w:rPr>
        <w:t xml:space="preserve">Specifically, </w:t>
      </w:r>
      <w:r w:rsidR="00E6731C" w:rsidRPr="00A1396E">
        <w:rPr>
          <w:rFonts w:ascii="Times New Roman" w:hAnsi="Times New Roman" w:cs="Times New Roman"/>
        </w:rPr>
        <w:t>adjusted OR</w:t>
      </w:r>
      <w:r w:rsidR="00E6731C">
        <w:rPr>
          <w:rFonts w:ascii="Times New Roman" w:hAnsi="Times New Roman" w:cs="Times New Roman"/>
        </w:rPr>
        <w:t>s were</w:t>
      </w:r>
      <w:r w:rsidR="00E6731C" w:rsidRPr="00A1396E">
        <w:rPr>
          <w:rFonts w:ascii="Times New Roman" w:hAnsi="Times New Roman" w:cs="Times New Roman"/>
        </w:rPr>
        <w:t xml:space="preserve"> </w:t>
      </w:r>
      <w:r w:rsidRPr="00A1396E">
        <w:rPr>
          <w:rFonts w:ascii="Times New Roman" w:hAnsi="Times New Roman" w:cs="Times New Roman"/>
        </w:rPr>
        <w:t xml:space="preserve">2.74 (95% CI 1.80-4.18) </w:t>
      </w:r>
      <w:r w:rsidR="00E6731C">
        <w:rPr>
          <w:rFonts w:ascii="Times New Roman" w:hAnsi="Times New Roman" w:cs="Times New Roman"/>
        </w:rPr>
        <w:t xml:space="preserve">for </w:t>
      </w:r>
      <w:r w:rsidR="00E6731C" w:rsidRPr="00A1396E">
        <w:rPr>
          <w:rFonts w:ascii="Times New Roman" w:hAnsi="Times New Roman" w:cs="Times New Roman"/>
        </w:rPr>
        <w:t>ciprofloxacin</w:t>
      </w:r>
      <w:r w:rsidR="00E6731C">
        <w:rPr>
          <w:rFonts w:ascii="Times New Roman" w:hAnsi="Times New Roman" w:cs="Times New Roman"/>
        </w:rPr>
        <w:t>,</w:t>
      </w:r>
      <w:r w:rsidR="00E6731C" w:rsidRPr="00A1396E">
        <w:rPr>
          <w:rFonts w:ascii="Times New Roman" w:hAnsi="Times New Roman" w:cs="Times New Roman"/>
        </w:rPr>
        <w:t xml:space="preserve"> 4.40 (95% CI 2.45-7.89)</w:t>
      </w:r>
      <w:r w:rsidR="00E6731C">
        <w:rPr>
          <w:rFonts w:ascii="Times New Roman" w:hAnsi="Times New Roman" w:cs="Times New Roman"/>
        </w:rPr>
        <w:t xml:space="preserve"> for </w:t>
      </w:r>
      <w:r w:rsidRPr="00A1396E">
        <w:rPr>
          <w:rFonts w:ascii="Times New Roman" w:hAnsi="Times New Roman" w:cs="Times New Roman"/>
        </w:rPr>
        <w:t xml:space="preserve">levofloxacin, </w:t>
      </w:r>
      <w:r w:rsidR="00AF11CF" w:rsidRPr="00A1396E">
        <w:rPr>
          <w:rFonts w:ascii="Times New Roman" w:hAnsi="Times New Roman" w:cs="Times New Roman"/>
        </w:rPr>
        <w:t xml:space="preserve">2.99 (95% CI 1.39-6.42) </w:t>
      </w:r>
      <w:r w:rsidR="00AF11CF">
        <w:rPr>
          <w:rFonts w:ascii="Times New Roman" w:hAnsi="Times New Roman" w:cs="Times New Roman"/>
        </w:rPr>
        <w:t xml:space="preserve">for </w:t>
      </w:r>
      <w:r w:rsidRPr="00A1396E">
        <w:rPr>
          <w:rFonts w:ascii="Times New Roman" w:hAnsi="Times New Roman" w:cs="Times New Roman"/>
        </w:rPr>
        <w:t>amoxicillin plus clavulanic acid</w:t>
      </w:r>
      <w:r w:rsidR="00AF11CF">
        <w:rPr>
          <w:rFonts w:ascii="Times New Roman" w:hAnsi="Times New Roman" w:cs="Times New Roman"/>
        </w:rPr>
        <w:t>,</w:t>
      </w:r>
      <w:r w:rsidRPr="00A1396E">
        <w:rPr>
          <w:rFonts w:ascii="Times New Roman" w:hAnsi="Times New Roman" w:cs="Times New Roman"/>
        </w:rPr>
        <w:t xml:space="preserve"> and </w:t>
      </w:r>
      <w:r w:rsidR="00AF11CF" w:rsidRPr="00A1396E">
        <w:rPr>
          <w:rFonts w:ascii="Times New Roman" w:hAnsi="Times New Roman" w:cs="Times New Roman"/>
        </w:rPr>
        <w:t>3.57 (95% CI 2.36-5.40)</w:t>
      </w:r>
      <w:r w:rsidR="00AF11CF">
        <w:rPr>
          <w:rFonts w:ascii="Times New Roman" w:hAnsi="Times New Roman" w:cs="Times New Roman"/>
        </w:rPr>
        <w:t xml:space="preserve"> for </w:t>
      </w:r>
      <w:proofErr w:type="spellStart"/>
      <w:r w:rsidRPr="00A1396E">
        <w:rPr>
          <w:rFonts w:ascii="Times New Roman" w:hAnsi="Times New Roman" w:cs="Times New Roman"/>
        </w:rPr>
        <w:t>cotrimoxazole</w:t>
      </w:r>
      <w:proofErr w:type="spellEnd"/>
      <w:r w:rsidRPr="00A1396E">
        <w:rPr>
          <w:rFonts w:ascii="Times New Roman" w:hAnsi="Times New Roman" w:cs="Times New Roman"/>
        </w:rPr>
        <w:t xml:space="preserve">. The study also examined the effect of other medications on bleeding events; since these medications are not anti-infectives, </w:t>
      </w:r>
      <w:r w:rsidR="00AF11CF">
        <w:rPr>
          <w:rFonts w:ascii="Times New Roman" w:hAnsi="Times New Roman" w:cs="Times New Roman"/>
        </w:rPr>
        <w:t>the results are not included</w:t>
      </w:r>
      <w:r w:rsidRPr="00A1396E">
        <w:rPr>
          <w:rFonts w:ascii="Times New Roman" w:hAnsi="Times New Roman" w:cs="Times New Roman"/>
        </w:rPr>
        <w:t xml:space="preserve"> here. </w:t>
      </w:r>
    </w:p>
    <w:p w14:paraId="308FC6F1" w14:textId="77777777" w:rsidR="0008768E" w:rsidRPr="00A1396E" w:rsidRDefault="0008768E" w:rsidP="00CA6D42">
      <w:pPr>
        <w:rPr>
          <w:rFonts w:ascii="Times New Roman" w:hAnsi="Times New Roman" w:cs="Times New Roman"/>
          <w:b/>
        </w:rPr>
      </w:pPr>
    </w:p>
    <w:p w14:paraId="308FC6F2" w14:textId="6EB5E5FD" w:rsidR="002157CA" w:rsidRPr="00A1396E" w:rsidRDefault="002157CA" w:rsidP="002157CA">
      <w:pPr>
        <w:ind w:left="0" w:firstLine="0"/>
        <w:rPr>
          <w:rFonts w:ascii="Times New Roman" w:hAnsi="Times New Roman" w:cs="Times New Roman"/>
        </w:rPr>
      </w:pPr>
      <w:proofErr w:type="spellStart"/>
      <w:r w:rsidRPr="00A1396E">
        <w:rPr>
          <w:rFonts w:ascii="Times New Roman" w:hAnsi="Times New Roman" w:cs="Times New Roman"/>
        </w:rPr>
        <w:t>Baillargeon</w:t>
      </w:r>
      <w:proofErr w:type="spellEnd"/>
      <w:r w:rsidRPr="00A1396E">
        <w:rPr>
          <w:rFonts w:ascii="Times New Roman" w:hAnsi="Times New Roman" w:cs="Times New Roman"/>
        </w:rPr>
        <w:t xml:space="preserve"> et al. (2012): In this case-control study nested within a cohort of 38,762 patients, continuous warfarin users were monitored for a year or until hospitalization from a bleeding event using claims data. Patients experiencing bleeding events (gastrointestinal, </w:t>
      </w:r>
      <w:proofErr w:type="spellStart"/>
      <w:r w:rsidRPr="00A1396E">
        <w:rPr>
          <w:rFonts w:ascii="Times New Roman" w:hAnsi="Times New Roman" w:cs="Times New Roman"/>
        </w:rPr>
        <w:t>nongastrointestinal</w:t>
      </w:r>
      <w:proofErr w:type="spellEnd"/>
      <w:r w:rsidRPr="00A1396E">
        <w:rPr>
          <w:rFonts w:ascii="Times New Roman" w:hAnsi="Times New Roman" w:cs="Times New Roman"/>
        </w:rPr>
        <w:t xml:space="preserve">, intracranial, and general warfarin toxicity) </w:t>
      </w:r>
      <w:r w:rsidR="00AF11CF">
        <w:rPr>
          <w:rFonts w:ascii="Times New Roman" w:hAnsi="Times New Roman" w:cs="Times New Roman"/>
        </w:rPr>
        <w:t xml:space="preserve">(N=798; </w:t>
      </w:r>
      <w:r w:rsidR="00DE3A47" w:rsidRPr="00A1396E">
        <w:rPr>
          <w:rFonts w:ascii="Times New Roman" w:hAnsi="Times New Roman" w:cs="Times New Roman"/>
        </w:rPr>
        <w:t>3</w:t>
      </w:r>
      <w:r w:rsidR="00DE3A47">
        <w:rPr>
          <w:rFonts w:ascii="Times New Roman" w:hAnsi="Times New Roman" w:cs="Times New Roman"/>
        </w:rPr>
        <w:t>4.</w:t>
      </w:r>
      <w:r w:rsidR="00DE3A47" w:rsidRPr="00A1396E">
        <w:rPr>
          <w:rFonts w:ascii="Times New Roman" w:hAnsi="Times New Roman" w:cs="Times New Roman"/>
        </w:rPr>
        <w:t>5% male, 10.</w:t>
      </w:r>
      <w:r w:rsidR="00DE3A47">
        <w:rPr>
          <w:rFonts w:ascii="Times New Roman" w:hAnsi="Times New Roman" w:cs="Times New Roman"/>
        </w:rPr>
        <w:t>8</w:t>
      </w:r>
      <w:r w:rsidR="00DE3A47" w:rsidRPr="00A1396E">
        <w:rPr>
          <w:rFonts w:ascii="Times New Roman" w:hAnsi="Times New Roman" w:cs="Times New Roman"/>
        </w:rPr>
        <w:t>% &lt;70 years, 25.</w:t>
      </w:r>
      <w:r w:rsidR="00DE3A47">
        <w:rPr>
          <w:rFonts w:ascii="Times New Roman" w:hAnsi="Times New Roman" w:cs="Times New Roman"/>
        </w:rPr>
        <w:t>8</w:t>
      </w:r>
      <w:r w:rsidR="00DE3A47" w:rsidRPr="00A1396E">
        <w:rPr>
          <w:rFonts w:ascii="Times New Roman" w:hAnsi="Times New Roman" w:cs="Times New Roman"/>
        </w:rPr>
        <w:t>% ≥85 years</w:t>
      </w:r>
      <w:r w:rsidR="00AF11CF">
        <w:rPr>
          <w:rFonts w:ascii="Times New Roman" w:hAnsi="Times New Roman" w:cs="Times New Roman"/>
        </w:rPr>
        <w:t xml:space="preserve">) </w:t>
      </w:r>
      <w:r w:rsidRPr="00A1396E">
        <w:rPr>
          <w:rFonts w:ascii="Times New Roman" w:hAnsi="Times New Roman" w:cs="Times New Roman"/>
        </w:rPr>
        <w:t>were matched with controls from the cohort</w:t>
      </w:r>
      <w:r w:rsidR="00AF11CF">
        <w:rPr>
          <w:rFonts w:ascii="Times New Roman" w:hAnsi="Times New Roman" w:cs="Times New Roman"/>
        </w:rPr>
        <w:t xml:space="preserve"> (N=2,394</w:t>
      </w:r>
      <w:r w:rsidR="00DE3A47">
        <w:rPr>
          <w:rFonts w:ascii="Times New Roman" w:hAnsi="Times New Roman" w:cs="Times New Roman"/>
        </w:rPr>
        <w:t xml:space="preserve">; </w:t>
      </w:r>
      <w:r w:rsidR="00DE3A47" w:rsidRPr="00A1396E">
        <w:rPr>
          <w:rFonts w:ascii="Times New Roman" w:hAnsi="Times New Roman" w:cs="Times New Roman"/>
        </w:rPr>
        <w:t>35</w:t>
      </w:r>
      <w:r w:rsidR="00DE3A47">
        <w:rPr>
          <w:rFonts w:ascii="Times New Roman" w:hAnsi="Times New Roman" w:cs="Times New Roman"/>
        </w:rPr>
        <w:t>.0</w:t>
      </w:r>
      <w:r w:rsidR="00DE3A47" w:rsidRPr="00A1396E">
        <w:rPr>
          <w:rFonts w:ascii="Times New Roman" w:hAnsi="Times New Roman" w:cs="Times New Roman"/>
        </w:rPr>
        <w:t>% male, 10.</w:t>
      </w:r>
      <w:r w:rsidR="00DE3A47">
        <w:rPr>
          <w:rFonts w:ascii="Times New Roman" w:hAnsi="Times New Roman" w:cs="Times New Roman"/>
        </w:rPr>
        <w:t>3</w:t>
      </w:r>
      <w:r w:rsidR="00DE3A47" w:rsidRPr="00A1396E">
        <w:rPr>
          <w:rFonts w:ascii="Times New Roman" w:hAnsi="Times New Roman" w:cs="Times New Roman"/>
        </w:rPr>
        <w:t>% &lt;70 years, 25.</w:t>
      </w:r>
      <w:r w:rsidR="00DE3A47">
        <w:rPr>
          <w:rFonts w:ascii="Times New Roman" w:hAnsi="Times New Roman" w:cs="Times New Roman"/>
        </w:rPr>
        <w:t>4</w:t>
      </w:r>
      <w:r w:rsidR="00DE3A47" w:rsidRPr="00A1396E">
        <w:rPr>
          <w:rFonts w:ascii="Times New Roman" w:hAnsi="Times New Roman" w:cs="Times New Roman"/>
        </w:rPr>
        <w:t>% ≥85 years</w:t>
      </w:r>
      <w:r w:rsidR="00AF11CF">
        <w:rPr>
          <w:rFonts w:ascii="Times New Roman" w:hAnsi="Times New Roman" w:cs="Times New Roman"/>
        </w:rPr>
        <w:t>)</w:t>
      </w:r>
      <w:r w:rsidRPr="00A1396E">
        <w:rPr>
          <w:rFonts w:ascii="Times New Roman" w:hAnsi="Times New Roman" w:cs="Times New Roman"/>
        </w:rPr>
        <w:t>. Patients on warfarin who were exposed to any antibiotic were twice as likely as those not exposed to an antibiotic to have a bleeding event that required hospitalization (adjusted OR 2.01, 95% CI 1.62-2.50), with higher risk of non-GI bleeding compared to GI bleeding, with adjusted ORs of 2.49 (95% CI 1.88-3.30) and 1.68 (95% CI 1.28-2.21)</w:t>
      </w:r>
      <w:r w:rsidR="00AF11CF">
        <w:rPr>
          <w:rFonts w:ascii="Times New Roman" w:hAnsi="Times New Roman" w:cs="Times New Roman"/>
        </w:rPr>
        <w:t>,</w:t>
      </w:r>
      <w:r w:rsidRPr="00A1396E">
        <w:rPr>
          <w:rFonts w:ascii="Times New Roman" w:hAnsi="Times New Roman" w:cs="Times New Roman"/>
        </w:rPr>
        <w:t xml:space="preserve"> respectively. </w:t>
      </w:r>
      <w:r w:rsidR="00DE3A47">
        <w:rPr>
          <w:rFonts w:ascii="Times New Roman" w:hAnsi="Times New Roman" w:cs="Times New Roman"/>
        </w:rPr>
        <w:t>Use of</w:t>
      </w:r>
      <w:r w:rsidRPr="00A1396E">
        <w:rPr>
          <w:rFonts w:ascii="Times New Roman" w:hAnsi="Times New Roman" w:cs="Times New Roman"/>
        </w:rPr>
        <w:t xml:space="preserve"> specific antibiotic</w:t>
      </w:r>
      <w:r w:rsidR="00DE3A47">
        <w:rPr>
          <w:rFonts w:ascii="Times New Roman" w:hAnsi="Times New Roman" w:cs="Times New Roman"/>
        </w:rPr>
        <w:t>s</w:t>
      </w:r>
      <w:r w:rsidRPr="00A1396E">
        <w:rPr>
          <w:rFonts w:ascii="Times New Roman" w:hAnsi="Times New Roman" w:cs="Times New Roman"/>
        </w:rPr>
        <w:t xml:space="preserve"> increased the risk of bleeding, with azole antifungals, macrolides, quinolones, </w:t>
      </w:r>
      <w:proofErr w:type="spellStart"/>
      <w:r w:rsidRPr="00A1396E">
        <w:rPr>
          <w:rFonts w:ascii="Times New Roman" w:hAnsi="Times New Roman" w:cs="Times New Roman"/>
        </w:rPr>
        <w:t>cotrimoxazole</w:t>
      </w:r>
      <w:proofErr w:type="spellEnd"/>
      <w:r w:rsidRPr="00A1396E">
        <w:rPr>
          <w:rFonts w:ascii="Times New Roman" w:hAnsi="Times New Roman" w:cs="Times New Roman"/>
        </w:rPr>
        <w:t xml:space="preserve">, </w:t>
      </w:r>
      <w:proofErr w:type="spellStart"/>
      <w:r w:rsidRPr="00A1396E">
        <w:rPr>
          <w:rFonts w:ascii="Times New Roman" w:hAnsi="Times New Roman" w:cs="Times New Roman"/>
        </w:rPr>
        <w:t>penicillins</w:t>
      </w:r>
      <w:proofErr w:type="spellEnd"/>
      <w:r w:rsidRPr="00A1396E">
        <w:rPr>
          <w:rFonts w:ascii="Times New Roman" w:hAnsi="Times New Roman" w:cs="Times New Roman"/>
        </w:rPr>
        <w:t xml:space="preserve">, and cephalosporins having adjusted ORs of 4.57 (95% CI 1.90-11.03), 1.86 (95% CI 1.08-3.21), 1.69 (95% CI 1.09-2.62), 2.70 (95% CI 1.46-5.05), 1.92 (95% CI 1.21-2.07), and 2.45 (95% CI 1.52-3.95), respectively. There were a total of 1,136 patients with bleeding complications; the number of bleeding cases taking different classes of antibiotics ranged from 17 for azole antifungals to 40 for quinolones. </w:t>
      </w:r>
    </w:p>
    <w:p w14:paraId="308FC6F3" w14:textId="77777777" w:rsidR="002157CA" w:rsidRPr="00A1396E" w:rsidRDefault="002157CA" w:rsidP="002157CA">
      <w:pPr>
        <w:ind w:left="0" w:firstLine="0"/>
        <w:rPr>
          <w:rFonts w:ascii="Times New Roman" w:hAnsi="Times New Roman" w:cs="Times New Roman"/>
        </w:rPr>
      </w:pPr>
    </w:p>
    <w:p w14:paraId="308FC6F4" w14:textId="77777777" w:rsidR="00097408" w:rsidRPr="00A1396E" w:rsidRDefault="00097408" w:rsidP="00097408">
      <w:pPr>
        <w:ind w:left="0" w:firstLine="0"/>
        <w:rPr>
          <w:rFonts w:ascii="Times New Roman" w:hAnsi="Times New Roman" w:cs="Times New Roman"/>
        </w:rPr>
      </w:pPr>
      <w:r w:rsidRPr="00A1396E">
        <w:rPr>
          <w:rFonts w:ascii="Times New Roman" w:hAnsi="Times New Roman" w:cs="Times New Roman"/>
          <w:u w:val="single"/>
        </w:rPr>
        <w:t>Citations for 1a.8.2</w:t>
      </w:r>
      <w:r w:rsidR="007274BD" w:rsidRPr="00A1396E">
        <w:rPr>
          <w:rFonts w:ascii="Times New Roman" w:hAnsi="Times New Roman" w:cs="Times New Roman"/>
        </w:rPr>
        <w:fldChar w:fldCharType="begin">
          <w:fldData xml:space="preserve">PEVuZE5vdGU+PENpdGUgSGlkZGVuPSIxIj48QXV0aG9yPkpvYnNraTwvQXV0aG9yPjxZZWFyPjIw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</w:fldData>
        </w:fldChar>
      </w:r>
      <w:r w:rsidRPr="00A1396E">
        <w:rPr>
          <w:rFonts w:ascii="Times New Roman" w:hAnsi="Times New Roman" w:cs="Times New Roman"/>
        </w:rPr>
        <w:instrText xml:space="preserve"> ADDIN EN.CITE </w:instrText>
      </w:r>
      <w:r w:rsidR="007274BD" w:rsidRPr="00A1396E">
        <w:rPr>
          <w:rFonts w:ascii="Times New Roman" w:hAnsi="Times New Roman" w:cs="Times New Roman"/>
        </w:rPr>
        <w:fldChar w:fldCharType="begin">
          <w:fldData xml:space="preserve">PEVuZE5vdGU+PENpdGUgSGlkZGVuPSIxIj48QXV0aG9yPkpvYnNraTwvQXV0aG9yPjxZZWFyPjIw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</w:fldData>
        </w:fldChar>
      </w:r>
      <w:r w:rsidRPr="00A1396E">
        <w:rPr>
          <w:rFonts w:ascii="Times New Roman" w:hAnsi="Times New Roman" w:cs="Times New Roman"/>
        </w:rPr>
        <w:instrText xml:space="preserve"> ADDIN EN.CITE.DATA </w:instrText>
      </w:r>
      <w:r w:rsidR="007274BD" w:rsidRPr="00A1396E">
        <w:rPr>
          <w:rFonts w:ascii="Times New Roman" w:hAnsi="Times New Roman" w:cs="Times New Roman"/>
        </w:rPr>
      </w:r>
      <w:r w:rsidR="007274BD" w:rsidRPr="00A1396E">
        <w:rPr>
          <w:rFonts w:ascii="Times New Roman" w:hAnsi="Times New Roman" w:cs="Times New Roman"/>
        </w:rPr>
        <w:fldChar w:fldCharType="end"/>
      </w:r>
      <w:r w:rsidR="007274BD" w:rsidRPr="00A1396E">
        <w:rPr>
          <w:rFonts w:ascii="Times New Roman" w:hAnsi="Times New Roman" w:cs="Times New Roman"/>
        </w:rPr>
      </w:r>
      <w:r w:rsidR="007274BD" w:rsidRPr="00A1396E">
        <w:rPr>
          <w:rFonts w:ascii="Times New Roman" w:hAnsi="Times New Roman" w:cs="Times New Roman"/>
        </w:rPr>
        <w:fldChar w:fldCharType="end"/>
      </w:r>
    </w:p>
    <w:p w14:paraId="308FC6F5" w14:textId="30CC61EE" w:rsidR="00086ABA" w:rsidRPr="00A1396E" w:rsidRDefault="007274BD" w:rsidP="00086ABA">
      <w:pPr>
        <w:ind w:left="720" w:hanging="720"/>
        <w:rPr>
          <w:rFonts w:ascii="Times New Roman" w:hAnsi="Times New Roman" w:cs="Times New Roman"/>
          <w:noProof/>
        </w:rPr>
      </w:pPr>
      <w:r w:rsidRPr="00A1396E">
        <w:rPr>
          <w:rFonts w:ascii="Times New Roman" w:hAnsi="Times New Roman" w:cs="Times New Roman"/>
        </w:rPr>
        <w:fldChar w:fldCharType="begin"/>
      </w:r>
      <w:r w:rsidR="00097408" w:rsidRPr="00A1396E">
        <w:rPr>
          <w:rFonts w:ascii="Times New Roman" w:hAnsi="Times New Roman" w:cs="Times New Roman"/>
        </w:rPr>
        <w:instrText xml:space="preserve"> ADDIN EN.SECTION.REFLIST </w:instrText>
      </w:r>
      <w:r w:rsidRPr="00A1396E">
        <w:rPr>
          <w:rFonts w:ascii="Times New Roman" w:hAnsi="Times New Roman" w:cs="Times New Roman"/>
        </w:rPr>
        <w:fldChar w:fldCharType="separate"/>
      </w:r>
      <w:bookmarkStart w:id="16" w:name="_ENREF_6_1"/>
      <w:r w:rsidR="00086ABA" w:rsidRPr="00A1396E">
        <w:rPr>
          <w:rFonts w:ascii="Times New Roman" w:hAnsi="Times New Roman" w:cs="Times New Roman"/>
          <w:noProof/>
        </w:rPr>
        <w:t xml:space="preserve">Baillargeon, J., Holmes, H. M., Lin, Y.-L., Raji, M. A., Sharma, G., &amp; Kuo, Y.-F. (2012). Concurrent use of warfarin and antibiotics and the risk of bleeding in older adults. </w:t>
      </w:r>
      <w:r w:rsidR="00086ABA" w:rsidRPr="00A1396E">
        <w:rPr>
          <w:rFonts w:ascii="Times New Roman" w:hAnsi="Times New Roman" w:cs="Times New Roman"/>
          <w:i/>
          <w:noProof/>
        </w:rPr>
        <w:t xml:space="preserve">The American </w:t>
      </w:r>
      <w:r w:rsidR="00DE0FD5">
        <w:rPr>
          <w:rFonts w:ascii="Times New Roman" w:hAnsi="Times New Roman" w:cs="Times New Roman"/>
          <w:i/>
          <w:noProof/>
        </w:rPr>
        <w:t>J</w:t>
      </w:r>
      <w:r w:rsidR="00086ABA" w:rsidRPr="00A1396E">
        <w:rPr>
          <w:rFonts w:ascii="Times New Roman" w:hAnsi="Times New Roman" w:cs="Times New Roman"/>
          <w:i/>
          <w:noProof/>
        </w:rPr>
        <w:t xml:space="preserve">ournal of </w:t>
      </w:r>
      <w:r w:rsidR="00DE0FD5">
        <w:rPr>
          <w:rFonts w:ascii="Times New Roman" w:hAnsi="Times New Roman" w:cs="Times New Roman"/>
          <w:i/>
          <w:noProof/>
        </w:rPr>
        <w:t>M</w:t>
      </w:r>
      <w:r w:rsidR="00086ABA" w:rsidRPr="00A1396E">
        <w:rPr>
          <w:rFonts w:ascii="Times New Roman" w:hAnsi="Times New Roman" w:cs="Times New Roman"/>
          <w:i/>
          <w:noProof/>
        </w:rPr>
        <w:t>edicine, 125</w:t>
      </w:r>
      <w:r w:rsidR="00086ABA" w:rsidRPr="00A1396E">
        <w:rPr>
          <w:rFonts w:ascii="Times New Roman" w:hAnsi="Times New Roman" w:cs="Times New Roman"/>
          <w:noProof/>
        </w:rPr>
        <w:t xml:space="preserve">(2), 183-189. </w:t>
      </w:r>
      <w:bookmarkEnd w:id="16"/>
    </w:p>
    <w:p w14:paraId="308FC6F6" w14:textId="71AEE866" w:rsidR="00086ABA" w:rsidRPr="00A1396E" w:rsidRDefault="00086ABA" w:rsidP="00086ABA">
      <w:pPr>
        <w:ind w:left="720" w:hanging="720"/>
        <w:rPr>
          <w:rFonts w:ascii="Times New Roman" w:hAnsi="Times New Roman" w:cs="Times New Roman"/>
          <w:noProof/>
        </w:rPr>
      </w:pPr>
      <w:bookmarkStart w:id="17" w:name="_ENREF_6_2"/>
      <w:r w:rsidRPr="00A1396E">
        <w:rPr>
          <w:rFonts w:ascii="Times New Roman" w:hAnsi="Times New Roman" w:cs="Times New Roman"/>
          <w:noProof/>
        </w:rPr>
        <w:t xml:space="preserve">Fischer, H. D., Juurlink, D. N., Mamdani, M. M., Kopp, A., &amp; Laupacis, A. (2010). Hemorrhage during warfarin therapy associated with cotrimoxazole and other urinary tract anti-infective agents: a population-based study. </w:t>
      </w:r>
      <w:r w:rsidRPr="00A1396E">
        <w:rPr>
          <w:rFonts w:ascii="Times New Roman" w:hAnsi="Times New Roman" w:cs="Times New Roman"/>
          <w:i/>
          <w:noProof/>
        </w:rPr>
        <w:t xml:space="preserve">Archives of </w:t>
      </w:r>
      <w:r w:rsidR="0065788E">
        <w:rPr>
          <w:rFonts w:ascii="Times New Roman" w:hAnsi="Times New Roman" w:cs="Times New Roman"/>
          <w:i/>
          <w:noProof/>
        </w:rPr>
        <w:t>I</w:t>
      </w:r>
      <w:r w:rsidRPr="00A1396E">
        <w:rPr>
          <w:rFonts w:ascii="Times New Roman" w:hAnsi="Times New Roman" w:cs="Times New Roman"/>
          <w:i/>
          <w:noProof/>
        </w:rPr>
        <w:t xml:space="preserve">nternal </w:t>
      </w:r>
      <w:r w:rsidR="0065788E">
        <w:rPr>
          <w:rFonts w:ascii="Times New Roman" w:hAnsi="Times New Roman" w:cs="Times New Roman"/>
          <w:i/>
          <w:noProof/>
        </w:rPr>
        <w:t>M</w:t>
      </w:r>
      <w:r w:rsidRPr="00A1396E">
        <w:rPr>
          <w:rFonts w:ascii="Times New Roman" w:hAnsi="Times New Roman" w:cs="Times New Roman"/>
          <w:i/>
          <w:noProof/>
        </w:rPr>
        <w:t>edicine, 170</w:t>
      </w:r>
      <w:r w:rsidRPr="00A1396E">
        <w:rPr>
          <w:rFonts w:ascii="Times New Roman" w:hAnsi="Times New Roman" w:cs="Times New Roman"/>
          <w:noProof/>
        </w:rPr>
        <w:t xml:space="preserve">(7), 617. </w:t>
      </w:r>
      <w:bookmarkEnd w:id="17"/>
    </w:p>
    <w:p w14:paraId="308FC6F7" w14:textId="76884107" w:rsidR="00086ABA" w:rsidRPr="00A1396E" w:rsidRDefault="00086ABA" w:rsidP="00086ABA">
      <w:pPr>
        <w:ind w:left="720" w:hanging="720"/>
        <w:rPr>
          <w:rFonts w:ascii="Times New Roman" w:hAnsi="Times New Roman" w:cs="Times New Roman"/>
          <w:noProof/>
        </w:rPr>
      </w:pPr>
      <w:bookmarkStart w:id="18" w:name="_ENREF_6_3"/>
      <w:r w:rsidRPr="00A1396E">
        <w:rPr>
          <w:rFonts w:ascii="Times New Roman" w:hAnsi="Times New Roman" w:cs="Times New Roman"/>
          <w:noProof/>
        </w:rPr>
        <w:t xml:space="preserve">Jobski, K., Behr, S., &amp; Garbe, E. (2011). Drug interactions with phenprocoumon and the risk of serious haemorrhage: a nested case–control study in a large population-based German database. </w:t>
      </w:r>
      <w:r w:rsidRPr="00A1396E">
        <w:rPr>
          <w:rFonts w:ascii="Times New Roman" w:hAnsi="Times New Roman" w:cs="Times New Roman"/>
          <w:i/>
          <w:noProof/>
        </w:rPr>
        <w:t xml:space="preserve">European </w:t>
      </w:r>
      <w:r w:rsidR="0065788E">
        <w:rPr>
          <w:rFonts w:ascii="Times New Roman" w:hAnsi="Times New Roman" w:cs="Times New Roman"/>
          <w:i/>
          <w:noProof/>
        </w:rPr>
        <w:t>J</w:t>
      </w:r>
      <w:r w:rsidRPr="00A1396E">
        <w:rPr>
          <w:rFonts w:ascii="Times New Roman" w:hAnsi="Times New Roman" w:cs="Times New Roman"/>
          <w:i/>
          <w:noProof/>
        </w:rPr>
        <w:t xml:space="preserve">ournal of </w:t>
      </w:r>
      <w:r w:rsidR="0065788E">
        <w:rPr>
          <w:rFonts w:ascii="Times New Roman" w:hAnsi="Times New Roman" w:cs="Times New Roman"/>
          <w:i/>
          <w:noProof/>
        </w:rPr>
        <w:t>C</w:t>
      </w:r>
      <w:r w:rsidRPr="00A1396E">
        <w:rPr>
          <w:rFonts w:ascii="Times New Roman" w:hAnsi="Times New Roman" w:cs="Times New Roman"/>
          <w:i/>
          <w:noProof/>
        </w:rPr>
        <w:t xml:space="preserve">linical </w:t>
      </w:r>
      <w:r w:rsidR="0065788E">
        <w:rPr>
          <w:rFonts w:ascii="Times New Roman" w:hAnsi="Times New Roman" w:cs="Times New Roman"/>
          <w:i/>
          <w:noProof/>
        </w:rPr>
        <w:t>P</w:t>
      </w:r>
      <w:r w:rsidRPr="00A1396E">
        <w:rPr>
          <w:rFonts w:ascii="Times New Roman" w:hAnsi="Times New Roman" w:cs="Times New Roman"/>
          <w:i/>
          <w:noProof/>
        </w:rPr>
        <w:t>harmacology, 67</w:t>
      </w:r>
      <w:r w:rsidRPr="00A1396E">
        <w:rPr>
          <w:rFonts w:ascii="Times New Roman" w:hAnsi="Times New Roman" w:cs="Times New Roman"/>
          <w:noProof/>
        </w:rPr>
        <w:t xml:space="preserve">(9), 941-951. </w:t>
      </w:r>
      <w:bookmarkEnd w:id="18"/>
    </w:p>
    <w:p w14:paraId="308FC6F8" w14:textId="77777777" w:rsidR="00086ABA" w:rsidRPr="00A1396E" w:rsidRDefault="00086ABA" w:rsidP="00086ABA">
      <w:pPr>
        <w:ind w:left="720" w:hanging="720"/>
        <w:rPr>
          <w:rFonts w:ascii="Times New Roman" w:hAnsi="Times New Roman" w:cs="Times New Roman"/>
          <w:noProof/>
        </w:rPr>
      </w:pPr>
      <w:bookmarkStart w:id="19" w:name="_ENREF_6_4"/>
      <w:r w:rsidRPr="00A1396E">
        <w:rPr>
          <w:rFonts w:ascii="Times New Roman" w:hAnsi="Times New Roman" w:cs="Times New Roman"/>
          <w:noProof/>
        </w:rPr>
        <w:t>Penning</w:t>
      </w:r>
      <w:r w:rsidRPr="00A1396E">
        <w:rPr>
          <w:rFonts w:ascii="Cambria Math" w:hAnsi="Cambria Math" w:cs="Times New Roman"/>
          <w:noProof/>
        </w:rPr>
        <w:t>‐</w:t>
      </w:r>
      <w:r w:rsidRPr="00A1396E">
        <w:rPr>
          <w:rFonts w:ascii="Times New Roman" w:hAnsi="Times New Roman" w:cs="Times New Roman"/>
          <w:noProof/>
        </w:rPr>
        <w:t xml:space="preserve">Van Beest, F. J. A., Koerselman, J., &amp; Herings, R. M. C. (2008). Risk of major bleeding during concomitant use of antibiotic drugs and coumarin anticoagulants. </w:t>
      </w:r>
      <w:r w:rsidRPr="00A1396E">
        <w:rPr>
          <w:rFonts w:ascii="Times New Roman" w:hAnsi="Times New Roman" w:cs="Times New Roman"/>
          <w:i/>
          <w:noProof/>
        </w:rPr>
        <w:t>Journal of Thrombosis and Haemostasis, 6</w:t>
      </w:r>
      <w:r w:rsidRPr="00A1396E">
        <w:rPr>
          <w:rFonts w:ascii="Times New Roman" w:hAnsi="Times New Roman" w:cs="Times New Roman"/>
          <w:noProof/>
        </w:rPr>
        <w:t xml:space="preserve">(2), 284-290. </w:t>
      </w:r>
      <w:bookmarkEnd w:id="19"/>
    </w:p>
    <w:p w14:paraId="308FC6F9" w14:textId="77777777" w:rsidR="00086ABA" w:rsidRPr="00A1396E" w:rsidRDefault="00086ABA" w:rsidP="00086ABA">
      <w:pPr>
        <w:ind w:left="720" w:hanging="720"/>
        <w:rPr>
          <w:rFonts w:ascii="Times New Roman" w:hAnsi="Times New Roman" w:cs="Times New Roman"/>
          <w:noProof/>
        </w:rPr>
      </w:pPr>
      <w:bookmarkStart w:id="20" w:name="_ENREF_6_5"/>
      <w:r w:rsidRPr="00A1396E">
        <w:rPr>
          <w:rFonts w:ascii="Times New Roman" w:hAnsi="Times New Roman" w:cs="Times New Roman"/>
          <w:noProof/>
        </w:rPr>
        <w:t xml:space="preserve">Schelleman, H., Bilker, W. B., Brensinger, C. M., Han, X., Kimmel, S. E., &amp; Hennessy, S. (2008). Warfarin with fluoroquinolones, sulfonamides, or azole antifungals: interactions and the risk of hospitalization for gastrointestinal bleeding. </w:t>
      </w:r>
      <w:r w:rsidRPr="00A1396E">
        <w:rPr>
          <w:rFonts w:ascii="Times New Roman" w:hAnsi="Times New Roman" w:cs="Times New Roman"/>
          <w:i/>
          <w:noProof/>
        </w:rPr>
        <w:t>Clinical Pharmacology &amp; Therapeutics, 84</w:t>
      </w:r>
      <w:r w:rsidRPr="00A1396E">
        <w:rPr>
          <w:rFonts w:ascii="Times New Roman" w:hAnsi="Times New Roman" w:cs="Times New Roman"/>
          <w:noProof/>
        </w:rPr>
        <w:t xml:space="preserve">(5), 581-588. </w:t>
      </w:r>
      <w:bookmarkEnd w:id="20"/>
    </w:p>
    <w:p w14:paraId="308FC6FA" w14:textId="2C8E06E7" w:rsidR="00086ABA" w:rsidRPr="00A1396E" w:rsidRDefault="00086ABA" w:rsidP="00086ABA">
      <w:pPr>
        <w:ind w:left="720" w:hanging="720"/>
        <w:rPr>
          <w:rFonts w:ascii="Times New Roman" w:hAnsi="Times New Roman" w:cs="Times New Roman"/>
          <w:noProof/>
        </w:rPr>
      </w:pPr>
      <w:bookmarkStart w:id="21" w:name="_ENREF_6_6"/>
      <w:r w:rsidRPr="00A1396E">
        <w:rPr>
          <w:rFonts w:ascii="Times New Roman" w:hAnsi="Times New Roman" w:cs="Times New Roman"/>
          <w:noProof/>
        </w:rPr>
        <w:t xml:space="preserve">Zhang, K., Young, C., &amp; Berger, J. (2006). Administrative claims analysis of the relationship between warfarin use and risk of hemorrhage including drug-drug and drug-disease interactions. </w:t>
      </w:r>
      <w:r w:rsidRPr="00A1396E">
        <w:rPr>
          <w:rFonts w:ascii="Times New Roman" w:hAnsi="Times New Roman" w:cs="Times New Roman"/>
          <w:i/>
          <w:noProof/>
        </w:rPr>
        <w:t>J</w:t>
      </w:r>
      <w:r w:rsidR="0065788E">
        <w:rPr>
          <w:rFonts w:ascii="Times New Roman" w:hAnsi="Times New Roman" w:cs="Times New Roman"/>
          <w:i/>
          <w:noProof/>
        </w:rPr>
        <w:t>ournal of Managed Care Pharmacy</w:t>
      </w:r>
      <w:r w:rsidRPr="00A1396E">
        <w:rPr>
          <w:rFonts w:ascii="Times New Roman" w:hAnsi="Times New Roman" w:cs="Times New Roman"/>
          <w:i/>
          <w:noProof/>
        </w:rPr>
        <w:t>, 12</w:t>
      </w:r>
      <w:r w:rsidRPr="00A1396E">
        <w:rPr>
          <w:rFonts w:ascii="Times New Roman" w:hAnsi="Times New Roman" w:cs="Times New Roman"/>
          <w:noProof/>
        </w:rPr>
        <w:t xml:space="preserve">(8), 640. </w:t>
      </w:r>
      <w:bookmarkEnd w:id="21"/>
    </w:p>
    <w:p w14:paraId="308FC6FB" w14:textId="77777777" w:rsidR="00086ABA" w:rsidRPr="00A1396E" w:rsidRDefault="00086ABA" w:rsidP="00086ABA">
      <w:pPr>
        <w:rPr>
          <w:rFonts w:ascii="Times New Roman" w:hAnsi="Times New Roman" w:cs="Times New Roman"/>
          <w:noProof/>
        </w:rPr>
      </w:pPr>
    </w:p>
    <w:p w14:paraId="308FC6FC" w14:textId="77777777" w:rsidR="00097408" w:rsidRDefault="007274BD" w:rsidP="00097408">
      <w:pPr>
        <w:rPr>
          <w:b/>
        </w:rPr>
      </w:pPr>
      <w:r w:rsidRPr="00A1396E">
        <w:rPr>
          <w:rFonts w:ascii="Times New Roman" w:hAnsi="Times New Roman" w:cs="Times New Roman"/>
        </w:rPr>
        <w:fldChar w:fldCharType="end"/>
      </w:r>
    </w:p>
    <w:p w14:paraId="308FC6FD" w14:textId="30DC80A4" w:rsidR="00097408" w:rsidRDefault="00097408" w:rsidP="00CA6D42">
      <w:pPr>
        <w:rPr>
          <w:b/>
        </w:rPr>
      </w:pPr>
    </w:p>
    <w:sectPr w:rsidR="00097408" w:rsidSect="00CC2A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313651" w14:textId="77777777" w:rsidR="00357CAA" w:rsidRDefault="00357CAA" w:rsidP="007E37A5">
      <w:r>
        <w:separator/>
      </w:r>
    </w:p>
  </w:endnote>
  <w:endnote w:type="continuationSeparator" w:id="0">
    <w:p w14:paraId="42E23A72" w14:textId="77777777" w:rsidR="00357CAA" w:rsidRDefault="00357CAA" w:rsidP="007E37A5">
      <w:r>
        <w:continuationSeparator/>
      </w:r>
    </w:p>
  </w:endnote>
  <w:endnote w:type="continuationNotice" w:id="1">
    <w:p w14:paraId="0038D86C" w14:textId="77777777" w:rsidR="00357CAA" w:rsidRDefault="00357C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FC703" w14:textId="01D9E35A" w:rsidR="00357CAA" w:rsidRPr="00B07852" w:rsidRDefault="00357CAA">
    <w:pPr>
      <w:pStyle w:val="Footer"/>
      <w:rPr>
        <w:rFonts w:ascii="Times New Roman" w:hAnsi="Times New Roman" w:cs="Times New Roman"/>
      </w:rPr>
    </w:pPr>
    <w:r w:rsidRPr="00B07852">
      <w:rPr>
        <w:rFonts w:ascii="Times New Roman" w:hAnsi="Times New Roman" w:cs="Times New Roman"/>
      </w:rPr>
      <w:t xml:space="preserve">Version 6.5 </w:t>
    </w:r>
    <w:r w:rsidRPr="00B07852">
      <w:rPr>
        <w:rFonts w:ascii="Times New Roman" w:hAnsi="Times New Roman" w:cs="Times New Roman"/>
      </w:rPr>
      <w:ptab w:relativeTo="margin" w:alignment="center" w:leader="none"/>
    </w:r>
    <w:r w:rsidRPr="00B07852">
      <w:rPr>
        <w:rFonts w:ascii="Times New Roman" w:hAnsi="Times New Roman" w:cs="Times New Roman"/>
      </w:rPr>
      <w:ptab w:relativeTo="margin" w:alignment="right" w:leader="none"/>
    </w:r>
    <w:r w:rsidRPr="00B07852">
      <w:rPr>
        <w:rFonts w:ascii="Times New Roman" w:hAnsi="Times New Roman" w:cs="Times New Roman"/>
      </w:rPr>
      <w:fldChar w:fldCharType="begin"/>
    </w:r>
    <w:r w:rsidRPr="00B07852">
      <w:rPr>
        <w:rFonts w:ascii="Times New Roman" w:hAnsi="Times New Roman" w:cs="Times New Roman"/>
      </w:rPr>
      <w:instrText xml:space="preserve"> PAGE   \* MERGEFORMAT </w:instrText>
    </w:r>
    <w:r w:rsidRPr="00B07852">
      <w:rPr>
        <w:rFonts w:ascii="Times New Roman" w:hAnsi="Times New Roman" w:cs="Times New Roman"/>
      </w:rPr>
      <w:fldChar w:fldCharType="separate"/>
    </w:r>
    <w:r w:rsidR="001E2493">
      <w:rPr>
        <w:rFonts w:ascii="Times New Roman" w:hAnsi="Times New Roman" w:cs="Times New Roman"/>
        <w:noProof/>
      </w:rPr>
      <w:t>16</w:t>
    </w:r>
    <w:r w:rsidRPr="00B07852">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ADCFC" w14:textId="77777777" w:rsidR="00357CAA" w:rsidRDefault="00357CAA" w:rsidP="007E37A5">
      <w:r>
        <w:separator/>
      </w:r>
    </w:p>
  </w:footnote>
  <w:footnote w:type="continuationSeparator" w:id="0">
    <w:p w14:paraId="5A09B30C" w14:textId="77777777" w:rsidR="00357CAA" w:rsidRDefault="00357CAA" w:rsidP="007E37A5">
      <w:r>
        <w:continuationSeparator/>
      </w:r>
    </w:p>
  </w:footnote>
  <w:footnote w:type="continuationNotice" w:id="1">
    <w:p w14:paraId="24FF826F" w14:textId="77777777" w:rsidR="00357CAA" w:rsidRDefault="00357C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Fonts w:ascii="Times New Roman" w:hAnsi="Times New Roman" w:cs="Times New Roman"/>
      </w:rPr>
      <w:id w:val="-491560845"/>
    </w:sdtPr>
    <w:sdtEndPr>
      <w:rPr>
        <w:rStyle w:val="DefaultParagraphFont"/>
        <w:color w:val="auto"/>
      </w:rPr>
    </w:sdtEndPr>
    <w:sdtContent>
      <w:p w14:paraId="308FC702" w14:textId="56C0E396" w:rsidR="00357CAA" w:rsidRPr="00CA6D42" w:rsidRDefault="00357CAA" w:rsidP="007E37A5">
        <w:pPr>
          <w:pStyle w:val="Header"/>
          <w:ind w:left="0" w:firstLine="0"/>
          <w:jc w:val="center"/>
          <w:rPr>
            <w:rFonts w:ascii="Times New Roman" w:hAnsi="Times New Roman" w:cs="Times New Roman"/>
          </w:rPr>
        </w:pPr>
        <w:sdt>
          <w:sdtPr>
            <w:rPr>
              <w:rStyle w:val="Style1"/>
              <w:rFonts w:ascii="Times New Roman" w:hAnsi="Times New Roman" w:cs="Times New Roman"/>
            </w:rPr>
            <w:id w:val="-293297918"/>
          </w:sdtPr>
          <w:sdtEndPr>
            <w:rPr>
              <w:rStyle w:val="DefaultParagraphFont"/>
              <w:noProof/>
              <w:color w:val="auto"/>
            </w:rPr>
          </w:sdtEndPr>
          <w:sdtContent>
            <w:r>
              <w:rPr>
                <w:rStyle w:val="Style1"/>
                <w:rFonts w:ascii="Times New Roman" w:hAnsi="Times New Roman" w:cs="Times New Roman"/>
                <w:color w:val="auto"/>
              </w:rPr>
              <w:t>NQF Staff enter # / title</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7459"/>
    <w:multiLevelType w:val="hybridMultilevel"/>
    <w:tmpl w:val="76564FF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
    <w:nsid w:val="0D9A6EF7"/>
    <w:multiLevelType w:val="hybridMultilevel"/>
    <w:tmpl w:val="6D805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906A93"/>
    <w:multiLevelType w:val="hybridMultilevel"/>
    <w:tmpl w:val="D4CAF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3D556A"/>
    <w:multiLevelType w:val="hybridMultilevel"/>
    <w:tmpl w:val="179E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A0629"/>
    <w:multiLevelType w:val="hybridMultilevel"/>
    <w:tmpl w:val="EC42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8700071"/>
    <w:multiLevelType w:val="hybridMultilevel"/>
    <w:tmpl w:val="1FC6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88053D1"/>
    <w:multiLevelType w:val="hybridMultilevel"/>
    <w:tmpl w:val="C1E05A1E"/>
    <w:lvl w:ilvl="0" w:tplc="185A7692">
      <w:start w:val="1"/>
      <w:numFmt w:val="decimal"/>
      <w:lvlText w:val="%1."/>
      <w:lvlJc w:val="left"/>
      <w:pPr>
        <w:ind w:left="735" w:hanging="375"/>
      </w:pPr>
      <w:rPr>
        <w:rFonts w:ascii="Times New Roman" w:hAnsi="Times New Roman" w:hint="default"/>
        <w:sz w:val="24"/>
      </w:rPr>
    </w:lvl>
    <w:lvl w:ilvl="1" w:tplc="7FDA3544">
      <w:start w:val="1"/>
      <w:numFmt w:val="lowerLetter"/>
      <w:lvlText w:val="%2."/>
      <w:lvlJc w:val="left"/>
      <w:pPr>
        <w:ind w:left="1470" w:hanging="390"/>
      </w:pPr>
      <w:rPr>
        <w:rFonts w:ascii="Times New Roman" w:hAnsi="Times New Roman" w:hint="default"/>
        <w:sz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C31BEA"/>
    <w:multiLevelType w:val="hybridMultilevel"/>
    <w:tmpl w:val="4D6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64C639F"/>
    <w:multiLevelType w:val="hybridMultilevel"/>
    <w:tmpl w:val="255A6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6F5746C"/>
    <w:multiLevelType w:val="hybridMultilevel"/>
    <w:tmpl w:val="7C66F4BA"/>
    <w:lvl w:ilvl="0" w:tplc="43268E24">
      <w:start w:val="9"/>
      <w:numFmt w:val="lowerLetter"/>
      <w:lvlText w:val="%1."/>
      <w:lvlJc w:val="left"/>
      <w:pPr>
        <w:ind w:left="2130" w:hanging="36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18">
    <w:nsid w:val="7F5540A1"/>
    <w:multiLevelType w:val="hybridMultilevel"/>
    <w:tmpl w:val="80E2E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13"/>
  </w:num>
  <w:num w:numId="3">
    <w:abstractNumId w:val="5"/>
  </w:num>
  <w:num w:numId="4">
    <w:abstractNumId w:val="7"/>
  </w:num>
  <w:num w:numId="5">
    <w:abstractNumId w:val="9"/>
  </w:num>
  <w:num w:numId="6">
    <w:abstractNumId w:val="8"/>
  </w:num>
  <w:num w:numId="7">
    <w:abstractNumId w:val="16"/>
  </w:num>
  <w:num w:numId="8">
    <w:abstractNumId w:val="15"/>
  </w:num>
  <w:num w:numId="9">
    <w:abstractNumId w:val="18"/>
  </w:num>
  <w:num w:numId="10">
    <w:abstractNumId w:val="0"/>
  </w:num>
  <w:num w:numId="11">
    <w:abstractNumId w:val="6"/>
  </w:num>
  <w:num w:numId="12">
    <w:abstractNumId w:val="12"/>
  </w:num>
  <w:num w:numId="13">
    <w:abstractNumId w:val="4"/>
  </w:num>
  <w:num w:numId="14">
    <w:abstractNumId w:val="14"/>
  </w:num>
  <w:num w:numId="15">
    <w:abstractNumId w:val="1"/>
  </w:num>
  <w:num w:numId="16">
    <w:abstractNumId w:val="2"/>
  </w:num>
  <w:num w:numId="17">
    <w:abstractNumId w:val="11"/>
  </w:num>
  <w:num w:numId="18">
    <w:abstractNumId w:val="1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20"/>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APA 6th section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wtzrt20jd0ra9et0a8v9fvxf9tfe0wwp95e&quot;&gt;NQF0556 Warfarin antiinfectives&lt;record-ids&gt;&lt;item&gt;4&lt;/item&gt;&lt;item&gt;5&lt;/item&gt;&lt;item&gt;6&lt;/item&gt;&lt;item&gt;7&lt;/item&gt;&lt;item&gt;8&lt;/item&gt;&lt;item&gt;9&lt;/item&gt;&lt;item&gt;10&lt;/item&gt;&lt;item&gt;11&lt;/item&gt;&lt;item&gt;12&lt;/item&gt;&lt;/record-ids&gt;&lt;/item&gt;&lt;/Libraries&gt;"/>
  </w:docVars>
  <w:rsids>
    <w:rsidRoot w:val="00496AF8"/>
    <w:rsid w:val="0000276D"/>
    <w:rsid w:val="0000395D"/>
    <w:rsid w:val="00011AE4"/>
    <w:rsid w:val="000129AE"/>
    <w:rsid w:val="0001547E"/>
    <w:rsid w:val="000157CC"/>
    <w:rsid w:val="00015986"/>
    <w:rsid w:val="000160E6"/>
    <w:rsid w:val="00022728"/>
    <w:rsid w:val="00024526"/>
    <w:rsid w:val="00026A0B"/>
    <w:rsid w:val="00030F43"/>
    <w:rsid w:val="00037008"/>
    <w:rsid w:val="00040450"/>
    <w:rsid w:val="00040A7A"/>
    <w:rsid w:val="00051477"/>
    <w:rsid w:val="0005419E"/>
    <w:rsid w:val="000551FF"/>
    <w:rsid w:val="00055B1F"/>
    <w:rsid w:val="00057271"/>
    <w:rsid w:val="00061CF3"/>
    <w:rsid w:val="00061E42"/>
    <w:rsid w:val="00063601"/>
    <w:rsid w:val="000646FC"/>
    <w:rsid w:val="00064FF4"/>
    <w:rsid w:val="00070916"/>
    <w:rsid w:val="000720AD"/>
    <w:rsid w:val="00073056"/>
    <w:rsid w:val="00073079"/>
    <w:rsid w:val="00075903"/>
    <w:rsid w:val="0007593F"/>
    <w:rsid w:val="00083B20"/>
    <w:rsid w:val="00086ABA"/>
    <w:rsid w:val="0008768E"/>
    <w:rsid w:val="00087890"/>
    <w:rsid w:val="00090B57"/>
    <w:rsid w:val="00093BB4"/>
    <w:rsid w:val="00094A76"/>
    <w:rsid w:val="00095EC9"/>
    <w:rsid w:val="00096A37"/>
    <w:rsid w:val="00097408"/>
    <w:rsid w:val="000A0810"/>
    <w:rsid w:val="000A09CC"/>
    <w:rsid w:val="000A0FA9"/>
    <w:rsid w:val="000A3265"/>
    <w:rsid w:val="000A55DA"/>
    <w:rsid w:val="000A5D8E"/>
    <w:rsid w:val="000A65D0"/>
    <w:rsid w:val="000A6CDF"/>
    <w:rsid w:val="000B05B3"/>
    <w:rsid w:val="000B627F"/>
    <w:rsid w:val="000C63A5"/>
    <w:rsid w:val="000D5C55"/>
    <w:rsid w:val="000D649E"/>
    <w:rsid w:val="000D6D06"/>
    <w:rsid w:val="000E1935"/>
    <w:rsid w:val="000E3DF4"/>
    <w:rsid w:val="000E7C4B"/>
    <w:rsid w:val="000F546B"/>
    <w:rsid w:val="001005E6"/>
    <w:rsid w:val="00101432"/>
    <w:rsid w:val="00101441"/>
    <w:rsid w:val="00110ED4"/>
    <w:rsid w:val="0011208D"/>
    <w:rsid w:val="00114848"/>
    <w:rsid w:val="00114DF3"/>
    <w:rsid w:val="001169D8"/>
    <w:rsid w:val="00120717"/>
    <w:rsid w:val="00120934"/>
    <w:rsid w:val="0012330F"/>
    <w:rsid w:val="001250F8"/>
    <w:rsid w:val="00127B46"/>
    <w:rsid w:val="00132070"/>
    <w:rsid w:val="001352BB"/>
    <w:rsid w:val="0014148C"/>
    <w:rsid w:val="00141875"/>
    <w:rsid w:val="0014347E"/>
    <w:rsid w:val="0014410E"/>
    <w:rsid w:val="001455CF"/>
    <w:rsid w:val="0015107B"/>
    <w:rsid w:val="001540EA"/>
    <w:rsid w:val="001551F6"/>
    <w:rsid w:val="0015535B"/>
    <w:rsid w:val="00157B39"/>
    <w:rsid w:val="00157F68"/>
    <w:rsid w:val="00162036"/>
    <w:rsid w:val="00162375"/>
    <w:rsid w:val="001632DD"/>
    <w:rsid w:val="00164245"/>
    <w:rsid w:val="00164787"/>
    <w:rsid w:val="00164FC1"/>
    <w:rsid w:val="00165684"/>
    <w:rsid w:val="001672E5"/>
    <w:rsid w:val="00167983"/>
    <w:rsid w:val="00167D86"/>
    <w:rsid w:val="001739FE"/>
    <w:rsid w:val="00176E60"/>
    <w:rsid w:val="00182781"/>
    <w:rsid w:val="00182783"/>
    <w:rsid w:val="001835CE"/>
    <w:rsid w:val="001839DF"/>
    <w:rsid w:val="0018559A"/>
    <w:rsid w:val="00186220"/>
    <w:rsid w:val="00191D58"/>
    <w:rsid w:val="00191D7E"/>
    <w:rsid w:val="00194D9A"/>
    <w:rsid w:val="001A196B"/>
    <w:rsid w:val="001A1C08"/>
    <w:rsid w:val="001A49AA"/>
    <w:rsid w:val="001A5677"/>
    <w:rsid w:val="001A6858"/>
    <w:rsid w:val="001A6D05"/>
    <w:rsid w:val="001B177B"/>
    <w:rsid w:val="001B3623"/>
    <w:rsid w:val="001B38BF"/>
    <w:rsid w:val="001B4943"/>
    <w:rsid w:val="001B576B"/>
    <w:rsid w:val="001B5C2B"/>
    <w:rsid w:val="001B772D"/>
    <w:rsid w:val="001C0E15"/>
    <w:rsid w:val="001D096D"/>
    <w:rsid w:val="001D2CE5"/>
    <w:rsid w:val="001D5B5D"/>
    <w:rsid w:val="001D6BD1"/>
    <w:rsid w:val="001E2493"/>
    <w:rsid w:val="001E2F05"/>
    <w:rsid w:val="001E3CA3"/>
    <w:rsid w:val="001F0A7C"/>
    <w:rsid w:val="001F113E"/>
    <w:rsid w:val="001F6ABA"/>
    <w:rsid w:val="0020014D"/>
    <w:rsid w:val="002008D8"/>
    <w:rsid w:val="00201FF9"/>
    <w:rsid w:val="002023AF"/>
    <w:rsid w:val="00205857"/>
    <w:rsid w:val="0020596B"/>
    <w:rsid w:val="00207CA8"/>
    <w:rsid w:val="002129B8"/>
    <w:rsid w:val="00214553"/>
    <w:rsid w:val="00215192"/>
    <w:rsid w:val="002157CA"/>
    <w:rsid w:val="0021666B"/>
    <w:rsid w:val="002176F8"/>
    <w:rsid w:val="0023043A"/>
    <w:rsid w:val="00232ECE"/>
    <w:rsid w:val="00235ADC"/>
    <w:rsid w:val="002373F9"/>
    <w:rsid w:val="002460E8"/>
    <w:rsid w:val="00265702"/>
    <w:rsid w:val="002662B2"/>
    <w:rsid w:val="002717C7"/>
    <w:rsid w:val="00276819"/>
    <w:rsid w:val="002771AE"/>
    <w:rsid w:val="002875E9"/>
    <w:rsid w:val="00287EB3"/>
    <w:rsid w:val="002A2A33"/>
    <w:rsid w:val="002A47B2"/>
    <w:rsid w:val="002A47BA"/>
    <w:rsid w:val="002A6777"/>
    <w:rsid w:val="002B06BD"/>
    <w:rsid w:val="002B1DE8"/>
    <w:rsid w:val="002B410A"/>
    <w:rsid w:val="002B606D"/>
    <w:rsid w:val="002B690C"/>
    <w:rsid w:val="002B70A3"/>
    <w:rsid w:val="002C0E48"/>
    <w:rsid w:val="002C1FC7"/>
    <w:rsid w:val="002C6F04"/>
    <w:rsid w:val="002D2CE4"/>
    <w:rsid w:val="002D5D4C"/>
    <w:rsid w:val="002D7D47"/>
    <w:rsid w:val="002E0417"/>
    <w:rsid w:val="002E0BDB"/>
    <w:rsid w:val="002E0C3F"/>
    <w:rsid w:val="002E2177"/>
    <w:rsid w:val="002E2A5A"/>
    <w:rsid w:val="002E2E41"/>
    <w:rsid w:val="002E425D"/>
    <w:rsid w:val="002E63F5"/>
    <w:rsid w:val="002E78CD"/>
    <w:rsid w:val="002E7E2C"/>
    <w:rsid w:val="002F20A7"/>
    <w:rsid w:val="002F2996"/>
    <w:rsid w:val="002F394C"/>
    <w:rsid w:val="002F5992"/>
    <w:rsid w:val="00301626"/>
    <w:rsid w:val="00302542"/>
    <w:rsid w:val="003025D1"/>
    <w:rsid w:val="00302B1D"/>
    <w:rsid w:val="003057A2"/>
    <w:rsid w:val="00305ECC"/>
    <w:rsid w:val="00307FA5"/>
    <w:rsid w:val="00312A06"/>
    <w:rsid w:val="00313E69"/>
    <w:rsid w:val="0031400A"/>
    <w:rsid w:val="003207E6"/>
    <w:rsid w:val="00320B3E"/>
    <w:rsid w:val="00321920"/>
    <w:rsid w:val="00322B54"/>
    <w:rsid w:val="00324BB0"/>
    <w:rsid w:val="00324D64"/>
    <w:rsid w:val="00326DBF"/>
    <w:rsid w:val="003340EB"/>
    <w:rsid w:val="0034033E"/>
    <w:rsid w:val="00346B86"/>
    <w:rsid w:val="00346BB0"/>
    <w:rsid w:val="003477E5"/>
    <w:rsid w:val="003506E9"/>
    <w:rsid w:val="00350E41"/>
    <w:rsid w:val="003510A7"/>
    <w:rsid w:val="003516AA"/>
    <w:rsid w:val="00352B52"/>
    <w:rsid w:val="00357CAA"/>
    <w:rsid w:val="00357F06"/>
    <w:rsid w:val="0036340B"/>
    <w:rsid w:val="003636FA"/>
    <w:rsid w:val="00363ECC"/>
    <w:rsid w:val="003724D6"/>
    <w:rsid w:val="0037418B"/>
    <w:rsid w:val="0037458F"/>
    <w:rsid w:val="00375552"/>
    <w:rsid w:val="00380DEE"/>
    <w:rsid w:val="00380ED8"/>
    <w:rsid w:val="00381A23"/>
    <w:rsid w:val="003849B4"/>
    <w:rsid w:val="003852FB"/>
    <w:rsid w:val="0039020B"/>
    <w:rsid w:val="00392338"/>
    <w:rsid w:val="003926B0"/>
    <w:rsid w:val="00393CD5"/>
    <w:rsid w:val="00394DCD"/>
    <w:rsid w:val="00395263"/>
    <w:rsid w:val="003956E0"/>
    <w:rsid w:val="0039609A"/>
    <w:rsid w:val="00397500"/>
    <w:rsid w:val="00397612"/>
    <w:rsid w:val="003B03A7"/>
    <w:rsid w:val="003B40A6"/>
    <w:rsid w:val="003B429B"/>
    <w:rsid w:val="003B4E62"/>
    <w:rsid w:val="003B5584"/>
    <w:rsid w:val="003B65CE"/>
    <w:rsid w:val="003C5AC2"/>
    <w:rsid w:val="003D0A70"/>
    <w:rsid w:val="003D30DD"/>
    <w:rsid w:val="003D72C2"/>
    <w:rsid w:val="003E039E"/>
    <w:rsid w:val="003E3C55"/>
    <w:rsid w:val="003E4761"/>
    <w:rsid w:val="003F3443"/>
    <w:rsid w:val="003F5249"/>
    <w:rsid w:val="00400A1E"/>
    <w:rsid w:val="004014E4"/>
    <w:rsid w:val="00402E9B"/>
    <w:rsid w:val="004031B7"/>
    <w:rsid w:val="00412C30"/>
    <w:rsid w:val="004174CA"/>
    <w:rsid w:val="00420700"/>
    <w:rsid w:val="00422917"/>
    <w:rsid w:val="00423CA8"/>
    <w:rsid w:val="00423DC0"/>
    <w:rsid w:val="00433C14"/>
    <w:rsid w:val="00433F94"/>
    <w:rsid w:val="00437F6E"/>
    <w:rsid w:val="00440687"/>
    <w:rsid w:val="004406FD"/>
    <w:rsid w:val="0044131D"/>
    <w:rsid w:val="00441ADA"/>
    <w:rsid w:val="00441F70"/>
    <w:rsid w:val="004510A9"/>
    <w:rsid w:val="004514D4"/>
    <w:rsid w:val="00455087"/>
    <w:rsid w:val="00457E46"/>
    <w:rsid w:val="0046215A"/>
    <w:rsid w:val="004661E4"/>
    <w:rsid w:val="00466D03"/>
    <w:rsid w:val="00471274"/>
    <w:rsid w:val="00475E77"/>
    <w:rsid w:val="00483A37"/>
    <w:rsid w:val="00484344"/>
    <w:rsid w:val="00484603"/>
    <w:rsid w:val="00485941"/>
    <w:rsid w:val="00492DA7"/>
    <w:rsid w:val="0049332B"/>
    <w:rsid w:val="004968B1"/>
    <w:rsid w:val="00496AF8"/>
    <w:rsid w:val="00497A92"/>
    <w:rsid w:val="004A0719"/>
    <w:rsid w:val="004A2B8B"/>
    <w:rsid w:val="004A30C5"/>
    <w:rsid w:val="004A4785"/>
    <w:rsid w:val="004A575D"/>
    <w:rsid w:val="004A63D2"/>
    <w:rsid w:val="004B1973"/>
    <w:rsid w:val="004B65C6"/>
    <w:rsid w:val="004B79E0"/>
    <w:rsid w:val="004B7F64"/>
    <w:rsid w:val="004C166B"/>
    <w:rsid w:val="004C2511"/>
    <w:rsid w:val="004C58B5"/>
    <w:rsid w:val="004C7461"/>
    <w:rsid w:val="004C7E56"/>
    <w:rsid w:val="004D1DC7"/>
    <w:rsid w:val="004D2C8B"/>
    <w:rsid w:val="004D34E8"/>
    <w:rsid w:val="004D5855"/>
    <w:rsid w:val="004D5A59"/>
    <w:rsid w:val="004E3657"/>
    <w:rsid w:val="004E5634"/>
    <w:rsid w:val="004E64FA"/>
    <w:rsid w:val="004E700D"/>
    <w:rsid w:val="004F05C0"/>
    <w:rsid w:val="004F4182"/>
    <w:rsid w:val="004F41EE"/>
    <w:rsid w:val="004F4832"/>
    <w:rsid w:val="004F49E6"/>
    <w:rsid w:val="00500B0C"/>
    <w:rsid w:val="00514E25"/>
    <w:rsid w:val="00522211"/>
    <w:rsid w:val="005245A2"/>
    <w:rsid w:val="005256CA"/>
    <w:rsid w:val="00527BEF"/>
    <w:rsid w:val="005309FF"/>
    <w:rsid w:val="00532EA2"/>
    <w:rsid w:val="00537150"/>
    <w:rsid w:val="0053751F"/>
    <w:rsid w:val="00537DFF"/>
    <w:rsid w:val="00540050"/>
    <w:rsid w:val="00540984"/>
    <w:rsid w:val="00543851"/>
    <w:rsid w:val="005444B2"/>
    <w:rsid w:val="00544806"/>
    <w:rsid w:val="0054795C"/>
    <w:rsid w:val="005517F3"/>
    <w:rsid w:val="00551C2C"/>
    <w:rsid w:val="005554A3"/>
    <w:rsid w:val="0055559D"/>
    <w:rsid w:val="00555B0B"/>
    <w:rsid w:val="005569AE"/>
    <w:rsid w:val="00556ABA"/>
    <w:rsid w:val="005602A0"/>
    <w:rsid w:val="00572F24"/>
    <w:rsid w:val="00574B1C"/>
    <w:rsid w:val="00580B37"/>
    <w:rsid w:val="005830E2"/>
    <w:rsid w:val="00583CC1"/>
    <w:rsid w:val="00584E79"/>
    <w:rsid w:val="005857F8"/>
    <w:rsid w:val="00591786"/>
    <w:rsid w:val="00593446"/>
    <w:rsid w:val="0059544F"/>
    <w:rsid w:val="005A51C5"/>
    <w:rsid w:val="005B0D18"/>
    <w:rsid w:val="005B12C3"/>
    <w:rsid w:val="005B409D"/>
    <w:rsid w:val="005C23F9"/>
    <w:rsid w:val="005D05D5"/>
    <w:rsid w:val="005D0FDB"/>
    <w:rsid w:val="005D5ACE"/>
    <w:rsid w:val="005D6D59"/>
    <w:rsid w:val="005D72F1"/>
    <w:rsid w:val="005D7AEF"/>
    <w:rsid w:val="005D7DF9"/>
    <w:rsid w:val="005E1877"/>
    <w:rsid w:val="005E2F7D"/>
    <w:rsid w:val="005F2108"/>
    <w:rsid w:val="005F3201"/>
    <w:rsid w:val="005F54C9"/>
    <w:rsid w:val="005F5C97"/>
    <w:rsid w:val="005F648A"/>
    <w:rsid w:val="005F6717"/>
    <w:rsid w:val="00613534"/>
    <w:rsid w:val="006153D4"/>
    <w:rsid w:val="00617390"/>
    <w:rsid w:val="00617F87"/>
    <w:rsid w:val="00620B6F"/>
    <w:rsid w:val="00622DA7"/>
    <w:rsid w:val="00623420"/>
    <w:rsid w:val="006234EE"/>
    <w:rsid w:val="00623BC0"/>
    <w:rsid w:val="00624050"/>
    <w:rsid w:val="00634768"/>
    <w:rsid w:val="0063596F"/>
    <w:rsid w:val="00636343"/>
    <w:rsid w:val="00641ECD"/>
    <w:rsid w:val="006447EA"/>
    <w:rsid w:val="00645D9F"/>
    <w:rsid w:val="00650B32"/>
    <w:rsid w:val="0065788E"/>
    <w:rsid w:val="00667769"/>
    <w:rsid w:val="00667A15"/>
    <w:rsid w:val="006709EB"/>
    <w:rsid w:val="00672824"/>
    <w:rsid w:val="006729BB"/>
    <w:rsid w:val="00672B95"/>
    <w:rsid w:val="00673136"/>
    <w:rsid w:val="0068184A"/>
    <w:rsid w:val="00694652"/>
    <w:rsid w:val="006970A5"/>
    <w:rsid w:val="006A0BD1"/>
    <w:rsid w:val="006A357A"/>
    <w:rsid w:val="006A4228"/>
    <w:rsid w:val="006A5AF9"/>
    <w:rsid w:val="006A72E0"/>
    <w:rsid w:val="006B2090"/>
    <w:rsid w:val="006C7F30"/>
    <w:rsid w:val="006D2A71"/>
    <w:rsid w:val="006D36B8"/>
    <w:rsid w:val="006D6A92"/>
    <w:rsid w:val="006E46A4"/>
    <w:rsid w:val="006E6D68"/>
    <w:rsid w:val="006E7603"/>
    <w:rsid w:val="006F1C60"/>
    <w:rsid w:val="006F23CE"/>
    <w:rsid w:val="006F4B7F"/>
    <w:rsid w:val="006F4BE4"/>
    <w:rsid w:val="006F4DB9"/>
    <w:rsid w:val="006F760B"/>
    <w:rsid w:val="007007CC"/>
    <w:rsid w:val="00701CC3"/>
    <w:rsid w:val="0070300F"/>
    <w:rsid w:val="00705270"/>
    <w:rsid w:val="00711B8B"/>
    <w:rsid w:val="00711FA9"/>
    <w:rsid w:val="007122E0"/>
    <w:rsid w:val="00724801"/>
    <w:rsid w:val="007274BD"/>
    <w:rsid w:val="00733DB6"/>
    <w:rsid w:val="00734949"/>
    <w:rsid w:val="0073505C"/>
    <w:rsid w:val="00736AEC"/>
    <w:rsid w:val="00736E0F"/>
    <w:rsid w:val="00737C31"/>
    <w:rsid w:val="00740653"/>
    <w:rsid w:val="007434FA"/>
    <w:rsid w:val="00745A7B"/>
    <w:rsid w:val="00746924"/>
    <w:rsid w:val="007573F0"/>
    <w:rsid w:val="00761ADC"/>
    <w:rsid w:val="007620E0"/>
    <w:rsid w:val="007638D1"/>
    <w:rsid w:val="00765156"/>
    <w:rsid w:val="00767669"/>
    <w:rsid w:val="00767905"/>
    <w:rsid w:val="00773485"/>
    <w:rsid w:val="00776E8F"/>
    <w:rsid w:val="00776F6D"/>
    <w:rsid w:val="00783112"/>
    <w:rsid w:val="007864D2"/>
    <w:rsid w:val="0078663B"/>
    <w:rsid w:val="00786D8B"/>
    <w:rsid w:val="007910A1"/>
    <w:rsid w:val="00791EBB"/>
    <w:rsid w:val="00792116"/>
    <w:rsid w:val="0079428B"/>
    <w:rsid w:val="007A0FD3"/>
    <w:rsid w:val="007A60ED"/>
    <w:rsid w:val="007B788D"/>
    <w:rsid w:val="007B7A57"/>
    <w:rsid w:val="007C0297"/>
    <w:rsid w:val="007C02A2"/>
    <w:rsid w:val="007C1887"/>
    <w:rsid w:val="007C18F2"/>
    <w:rsid w:val="007C3BDE"/>
    <w:rsid w:val="007C56EC"/>
    <w:rsid w:val="007C6F6A"/>
    <w:rsid w:val="007D1880"/>
    <w:rsid w:val="007D2A65"/>
    <w:rsid w:val="007D5DC6"/>
    <w:rsid w:val="007D6BE2"/>
    <w:rsid w:val="007D7EB4"/>
    <w:rsid w:val="007E03E6"/>
    <w:rsid w:val="007E37A5"/>
    <w:rsid w:val="007E37C1"/>
    <w:rsid w:val="007E6BD4"/>
    <w:rsid w:val="007F18FD"/>
    <w:rsid w:val="007F49D8"/>
    <w:rsid w:val="007F4E96"/>
    <w:rsid w:val="007F66C9"/>
    <w:rsid w:val="008046A5"/>
    <w:rsid w:val="0080546F"/>
    <w:rsid w:val="00805940"/>
    <w:rsid w:val="00807CE8"/>
    <w:rsid w:val="00810116"/>
    <w:rsid w:val="00814E85"/>
    <w:rsid w:val="00820631"/>
    <w:rsid w:val="00820B7B"/>
    <w:rsid w:val="00821EF0"/>
    <w:rsid w:val="00822E5E"/>
    <w:rsid w:val="00826CBE"/>
    <w:rsid w:val="00826E9C"/>
    <w:rsid w:val="0083681C"/>
    <w:rsid w:val="00837121"/>
    <w:rsid w:val="00845637"/>
    <w:rsid w:val="008471E5"/>
    <w:rsid w:val="00847325"/>
    <w:rsid w:val="00847BDA"/>
    <w:rsid w:val="00847D9B"/>
    <w:rsid w:val="00847F7C"/>
    <w:rsid w:val="00850C35"/>
    <w:rsid w:val="00853E92"/>
    <w:rsid w:val="00855A59"/>
    <w:rsid w:val="00856B74"/>
    <w:rsid w:val="00863E43"/>
    <w:rsid w:val="008647C3"/>
    <w:rsid w:val="00866B11"/>
    <w:rsid w:val="00870987"/>
    <w:rsid w:val="008733AD"/>
    <w:rsid w:val="0087564A"/>
    <w:rsid w:val="00877C7E"/>
    <w:rsid w:val="00881160"/>
    <w:rsid w:val="00881BDF"/>
    <w:rsid w:val="008820C2"/>
    <w:rsid w:val="0088371C"/>
    <w:rsid w:val="00884983"/>
    <w:rsid w:val="00887B96"/>
    <w:rsid w:val="00891F39"/>
    <w:rsid w:val="00893E49"/>
    <w:rsid w:val="00894621"/>
    <w:rsid w:val="008A45F3"/>
    <w:rsid w:val="008A7344"/>
    <w:rsid w:val="008B0C97"/>
    <w:rsid w:val="008B0D60"/>
    <w:rsid w:val="008B1D51"/>
    <w:rsid w:val="008B243B"/>
    <w:rsid w:val="008B51D9"/>
    <w:rsid w:val="008B55D1"/>
    <w:rsid w:val="008B5769"/>
    <w:rsid w:val="008B652E"/>
    <w:rsid w:val="008B7D0A"/>
    <w:rsid w:val="008C0215"/>
    <w:rsid w:val="008C0596"/>
    <w:rsid w:val="008C4209"/>
    <w:rsid w:val="008D1755"/>
    <w:rsid w:val="008D1AB1"/>
    <w:rsid w:val="008D1E61"/>
    <w:rsid w:val="008D5273"/>
    <w:rsid w:val="008E0E43"/>
    <w:rsid w:val="008E13D8"/>
    <w:rsid w:val="008E28FB"/>
    <w:rsid w:val="008E31CE"/>
    <w:rsid w:val="008F1331"/>
    <w:rsid w:val="008F1DC6"/>
    <w:rsid w:val="00903735"/>
    <w:rsid w:val="00903BBE"/>
    <w:rsid w:val="0090410A"/>
    <w:rsid w:val="00904DC2"/>
    <w:rsid w:val="00905C5B"/>
    <w:rsid w:val="00914F82"/>
    <w:rsid w:val="0091534C"/>
    <w:rsid w:val="0091562C"/>
    <w:rsid w:val="0092289D"/>
    <w:rsid w:val="00922AD9"/>
    <w:rsid w:val="00923295"/>
    <w:rsid w:val="0092337F"/>
    <w:rsid w:val="00923883"/>
    <w:rsid w:val="0092760F"/>
    <w:rsid w:val="00930016"/>
    <w:rsid w:val="00932D47"/>
    <w:rsid w:val="00935265"/>
    <w:rsid w:val="0094069C"/>
    <w:rsid w:val="009430B0"/>
    <w:rsid w:val="0094689F"/>
    <w:rsid w:val="009477D6"/>
    <w:rsid w:val="00951632"/>
    <w:rsid w:val="009520F2"/>
    <w:rsid w:val="0095290F"/>
    <w:rsid w:val="00953ED3"/>
    <w:rsid w:val="00956191"/>
    <w:rsid w:val="00956EA7"/>
    <w:rsid w:val="00961975"/>
    <w:rsid w:val="00964E97"/>
    <w:rsid w:val="00965C1C"/>
    <w:rsid w:val="00965FF6"/>
    <w:rsid w:val="00966510"/>
    <w:rsid w:val="009712C5"/>
    <w:rsid w:val="00975834"/>
    <w:rsid w:val="009772A7"/>
    <w:rsid w:val="00977D58"/>
    <w:rsid w:val="00980B87"/>
    <w:rsid w:val="009846D6"/>
    <w:rsid w:val="00984CF6"/>
    <w:rsid w:val="0098657F"/>
    <w:rsid w:val="00995BBB"/>
    <w:rsid w:val="009A3236"/>
    <w:rsid w:val="009A3340"/>
    <w:rsid w:val="009B274A"/>
    <w:rsid w:val="009B3BF0"/>
    <w:rsid w:val="009B5A93"/>
    <w:rsid w:val="009B5BEA"/>
    <w:rsid w:val="009B6419"/>
    <w:rsid w:val="009C3427"/>
    <w:rsid w:val="009C5CC2"/>
    <w:rsid w:val="009C5FED"/>
    <w:rsid w:val="009C74EC"/>
    <w:rsid w:val="009D0B86"/>
    <w:rsid w:val="009E1C19"/>
    <w:rsid w:val="009E37BD"/>
    <w:rsid w:val="009E4DE1"/>
    <w:rsid w:val="009E6B86"/>
    <w:rsid w:val="009E77C9"/>
    <w:rsid w:val="009F0AF7"/>
    <w:rsid w:val="009F27C3"/>
    <w:rsid w:val="009F2E38"/>
    <w:rsid w:val="009F4415"/>
    <w:rsid w:val="009F5297"/>
    <w:rsid w:val="009F549F"/>
    <w:rsid w:val="00A007CD"/>
    <w:rsid w:val="00A00B5E"/>
    <w:rsid w:val="00A017CC"/>
    <w:rsid w:val="00A06732"/>
    <w:rsid w:val="00A06A2B"/>
    <w:rsid w:val="00A12762"/>
    <w:rsid w:val="00A13867"/>
    <w:rsid w:val="00A1396E"/>
    <w:rsid w:val="00A1780A"/>
    <w:rsid w:val="00A25926"/>
    <w:rsid w:val="00A262EE"/>
    <w:rsid w:val="00A3106C"/>
    <w:rsid w:val="00A3466F"/>
    <w:rsid w:val="00A3664B"/>
    <w:rsid w:val="00A4059B"/>
    <w:rsid w:val="00A41C62"/>
    <w:rsid w:val="00A421D4"/>
    <w:rsid w:val="00A43BF4"/>
    <w:rsid w:val="00A44FF0"/>
    <w:rsid w:val="00A45ED2"/>
    <w:rsid w:val="00A46A75"/>
    <w:rsid w:val="00A4785F"/>
    <w:rsid w:val="00A50E55"/>
    <w:rsid w:val="00A56449"/>
    <w:rsid w:val="00A56AE9"/>
    <w:rsid w:val="00A576D4"/>
    <w:rsid w:val="00A6220A"/>
    <w:rsid w:val="00A75462"/>
    <w:rsid w:val="00A77796"/>
    <w:rsid w:val="00A86964"/>
    <w:rsid w:val="00A91A47"/>
    <w:rsid w:val="00A92377"/>
    <w:rsid w:val="00A928D6"/>
    <w:rsid w:val="00A95D2B"/>
    <w:rsid w:val="00AA16CE"/>
    <w:rsid w:val="00AA4DC7"/>
    <w:rsid w:val="00AA5587"/>
    <w:rsid w:val="00AA609F"/>
    <w:rsid w:val="00AB282B"/>
    <w:rsid w:val="00AB6C22"/>
    <w:rsid w:val="00AB790A"/>
    <w:rsid w:val="00AC0C3A"/>
    <w:rsid w:val="00AC1F7C"/>
    <w:rsid w:val="00AC3699"/>
    <w:rsid w:val="00AC5C23"/>
    <w:rsid w:val="00AC639C"/>
    <w:rsid w:val="00AC7D99"/>
    <w:rsid w:val="00AD6DF7"/>
    <w:rsid w:val="00AD79C8"/>
    <w:rsid w:val="00AE037D"/>
    <w:rsid w:val="00AE2AAE"/>
    <w:rsid w:val="00AE3974"/>
    <w:rsid w:val="00AE50BA"/>
    <w:rsid w:val="00AE5583"/>
    <w:rsid w:val="00AE5D74"/>
    <w:rsid w:val="00AE62C3"/>
    <w:rsid w:val="00AE6CE0"/>
    <w:rsid w:val="00AF09CC"/>
    <w:rsid w:val="00AF11CF"/>
    <w:rsid w:val="00AF26BA"/>
    <w:rsid w:val="00AF3CE5"/>
    <w:rsid w:val="00AF4B71"/>
    <w:rsid w:val="00AF5661"/>
    <w:rsid w:val="00AF72A0"/>
    <w:rsid w:val="00AF7A1F"/>
    <w:rsid w:val="00B058A6"/>
    <w:rsid w:val="00B07852"/>
    <w:rsid w:val="00B117D0"/>
    <w:rsid w:val="00B134CA"/>
    <w:rsid w:val="00B13998"/>
    <w:rsid w:val="00B14A82"/>
    <w:rsid w:val="00B15F0F"/>
    <w:rsid w:val="00B2310B"/>
    <w:rsid w:val="00B23426"/>
    <w:rsid w:val="00B32455"/>
    <w:rsid w:val="00B36CD8"/>
    <w:rsid w:val="00B37465"/>
    <w:rsid w:val="00B40DCF"/>
    <w:rsid w:val="00B439DD"/>
    <w:rsid w:val="00B52E0F"/>
    <w:rsid w:val="00B55F8C"/>
    <w:rsid w:val="00B62BB4"/>
    <w:rsid w:val="00B64FFE"/>
    <w:rsid w:val="00B676BE"/>
    <w:rsid w:val="00B67E5B"/>
    <w:rsid w:val="00B71F90"/>
    <w:rsid w:val="00B73C34"/>
    <w:rsid w:val="00B74629"/>
    <w:rsid w:val="00B800DA"/>
    <w:rsid w:val="00B81A8B"/>
    <w:rsid w:val="00B83044"/>
    <w:rsid w:val="00B83272"/>
    <w:rsid w:val="00B84460"/>
    <w:rsid w:val="00B84762"/>
    <w:rsid w:val="00B8615A"/>
    <w:rsid w:val="00B86CD9"/>
    <w:rsid w:val="00B91F58"/>
    <w:rsid w:val="00B91FC9"/>
    <w:rsid w:val="00B9221C"/>
    <w:rsid w:val="00B947BD"/>
    <w:rsid w:val="00BA5204"/>
    <w:rsid w:val="00BA579E"/>
    <w:rsid w:val="00BA637E"/>
    <w:rsid w:val="00BA73B5"/>
    <w:rsid w:val="00BA7665"/>
    <w:rsid w:val="00BB213B"/>
    <w:rsid w:val="00BC5B04"/>
    <w:rsid w:val="00BD0A2F"/>
    <w:rsid w:val="00BD4A8B"/>
    <w:rsid w:val="00BD51A6"/>
    <w:rsid w:val="00BD6082"/>
    <w:rsid w:val="00BD727E"/>
    <w:rsid w:val="00BD7F63"/>
    <w:rsid w:val="00BE0A84"/>
    <w:rsid w:val="00BE1D05"/>
    <w:rsid w:val="00BE2295"/>
    <w:rsid w:val="00BE25C7"/>
    <w:rsid w:val="00BE27EE"/>
    <w:rsid w:val="00BE2A89"/>
    <w:rsid w:val="00BE3755"/>
    <w:rsid w:val="00BE6373"/>
    <w:rsid w:val="00BF39B5"/>
    <w:rsid w:val="00BF533A"/>
    <w:rsid w:val="00BF786B"/>
    <w:rsid w:val="00C01B8E"/>
    <w:rsid w:val="00C01C89"/>
    <w:rsid w:val="00C0235B"/>
    <w:rsid w:val="00C02EFC"/>
    <w:rsid w:val="00C03B07"/>
    <w:rsid w:val="00C05329"/>
    <w:rsid w:val="00C15359"/>
    <w:rsid w:val="00C26119"/>
    <w:rsid w:val="00C26AD2"/>
    <w:rsid w:val="00C26EAB"/>
    <w:rsid w:val="00C26F05"/>
    <w:rsid w:val="00C27EF2"/>
    <w:rsid w:val="00C3077E"/>
    <w:rsid w:val="00C3173D"/>
    <w:rsid w:val="00C32FBA"/>
    <w:rsid w:val="00C33AD8"/>
    <w:rsid w:val="00C37D36"/>
    <w:rsid w:val="00C44E02"/>
    <w:rsid w:val="00C46677"/>
    <w:rsid w:val="00C5180E"/>
    <w:rsid w:val="00C51BA7"/>
    <w:rsid w:val="00C54E40"/>
    <w:rsid w:val="00C55F56"/>
    <w:rsid w:val="00C57BA4"/>
    <w:rsid w:val="00C62B79"/>
    <w:rsid w:val="00C661AF"/>
    <w:rsid w:val="00C669E2"/>
    <w:rsid w:val="00C7448A"/>
    <w:rsid w:val="00C755B2"/>
    <w:rsid w:val="00C84623"/>
    <w:rsid w:val="00C87C77"/>
    <w:rsid w:val="00C903F5"/>
    <w:rsid w:val="00C9381C"/>
    <w:rsid w:val="00C959CD"/>
    <w:rsid w:val="00C97E30"/>
    <w:rsid w:val="00CA2074"/>
    <w:rsid w:val="00CA2D8E"/>
    <w:rsid w:val="00CA6D42"/>
    <w:rsid w:val="00CB06C9"/>
    <w:rsid w:val="00CB271C"/>
    <w:rsid w:val="00CB3CF1"/>
    <w:rsid w:val="00CB7574"/>
    <w:rsid w:val="00CC001F"/>
    <w:rsid w:val="00CC025B"/>
    <w:rsid w:val="00CC19A5"/>
    <w:rsid w:val="00CC2243"/>
    <w:rsid w:val="00CC2A00"/>
    <w:rsid w:val="00CC38B5"/>
    <w:rsid w:val="00CC3D21"/>
    <w:rsid w:val="00CC403E"/>
    <w:rsid w:val="00CC4088"/>
    <w:rsid w:val="00CC7C02"/>
    <w:rsid w:val="00CD036C"/>
    <w:rsid w:val="00CD49BC"/>
    <w:rsid w:val="00CD7ADC"/>
    <w:rsid w:val="00CE1A26"/>
    <w:rsid w:val="00CE3582"/>
    <w:rsid w:val="00CE3F59"/>
    <w:rsid w:val="00CE4B4D"/>
    <w:rsid w:val="00CE4D40"/>
    <w:rsid w:val="00CE4F96"/>
    <w:rsid w:val="00CF0AB1"/>
    <w:rsid w:val="00CF3D28"/>
    <w:rsid w:val="00CF4B9B"/>
    <w:rsid w:val="00CF55E6"/>
    <w:rsid w:val="00CF6C4F"/>
    <w:rsid w:val="00CF772F"/>
    <w:rsid w:val="00D0198E"/>
    <w:rsid w:val="00D048DB"/>
    <w:rsid w:val="00D049AE"/>
    <w:rsid w:val="00D06320"/>
    <w:rsid w:val="00D10BBF"/>
    <w:rsid w:val="00D14F0B"/>
    <w:rsid w:val="00D172A9"/>
    <w:rsid w:val="00D178CA"/>
    <w:rsid w:val="00D21AEB"/>
    <w:rsid w:val="00D3164E"/>
    <w:rsid w:val="00D3311C"/>
    <w:rsid w:val="00D34151"/>
    <w:rsid w:val="00D357D0"/>
    <w:rsid w:val="00D43217"/>
    <w:rsid w:val="00D4786B"/>
    <w:rsid w:val="00D50B6E"/>
    <w:rsid w:val="00D51BAC"/>
    <w:rsid w:val="00D53405"/>
    <w:rsid w:val="00D53F64"/>
    <w:rsid w:val="00D5457B"/>
    <w:rsid w:val="00D5539E"/>
    <w:rsid w:val="00D57580"/>
    <w:rsid w:val="00D60C71"/>
    <w:rsid w:val="00D62AC7"/>
    <w:rsid w:val="00D64970"/>
    <w:rsid w:val="00D666B8"/>
    <w:rsid w:val="00D6781A"/>
    <w:rsid w:val="00D6787E"/>
    <w:rsid w:val="00D71585"/>
    <w:rsid w:val="00D72995"/>
    <w:rsid w:val="00D73255"/>
    <w:rsid w:val="00D75762"/>
    <w:rsid w:val="00D835C4"/>
    <w:rsid w:val="00D8448C"/>
    <w:rsid w:val="00D84BFE"/>
    <w:rsid w:val="00D84F3D"/>
    <w:rsid w:val="00D8734D"/>
    <w:rsid w:val="00D91037"/>
    <w:rsid w:val="00D93FC0"/>
    <w:rsid w:val="00D95455"/>
    <w:rsid w:val="00D96227"/>
    <w:rsid w:val="00D96A6A"/>
    <w:rsid w:val="00D9756F"/>
    <w:rsid w:val="00DA628B"/>
    <w:rsid w:val="00DA68A0"/>
    <w:rsid w:val="00DA7FA2"/>
    <w:rsid w:val="00DB09AE"/>
    <w:rsid w:val="00DB1166"/>
    <w:rsid w:val="00DB13EF"/>
    <w:rsid w:val="00DB1F8C"/>
    <w:rsid w:val="00DB3AB9"/>
    <w:rsid w:val="00DC0787"/>
    <w:rsid w:val="00DC175C"/>
    <w:rsid w:val="00DC2D8D"/>
    <w:rsid w:val="00DC3C29"/>
    <w:rsid w:val="00DC4295"/>
    <w:rsid w:val="00DD3908"/>
    <w:rsid w:val="00DD4B5D"/>
    <w:rsid w:val="00DE0AC6"/>
    <w:rsid w:val="00DE0FD5"/>
    <w:rsid w:val="00DE3A47"/>
    <w:rsid w:val="00DE3E79"/>
    <w:rsid w:val="00DE50D8"/>
    <w:rsid w:val="00DF1FCB"/>
    <w:rsid w:val="00DF278A"/>
    <w:rsid w:val="00DF2BF9"/>
    <w:rsid w:val="00DF3770"/>
    <w:rsid w:val="00DF5864"/>
    <w:rsid w:val="00DF66A9"/>
    <w:rsid w:val="00DF6CF7"/>
    <w:rsid w:val="00DF71BD"/>
    <w:rsid w:val="00DF76BB"/>
    <w:rsid w:val="00E06942"/>
    <w:rsid w:val="00E104C8"/>
    <w:rsid w:val="00E10A6E"/>
    <w:rsid w:val="00E10AF8"/>
    <w:rsid w:val="00E14745"/>
    <w:rsid w:val="00E16633"/>
    <w:rsid w:val="00E1664B"/>
    <w:rsid w:val="00E20081"/>
    <w:rsid w:val="00E23656"/>
    <w:rsid w:val="00E2413E"/>
    <w:rsid w:val="00E27C05"/>
    <w:rsid w:val="00E30D12"/>
    <w:rsid w:val="00E35241"/>
    <w:rsid w:val="00E41417"/>
    <w:rsid w:val="00E43F51"/>
    <w:rsid w:val="00E47D45"/>
    <w:rsid w:val="00E5029A"/>
    <w:rsid w:val="00E5206F"/>
    <w:rsid w:val="00E55F2B"/>
    <w:rsid w:val="00E566AA"/>
    <w:rsid w:val="00E57BE2"/>
    <w:rsid w:val="00E62A95"/>
    <w:rsid w:val="00E63C3C"/>
    <w:rsid w:val="00E64C6A"/>
    <w:rsid w:val="00E6731C"/>
    <w:rsid w:val="00E746A2"/>
    <w:rsid w:val="00E77C15"/>
    <w:rsid w:val="00E81166"/>
    <w:rsid w:val="00E843AE"/>
    <w:rsid w:val="00E86ED1"/>
    <w:rsid w:val="00E90D06"/>
    <w:rsid w:val="00E9247B"/>
    <w:rsid w:val="00E94391"/>
    <w:rsid w:val="00E97E59"/>
    <w:rsid w:val="00EA3288"/>
    <w:rsid w:val="00EA39B0"/>
    <w:rsid w:val="00EA50A8"/>
    <w:rsid w:val="00EA6207"/>
    <w:rsid w:val="00EA79C9"/>
    <w:rsid w:val="00EB1990"/>
    <w:rsid w:val="00EB21C6"/>
    <w:rsid w:val="00EB66AC"/>
    <w:rsid w:val="00EC6381"/>
    <w:rsid w:val="00ED1A5B"/>
    <w:rsid w:val="00ED7A9A"/>
    <w:rsid w:val="00EE11BA"/>
    <w:rsid w:val="00EE1F87"/>
    <w:rsid w:val="00EE3931"/>
    <w:rsid w:val="00EE408A"/>
    <w:rsid w:val="00EE54EA"/>
    <w:rsid w:val="00EE5AF6"/>
    <w:rsid w:val="00EF2CEF"/>
    <w:rsid w:val="00F02B85"/>
    <w:rsid w:val="00F03E4E"/>
    <w:rsid w:val="00F065D1"/>
    <w:rsid w:val="00F127B2"/>
    <w:rsid w:val="00F14133"/>
    <w:rsid w:val="00F14DDB"/>
    <w:rsid w:val="00F15DE1"/>
    <w:rsid w:val="00F16121"/>
    <w:rsid w:val="00F16D80"/>
    <w:rsid w:val="00F228F3"/>
    <w:rsid w:val="00F23E97"/>
    <w:rsid w:val="00F24089"/>
    <w:rsid w:val="00F2426A"/>
    <w:rsid w:val="00F24430"/>
    <w:rsid w:val="00F25804"/>
    <w:rsid w:val="00F27DB9"/>
    <w:rsid w:val="00F307E9"/>
    <w:rsid w:val="00F30FD7"/>
    <w:rsid w:val="00F3145B"/>
    <w:rsid w:val="00F320A7"/>
    <w:rsid w:val="00F35F21"/>
    <w:rsid w:val="00F37DA7"/>
    <w:rsid w:val="00F41840"/>
    <w:rsid w:val="00F42F98"/>
    <w:rsid w:val="00F431D8"/>
    <w:rsid w:val="00F468F7"/>
    <w:rsid w:val="00F50C04"/>
    <w:rsid w:val="00F527A0"/>
    <w:rsid w:val="00F5570C"/>
    <w:rsid w:val="00F5653E"/>
    <w:rsid w:val="00F57036"/>
    <w:rsid w:val="00F57572"/>
    <w:rsid w:val="00F57B5A"/>
    <w:rsid w:val="00F66353"/>
    <w:rsid w:val="00F67706"/>
    <w:rsid w:val="00F80EFC"/>
    <w:rsid w:val="00F83B81"/>
    <w:rsid w:val="00F8432D"/>
    <w:rsid w:val="00F85203"/>
    <w:rsid w:val="00F90ECA"/>
    <w:rsid w:val="00F92D75"/>
    <w:rsid w:val="00F93265"/>
    <w:rsid w:val="00F9468A"/>
    <w:rsid w:val="00F968C6"/>
    <w:rsid w:val="00F97327"/>
    <w:rsid w:val="00FA296F"/>
    <w:rsid w:val="00FA4D9C"/>
    <w:rsid w:val="00FA7323"/>
    <w:rsid w:val="00FA7DEE"/>
    <w:rsid w:val="00FB046C"/>
    <w:rsid w:val="00FB05DA"/>
    <w:rsid w:val="00FB4290"/>
    <w:rsid w:val="00FB4C26"/>
    <w:rsid w:val="00FB6D58"/>
    <w:rsid w:val="00FB7435"/>
    <w:rsid w:val="00FC0923"/>
    <w:rsid w:val="00FC23E5"/>
    <w:rsid w:val="00FC32D3"/>
    <w:rsid w:val="00FC5AF1"/>
    <w:rsid w:val="00FC7446"/>
    <w:rsid w:val="00FC7E6B"/>
    <w:rsid w:val="00FD031C"/>
    <w:rsid w:val="00FD0CE6"/>
    <w:rsid w:val="00FD4B03"/>
    <w:rsid w:val="00FD4D82"/>
    <w:rsid w:val="00FD5C49"/>
    <w:rsid w:val="00FE42C9"/>
    <w:rsid w:val="00FE51C2"/>
    <w:rsid w:val="00FE57AE"/>
    <w:rsid w:val="00FF0E08"/>
    <w:rsid w:val="00FF3460"/>
    <w:rsid w:val="00FF3831"/>
    <w:rsid w:val="00FF6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1"/>
    </o:shapelayout>
  </w:shapeDefaults>
  <w:decimalSymbol w:val="."/>
  <w:listSeparator w:val=","/>
  <w14:docId w14:val="308FC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link w:val="Heading2Char"/>
    <w:uiPriority w:val="9"/>
    <w:qFormat/>
    <w:rsid w:val="00DA68A0"/>
    <w:pPr>
      <w:spacing w:before="100" w:beforeAutospacing="1" w:after="100" w:afterAutospacing="1"/>
      <w:ind w:left="0" w:firstLine="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styleId="FootnoteReference">
    <w:name w:val="footnote reference"/>
    <w:basedOn w:val="DefaultParagraphFont"/>
    <w:uiPriority w:val="99"/>
    <w:semiHidden/>
    <w:unhideWhenUsed/>
    <w:rsid w:val="0037418B"/>
    <w:rPr>
      <w:vertAlign w:val="superscript"/>
    </w:rPr>
  </w:style>
  <w:style w:type="character" w:customStyle="1" w:styleId="A2">
    <w:name w:val="A2"/>
    <w:uiPriority w:val="99"/>
    <w:rsid w:val="009F27C3"/>
    <w:rPr>
      <w:b/>
      <w:bCs/>
      <w:color w:val="000000"/>
      <w:sz w:val="22"/>
      <w:szCs w:val="22"/>
    </w:rPr>
  </w:style>
  <w:style w:type="paragraph" w:customStyle="1" w:styleId="ReportTableTextLeft">
    <w:name w:val="Report Table Text Left"/>
    <w:rsid w:val="00A017CC"/>
    <w:pPr>
      <w:ind w:left="0" w:firstLine="0"/>
    </w:pPr>
    <w:rPr>
      <w:rFonts w:ascii="Times New Roman" w:eastAsia="Times New Roman" w:hAnsi="Times New Roman" w:cs="Times New Roman"/>
      <w:szCs w:val="20"/>
    </w:rPr>
  </w:style>
  <w:style w:type="character" w:customStyle="1" w:styleId="maintitle">
    <w:name w:val="maintitle"/>
    <w:basedOn w:val="DefaultParagraphFont"/>
    <w:rsid w:val="00964E97"/>
  </w:style>
  <w:style w:type="character" w:customStyle="1" w:styleId="Heading2Char">
    <w:name w:val="Heading 2 Char"/>
    <w:basedOn w:val="DefaultParagraphFont"/>
    <w:link w:val="Heading2"/>
    <w:uiPriority w:val="9"/>
    <w:rsid w:val="00DA68A0"/>
    <w:rPr>
      <w:rFonts w:ascii="Times New Roman" w:eastAsia="Times New Roman" w:hAnsi="Times New Roman" w:cs="Times New Roman"/>
      <w:b/>
      <w:bCs/>
      <w:sz w:val="36"/>
      <w:szCs w:val="36"/>
    </w:rPr>
  </w:style>
  <w:style w:type="paragraph" w:styleId="NormalWeb">
    <w:name w:val="Normal (Web)"/>
    <w:basedOn w:val="Normal"/>
    <w:uiPriority w:val="99"/>
    <w:unhideWhenUsed/>
    <w:rsid w:val="00DA68A0"/>
    <w:pPr>
      <w:spacing w:before="100" w:beforeAutospacing="1" w:after="100" w:afterAutospacing="1"/>
      <w:ind w:left="0"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DA68A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link w:val="Heading2Char"/>
    <w:uiPriority w:val="9"/>
    <w:qFormat/>
    <w:rsid w:val="00DA68A0"/>
    <w:pPr>
      <w:spacing w:before="100" w:beforeAutospacing="1" w:after="100" w:afterAutospacing="1"/>
      <w:ind w:left="0" w:firstLine="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styleId="FootnoteReference">
    <w:name w:val="footnote reference"/>
    <w:basedOn w:val="DefaultParagraphFont"/>
    <w:uiPriority w:val="99"/>
    <w:semiHidden/>
    <w:unhideWhenUsed/>
    <w:rsid w:val="0037418B"/>
    <w:rPr>
      <w:vertAlign w:val="superscript"/>
    </w:rPr>
  </w:style>
  <w:style w:type="character" w:customStyle="1" w:styleId="A2">
    <w:name w:val="A2"/>
    <w:uiPriority w:val="99"/>
    <w:rsid w:val="009F27C3"/>
    <w:rPr>
      <w:b/>
      <w:bCs/>
      <w:color w:val="000000"/>
      <w:sz w:val="22"/>
      <w:szCs w:val="22"/>
    </w:rPr>
  </w:style>
  <w:style w:type="paragraph" w:customStyle="1" w:styleId="ReportTableTextLeft">
    <w:name w:val="Report Table Text Left"/>
    <w:rsid w:val="00A017CC"/>
    <w:pPr>
      <w:ind w:left="0" w:firstLine="0"/>
    </w:pPr>
    <w:rPr>
      <w:rFonts w:ascii="Times New Roman" w:eastAsia="Times New Roman" w:hAnsi="Times New Roman" w:cs="Times New Roman"/>
      <w:szCs w:val="20"/>
    </w:rPr>
  </w:style>
  <w:style w:type="character" w:customStyle="1" w:styleId="maintitle">
    <w:name w:val="maintitle"/>
    <w:basedOn w:val="DefaultParagraphFont"/>
    <w:rsid w:val="00964E97"/>
  </w:style>
  <w:style w:type="character" w:customStyle="1" w:styleId="Heading2Char">
    <w:name w:val="Heading 2 Char"/>
    <w:basedOn w:val="DefaultParagraphFont"/>
    <w:link w:val="Heading2"/>
    <w:uiPriority w:val="9"/>
    <w:rsid w:val="00DA68A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A68A0"/>
    <w:pPr>
      <w:spacing w:before="100" w:beforeAutospacing="1" w:after="100" w:afterAutospacing="1"/>
      <w:ind w:left="0"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DA68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64532">
      <w:bodyDiv w:val="1"/>
      <w:marLeft w:val="0"/>
      <w:marRight w:val="0"/>
      <w:marTop w:val="0"/>
      <w:marBottom w:val="0"/>
      <w:divBdr>
        <w:top w:val="none" w:sz="0" w:space="0" w:color="auto"/>
        <w:left w:val="none" w:sz="0" w:space="0" w:color="auto"/>
        <w:bottom w:val="none" w:sz="0" w:space="0" w:color="auto"/>
        <w:right w:val="none" w:sz="0" w:space="0" w:color="auto"/>
      </w:divBdr>
      <w:divsChild>
        <w:div w:id="1115563815">
          <w:marLeft w:val="0"/>
          <w:marRight w:val="0"/>
          <w:marTop w:val="0"/>
          <w:marBottom w:val="0"/>
          <w:divBdr>
            <w:top w:val="none" w:sz="0" w:space="0" w:color="auto"/>
            <w:left w:val="none" w:sz="0" w:space="0" w:color="auto"/>
            <w:bottom w:val="none" w:sz="0" w:space="0" w:color="auto"/>
            <w:right w:val="none" w:sz="0" w:space="0" w:color="auto"/>
          </w:divBdr>
        </w:div>
      </w:divsChild>
    </w:div>
    <w:div w:id="122165409">
      <w:bodyDiv w:val="1"/>
      <w:marLeft w:val="0"/>
      <w:marRight w:val="0"/>
      <w:marTop w:val="0"/>
      <w:marBottom w:val="0"/>
      <w:divBdr>
        <w:top w:val="none" w:sz="0" w:space="0" w:color="auto"/>
        <w:left w:val="none" w:sz="0" w:space="0" w:color="auto"/>
        <w:bottom w:val="none" w:sz="0" w:space="0" w:color="auto"/>
        <w:right w:val="none" w:sz="0" w:space="0" w:color="auto"/>
      </w:divBdr>
      <w:divsChild>
        <w:div w:id="488980047">
          <w:marLeft w:val="0"/>
          <w:marRight w:val="0"/>
          <w:marTop w:val="0"/>
          <w:marBottom w:val="0"/>
          <w:divBdr>
            <w:top w:val="none" w:sz="0" w:space="0" w:color="auto"/>
            <w:left w:val="none" w:sz="0" w:space="0" w:color="auto"/>
            <w:bottom w:val="none" w:sz="0" w:space="0" w:color="auto"/>
            <w:right w:val="none" w:sz="0" w:space="0" w:color="auto"/>
          </w:divBdr>
          <w:divsChild>
            <w:div w:id="1774125524">
              <w:marLeft w:val="0"/>
              <w:marRight w:val="0"/>
              <w:marTop w:val="0"/>
              <w:marBottom w:val="0"/>
              <w:divBdr>
                <w:top w:val="none" w:sz="0" w:space="0" w:color="auto"/>
                <w:left w:val="none" w:sz="0" w:space="0" w:color="auto"/>
                <w:bottom w:val="none" w:sz="0" w:space="0" w:color="auto"/>
                <w:right w:val="none" w:sz="0" w:space="0" w:color="auto"/>
              </w:divBdr>
              <w:divsChild>
                <w:div w:id="936332980">
                  <w:marLeft w:val="210"/>
                  <w:marRight w:val="210"/>
                  <w:marTop w:val="0"/>
                  <w:marBottom w:val="0"/>
                  <w:divBdr>
                    <w:top w:val="none" w:sz="0" w:space="0" w:color="auto"/>
                    <w:left w:val="single" w:sz="12" w:space="8" w:color="C2D8EF"/>
                    <w:bottom w:val="none" w:sz="0" w:space="0" w:color="auto"/>
                    <w:right w:val="single" w:sz="12" w:space="8" w:color="C2D8EF"/>
                  </w:divBdr>
                  <w:divsChild>
                    <w:div w:id="1304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730829">
      <w:bodyDiv w:val="1"/>
      <w:marLeft w:val="0"/>
      <w:marRight w:val="0"/>
      <w:marTop w:val="0"/>
      <w:marBottom w:val="0"/>
      <w:divBdr>
        <w:top w:val="none" w:sz="0" w:space="0" w:color="auto"/>
        <w:left w:val="none" w:sz="0" w:space="0" w:color="auto"/>
        <w:bottom w:val="none" w:sz="0" w:space="0" w:color="auto"/>
        <w:right w:val="none" w:sz="0" w:space="0" w:color="auto"/>
      </w:divBdr>
      <w:divsChild>
        <w:div w:id="1856766460">
          <w:marLeft w:val="0"/>
          <w:marRight w:val="0"/>
          <w:marTop w:val="0"/>
          <w:marBottom w:val="0"/>
          <w:divBdr>
            <w:top w:val="none" w:sz="0" w:space="0" w:color="auto"/>
            <w:left w:val="none" w:sz="0" w:space="0" w:color="auto"/>
            <w:bottom w:val="none" w:sz="0" w:space="0" w:color="auto"/>
            <w:right w:val="none" w:sz="0" w:space="0" w:color="auto"/>
          </w:divBdr>
          <w:divsChild>
            <w:div w:id="935137671">
              <w:marLeft w:val="0"/>
              <w:marRight w:val="0"/>
              <w:marTop w:val="0"/>
              <w:marBottom w:val="0"/>
              <w:divBdr>
                <w:top w:val="none" w:sz="0" w:space="0" w:color="auto"/>
                <w:left w:val="none" w:sz="0" w:space="0" w:color="auto"/>
                <w:bottom w:val="none" w:sz="0" w:space="0" w:color="auto"/>
                <w:right w:val="none" w:sz="0" w:space="0" w:color="auto"/>
              </w:divBdr>
              <w:divsChild>
                <w:div w:id="369191915">
                  <w:marLeft w:val="210"/>
                  <w:marRight w:val="210"/>
                  <w:marTop w:val="0"/>
                  <w:marBottom w:val="0"/>
                  <w:divBdr>
                    <w:top w:val="none" w:sz="0" w:space="0" w:color="auto"/>
                    <w:left w:val="single" w:sz="12" w:space="8" w:color="C2D8EF"/>
                    <w:bottom w:val="none" w:sz="0" w:space="0" w:color="auto"/>
                    <w:right w:val="single" w:sz="12" w:space="8" w:color="C2D8EF"/>
                  </w:divBdr>
                  <w:divsChild>
                    <w:div w:id="15682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762934">
      <w:bodyDiv w:val="1"/>
      <w:marLeft w:val="0"/>
      <w:marRight w:val="0"/>
      <w:marTop w:val="0"/>
      <w:marBottom w:val="0"/>
      <w:divBdr>
        <w:top w:val="none" w:sz="0" w:space="0" w:color="auto"/>
        <w:left w:val="none" w:sz="0" w:space="0" w:color="auto"/>
        <w:bottom w:val="none" w:sz="0" w:space="0" w:color="auto"/>
        <w:right w:val="none" w:sz="0" w:space="0" w:color="auto"/>
      </w:divBdr>
    </w:div>
    <w:div w:id="781917589">
      <w:bodyDiv w:val="1"/>
      <w:marLeft w:val="0"/>
      <w:marRight w:val="0"/>
      <w:marTop w:val="0"/>
      <w:marBottom w:val="0"/>
      <w:divBdr>
        <w:top w:val="none" w:sz="0" w:space="0" w:color="auto"/>
        <w:left w:val="none" w:sz="0" w:space="0" w:color="auto"/>
        <w:bottom w:val="none" w:sz="0" w:space="0" w:color="auto"/>
        <w:right w:val="none" w:sz="0" w:space="0" w:color="auto"/>
      </w:divBdr>
    </w:div>
    <w:div w:id="1031222414">
      <w:bodyDiv w:val="1"/>
      <w:marLeft w:val="0"/>
      <w:marRight w:val="0"/>
      <w:marTop w:val="0"/>
      <w:marBottom w:val="0"/>
      <w:divBdr>
        <w:top w:val="none" w:sz="0" w:space="0" w:color="auto"/>
        <w:left w:val="none" w:sz="0" w:space="0" w:color="auto"/>
        <w:bottom w:val="none" w:sz="0" w:space="0" w:color="auto"/>
        <w:right w:val="none" w:sz="0" w:space="0" w:color="auto"/>
      </w:divBdr>
      <w:divsChild>
        <w:div w:id="1461724891">
          <w:marLeft w:val="0"/>
          <w:marRight w:val="0"/>
          <w:marTop w:val="0"/>
          <w:marBottom w:val="0"/>
          <w:divBdr>
            <w:top w:val="none" w:sz="0" w:space="0" w:color="auto"/>
            <w:left w:val="none" w:sz="0" w:space="0" w:color="auto"/>
            <w:bottom w:val="none" w:sz="0" w:space="0" w:color="auto"/>
            <w:right w:val="none" w:sz="0" w:space="0" w:color="auto"/>
          </w:divBdr>
          <w:divsChild>
            <w:div w:id="141697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7985">
      <w:bodyDiv w:val="1"/>
      <w:marLeft w:val="0"/>
      <w:marRight w:val="0"/>
      <w:marTop w:val="0"/>
      <w:marBottom w:val="0"/>
      <w:divBdr>
        <w:top w:val="none" w:sz="0" w:space="0" w:color="auto"/>
        <w:left w:val="none" w:sz="0" w:space="0" w:color="auto"/>
        <w:bottom w:val="none" w:sz="0" w:space="0" w:color="auto"/>
        <w:right w:val="none" w:sz="0" w:space="0" w:color="auto"/>
      </w:divBdr>
    </w:div>
    <w:div w:id="1449474939">
      <w:bodyDiv w:val="1"/>
      <w:marLeft w:val="0"/>
      <w:marRight w:val="0"/>
      <w:marTop w:val="0"/>
      <w:marBottom w:val="0"/>
      <w:divBdr>
        <w:top w:val="none" w:sz="0" w:space="0" w:color="auto"/>
        <w:left w:val="none" w:sz="0" w:space="0" w:color="auto"/>
        <w:bottom w:val="none" w:sz="0" w:space="0" w:color="auto"/>
        <w:right w:val="none" w:sz="0" w:space="0" w:color="auto"/>
      </w:divBdr>
    </w:div>
    <w:div w:id="1550339614">
      <w:bodyDiv w:val="1"/>
      <w:marLeft w:val="0"/>
      <w:marRight w:val="0"/>
      <w:marTop w:val="0"/>
      <w:marBottom w:val="0"/>
      <w:divBdr>
        <w:top w:val="none" w:sz="0" w:space="0" w:color="auto"/>
        <w:left w:val="none" w:sz="0" w:space="0" w:color="auto"/>
        <w:bottom w:val="none" w:sz="0" w:space="0" w:color="auto"/>
        <w:right w:val="none" w:sz="0" w:space="0" w:color="auto"/>
      </w:divBdr>
      <w:divsChild>
        <w:div w:id="1954432668">
          <w:marLeft w:val="0"/>
          <w:marRight w:val="0"/>
          <w:marTop w:val="0"/>
          <w:marBottom w:val="0"/>
          <w:divBdr>
            <w:top w:val="none" w:sz="0" w:space="0" w:color="auto"/>
            <w:left w:val="none" w:sz="0" w:space="0" w:color="auto"/>
            <w:bottom w:val="none" w:sz="0" w:space="0" w:color="auto"/>
            <w:right w:val="none" w:sz="0" w:space="0" w:color="auto"/>
          </w:divBdr>
          <w:divsChild>
            <w:div w:id="1973826106">
              <w:marLeft w:val="0"/>
              <w:marRight w:val="0"/>
              <w:marTop w:val="0"/>
              <w:marBottom w:val="0"/>
              <w:divBdr>
                <w:top w:val="none" w:sz="0" w:space="0" w:color="auto"/>
                <w:left w:val="none" w:sz="0" w:space="0" w:color="auto"/>
                <w:bottom w:val="none" w:sz="0" w:space="0" w:color="auto"/>
                <w:right w:val="none" w:sz="0" w:space="0" w:color="auto"/>
              </w:divBdr>
              <w:divsChild>
                <w:div w:id="1440487348">
                  <w:marLeft w:val="0"/>
                  <w:marRight w:val="0"/>
                  <w:marTop w:val="0"/>
                  <w:marBottom w:val="0"/>
                  <w:divBdr>
                    <w:top w:val="none" w:sz="0" w:space="0" w:color="auto"/>
                    <w:left w:val="none" w:sz="0" w:space="0" w:color="auto"/>
                    <w:bottom w:val="none" w:sz="0" w:space="0" w:color="auto"/>
                    <w:right w:val="none" w:sz="0" w:space="0" w:color="auto"/>
                  </w:divBdr>
                  <w:divsChild>
                    <w:div w:id="1655645255">
                      <w:marLeft w:val="0"/>
                      <w:marRight w:val="0"/>
                      <w:marTop w:val="0"/>
                      <w:marBottom w:val="0"/>
                      <w:divBdr>
                        <w:top w:val="none" w:sz="0" w:space="0" w:color="auto"/>
                        <w:left w:val="none" w:sz="0" w:space="0" w:color="auto"/>
                        <w:bottom w:val="none" w:sz="0" w:space="0" w:color="auto"/>
                        <w:right w:val="none" w:sz="0" w:space="0" w:color="auto"/>
                      </w:divBdr>
                      <w:divsChild>
                        <w:div w:id="39331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300108">
      <w:bodyDiv w:val="1"/>
      <w:marLeft w:val="0"/>
      <w:marRight w:val="0"/>
      <w:marTop w:val="0"/>
      <w:marBottom w:val="0"/>
      <w:divBdr>
        <w:top w:val="none" w:sz="0" w:space="0" w:color="auto"/>
        <w:left w:val="none" w:sz="0" w:space="0" w:color="auto"/>
        <w:bottom w:val="none" w:sz="0" w:space="0" w:color="auto"/>
        <w:right w:val="none" w:sz="0" w:space="0" w:color="auto"/>
      </w:divBdr>
      <w:divsChild>
        <w:div w:id="1023507971">
          <w:marLeft w:val="0"/>
          <w:marRight w:val="0"/>
          <w:marTop w:val="0"/>
          <w:marBottom w:val="0"/>
          <w:divBdr>
            <w:top w:val="none" w:sz="0" w:space="0" w:color="auto"/>
            <w:left w:val="none" w:sz="0" w:space="0" w:color="auto"/>
            <w:bottom w:val="none" w:sz="0" w:space="0" w:color="auto"/>
            <w:right w:val="none" w:sz="0" w:space="0" w:color="auto"/>
          </w:divBdr>
          <w:divsChild>
            <w:div w:id="1199468637">
              <w:marLeft w:val="0"/>
              <w:marRight w:val="0"/>
              <w:marTop w:val="0"/>
              <w:marBottom w:val="0"/>
              <w:divBdr>
                <w:top w:val="none" w:sz="0" w:space="0" w:color="auto"/>
                <w:left w:val="none" w:sz="0" w:space="0" w:color="auto"/>
                <w:bottom w:val="none" w:sz="0" w:space="0" w:color="auto"/>
                <w:right w:val="none" w:sz="0" w:space="0" w:color="auto"/>
              </w:divBdr>
              <w:divsChild>
                <w:div w:id="1791781180">
                  <w:marLeft w:val="210"/>
                  <w:marRight w:val="210"/>
                  <w:marTop w:val="0"/>
                  <w:marBottom w:val="0"/>
                  <w:divBdr>
                    <w:top w:val="none" w:sz="0" w:space="0" w:color="auto"/>
                    <w:left w:val="single" w:sz="12" w:space="8" w:color="C2D8EF"/>
                    <w:bottom w:val="none" w:sz="0" w:space="0" w:color="auto"/>
                    <w:right w:val="single" w:sz="12" w:space="8" w:color="C2D8EF"/>
                  </w:divBdr>
                  <w:divsChild>
                    <w:div w:id="16448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441271">
      <w:bodyDiv w:val="1"/>
      <w:marLeft w:val="0"/>
      <w:marRight w:val="0"/>
      <w:marTop w:val="0"/>
      <w:marBottom w:val="0"/>
      <w:divBdr>
        <w:top w:val="none" w:sz="0" w:space="0" w:color="auto"/>
        <w:left w:val="none" w:sz="0" w:space="0" w:color="auto"/>
        <w:bottom w:val="none" w:sz="0" w:space="0" w:color="auto"/>
        <w:right w:val="none" w:sz="0" w:space="0" w:color="auto"/>
      </w:divBdr>
      <w:divsChild>
        <w:div w:id="622737284">
          <w:marLeft w:val="0"/>
          <w:marRight w:val="0"/>
          <w:marTop w:val="0"/>
          <w:marBottom w:val="0"/>
          <w:divBdr>
            <w:top w:val="none" w:sz="0" w:space="0" w:color="auto"/>
            <w:left w:val="none" w:sz="0" w:space="0" w:color="auto"/>
            <w:bottom w:val="none" w:sz="0" w:space="0" w:color="auto"/>
            <w:right w:val="none" w:sz="0" w:space="0" w:color="auto"/>
          </w:divBdr>
        </w:div>
      </w:divsChild>
    </w:div>
    <w:div w:id="1992174091">
      <w:bodyDiv w:val="1"/>
      <w:marLeft w:val="0"/>
      <w:marRight w:val="0"/>
      <w:marTop w:val="0"/>
      <w:marBottom w:val="0"/>
      <w:divBdr>
        <w:top w:val="none" w:sz="0" w:space="0" w:color="auto"/>
        <w:left w:val="none" w:sz="0" w:space="0" w:color="auto"/>
        <w:bottom w:val="none" w:sz="0" w:space="0" w:color="auto"/>
        <w:right w:val="none" w:sz="0" w:space="0" w:color="auto"/>
      </w:divBdr>
      <w:divsChild>
        <w:div w:id="77600161">
          <w:marLeft w:val="0"/>
          <w:marRight w:val="0"/>
          <w:marTop w:val="0"/>
          <w:marBottom w:val="0"/>
          <w:divBdr>
            <w:top w:val="none" w:sz="0" w:space="0" w:color="auto"/>
            <w:left w:val="none" w:sz="0" w:space="0" w:color="auto"/>
            <w:bottom w:val="none" w:sz="0" w:space="0" w:color="auto"/>
            <w:right w:val="none" w:sz="0" w:space="0" w:color="auto"/>
          </w:divBdr>
        </w:div>
        <w:div w:id="187986246">
          <w:marLeft w:val="0"/>
          <w:marRight w:val="0"/>
          <w:marTop w:val="0"/>
          <w:marBottom w:val="0"/>
          <w:divBdr>
            <w:top w:val="none" w:sz="0" w:space="0" w:color="auto"/>
            <w:left w:val="none" w:sz="0" w:space="0" w:color="auto"/>
            <w:bottom w:val="none" w:sz="0" w:space="0" w:color="auto"/>
            <w:right w:val="none" w:sz="0" w:space="0" w:color="auto"/>
          </w:divBdr>
        </w:div>
        <w:div w:id="880901607">
          <w:marLeft w:val="0"/>
          <w:marRight w:val="0"/>
          <w:marTop w:val="0"/>
          <w:marBottom w:val="0"/>
          <w:divBdr>
            <w:top w:val="none" w:sz="0" w:space="0" w:color="auto"/>
            <w:left w:val="none" w:sz="0" w:space="0" w:color="auto"/>
            <w:bottom w:val="none" w:sz="0" w:space="0" w:color="auto"/>
            <w:right w:val="none" w:sz="0" w:space="0" w:color="auto"/>
          </w:divBdr>
        </w:div>
        <w:div w:id="1082145304">
          <w:marLeft w:val="0"/>
          <w:marRight w:val="0"/>
          <w:marTop w:val="0"/>
          <w:marBottom w:val="0"/>
          <w:divBdr>
            <w:top w:val="none" w:sz="0" w:space="0" w:color="auto"/>
            <w:left w:val="none" w:sz="0" w:space="0" w:color="auto"/>
            <w:bottom w:val="none" w:sz="0" w:space="0" w:color="auto"/>
            <w:right w:val="none" w:sz="0" w:space="0" w:color="auto"/>
          </w:divBdr>
        </w:div>
        <w:div w:id="1397972849">
          <w:marLeft w:val="0"/>
          <w:marRight w:val="0"/>
          <w:marTop w:val="0"/>
          <w:marBottom w:val="0"/>
          <w:divBdr>
            <w:top w:val="none" w:sz="0" w:space="0" w:color="auto"/>
            <w:left w:val="none" w:sz="0" w:space="0" w:color="auto"/>
            <w:bottom w:val="none" w:sz="0" w:space="0" w:color="auto"/>
            <w:right w:val="none" w:sz="0" w:space="0" w:color="auto"/>
          </w:divBdr>
        </w:div>
        <w:div w:id="1443650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onlinelibrary.wiley.com/doi/10.1111/j.1365-2141.2011.08753.x/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www.factsandcomparisons.com/formulary-monograph-service-o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hyperlink" Target="http://www.factsandcomparisons.com/formulary-monograph-service-online/%20" TargetMode="External"/><Relationship Id="rId10" Type="http://schemas.openxmlformats.org/officeDocument/2006/relationships/footnotes" Target="footnotes.xml"/><Relationship Id="rId19" Type="http://schemas.openxmlformats.org/officeDocument/2006/relationships/hyperlink" Target="http://www.bcshguidelines.com/BCSH_PROCESS/EVIDENCE_LEVELS_AND_GRADES_OF_RECOMMENDATION/43_GRADE.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5A2F3B92" w14:textId="77777777"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FC30A1"/>
    <w:rsid w:val="00160241"/>
    <w:rsid w:val="00183FAF"/>
    <w:rsid w:val="001B09CB"/>
    <w:rsid w:val="00212380"/>
    <w:rsid w:val="003160C2"/>
    <w:rsid w:val="00335774"/>
    <w:rsid w:val="00336366"/>
    <w:rsid w:val="0038500D"/>
    <w:rsid w:val="003A1E4B"/>
    <w:rsid w:val="003D4F27"/>
    <w:rsid w:val="00421D11"/>
    <w:rsid w:val="00427F32"/>
    <w:rsid w:val="00455EB5"/>
    <w:rsid w:val="00461C1C"/>
    <w:rsid w:val="004B6D82"/>
    <w:rsid w:val="004E2027"/>
    <w:rsid w:val="004E64E2"/>
    <w:rsid w:val="00550A4D"/>
    <w:rsid w:val="00646FE9"/>
    <w:rsid w:val="00656D5C"/>
    <w:rsid w:val="006A40AB"/>
    <w:rsid w:val="006F1B1B"/>
    <w:rsid w:val="00700E67"/>
    <w:rsid w:val="00734F3E"/>
    <w:rsid w:val="00753832"/>
    <w:rsid w:val="007E3211"/>
    <w:rsid w:val="0080676A"/>
    <w:rsid w:val="0080799D"/>
    <w:rsid w:val="00834AE9"/>
    <w:rsid w:val="00895ACE"/>
    <w:rsid w:val="008D1D3B"/>
    <w:rsid w:val="008D51AB"/>
    <w:rsid w:val="008F6A9B"/>
    <w:rsid w:val="009042BE"/>
    <w:rsid w:val="00916C4E"/>
    <w:rsid w:val="00A67BDD"/>
    <w:rsid w:val="00BB2290"/>
    <w:rsid w:val="00BE23BE"/>
    <w:rsid w:val="00C03643"/>
    <w:rsid w:val="00C2797F"/>
    <w:rsid w:val="00C80225"/>
    <w:rsid w:val="00CE0C0C"/>
    <w:rsid w:val="00D079B1"/>
    <w:rsid w:val="00D21DDD"/>
    <w:rsid w:val="00D228C9"/>
    <w:rsid w:val="00D6231D"/>
    <w:rsid w:val="00D638FC"/>
    <w:rsid w:val="00DB5324"/>
    <w:rsid w:val="00DE2FAF"/>
    <w:rsid w:val="00DE7E99"/>
    <w:rsid w:val="00DF1FF9"/>
    <w:rsid w:val="00E203E4"/>
    <w:rsid w:val="00E97654"/>
    <w:rsid w:val="00EA1ECF"/>
    <w:rsid w:val="00EA555A"/>
    <w:rsid w:val="00ED7B89"/>
    <w:rsid w:val="00EE0CA5"/>
    <w:rsid w:val="00F23C78"/>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2F3B9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5774"/>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E177594B8F034501B46269465C391564">
    <w:name w:val="E177594B8F034501B46269465C391564"/>
    <w:rsid w:val="00646FE9"/>
  </w:style>
  <w:style w:type="paragraph" w:customStyle="1" w:styleId="34175AE791E0461CABB75D4183FE9397">
    <w:name w:val="34175AE791E0461CABB75D4183FE9397"/>
    <w:rsid w:val="003357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33D72-649D-482A-B879-F5CF550070B4}">
  <ds:schemaRefs>
    <ds:schemaRef ds:uri="http://schemas.microsoft.com/sharepoint/v3/contenttype/forms"/>
  </ds:schemaRefs>
</ds:datastoreItem>
</file>

<file path=customXml/itemProps2.xml><?xml version="1.0" encoding="utf-8"?>
<ds:datastoreItem xmlns:ds="http://schemas.openxmlformats.org/officeDocument/2006/customXml" ds:itemID="{9E405EBF-7FA6-4716-9EE0-9F57074E5BAC}">
  <ds:schemaRefs>
    <ds:schemaRef ds:uri="http://www.w3.org/XML/1998/namespace"/>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49FA2CCF-DDFA-4B64-9CFE-B3948F37D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4A1E9F-AA08-4AD8-8CA9-2B1B0713D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17</Pages>
  <Words>6787</Words>
  <Characters>38688</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Sherry Yang</cp:lastModifiedBy>
  <cp:revision>51</cp:revision>
  <dcterms:created xsi:type="dcterms:W3CDTF">2013-11-27T17:17:00Z</dcterms:created>
  <dcterms:modified xsi:type="dcterms:W3CDTF">2014-01-15T19:47:00Z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