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34153"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298E0BB5" w14:textId="77777777" w:rsidR="00496AF8" w:rsidRPr="00496AF8" w:rsidRDefault="00496AF8" w:rsidP="002E2177">
      <w:pPr>
        <w:ind w:left="0" w:firstLine="0"/>
        <w:rPr>
          <w:noProof/>
        </w:rPr>
      </w:pPr>
    </w:p>
    <w:p w14:paraId="4963F0A6"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403FCC">
            <w:rPr>
              <w:rStyle w:val="Style1"/>
            </w:rPr>
            <w:t>NQF 0139</w:t>
          </w:r>
        </w:sdtContent>
      </w:sdt>
    </w:p>
    <w:p w14:paraId="1A13FE9A"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403FCC">
            <w:rPr>
              <w:rStyle w:val="Style1"/>
            </w:rPr>
            <w:t>National Healthcare Safety Network Central Line-associated Bloodstream Infection (CLABSI)</w:t>
          </w:r>
        </w:sdtContent>
      </w:sdt>
    </w:p>
    <w:p w14:paraId="0C1B1BD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0706A114"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245E3DAE"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801351C" w14:textId="77777777" w:rsidTr="00176E60">
        <w:trPr>
          <w:jc w:val="center"/>
        </w:trPr>
        <w:tc>
          <w:tcPr>
            <w:tcW w:w="9576" w:type="dxa"/>
          </w:tcPr>
          <w:p w14:paraId="4E7105A4"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60F23EB7" w14:textId="7777777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485CE007"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2E0B3573"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7F0E4C7F"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299AE8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3CC95DC4"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141EF130"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02176EC5"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415F6032"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4C5BAA61" w14:textId="77777777" w:rsidTr="00F81FE3">
        <w:trPr>
          <w:jc w:val="center"/>
        </w:trPr>
        <w:tc>
          <w:tcPr>
            <w:tcW w:w="10534" w:type="dxa"/>
          </w:tcPr>
          <w:p w14:paraId="02FA33A9"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39C9789" w14:textId="77777777" w:rsidR="008659ED" w:rsidRPr="003B1CC5" w:rsidRDefault="008659ED" w:rsidP="008659ED">
            <w:pPr>
              <w:ind w:left="90" w:hanging="90"/>
              <w:rPr>
                <w:sz w:val="20"/>
                <w:szCs w:val="20"/>
              </w:rPr>
            </w:pPr>
            <w:bookmarkStart w:id="1" w:name="Note2"/>
            <w:bookmarkEnd w:id="1"/>
          </w:p>
          <w:p w14:paraId="396E4501"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65A06DC"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6C61B69" w14:textId="77777777"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09165DCB"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3A18F5A2"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6A942D3A"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198010E" w14:textId="77777777"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4F6D6102" w14:textId="77777777"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322F6B49" w14:textId="77777777"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60339607" w14:textId="77777777" w:rsidR="00CB1E41" w:rsidRPr="003B1CC5" w:rsidRDefault="00CB1E41" w:rsidP="008659ED">
            <w:pPr>
              <w:autoSpaceDE w:val="0"/>
              <w:autoSpaceDN w:val="0"/>
              <w:adjustRightInd w:val="0"/>
              <w:rPr>
                <w:rFonts w:eastAsia="Calibri" w:cs="Calibri"/>
                <w:b/>
                <w:bCs/>
                <w:iCs/>
                <w:sz w:val="18"/>
              </w:rPr>
            </w:pPr>
          </w:p>
          <w:p w14:paraId="360F6176"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071ABA52"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276A9616" w14:textId="77777777"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3F0C899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F07E150"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73A42FCA" w14:textId="77777777" w:rsidR="00F81FE3" w:rsidRDefault="00F81FE3" w:rsidP="002E2177">
      <w:pPr>
        <w:ind w:left="0" w:firstLine="0"/>
        <w:rPr>
          <w:b/>
          <w:bCs/>
          <w:color w:val="0000FF"/>
        </w:rPr>
      </w:pPr>
    </w:p>
    <w:p w14:paraId="7CCA4F71"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78569403"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2C7941EF" w14:textId="77777777" w:rsidR="00496AF8" w:rsidRPr="003B1CC5" w:rsidRDefault="00DE185D"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B93659">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sdt>
            <w:sdtPr>
              <w:rPr>
                <w:rStyle w:val="Style1"/>
              </w:rPr>
              <w:id w:val="1025138326"/>
              <w:placeholder>
                <w:docPart w:val="F3EA81D6F63343F9BCB9B8D974B79CB0"/>
              </w:placeholder>
            </w:sdtPr>
            <w:sdtEndPr>
              <w:rPr>
                <w:rStyle w:val="DefaultParagraphFont"/>
                <w:noProof/>
                <w:color w:val="auto"/>
              </w:rPr>
            </w:sdtEndPr>
            <w:sdtContent>
              <w:r w:rsidR="00B93659">
                <w:rPr>
                  <w:rStyle w:val="Style1"/>
                </w:rPr>
                <w:t>National Healthcare Safety Network Central Line-associated Bloodstream Infection (CLABSI)</w:t>
              </w:r>
            </w:sdtContent>
          </w:sdt>
          <w:r w:rsidR="00B93659">
            <w:rPr>
              <w:noProof/>
            </w:rPr>
            <w:t xml:space="preserve"> </w:t>
          </w:r>
        </w:sdtContent>
      </w:sdt>
    </w:p>
    <w:p w14:paraId="42E337A1" w14:textId="77777777" w:rsidR="00236F87" w:rsidRPr="003B1CC5" w:rsidRDefault="00DE185D"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21D9F21C"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4129CEC0" w14:textId="77777777" w:rsidR="00496AF8" w:rsidRPr="003B1CC5" w:rsidRDefault="00DE185D"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7BED6686" w14:textId="77777777" w:rsidR="00D73685" w:rsidRDefault="00DE185D"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D832D85"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0C76377D" w14:textId="77777777" w:rsidR="00496AF8" w:rsidRPr="003B1CC5" w:rsidRDefault="00DE185D"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2E3B66AA" w14:textId="77777777" w:rsidR="00496AF8" w:rsidRPr="003B1CC5" w:rsidRDefault="00DE185D"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37DE60B3" w14:textId="77777777" w:rsidR="00496AF8" w:rsidRPr="003B1CC5" w:rsidRDefault="00496AF8" w:rsidP="002E2177">
      <w:pPr>
        <w:ind w:left="0" w:firstLine="0"/>
        <w:rPr>
          <w:bCs/>
        </w:rPr>
      </w:pPr>
    </w:p>
    <w:p w14:paraId="69307DCE" w14:textId="77777777"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620FA815" w14:textId="062E1B80" w:rsidR="006837B2" w:rsidRPr="00DE185D" w:rsidRDefault="00E873E4" w:rsidP="00DE185D">
      <w:pPr>
        <w:pStyle w:val="CommentText"/>
        <w:rPr>
          <w:rFonts w:ascii="Calibri" w:hAnsi="Calibri"/>
          <w:b/>
          <w:color w:val="FF0000"/>
        </w:rPr>
      </w:pPr>
      <w:r w:rsidRPr="00DE185D">
        <w:rPr>
          <w:b/>
          <w:bCs/>
          <w:color w:val="FF0000"/>
          <w:sz w:val="22"/>
          <w:szCs w:val="22"/>
        </w:rPr>
        <w:t>A</w:t>
      </w:r>
      <w:r w:rsidR="000F6B15" w:rsidRPr="004D5795">
        <w:rPr>
          <w:b/>
          <w:bCs/>
          <w:color w:val="FF0000"/>
          <w:sz w:val="22"/>
          <w:szCs w:val="22"/>
        </w:rPr>
        <w:t>n array</w:t>
      </w:r>
      <w:r w:rsidRPr="00DE185D">
        <w:rPr>
          <w:b/>
          <w:bCs/>
          <w:color w:val="FF0000"/>
          <w:sz w:val="22"/>
          <w:szCs w:val="22"/>
        </w:rPr>
        <w:t xml:space="preserve"> of prevention efforts have been identified to reduce the incidence of CLABSI.</w:t>
      </w:r>
      <w:r w:rsidRPr="00DE185D">
        <w:rPr>
          <w:b/>
          <w:iCs/>
          <w:color w:val="FF0000"/>
          <w:sz w:val="22"/>
          <w:szCs w:val="22"/>
        </w:rPr>
        <w:t xml:space="preserve">  </w:t>
      </w:r>
      <w:r w:rsidRPr="00DE185D">
        <w:rPr>
          <w:b/>
          <w:bCs/>
          <w:color w:val="FF0000"/>
          <w:sz w:val="22"/>
          <w:szCs w:val="22"/>
        </w:rPr>
        <w:t xml:space="preserve">These </w:t>
      </w:r>
      <w:r w:rsidR="000C2C66" w:rsidRPr="00DE185D">
        <w:rPr>
          <w:b/>
          <w:bCs/>
          <w:color w:val="FF0000"/>
          <w:sz w:val="22"/>
          <w:szCs w:val="22"/>
        </w:rPr>
        <w:t xml:space="preserve">interventions </w:t>
      </w:r>
      <w:r w:rsidRPr="00DE185D">
        <w:rPr>
          <w:b/>
          <w:bCs/>
          <w:color w:val="FF0000"/>
          <w:sz w:val="22"/>
          <w:szCs w:val="22"/>
        </w:rPr>
        <w:t>include</w:t>
      </w:r>
      <w:r w:rsidR="000C2C66" w:rsidRPr="00DE185D">
        <w:rPr>
          <w:b/>
          <w:bCs/>
          <w:color w:val="FF0000"/>
          <w:sz w:val="22"/>
          <w:szCs w:val="22"/>
        </w:rPr>
        <w:t xml:space="preserve"> (i)</w:t>
      </w:r>
      <w:r w:rsidR="008F4AEA" w:rsidRPr="00DE185D">
        <w:rPr>
          <w:b/>
          <w:bCs/>
          <w:color w:val="FF0000"/>
          <w:sz w:val="22"/>
          <w:szCs w:val="22"/>
        </w:rPr>
        <w:t xml:space="preserve"> Appropriate central line use: </w:t>
      </w:r>
      <w:r w:rsidRPr="00DE185D">
        <w:rPr>
          <w:b/>
          <w:bCs/>
          <w:color w:val="FF0000"/>
          <w:sz w:val="22"/>
          <w:szCs w:val="22"/>
        </w:rPr>
        <w:t xml:space="preserve"> </w:t>
      </w:r>
      <w:r w:rsidR="008F4AEA" w:rsidRPr="00DE185D">
        <w:rPr>
          <w:b/>
          <w:color w:val="FF0000"/>
          <w:sz w:val="22"/>
          <w:szCs w:val="22"/>
        </w:rPr>
        <w:t>promptly removing non-essential intravascular catheters, (ii)</w:t>
      </w:r>
      <w:r w:rsidR="008F4AEA" w:rsidRPr="00DE185D">
        <w:rPr>
          <w:b/>
          <w:bCs/>
          <w:color w:val="FF0000"/>
          <w:sz w:val="22"/>
          <w:szCs w:val="22"/>
        </w:rPr>
        <w:t xml:space="preserve"> </w:t>
      </w:r>
      <w:r w:rsidRPr="00DE185D">
        <w:rPr>
          <w:b/>
          <w:bCs/>
          <w:color w:val="FF0000"/>
          <w:sz w:val="22"/>
          <w:szCs w:val="22"/>
        </w:rPr>
        <w:t>hand hygiene</w:t>
      </w:r>
      <w:r w:rsidR="008F4AEA" w:rsidRPr="00DE185D">
        <w:rPr>
          <w:b/>
          <w:bCs/>
          <w:color w:val="FF0000"/>
          <w:sz w:val="22"/>
          <w:szCs w:val="22"/>
        </w:rPr>
        <w:t xml:space="preserve"> </w:t>
      </w:r>
      <w:r w:rsidRPr="00DE185D">
        <w:rPr>
          <w:b/>
          <w:bCs/>
          <w:color w:val="FF0000"/>
          <w:sz w:val="22"/>
          <w:szCs w:val="22"/>
        </w:rPr>
        <w:t>and</w:t>
      </w:r>
      <w:r w:rsidR="008F4AEA" w:rsidRPr="00DE185D">
        <w:rPr>
          <w:b/>
          <w:bCs/>
          <w:color w:val="FF0000"/>
          <w:sz w:val="22"/>
          <w:szCs w:val="22"/>
        </w:rPr>
        <w:t xml:space="preserve"> aseptic technique, </w:t>
      </w:r>
      <w:r w:rsidRPr="00DE185D">
        <w:rPr>
          <w:b/>
          <w:bCs/>
          <w:color w:val="FF0000"/>
          <w:sz w:val="22"/>
          <w:szCs w:val="22"/>
        </w:rPr>
        <w:t xml:space="preserve"> </w:t>
      </w:r>
      <w:r w:rsidR="008F4AEA" w:rsidRPr="00DE185D">
        <w:rPr>
          <w:b/>
          <w:bCs/>
          <w:color w:val="FF0000"/>
          <w:sz w:val="22"/>
          <w:szCs w:val="22"/>
        </w:rPr>
        <w:t xml:space="preserve">(iii) the use of maximal barrier equipment including a large patient drape, inserter mask, sterile gloves, cap, and sterile gown during aseptic insertion of the central line, (iv) </w:t>
      </w:r>
      <w:r w:rsidRPr="00DE185D">
        <w:rPr>
          <w:b/>
          <w:bCs/>
          <w:color w:val="FF0000"/>
          <w:sz w:val="22"/>
          <w:szCs w:val="22"/>
        </w:rPr>
        <w:t xml:space="preserve">appropriate insertion site decontamination before central line insertion,  </w:t>
      </w:r>
      <w:r w:rsidR="008F4AEA" w:rsidRPr="00DE185D">
        <w:rPr>
          <w:b/>
          <w:bCs/>
          <w:color w:val="FF0000"/>
          <w:sz w:val="22"/>
          <w:szCs w:val="22"/>
        </w:rPr>
        <w:t>(</w:t>
      </w:r>
      <w:r w:rsidR="00DA2BDD" w:rsidRPr="00DE185D">
        <w:rPr>
          <w:b/>
          <w:bCs/>
          <w:color w:val="FF0000"/>
          <w:sz w:val="22"/>
          <w:szCs w:val="22"/>
        </w:rPr>
        <w:t>v</w:t>
      </w:r>
      <w:r w:rsidR="008F4AEA" w:rsidRPr="00DE185D">
        <w:rPr>
          <w:b/>
          <w:bCs/>
          <w:color w:val="FF0000"/>
          <w:sz w:val="22"/>
          <w:szCs w:val="22"/>
        </w:rPr>
        <w:t>) chlorhexidine-impregnated dressings (in</w:t>
      </w:r>
      <w:r w:rsidR="00DA2BDD" w:rsidRPr="00DE185D">
        <w:rPr>
          <w:b/>
          <w:bCs/>
          <w:color w:val="FF0000"/>
          <w:sz w:val="22"/>
          <w:szCs w:val="22"/>
        </w:rPr>
        <w:t xml:space="preserve"> patients </w:t>
      </w:r>
      <w:r w:rsidR="00DA2BDD" w:rsidRPr="00DE185D">
        <w:rPr>
          <w:rFonts w:cstheme="minorHAnsi"/>
          <w:b/>
          <w:bCs/>
          <w:color w:val="FF0000"/>
          <w:sz w:val="22"/>
          <w:szCs w:val="22"/>
        </w:rPr>
        <w:t>≥</w:t>
      </w:r>
      <w:r w:rsidR="00DA2BDD" w:rsidRPr="00DE185D">
        <w:rPr>
          <w:b/>
          <w:bCs/>
          <w:color w:val="FF0000"/>
          <w:sz w:val="22"/>
          <w:szCs w:val="22"/>
        </w:rPr>
        <w:t xml:space="preserve"> 18 years),</w:t>
      </w:r>
      <w:r w:rsidR="008F4AEA" w:rsidRPr="00DE185D">
        <w:rPr>
          <w:b/>
          <w:bCs/>
          <w:color w:val="FF0000"/>
          <w:sz w:val="22"/>
          <w:szCs w:val="22"/>
        </w:rPr>
        <w:t xml:space="preserve"> and </w:t>
      </w:r>
      <w:r w:rsidR="00DA2BDD" w:rsidRPr="00DE185D">
        <w:rPr>
          <w:b/>
          <w:bCs/>
          <w:color w:val="FF0000"/>
          <w:sz w:val="22"/>
          <w:szCs w:val="22"/>
        </w:rPr>
        <w:t xml:space="preserve">(vi) </w:t>
      </w:r>
      <w:r w:rsidR="00DA2BDD" w:rsidRPr="00DE185D">
        <w:rPr>
          <w:b/>
          <w:color w:val="FF0000"/>
          <w:sz w:val="22"/>
          <w:szCs w:val="22"/>
        </w:rPr>
        <w:t>i</w:t>
      </w:r>
      <w:r w:rsidR="008F4AEA" w:rsidRPr="00DE185D">
        <w:rPr>
          <w:b/>
          <w:color w:val="FF0000"/>
          <w:sz w:val="22"/>
          <w:szCs w:val="22"/>
        </w:rPr>
        <w:t>mplementing surveillance strategies</w:t>
      </w:r>
      <w:r w:rsidR="00DA2BDD" w:rsidRPr="00DE185D">
        <w:rPr>
          <w:b/>
          <w:color w:val="FF0000"/>
          <w:sz w:val="22"/>
          <w:szCs w:val="22"/>
        </w:rPr>
        <w:t xml:space="preserve">. </w:t>
      </w:r>
      <w:r w:rsidR="006837B2" w:rsidRPr="00DE185D">
        <w:rPr>
          <w:b/>
          <w:color w:val="FF0000"/>
          <w:sz w:val="22"/>
          <w:szCs w:val="22"/>
        </w:rPr>
        <w:t xml:space="preserve"> </w:t>
      </w:r>
      <w:r w:rsidR="00DA2BDD" w:rsidRPr="00DE185D">
        <w:rPr>
          <w:b/>
          <w:bCs/>
          <w:color w:val="FF0000"/>
          <w:sz w:val="22"/>
          <w:szCs w:val="22"/>
        </w:rPr>
        <w:t xml:space="preserve"> The SIR is used </w:t>
      </w:r>
      <w:r w:rsidR="000F6B15" w:rsidRPr="004D5795">
        <w:rPr>
          <w:b/>
          <w:bCs/>
          <w:color w:val="FF0000"/>
          <w:sz w:val="22"/>
          <w:szCs w:val="22"/>
        </w:rPr>
        <w:t>as a quality measure</w:t>
      </w:r>
      <w:r w:rsidR="00C750D1" w:rsidRPr="00DE185D">
        <w:rPr>
          <w:b/>
          <w:bCs/>
          <w:color w:val="FF0000"/>
          <w:sz w:val="22"/>
          <w:szCs w:val="22"/>
        </w:rPr>
        <w:t xml:space="preserve"> and</w:t>
      </w:r>
      <w:r w:rsidR="00DA2BDD" w:rsidRPr="00DE185D">
        <w:rPr>
          <w:b/>
          <w:bCs/>
          <w:color w:val="FF0000"/>
          <w:sz w:val="22"/>
          <w:szCs w:val="22"/>
        </w:rPr>
        <w:t xml:space="preserve"> </w:t>
      </w:r>
      <w:r w:rsidR="000F6B15" w:rsidRPr="004D5795">
        <w:rPr>
          <w:b/>
          <w:bCs/>
          <w:color w:val="FF0000"/>
          <w:sz w:val="22"/>
          <w:szCs w:val="22"/>
        </w:rPr>
        <w:t xml:space="preserve">to </w:t>
      </w:r>
      <w:r w:rsidR="006837B2" w:rsidRPr="00DE185D">
        <w:rPr>
          <w:b/>
          <w:bCs/>
          <w:color w:val="FF0000"/>
          <w:sz w:val="22"/>
          <w:szCs w:val="22"/>
        </w:rPr>
        <w:t>drive infection prevention efforts</w:t>
      </w:r>
      <w:r w:rsidR="000F6B15" w:rsidRPr="004D5795">
        <w:rPr>
          <w:b/>
          <w:bCs/>
          <w:color w:val="FF0000"/>
          <w:sz w:val="22"/>
          <w:szCs w:val="22"/>
        </w:rPr>
        <w:t xml:space="preserve"> in patient care locations, hospitals, health systems, and collaboratives</w:t>
      </w:r>
      <w:r w:rsidR="00DA2BDD" w:rsidRPr="00DE185D">
        <w:rPr>
          <w:b/>
          <w:bCs/>
          <w:color w:val="FF0000"/>
          <w:sz w:val="22"/>
          <w:szCs w:val="22"/>
        </w:rPr>
        <w:t xml:space="preserve">.  </w:t>
      </w:r>
      <w:r w:rsidR="006837B2" w:rsidRPr="00DE185D">
        <w:rPr>
          <w:rFonts w:ascii="Calibri" w:hAnsi="Calibri"/>
          <w:b/>
          <w:color w:val="FF0000"/>
          <w:sz w:val="22"/>
          <w:szCs w:val="22"/>
        </w:rPr>
        <w:t xml:space="preserve">The SIR describes a healthcare facility´s performance compared to a national baseline. Facilities are able to </w:t>
      </w:r>
      <w:r w:rsidR="000F6B15" w:rsidRPr="004D5795">
        <w:rPr>
          <w:rFonts w:ascii="Calibri" w:hAnsi="Calibri"/>
          <w:b/>
          <w:color w:val="FF0000"/>
          <w:sz w:val="22"/>
          <w:szCs w:val="22"/>
        </w:rPr>
        <w:t>compare the number of</w:t>
      </w:r>
      <w:r w:rsidR="006837B2" w:rsidRPr="00DE185D">
        <w:rPr>
          <w:rFonts w:ascii="Calibri" w:hAnsi="Calibri"/>
          <w:b/>
          <w:color w:val="FF0000"/>
          <w:sz w:val="22"/>
          <w:szCs w:val="22"/>
        </w:rPr>
        <w:t xml:space="preserve"> HAI CLABSI events to the number predicted, given national data. </w:t>
      </w:r>
    </w:p>
    <w:p w14:paraId="3E3C732E" w14:textId="3F488BEF" w:rsidR="00F86571" w:rsidRPr="00DE185D" w:rsidRDefault="006837B2" w:rsidP="00F86571">
      <w:pPr>
        <w:rPr>
          <w:rFonts w:ascii="Calibri" w:hAnsi="Calibri"/>
          <w:color w:val="FF0000"/>
        </w:rPr>
      </w:pPr>
      <w:r w:rsidRPr="00DE185D">
        <w:rPr>
          <w:rFonts w:ascii="Calibri" w:hAnsi="Calibri"/>
          <w:noProof/>
          <w:color w:val="FF0000"/>
          <w:sz w:val="20"/>
          <w:szCs w:val="20"/>
        </w:rPr>
        <mc:AlternateContent>
          <mc:Choice Requires="wps">
            <w:drawing>
              <wp:anchor distT="0" distB="0" distL="114300" distR="114300" simplePos="0" relativeHeight="251665408" behindDoc="0" locked="0" layoutInCell="1" allowOverlap="1" wp14:anchorId="51A8D764" wp14:editId="117AE4FD">
                <wp:simplePos x="0" y="0"/>
                <wp:positionH relativeFrom="column">
                  <wp:posOffset>4738411</wp:posOffset>
                </wp:positionH>
                <wp:positionV relativeFrom="paragraph">
                  <wp:posOffset>60837</wp:posOffset>
                </wp:positionV>
                <wp:extent cx="1737360" cy="2087880"/>
                <wp:effectExtent l="0" t="0" r="15240" b="26670"/>
                <wp:wrapNone/>
                <wp:docPr id="14" name="Flowchart: Alternate Process 14"/>
                <wp:cNvGraphicFramePr/>
                <a:graphic xmlns:a="http://schemas.openxmlformats.org/drawingml/2006/main">
                  <a:graphicData uri="http://schemas.microsoft.com/office/word/2010/wordprocessingShape">
                    <wps:wsp>
                      <wps:cNvSpPr/>
                      <wps:spPr>
                        <a:xfrm>
                          <a:off x="0" y="0"/>
                          <a:ext cx="1737360" cy="2087880"/>
                        </a:xfrm>
                        <a:prstGeom prst="flowChartAlternateProcess">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157814" w14:textId="77777777" w:rsidR="00F86571" w:rsidRPr="003A23A1" w:rsidRDefault="00F86571" w:rsidP="00F86571">
                            <w:pPr>
                              <w:tabs>
                                <w:tab w:val="center" w:pos="4680"/>
                              </w:tabs>
                              <w:rPr>
                                <w:rFonts w:ascii="Calibri" w:hAnsi="Calibri"/>
                                <w:color w:val="0000FF"/>
                              </w:rPr>
                            </w:pPr>
                            <w:r>
                              <w:rPr>
                                <w:rFonts w:ascii="Calibri" w:hAnsi="Calibri"/>
                                <w:color w:val="0000FF"/>
                              </w:rPr>
                              <w:tab/>
                            </w:r>
                            <w:r w:rsidRPr="003A23A1">
                              <w:rPr>
                                <w:rFonts w:ascii="Calibri" w:hAnsi="Calibri"/>
                                <w:color w:val="0000FF"/>
                              </w:rPr>
                              <w:t xml:space="preserve">Patient improved </w:t>
                            </w:r>
                          </w:p>
                          <w:p w14:paraId="46AC3EAE" w14:textId="33738001" w:rsidR="00F86571" w:rsidRPr="003A23A1" w:rsidRDefault="00F86571" w:rsidP="00F86571">
                            <w:pPr>
                              <w:tabs>
                                <w:tab w:val="center" w:pos="4680"/>
                              </w:tabs>
                              <w:rPr>
                                <w:rFonts w:ascii="Calibri" w:hAnsi="Calibri"/>
                                <w:color w:val="0000FF"/>
                              </w:rPr>
                            </w:pPr>
                            <w:r w:rsidRPr="003A23A1">
                              <w:rPr>
                                <w:rFonts w:ascii="Calibri" w:hAnsi="Calibri"/>
                                <w:color w:val="0000FF"/>
                              </w:rPr>
                              <w:tab/>
                              <w:t>Health outcomes</w:t>
                            </w:r>
                            <w:r>
                              <w:rPr>
                                <w:rFonts w:ascii="Calibri" w:hAnsi="Calibri"/>
                                <w:color w:val="0000FF"/>
                              </w:rPr>
                              <w:t>:</w:t>
                            </w:r>
                          </w:p>
                          <w:p w14:paraId="58ED6184" w14:textId="77777777" w:rsidR="00140F1E" w:rsidRDefault="00140F1E" w:rsidP="00F86571">
                            <w:pPr>
                              <w:tabs>
                                <w:tab w:val="center" w:pos="4680"/>
                              </w:tabs>
                              <w:rPr>
                                <w:rFonts w:ascii="Calibri" w:hAnsi="Calibri"/>
                                <w:color w:val="0000FF"/>
                              </w:rPr>
                            </w:pPr>
                            <w:r>
                              <w:rPr>
                                <w:rFonts w:ascii="Calibri" w:hAnsi="Calibri"/>
                                <w:color w:val="0000FF"/>
                              </w:rPr>
                              <w:t xml:space="preserve">       Implementation of prevention measures</w:t>
                            </w:r>
                          </w:p>
                          <w:p w14:paraId="25C2E9A9" w14:textId="088FB5F8" w:rsidR="00F86571" w:rsidRPr="00F51B55" w:rsidRDefault="00140F1E" w:rsidP="00F86571">
                            <w:pPr>
                              <w:tabs>
                                <w:tab w:val="center" w:pos="4680"/>
                              </w:tabs>
                              <w:rPr>
                                <w:rFonts w:ascii="Calibri" w:hAnsi="Calibri"/>
                                <w:color w:val="0000FF"/>
                              </w:rPr>
                            </w:pPr>
                            <w:r>
                              <w:rPr>
                                <w:rFonts w:ascii="Calibri" w:hAnsi="Calibri"/>
                                <w:color w:val="0000FF"/>
                              </w:rPr>
                              <w:t xml:space="preserve">        </w:t>
                            </w:r>
                            <w:r w:rsidR="00F86571" w:rsidRPr="00F51B55">
                              <w:rPr>
                                <w:rFonts w:ascii="Calibri" w:hAnsi="Calibri"/>
                                <w:color w:val="0000FF"/>
                              </w:rPr>
                              <w:t>Reduction in Morbidity and Mortality</w:t>
                            </w:r>
                            <w:r w:rsidR="00F86571">
                              <w:rPr>
                                <w:rFonts w:ascii="Calibri" w:hAnsi="Calibri"/>
                                <w:color w:val="0000FF"/>
                              </w:rPr>
                              <w:t xml:space="preserve"> associated with </w:t>
                            </w:r>
                            <w:r>
                              <w:rPr>
                                <w:rFonts w:ascii="Calibri" w:hAnsi="Calibri"/>
                                <w:color w:val="0000FF"/>
                              </w:rPr>
                              <w:t>CLABSI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A8D76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4" o:spid="_x0000_s1026" type="#_x0000_t176" style="position:absolute;left:0;text-align:left;margin-left:373.1pt;margin-top:4.8pt;width:136.8pt;height:16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" filled="f" strokecolor="#243f60 [1604]" strokeweight="2pt">
                <v:textbox>
                  <w:txbxContent>
                    <w:p w14:paraId="04157814" w14:textId="77777777" w:rsidR="00F86571" w:rsidRPr="003A23A1" w:rsidRDefault="00F86571" w:rsidP="00F86571">
                      <w:pPr>
                        <w:tabs>
                          <w:tab w:val="center" w:pos="4680"/>
                        </w:tabs>
                        <w:rPr>
                          <w:rFonts w:ascii="Calibri" w:hAnsi="Calibri"/>
                          <w:color w:val="0000FF"/>
                        </w:rPr>
                      </w:pPr>
                      <w:r>
                        <w:rPr>
                          <w:rFonts w:ascii="Calibri" w:hAnsi="Calibri"/>
                          <w:color w:val="0000FF"/>
                        </w:rPr>
                        <w:tab/>
                      </w:r>
                      <w:r w:rsidRPr="003A23A1">
                        <w:rPr>
                          <w:rFonts w:ascii="Calibri" w:hAnsi="Calibri"/>
                          <w:color w:val="0000FF"/>
                        </w:rPr>
                        <w:t xml:space="preserve">Patient improved </w:t>
                      </w:r>
                    </w:p>
                    <w:p w14:paraId="46AC3EAE" w14:textId="33738001" w:rsidR="00F86571" w:rsidRPr="003A23A1" w:rsidRDefault="00F86571" w:rsidP="00F86571">
                      <w:pPr>
                        <w:tabs>
                          <w:tab w:val="center" w:pos="4680"/>
                        </w:tabs>
                        <w:rPr>
                          <w:rFonts w:ascii="Calibri" w:hAnsi="Calibri"/>
                          <w:color w:val="0000FF"/>
                        </w:rPr>
                      </w:pPr>
                      <w:r w:rsidRPr="003A23A1">
                        <w:rPr>
                          <w:rFonts w:ascii="Calibri" w:hAnsi="Calibri"/>
                          <w:color w:val="0000FF"/>
                        </w:rPr>
                        <w:tab/>
                        <w:t>Health outcomes</w:t>
                      </w:r>
                      <w:r>
                        <w:rPr>
                          <w:rFonts w:ascii="Calibri" w:hAnsi="Calibri"/>
                          <w:color w:val="0000FF"/>
                        </w:rPr>
                        <w:t>:</w:t>
                      </w:r>
                    </w:p>
                    <w:p w14:paraId="58ED6184" w14:textId="77777777" w:rsidR="00140F1E" w:rsidRDefault="00140F1E" w:rsidP="00F86571">
                      <w:pPr>
                        <w:tabs>
                          <w:tab w:val="center" w:pos="4680"/>
                        </w:tabs>
                        <w:rPr>
                          <w:rFonts w:ascii="Calibri" w:hAnsi="Calibri"/>
                          <w:color w:val="0000FF"/>
                        </w:rPr>
                      </w:pPr>
                      <w:r>
                        <w:rPr>
                          <w:rFonts w:ascii="Calibri" w:hAnsi="Calibri"/>
                          <w:color w:val="0000FF"/>
                        </w:rPr>
                        <w:t xml:space="preserve">       Implementation of prevention measures</w:t>
                      </w:r>
                    </w:p>
                    <w:p w14:paraId="25C2E9A9" w14:textId="088FB5F8" w:rsidR="00F86571" w:rsidRPr="00F51B55" w:rsidRDefault="00140F1E" w:rsidP="00F86571">
                      <w:pPr>
                        <w:tabs>
                          <w:tab w:val="center" w:pos="4680"/>
                        </w:tabs>
                        <w:rPr>
                          <w:rFonts w:ascii="Calibri" w:hAnsi="Calibri"/>
                          <w:color w:val="0000FF"/>
                        </w:rPr>
                      </w:pPr>
                      <w:r>
                        <w:rPr>
                          <w:rFonts w:ascii="Calibri" w:hAnsi="Calibri"/>
                          <w:color w:val="0000FF"/>
                        </w:rPr>
                        <w:t xml:space="preserve">        </w:t>
                      </w:r>
                      <w:r w:rsidR="00F86571" w:rsidRPr="00F51B55">
                        <w:rPr>
                          <w:rFonts w:ascii="Calibri" w:hAnsi="Calibri"/>
                          <w:color w:val="0000FF"/>
                        </w:rPr>
                        <w:t>Reduction in Morbidity and Mortality</w:t>
                      </w:r>
                      <w:r w:rsidR="00F86571">
                        <w:rPr>
                          <w:rFonts w:ascii="Calibri" w:hAnsi="Calibri"/>
                          <w:color w:val="0000FF"/>
                        </w:rPr>
                        <w:t xml:space="preserve"> associated with </w:t>
                      </w:r>
                      <w:r>
                        <w:rPr>
                          <w:rFonts w:ascii="Calibri" w:hAnsi="Calibri"/>
                          <w:color w:val="0000FF"/>
                        </w:rPr>
                        <w:t>CLABSI</w:t>
                      </w:r>
                    </w:p>
                  </w:txbxContent>
                </v:textbox>
              </v:shape>
            </w:pict>
          </mc:Fallback>
        </mc:AlternateContent>
      </w:r>
    </w:p>
    <w:p w14:paraId="418AB0AA" w14:textId="67767F58" w:rsidR="00F86571" w:rsidRPr="00DE185D" w:rsidRDefault="00F86571" w:rsidP="00F86571">
      <w:pPr>
        <w:rPr>
          <w:rFonts w:ascii="Calibri" w:hAnsi="Calibri"/>
          <w:color w:val="FF0000"/>
          <w:sz w:val="20"/>
          <w:szCs w:val="20"/>
        </w:rPr>
      </w:pPr>
      <w:r w:rsidRPr="00DE185D">
        <w:rPr>
          <w:rFonts w:ascii="Calibri" w:hAnsi="Calibri"/>
          <w:noProof/>
          <w:color w:val="FF0000"/>
          <w:sz w:val="20"/>
          <w:szCs w:val="20"/>
        </w:rPr>
        <mc:AlternateContent>
          <mc:Choice Requires="wps">
            <w:drawing>
              <wp:anchor distT="0" distB="0" distL="114300" distR="114300" simplePos="0" relativeHeight="251659264" behindDoc="0" locked="0" layoutInCell="1" allowOverlap="1" wp14:anchorId="4450FB03" wp14:editId="4C505583">
                <wp:simplePos x="0" y="0"/>
                <wp:positionH relativeFrom="margin">
                  <wp:posOffset>-152400</wp:posOffset>
                </wp:positionH>
                <wp:positionV relativeFrom="paragraph">
                  <wp:posOffset>75564</wp:posOffset>
                </wp:positionV>
                <wp:extent cx="1971675" cy="619125"/>
                <wp:effectExtent l="0" t="0" r="28575" b="28575"/>
                <wp:wrapNone/>
                <wp:docPr id="1" name="Flowchart: Process 1"/>
                <wp:cNvGraphicFramePr/>
                <a:graphic xmlns:a="http://schemas.openxmlformats.org/drawingml/2006/main">
                  <a:graphicData uri="http://schemas.microsoft.com/office/word/2010/wordprocessingShape">
                    <wps:wsp>
                      <wps:cNvSpPr/>
                      <wps:spPr>
                        <a:xfrm>
                          <a:off x="0" y="0"/>
                          <a:ext cx="1971675" cy="619125"/>
                        </a:xfrm>
                        <a:prstGeom prst="flowChartProcess">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409DBEF" w14:textId="1CDC4B2A" w:rsidR="00F86571" w:rsidRPr="00F51B55" w:rsidRDefault="00F86571" w:rsidP="00F86571">
                            <w:pPr>
                              <w:ind w:left="0"/>
                              <w:jc w:val="center"/>
                              <w:rPr>
                                <w:rFonts w:ascii="Calibri" w:hAnsi="Calibri"/>
                                <w:color w:val="0000FF"/>
                              </w:rPr>
                            </w:pPr>
                            <w:r>
                              <w:rPr>
                                <w:sz w:val="20"/>
                                <w:szCs w:val="20"/>
                              </w:rPr>
                              <w:t xml:space="preserve">     </w:t>
                            </w:r>
                            <w:r w:rsidRPr="00F51B55">
                              <w:rPr>
                                <w:rFonts w:ascii="Calibri" w:hAnsi="Calibri"/>
                                <w:color w:val="0000FF"/>
                              </w:rPr>
                              <w:t xml:space="preserve">Number of </w:t>
                            </w:r>
                            <w:r w:rsidR="00140F1E">
                              <w:rPr>
                                <w:rFonts w:ascii="Calibri" w:hAnsi="Calibri"/>
                                <w:color w:val="0000FF"/>
                              </w:rPr>
                              <w:t>observed</w:t>
                            </w:r>
                            <w:r w:rsidR="004D5795">
                              <w:rPr>
                                <w:rFonts w:ascii="Calibri" w:hAnsi="Calibri"/>
                                <w:color w:val="0000FF"/>
                              </w:rPr>
                              <w:t xml:space="preserve"> CLABSI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0FB03" id="_x0000_t109" coordsize="21600,21600" o:spt="109" path="m,l,21600r21600,l21600,xe">
                <v:stroke joinstyle="miter"/>
                <v:path gradientshapeok="t" o:connecttype="rect"/>
              </v:shapetype>
              <v:shape id="Flowchart: Process 1" o:spid="_x0000_s1027" type="#_x0000_t109" style="position:absolute;left:0;text-align:left;margin-left:-12pt;margin-top:5.95pt;width:155.25pt;height:48.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" filled="f" strokecolor="#243f60 [1604]" strokeweight="2pt">
                <v:textbox>
                  <w:txbxContent>
                    <w:p w14:paraId="6409DBEF" w14:textId="1CDC4B2A" w:rsidR="00F86571" w:rsidRPr="00F51B55" w:rsidRDefault="00F86571" w:rsidP="00F86571">
                      <w:pPr>
                        <w:ind w:left="0"/>
                        <w:jc w:val="center"/>
                        <w:rPr>
                          <w:rFonts w:ascii="Calibri" w:hAnsi="Calibri"/>
                          <w:color w:val="0000FF"/>
                        </w:rPr>
                      </w:pPr>
                      <w:r>
                        <w:rPr>
                          <w:sz w:val="20"/>
                          <w:szCs w:val="20"/>
                        </w:rPr>
                        <w:t xml:space="preserve">     </w:t>
                      </w:r>
                      <w:r w:rsidRPr="00F51B55">
                        <w:rPr>
                          <w:rFonts w:ascii="Calibri" w:hAnsi="Calibri"/>
                          <w:color w:val="0000FF"/>
                        </w:rPr>
                        <w:t xml:space="preserve">Number of </w:t>
                      </w:r>
                      <w:r w:rsidR="00140F1E">
                        <w:rPr>
                          <w:rFonts w:ascii="Calibri" w:hAnsi="Calibri"/>
                          <w:color w:val="0000FF"/>
                        </w:rPr>
                        <w:t>observed</w:t>
                      </w:r>
                      <w:r w:rsidR="004D5795">
                        <w:rPr>
                          <w:rFonts w:ascii="Calibri" w:hAnsi="Calibri"/>
                          <w:color w:val="0000FF"/>
                        </w:rPr>
                        <w:t xml:space="preserve"> CLABSI</w:t>
                      </w:r>
                    </w:p>
                  </w:txbxContent>
                </v:textbox>
                <w10:wrap anchorx="margin"/>
              </v:shape>
            </w:pict>
          </mc:Fallback>
        </mc:AlternateContent>
      </w:r>
    </w:p>
    <w:p w14:paraId="69473BD5" w14:textId="4221A70D" w:rsidR="00F86571" w:rsidRPr="00DE185D" w:rsidRDefault="004D5795" w:rsidP="00F86571">
      <w:pPr>
        <w:rPr>
          <w:rFonts w:ascii="Calibri" w:hAnsi="Calibri"/>
          <w:color w:val="FF0000"/>
          <w:sz w:val="20"/>
          <w:szCs w:val="20"/>
        </w:rPr>
      </w:pPr>
      <w:r w:rsidRPr="003A23A1">
        <w:rPr>
          <w:iCs/>
          <w:noProof/>
        </w:rPr>
        <mc:AlternateContent>
          <mc:Choice Requires="wps">
            <w:drawing>
              <wp:anchor distT="0" distB="0" distL="114300" distR="114300" simplePos="0" relativeHeight="251667456" behindDoc="0" locked="0" layoutInCell="1" allowOverlap="1" wp14:anchorId="4793F548" wp14:editId="55A66704">
                <wp:simplePos x="0" y="0"/>
                <wp:positionH relativeFrom="column">
                  <wp:posOffset>1899808</wp:posOffset>
                </wp:positionH>
                <wp:positionV relativeFrom="paragraph">
                  <wp:posOffset>150449</wp:posOffset>
                </wp:positionV>
                <wp:extent cx="408574" cy="197302"/>
                <wp:effectExtent l="19050" t="38100" r="29845" b="50800"/>
                <wp:wrapNone/>
                <wp:docPr id="2" name="Right Arrow 2"/>
                <wp:cNvGraphicFramePr/>
                <a:graphic xmlns:a="http://schemas.openxmlformats.org/drawingml/2006/main">
                  <a:graphicData uri="http://schemas.microsoft.com/office/word/2010/wordprocessingShape">
                    <wps:wsp>
                      <wps:cNvSpPr/>
                      <wps:spPr>
                        <a:xfrm rot="158631">
                          <a:off x="0" y="0"/>
                          <a:ext cx="408574" cy="197302"/>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8D18F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149.6pt;margin-top:11.85pt;width:32.15pt;height:15.55pt;rotation:173267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" adj="16385" fillcolor="#4f81bd" strokecolor="#385d8a" strokeweight="2pt"/>
            </w:pict>
          </mc:Fallback>
        </mc:AlternateContent>
      </w:r>
      <w:r w:rsidRPr="00DE185D">
        <w:rPr>
          <w:rFonts w:ascii="Calibri" w:hAnsi="Calibri"/>
          <w:noProof/>
          <w:color w:val="FF0000"/>
          <w:sz w:val="20"/>
          <w:szCs w:val="20"/>
        </w:rPr>
        <mc:AlternateContent>
          <mc:Choice Requires="wps">
            <w:drawing>
              <wp:anchor distT="0" distB="0" distL="114300" distR="114300" simplePos="0" relativeHeight="251663360" behindDoc="0" locked="0" layoutInCell="1" allowOverlap="1" wp14:anchorId="0FAAA7F4" wp14:editId="6E8C9C3A">
                <wp:simplePos x="0" y="0"/>
                <wp:positionH relativeFrom="margin">
                  <wp:posOffset>2390140</wp:posOffset>
                </wp:positionH>
                <wp:positionV relativeFrom="paragraph">
                  <wp:posOffset>5080</wp:posOffset>
                </wp:positionV>
                <wp:extent cx="1504950" cy="884903"/>
                <wp:effectExtent l="0" t="0" r="19050" b="10795"/>
                <wp:wrapNone/>
                <wp:docPr id="11" name="Flowchart: Process 11"/>
                <wp:cNvGraphicFramePr/>
                <a:graphic xmlns:a="http://schemas.openxmlformats.org/drawingml/2006/main">
                  <a:graphicData uri="http://schemas.microsoft.com/office/word/2010/wordprocessingShape">
                    <wps:wsp>
                      <wps:cNvSpPr/>
                      <wps:spPr>
                        <a:xfrm>
                          <a:off x="0" y="0"/>
                          <a:ext cx="1504950" cy="884903"/>
                        </a:xfrm>
                        <a:prstGeom prst="flowChartProcess">
                          <a:avLst/>
                        </a:prstGeom>
                        <a:noFill/>
                        <a:ln w="25400" cap="flat" cmpd="sng" algn="ctr">
                          <a:solidFill>
                            <a:srgbClr val="4F81BD">
                              <a:shade val="50000"/>
                            </a:srgbClr>
                          </a:solidFill>
                          <a:prstDash val="solid"/>
                        </a:ln>
                        <a:effectLst/>
                      </wps:spPr>
                      <wps:txbx>
                        <w:txbxContent>
                          <w:p w14:paraId="37324FF8" w14:textId="427536D4" w:rsidR="006837B2" w:rsidRPr="00DE185D" w:rsidRDefault="004D5795" w:rsidP="00DE185D">
                            <w:pPr>
                              <w:ind w:left="0"/>
                              <w:jc w:val="center"/>
                              <w:rPr>
                                <w:color w:val="0000FF"/>
                              </w:rPr>
                            </w:pPr>
                            <w:r>
                              <w:rPr>
                                <w:color w:val="0000FF"/>
                              </w:rPr>
                              <w:t>Quantification drives prevention efforts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AA7F4" id="Flowchart: Process 11" o:spid="_x0000_s1028" type="#_x0000_t109" style="position:absolute;left:0;text-align:left;margin-left:188.2pt;margin-top:.4pt;width:118.5pt;height:69.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" filled="f" strokecolor="#385d8a" strokeweight="2pt">
                <v:textbox>
                  <w:txbxContent>
                    <w:p w14:paraId="37324FF8" w14:textId="427536D4" w:rsidR="006837B2" w:rsidRPr="00DE185D" w:rsidRDefault="004D5795" w:rsidP="00DE185D">
                      <w:pPr>
                        <w:ind w:left="0"/>
                        <w:jc w:val="center"/>
                        <w:rPr>
                          <w:color w:val="0000FF"/>
                        </w:rPr>
                      </w:pPr>
                      <w:r>
                        <w:rPr>
                          <w:color w:val="0000FF"/>
                        </w:rPr>
                        <w:t>Quantification drives prevention efforts</w:t>
                      </w:r>
                    </w:p>
                  </w:txbxContent>
                </v:textbox>
                <w10:wrap anchorx="margin"/>
              </v:shape>
            </w:pict>
          </mc:Fallback>
        </mc:AlternateContent>
      </w:r>
    </w:p>
    <w:p w14:paraId="6CCF5CAD" w14:textId="7B95664B" w:rsidR="00F86571" w:rsidRPr="00DE185D" w:rsidRDefault="004D5795" w:rsidP="00F86571">
      <w:pPr>
        <w:rPr>
          <w:rFonts w:ascii="Calibri" w:hAnsi="Calibri"/>
          <w:color w:val="FF0000"/>
          <w:sz w:val="20"/>
          <w:szCs w:val="20"/>
        </w:rPr>
      </w:pPr>
      <w:r w:rsidRPr="003A23A1">
        <w:rPr>
          <w:iCs/>
          <w:noProof/>
        </w:rPr>
        <mc:AlternateContent>
          <mc:Choice Requires="wps">
            <w:drawing>
              <wp:anchor distT="0" distB="0" distL="114300" distR="114300" simplePos="0" relativeHeight="251664384" behindDoc="0" locked="0" layoutInCell="1" allowOverlap="1" wp14:anchorId="60AB39FC" wp14:editId="098DABDA">
                <wp:simplePos x="0" y="0"/>
                <wp:positionH relativeFrom="column">
                  <wp:posOffset>3943985</wp:posOffset>
                </wp:positionH>
                <wp:positionV relativeFrom="paragraph">
                  <wp:posOffset>62230</wp:posOffset>
                </wp:positionV>
                <wp:extent cx="633595" cy="184198"/>
                <wp:effectExtent l="0" t="19050" r="33655" b="44450"/>
                <wp:wrapNone/>
                <wp:docPr id="12" name="Right Arrow 12"/>
                <wp:cNvGraphicFramePr/>
                <a:graphic xmlns:a="http://schemas.openxmlformats.org/drawingml/2006/main">
                  <a:graphicData uri="http://schemas.microsoft.com/office/word/2010/wordprocessingShape">
                    <wps:wsp>
                      <wps:cNvSpPr/>
                      <wps:spPr>
                        <a:xfrm>
                          <a:off x="0" y="0"/>
                          <a:ext cx="633595" cy="184198"/>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82A96" id="Right Arrow 12" o:spid="_x0000_s1026" type="#_x0000_t13" style="position:absolute;margin-left:310.55pt;margin-top:4.9pt;width:49.9pt;height: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" adj="18460" fillcolor="#4f81bd" strokecolor="#385d8a" strokeweight="2pt"/>
            </w:pict>
          </mc:Fallback>
        </mc:AlternateContent>
      </w:r>
    </w:p>
    <w:p w14:paraId="6A23542D" w14:textId="4423FCF4" w:rsidR="00F86571" w:rsidRPr="00DE185D" w:rsidRDefault="00F86571" w:rsidP="00F86571">
      <w:pPr>
        <w:rPr>
          <w:rFonts w:ascii="Calibri" w:hAnsi="Calibri"/>
          <w:color w:val="FF0000"/>
          <w:sz w:val="20"/>
          <w:szCs w:val="20"/>
        </w:rPr>
      </w:pPr>
    </w:p>
    <w:p w14:paraId="686141F3" w14:textId="6814A59C" w:rsidR="00F86571" w:rsidRPr="00DE185D" w:rsidRDefault="006837B2" w:rsidP="00F86571">
      <w:pPr>
        <w:tabs>
          <w:tab w:val="center" w:pos="4680"/>
        </w:tabs>
        <w:rPr>
          <w:rFonts w:ascii="Calibri" w:hAnsi="Calibri"/>
          <w:color w:val="FF0000"/>
          <w:sz w:val="20"/>
          <w:szCs w:val="20"/>
        </w:rPr>
      </w:pPr>
      <w:r w:rsidRPr="00DE185D">
        <w:rPr>
          <w:rFonts w:ascii="Calibri" w:hAnsi="Calibri"/>
          <w:noProof/>
          <w:color w:val="FF0000"/>
          <w:sz w:val="20"/>
          <w:szCs w:val="20"/>
        </w:rPr>
        <mc:AlternateContent>
          <mc:Choice Requires="wps">
            <w:drawing>
              <wp:anchor distT="0" distB="0" distL="114300" distR="114300" simplePos="0" relativeHeight="251661312" behindDoc="0" locked="0" layoutInCell="1" allowOverlap="1" wp14:anchorId="2DB93632" wp14:editId="7B225265">
                <wp:simplePos x="0" y="0"/>
                <wp:positionH relativeFrom="margin">
                  <wp:posOffset>-152400</wp:posOffset>
                </wp:positionH>
                <wp:positionV relativeFrom="paragraph">
                  <wp:posOffset>160019</wp:posOffset>
                </wp:positionV>
                <wp:extent cx="1943100" cy="447675"/>
                <wp:effectExtent l="0" t="0" r="19050" b="28575"/>
                <wp:wrapNone/>
                <wp:docPr id="6" name="Flowchart: Process 6"/>
                <wp:cNvGraphicFramePr/>
                <a:graphic xmlns:a="http://schemas.openxmlformats.org/drawingml/2006/main">
                  <a:graphicData uri="http://schemas.microsoft.com/office/word/2010/wordprocessingShape">
                    <wps:wsp>
                      <wps:cNvSpPr/>
                      <wps:spPr>
                        <a:xfrm>
                          <a:off x="0" y="0"/>
                          <a:ext cx="1943100" cy="447675"/>
                        </a:xfrm>
                        <a:prstGeom prst="flowChartProcess">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D6346" id="Flowchart: Process 6" o:spid="_x0000_s1026" type="#_x0000_t109" style="position:absolute;margin-left:-12pt;margin-top:12.6pt;width:153pt;height:35.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" filled="f" strokecolor="#385d8a" strokeweight="2pt">
                <w10:wrap anchorx="margin"/>
              </v:shape>
            </w:pict>
          </mc:Fallback>
        </mc:AlternateContent>
      </w:r>
    </w:p>
    <w:p w14:paraId="049B9864" w14:textId="1B6A572C" w:rsidR="006837B2" w:rsidRDefault="00140F1E" w:rsidP="00DE185D">
      <w:pPr>
        <w:jc w:val="center"/>
        <w:rPr>
          <w:rFonts w:ascii="Calibri" w:hAnsi="Calibri"/>
          <w:color w:val="0000FF"/>
        </w:rPr>
      </w:pPr>
      <w:r w:rsidRPr="003A23A1">
        <w:rPr>
          <w:iCs/>
          <w:noProof/>
        </w:rPr>
        <mc:AlternateContent>
          <mc:Choice Requires="wps">
            <w:drawing>
              <wp:anchor distT="0" distB="0" distL="114300" distR="114300" simplePos="0" relativeHeight="251662336" behindDoc="0" locked="0" layoutInCell="1" allowOverlap="1" wp14:anchorId="5B36B940" wp14:editId="068906EE">
                <wp:simplePos x="0" y="0"/>
                <wp:positionH relativeFrom="column">
                  <wp:posOffset>1895100</wp:posOffset>
                </wp:positionH>
                <wp:positionV relativeFrom="paragraph">
                  <wp:posOffset>34080</wp:posOffset>
                </wp:positionV>
                <wp:extent cx="399199" cy="180359"/>
                <wp:effectExtent l="19050" t="38100" r="20320" b="48260"/>
                <wp:wrapNone/>
                <wp:docPr id="8" name="Right Arrow 8"/>
                <wp:cNvGraphicFramePr/>
                <a:graphic xmlns:a="http://schemas.openxmlformats.org/drawingml/2006/main">
                  <a:graphicData uri="http://schemas.microsoft.com/office/word/2010/wordprocessingShape">
                    <wps:wsp>
                      <wps:cNvSpPr/>
                      <wps:spPr>
                        <a:xfrm rot="158631">
                          <a:off x="0" y="0"/>
                          <a:ext cx="399199" cy="180359"/>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3237E" id="Right Arrow 8" o:spid="_x0000_s1026" type="#_x0000_t13" style="position:absolute;margin-left:149.2pt;margin-top:2.7pt;width:31.45pt;height:14.2pt;rotation:173267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" adj="16721" fillcolor="#4f81bd" strokecolor="#385d8a" strokeweight="2pt"/>
            </w:pict>
          </mc:Fallback>
        </mc:AlternateContent>
      </w:r>
      <w:r w:rsidR="00F86571">
        <w:rPr>
          <w:rFonts w:ascii="Calibri" w:hAnsi="Calibri"/>
          <w:color w:val="0000FF"/>
          <w:sz w:val="20"/>
          <w:szCs w:val="20"/>
        </w:rPr>
        <w:tab/>
      </w:r>
      <w:r w:rsidR="00F86571">
        <w:rPr>
          <w:rFonts w:ascii="Calibri" w:hAnsi="Calibri"/>
          <w:color w:val="0000FF"/>
          <w:sz w:val="20"/>
          <w:szCs w:val="20"/>
        </w:rPr>
        <w:tab/>
        <w:t xml:space="preserve">      </w:t>
      </w:r>
    </w:p>
    <w:p w14:paraId="54CFD66B" w14:textId="4B6FEF1C" w:rsidR="006837B2" w:rsidRDefault="004D5795" w:rsidP="006837B2">
      <w:pPr>
        <w:rPr>
          <w:rFonts w:ascii="Calibri" w:hAnsi="Calibri"/>
          <w:color w:val="0000FF"/>
        </w:rPr>
      </w:pPr>
      <w:r>
        <w:rPr>
          <w:rFonts w:ascii="Calibri" w:hAnsi="Calibri"/>
          <w:color w:val="0000FF"/>
        </w:rPr>
        <w:t>Compare to number predicted</w:t>
      </w:r>
    </w:p>
    <w:p w14:paraId="3CA61999" w14:textId="7408F7FB" w:rsidR="006837B2" w:rsidRDefault="006837B2" w:rsidP="006837B2">
      <w:pPr>
        <w:rPr>
          <w:rFonts w:ascii="Calibri" w:hAnsi="Calibri"/>
          <w:color w:val="0000FF"/>
        </w:rPr>
      </w:pPr>
    </w:p>
    <w:p w14:paraId="3B2F1CFE" w14:textId="48A716B5" w:rsidR="006837B2" w:rsidRDefault="006837B2" w:rsidP="006837B2">
      <w:pPr>
        <w:rPr>
          <w:rFonts w:ascii="Calibri" w:hAnsi="Calibri"/>
          <w:color w:val="0000FF"/>
        </w:rPr>
      </w:pPr>
    </w:p>
    <w:p w14:paraId="762BEDED" w14:textId="599EE6AF" w:rsidR="00F86571" w:rsidRDefault="006837B2" w:rsidP="006837B2">
      <w:pPr>
        <w:rPr>
          <w:rFonts w:ascii="Calibri" w:hAnsi="Calibri"/>
          <w:color w:val="0000FF"/>
        </w:rPr>
      </w:pPr>
      <w:r>
        <w:rPr>
          <w:rFonts w:ascii="Calibri" w:hAnsi="Calibri"/>
          <w:color w:val="0000FF"/>
        </w:rPr>
        <w:tab/>
      </w:r>
      <w:r>
        <w:rPr>
          <w:rFonts w:ascii="Calibri" w:hAnsi="Calibri"/>
          <w:color w:val="0000FF"/>
        </w:rPr>
        <w:tab/>
      </w:r>
    </w:p>
    <w:p w14:paraId="0E539775" w14:textId="029EE04E" w:rsidR="002B06BD" w:rsidRDefault="002B06BD" w:rsidP="002E2177">
      <w:pPr>
        <w:ind w:left="432" w:hanging="432"/>
        <w:rPr>
          <w:b/>
          <w:color w:val="0000FF"/>
        </w:rPr>
      </w:pPr>
    </w:p>
    <w:p w14:paraId="7D4C66FB" w14:textId="77777777" w:rsidR="00140F1E" w:rsidRDefault="00140F1E" w:rsidP="004922E4">
      <w:pPr>
        <w:ind w:right="140"/>
        <w:rPr>
          <w:b/>
          <w:bCs/>
          <w:color w:val="0000FF"/>
        </w:rPr>
      </w:pPr>
    </w:p>
    <w:p w14:paraId="771795F4" w14:textId="77777777" w:rsidR="00140F1E" w:rsidRDefault="00140F1E" w:rsidP="004922E4">
      <w:pPr>
        <w:ind w:right="140"/>
        <w:rPr>
          <w:b/>
          <w:bCs/>
          <w:color w:val="0000FF"/>
        </w:rPr>
      </w:pPr>
    </w:p>
    <w:p w14:paraId="5EE0ABB2" w14:textId="77777777" w:rsidR="00140F1E" w:rsidRDefault="00140F1E" w:rsidP="004922E4">
      <w:pPr>
        <w:ind w:right="140"/>
        <w:rPr>
          <w:b/>
          <w:bCs/>
          <w:color w:val="0000FF"/>
        </w:rPr>
      </w:pPr>
    </w:p>
    <w:p w14:paraId="6C27C7D1" w14:textId="77777777" w:rsidR="004922E4" w:rsidRPr="004922E4" w:rsidRDefault="004922E4" w:rsidP="004922E4">
      <w:pPr>
        <w:ind w:right="140"/>
        <w:rPr>
          <w:b/>
          <w:iCs/>
        </w:rPr>
      </w:pPr>
      <w:r>
        <w:rPr>
          <w:b/>
          <w:bCs/>
          <w:color w:val="0000FF"/>
        </w:rPr>
        <w:lastRenderedPageBreak/>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4D299C4E" w14:textId="77777777" w:rsidR="004922E4" w:rsidRDefault="004922E4" w:rsidP="002E2177">
      <w:pPr>
        <w:ind w:left="432" w:hanging="432"/>
        <w:rPr>
          <w:b/>
          <w:color w:val="0000FF"/>
        </w:rPr>
      </w:pPr>
    </w:p>
    <w:p w14:paraId="505E2E15" w14:textId="77777777" w:rsidR="00676BD4" w:rsidRDefault="00676BD4" w:rsidP="002E2177">
      <w:pPr>
        <w:ind w:left="432" w:hanging="432"/>
        <w:rPr>
          <w:b/>
          <w:color w:val="0000FF"/>
        </w:rPr>
      </w:pPr>
    </w:p>
    <w:p w14:paraId="481ABBFD" w14:textId="77777777" w:rsidR="00676BD4" w:rsidRDefault="00C41794" w:rsidP="00E873E4">
      <w:pPr>
        <w:rPr>
          <w:b/>
          <w:color w:val="0000FF"/>
        </w:rPr>
      </w:pPr>
      <w:r>
        <w:rPr>
          <w:b/>
          <w:color w:val="0000FF"/>
        </w:rPr>
        <w:t>**</w:t>
      </w:r>
      <w:r w:rsidRPr="00E873E4">
        <w:rPr>
          <w:b/>
          <w:color w:val="0000FF"/>
          <w:highlight w:val="green"/>
        </w:rPr>
        <w:t xml:space="preserve">RESPOND TO ONLY ONE SECTION </w:t>
      </w:r>
      <w:r w:rsidR="004E7215" w:rsidRPr="00E873E4">
        <w:rPr>
          <w:b/>
          <w:color w:val="0000FF"/>
          <w:highlight w:val="green"/>
        </w:rPr>
        <w:t>BELOW -</w:t>
      </w:r>
      <w:r w:rsidRPr="00E873E4">
        <w:rPr>
          <w:b/>
          <w:color w:val="0000FF"/>
          <w:highlight w:val="green"/>
        </w:rPr>
        <w:t xml:space="preserve">EITHER 1a.2, 1a.3 or 1a.4) </w:t>
      </w:r>
      <w:r w:rsidR="00AB4ECE" w:rsidRPr="00E873E4">
        <w:rPr>
          <w:b/>
          <w:color w:val="0000FF"/>
          <w:highlight w:val="green"/>
        </w:rPr>
        <w:t>**</w:t>
      </w:r>
    </w:p>
    <w:p w14:paraId="44AAA304" w14:textId="77777777" w:rsidR="00676BD4" w:rsidRDefault="00676BD4" w:rsidP="002E2177">
      <w:pPr>
        <w:ind w:left="432" w:hanging="432"/>
        <w:rPr>
          <w:b/>
          <w:color w:val="0000FF"/>
        </w:rPr>
      </w:pPr>
    </w:p>
    <w:p w14:paraId="613C9C94" w14:textId="77777777"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7EEE91F7" w14:textId="77777777" w:rsidR="000C2C66" w:rsidRPr="00DE185D" w:rsidRDefault="000C2C66" w:rsidP="000C2C66">
      <w:pPr>
        <w:ind w:left="0" w:firstLine="0"/>
        <w:rPr>
          <w:rFonts w:eastAsia="Times New Roman" w:cs="Times New Roman"/>
          <w:color w:val="000000"/>
        </w:rPr>
      </w:pPr>
      <w:r w:rsidRPr="00DE185D">
        <w:rPr>
          <w:rFonts w:cs="Calibri"/>
          <w:color w:val="000000"/>
        </w:rPr>
        <w:t xml:space="preserve">O'Grady NP, Alexander M, Burns LA, Dellinger PE, Garland J, </w:t>
      </w:r>
      <w:r w:rsidRPr="00DE185D">
        <w:rPr>
          <w:rFonts w:eastAsia="Times New Roman" w:cs="Times New Roman"/>
          <w:color w:val="000000"/>
        </w:rPr>
        <w:t xml:space="preserve">et al. Guidelines for the prevention of intravascular catheter-related infections. Available at </w:t>
      </w:r>
      <w:hyperlink r:id="rId15" w:history="1">
        <w:r w:rsidRPr="00DE185D">
          <w:rPr>
            <w:rStyle w:val="Hyperlink"/>
            <w:rFonts w:eastAsia="Times New Roman" w:cs="Times New Roman"/>
          </w:rPr>
          <w:t>http://www.cdc.gov/hicpac/pdf/guidelines/bsi-guidelines-2011.pdf</w:t>
        </w:r>
      </w:hyperlink>
      <w:r w:rsidRPr="00DE185D">
        <w:rPr>
          <w:rFonts w:eastAsia="Times New Roman" w:cs="Times New Roman"/>
          <w:color w:val="000000"/>
        </w:rPr>
        <w:t>.  Accessed 3/14/19</w:t>
      </w:r>
    </w:p>
    <w:p w14:paraId="2162B3EF" w14:textId="77777777" w:rsidR="000C2C66" w:rsidRDefault="000C2C66" w:rsidP="000C2C66">
      <w:pPr>
        <w:pStyle w:val="Default"/>
        <w:spacing w:after="170"/>
        <w:rPr>
          <w:sz w:val="23"/>
          <w:szCs w:val="23"/>
        </w:rPr>
      </w:pPr>
      <w:r w:rsidRPr="00DE185D">
        <w:rPr>
          <w:sz w:val="23"/>
          <w:szCs w:val="23"/>
        </w:rPr>
        <w:t>See Guideline pages 9-</w:t>
      </w:r>
      <w:r w:rsidRPr="00504297">
        <w:rPr>
          <w:sz w:val="23"/>
          <w:szCs w:val="23"/>
        </w:rPr>
        <w:t>19</w:t>
      </w:r>
    </w:p>
    <w:p w14:paraId="4764AAA4" w14:textId="77777777" w:rsidR="000C2C66" w:rsidRDefault="000C2C66" w:rsidP="000C2C66">
      <w:pPr>
        <w:pStyle w:val="Default"/>
        <w:rPr>
          <w:b/>
          <w:sz w:val="23"/>
          <w:szCs w:val="23"/>
        </w:rPr>
      </w:pPr>
      <w:r>
        <w:rPr>
          <w:b/>
          <w:sz w:val="23"/>
          <w:szCs w:val="23"/>
        </w:rPr>
        <w:t>Central Venous Catheters</w:t>
      </w:r>
    </w:p>
    <w:p w14:paraId="5A969D94" w14:textId="77777777" w:rsidR="000C2C66" w:rsidRDefault="000C2C66" w:rsidP="000C2C66">
      <w:pPr>
        <w:pStyle w:val="Default"/>
        <w:rPr>
          <w:b/>
          <w:sz w:val="23"/>
          <w:szCs w:val="23"/>
        </w:rPr>
      </w:pPr>
    </w:p>
    <w:p w14:paraId="629D8D65" w14:textId="1AFED180" w:rsidR="000C2C66" w:rsidRDefault="000C2C66" w:rsidP="000C2C66">
      <w:pPr>
        <w:pStyle w:val="Default"/>
        <w:rPr>
          <w:sz w:val="23"/>
          <w:szCs w:val="23"/>
        </w:rPr>
      </w:pPr>
      <w:r>
        <w:rPr>
          <w:sz w:val="23"/>
          <w:szCs w:val="23"/>
        </w:rPr>
        <w:t xml:space="preserve">10. Promptly remove any intravascular catheter that is no longer essential. </w:t>
      </w:r>
      <w:r w:rsidR="00C750D1">
        <w:rPr>
          <w:sz w:val="23"/>
          <w:szCs w:val="23"/>
        </w:rPr>
        <w:t>(</w:t>
      </w:r>
      <w:r>
        <w:rPr>
          <w:sz w:val="23"/>
          <w:szCs w:val="23"/>
        </w:rPr>
        <w:t>Category IA</w:t>
      </w:r>
      <w:r w:rsidR="00C750D1">
        <w:rPr>
          <w:sz w:val="23"/>
          <w:szCs w:val="23"/>
        </w:rPr>
        <w:t>)</w:t>
      </w:r>
    </w:p>
    <w:p w14:paraId="51465706" w14:textId="77777777" w:rsidR="000C2C66" w:rsidRDefault="000C2C66" w:rsidP="000C2C66">
      <w:pPr>
        <w:pStyle w:val="Default"/>
        <w:spacing w:after="170"/>
        <w:rPr>
          <w:sz w:val="23"/>
          <w:szCs w:val="23"/>
        </w:rPr>
      </w:pPr>
    </w:p>
    <w:p w14:paraId="12855A46" w14:textId="77777777" w:rsidR="000C2C66" w:rsidRDefault="000C2C66" w:rsidP="000C2C66">
      <w:pPr>
        <w:pStyle w:val="Default"/>
        <w:spacing w:after="170"/>
        <w:rPr>
          <w:b/>
          <w:bCs/>
          <w:sz w:val="23"/>
          <w:szCs w:val="23"/>
        </w:rPr>
      </w:pPr>
      <w:r>
        <w:rPr>
          <w:b/>
          <w:bCs/>
          <w:sz w:val="23"/>
          <w:szCs w:val="23"/>
        </w:rPr>
        <w:t xml:space="preserve">Hand Hygiene and Aseptic Technique </w:t>
      </w:r>
    </w:p>
    <w:p w14:paraId="20E4E1C9" w14:textId="6231EFAD" w:rsidR="000C2C66" w:rsidRDefault="000C2C66" w:rsidP="000C2C66">
      <w:pPr>
        <w:pStyle w:val="Default"/>
        <w:spacing w:after="170"/>
        <w:rPr>
          <w:sz w:val="23"/>
          <w:szCs w:val="23"/>
        </w:rPr>
      </w:pPr>
      <w:r>
        <w:rPr>
          <w:sz w:val="23"/>
          <w:szCs w:val="23"/>
        </w:rPr>
        <w:t xml:space="preserve">1. Perform hand hygiene procedures, either by washing hands with conventional soap and water or with alcohol-based hand rubs (ABHR). Hand hygiene should be performed before and after palpating catheter insertion sites as well as before and after inserting, replacing, accessing, repairing, or dressing an intravascular catheter. Palpation of the insertion site should not be performed after the application of antiseptic, unless aseptic technique is maintained. </w:t>
      </w:r>
      <w:r w:rsidR="00C750D1">
        <w:rPr>
          <w:sz w:val="23"/>
          <w:szCs w:val="23"/>
        </w:rPr>
        <w:t>(</w:t>
      </w:r>
      <w:r>
        <w:rPr>
          <w:sz w:val="23"/>
          <w:szCs w:val="23"/>
        </w:rPr>
        <w:t>Category IB</w:t>
      </w:r>
      <w:r w:rsidR="00C750D1">
        <w:rPr>
          <w:sz w:val="23"/>
          <w:szCs w:val="23"/>
        </w:rPr>
        <w:t>)</w:t>
      </w:r>
      <w:r>
        <w:rPr>
          <w:sz w:val="23"/>
          <w:szCs w:val="23"/>
        </w:rPr>
        <w:t xml:space="preserve"> </w:t>
      </w:r>
    </w:p>
    <w:p w14:paraId="07B691E6" w14:textId="6CB1A9F1" w:rsidR="000C2C66" w:rsidRDefault="000C2C66" w:rsidP="000C2C66">
      <w:pPr>
        <w:pStyle w:val="Default"/>
        <w:spacing w:after="170"/>
        <w:rPr>
          <w:sz w:val="23"/>
          <w:szCs w:val="23"/>
        </w:rPr>
      </w:pPr>
      <w:r>
        <w:rPr>
          <w:sz w:val="23"/>
          <w:szCs w:val="23"/>
        </w:rPr>
        <w:t xml:space="preserve">2. Maintain aseptic technique for the insertion and care of intravascular catheters. </w:t>
      </w:r>
      <w:r w:rsidR="00C750D1">
        <w:rPr>
          <w:sz w:val="23"/>
          <w:szCs w:val="23"/>
        </w:rPr>
        <w:t>(</w:t>
      </w:r>
      <w:r>
        <w:rPr>
          <w:sz w:val="23"/>
          <w:szCs w:val="23"/>
        </w:rPr>
        <w:t>Category IB</w:t>
      </w:r>
      <w:r w:rsidR="00C750D1">
        <w:rPr>
          <w:sz w:val="23"/>
          <w:szCs w:val="23"/>
        </w:rPr>
        <w:t>)</w:t>
      </w:r>
      <w:r>
        <w:rPr>
          <w:sz w:val="23"/>
          <w:szCs w:val="23"/>
        </w:rPr>
        <w:t xml:space="preserve"> </w:t>
      </w:r>
    </w:p>
    <w:p w14:paraId="0207C8AD" w14:textId="0D89BBFA" w:rsidR="000C2C66" w:rsidRDefault="000C2C66" w:rsidP="000C2C66">
      <w:pPr>
        <w:pStyle w:val="Default"/>
        <w:spacing w:after="170"/>
        <w:rPr>
          <w:sz w:val="23"/>
          <w:szCs w:val="23"/>
        </w:rPr>
      </w:pPr>
      <w:r>
        <w:rPr>
          <w:sz w:val="23"/>
          <w:szCs w:val="23"/>
        </w:rPr>
        <w:t xml:space="preserve">3. Wear clean gloves, rather than sterile gloves, for the insertion of peripheral intravascular catheters, if the access site is not touched after the application of skin antiseptics. </w:t>
      </w:r>
      <w:r w:rsidR="00C750D1">
        <w:rPr>
          <w:sz w:val="23"/>
          <w:szCs w:val="23"/>
        </w:rPr>
        <w:t>(</w:t>
      </w:r>
      <w:r>
        <w:rPr>
          <w:sz w:val="23"/>
          <w:szCs w:val="23"/>
        </w:rPr>
        <w:t>Category IC</w:t>
      </w:r>
      <w:r w:rsidR="00C750D1">
        <w:rPr>
          <w:sz w:val="23"/>
          <w:szCs w:val="23"/>
        </w:rPr>
        <w:t>)</w:t>
      </w:r>
      <w:r>
        <w:rPr>
          <w:sz w:val="23"/>
          <w:szCs w:val="23"/>
        </w:rPr>
        <w:t xml:space="preserve"> </w:t>
      </w:r>
    </w:p>
    <w:p w14:paraId="7FAA3716" w14:textId="580D7971" w:rsidR="000C2C66" w:rsidRDefault="000C2C66" w:rsidP="000C2C66">
      <w:pPr>
        <w:pStyle w:val="Default"/>
        <w:spacing w:after="170"/>
        <w:rPr>
          <w:sz w:val="23"/>
          <w:szCs w:val="23"/>
        </w:rPr>
      </w:pPr>
      <w:r>
        <w:rPr>
          <w:sz w:val="23"/>
          <w:szCs w:val="23"/>
        </w:rPr>
        <w:t xml:space="preserve">4. Sterile gloves should be worn for the insertion of arterial, central, and midline catheters. </w:t>
      </w:r>
      <w:r w:rsidR="00C750D1">
        <w:rPr>
          <w:sz w:val="23"/>
          <w:szCs w:val="23"/>
        </w:rPr>
        <w:t>(Category IA)</w:t>
      </w:r>
    </w:p>
    <w:p w14:paraId="40104792" w14:textId="3D9CD45B" w:rsidR="000C2C66" w:rsidRDefault="000C2C66" w:rsidP="000C2C66">
      <w:pPr>
        <w:pStyle w:val="Default"/>
        <w:spacing w:after="170"/>
        <w:rPr>
          <w:sz w:val="23"/>
          <w:szCs w:val="23"/>
        </w:rPr>
      </w:pPr>
      <w:r>
        <w:rPr>
          <w:sz w:val="23"/>
          <w:szCs w:val="23"/>
        </w:rPr>
        <w:t xml:space="preserve">5. Use new sterile gloves before handling the new catheter when guidewire exchanges are performed. </w:t>
      </w:r>
      <w:r w:rsidR="00C750D1">
        <w:rPr>
          <w:sz w:val="23"/>
          <w:szCs w:val="23"/>
        </w:rPr>
        <w:t>(</w:t>
      </w:r>
      <w:r>
        <w:rPr>
          <w:sz w:val="23"/>
          <w:szCs w:val="23"/>
        </w:rPr>
        <w:t>Category II</w:t>
      </w:r>
      <w:r w:rsidR="00C750D1">
        <w:rPr>
          <w:sz w:val="23"/>
          <w:szCs w:val="23"/>
        </w:rPr>
        <w:t>)</w:t>
      </w:r>
      <w:r>
        <w:rPr>
          <w:sz w:val="23"/>
          <w:szCs w:val="23"/>
        </w:rPr>
        <w:t xml:space="preserve"> </w:t>
      </w:r>
    </w:p>
    <w:p w14:paraId="63537313" w14:textId="7FE1BE70" w:rsidR="000C2C66" w:rsidRDefault="000C2C66" w:rsidP="000C2C66">
      <w:pPr>
        <w:pStyle w:val="Default"/>
        <w:rPr>
          <w:sz w:val="23"/>
          <w:szCs w:val="23"/>
        </w:rPr>
      </w:pPr>
      <w:r>
        <w:rPr>
          <w:sz w:val="23"/>
          <w:szCs w:val="23"/>
        </w:rPr>
        <w:t xml:space="preserve">6. Wear either clean or sterile gloves when changing the dressing on intravascular catheters. </w:t>
      </w:r>
      <w:r w:rsidR="00C750D1">
        <w:rPr>
          <w:sz w:val="23"/>
          <w:szCs w:val="23"/>
        </w:rPr>
        <w:t>(</w:t>
      </w:r>
      <w:r>
        <w:rPr>
          <w:sz w:val="23"/>
          <w:szCs w:val="23"/>
        </w:rPr>
        <w:t>Category IC</w:t>
      </w:r>
      <w:r w:rsidR="00C750D1">
        <w:rPr>
          <w:sz w:val="23"/>
          <w:szCs w:val="23"/>
        </w:rPr>
        <w:t>)</w:t>
      </w:r>
      <w:r>
        <w:rPr>
          <w:sz w:val="23"/>
          <w:szCs w:val="23"/>
        </w:rPr>
        <w:t xml:space="preserve"> </w:t>
      </w:r>
    </w:p>
    <w:p w14:paraId="13729219" w14:textId="77777777" w:rsidR="000C2C66" w:rsidRDefault="000C2C66" w:rsidP="000C2C66">
      <w:pPr>
        <w:pStyle w:val="Default"/>
        <w:rPr>
          <w:sz w:val="23"/>
          <w:szCs w:val="23"/>
        </w:rPr>
      </w:pPr>
    </w:p>
    <w:p w14:paraId="2D5B75AA" w14:textId="77777777" w:rsidR="000C2C66" w:rsidRDefault="000C2C66" w:rsidP="000C2C66">
      <w:pPr>
        <w:pStyle w:val="Default"/>
        <w:rPr>
          <w:b/>
          <w:bCs/>
          <w:sz w:val="23"/>
          <w:szCs w:val="23"/>
        </w:rPr>
      </w:pPr>
      <w:r>
        <w:rPr>
          <w:b/>
          <w:bCs/>
          <w:sz w:val="23"/>
          <w:szCs w:val="23"/>
        </w:rPr>
        <w:t xml:space="preserve">Maximal Sterile Barrier Precautions </w:t>
      </w:r>
    </w:p>
    <w:p w14:paraId="28BDD785" w14:textId="77777777" w:rsidR="000C2C66" w:rsidRDefault="000C2C66" w:rsidP="000C2C66">
      <w:pPr>
        <w:pStyle w:val="Default"/>
        <w:rPr>
          <w:sz w:val="23"/>
          <w:szCs w:val="23"/>
        </w:rPr>
      </w:pPr>
    </w:p>
    <w:p w14:paraId="1601DE37" w14:textId="25C196C1" w:rsidR="000C2C66" w:rsidRDefault="000C2C66" w:rsidP="000C2C66">
      <w:pPr>
        <w:pStyle w:val="Default"/>
        <w:spacing w:after="169"/>
        <w:rPr>
          <w:sz w:val="23"/>
          <w:szCs w:val="23"/>
        </w:rPr>
      </w:pPr>
      <w:r>
        <w:rPr>
          <w:sz w:val="23"/>
          <w:szCs w:val="23"/>
        </w:rPr>
        <w:t xml:space="preserve">1. Use maximal sterile barrier precautions, including the use of a cap, mask, sterile gown, sterile gloves, and a sterile full body drape, for the insertion of CVCs, PICCs, or guidewire exchange. </w:t>
      </w:r>
      <w:r w:rsidR="00C750D1">
        <w:rPr>
          <w:sz w:val="23"/>
          <w:szCs w:val="23"/>
        </w:rPr>
        <w:t>(</w:t>
      </w:r>
      <w:r>
        <w:rPr>
          <w:sz w:val="23"/>
          <w:szCs w:val="23"/>
        </w:rPr>
        <w:t>Category IB</w:t>
      </w:r>
      <w:r w:rsidR="00C750D1">
        <w:rPr>
          <w:sz w:val="23"/>
          <w:szCs w:val="23"/>
        </w:rPr>
        <w:t>)</w:t>
      </w:r>
      <w:r>
        <w:rPr>
          <w:sz w:val="23"/>
          <w:szCs w:val="23"/>
        </w:rPr>
        <w:t xml:space="preserve"> </w:t>
      </w:r>
    </w:p>
    <w:p w14:paraId="60B68FBD" w14:textId="3BADC83E" w:rsidR="000C2C66" w:rsidRDefault="000C2C66" w:rsidP="000C2C66">
      <w:pPr>
        <w:pStyle w:val="Default"/>
        <w:rPr>
          <w:sz w:val="23"/>
          <w:szCs w:val="23"/>
        </w:rPr>
      </w:pPr>
      <w:r>
        <w:rPr>
          <w:sz w:val="23"/>
          <w:szCs w:val="23"/>
        </w:rPr>
        <w:t xml:space="preserve">2. Use a sterile sleeve to protect pulmonary artery catheters during insertion. </w:t>
      </w:r>
      <w:r w:rsidR="00C750D1">
        <w:rPr>
          <w:sz w:val="23"/>
          <w:szCs w:val="23"/>
        </w:rPr>
        <w:t>(</w:t>
      </w:r>
      <w:r>
        <w:rPr>
          <w:sz w:val="23"/>
          <w:szCs w:val="23"/>
        </w:rPr>
        <w:t>Category IB</w:t>
      </w:r>
      <w:r w:rsidR="00C750D1">
        <w:rPr>
          <w:sz w:val="23"/>
          <w:szCs w:val="23"/>
        </w:rPr>
        <w:t>)</w:t>
      </w:r>
      <w:r>
        <w:rPr>
          <w:sz w:val="23"/>
          <w:szCs w:val="23"/>
        </w:rPr>
        <w:t xml:space="preserve"> </w:t>
      </w:r>
    </w:p>
    <w:p w14:paraId="7DF93DFF" w14:textId="3B3CCC58" w:rsidR="000C2C66" w:rsidRDefault="000C2C66" w:rsidP="000C2C66">
      <w:pPr>
        <w:pStyle w:val="Default"/>
        <w:spacing w:after="169"/>
        <w:rPr>
          <w:sz w:val="23"/>
          <w:szCs w:val="23"/>
        </w:rPr>
      </w:pPr>
      <w:r>
        <w:rPr>
          <w:sz w:val="23"/>
          <w:szCs w:val="23"/>
        </w:rPr>
        <w:lastRenderedPageBreak/>
        <w:t xml:space="preserve">1. Prepare clean skin with an antiseptic (70% alcohol, tincture of iodine, or alcoholic chlorhexidine gluconate solution) before peripheral venous catheter insertion. </w:t>
      </w:r>
      <w:r w:rsidR="00C750D1">
        <w:rPr>
          <w:sz w:val="23"/>
          <w:szCs w:val="23"/>
        </w:rPr>
        <w:t>(</w:t>
      </w:r>
      <w:r>
        <w:rPr>
          <w:sz w:val="23"/>
          <w:szCs w:val="23"/>
        </w:rPr>
        <w:t>Category IB</w:t>
      </w:r>
      <w:r w:rsidR="00C750D1">
        <w:rPr>
          <w:sz w:val="23"/>
          <w:szCs w:val="23"/>
        </w:rPr>
        <w:t>)</w:t>
      </w:r>
      <w:r>
        <w:rPr>
          <w:sz w:val="23"/>
          <w:szCs w:val="23"/>
        </w:rPr>
        <w:t xml:space="preserve"> </w:t>
      </w:r>
    </w:p>
    <w:p w14:paraId="2739C706" w14:textId="17CB91D0" w:rsidR="000C2C66" w:rsidRDefault="000C2C66" w:rsidP="00DE185D">
      <w:pPr>
        <w:pStyle w:val="Default"/>
        <w:rPr>
          <w:b/>
          <w:bCs/>
          <w:sz w:val="23"/>
          <w:szCs w:val="23"/>
        </w:rPr>
      </w:pPr>
      <w:r>
        <w:rPr>
          <w:b/>
          <w:bCs/>
          <w:sz w:val="23"/>
          <w:szCs w:val="23"/>
        </w:rPr>
        <w:t xml:space="preserve">Skin Preparation </w:t>
      </w:r>
    </w:p>
    <w:p w14:paraId="77A594E0" w14:textId="77777777" w:rsidR="000C2C66" w:rsidRDefault="000C2C66" w:rsidP="00DE185D">
      <w:pPr>
        <w:pStyle w:val="Default"/>
        <w:rPr>
          <w:sz w:val="23"/>
          <w:szCs w:val="23"/>
        </w:rPr>
      </w:pPr>
    </w:p>
    <w:p w14:paraId="5DCC5400" w14:textId="4A7AE07E" w:rsidR="000C2C66" w:rsidRDefault="000C2C66" w:rsidP="000C2C66">
      <w:pPr>
        <w:pStyle w:val="Default"/>
        <w:spacing w:after="169"/>
        <w:rPr>
          <w:sz w:val="23"/>
          <w:szCs w:val="23"/>
        </w:rPr>
      </w:pPr>
      <w:r>
        <w:rPr>
          <w:sz w:val="23"/>
          <w:szCs w:val="23"/>
        </w:rPr>
        <w:t>2. Prepare clean skin with a &gt;0.5% chlorhexidine preparation with alcohol before central venous catheter and peripheral arterial catheter insertion and during dressing changes. If there is a contraindication to chlorhexidine, tincture of iodine, an iodophor, or 70% alcoh</w:t>
      </w:r>
      <w:r w:rsidR="00C750D1">
        <w:rPr>
          <w:sz w:val="23"/>
          <w:szCs w:val="23"/>
        </w:rPr>
        <w:t>ol can be used as alternatives</w:t>
      </w:r>
      <w:r>
        <w:rPr>
          <w:sz w:val="23"/>
          <w:szCs w:val="23"/>
        </w:rPr>
        <w:t xml:space="preserve">. </w:t>
      </w:r>
      <w:r w:rsidR="00C750D1">
        <w:rPr>
          <w:sz w:val="23"/>
          <w:szCs w:val="23"/>
        </w:rPr>
        <w:t>(</w:t>
      </w:r>
      <w:r>
        <w:rPr>
          <w:sz w:val="23"/>
          <w:szCs w:val="23"/>
        </w:rPr>
        <w:t>Category IA</w:t>
      </w:r>
      <w:r w:rsidR="00C750D1">
        <w:rPr>
          <w:sz w:val="23"/>
          <w:szCs w:val="23"/>
        </w:rPr>
        <w:t>)</w:t>
      </w:r>
      <w:r>
        <w:rPr>
          <w:sz w:val="23"/>
          <w:szCs w:val="23"/>
        </w:rPr>
        <w:t xml:space="preserve"> </w:t>
      </w:r>
    </w:p>
    <w:p w14:paraId="02BF614A" w14:textId="1E0C16FA" w:rsidR="000C2C66" w:rsidRDefault="000C2C66" w:rsidP="000C2C66">
      <w:pPr>
        <w:pStyle w:val="Default"/>
        <w:spacing w:after="169"/>
        <w:rPr>
          <w:sz w:val="23"/>
          <w:szCs w:val="23"/>
        </w:rPr>
      </w:pPr>
      <w:r>
        <w:rPr>
          <w:sz w:val="23"/>
          <w:szCs w:val="23"/>
        </w:rPr>
        <w:t xml:space="preserve">3. No comparison has been made between using chlorhexidine preparations with alcohol and povidone-iodine in alcohol to prepare clean skin. </w:t>
      </w:r>
      <w:r w:rsidR="00C750D1">
        <w:rPr>
          <w:sz w:val="23"/>
          <w:szCs w:val="23"/>
        </w:rPr>
        <w:t>(</w:t>
      </w:r>
      <w:r>
        <w:rPr>
          <w:sz w:val="23"/>
          <w:szCs w:val="23"/>
        </w:rPr>
        <w:t>Unresolved issue</w:t>
      </w:r>
      <w:r w:rsidR="00C750D1">
        <w:rPr>
          <w:sz w:val="23"/>
          <w:szCs w:val="23"/>
        </w:rPr>
        <w:t>)</w:t>
      </w:r>
    </w:p>
    <w:p w14:paraId="03040CD5" w14:textId="284E4FAD" w:rsidR="000C2C66" w:rsidRDefault="000C2C66" w:rsidP="000C2C66">
      <w:pPr>
        <w:pStyle w:val="Default"/>
        <w:spacing w:after="169"/>
        <w:rPr>
          <w:sz w:val="23"/>
          <w:szCs w:val="23"/>
        </w:rPr>
      </w:pPr>
      <w:r>
        <w:rPr>
          <w:sz w:val="23"/>
          <w:szCs w:val="23"/>
        </w:rPr>
        <w:t xml:space="preserve">4. No recommendation can be made for the safety or efficacy of chlorhexidine in infants aged &lt;2 months. </w:t>
      </w:r>
      <w:r w:rsidR="00C750D1">
        <w:rPr>
          <w:sz w:val="23"/>
          <w:szCs w:val="23"/>
        </w:rPr>
        <w:t>(</w:t>
      </w:r>
      <w:r>
        <w:rPr>
          <w:sz w:val="23"/>
          <w:szCs w:val="23"/>
        </w:rPr>
        <w:t>Unresolved issue</w:t>
      </w:r>
      <w:r w:rsidR="00C750D1">
        <w:rPr>
          <w:sz w:val="23"/>
          <w:szCs w:val="23"/>
        </w:rPr>
        <w:t>)</w:t>
      </w:r>
      <w:r>
        <w:rPr>
          <w:sz w:val="23"/>
          <w:szCs w:val="23"/>
        </w:rPr>
        <w:t xml:space="preserve"> </w:t>
      </w:r>
    </w:p>
    <w:p w14:paraId="4D6CFCA8" w14:textId="117F14A8" w:rsidR="000C2C66" w:rsidRDefault="000C2C66" w:rsidP="000C2C66">
      <w:pPr>
        <w:pStyle w:val="Default"/>
        <w:rPr>
          <w:sz w:val="23"/>
          <w:szCs w:val="23"/>
        </w:rPr>
      </w:pPr>
      <w:r>
        <w:rPr>
          <w:sz w:val="23"/>
          <w:szCs w:val="23"/>
        </w:rPr>
        <w:t xml:space="preserve">5. Antiseptics should be allowed to dry according to the manufacturer’s recommendation prior to placing the catheter. </w:t>
      </w:r>
      <w:r w:rsidR="00C750D1">
        <w:rPr>
          <w:sz w:val="23"/>
          <w:szCs w:val="23"/>
        </w:rPr>
        <w:t>(</w:t>
      </w:r>
      <w:r>
        <w:rPr>
          <w:sz w:val="23"/>
          <w:szCs w:val="23"/>
        </w:rPr>
        <w:t>Category IB</w:t>
      </w:r>
      <w:r w:rsidR="00C750D1">
        <w:rPr>
          <w:sz w:val="23"/>
          <w:szCs w:val="23"/>
        </w:rPr>
        <w:t>)</w:t>
      </w:r>
      <w:r>
        <w:rPr>
          <w:sz w:val="23"/>
          <w:szCs w:val="23"/>
        </w:rPr>
        <w:t xml:space="preserve"> </w:t>
      </w:r>
    </w:p>
    <w:p w14:paraId="6925891F" w14:textId="77777777" w:rsidR="000C2C66" w:rsidRDefault="000C2C66" w:rsidP="000C2C66">
      <w:pPr>
        <w:pStyle w:val="Default"/>
        <w:rPr>
          <w:sz w:val="23"/>
          <w:szCs w:val="23"/>
        </w:rPr>
      </w:pPr>
    </w:p>
    <w:p w14:paraId="600A697D" w14:textId="77777777" w:rsidR="000C2C66" w:rsidRDefault="000C2C66" w:rsidP="000C2C66">
      <w:pPr>
        <w:pStyle w:val="Default"/>
        <w:rPr>
          <w:b/>
          <w:bCs/>
          <w:sz w:val="23"/>
          <w:szCs w:val="23"/>
        </w:rPr>
      </w:pPr>
      <w:r w:rsidRPr="001A021B">
        <w:rPr>
          <w:b/>
          <w:bCs/>
          <w:sz w:val="23"/>
          <w:szCs w:val="23"/>
        </w:rPr>
        <w:t>Catheter Site Dressing Regimens</w:t>
      </w:r>
    </w:p>
    <w:p w14:paraId="0A7DCA96" w14:textId="77777777" w:rsidR="000C2C66" w:rsidRDefault="000C2C66" w:rsidP="000C2C66">
      <w:pPr>
        <w:pStyle w:val="Default"/>
        <w:rPr>
          <w:sz w:val="23"/>
          <w:szCs w:val="23"/>
        </w:rPr>
      </w:pPr>
    </w:p>
    <w:p w14:paraId="16D19EBB" w14:textId="043164AF" w:rsidR="000C2C66" w:rsidRPr="00DE185D" w:rsidRDefault="000C2C66" w:rsidP="000C2C66">
      <w:pPr>
        <w:pStyle w:val="Default"/>
        <w:rPr>
          <w:color w:val="FF0000"/>
          <w:sz w:val="23"/>
          <w:szCs w:val="23"/>
        </w:rPr>
      </w:pPr>
      <w:r w:rsidRPr="00DE185D">
        <w:rPr>
          <w:color w:val="FF0000"/>
          <w:sz w:val="23"/>
          <w:szCs w:val="23"/>
        </w:rPr>
        <w:t>12. For patients aged 18 years and older: a.</w:t>
      </w:r>
      <w:r w:rsidR="00C750D1" w:rsidRPr="00DE185D">
        <w:rPr>
          <w:color w:val="FF0000"/>
          <w:sz w:val="23"/>
          <w:szCs w:val="23"/>
        </w:rPr>
        <w:t xml:space="preserve"> </w:t>
      </w:r>
      <w:r w:rsidRPr="00DE185D">
        <w:rPr>
          <w:color w:val="FF0000"/>
          <w:sz w:val="23"/>
          <w:szCs w:val="23"/>
        </w:rPr>
        <w:t>Chlorhexidine-impregnated dressings with an FDA-cleared label that specifies a clinical indication for reducing catheter-related bloodstream infection (CRBSI) or catheter-associated bloodstream infection (CABSI) are recommended to protect the insertion site of short-term, non-tunneled central venous catheters. (Category IA).</w:t>
      </w:r>
    </w:p>
    <w:p w14:paraId="02C3354B" w14:textId="77777777" w:rsidR="000C2C66" w:rsidRDefault="000C2C66" w:rsidP="000C2C66">
      <w:pPr>
        <w:pStyle w:val="Default"/>
        <w:rPr>
          <w:sz w:val="23"/>
          <w:szCs w:val="23"/>
        </w:rPr>
      </w:pPr>
    </w:p>
    <w:p w14:paraId="15E02B0E" w14:textId="19A96F23" w:rsidR="000C2C66" w:rsidRDefault="00325C74" w:rsidP="000C2C66">
      <w:pPr>
        <w:pStyle w:val="Default"/>
        <w:rPr>
          <w:sz w:val="23"/>
          <w:szCs w:val="23"/>
        </w:rPr>
      </w:pPr>
      <w:r>
        <w:rPr>
          <w:sz w:val="23"/>
          <w:szCs w:val="23"/>
        </w:rPr>
        <w:t>Definitions of strength of recommendation category:</w:t>
      </w:r>
    </w:p>
    <w:p w14:paraId="53E08364" w14:textId="77777777" w:rsidR="000C2C66" w:rsidRDefault="000C2C66" w:rsidP="000C2C66">
      <w:pPr>
        <w:pStyle w:val="Default"/>
        <w:rPr>
          <w:sz w:val="23"/>
          <w:szCs w:val="23"/>
        </w:rPr>
      </w:pPr>
      <w:r>
        <w:rPr>
          <w:sz w:val="23"/>
          <w:szCs w:val="23"/>
        </w:rPr>
        <w:t xml:space="preserve">Category IA. Strongly recommended for implementation and strongly supported by well-designed experimental, clinical, or epidemiologic studies. </w:t>
      </w:r>
    </w:p>
    <w:p w14:paraId="671D72DC" w14:textId="77777777" w:rsidR="000C2C66" w:rsidRDefault="000C2C66" w:rsidP="000C2C66">
      <w:pPr>
        <w:pStyle w:val="Default"/>
        <w:rPr>
          <w:sz w:val="23"/>
          <w:szCs w:val="23"/>
        </w:rPr>
      </w:pPr>
      <w:r>
        <w:rPr>
          <w:sz w:val="23"/>
          <w:szCs w:val="23"/>
        </w:rPr>
        <w:t xml:space="preserve">Category IB. Strongly recommended for implementation and supported by some experimental, clinical, or epidemiologic studies and a strong theoretical rationale; or an accepted practice (e.g., aseptic technique) supported by limited evidence. </w:t>
      </w:r>
    </w:p>
    <w:p w14:paraId="6FCC5276" w14:textId="77777777" w:rsidR="000C2C66" w:rsidRDefault="000C2C66" w:rsidP="000C2C66">
      <w:pPr>
        <w:pStyle w:val="Default"/>
        <w:rPr>
          <w:sz w:val="23"/>
          <w:szCs w:val="23"/>
        </w:rPr>
      </w:pPr>
      <w:r>
        <w:rPr>
          <w:sz w:val="23"/>
          <w:szCs w:val="23"/>
        </w:rPr>
        <w:t xml:space="preserve">Category IC. Required by state or federal regulations, rules, or standards. </w:t>
      </w:r>
    </w:p>
    <w:p w14:paraId="0C847254" w14:textId="77777777" w:rsidR="000C2C66" w:rsidRDefault="000C2C66" w:rsidP="000C2C66">
      <w:pPr>
        <w:pStyle w:val="Default"/>
        <w:rPr>
          <w:sz w:val="23"/>
          <w:szCs w:val="23"/>
        </w:rPr>
      </w:pPr>
      <w:r>
        <w:rPr>
          <w:sz w:val="23"/>
          <w:szCs w:val="23"/>
        </w:rPr>
        <w:t xml:space="preserve">Category II. Suggested for implementation and supported by suggestive clinical or epidemiologic studies or a theoretical rationale. </w:t>
      </w:r>
    </w:p>
    <w:p w14:paraId="5022C4ED" w14:textId="77777777" w:rsidR="000C2C66" w:rsidRDefault="000C2C66" w:rsidP="000C2C66">
      <w:pPr>
        <w:ind w:left="0" w:firstLine="0"/>
        <w:rPr>
          <w:sz w:val="23"/>
          <w:szCs w:val="23"/>
        </w:rPr>
      </w:pPr>
      <w:r>
        <w:rPr>
          <w:sz w:val="23"/>
          <w:szCs w:val="23"/>
        </w:rPr>
        <w:t>Unresolved issue. Represents an unresolved issue for which evidence is insufficient or no consensus regarding efficacy exists.</w:t>
      </w:r>
    </w:p>
    <w:p w14:paraId="60E98BB7" w14:textId="77777777" w:rsidR="000C2C66" w:rsidRDefault="000C2C66" w:rsidP="000C2C66">
      <w:pPr>
        <w:ind w:left="0" w:firstLine="0"/>
        <w:rPr>
          <w:sz w:val="23"/>
          <w:szCs w:val="23"/>
        </w:rPr>
      </w:pPr>
    </w:p>
    <w:p w14:paraId="6D4FC895" w14:textId="77777777" w:rsidR="00D14F0B" w:rsidRPr="003B1CC5" w:rsidRDefault="00D14F0B" w:rsidP="002E2177">
      <w:pPr>
        <w:ind w:left="0" w:firstLine="0"/>
        <w:rPr>
          <w:iCs/>
        </w:rPr>
      </w:pPr>
    </w:p>
    <w:p w14:paraId="28CEEEC5" w14:textId="77777777" w:rsidR="00676BD4" w:rsidRDefault="00676BD4" w:rsidP="002E2177">
      <w:pPr>
        <w:ind w:left="0" w:firstLine="0"/>
        <w:rPr>
          <w:i/>
          <w:iCs/>
          <w:highlight w:val="green"/>
          <w:u w:val="single"/>
        </w:rPr>
      </w:pPr>
    </w:p>
    <w:p w14:paraId="25AAD21C" w14:textId="77777777"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004D05F8" w14:textId="77777777" w:rsidR="00AD36C7" w:rsidRDefault="00AD36C7" w:rsidP="00AD36C7">
      <w:pPr>
        <w:pStyle w:val="Default"/>
        <w:rPr>
          <w:sz w:val="23"/>
          <w:szCs w:val="23"/>
        </w:rPr>
      </w:pPr>
    </w:p>
    <w:p w14:paraId="25EAB816" w14:textId="77777777" w:rsidR="00AD36C7" w:rsidRDefault="00AD36C7" w:rsidP="002E2177">
      <w:pPr>
        <w:ind w:left="0" w:firstLine="0"/>
        <w:rPr>
          <w:i/>
          <w:iCs/>
        </w:rPr>
      </w:pPr>
    </w:p>
    <w:p w14:paraId="38A4F84A"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w:t>
      </w:r>
      <w:r>
        <w:rPr>
          <w:rFonts w:ascii="Calibri" w:eastAsia="Calibri" w:hAnsi="Calibri" w:cs="Times New Roman"/>
          <w:b/>
        </w:rPr>
        <w:lastRenderedPageBreak/>
        <w:t>explicit, prespecified scientific methods to identify, select, assess, and summarize the findings of similar but separate studies. It may include a quantitative synthesis (meta-analysis), depending on the available data. (IOM)</w:t>
      </w:r>
    </w:p>
    <w:p w14:paraId="2BD5FE02"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4B7E655F"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4B03D4C3"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6D062237"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1F5B8EF8" w14:textId="77777777" w:rsidR="00A9011D" w:rsidRDefault="00A9011D" w:rsidP="002E2177">
      <w:pPr>
        <w:ind w:left="0" w:firstLine="0"/>
        <w:rPr>
          <w:i/>
          <w:iCs/>
        </w:rPr>
      </w:pPr>
    </w:p>
    <w:p w14:paraId="168884A8"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49DD4D26" w14:textId="77777777" w:rsidTr="00F90F82">
        <w:tc>
          <w:tcPr>
            <w:tcW w:w="4068" w:type="dxa"/>
          </w:tcPr>
          <w:p w14:paraId="0E55DC3A" w14:textId="77777777" w:rsidR="00AB4ECE" w:rsidRPr="00AB4ECE" w:rsidRDefault="00AB4ECE" w:rsidP="002E2177">
            <w:pPr>
              <w:ind w:left="0" w:firstLine="0"/>
              <w:rPr>
                <w:b/>
              </w:rPr>
            </w:pPr>
            <w:r w:rsidRPr="00AB4ECE">
              <w:rPr>
                <w:b/>
              </w:rPr>
              <w:t>Source of Systematic Review:</w:t>
            </w:r>
          </w:p>
          <w:p w14:paraId="0EEE6395" w14:textId="77777777" w:rsidR="00AB4ECE" w:rsidRPr="00AB4ECE" w:rsidRDefault="00AB4ECE" w:rsidP="00AB4ECE">
            <w:pPr>
              <w:pStyle w:val="ListParagraph"/>
              <w:numPr>
                <w:ilvl w:val="0"/>
                <w:numId w:val="9"/>
              </w:numPr>
              <w:rPr>
                <w:b/>
              </w:rPr>
            </w:pPr>
            <w:r w:rsidRPr="00AB4ECE">
              <w:rPr>
                <w:b/>
              </w:rPr>
              <w:t>Title</w:t>
            </w:r>
          </w:p>
          <w:p w14:paraId="6A6EFBAE" w14:textId="77777777" w:rsidR="00AB4ECE" w:rsidRPr="00AB4ECE" w:rsidRDefault="00AB4ECE" w:rsidP="00AB4ECE">
            <w:pPr>
              <w:pStyle w:val="ListParagraph"/>
              <w:numPr>
                <w:ilvl w:val="0"/>
                <w:numId w:val="9"/>
              </w:numPr>
              <w:rPr>
                <w:b/>
              </w:rPr>
            </w:pPr>
            <w:r w:rsidRPr="00AB4ECE">
              <w:rPr>
                <w:b/>
              </w:rPr>
              <w:t>Author</w:t>
            </w:r>
          </w:p>
          <w:p w14:paraId="3EBA3706" w14:textId="77777777" w:rsidR="00AB4ECE" w:rsidRPr="00AB4ECE" w:rsidRDefault="00AB4ECE" w:rsidP="00AB4ECE">
            <w:pPr>
              <w:pStyle w:val="ListParagraph"/>
              <w:numPr>
                <w:ilvl w:val="0"/>
                <w:numId w:val="9"/>
              </w:numPr>
              <w:rPr>
                <w:b/>
              </w:rPr>
            </w:pPr>
            <w:r w:rsidRPr="00AB4ECE">
              <w:rPr>
                <w:b/>
              </w:rPr>
              <w:t>Date</w:t>
            </w:r>
          </w:p>
          <w:p w14:paraId="08DDC1D7" w14:textId="77777777" w:rsidR="00AB4ECE" w:rsidRPr="00AB4ECE" w:rsidRDefault="00AB4ECE" w:rsidP="00AB4ECE">
            <w:pPr>
              <w:pStyle w:val="ListParagraph"/>
              <w:numPr>
                <w:ilvl w:val="0"/>
                <w:numId w:val="9"/>
              </w:numPr>
              <w:rPr>
                <w:b/>
              </w:rPr>
            </w:pPr>
            <w:r w:rsidRPr="00AB4ECE">
              <w:rPr>
                <w:b/>
              </w:rPr>
              <w:t>Citation, including page number</w:t>
            </w:r>
          </w:p>
          <w:p w14:paraId="3E6214B8" w14:textId="77777777" w:rsidR="00AB4ECE" w:rsidRPr="00AB4ECE" w:rsidRDefault="00AB4ECE" w:rsidP="00AB4ECE">
            <w:pPr>
              <w:pStyle w:val="ListParagraph"/>
              <w:numPr>
                <w:ilvl w:val="0"/>
                <w:numId w:val="9"/>
              </w:numPr>
              <w:rPr>
                <w:b/>
              </w:rPr>
            </w:pPr>
            <w:r w:rsidRPr="00AB4ECE">
              <w:rPr>
                <w:b/>
              </w:rPr>
              <w:t>URL</w:t>
            </w:r>
          </w:p>
        </w:tc>
        <w:tc>
          <w:tcPr>
            <w:tcW w:w="5130" w:type="dxa"/>
          </w:tcPr>
          <w:p w14:paraId="53C1B8D9" w14:textId="77777777" w:rsidR="00AB4ECE" w:rsidRPr="00AB4ECE" w:rsidRDefault="00AB4ECE" w:rsidP="002E2177">
            <w:pPr>
              <w:ind w:left="0" w:firstLine="0"/>
              <w:rPr>
                <w:b/>
              </w:rPr>
            </w:pPr>
          </w:p>
        </w:tc>
      </w:tr>
      <w:tr w:rsidR="00AB4ECE" w14:paraId="1767A9CB" w14:textId="77777777" w:rsidTr="00F90F82">
        <w:tc>
          <w:tcPr>
            <w:tcW w:w="4068" w:type="dxa"/>
          </w:tcPr>
          <w:p w14:paraId="49E58F5C"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06B98D20" w14:textId="77777777" w:rsidR="00AB4ECE" w:rsidRDefault="00AB4ECE" w:rsidP="002E2177">
            <w:pPr>
              <w:ind w:left="0" w:firstLine="0"/>
            </w:pPr>
          </w:p>
        </w:tc>
      </w:tr>
      <w:tr w:rsidR="00AB4ECE" w14:paraId="52864D87" w14:textId="77777777" w:rsidTr="00F90F82">
        <w:tc>
          <w:tcPr>
            <w:tcW w:w="4068" w:type="dxa"/>
          </w:tcPr>
          <w:p w14:paraId="7EE987D1"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600C4A2B" w14:textId="77777777" w:rsidR="00AB4ECE" w:rsidRDefault="00AB4ECE" w:rsidP="002E2177">
            <w:pPr>
              <w:ind w:left="0" w:firstLine="0"/>
            </w:pPr>
          </w:p>
        </w:tc>
      </w:tr>
      <w:tr w:rsidR="00AB4ECE" w14:paraId="4A2865B0" w14:textId="77777777" w:rsidTr="00F90F82">
        <w:tc>
          <w:tcPr>
            <w:tcW w:w="4068" w:type="dxa"/>
          </w:tcPr>
          <w:p w14:paraId="05592231" w14:textId="77777777" w:rsidR="00AB4ECE" w:rsidRDefault="00AB4ECE" w:rsidP="00E42FAA">
            <w:pPr>
              <w:ind w:left="0" w:firstLine="0"/>
            </w:pPr>
            <w:r>
              <w:t>Provide all other grades and definitions from the evidence grading system</w:t>
            </w:r>
          </w:p>
        </w:tc>
        <w:tc>
          <w:tcPr>
            <w:tcW w:w="5130" w:type="dxa"/>
          </w:tcPr>
          <w:p w14:paraId="478165BA" w14:textId="77777777" w:rsidR="00AB4ECE" w:rsidRDefault="00AB4ECE" w:rsidP="002E2177">
            <w:pPr>
              <w:ind w:left="0" w:firstLine="0"/>
            </w:pPr>
          </w:p>
        </w:tc>
      </w:tr>
      <w:tr w:rsidR="00AB4ECE" w14:paraId="2CDC9AE1" w14:textId="77777777" w:rsidTr="00F90F82">
        <w:tc>
          <w:tcPr>
            <w:tcW w:w="4068" w:type="dxa"/>
          </w:tcPr>
          <w:p w14:paraId="0AD1F7F8"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34228F34" w14:textId="77777777" w:rsidR="00AB4ECE" w:rsidRDefault="00AB4ECE" w:rsidP="002E2177">
            <w:pPr>
              <w:ind w:left="0" w:firstLine="0"/>
            </w:pPr>
          </w:p>
        </w:tc>
      </w:tr>
      <w:tr w:rsidR="00AB4ECE" w14:paraId="6AAC72C4" w14:textId="77777777" w:rsidTr="00F90F82">
        <w:tc>
          <w:tcPr>
            <w:tcW w:w="4068" w:type="dxa"/>
          </w:tcPr>
          <w:p w14:paraId="262E6D2D" w14:textId="77777777" w:rsidR="00AB4ECE" w:rsidRDefault="00AB4ECE" w:rsidP="00E42FAA">
            <w:pPr>
              <w:ind w:left="0" w:firstLine="0"/>
            </w:pPr>
            <w:r>
              <w:t>Provide all other grades and definitions from the recommendation grading system</w:t>
            </w:r>
          </w:p>
        </w:tc>
        <w:tc>
          <w:tcPr>
            <w:tcW w:w="5130" w:type="dxa"/>
          </w:tcPr>
          <w:p w14:paraId="5E1F1D1B" w14:textId="77777777" w:rsidR="00AB4ECE" w:rsidRDefault="00AB4ECE" w:rsidP="002E2177">
            <w:pPr>
              <w:ind w:left="0" w:firstLine="0"/>
            </w:pPr>
          </w:p>
        </w:tc>
      </w:tr>
      <w:tr w:rsidR="00AB4ECE" w14:paraId="290CAC8A" w14:textId="77777777" w:rsidTr="00F90F82">
        <w:tc>
          <w:tcPr>
            <w:tcW w:w="4068" w:type="dxa"/>
          </w:tcPr>
          <w:p w14:paraId="74BBC0DC" w14:textId="77777777" w:rsidR="00AB4ECE" w:rsidRDefault="000E5C93" w:rsidP="002E2177">
            <w:pPr>
              <w:ind w:left="0" w:firstLine="0"/>
            </w:pPr>
            <w:r>
              <w:t>Body of evidence:</w:t>
            </w:r>
          </w:p>
          <w:p w14:paraId="61E2BB32" w14:textId="77777777" w:rsidR="000E5C93" w:rsidRDefault="000E5C93" w:rsidP="000E5C93">
            <w:pPr>
              <w:pStyle w:val="ListParagraph"/>
              <w:numPr>
                <w:ilvl w:val="0"/>
                <w:numId w:val="10"/>
              </w:numPr>
            </w:pPr>
            <w:r>
              <w:t>Quantity – how many studies?</w:t>
            </w:r>
          </w:p>
          <w:p w14:paraId="52344FFE" w14:textId="77777777" w:rsidR="000E5C93" w:rsidRDefault="000E5C93" w:rsidP="000E5C93">
            <w:pPr>
              <w:pStyle w:val="ListParagraph"/>
              <w:numPr>
                <w:ilvl w:val="0"/>
                <w:numId w:val="10"/>
              </w:numPr>
            </w:pPr>
            <w:r>
              <w:t>Quality – what type of studies?</w:t>
            </w:r>
          </w:p>
        </w:tc>
        <w:tc>
          <w:tcPr>
            <w:tcW w:w="5130" w:type="dxa"/>
          </w:tcPr>
          <w:p w14:paraId="3BEDB384" w14:textId="77777777" w:rsidR="00AB4ECE" w:rsidRDefault="00AB4ECE" w:rsidP="002E2177">
            <w:pPr>
              <w:ind w:left="0" w:firstLine="0"/>
            </w:pPr>
          </w:p>
        </w:tc>
      </w:tr>
      <w:tr w:rsidR="00AB4ECE" w14:paraId="4F83C9B4" w14:textId="77777777" w:rsidTr="00F90F82">
        <w:tc>
          <w:tcPr>
            <w:tcW w:w="4068" w:type="dxa"/>
          </w:tcPr>
          <w:p w14:paraId="6643FEF3" w14:textId="77777777" w:rsidR="00AB4ECE" w:rsidRDefault="000E5C93" w:rsidP="002E2177">
            <w:pPr>
              <w:ind w:left="0" w:firstLine="0"/>
            </w:pPr>
            <w:r>
              <w:t xml:space="preserve">Estimates of benefit and consistency across studies </w:t>
            </w:r>
          </w:p>
        </w:tc>
        <w:tc>
          <w:tcPr>
            <w:tcW w:w="5130" w:type="dxa"/>
          </w:tcPr>
          <w:p w14:paraId="5998A1CB" w14:textId="77777777" w:rsidR="00AB4ECE" w:rsidRDefault="00AB4ECE" w:rsidP="002E2177">
            <w:pPr>
              <w:ind w:left="0" w:firstLine="0"/>
            </w:pPr>
          </w:p>
        </w:tc>
      </w:tr>
      <w:tr w:rsidR="000E5C93" w14:paraId="76B8FBCA" w14:textId="77777777" w:rsidTr="00F90F82">
        <w:tc>
          <w:tcPr>
            <w:tcW w:w="4068" w:type="dxa"/>
          </w:tcPr>
          <w:p w14:paraId="0DDDD9E2" w14:textId="77777777" w:rsidR="000E5C93" w:rsidRDefault="000E5C93" w:rsidP="002E2177">
            <w:pPr>
              <w:ind w:left="0" w:firstLine="0"/>
            </w:pPr>
            <w:r>
              <w:t>What harms were identified?</w:t>
            </w:r>
          </w:p>
        </w:tc>
        <w:tc>
          <w:tcPr>
            <w:tcW w:w="5130" w:type="dxa"/>
          </w:tcPr>
          <w:p w14:paraId="12FC5E43" w14:textId="77777777" w:rsidR="000E5C93" w:rsidRDefault="000E5C93" w:rsidP="002E2177">
            <w:pPr>
              <w:ind w:left="0" w:firstLine="0"/>
            </w:pPr>
          </w:p>
        </w:tc>
      </w:tr>
      <w:tr w:rsidR="000E5C93" w14:paraId="4A71F74F" w14:textId="77777777" w:rsidTr="00F90F82">
        <w:tc>
          <w:tcPr>
            <w:tcW w:w="4068" w:type="dxa"/>
          </w:tcPr>
          <w:p w14:paraId="31A07137" w14:textId="77777777" w:rsidR="000E5C93" w:rsidRDefault="000E5C93" w:rsidP="000E5C93">
            <w:pPr>
              <w:ind w:left="0" w:firstLine="0"/>
            </w:pPr>
            <w:r>
              <w:t>Identify any new studies conducted since the SR. Do the new studies change the conclusions from the SR?</w:t>
            </w:r>
          </w:p>
        </w:tc>
        <w:tc>
          <w:tcPr>
            <w:tcW w:w="5130" w:type="dxa"/>
          </w:tcPr>
          <w:p w14:paraId="73241621" w14:textId="77777777" w:rsidR="000E5C93" w:rsidRDefault="000E5C93" w:rsidP="002E2177">
            <w:pPr>
              <w:ind w:left="0" w:firstLine="0"/>
            </w:pPr>
          </w:p>
        </w:tc>
      </w:tr>
    </w:tbl>
    <w:p w14:paraId="11296D57" w14:textId="77777777" w:rsidR="007C1887" w:rsidRPr="003B1CC5" w:rsidRDefault="007C1887" w:rsidP="002E2177">
      <w:pPr>
        <w:ind w:left="0" w:firstLine="0"/>
      </w:pPr>
    </w:p>
    <w:p w14:paraId="7D545BB3" w14:textId="77777777" w:rsidR="0094689F" w:rsidRPr="003B1CC5" w:rsidRDefault="00925F11" w:rsidP="002E2177">
      <w:pPr>
        <w:ind w:left="0" w:firstLine="0"/>
        <w:rPr>
          <w:b/>
          <w:color w:val="0070C0"/>
        </w:rPr>
      </w:pPr>
      <w:r w:rsidRPr="003B1CC5">
        <w:rPr>
          <w:b/>
          <w:iCs/>
          <w:caps/>
        </w:rPr>
        <w:t>________________________</w:t>
      </w:r>
    </w:p>
    <w:p w14:paraId="284ECB9A"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71E5AA3C" w14:textId="77777777" w:rsidR="00837121" w:rsidRPr="003B1CC5" w:rsidRDefault="00837121" w:rsidP="002E2177">
      <w:pPr>
        <w:ind w:left="0" w:firstLine="0"/>
        <w:rPr>
          <w:i/>
        </w:rPr>
      </w:pPr>
      <w:r w:rsidRPr="003B1CC5">
        <w:rPr>
          <w:i/>
        </w:rPr>
        <w:lastRenderedPageBreak/>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12C0B117" w14:textId="77777777" w:rsidR="00837121" w:rsidRPr="003B1CC5" w:rsidRDefault="00837121" w:rsidP="002E2177">
      <w:pPr>
        <w:ind w:left="0" w:firstLine="0"/>
      </w:pPr>
    </w:p>
    <w:p w14:paraId="05568B6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642EFCA1" w14:textId="77777777" w:rsidR="000E5C93" w:rsidRDefault="000E5C93" w:rsidP="002E2177">
      <w:pPr>
        <w:ind w:left="0" w:firstLine="0"/>
        <w:rPr>
          <w:b/>
        </w:rPr>
      </w:pPr>
    </w:p>
    <w:p w14:paraId="799EA33F"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E9A444" w14:textId="77777777" w:rsidR="00837121" w:rsidRPr="003B1CC5" w:rsidRDefault="00837121" w:rsidP="002E2177">
      <w:pPr>
        <w:ind w:left="0" w:firstLine="0"/>
      </w:pPr>
    </w:p>
    <w:p w14:paraId="7F4FB29F"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AA104" w14:textId="77777777" w:rsidR="003C6AF5" w:rsidRDefault="003C6AF5" w:rsidP="007E37A5">
      <w:r>
        <w:separator/>
      </w:r>
    </w:p>
  </w:endnote>
  <w:endnote w:type="continuationSeparator" w:id="0">
    <w:p w14:paraId="179FD3F9" w14:textId="77777777" w:rsidR="003C6AF5" w:rsidRDefault="003C6AF5"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F5DB" w14:textId="6C26B6CE"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DE185D">
      <w:rPr>
        <w:noProof/>
      </w:rPr>
      <w:t>6</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07B06" w14:textId="77777777" w:rsidR="003C6AF5" w:rsidRDefault="003C6AF5" w:rsidP="007E37A5">
      <w:r>
        <w:separator/>
      </w:r>
    </w:p>
  </w:footnote>
  <w:footnote w:type="continuationSeparator" w:id="0">
    <w:p w14:paraId="549C4BF4" w14:textId="77777777" w:rsidR="003C6AF5" w:rsidRDefault="003C6AF5"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081DD"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82CC4"/>
    <w:rsid w:val="00095EC9"/>
    <w:rsid w:val="00096A37"/>
    <w:rsid w:val="000A0810"/>
    <w:rsid w:val="000B627F"/>
    <w:rsid w:val="000C2C66"/>
    <w:rsid w:val="000D649E"/>
    <w:rsid w:val="000D6D06"/>
    <w:rsid w:val="000E5C93"/>
    <w:rsid w:val="000F4A7F"/>
    <w:rsid w:val="000F6B15"/>
    <w:rsid w:val="00114848"/>
    <w:rsid w:val="00120934"/>
    <w:rsid w:val="00132070"/>
    <w:rsid w:val="00140F1E"/>
    <w:rsid w:val="00141875"/>
    <w:rsid w:val="0014347E"/>
    <w:rsid w:val="00154438"/>
    <w:rsid w:val="001551F6"/>
    <w:rsid w:val="0015535B"/>
    <w:rsid w:val="00162036"/>
    <w:rsid w:val="001632DD"/>
    <w:rsid w:val="00176E60"/>
    <w:rsid w:val="00194913"/>
    <w:rsid w:val="00194D9A"/>
    <w:rsid w:val="001A196B"/>
    <w:rsid w:val="001A6D05"/>
    <w:rsid w:val="001B38BF"/>
    <w:rsid w:val="001B6E1C"/>
    <w:rsid w:val="001B772D"/>
    <w:rsid w:val="001D5B5D"/>
    <w:rsid w:val="001E6153"/>
    <w:rsid w:val="00201FF9"/>
    <w:rsid w:val="00205857"/>
    <w:rsid w:val="00235ADC"/>
    <w:rsid w:val="00236F87"/>
    <w:rsid w:val="00265702"/>
    <w:rsid w:val="002662B2"/>
    <w:rsid w:val="002717C7"/>
    <w:rsid w:val="002875E9"/>
    <w:rsid w:val="00287EB3"/>
    <w:rsid w:val="00295C8B"/>
    <w:rsid w:val="002A47BA"/>
    <w:rsid w:val="002A6777"/>
    <w:rsid w:val="002B06BD"/>
    <w:rsid w:val="002C0E48"/>
    <w:rsid w:val="002C6F04"/>
    <w:rsid w:val="002E2177"/>
    <w:rsid w:val="002E2E41"/>
    <w:rsid w:val="002E78CD"/>
    <w:rsid w:val="002F20A7"/>
    <w:rsid w:val="003008F4"/>
    <w:rsid w:val="00302B1D"/>
    <w:rsid w:val="00307FA5"/>
    <w:rsid w:val="00324D64"/>
    <w:rsid w:val="00325C74"/>
    <w:rsid w:val="00352B52"/>
    <w:rsid w:val="0035760D"/>
    <w:rsid w:val="00363ECC"/>
    <w:rsid w:val="0039020B"/>
    <w:rsid w:val="00395263"/>
    <w:rsid w:val="003956E0"/>
    <w:rsid w:val="0039609A"/>
    <w:rsid w:val="00397500"/>
    <w:rsid w:val="003B1CC5"/>
    <w:rsid w:val="003B65CE"/>
    <w:rsid w:val="003C6AF5"/>
    <w:rsid w:val="003D6721"/>
    <w:rsid w:val="003E039E"/>
    <w:rsid w:val="0040230E"/>
    <w:rsid w:val="00403FCC"/>
    <w:rsid w:val="0041662F"/>
    <w:rsid w:val="00422917"/>
    <w:rsid w:val="00440687"/>
    <w:rsid w:val="0044131D"/>
    <w:rsid w:val="00441ADA"/>
    <w:rsid w:val="00457E46"/>
    <w:rsid w:val="004922E4"/>
    <w:rsid w:val="00496AF8"/>
    <w:rsid w:val="004A575D"/>
    <w:rsid w:val="004B65C6"/>
    <w:rsid w:val="004D1DC7"/>
    <w:rsid w:val="004D5795"/>
    <w:rsid w:val="004E7215"/>
    <w:rsid w:val="004F7D7E"/>
    <w:rsid w:val="00500B0C"/>
    <w:rsid w:val="00504297"/>
    <w:rsid w:val="00537150"/>
    <w:rsid w:val="00540984"/>
    <w:rsid w:val="00543851"/>
    <w:rsid w:val="0055559D"/>
    <w:rsid w:val="005569AE"/>
    <w:rsid w:val="005857F8"/>
    <w:rsid w:val="005B0D18"/>
    <w:rsid w:val="005B12C3"/>
    <w:rsid w:val="005B409D"/>
    <w:rsid w:val="005D0FDB"/>
    <w:rsid w:val="005D25E9"/>
    <w:rsid w:val="005D6D59"/>
    <w:rsid w:val="006008C9"/>
    <w:rsid w:val="006116C9"/>
    <w:rsid w:val="0061327A"/>
    <w:rsid w:val="00617390"/>
    <w:rsid w:val="00623420"/>
    <w:rsid w:val="00634768"/>
    <w:rsid w:val="0063596F"/>
    <w:rsid w:val="006709EB"/>
    <w:rsid w:val="00672824"/>
    <w:rsid w:val="00676BD4"/>
    <w:rsid w:val="0068184A"/>
    <w:rsid w:val="006837B2"/>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57A3B"/>
    <w:rsid w:val="00863E43"/>
    <w:rsid w:val="008647C3"/>
    <w:rsid w:val="008659ED"/>
    <w:rsid w:val="008708DC"/>
    <w:rsid w:val="00870987"/>
    <w:rsid w:val="0087564A"/>
    <w:rsid w:val="008768E0"/>
    <w:rsid w:val="00881160"/>
    <w:rsid w:val="0088371C"/>
    <w:rsid w:val="008A45F3"/>
    <w:rsid w:val="008B51D9"/>
    <w:rsid w:val="008B652E"/>
    <w:rsid w:val="008D05B7"/>
    <w:rsid w:val="008E0F67"/>
    <w:rsid w:val="008F1DC6"/>
    <w:rsid w:val="008F4AEA"/>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011D"/>
    <w:rsid w:val="00A91A47"/>
    <w:rsid w:val="00A95D2B"/>
    <w:rsid w:val="00AA5587"/>
    <w:rsid w:val="00AB4ECE"/>
    <w:rsid w:val="00AC1E53"/>
    <w:rsid w:val="00AD36C7"/>
    <w:rsid w:val="00AD79C8"/>
    <w:rsid w:val="00AE6CE0"/>
    <w:rsid w:val="00B058A6"/>
    <w:rsid w:val="00B117D0"/>
    <w:rsid w:val="00B13998"/>
    <w:rsid w:val="00B21F01"/>
    <w:rsid w:val="00B25B77"/>
    <w:rsid w:val="00B3537B"/>
    <w:rsid w:val="00B35C5F"/>
    <w:rsid w:val="00B439DD"/>
    <w:rsid w:val="00B52E0F"/>
    <w:rsid w:val="00B74629"/>
    <w:rsid w:val="00B91F58"/>
    <w:rsid w:val="00B93659"/>
    <w:rsid w:val="00BA579E"/>
    <w:rsid w:val="00BE2295"/>
    <w:rsid w:val="00BE6373"/>
    <w:rsid w:val="00BF533A"/>
    <w:rsid w:val="00C41794"/>
    <w:rsid w:val="00C46677"/>
    <w:rsid w:val="00C5180E"/>
    <w:rsid w:val="00C52D56"/>
    <w:rsid w:val="00C54E40"/>
    <w:rsid w:val="00C55F56"/>
    <w:rsid w:val="00C57BA4"/>
    <w:rsid w:val="00C613EB"/>
    <w:rsid w:val="00C71C1A"/>
    <w:rsid w:val="00C750D1"/>
    <w:rsid w:val="00C84623"/>
    <w:rsid w:val="00CB06C9"/>
    <w:rsid w:val="00CB1E41"/>
    <w:rsid w:val="00CB271C"/>
    <w:rsid w:val="00CB7329"/>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2BDD"/>
    <w:rsid w:val="00DA7FA2"/>
    <w:rsid w:val="00DC2D8D"/>
    <w:rsid w:val="00DC7F67"/>
    <w:rsid w:val="00DE185D"/>
    <w:rsid w:val="00DE1F5D"/>
    <w:rsid w:val="00DE50D8"/>
    <w:rsid w:val="00DF278A"/>
    <w:rsid w:val="00E1664B"/>
    <w:rsid w:val="00E30D12"/>
    <w:rsid w:val="00E3394E"/>
    <w:rsid w:val="00E35241"/>
    <w:rsid w:val="00E41417"/>
    <w:rsid w:val="00E42FAA"/>
    <w:rsid w:val="00E536D3"/>
    <w:rsid w:val="00E57BE2"/>
    <w:rsid w:val="00E62A95"/>
    <w:rsid w:val="00E746A2"/>
    <w:rsid w:val="00E873E4"/>
    <w:rsid w:val="00E90D06"/>
    <w:rsid w:val="00E97E59"/>
    <w:rsid w:val="00EA79C9"/>
    <w:rsid w:val="00EB66AC"/>
    <w:rsid w:val="00EC1225"/>
    <w:rsid w:val="00EC2247"/>
    <w:rsid w:val="00EE1F87"/>
    <w:rsid w:val="00EE3931"/>
    <w:rsid w:val="00EE5AF6"/>
    <w:rsid w:val="00EF2CEF"/>
    <w:rsid w:val="00F1092D"/>
    <w:rsid w:val="00F42C20"/>
    <w:rsid w:val="00F431D8"/>
    <w:rsid w:val="00F51F0A"/>
    <w:rsid w:val="00F63E8D"/>
    <w:rsid w:val="00F67706"/>
    <w:rsid w:val="00F74945"/>
    <w:rsid w:val="00F81FE3"/>
    <w:rsid w:val="00F86571"/>
    <w:rsid w:val="00F90F82"/>
    <w:rsid w:val="00F92D75"/>
    <w:rsid w:val="00F97327"/>
    <w:rsid w:val="00FA296F"/>
    <w:rsid w:val="00FA7323"/>
    <w:rsid w:val="00FB1299"/>
    <w:rsid w:val="00FC32D3"/>
    <w:rsid w:val="00FD4D82"/>
    <w:rsid w:val="00FE1C77"/>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983C869"/>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Default">
    <w:name w:val="Default"/>
    <w:rsid w:val="00AD36C7"/>
    <w:pPr>
      <w:autoSpaceDE w:val="0"/>
      <w:autoSpaceDN w:val="0"/>
      <w:adjustRightInd w:val="0"/>
      <w:ind w:left="0" w:firstLine="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081858">
      <w:bodyDiv w:val="1"/>
      <w:marLeft w:val="0"/>
      <w:marRight w:val="0"/>
      <w:marTop w:val="0"/>
      <w:marBottom w:val="0"/>
      <w:divBdr>
        <w:top w:val="none" w:sz="0" w:space="0" w:color="auto"/>
        <w:left w:val="none" w:sz="0" w:space="0" w:color="auto"/>
        <w:bottom w:val="none" w:sz="0" w:space="0" w:color="auto"/>
        <w:right w:val="none" w:sz="0" w:space="0" w:color="auto"/>
      </w:divBdr>
      <w:divsChild>
        <w:div w:id="1161853136">
          <w:marLeft w:val="0"/>
          <w:marRight w:val="0"/>
          <w:marTop w:val="0"/>
          <w:marBottom w:val="0"/>
          <w:divBdr>
            <w:top w:val="single" w:sz="36" w:space="0" w:color="075290"/>
            <w:left w:val="none" w:sz="0" w:space="0" w:color="auto"/>
            <w:bottom w:val="none" w:sz="0" w:space="0" w:color="auto"/>
            <w:right w:val="none" w:sz="0" w:space="0" w:color="auto"/>
          </w:divBdr>
          <w:divsChild>
            <w:div w:id="985163308">
              <w:marLeft w:val="0"/>
              <w:marRight w:val="0"/>
              <w:marTop w:val="0"/>
              <w:marBottom w:val="0"/>
              <w:divBdr>
                <w:top w:val="none" w:sz="0" w:space="0" w:color="auto"/>
                <w:left w:val="none" w:sz="0" w:space="0" w:color="auto"/>
                <w:bottom w:val="none" w:sz="0" w:space="0" w:color="auto"/>
                <w:right w:val="none" w:sz="0" w:space="0" w:color="auto"/>
              </w:divBdr>
              <w:divsChild>
                <w:div w:id="1493988038">
                  <w:marLeft w:val="0"/>
                  <w:marRight w:val="0"/>
                  <w:marTop w:val="150"/>
                  <w:marBottom w:val="0"/>
                  <w:divBdr>
                    <w:top w:val="none" w:sz="0" w:space="0" w:color="auto"/>
                    <w:left w:val="none" w:sz="0" w:space="0" w:color="auto"/>
                    <w:bottom w:val="none" w:sz="0" w:space="0" w:color="auto"/>
                    <w:right w:val="none" w:sz="0" w:space="0" w:color="auto"/>
                  </w:divBdr>
                  <w:divsChild>
                    <w:div w:id="986282388">
                      <w:marLeft w:val="-150"/>
                      <w:marRight w:val="0"/>
                      <w:marTop w:val="0"/>
                      <w:marBottom w:val="0"/>
                      <w:divBdr>
                        <w:top w:val="none" w:sz="0" w:space="0" w:color="auto"/>
                        <w:left w:val="none" w:sz="0" w:space="0" w:color="auto"/>
                        <w:bottom w:val="none" w:sz="0" w:space="0" w:color="auto"/>
                        <w:right w:val="none" w:sz="0" w:space="0" w:color="auto"/>
                      </w:divBdr>
                      <w:divsChild>
                        <w:div w:id="2101218156">
                          <w:marLeft w:val="0"/>
                          <w:marRight w:val="0"/>
                          <w:marTop w:val="0"/>
                          <w:marBottom w:val="0"/>
                          <w:divBdr>
                            <w:top w:val="none" w:sz="0" w:space="0" w:color="auto"/>
                            <w:left w:val="none" w:sz="0" w:space="0" w:color="auto"/>
                            <w:bottom w:val="none" w:sz="0" w:space="0" w:color="auto"/>
                            <w:right w:val="none" w:sz="0" w:space="0" w:color="auto"/>
                          </w:divBdr>
                          <w:divsChild>
                            <w:div w:id="854273237">
                              <w:marLeft w:val="0"/>
                              <w:marRight w:val="0"/>
                              <w:marTop w:val="0"/>
                              <w:marBottom w:val="0"/>
                              <w:divBdr>
                                <w:top w:val="none" w:sz="0" w:space="0" w:color="auto"/>
                                <w:left w:val="none" w:sz="0" w:space="0" w:color="auto"/>
                                <w:bottom w:val="none" w:sz="0" w:space="0" w:color="auto"/>
                                <w:right w:val="none" w:sz="0" w:space="0" w:color="auto"/>
                              </w:divBdr>
                              <w:divsChild>
                                <w:div w:id="1469937010">
                                  <w:marLeft w:val="0"/>
                                  <w:marRight w:val="0"/>
                                  <w:marTop w:val="0"/>
                                  <w:marBottom w:val="0"/>
                                  <w:divBdr>
                                    <w:top w:val="none" w:sz="0" w:space="0" w:color="auto"/>
                                    <w:left w:val="none" w:sz="0" w:space="0" w:color="auto"/>
                                    <w:bottom w:val="none" w:sz="0" w:space="0" w:color="auto"/>
                                    <w:right w:val="none" w:sz="0" w:space="0" w:color="auto"/>
                                  </w:divBdr>
                                  <w:divsChild>
                                    <w:div w:id="553078058">
                                      <w:marLeft w:val="-150"/>
                                      <w:marRight w:val="0"/>
                                      <w:marTop w:val="0"/>
                                      <w:marBottom w:val="0"/>
                                      <w:divBdr>
                                        <w:top w:val="none" w:sz="0" w:space="0" w:color="auto"/>
                                        <w:left w:val="none" w:sz="0" w:space="0" w:color="auto"/>
                                        <w:bottom w:val="none" w:sz="0" w:space="0" w:color="auto"/>
                                        <w:right w:val="none" w:sz="0" w:space="0" w:color="auto"/>
                                      </w:divBdr>
                                      <w:divsChild>
                                        <w:div w:id="751898529">
                                          <w:marLeft w:val="0"/>
                                          <w:marRight w:val="0"/>
                                          <w:marTop w:val="0"/>
                                          <w:marBottom w:val="0"/>
                                          <w:divBdr>
                                            <w:top w:val="none" w:sz="0" w:space="0" w:color="auto"/>
                                            <w:left w:val="none" w:sz="0" w:space="0" w:color="auto"/>
                                            <w:bottom w:val="none" w:sz="0" w:space="0" w:color="auto"/>
                                            <w:right w:val="none" w:sz="0" w:space="0" w:color="auto"/>
                                          </w:divBdr>
                                          <w:divsChild>
                                            <w:div w:id="816848759">
                                              <w:marLeft w:val="0"/>
                                              <w:marRight w:val="0"/>
                                              <w:marTop w:val="0"/>
                                              <w:marBottom w:val="0"/>
                                              <w:divBdr>
                                                <w:top w:val="none" w:sz="0" w:space="0" w:color="auto"/>
                                                <w:left w:val="none" w:sz="0" w:space="0" w:color="auto"/>
                                                <w:bottom w:val="none" w:sz="0" w:space="0" w:color="auto"/>
                                                <w:right w:val="none" w:sz="0" w:space="0" w:color="auto"/>
                                              </w:divBdr>
                                              <w:divsChild>
                                                <w:div w:id="20789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cdc.gov/hicpac/pdf/guidelines/bsi-guidelines-2011.pdf"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F3EA81D6F63343F9BCB9B8D974B79CB0"/>
        <w:category>
          <w:name w:val="General"/>
          <w:gallery w:val="placeholder"/>
        </w:category>
        <w:types>
          <w:type w:val="bbPlcHdr"/>
        </w:types>
        <w:behaviors>
          <w:behavior w:val="content"/>
        </w:behaviors>
        <w:guid w:val="{3910BB96-8E40-4D87-B783-7A6A8FF10D00}"/>
      </w:docPartPr>
      <w:docPartBody>
        <w:p w:rsidR="00B62CBE" w:rsidRDefault="0077086D" w:rsidP="0077086D">
          <w:pPr>
            <w:pStyle w:val="F3EA81D6F63343F9BCB9B8D974B79CB0"/>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77086D"/>
    <w:rsid w:val="008F6A9B"/>
    <w:rsid w:val="00A77B15"/>
    <w:rsid w:val="00B62CBE"/>
    <w:rsid w:val="00BE0F2D"/>
    <w:rsid w:val="00C03643"/>
    <w:rsid w:val="00C2797F"/>
    <w:rsid w:val="00C80225"/>
    <w:rsid w:val="00D228C9"/>
    <w:rsid w:val="00D2552B"/>
    <w:rsid w:val="00D75685"/>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086D"/>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F3EA81D6F63343F9BCB9B8D974B79CB0">
    <w:name w:val="F3EA81D6F63343F9BCB9B8D974B79CB0"/>
    <w:rsid w:val="0077086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2AF033D722C54B80421FDFE053515A" ma:contentTypeVersion="1" ma:contentTypeDescription="Create a new document." ma:contentTypeScope="" ma:versionID="eaa4644c13c0e4e1d1e3078b61a23e4d">
  <xsd:schema xmlns:xsd="http://www.w3.org/2001/XMLSchema" xmlns:xs="http://www.w3.org/2001/XMLSchema" xmlns:p="http://schemas.microsoft.com/office/2006/metadata/properties" xmlns:ns1="http://schemas.microsoft.com/sharepoint/v3" targetNamespace="http://schemas.microsoft.com/office/2006/metadata/properties" ma:root="true" ma:fieldsID="92e2cc0d5c99687f3c41faefebf4c8d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2F147-B898-4475-8CB6-D306AF705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C50DBEB-333B-4623-BFF0-19F685A34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2051</Words>
  <Characters>11696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Millson, Tara (CDC/OID/NCEZID) (CTR)</cp:lastModifiedBy>
  <cp:revision>6</cp:revision>
  <dcterms:created xsi:type="dcterms:W3CDTF">2019-03-22T16:32:00Z</dcterms:created>
  <dcterms:modified xsi:type="dcterms:W3CDTF">2019-03-22T18:17:00Z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0x010100422AF033D722C54B80421FDFE053515A</vt:lpwstr>
  </property>
</Properties>
</file>