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704F57" w:rsidRDefault="00496AF8" w:rsidP="002E2177">
      <w:pPr>
        <w:ind w:left="0" w:firstLine="0"/>
        <w:rPr>
          <w:noProof/>
          <w:color w:val="0000CC"/>
        </w:rPr>
      </w:pPr>
    </w:p>
    <w:p w:rsidR="00496AF8" w:rsidRPr="00704F57" w:rsidRDefault="00496AF8" w:rsidP="002E2177">
      <w:pPr>
        <w:ind w:left="0" w:firstLine="0"/>
        <w:rPr>
          <w:noProof/>
          <w:color w:val="0000CC"/>
        </w:rPr>
      </w:pPr>
      <w:r w:rsidRPr="00B91F58">
        <w:rPr>
          <w:b/>
          <w:noProof/>
        </w:rPr>
        <w:t>Measure Title</w:t>
      </w:r>
      <w:r w:rsidRPr="00DA7FA2">
        <w:rPr>
          <w:noProof/>
        </w:rPr>
        <w:t>:</w:t>
      </w:r>
      <w:r w:rsidRPr="00E51798">
        <w:rPr>
          <w:noProof/>
        </w:rPr>
        <w:t xml:space="preserve">  </w:t>
      </w:r>
      <w:sdt>
        <w:sdtPr>
          <w:rPr>
            <w:rStyle w:val="Style1"/>
            <w:color w:val="0000CC"/>
          </w:rPr>
          <w:id w:val="-882640736"/>
          <w:placeholder>
            <w:docPart w:val="61E91D4220034A64A72268AE9C6EBC95"/>
          </w:placeholder>
        </w:sdtPr>
        <w:sdtEndPr>
          <w:rPr>
            <w:rStyle w:val="DefaultParagraphFont"/>
            <w:noProof/>
          </w:rPr>
        </w:sdtEndPr>
        <w:sdtContent>
          <w:r w:rsidR="001427B3" w:rsidRPr="00704F57">
            <w:rPr>
              <w:rStyle w:val="Style1"/>
              <w:color w:val="0000CC"/>
            </w:rPr>
            <w:t>Prevention: Dental Sealants for 6-9 Year-Old Children at Elevated Caries Risk</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10T00:00:00Z">
            <w:dateFormat w:val="M/d/yyyy"/>
            <w:lid w:val="en-US"/>
            <w:storeMappedDataAs w:val="dateTime"/>
            <w:calendar w:val="gregorian"/>
          </w:date>
        </w:sdtPr>
        <w:sdtEndPr>
          <w:rPr>
            <w:rStyle w:val="DefaultParagraphFont"/>
            <w:noProof/>
            <w:color w:val="auto"/>
            <w:u w:val="none"/>
          </w:rPr>
        </w:sdtEndPr>
        <w:sdtContent>
          <w:r w:rsidR="00B366AC">
            <w:rPr>
              <w:rStyle w:val="Style2"/>
            </w:rPr>
            <w:t>2/10/2014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2F6C68">
              <w:fldChar w:fldCharType="begin"/>
            </w:r>
            <w:r w:rsidR="002F6C68">
              <w:instrText xml:space="preserve"> HYPERLINK \l "Note3" </w:instrText>
            </w:r>
            <w:r w:rsidR="002F6C68">
              <w:fldChar w:fldCharType="separate"/>
            </w:r>
            <w:r w:rsidRPr="00765156">
              <w:rPr>
                <w:rStyle w:val="Hyperlink"/>
                <w:b/>
                <w:vertAlign w:val="superscript"/>
              </w:rPr>
              <w:t>3</w:t>
            </w:r>
            <w:r w:rsidR="002F6C68">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2F6C68">
              <w:fldChar w:fldCharType="begin"/>
            </w:r>
            <w:r w:rsidR="002F6C68">
              <w:instrText xml:space="preserve"> HYPERLINK \l "Note4" </w:instrText>
            </w:r>
            <w:r w:rsidR="002F6C68">
              <w:fldChar w:fldCharType="separate"/>
            </w:r>
            <w:r w:rsidRPr="00765156">
              <w:rPr>
                <w:rStyle w:val="Hyperlink"/>
                <w:b/>
                <w:vertAlign w:val="superscript"/>
              </w:rPr>
              <w:t>4</w:t>
            </w:r>
            <w:r w:rsidR="002F6C68">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2F6C68">
              <w:fldChar w:fldCharType="begin"/>
            </w:r>
            <w:r w:rsidR="002F6C68">
              <w:instrText xml:space="preserve"> HYPERLINK \l "N</w:instrText>
            </w:r>
            <w:r w:rsidR="002F6C68">
              <w:instrText xml:space="preserve">ote6" </w:instrText>
            </w:r>
            <w:r w:rsidR="002F6C68">
              <w:fldChar w:fldCharType="separate"/>
            </w:r>
            <w:r w:rsidRPr="00765156">
              <w:rPr>
                <w:rStyle w:val="Hyperlink"/>
                <w:b/>
                <w:vertAlign w:val="superscript"/>
              </w:rPr>
              <w:t>6</w:t>
            </w:r>
            <w:r w:rsidR="002F6C68">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2F6C68"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2F6C68" w:rsidP="005857F8">
      <w:pPr>
        <w:ind w:left="720" w:hanging="432"/>
        <w:rPr>
          <w:bCs/>
        </w:rPr>
      </w:pPr>
      <w:sdt>
        <w:sdtPr>
          <w:rPr>
            <w:bCs/>
            <w:color w:val="0000FF"/>
          </w:rPr>
          <w:id w:val="1309518776"/>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2F6C68" w:rsidP="00015986">
      <w:pPr>
        <w:ind w:left="432" w:hanging="432"/>
        <w:rPr>
          <w:bCs/>
        </w:rPr>
      </w:pPr>
      <w:sdt>
        <w:sdtPr>
          <w:rPr>
            <w:bCs/>
            <w:color w:val="0000FF"/>
          </w:rPr>
          <w:id w:val="-1535727686"/>
        </w:sdtPr>
        <w:sdtEndPr/>
        <w:sdtContent>
          <w:r w:rsidR="005960F1" w:rsidRPr="005960F1">
            <w:rPr>
              <w:b/>
              <w:bCs/>
              <w:color w:val="0000CC"/>
            </w:rPr>
            <w:t>X</w:t>
          </w:r>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5960F1">
            <w:rPr>
              <w:rStyle w:val="Style2"/>
              <w:rFonts w:cstheme="minorHAnsi"/>
            </w:rPr>
            <w:t xml:space="preserve">Receipt of </w:t>
          </w:r>
          <w:r w:rsidR="003F24C6">
            <w:rPr>
              <w:rStyle w:val="Style2"/>
              <w:rFonts w:cstheme="minorHAnsi"/>
            </w:rPr>
            <w:t xml:space="preserve">evidence-based preventive </w:t>
          </w:r>
          <w:r w:rsidR="005960F1">
            <w:rPr>
              <w:rStyle w:val="Style2"/>
              <w:rFonts w:cstheme="minorHAnsi"/>
            </w:rPr>
            <w:t>dental service</w:t>
          </w:r>
          <w:r w:rsidR="00814769">
            <w:rPr>
              <w:rStyle w:val="Style2"/>
              <w:rFonts w:cstheme="minorHAnsi"/>
            </w:rPr>
            <w:t xml:space="preserve"> – sealants on permanent molars </w:t>
          </w:r>
          <w:proofErr w:type="gramStart"/>
          <w:r w:rsidR="00814769">
            <w:rPr>
              <w:rStyle w:val="Style2"/>
              <w:rFonts w:cstheme="minorHAnsi"/>
            </w:rPr>
            <w:t xml:space="preserve">- </w:t>
          </w:r>
          <w:r w:rsidR="005960F1">
            <w:rPr>
              <w:rStyle w:val="Style2"/>
              <w:rFonts w:cstheme="minorHAnsi"/>
            </w:rPr>
            <w:t xml:space="preserve"> during</w:t>
          </w:r>
          <w:proofErr w:type="gramEnd"/>
          <w:r w:rsidR="005960F1">
            <w:rPr>
              <w:rStyle w:val="Style2"/>
              <w:rFonts w:cstheme="minorHAnsi"/>
            </w:rPr>
            <w:t xml:space="preserve"> the reporting period</w:t>
          </w:r>
        </w:sdtContent>
      </w:sdt>
    </w:p>
    <w:p w:rsidR="00496AF8" w:rsidRPr="00E51798" w:rsidRDefault="002F6C68" w:rsidP="00015986">
      <w:pPr>
        <w:ind w:left="432" w:hanging="432"/>
        <w:rPr>
          <w:bCs/>
        </w:rPr>
      </w:pPr>
      <w:sdt>
        <w:sdtPr>
          <w:rPr>
            <w:bCs/>
            <w:color w:val="0000FF"/>
            <w:u w:val="single"/>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2F6C68"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proofErr w:type="gramStart"/>
      <w:r w:rsidR="00E41417">
        <w:rPr>
          <w:bCs/>
        </w:rPr>
        <w:t>O</w:t>
      </w:r>
      <w:r w:rsidR="00496AF8" w:rsidRPr="00B058A6">
        <w:rPr>
          <w:bCs/>
        </w:rPr>
        <w:t>ther</w:t>
      </w:r>
      <w:proofErr w:type="gramEnd"/>
      <w:r w:rsidR="00496AF8" w:rsidRPr="00B058A6">
        <w:rPr>
          <w:bCs/>
        </w:rPr>
        <w:t>:</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0C46C8" w:rsidRDefault="000C46C8" w:rsidP="002E2177">
      <w:pPr>
        <w:ind w:left="432" w:hanging="432"/>
        <w:rPr>
          <w:color w:val="0000FF"/>
        </w:rPr>
      </w:pPr>
    </w:p>
    <w:p w:rsidR="005960F1" w:rsidRDefault="005960F1" w:rsidP="002E2177">
      <w:pPr>
        <w:ind w:left="432" w:hanging="432"/>
        <w:rPr>
          <w:color w:val="0000FF"/>
        </w:rPr>
      </w:pPr>
      <w:r>
        <w:rPr>
          <w:color w:val="0000FF"/>
        </w:rPr>
        <w:t>Not applicable.</w:t>
      </w:r>
    </w:p>
    <w:p w:rsidR="005960F1" w:rsidRDefault="005960F1" w:rsidP="002E2177">
      <w:pPr>
        <w:ind w:left="432" w:hanging="432"/>
        <w:rPr>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0C46C8" w:rsidRDefault="000C46C8" w:rsidP="003B5863">
      <w:pPr>
        <w:ind w:left="432" w:hanging="432"/>
        <w:rPr>
          <w:color w:val="0000FF"/>
        </w:rPr>
      </w:pPr>
    </w:p>
    <w:p w:rsidR="003B5863" w:rsidRDefault="003B5863" w:rsidP="003B5863">
      <w:pPr>
        <w:ind w:left="432" w:hanging="432"/>
        <w:rPr>
          <w:color w:val="0000FF"/>
        </w:rPr>
      </w:pPr>
      <w:r>
        <w:rPr>
          <w:color w:val="0000FF"/>
        </w:rPr>
        <w:t>Not applicable.</w:t>
      </w:r>
    </w:p>
    <w:p w:rsidR="002B06BD" w:rsidRPr="005960F1" w:rsidRDefault="002B06BD" w:rsidP="002E2177">
      <w:pPr>
        <w:ind w:left="0" w:firstLine="0"/>
        <w:rPr>
          <w:iCs/>
        </w:rPr>
      </w:pPr>
    </w:p>
    <w:p w:rsidR="003F24C6" w:rsidRPr="00DE61A9" w:rsidRDefault="003F24C6" w:rsidP="003F24C6">
      <w:pPr>
        <w:ind w:left="0" w:firstLine="0"/>
        <w:rPr>
          <w:rFonts w:cs="Arial"/>
          <w:color w:val="7030A0"/>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DE61A9" w:rsidRDefault="00DE61A9" w:rsidP="002E2177">
      <w:pPr>
        <w:ind w:left="0" w:firstLine="0"/>
        <w:rPr>
          <w:b/>
          <w:iCs/>
          <w:color w:val="0000FF"/>
        </w:rPr>
      </w:pPr>
      <w:bookmarkStart w:id="6" w:name="Section1a3"/>
      <w:bookmarkEnd w:id="6"/>
    </w:p>
    <w:p w:rsidR="00496AF8" w:rsidRDefault="002B06BD" w:rsidP="002E2177">
      <w:pPr>
        <w:ind w:left="0" w:firstLine="0"/>
        <w:rPr>
          <w:i/>
          <w:iCs/>
        </w:rPr>
      </w:pPr>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031108" w:rsidRDefault="00031108" w:rsidP="002E2177">
      <w:pPr>
        <w:ind w:left="0" w:firstLine="0"/>
        <w:rPr>
          <w:rFonts w:cs="Arial"/>
          <w:color w:val="FF0000"/>
        </w:rPr>
      </w:pPr>
    </w:p>
    <w:p w:rsidR="005960F1" w:rsidRPr="00704F57" w:rsidRDefault="00203D97" w:rsidP="002E2177">
      <w:pPr>
        <w:ind w:left="0" w:firstLine="0"/>
        <w:rPr>
          <w:color w:val="0000CC"/>
        </w:rPr>
      </w:pPr>
      <w:r w:rsidRPr="00704F57">
        <w:rPr>
          <w:rFonts w:cs="Arial"/>
          <w:color w:val="0000CC"/>
        </w:rPr>
        <w:t>Sealants for 6-9 Year-Old Children at Elevated Caries Risk</w:t>
      </w:r>
      <w:r w:rsidR="005960F1" w:rsidRPr="00704F57">
        <w:rPr>
          <w:color w:val="0000CC"/>
        </w:rPr>
        <w:t xml:space="preserve"> indicates the percentage of children </w:t>
      </w:r>
      <w:r w:rsidR="00DE61A9" w:rsidRPr="00704F57">
        <w:rPr>
          <w:color w:val="0000CC"/>
        </w:rPr>
        <w:t xml:space="preserve">at moderate to high risk for caries </w:t>
      </w:r>
      <w:r w:rsidR="005960F1" w:rsidRPr="00704F57">
        <w:rPr>
          <w:color w:val="0000CC"/>
        </w:rPr>
        <w:t xml:space="preserve">who </w:t>
      </w:r>
      <w:r w:rsidR="00DE61A9" w:rsidRPr="00704F57">
        <w:rPr>
          <w:color w:val="0000CC"/>
        </w:rPr>
        <w:t xml:space="preserve">received </w:t>
      </w:r>
      <w:r w:rsidRPr="00704F57">
        <w:rPr>
          <w:color w:val="0000CC"/>
        </w:rPr>
        <w:t>a sealant on a first permanent molar</w:t>
      </w:r>
      <w:r w:rsidR="00DE61A9" w:rsidRPr="00704F57">
        <w:rPr>
          <w:color w:val="0000CC"/>
        </w:rPr>
        <w:t>.</w:t>
      </w:r>
      <w:r w:rsidRPr="00704F57">
        <w:rPr>
          <w:color w:val="0000CC"/>
        </w:rPr>
        <w:t xml:space="preserve">  </w:t>
      </w:r>
      <w:r w:rsidR="003B5863" w:rsidRPr="00704F57">
        <w:rPr>
          <w:color w:val="0000CC"/>
        </w:rPr>
        <w:t xml:space="preserve">Evidence-based clinical recommendations recommend that sealants be placed on pits and fissures of children’s primary and permanent teeth when it is determined that the tooth, or the patient, is at risk of experiencing caries, with greater evidence of effectiveness in permanent molars compared to primary molars (Beauchamp et al. 2008). </w:t>
      </w:r>
      <w:r w:rsidR="005379A8" w:rsidRPr="00704F57">
        <w:rPr>
          <w:color w:val="0000CC"/>
        </w:rPr>
        <w:t xml:space="preserve">Sealants benefit children across a wide age range; however, for greatest effectiveness in caries prevention, it is recommended that sealants be placed on teeth soon after they erupt (US DHHS 2010; CDC 2013).  </w:t>
      </w:r>
      <w:r w:rsidRPr="00704F57">
        <w:rPr>
          <w:color w:val="0000CC"/>
        </w:rPr>
        <w:t>This measure directly reflects evidence</w:t>
      </w:r>
      <w:r w:rsidR="00F4519B" w:rsidRPr="00704F57">
        <w:rPr>
          <w:color w:val="0000CC"/>
        </w:rPr>
        <w:t>-</w:t>
      </w:r>
      <w:r w:rsidRPr="00704F57">
        <w:rPr>
          <w:color w:val="0000CC"/>
        </w:rPr>
        <w:t xml:space="preserve">based guidelines regarding an effective caries prevention measure (sealants) as well as the specific tooth type for which the evidence is the strongest (permanent molar) and the timing of sealant placement to maximize effectiveness (shortly after eruption – 6-9 years of age for permanent first molars).  </w:t>
      </w:r>
      <w:r w:rsidR="00722617" w:rsidRPr="00704F57">
        <w:rPr>
          <w:color w:val="0000CC"/>
        </w:rPr>
        <w:t xml:space="preserve">As </w:t>
      </w:r>
      <w:r w:rsidR="003B5863" w:rsidRPr="00704F57">
        <w:rPr>
          <w:color w:val="0000CC"/>
        </w:rPr>
        <w:t>described in 1b1 (Importance)</w:t>
      </w:r>
      <w:r w:rsidR="00722617" w:rsidRPr="00704F57">
        <w:rPr>
          <w:color w:val="0000CC"/>
        </w:rPr>
        <w:t xml:space="preserve">, </w:t>
      </w:r>
      <w:r w:rsidR="003B5863" w:rsidRPr="00704F57">
        <w:rPr>
          <w:color w:val="0000CC"/>
        </w:rPr>
        <w:t>dental caries is the most common chronic disease in children in the U.S. and a significant percentage of children have untreated dental caries.  D</w:t>
      </w:r>
      <w:r w:rsidR="00722617" w:rsidRPr="00704F57">
        <w:rPr>
          <w:color w:val="0000CC"/>
        </w:rPr>
        <w:t xml:space="preserve">ental decay causes significant short- and long-term adverse consequences for children’s health and functioning.  </w:t>
      </w:r>
      <w:proofErr w:type="gramStart"/>
      <w:r w:rsidR="003B5863" w:rsidRPr="00704F57">
        <w:rPr>
          <w:color w:val="0000CC"/>
        </w:rPr>
        <w:t>As detailed below, timely placement of sealants on permanent first molars have demonstrated effectiveness in reducing caries among children, thereby improving oral health, overall health, and overall well-being.</w:t>
      </w:r>
      <w:proofErr w:type="gramEnd"/>
      <w:r w:rsidR="003B5863" w:rsidRPr="00704F57">
        <w:rPr>
          <w:color w:val="0000CC"/>
        </w:rPr>
        <w:t xml:space="preserve">  </w:t>
      </w:r>
    </w:p>
    <w:p w:rsidR="005960F1" w:rsidRDefault="005960F1" w:rsidP="002E2177">
      <w:pPr>
        <w:ind w:left="0" w:firstLine="0"/>
        <w:rPr>
          <w:color w:val="FF0000"/>
        </w:rPr>
      </w:pPr>
    </w:p>
    <w:p w:rsidR="0055559D" w:rsidRDefault="00FD4D82" w:rsidP="002E2177">
      <w:pPr>
        <w:ind w:left="0" w:firstLine="0"/>
        <w:rPr>
          <w:b/>
        </w:rPr>
      </w:pPr>
      <w:r w:rsidRPr="0094689F">
        <w:rPr>
          <w:b/>
          <w:color w:val="0000FF"/>
        </w:rPr>
        <w:lastRenderedPageBreak/>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2F6C68" w:rsidP="002E2177">
      <w:pPr>
        <w:ind w:left="0" w:firstLine="0"/>
      </w:pPr>
      <w:sdt>
        <w:sdtPr>
          <w:rPr>
            <w:bCs/>
            <w:color w:val="0000CC"/>
          </w:rPr>
          <w:id w:val="-468508862"/>
        </w:sdtPr>
        <w:sdtEndPr/>
        <w:sdtContent>
          <w:r w:rsidR="0015535B" w:rsidRPr="00B366AC">
            <w:rPr>
              <w:rFonts w:ascii="MS Gothic" w:eastAsia="MS Gothic" w:hAnsi="MS Gothic" w:hint="eastAsia"/>
              <w:b/>
              <w:bCs/>
              <w:color w:val="0000CC"/>
            </w:rPr>
            <w:t>☐</w:t>
          </w:r>
          <w:r w:rsidR="005960F1" w:rsidRPr="00B366AC">
            <w:rPr>
              <w:rFonts w:ascii="MS Gothic" w:eastAsia="MS Gothic" w:hAnsi="MS Gothic"/>
              <w:b/>
              <w:bCs/>
              <w:color w:val="0000CC"/>
            </w:rPr>
            <w:t>X</w:t>
          </w:r>
        </w:sdtContent>
      </w:sdt>
      <w:r w:rsidR="001B38BF" w:rsidRPr="00B366AC">
        <w:rPr>
          <w:color w:val="0000CC"/>
        </w:rPr>
        <w:t xml:space="preserve"> Clinical Practice </w:t>
      </w:r>
      <w:r w:rsidR="00AA5587" w:rsidRPr="00B366AC">
        <w:rPr>
          <w:color w:val="0000CC"/>
        </w:rPr>
        <w:t>G</w:t>
      </w:r>
      <w:r w:rsidR="001B38BF" w:rsidRPr="00B366AC">
        <w:rPr>
          <w:color w:val="0000CC"/>
        </w:rPr>
        <w:t>uideline</w:t>
      </w:r>
      <w:r w:rsidR="00E746A2" w:rsidRPr="00B366AC">
        <w:rPr>
          <w:color w:val="0000CC"/>
        </w:rPr>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2F6C68" w:rsidP="002E2177">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2F6C68" w:rsidP="002E2177">
      <w:pPr>
        <w:ind w:left="0" w:firstLine="0"/>
      </w:pPr>
      <w:sdt>
        <w:sdtPr>
          <w:rPr>
            <w:b/>
            <w:bCs/>
            <w:color w:val="0000CC"/>
            <w:u w:val="single"/>
          </w:rPr>
          <w:id w:val="1199589694"/>
        </w:sdtPr>
        <w:sdtEndPr/>
        <w:sdtContent>
          <w:r w:rsidR="007573F0" w:rsidRPr="00B366AC">
            <w:rPr>
              <w:rFonts w:ascii="MS Gothic" w:eastAsia="MS Gothic" w:hAnsi="MS Gothic" w:hint="eastAsia"/>
              <w:b/>
              <w:bCs/>
              <w:color w:val="0000CC"/>
            </w:rPr>
            <w:t>☐</w:t>
          </w:r>
          <w:r w:rsidR="00D2020F" w:rsidRPr="00B366AC">
            <w:rPr>
              <w:rFonts w:ascii="MS Gothic" w:eastAsia="MS Gothic" w:hAnsi="MS Gothic"/>
              <w:b/>
              <w:bCs/>
              <w:color w:val="0000CC"/>
            </w:rPr>
            <w:t>X</w:t>
          </w:r>
        </w:sdtContent>
      </w:sdt>
      <w:r w:rsidR="007573F0" w:rsidRPr="00B366AC">
        <w:rPr>
          <w:color w:val="0000CC"/>
        </w:rPr>
        <w:t xml:space="preserve"> </w:t>
      </w:r>
      <w:proofErr w:type="gramStart"/>
      <w:r w:rsidR="007573F0" w:rsidRPr="00B366AC">
        <w:rPr>
          <w:color w:val="0000CC"/>
        </w:rPr>
        <w:t>Other</w:t>
      </w:r>
      <w:proofErr w:type="gramEnd"/>
      <w:r w:rsidR="007573F0" w:rsidRPr="00B366AC">
        <w:rPr>
          <w:color w:val="0000CC"/>
        </w:rPr>
        <w:t xml:space="preserve"> systematic review and grading of the body of evidence</w:t>
      </w:r>
      <w:r w:rsidR="007573F0">
        <w:t xml:space="preserv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2F6C68" w:rsidP="002E2177">
      <w:pPr>
        <w:ind w:left="0" w:firstLine="0"/>
      </w:pPr>
      <w:sdt>
        <w:sdtPr>
          <w:rPr>
            <w:bCs/>
            <w:color w:val="0000FF"/>
            <w:u w:val="single"/>
          </w:rPr>
          <w:id w:val="302275832"/>
        </w:sdtPr>
        <w:sdtEndPr/>
        <w:sdtContent>
          <w:r w:rsidR="0015535B">
            <w:rPr>
              <w:rFonts w:ascii="MS Gothic" w:eastAsia="MS Gothic" w:hAnsi="MS Gothic" w:hint="eastAsia"/>
              <w:bCs/>
              <w:color w:val="0000FF"/>
            </w:rPr>
            <w:t>☐</w:t>
          </w:r>
        </w:sdtContent>
      </w:sdt>
      <w:r w:rsidR="00FD4D82">
        <w:t xml:space="preserve"> </w:t>
      </w:r>
      <w:proofErr w:type="gramStart"/>
      <w:r w:rsidR="00FD4D82">
        <w:t>Other</w:t>
      </w:r>
      <w:proofErr w:type="gramEnd"/>
      <w:r w:rsidR="00FD4D82">
        <w:t xml:space="preserve">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2E2177">
      <w:pPr>
        <w:ind w:left="0" w:firstLine="0"/>
        <w:rPr>
          <w:b/>
          <w:color w:val="0070C0"/>
        </w:rPr>
      </w:pPr>
    </w:p>
    <w:p w:rsidR="009B5BEA" w:rsidRPr="00031108" w:rsidRDefault="00FD4D82" w:rsidP="002E2177">
      <w:pPr>
        <w:ind w:left="0" w:firstLine="0"/>
        <w:rPr>
          <w:b/>
        </w:rPr>
      </w:pPr>
      <w:bookmarkStart w:id="7" w:name="Section1a4"/>
      <w:bookmarkEnd w:id="7"/>
      <w:r w:rsidRPr="00031108">
        <w:rPr>
          <w:b/>
          <w:color w:val="0000FF"/>
        </w:rPr>
        <w:t>1</w:t>
      </w:r>
      <w:r w:rsidR="00773485" w:rsidRPr="00031108">
        <w:rPr>
          <w:b/>
          <w:color w:val="0000FF"/>
        </w:rPr>
        <w:t>a</w:t>
      </w:r>
      <w:r w:rsidRPr="00031108">
        <w:rPr>
          <w:b/>
          <w:color w:val="0000FF"/>
        </w:rPr>
        <w:t>.4</w:t>
      </w:r>
      <w:r w:rsidR="00201FF9" w:rsidRPr="00031108">
        <w:rPr>
          <w:b/>
          <w:color w:val="0000FF"/>
        </w:rPr>
        <w:t>.</w:t>
      </w:r>
      <w:r w:rsidRPr="00031108">
        <w:rPr>
          <w:b/>
          <w:color w:val="0070C0"/>
        </w:rPr>
        <w:t xml:space="preserve"> </w:t>
      </w:r>
      <w:r w:rsidR="0055559D" w:rsidRPr="00031108">
        <w:rPr>
          <w:b/>
        </w:rPr>
        <w:t>CLINICAL PRACTICE GUIDELINE</w:t>
      </w:r>
      <w:r w:rsidR="00E746A2" w:rsidRPr="00031108">
        <w:rPr>
          <w:b/>
        </w:rPr>
        <w:t xml:space="preserve"> RECOMMENDATION</w:t>
      </w:r>
    </w:p>
    <w:p w:rsidR="007E37A5" w:rsidRDefault="008B51D9" w:rsidP="002E2177">
      <w:pPr>
        <w:ind w:left="0" w:firstLine="0"/>
      </w:pPr>
      <w:r w:rsidRPr="00031108">
        <w:rPr>
          <w:b/>
          <w:color w:val="0000FF"/>
        </w:rPr>
        <w:t>1</w:t>
      </w:r>
      <w:r w:rsidR="00773485" w:rsidRPr="00031108">
        <w:rPr>
          <w:b/>
          <w:color w:val="0000FF"/>
        </w:rPr>
        <w:t>a</w:t>
      </w:r>
      <w:r w:rsidRPr="00031108">
        <w:rPr>
          <w:b/>
          <w:color w:val="0000FF"/>
        </w:rPr>
        <w:t>.</w:t>
      </w:r>
      <w:r w:rsidR="00B058A6" w:rsidRPr="00031108">
        <w:rPr>
          <w:b/>
          <w:color w:val="0000FF"/>
        </w:rPr>
        <w:t>4</w:t>
      </w:r>
      <w:r w:rsidRPr="00031108">
        <w:rPr>
          <w:b/>
          <w:color w:val="0000FF"/>
        </w:rPr>
        <w:t>.1.</w:t>
      </w:r>
      <w:r w:rsidRPr="00031108">
        <w:t xml:space="preserve"> </w:t>
      </w:r>
      <w:r w:rsidR="00496AF8" w:rsidRPr="00031108">
        <w:rPr>
          <w:b/>
        </w:rPr>
        <w:t>Guideline citation</w:t>
      </w:r>
      <w:r w:rsidR="002F20A7" w:rsidRPr="00031108">
        <w:t xml:space="preserve"> </w:t>
      </w:r>
      <w:r w:rsidR="006709EB" w:rsidRPr="00031108">
        <w:t>(</w:t>
      </w:r>
      <w:r w:rsidR="006709EB" w:rsidRPr="00031108">
        <w:rPr>
          <w:i/>
        </w:rPr>
        <w:t>including</w:t>
      </w:r>
      <w:r w:rsidR="006709EB" w:rsidRPr="006709EB">
        <w:rPr>
          <w:i/>
        </w:rPr>
        <w:t xml:space="preserve">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582634" w:rsidRDefault="00582634" w:rsidP="002E2177">
      <w:pPr>
        <w:ind w:left="0" w:firstLine="0"/>
        <w:rPr>
          <w:rFonts w:ascii="Arial" w:hAnsi="Arial" w:cs="Arial"/>
          <w:sz w:val="20"/>
          <w:szCs w:val="20"/>
        </w:rPr>
      </w:pPr>
    </w:p>
    <w:p w:rsidR="00582634" w:rsidRPr="00704F57" w:rsidRDefault="00582634" w:rsidP="00582634">
      <w:pPr>
        <w:ind w:left="0" w:firstLine="0"/>
        <w:rPr>
          <w:iCs/>
          <w:color w:val="0000CC"/>
        </w:rPr>
      </w:pPr>
      <w:r w:rsidRPr="00704F57">
        <w:rPr>
          <w:iCs/>
          <w:color w:val="0000CC"/>
        </w:rPr>
        <w:t xml:space="preserve">Beauchamp J, </w:t>
      </w:r>
      <w:proofErr w:type="spellStart"/>
      <w:r w:rsidRPr="00704F57">
        <w:rPr>
          <w:iCs/>
          <w:color w:val="0000CC"/>
        </w:rPr>
        <w:t>Caufield</w:t>
      </w:r>
      <w:proofErr w:type="spellEnd"/>
      <w:r w:rsidRPr="00704F57">
        <w:rPr>
          <w:iCs/>
          <w:color w:val="0000CC"/>
        </w:rPr>
        <w:t xml:space="preserve"> PW, </w:t>
      </w:r>
      <w:proofErr w:type="spellStart"/>
      <w:r w:rsidRPr="00704F57">
        <w:rPr>
          <w:iCs/>
          <w:color w:val="0000CC"/>
        </w:rPr>
        <w:t>Crall</w:t>
      </w:r>
      <w:proofErr w:type="spellEnd"/>
      <w:r w:rsidRPr="00704F57">
        <w:rPr>
          <w:iCs/>
          <w:color w:val="0000CC"/>
        </w:rPr>
        <w:t xml:space="preserve"> JJ, </w:t>
      </w:r>
      <w:proofErr w:type="spellStart"/>
      <w:r w:rsidRPr="00704F57">
        <w:rPr>
          <w:iCs/>
          <w:color w:val="0000CC"/>
        </w:rPr>
        <w:t>Donly</w:t>
      </w:r>
      <w:proofErr w:type="spellEnd"/>
      <w:r w:rsidRPr="00704F57">
        <w:rPr>
          <w:iCs/>
          <w:color w:val="0000CC"/>
        </w:rPr>
        <w:t xml:space="preserve"> K, </w:t>
      </w:r>
      <w:proofErr w:type="spellStart"/>
      <w:r w:rsidRPr="00704F57">
        <w:rPr>
          <w:iCs/>
          <w:color w:val="0000CC"/>
        </w:rPr>
        <w:t>Feigal</w:t>
      </w:r>
      <w:proofErr w:type="spellEnd"/>
      <w:r w:rsidRPr="00704F57">
        <w:rPr>
          <w:iCs/>
          <w:color w:val="0000CC"/>
        </w:rPr>
        <w:t xml:space="preserve"> R, Gooch B, et al. Evidence-based clinical recommendations for the use of pit-and-fissure sealants: a report of the American Dental Association Council on Scientific Affairs. J Am Dent </w:t>
      </w:r>
      <w:proofErr w:type="spellStart"/>
      <w:r w:rsidRPr="00704F57">
        <w:rPr>
          <w:iCs/>
          <w:color w:val="0000CC"/>
        </w:rPr>
        <w:t>Assoc</w:t>
      </w:r>
      <w:proofErr w:type="spellEnd"/>
      <w:r w:rsidRPr="00704F57">
        <w:rPr>
          <w:iCs/>
          <w:color w:val="0000CC"/>
        </w:rPr>
        <w:t xml:space="preserve"> 2008</w:t>
      </w:r>
      <w:proofErr w:type="gramStart"/>
      <w:r w:rsidRPr="00704F57">
        <w:rPr>
          <w:iCs/>
          <w:color w:val="0000CC"/>
        </w:rPr>
        <w:t>;139</w:t>
      </w:r>
      <w:proofErr w:type="gramEnd"/>
      <w:r w:rsidRPr="00704F57">
        <w:rPr>
          <w:iCs/>
          <w:color w:val="0000CC"/>
        </w:rPr>
        <w:t xml:space="preserve">(3):257-268. Available at: </w:t>
      </w:r>
      <w:hyperlink r:id="rId15" w:history="1">
        <w:r w:rsidRPr="00704F57">
          <w:rPr>
            <w:rStyle w:val="Hyperlink"/>
            <w:iCs/>
            <w:color w:val="0000CC"/>
          </w:rPr>
          <w:t>http://jada.ada.org/content/139/3/257.full</w:t>
        </w:r>
      </w:hyperlink>
      <w:r w:rsidRPr="00704F57">
        <w:rPr>
          <w:iCs/>
          <w:color w:val="0000CC"/>
        </w:rPr>
        <w:t xml:space="preserve">.  </w:t>
      </w:r>
    </w:p>
    <w:p w:rsidR="00582634" w:rsidRDefault="00582634" w:rsidP="00582634">
      <w:pPr>
        <w:ind w:left="0" w:firstLine="0"/>
        <w:rPr>
          <w:rFonts w:cs="Arial"/>
          <w:color w:val="FF0000"/>
        </w:rPr>
      </w:pPr>
    </w:p>
    <w:p w:rsidR="00D14F0B" w:rsidRDefault="008B51D9" w:rsidP="00031108">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F5422E" w:rsidRDefault="00F5422E" w:rsidP="00031108">
      <w:pPr>
        <w:ind w:left="0" w:firstLine="0"/>
        <w:rPr>
          <w:color w:val="FF0000"/>
        </w:rPr>
      </w:pPr>
    </w:p>
    <w:p w:rsidR="00840604" w:rsidRPr="00704F57" w:rsidRDefault="00203D97" w:rsidP="00031108">
      <w:pPr>
        <w:pStyle w:val="ListParagraph"/>
        <w:spacing w:after="0" w:line="240" w:lineRule="auto"/>
        <w:ind w:left="0" w:firstLine="0"/>
        <w:rPr>
          <w:color w:val="0000CC"/>
        </w:rPr>
      </w:pPr>
      <w:r w:rsidRPr="00704F57">
        <w:rPr>
          <w:color w:val="0000CC"/>
        </w:rPr>
        <w:t xml:space="preserve"> </w:t>
      </w:r>
      <w:r w:rsidR="00840604" w:rsidRPr="00704F57">
        <w:rPr>
          <w:color w:val="0000CC"/>
        </w:rPr>
        <w:t xml:space="preserve">“Caries Prevention: Sealants should be placed on pits and fissures of </w:t>
      </w:r>
      <w:r w:rsidR="00840604" w:rsidRPr="00704F57">
        <w:rPr>
          <w:b/>
          <w:color w:val="0000CC"/>
        </w:rPr>
        <w:t>children’s</w:t>
      </w:r>
      <w:r w:rsidR="00840604" w:rsidRPr="00704F57">
        <w:rPr>
          <w:color w:val="0000CC"/>
        </w:rPr>
        <w:t xml:space="preserve"> and </w:t>
      </w:r>
      <w:r w:rsidR="00840604" w:rsidRPr="00704F57">
        <w:rPr>
          <w:b/>
          <w:color w:val="0000CC"/>
        </w:rPr>
        <w:t xml:space="preserve">adolescents’ </w:t>
      </w:r>
      <w:r w:rsidR="00840604" w:rsidRPr="00704F57">
        <w:rPr>
          <w:color w:val="0000CC"/>
        </w:rPr>
        <w:t>permanent teeth when it is determined that the tooth, or the patient, is at risk of developing caries.” (Beauchamp</w:t>
      </w:r>
      <w:r w:rsidR="00BA26B3" w:rsidRPr="00704F57">
        <w:rPr>
          <w:color w:val="0000CC"/>
        </w:rPr>
        <w:t xml:space="preserve"> et al.</w:t>
      </w:r>
      <w:r w:rsidR="00840604" w:rsidRPr="00704F57">
        <w:rPr>
          <w:color w:val="0000CC"/>
        </w:rPr>
        <w:t xml:space="preserve"> 2008, p. 263, Table 3)</w:t>
      </w:r>
    </w:p>
    <w:p w:rsidR="00031108" w:rsidRDefault="00840604" w:rsidP="00031108">
      <w:pPr>
        <w:pStyle w:val="ListParagraph"/>
        <w:spacing w:after="0" w:line="240" w:lineRule="auto"/>
        <w:ind w:left="0" w:firstLine="0"/>
        <w:rPr>
          <w:color w:val="FF0000"/>
        </w:rPr>
      </w:pPr>
      <w:r>
        <w:rPr>
          <w:color w:val="FF0000"/>
        </w:rPr>
        <w:t xml:space="preserve"> </w:t>
      </w:r>
    </w:p>
    <w:p w:rsidR="008A45F3" w:rsidRDefault="00B058A6" w:rsidP="00031108">
      <w:pPr>
        <w:pStyle w:val="ListParagraph"/>
        <w:spacing w:after="0" w:line="240" w:lineRule="auto"/>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840604" w:rsidRDefault="00840604" w:rsidP="00031108">
      <w:pPr>
        <w:pStyle w:val="ListParagraph"/>
        <w:spacing w:after="0" w:line="240" w:lineRule="auto"/>
        <w:ind w:left="0" w:firstLine="0"/>
        <w:rPr>
          <w:color w:val="FF0000"/>
        </w:rPr>
      </w:pPr>
    </w:p>
    <w:p w:rsidR="00A40319" w:rsidRPr="00704F57" w:rsidRDefault="00840604" w:rsidP="00031108">
      <w:pPr>
        <w:pStyle w:val="ListParagraph"/>
        <w:spacing w:after="0" w:line="240" w:lineRule="auto"/>
        <w:ind w:left="0" w:firstLine="0"/>
        <w:rPr>
          <w:color w:val="0000CC"/>
        </w:rPr>
      </w:pPr>
      <w:r w:rsidRPr="00704F57">
        <w:rPr>
          <w:b/>
          <w:color w:val="0000CC"/>
        </w:rPr>
        <w:t>Grade</w:t>
      </w:r>
      <w:r w:rsidR="00A40319" w:rsidRPr="00704F57">
        <w:rPr>
          <w:b/>
          <w:color w:val="0000CC"/>
        </w:rPr>
        <w:t>/Strength of Recommendation</w:t>
      </w:r>
      <w:r w:rsidRPr="00704F57">
        <w:rPr>
          <w:b/>
          <w:color w:val="0000CC"/>
        </w:rPr>
        <w:t xml:space="preserve">: </w:t>
      </w:r>
      <w:r w:rsidR="00A40319" w:rsidRPr="00704F57">
        <w:rPr>
          <w:b/>
          <w:color w:val="0000CC"/>
        </w:rPr>
        <w:t xml:space="preserve">B </w:t>
      </w:r>
      <w:r w:rsidRPr="00704F57">
        <w:rPr>
          <w:color w:val="0000CC"/>
        </w:rPr>
        <w:t xml:space="preserve">which is </w:t>
      </w:r>
      <w:r w:rsidRPr="00704F57">
        <w:rPr>
          <w:color w:val="0000CC"/>
          <w:u w:val="single"/>
        </w:rPr>
        <w:t>defined</w:t>
      </w:r>
      <w:r w:rsidRPr="00704F57">
        <w:rPr>
          <w:color w:val="0000CC"/>
        </w:rPr>
        <w:t xml:space="preserve"> as: “</w:t>
      </w:r>
      <w:r w:rsidR="00A40319" w:rsidRPr="00704F57">
        <w:rPr>
          <w:color w:val="0000CC"/>
        </w:rPr>
        <w:t>Directly based on category II evidence or extrapolated recommendation for category I evidence.” (Beauchamp 2008, pp. 261, 263, Tables 1,</w:t>
      </w:r>
      <w:r w:rsidR="005379A8" w:rsidRPr="00704F57">
        <w:rPr>
          <w:color w:val="0000CC"/>
        </w:rPr>
        <w:t xml:space="preserve"> </w:t>
      </w:r>
      <w:r w:rsidR="00A40319" w:rsidRPr="00704F57">
        <w:rPr>
          <w:color w:val="0000CC"/>
        </w:rPr>
        <w:t>2, 3)</w:t>
      </w:r>
    </w:p>
    <w:p w:rsidR="00A40319" w:rsidRPr="00704F57" w:rsidRDefault="00A40319" w:rsidP="00031108">
      <w:pPr>
        <w:pStyle w:val="ListParagraph"/>
        <w:spacing w:after="0" w:line="240" w:lineRule="auto"/>
        <w:ind w:left="0" w:firstLine="0"/>
        <w:rPr>
          <w:color w:val="0000CC"/>
        </w:rPr>
      </w:pPr>
      <w:r w:rsidRPr="00704F57">
        <w:rPr>
          <w:color w:val="0000CC"/>
        </w:rPr>
        <w:t xml:space="preserve"> [See grades for strength of evidence in section 1a7.]</w:t>
      </w:r>
    </w:p>
    <w:p w:rsidR="00031108" w:rsidRPr="00704F57" w:rsidRDefault="00031108" w:rsidP="00031108">
      <w:pPr>
        <w:pStyle w:val="ListParagraph"/>
        <w:spacing w:after="0" w:line="240" w:lineRule="auto"/>
        <w:ind w:left="0" w:firstLine="0"/>
        <w:rPr>
          <w:color w:val="0000CC"/>
        </w:rPr>
      </w:pPr>
    </w:p>
    <w:p w:rsidR="00A40319" w:rsidRPr="00704F57" w:rsidRDefault="00A40319" w:rsidP="00031108">
      <w:pPr>
        <w:pStyle w:val="ListParagraph"/>
        <w:spacing w:after="0" w:line="240" w:lineRule="auto"/>
        <w:ind w:left="0" w:firstLine="0"/>
        <w:rPr>
          <w:color w:val="0000CC"/>
        </w:rPr>
      </w:pPr>
      <w:r w:rsidRPr="00704F57">
        <w:rPr>
          <w:color w:val="0000CC"/>
        </w:rPr>
        <w:t xml:space="preserve">Grading system adapted from: </w:t>
      </w:r>
      <w:proofErr w:type="spellStart"/>
      <w:r w:rsidRPr="00704F57">
        <w:rPr>
          <w:color w:val="0000CC"/>
        </w:rPr>
        <w:t>Shekelle</w:t>
      </w:r>
      <w:proofErr w:type="spellEnd"/>
      <w:r w:rsidRPr="00704F57">
        <w:rPr>
          <w:color w:val="0000CC"/>
        </w:rPr>
        <w:t xml:space="preserve"> PG, Woolf SH, </w:t>
      </w:r>
      <w:proofErr w:type="spellStart"/>
      <w:r w:rsidRPr="00704F57">
        <w:rPr>
          <w:color w:val="0000CC"/>
        </w:rPr>
        <w:t>Eccles</w:t>
      </w:r>
      <w:proofErr w:type="spellEnd"/>
      <w:r w:rsidRPr="00704F57">
        <w:rPr>
          <w:color w:val="0000CC"/>
        </w:rPr>
        <w:t xml:space="preserve"> M, </w:t>
      </w:r>
      <w:proofErr w:type="spellStart"/>
      <w:r w:rsidRPr="00704F57">
        <w:rPr>
          <w:color w:val="0000CC"/>
        </w:rPr>
        <w:t>Grimshaw</w:t>
      </w:r>
      <w:proofErr w:type="spellEnd"/>
      <w:r w:rsidRPr="00704F57">
        <w:rPr>
          <w:color w:val="0000CC"/>
        </w:rPr>
        <w:t xml:space="preserve"> J. Clinical guidelines: developing guidelines. BMJ 1999</w:t>
      </w:r>
      <w:proofErr w:type="gramStart"/>
      <w:r w:rsidRPr="00704F57">
        <w:rPr>
          <w:color w:val="0000CC"/>
        </w:rPr>
        <w:t>;318</w:t>
      </w:r>
      <w:proofErr w:type="gramEnd"/>
      <w:r w:rsidRPr="00704F57">
        <w:rPr>
          <w:color w:val="0000CC"/>
        </w:rPr>
        <w:t>(7183):593-596.</w:t>
      </w:r>
    </w:p>
    <w:p w:rsidR="005379A8" w:rsidRPr="00704F57" w:rsidRDefault="005379A8" w:rsidP="00031108">
      <w:pPr>
        <w:pStyle w:val="ListParagraph"/>
        <w:spacing w:after="0" w:line="240" w:lineRule="auto"/>
        <w:ind w:left="0" w:firstLine="0"/>
        <w:rPr>
          <w:color w:val="0000CC"/>
        </w:rPr>
      </w:pPr>
    </w:p>
    <w:p w:rsidR="00265702" w:rsidRPr="007573F0" w:rsidRDefault="00965FF6" w:rsidP="0026570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A40319" w:rsidRPr="00704F57" w:rsidRDefault="00A40319" w:rsidP="00A40319">
      <w:pPr>
        <w:ind w:left="0" w:firstLine="0"/>
        <w:rPr>
          <w:color w:val="0000CC"/>
        </w:rPr>
      </w:pPr>
      <w:r w:rsidRPr="00704F57">
        <w:rPr>
          <w:b/>
          <w:color w:val="0000CC"/>
        </w:rPr>
        <w:t>A</w:t>
      </w:r>
      <w:r w:rsidR="00BB0FB0" w:rsidRPr="00704F57">
        <w:rPr>
          <w:color w:val="0000CC"/>
        </w:rPr>
        <w:t>:</w:t>
      </w:r>
      <w:r w:rsidRPr="00704F57">
        <w:rPr>
          <w:color w:val="0000CC"/>
        </w:rPr>
        <w:t xml:space="preserve"> Directly based on category I evidence</w:t>
      </w:r>
    </w:p>
    <w:p w:rsidR="00A40319" w:rsidRPr="00704F57" w:rsidRDefault="00A40319" w:rsidP="00A40319">
      <w:pPr>
        <w:ind w:left="0" w:firstLine="0"/>
        <w:rPr>
          <w:color w:val="0000CC"/>
        </w:rPr>
      </w:pPr>
    </w:p>
    <w:p w:rsidR="00A40319" w:rsidRPr="00704F57" w:rsidRDefault="00A40319" w:rsidP="00A40319">
      <w:pPr>
        <w:ind w:left="0" w:firstLine="0"/>
        <w:rPr>
          <w:color w:val="0000CC"/>
        </w:rPr>
      </w:pPr>
      <w:r w:rsidRPr="00704F57">
        <w:rPr>
          <w:b/>
          <w:color w:val="0000CC"/>
        </w:rPr>
        <w:t>B</w:t>
      </w:r>
      <w:r w:rsidR="00BB0FB0" w:rsidRPr="00704F57">
        <w:rPr>
          <w:color w:val="0000CC"/>
        </w:rPr>
        <w:t>:</w:t>
      </w:r>
      <w:r w:rsidRPr="00704F57">
        <w:rPr>
          <w:color w:val="0000CC"/>
        </w:rPr>
        <w:t xml:space="preserve"> Directly based on category II evidence or extrapolated recommendation from category I evidence</w:t>
      </w:r>
    </w:p>
    <w:p w:rsidR="00A40319" w:rsidRPr="00704F57" w:rsidRDefault="00A40319" w:rsidP="00A40319">
      <w:pPr>
        <w:ind w:left="0" w:firstLine="0"/>
        <w:rPr>
          <w:color w:val="0000CC"/>
        </w:rPr>
      </w:pPr>
    </w:p>
    <w:p w:rsidR="00A40319" w:rsidRPr="00704F57" w:rsidRDefault="00A40319" w:rsidP="00A40319">
      <w:pPr>
        <w:ind w:left="0" w:firstLine="0"/>
        <w:rPr>
          <w:color w:val="0000CC"/>
        </w:rPr>
      </w:pPr>
      <w:r w:rsidRPr="00704F57">
        <w:rPr>
          <w:b/>
          <w:color w:val="0000CC"/>
        </w:rPr>
        <w:t>C</w:t>
      </w:r>
      <w:r w:rsidR="00BB0FB0" w:rsidRPr="00704F57">
        <w:rPr>
          <w:color w:val="0000CC"/>
        </w:rPr>
        <w:t>:</w:t>
      </w:r>
      <w:r w:rsidRPr="00704F57">
        <w:rPr>
          <w:color w:val="0000CC"/>
        </w:rPr>
        <w:t xml:space="preserve"> Directly based on category III evidence or extrapolated recommendation from category I or II evidence</w:t>
      </w:r>
    </w:p>
    <w:p w:rsidR="00A40319" w:rsidRPr="00704F57" w:rsidRDefault="00A40319" w:rsidP="00A40319">
      <w:pPr>
        <w:ind w:left="0" w:firstLine="0"/>
        <w:rPr>
          <w:color w:val="0000CC"/>
        </w:rPr>
      </w:pPr>
    </w:p>
    <w:p w:rsidR="00A40319" w:rsidRPr="00704F57" w:rsidRDefault="00A40319" w:rsidP="00A40319">
      <w:pPr>
        <w:ind w:left="0" w:firstLine="0"/>
        <w:rPr>
          <w:color w:val="0000CC"/>
        </w:rPr>
      </w:pPr>
      <w:r w:rsidRPr="00704F57">
        <w:rPr>
          <w:b/>
          <w:color w:val="0000CC"/>
        </w:rPr>
        <w:t>D</w:t>
      </w:r>
      <w:r w:rsidR="00BB0FB0" w:rsidRPr="00704F57">
        <w:rPr>
          <w:color w:val="0000CC"/>
        </w:rPr>
        <w:t xml:space="preserve">: </w:t>
      </w:r>
      <w:r w:rsidRPr="00704F57">
        <w:rPr>
          <w:color w:val="0000CC"/>
        </w:rPr>
        <w:t xml:space="preserve"> Directly based on category IV evidence or extrapolated recommendation from category I, II or III evidence</w:t>
      </w:r>
    </w:p>
    <w:p w:rsidR="00A40319" w:rsidRPr="00704F57" w:rsidRDefault="00A40319" w:rsidP="00A40319">
      <w:pPr>
        <w:ind w:left="0" w:firstLine="0"/>
        <w:rPr>
          <w:color w:val="0000CC"/>
        </w:rPr>
      </w:pPr>
    </w:p>
    <w:p w:rsidR="00A40319" w:rsidRPr="00704F57" w:rsidRDefault="00A40319" w:rsidP="00A40319">
      <w:pPr>
        <w:pStyle w:val="ListParagraph"/>
        <w:ind w:left="0" w:firstLine="0"/>
        <w:rPr>
          <w:color w:val="0000CC"/>
        </w:rPr>
      </w:pPr>
      <w:r w:rsidRPr="00704F57">
        <w:rPr>
          <w:color w:val="0000CC"/>
        </w:rPr>
        <w:t xml:space="preserve">Grading system adapted from: </w:t>
      </w:r>
      <w:proofErr w:type="spellStart"/>
      <w:r w:rsidRPr="00704F57">
        <w:rPr>
          <w:color w:val="0000CC"/>
        </w:rPr>
        <w:t>Shekelle</w:t>
      </w:r>
      <w:proofErr w:type="spellEnd"/>
      <w:r w:rsidRPr="00704F57">
        <w:rPr>
          <w:color w:val="0000CC"/>
        </w:rPr>
        <w:t xml:space="preserve"> PG, Woolf SH, </w:t>
      </w:r>
      <w:proofErr w:type="spellStart"/>
      <w:r w:rsidRPr="00704F57">
        <w:rPr>
          <w:color w:val="0000CC"/>
        </w:rPr>
        <w:t>Eccles</w:t>
      </w:r>
      <w:proofErr w:type="spellEnd"/>
      <w:r w:rsidRPr="00704F57">
        <w:rPr>
          <w:color w:val="0000CC"/>
        </w:rPr>
        <w:t xml:space="preserve"> M, </w:t>
      </w:r>
      <w:proofErr w:type="spellStart"/>
      <w:r w:rsidRPr="00704F57">
        <w:rPr>
          <w:color w:val="0000CC"/>
        </w:rPr>
        <w:t>Grimshaw</w:t>
      </w:r>
      <w:proofErr w:type="spellEnd"/>
      <w:r w:rsidRPr="00704F57">
        <w:rPr>
          <w:color w:val="0000CC"/>
        </w:rPr>
        <w:t xml:space="preserve"> J. Clinical guidelines: developing guidelines. BMJ 1999</w:t>
      </w:r>
      <w:proofErr w:type="gramStart"/>
      <w:r w:rsidRPr="00704F57">
        <w:rPr>
          <w:color w:val="0000CC"/>
        </w:rPr>
        <w:t>;318</w:t>
      </w:r>
      <w:proofErr w:type="gramEnd"/>
      <w:r w:rsidRPr="00704F57">
        <w:rPr>
          <w:color w:val="0000CC"/>
        </w:rPr>
        <w:t>(7183):593-596.</w:t>
      </w:r>
    </w:p>
    <w:p w:rsidR="00A12762" w:rsidRPr="00030F43" w:rsidRDefault="00776F6D" w:rsidP="002E2177">
      <w:pPr>
        <w:ind w:left="432" w:hanging="432"/>
        <w:rPr>
          <w:b/>
          <w:color w:val="0000FF"/>
        </w:rPr>
      </w:pPr>
      <w:r>
        <w:rPr>
          <w:b/>
          <w:color w:val="0000FF"/>
        </w:rPr>
        <w:lastRenderedPageBreak/>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736AEC" w:rsidRDefault="00736AEC" w:rsidP="002E2177">
      <w:pPr>
        <w:ind w:left="432" w:hanging="432"/>
        <w:rPr>
          <w:color w:val="0000FF"/>
        </w:rPr>
      </w:pPr>
    </w:p>
    <w:p w:rsidR="001244B8" w:rsidRPr="00704F57" w:rsidRDefault="00BB0FB0" w:rsidP="001244B8">
      <w:pPr>
        <w:ind w:left="0" w:firstLine="0"/>
        <w:rPr>
          <w:color w:val="0000CC"/>
        </w:rPr>
      </w:pPr>
      <w:r w:rsidRPr="00704F57">
        <w:rPr>
          <w:color w:val="0000CC"/>
        </w:rPr>
        <w:t>Same as that provided for the guidelines provided in 1a.4.1.</w:t>
      </w:r>
    </w:p>
    <w:p w:rsidR="001244B8" w:rsidRDefault="001244B8"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2F6C68" w:rsidP="00FC32D3">
      <w:pPr>
        <w:ind w:left="720" w:hanging="432"/>
        <w:rPr>
          <w:b/>
        </w:rPr>
      </w:pPr>
      <w:sdt>
        <w:sdtPr>
          <w:rPr>
            <w:bCs/>
            <w:color w:val="0000CC"/>
          </w:rPr>
          <w:id w:val="-1346319738"/>
        </w:sdtPr>
        <w:sdtEndPr/>
        <w:sdtContent>
          <w:r w:rsidR="00FC32D3" w:rsidRPr="00704F57">
            <w:rPr>
              <w:rFonts w:ascii="MS Gothic" w:eastAsia="MS Gothic" w:hAnsi="MS Gothic" w:hint="eastAsia"/>
              <w:bCs/>
              <w:color w:val="0000CC"/>
            </w:rPr>
            <w:t>☐</w:t>
          </w:r>
        </w:sdtContent>
      </w:sdt>
      <w:r w:rsidR="00FC32D3" w:rsidRPr="00704F57">
        <w:rPr>
          <w:b/>
          <w:color w:val="0000CC"/>
        </w:rPr>
        <w:t xml:space="preserve"> </w:t>
      </w:r>
      <w:proofErr w:type="spellStart"/>
      <w:r w:rsidR="00BB0FB0" w:rsidRPr="00704F57">
        <w:rPr>
          <w:b/>
          <w:color w:val="0000CC"/>
        </w:rPr>
        <w:t>X</w:t>
      </w:r>
      <w:r w:rsidR="00FC32D3" w:rsidRPr="00704F57">
        <w:rPr>
          <w:color w:val="0000CC"/>
        </w:rPr>
        <w:t>Yes</w:t>
      </w:r>
      <w:proofErr w:type="spellEnd"/>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2F6C68" w:rsidP="0098657F">
      <w:pPr>
        <w:ind w:left="1008" w:hanging="720"/>
      </w:pPr>
      <w:sdt>
        <w:sdtPr>
          <w:rPr>
            <w:bCs/>
            <w:color w:val="000000" w:themeColor="text1"/>
            <w:u w:val="single"/>
          </w:rPr>
          <w:id w:val="777454248"/>
        </w:sdtPr>
        <w:sdtEndPr/>
        <w:sdtContent>
          <w:r w:rsidR="00FC32D3" w:rsidRPr="00BB0FB0">
            <w:rPr>
              <w:rFonts w:ascii="MS Gothic" w:eastAsia="MS Gothic" w:hAnsi="MS Gothic" w:hint="eastAsia"/>
              <w:bCs/>
              <w:color w:val="000000" w:themeColor="text1"/>
            </w:rPr>
            <w:t>☐</w:t>
          </w:r>
        </w:sdtContent>
      </w:sdt>
      <w:r w:rsidR="00736AEC" w:rsidRPr="00BB0FB0">
        <w:rPr>
          <w:b/>
          <w:color w:val="000000" w:themeColor="text1"/>
        </w:rPr>
        <w:t xml:space="preserve"> </w:t>
      </w:r>
      <w:proofErr w:type="gramStart"/>
      <w:r w:rsidR="00736AEC" w:rsidRPr="00BB0FB0">
        <w:rPr>
          <w:color w:val="000000" w:themeColor="text1"/>
        </w:rPr>
        <w:t>No</w:t>
      </w:r>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736AEC" w:rsidRDefault="00736AEC" w:rsidP="00736AEC">
      <w:pPr>
        <w:rPr>
          <w:b/>
        </w:rPr>
      </w:pPr>
    </w:p>
    <w:p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031108" w:rsidRDefault="00031108" w:rsidP="00307FA5">
      <w:pPr>
        <w:ind w:left="0" w:firstLine="0"/>
        <w:rPr>
          <w:b/>
          <w:color w:val="0000FF"/>
        </w:rPr>
      </w:pPr>
    </w:p>
    <w:p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1244B8" w:rsidRPr="001244B8" w:rsidRDefault="001244B8" w:rsidP="001244B8">
      <w:pPr>
        <w:ind w:left="0" w:firstLine="0"/>
        <w:rPr>
          <w:color w:val="0000CC"/>
        </w:rPr>
      </w:pPr>
      <w:r w:rsidRPr="001244B8">
        <w:rPr>
          <w:color w:val="0000CC"/>
        </w:rPr>
        <w:t>Not applicable.</w:t>
      </w:r>
    </w:p>
    <w:p w:rsidR="001244B8" w:rsidRPr="00D53405" w:rsidRDefault="001244B8" w:rsidP="00307FA5">
      <w:pPr>
        <w:ind w:left="0" w:firstLine="0"/>
        <w:rPr>
          <w:rFonts w:ascii="Arial" w:hAnsi="Arial" w:cs="Arial"/>
          <w:sz w:val="20"/>
          <w:szCs w:val="20"/>
        </w:rPr>
      </w:pPr>
    </w:p>
    <w:p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rsidR="001244B8" w:rsidRPr="001244B8" w:rsidRDefault="001244B8" w:rsidP="001244B8">
      <w:pPr>
        <w:ind w:left="0" w:firstLine="0"/>
        <w:rPr>
          <w:color w:val="0000CC"/>
        </w:rPr>
      </w:pPr>
      <w:r w:rsidRPr="001244B8">
        <w:rPr>
          <w:color w:val="0000CC"/>
        </w:rPr>
        <w:t>Not applicable.</w:t>
      </w:r>
    </w:p>
    <w:p w:rsidR="00307FA5" w:rsidRPr="00DA7FA2" w:rsidRDefault="00307FA5" w:rsidP="00307FA5">
      <w:pPr>
        <w:ind w:left="0" w:firstLine="0"/>
      </w:pPr>
    </w:p>
    <w:p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rsidR="001244B8" w:rsidRPr="001244B8" w:rsidRDefault="001244B8" w:rsidP="001244B8">
      <w:pPr>
        <w:ind w:left="0" w:firstLine="0"/>
        <w:rPr>
          <w:color w:val="0000CC"/>
        </w:rPr>
      </w:pPr>
      <w:r w:rsidRPr="001244B8">
        <w:rPr>
          <w:color w:val="0000CC"/>
        </w:rPr>
        <w:t>Not applicable.</w:t>
      </w:r>
    </w:p>
    <w:p w:rsidR="001244B8" w:rsidRDefault="001244B8" w:rsidP="00307FA5">
      <w:pPr>
        <w:ind w:left="0" w:firstLine="0"/>
      </w:pPr>
    </w:p>
    <w:p w:rsidR="00307FA5" w:rsidRPr="00095EC9" w:rsidRDefault="008A45F3" w:rsidP="00307FA5">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1244B8" w:rsidRPr="001244B8" w:rsidRDefault="001244B8" w:rsidP="001244B8">
      <w:pPr>
        <w:ind w:left="0" w:firstLine="0"/>
        <w:rPr>
          <w:color w:val="0000CC"/>
        </w:rPr>
      </w:pPr>
      <w:r w:rsidRPr="001244B8">
        <w:rPr>
          <w:color w:val="0000CC"/>
        </w:rPr>
        <w:t>Not applicable.</w:t>
      </w:r>
    </w:p>
    <w:p w:rsidR="001244B8" w:rsidRDefault="001244B8" w:rsidP="00307FA5">
      <w:pPr>
        <w:ind w:left="0" w:firstLine="0"/>
        <w:rPr>
          <w:b/>
          <w:color w:val="0000FF"/>
        </w:rPr>
      </w:pP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1244B8" w:rsidRPr="001244B8" w:rsidRDefault="001244B8" w:rsidP="001244B8">
      <w:pPr>
        <w:ind w:left="0" w:firstLine="0"/>
        <w:rPr>
          <w:color w:val="0000CC"/>
        </w:rPr>
      </w:pPr>
      <w:r w:rsidRPr="001244B8">
        <w:rPr>
          <w:color w:val="0000CC"/>
        </w:rPr>
        <w:t>Not applicable.</w:t>
      </w:r>
    </w:p>
    <w:p w:rsidR="00736AEC" w:rsidRPr="00736AEC" w:rsidRDefault="00736AEC" w:rsidP="002E2177">
      <w:pPr>
        <w:ind w:left="432" w:hanging="432"/>
        <w:rPr>
          <w:b/>
        </w:rPr>
      </w:pPr>
    </w:p>
    <w:p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EE5AF6" w:rsidRDefault="00EE5AF6" w:rsidP="002E2177">
      <w:pPr>
        <w:ind w:left="432" w:hanging="432"/>
        <w:rPr>
          <w:b/>
          <w:color w:val="0000FF"/>
        </w:rPr>
      </w:pPr>
    </w:p>
    <w:p w:rsidR="00EE5AF6" w:rsidRPr="00DF278A" w:rsidRDefault="00EE5AF6" w:rsidP="002E2177">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1244B8" w:rsidRDefault="001244B8" w:rsidP="00031108">
      <w:pPr>
        <w:ind w:left="0" w:firstLine="0"/>
        <w:rPr>
          <w:color w:val="0000CC"/>
        </w:rPr>
      </w:pPr>
    </w:p>
    <w:p w:rsidR="00704F57" w:rsidRDefault="00704F57" w:rsidP="00704F57">
      <w:pPr>
        <w:ind w:left="0" w:firstLine="0"/>
        <w:rPr>
          <w:iCs/>
          <w:color w:val="FF0000"/>
        </w:rPr>
      </w:pPr>
      <w:r w:rsidRPr="00704F57">
        <w:rPr>
          <w:iCs/>
          <w:color w:val="0000CC"/>
        </w:rPr>
        <w:t xml:space="preserve">Beauchamp J, </w:t>
      </w:r>
      <w:proofErr w:type="spellStart"/>
      <w:r w:rsidRPr="00704F57">
        <w:rPr>
          <w:iCs/>
          <w:color w:val="0000CC"/>
        </w:rPr>
        <w:t>Caufield</w:t>
      </w:r>
      <w:proofErr w:type="spellEnd"/>
      <w:r w:rsidRPr="00704F57">
        <w:rPr>
          <w:iCs/>
          <w:color w:val="0000CC"/>
        </w:rPr>
        <w:t xml:space="preserve"> PW, </w:t>
      </w:r>
      <w:proofErr w:type="spellStart"/>
      <w:r w:rsidRPr="00704F57">
        <w:rPr>
          <w:iCs/>
          <w:color w:val="0000CC"/>
        </w:rPr>
        <w:t>Crall</w:t>
      </w:r>
      <w:proofErr w:type="spellEnd"/>
      <w:r w:rsidRPr="00704F57">
        <w:rPr>
          <w:iCs/>
          <w:color w:val="0000CC"/>
        </w:rPr>
        <w:t xml:space="preserve"> JJ, </w:t>
      </w:r>
      <w:proofErr w:type="spellStart"/>
      <w:r w:rsidRPr="00704F57">
        <w:rPr>
          <w:iCs/>
          <w:color w:val="0000CC"/>
        </w:rPr>
        <w:t>Donly</w:t>
      </w:r>
      <w:proofErr w:type="spellEnd"/>
      <w:r w:rsidRPr="00704F57">
        <w:rPr>
          <w:iCs/>
          <w:color w:val="0000CC"/>
        </w:rPr>
        <w:t xml:space="preserve"> K, </w:t>
      </w:r>
      <w:proofErr w:type="spellStart"/>
      <w:r w:rsidRPr="00704F57">
        <w:rPr>
          <w:iCs/>
          <w:color w:val="0000CC"/>
        </w:rPr>
        <w:t>Feigal</w:t>
      </w:r>
      <w:proofErr w:type="spellEnd"/>
      <w:r w:rsidRPr="00704F57">
        <w:rPr>
          <w:iCs/>
          <w:color w:val="0000CC"/>
        </w:rPr>
        <w:t xml:space="preserve"> R, Gooch B, et al. Evidence-based clinical recommendations for the use of pit-and-fissure sealants: a report of the American Dental Association Council on Scientific Affairs. J Am Dent </w:t>
      </w:r>
      <w:proofErr w:type="spellStart"/>
      <w:r w:rsidRPr="00704F57">
        <w:rPr>
          <w:iCs/>
          <w:color w:val="0000CC"/>
        </w:rPr>
        <w:t>Assoc</w:t>
      </w:r>
      <w:proofErr w:type="spellEnd"/>
      <w:r w:rsidRPr="00704F57">
        <w:rPr>
          <w:iCs/>
          <w:color w:val="0000CC"/>
        </w:rPr>
        <w:t xml:space="preserve"> 2008</w:t>
      </w:r>
      <w:proofErr w:type="gramStart"/>
      <w:r w:rsidRPr="00704F57">
        <w:rPr>
          <w:iCs/>
          <w:color w:val="0000CC"/>
        </w:rPr>
        <w:t>;139</w:t>
      </w:r>
      <w:proofErr w:type="gramEnd"/>
      <w:r w:rsidRPr="00704F57">
        <w:rPr>
          <w:iCs/>
          <w:color w:val="0000CC"/>
        </w:rPr>
        <w:t>(3):257-268. Available at:</w:t>
      </w:r>
      <w:r>
        <w:rPr>
          <w:iCs/>
          <w:color w:val="FF0000"/>
        </w:rPr>
        <w:t xml:space="preserve"> </w:t>
      </w:r>
      <w:hyperlink r:id="rId16" w:history="1">
        <w:r w:rsidRPr="00E6379E">
          <w:rPr>
            <w:rStyle w:val="Hyperlink"/>
            <w:iCs/>
          </w:rPr>
          <w:t>http://jada.ada.org/content/139/3/257.full</w:t>
        </w:r>
      </w:hyperlink>
      <w:r>
        <w:rPr>
          <w:iCs/>
          <w:color w:val="FF0000"/>
        </w:rPr>
        <w:t xml:space="preserve">.  </w:t>
      </w:r>
    </w:p>
    <w:p w:rsidR="00704F57" w:rsidRDefault="00704F57" w:rsidP="00031108">
      <w:pPr>
        <w:ind w:left="0" w:firstLine="0"/>
        <w:rPr>
          <w:color w:val="0000CC"/>
        </w:rPr>
      </w:pPr>
    </w:p>
    <w:p w:rsidR="00704F57" w:rsidRPr="00704F57" w:rsidRDefault="00704F57" w:rsidP="00704F57">
      <w:pPr>
        <w:ind w:left="0" w:firstLine="0"/>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Forss</w:t>
      </w:r>
      <w:proofErr w:type="spellEnd"/>
      <w:r w:rsidRPr="00704F57">
        <w:rPr>
          <w:color w:val="0000CC"/>
        </w:rPr>
        <w:t xml:space="preserve"> H, Walsh T,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t>
      </w:r>
      <w:proofErr w:type="spellStart"/>
      <w:r w:rsidRPr="00704F57">
        <w:rPr>
          <w:color w:val="0000CC"/>
        </w:rPr>
        <w:t>Mäkelä</w:t>
      </w:r>
      <w:proofErr w:type="spellEnd"/>
      <w:r w:rsidRPr="00704F57">
        <w:rPr>
          <w:color w:val="0000CC"/>
        </w:rPr>
        <w:t xml:space="preserve"> M, Worthington HV.  </w:t>
      </w:r>
      <w:proofErr w:type="gramStart"/>
      <w:r w:rsidRPr="00704F57">
        <w:rPr>
          <w:color w:val="0000CC"/>
        </w:rPr>
        <w:t>Sealants for preventing dental decay in the permanent teeth.</w:t>
      </w:r>
      <w:proofErr w:type="gramEnd"/>
      <w:r w:rsidRPr="00704F57">
        <w:rPr>
          <w:color w:val="0000CC"/>
        </w:rPr>
        <w:t xml:space="preserve"> Cochrane Database </w:t>
      </w:r>
      <w:proofErr w:type="spellStart"/>
      <w:r w:rsidRPr="00704F57">
        <w:rPr>
          <w:color w:val="0000CC"/>
        </w:rPr>
        <w:t>Syst</w:t>
      </w:r>
      <w:proofErr w:type="spellEnd"/>
      <w:r w:rsidRPr="00704F57">
        <w:rPr>
          <w:color w:val="0000CC"/>
        </w:rPr>
        <w:t xml:space="preserve"> Rev. 2013 Mar 28</w:t>
      </w:r>
      <w:proofErr w:type="gramStart"/>
      <w:r w:rsidRPr="00704F57">
        <w:rPr>
          <w:color w:val="0000CC"/>
        </w:rPr>
        <w:t>;3:CD001830</w:t>
      </w:r>
      <w:proofErr w:type="gramEnd"/>
      <w:r w:rsidRPr="00704F57">
        <w:rPr>
          <w:color w:val="0000CC"/>
        </w:rPr>
        <w:t xml:space="preserve">. </w:t>
      </w:r>
      <w:proofErr w:type="spellStart"/>
      <w:proofErr w:type="gramStart"/>
      <w:r w:rsidRPr="00704F57">
        <w:rPr>
          <w:color w:val="0000CC"/>
        </w:rPr>
        <w:t>doi</w:t>
      </w:r>
      <w:proofErr w:type="spellEnd"/>
      <w:proofErr w:type="gramEnd"/>
      <w:r w:rsidRPr="00704F57">
        <w:rPr>
          <w:color w:val="0000CC"/>
        </w:rPr>
        <w:t>: 10.1002/14651858.CD001830.pub4.</w:t>
      </w:r>
    </w:p>
    <w:p w:rsidR="00EE5AF6" w:rsidRPr="00D53405" w:rsidRDefault="00EE5AF6" w:rsidP="00EE5AF6">
      <w:pPr>
        <w:ind w:left="0" w:firstLine="0"/>
        <w:rPr>
          <w:rFonts w:ascii="Arial" w:hAnsi="Arial" w:cs="Arial"/>
          <w:sz w:val="20"/>
          <w:szCs w:val="20"/>
        </w:rPr>
      </w:pP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1244B8" w:rsidRPr="001244B8" w:rsidRDefault="001244B8" w:rsidP="001244B8">
      <w:pPr>
        <w:ind w:left="0" w:firstLine="0"/>
        <w:rPr>
          <w:color w:val="0000CC"/>
        </w:rPr>
      </w:pPr>
      <w:r w:rsidRPr="001244B8">
        <w:rPr>
          <w:color w:val="0000CC"/>
        </w:rPr>
        <w:t>Not applicable.</w:t>
      </w:r>
    </w:p>
    <w:p w:rsidR="005D0FDB" w:rsidRDefault="005D0FDB" w:rsidP="00EE5AF6">
      <w:pPr>
        <w:ind w:left="0" w:firstLine="0"/>
      </w:pPr>
    </w:p>
    <w:p w:rsidR="00C84623" w:rsidRDefault="00C84623" w:rsidP="00EE5AF6">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C84623" w:rsidRDefault="00C84623" w:rsidP="00EE5AF6">
      <w:pPr>
        <w:ind w:left="0" w:firstLine="0"/>
        <w:rPr>
          <w:b/>
          <w:color w:val="0000FF"/>
        </w:rPr>
      </w:pPr>
    </w:p>
    <w:p w:rsidR="00C84623" w:rsidRPr="000D649E" w:rsidRDefault="00C84623" w:rsidP="00EE5AF6">
      <w:pPr>
        <w:ind w:left="0" w:firstLine="0"/>
      </w:pPr>
      <w:r w:rsidRPr="0039609A" w:rsidDel="005D0FDB">
        <w:rPr>
          <w:b/>
          <w:color w:val="0000FF"/>
        </w:rPr>
        <w:lastRenderedPageBreak/>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rsidR="001244B8" w:rsidRDefault="001244B8" w:rsidP="00EE5AF6">
      <w:pPr>
        <w:ind w:left="0" w:firstLine="0"/>
        <w:rPr>
          <w:color w:val="0000CC"/>
        </w:rPr>
      </w:pPr>
    </w:p>
    <w:p w:rsidR="00BA26B3" w:rsidRPr="00704F57" w:rsidRDefault="00BA26B3" w:rsidP="00EA79C9">
      <w:pPr>
        <w:ind w:left="0" w:firstLine="0"/>
        <w:rPr>
          <w:color w:val="0000CC"/>
        </w:rPr>
      </w:pPr>
      <w:r w:rsidRPr="00704F57">
        <w:rPr>
          <w:color w:val="0000CC"/>
        </w:rPr>
        <w:t>The following four clinical questions were addressed:</w:t>
      </w:r>
    </w:p>
    <w:p w:rsidR="00BA26B3" w:rsidRPr="00704F57" w:rsidRDefault="00BA26B3" w:rsidP="00EA79C9">
      <w:pPr>
        <w:ind w:left="0" w:firstLine="0"/>
        <w:rPr>
          <w:b/>
          <w:color w:val="0000CC"/>
        </w:rPr>
      </w:pPr>
    </w:p>
    <w:p w:rsidR="00BA26B3" w:rsidRPr="00704F57" w:rsidRDefault="00BA26B3" w:rsidP="00BA26B3">
      <w:pPr>
        <w:pStyle w:val="ListParagraph"/>
        <w:numPr>
          <w:ilvl w:val="0"/>
          <w:numId w:val="11"/>
        </w:numPr>
        <w:rPr>
          <w:color w:val="0000CC"/>
        </w:rPr>
      </w:pPr>
      <w:r w:rsidRPr="00704F57">
        <w:rPr>
          <w:color w:val="0000CC"/>
        </w:rPr>
        <w:t xml:space="preserve">“Under what circumstances should sealants </w:t>
      </w:r>
      <w:proofErr w:type="gramStart"/>
      <w:r w:rsidRPr="00704F57">
        <w:rPr>
          <w:color w:val="0000CC"/>
        </w:rPr>
        <w:t>be</w:t>
      </w:r>
      <w:proofErr w:type="gramEnd"/>
      <w:r w:rsidRPr="00704F57">
        <w:rPr>
          <w:color w:val="0000CC"/>
        </w:rPr>
        <w:t xml:space="preserve"> placed to prevent caries?”</w:t>
      </w:r>
    </w:p>
    <w:p w:rsidR="00BA26B3" w:rsidRPr="00704F57" w:rsidRDefault="00BA26B3" w:rsidP="00BA26B3">
      <w:pPr>
        <w:pStyle w:val="ListParagraph"/>
        <w:numPr>
          <w:ilvl w:val="0"/>
          <w:numId w:val="11"/>
        </w:numPr>
        <w:rPr>
          <w:color w:val="0000CC"/>
        </w:rPr>
      </w:pPr>
      <w:r w:rsidRPr="00704F57">
        <w:rPr>
          <w:color w:val="0000CC"/>
        </w:rPr>
        <w:t>“Does placing sealants over early (</w:t>
      </w:r>
      <w:proofErr w:type="spellStart"/>
      <w:r w:rsidRPr="00704F57">
        <w:rPr>
          <w:color w:val="0000CC"/>
        </w:rPr>
        <w:t>noncavitated</w:t>
      </w:r>
      <w:proofErr w:type="spellEnd"/>
      <w:r w:rsidRPr="00704F57">
        <w:rPr>
          <w:color w:val="0000CC"/>
        </w:rPr>
        <w:t>) lesions prevent progression of the lesions?”</w:t>
      </w:r>
    </w:p>
    <w:p w:rsidR="00BA26B3" w:rsidRPr="00704F57" w:rsidRDefault="00BA26B3" w:rsidP="00BA26B3">
      <w:pPr>
        <w:pStyle w:val="ListParagraph"/>
        <w:numPr>
          <w:ilvl w:val="0"/>
          <w:numId w:val="11"/>
        </w:numPr>
        <w:rPr>
          <w:color w:val="0000CC"/>
        </w:rPr>
      </w:pPr>
      <w:r w:rsidRPr="00704F57">
        <w:rPr>
          <w:color w:val="0000CC"/>
        </w:rPr>
        <w:t xml:space="preserve">“Are there conditions that favor the placement of resin-based versus glass </w:t>
      </w:r>
      <w:proofErr w:type="spellStart"/>
      <w:r w:rsidRPr="00704F57">
        <w:rPr>
          <w:color w:val="0000CC"/>
        </w:rPr>
        <w:t>ionomer</w:t>
      </w:r>
      <w:proofErr w:type="spellEnd"/>
      <w:r w:rsidRPr="00704F57">
        <w:rPr>
          <w:color w:val="0000CC"/>
        </w:rPr>
        <w:t xml:space="preserve"> cement sealants in terms of retention or caries prevention?”</w:t>
      </w:r>
    </w:p>
    <w:p w:rsidR="00BA26B3" w:rsidRPr="00704F57" w:rsidRDefault="00BA26B3" w:rsidP="00BA26B3">
      <w:pPr>
        <w:pStyle w:val="ListParagraph"/>
        <w:numPr>
          <w:ilvl w:val="0"/>
          <w:numId w:val="11"/>
        </w:numPr>
        <w:rPr>
          <w:color w:val="0000CC"/>
        </w:rPr>
      </w:pPr>
      <w:r w:rsidRPr="00704F57">
        <w:rPr>
          <w:color w:val="0000CC"/>
        </w:rPr>
        <w:t>“Are there any techniques that could improve sealants’ retention and effectiveness in caries prevention?”</w:t>
      </w:r>
    </w:p>
    <w:p w:rsidR="00BA26B3" w:rsidRPr="00704F57" w:rsidRDefault="00BA26B3" w:rsidP="00BA26B3">
      <w:pPr>
        <w:pStyle w:val="ListParagraph"/>
        <w:ind w:left="360" w:firstLine="0"/>
        <w:rPr>
          <w:color w:val="0000CC"/>
        </w:rPr>
      </w:pPr>
      <w:r w:rsidRPr="00704F57">
        <w:rPr>
          <w:color w:val="0000CC"/>
        </w:rPr>
        <w:t xml:space="preserve"> (Beauchamp et al. 2008, pp. 259-260)</w:t>
      </w:r>
    </w:p>
    <w:p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BA26B3" w:rsidRDefault="00BA26B3" w:rsidP="00BA26B3">
      <w:pPr>
        <w:ind w:left="0" w:firstLine="0"/>
        <w:rPr>
          <w:color w:val="FF0000"/>
          <w:u w:val="single"/>
        </w:rPr>
      </w:pPr>
    </w:p>
    <w:p w:rsidR="00BA26B3" w:rsidRPr="00704F57" w:rsidRDefault="00BA26B3" w:rsidP="00BA26B3">
      <w:pPr>
        <w:pStyle w:val="ListParagraph"/>
        <w:ind w:left="0" w:firstLine="0"/>
        <w:rPr>
          <w:color w:val="0000CC"/>
        </w:rPr>
      </w:pPr>
      <w:r w:rsidRPr="00704F57">
        <w:rPr>
          <w:color w:val="0000CC"/>
        </w:rPr>
        <w:t xml:space="preserve">“Caries Prevention: Sealants should be placed on pits and fissures of </w:t>
      </w:r>
      <w:r w:rsidRPr="00704F57">
        <w:rPr>
          <w:b/>
          <w:color w:val="0000CC"/>
        </w:rPr>
        <w:t>children’s</w:t>
      </w:r>
      <w:r w:rsidRPr="00704F57">
        <w:rPr>
          <w:color w:val="0000CC"/>
        </w:rPr>
        <w:t xml:space="preserve"> and </w:t>
      </w:r>
      <w:r w:rsidRPr="00704F57">
        <w:rPr>
          <w:b/>
          <w:color w:val="0000CC"/>
        </w:rPr>
        <w:t xml:space="preserve">adolescents’ </w:t>
      </w:r>
      <w:r w:rsidRPr="00704F57">
        <w:rPr>
          <w:color w:val="0000CC"/>
        </w:rPr>
        <w:t>permanent teeth when it is determined that the tooth, or the patient, is at risk of developing caries.” (Beauchamp et al. 2008, p. 263, Table 3)</w:t>
      </w:r>
    </w:p>
    <w:p w:rsidR="00BA26B3" w:rsidRPr="00704F57" w:rsidRDefault="00BA26B3" w:rsidP="00BA26B3">
      <w:pPr>
        <w:pStyle w:val="ListParagraph"/>
        <w:ind w:left="0" w:firstLine="0"/>
        <w:rPr>
          <w:color w:val="0000CC"/>
        </w:rPr>
      </w:pPr>
    </w:p>
    <w:p w:rsidR="00BA26B3" w:rsidRPr="00704F57" w:rsidRDefault="00BA26B3" w:rsidP="00BA26B3">
      <w:pPr>
        <w:pStyle w:val="ListParagraph"/>
        <w:ind w:left="0" w:firstLine="0"/>
        <w:rPr>
          <w:color w:val="0000CC"/>
        </w:rPr>
      </w:pPr>
      <w:r w:rsidRPr="00704F57">
        <w:rPr>
          <w:b/>
          <w:color w:val="0000CC"/>
        </w:rPr>
        <w:t>Grade</w:t>
      </w:r>
      <w:r w:rsidR="00676F32" w:rsidRPr="00704F57">
        <w:rPr>
          <w:b/>
          <w:color w:val="0000CC"/>
        </w:rPr>
        <w:t xml:space="preserve">: </w:t>
      </w:r>
      <w:r w:rsidR="00676F32" w:rsidRPr="00704F57">
        <w:rPr>
          <w:color w:val="0000CC"/>
        </w:rPr>
        <w:t xml:space="preserve">The </w:t>
      </w:r>
      <w:r w:rsidR="00676F32" w:rsidRPr="00704F57">
        <w:rPr>
          <w:color w:val="0000CC"/>
          <w:u w:val="single"/>
        </w:rPr>
        <w:t>evidence grade</w:t>
      </w:r>
      <w:r w:rsidR="00676F32" w:rsidRPr="00704F57">
        <w:rPr>
          <w:color w:val="0000CC"/>
        </w:rPr>
        <w:t xml:space="preserve"> is </w:t>
      </w:r>
      <w:r w:rsidR="00676F32" w:rsidRPr="00704F57">
        <w:rPr>
          <w:b/>
          <w:color w:val="0000CC"/>
        </w:rPr>
        <w:t>IA</w:t>
      </w:r>
      <w:r w:rsidRPr="00704F57">
        <w:rPr>
          <w:b/>
          <w:color w:val="0000CC"/>
        </w:rPr>
        <w:t xml:space="preserve"> </w:t>
      </w:r>
      <w:r w:rsidRPr="00704F57">
        <w:rPr>
          <w:color w:val="0000CC"/>
        </w:rPr>
        <w:t xml:space="preserve">which is </w:t>
      </w:r>
      <w:r w:rsidRPr="00704F57">
        <w:rPr>
          <w:color w:val="0000CC"/>
          <w:u w:val="single"/>
        </w:rPr>
        <w:t>defined</w:t>
      </w:r>
      <w:r w:rsidRPr="00704F57">
        <w:rPr>
          <w:color w:val="0000CC"/>
        </w:rPr>
        <w:t xml:space="preserve"> as: “</w:t>
      </w:r>
      <w:r w:rsidR="00676F32" w:rsidRPr="00704F57">
        <w:rPr>
          <w:color w:val="0000CC"/>
        </w:rPr>
        <w:t xml:space="preserve">Evidence from systematic reviews of randomized controlled trials” </w:t>
      </w:r>
      <w:r w:rsidRPr="00704F57">
        <w:rPr>
          <w:color w:val="0000CC"/>
        </w:rPr>
        <w:t>(Beauchamp 2008, pp. 261, 263, Tables 1, 3)</w:t>
      </w:r>
      <w:r w:rsidR="00031108" w:rsidRPr="00704F57">
        <w:rPr>
          <w:color w:val="0000CC"/>
        </w:rPr>
        <w:t xml:space="preserve">.  </w:t>
      </w:r>
      <w:r w:rsidRPr="00704F57">
        <w:rPr>
          <w:color w:val="0000CC"/>
        </w:rPr>
        <w:t xml:space="preserve">Grading system adapted from: </w:t>
      </w:r>
      <w:proofErr w:type="spellStart"/>
      <w:r w:rsidRPr="00704F57">
        <w:rPr>
          <w:color w:val="0000CC"/>
        </w:rPr>
        <w:t>Shekelle</w:t>
      </w:r>
      <w:proofErr w:type="spellEnd"/>
      <w:r w:rsidRPr="00704F57">
        <w:rPr>
          <w:color w:val="0000CC"/>
        </w:rPr>
        <w:t xml:space="preserve"> </w:t>
      </w:r>
      <w:r w:rsidR="007D0611" w:rsidRPr="00704F57">
        <w:rPr>
          <w:color w:val="0000CC"/>
        </w:rPr>
        <w:t>et al. (1999)</w:t>
      </w:r>
      <w:r w:rsidR="00031108" w:rsidRPr="00704F57">
        <w:rPr>
          <w:color w:val="0000CC"/>
        </w:rPr>
        <w:t xml:space="preserve"> cited in 1a.4</w:t>
      </w:r>
      <w:r w:rsidR="007D0611" w:rsidRPr="00704F57">
        <w:rPr>
          <w:color w:val="0000CC"/>
        </w:rPr>
        <w:t>.</w:t>
      </w:r>
    </w:p>
    <w:p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A12762" w:rsidRDefault="00A12762" w:rsidP="002E2177">
      <w:pPr>
        <w:ind w:left="0" w:firstLine="0"/>
        <w:rPr>
          <w:noProof/>
        </w:rPr>
      </w:pPr>
    </w:p>
    <w:p w:rsidR="007D0611" w:rsidRPr="00704F57" w:rsidRDefault="007D0611" w:rsidP="007D0611">
      <w:pPr>
        <w:ind w:left="0" w:firstLine="0"/>
        <w:rPr>
          <w:noProof/>
          <w:color w:val="0000CC"/>
        </w:rPr>
      </w:pPr>
      <w:r w:rsidRPr="00704F57">
        <w:rPr>
          <w:b/>
          <w:noProof/>
          <w:color w:val="0000CC"/>
        </w:rPr>
        <w:t xml:space="preserve">Ia: </w:t>
      </w:r>
      <w:r w:rsidRPr="00704F57">
        <w:rPr>
          <w:noProof/>
          <w:color w:val="0000CC"/>
        </w:rPr>
        <w:t>Evidence from systematic reviews of randomized controlled trials</w:t>
      </w:r>
    </w:p>
    <w:p w:rsidR="007D0611" w:rsidRPr="00704F57" w:rsidRDefault="007D0611" w:rsidP="007D0611">
      <w:pPr>
        <w:ind w:left="0" w:firstLine="0"/>
        <w:rPr>
          <w:noProof/>
          <w:color w:val="0000CC"/>
        </w:rPr>
      </w:pPr>
      <w:r w:rsidRPr="00704F57">
        <w:rPr>
          <w:b/>
          <w:noProof/>
          <w:color w:val="0000CC"/>
        </w:rPr>
        <w:t xml:space="preserve">Ib: </w:t>
      </w:r>
      <w:r w:rsidRPr="00704F57">
        <w:rPr>
          <w:noProof/>
          <w:color w:val="0000CC"/>
        </w:rPr>
        <w:t>Evidence from at least one randomized controlled trial</w:t>
      </w:r>
    </w:p>
    <w:p w:rsidR="007D0611" w:rsidRPr="00704F57" w:rsidRDefault="007D0611" w:rsidP="007D0611">
      <w:pPr>
        <w:ind w:left="0" w:firstLine="0"/>
        <w:rPr>
          <w:noProof/>
          <w:color w:val="0000CC"/>
        </w:rPr>
      </w:pPr>
      <w:r w:rsidRPr="00704F57">
        <w:rPr>
          <w:b/>
          <w:noProof/>
          <w:color w:val="0000CC"/>
        </w:rPr>
        <w:t xml:space="preserve">IIa: </w:t>
      </w:r>
      <w:r w:rsidRPr="00704F57">
        <w:rPr>
          <w:noProof/>
          <w:color w:val="0000CC"/>
        </w:rPr>
        <w:t>Evidence from at least one controlled study without randomization</w:t>
      </w:r>
    </w:p>
    <w:p w:rsidR="007D0611" w:rsidRPr="00704F57" w:rsidRDefault="007D0611" w:rsidP="007D0611">
      <w:pPr>
        <w:ind w:left="0" w:firstLine="0"/>
        <w:rPr>
          <w:noProof/>
          <w:color w:val="0000CC"/>
        </w:rPr>
      </w:pPr>
      <w:r w:rsidRPr="00704F57">
        <w:rPr>
          <w:b/>
          <w:noProof/>
          <w:color w:val="0000CC"/>
        </w:rPr>
        <w:t xml:space="preserve">IIb: </w:t>
      </w:r>
      <w:r w:rsidRPr="00704F57">
        <w:rPr>
          <w:noProof/>
          <w:color w:val="0000CC"/>
        </w:rPr>
        <w:t>Evidence from at least one other type of quasiexperimental study, such as time series analysis or studies in which the unit of analysis is not the individual</w:t>
      </w:r>
    </w:p>
    <w:p w:rsidR="007D0611" w:rsidRPr="00704F57" w:rsidRDefault="007D0611" w:rsidP="007D0611">
      <w:pPr>
        <w:ind w:left="0" w:firstLine="0"/>
        <w:rPr>
          <w:noProof/>
          <w:color w:val="0000CC"/>
        </w:rPr>
      </w:pPr>
      <w:r w:rsidRPr="00704F57">
        <w:rPr>
          <w:b/>
          <w:noProof/>
          <w:color w:val="0000CC"/>
        </w:rPr>
        <w:t xml:space="preserve">III: </w:t>
      </w:r>
      <w:r w:rsidRPr="00704F57">
        <w:rPr>
          <w:noProof/>
          <w:color w:val="0000CC"/>
        </w:rPr>
        <w:t>Evidence from nonexperimental descriptive studies, such as comparative studies, correlation studies, cohort studies and case-control studies</w:t>
      </w:r>
    </w:p>
    <w:p w:rsidR="007D0611" w:rsidRPr="00704F57" w:rsidRDefault="007D0611" w:rsidP="007D0611">
      <w:pPr>
        <w:ind w:left="0" w:firstLine="0"/>
        <w:rPr>
          <w:noProof/>
          <w:color w:val="0000CC"/>
        </w:rPr>
      </w:pPr>
      <w:r w:rsidRPr="00704F57">
        <w:rPr>
          <w:b/>
          <w:noProof/>
          <w:color w:val="0000CC"/>
        </w:rPr>
        <w:t xml:space="preserve">IV: </w:t>
      </w:r>
      <w:r w:rsidRPr="00704F57">
        <w:rPr>
          <w:noProof/>
          <w:color w:val="0000CC"/>
        </w:rPr>
        <w:t>Evidence from expert committee reports or opinions or clinical experience of respected authorities</w:t>
      </w:r>
    </w:p>
    <w:p w:rsidR="007D0611" w:rsidRPr="00704F57" w:rsidRDefault="007D0611" w:rsidP="002E2177">
      <w:pPr>
        <w:ind w:left="0" w:firstLine="0"/>
        <w:rPr>
          <w:b/>
          <w:noProof/>
          <w:color w:val="0000CC"/>
          <w:u w:val="single"/>
        </w:rPr>
      </w:pPr>
    </w:p>
    <w:p w:rsidR="007D0611" w:rsidRPr="00704F57" w:rsidRDefault="007D0611" w:rsidP="007D0611">
      <w:pPr>
        <w:pStyle w:val="ListParagraph"/>
        <w:ind w:left="0" w:firstLine="0"/>
        <w:rPr>
          <w:color w:val="0000CC"/>
        </w:rPr>
      </w:pPr>
      <w:r w:rsidRPr="00704F57">
        <w:rPr>
          <w:color w:val="0000CC"/>
        </w:rPr>
        <w:t xml:space="preserve">(Beauchamp et al. 2008, p. 261) Grading system adapted from: </w:t>
      </w:r>
      <w:proofErr w:type="spellStart"/>
      <w:r w:rsidRPr="00704F57">
        <w:rPr>
          <w:color w:val="0000CC"/>
        </w:rPr>
        <w:t>Shekelle</w:t>
      </w:r>
      <w:proofErr w:type="spellEnd"/>
      <w:r w:rsidRPr="00704F57">
        <w:rPr>
          <w:color w:val="0000CC"/>
        </w:rPr>
        <w:t xml:space="preserve"> et al. (1999).</w:t>
      </w:r>
    </w:p>
    <w:p w:rsidR="00496AF8" w:rsidRPr="00A32192" w:rsidRDefault="00496AF8" w:rsidP="002E2177">
      <w:pPr>
        <w:ind w:left="432" w:hanging="432"/>
      </w:pPr>
      <w:bookmarkStart w:id="10" w:name="Section1a7"/>
      <w:bookmarkEnd w:id="10"/>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color w:val="0000CC"/>
          </w:rPr>
          <w:id w:val="-1666395719"/>
        </w:sdtPr>
        <w:sdtEndPr>
          <w:rPr>
            <w:rStyle w:val="DefaultParagraphFont"/>
            <w:u w:val="none"/>
          </w:rPr>
        </w:sdtEndPr>
        <w:sdtContent>
          <w:r w:rsidR="0016657B" w:rsidRPr="00704F57">
            <w:rPr>
              <w:color w:val="0000CC"/>
            </w:rPr>
            <w:t xml:space="preserve">Literature studies for sealants were conducted to identify all systematic reviews through Oct. 4, 2006. To ensure new clinical studies published since the search within each review were included within the guideline development </w:t>
          </w:r>
          <w:proofErr w:type="gramStart"/>
          <w:r w:rsidR="0016657B" w:rsidRPr="00704F57">
            <w:rPr>
              <w:color w:val="0000CC"/>
            </w:rPr>
            <w:t>effort,</w:t>
          </w:r>
          <w:proofErr w:type="gramEnd"/>
          <w:r w:rsidR="0016657B" w:rsidRPr="00704F57">
            <w:rPr>
              <w:color w:val="0000CC"/>
            </w:rPr>
            <w:t xml:space="preserve"> additional searches were conducted for clinical trials until September 2006.</w:t>
          </w:r>
        </w:sdtContent>
      </w:sdt>
    </w:p>
    <w:p w:rsidR="001244B8" w:rsidRDefault="001244B8" w:rsidP="001244B8">
      <w:pPr>
        <w:ind w:left="0" w:firstLine="0"/>
        <w:rPr>
          <w:color w:val="0000CC"/>
        </w:rPr>
      </w:pPr>
    </w:p>
    <w:p w:rsidR="000C46C8" w:rsidRDefault="000C46C8">
      <w:pPr>
        <w:rPr>
          <w:b/>
          <w:noProof/>
        </w:rPr>
      </w:pPr>
      <w:r>
        <w:rPr>
          <w:b/>
          <w:noProof/>
        </w:rPr>
        <w:br w:type="page"/>
      </w:r>
    </w:p>
    <w:p w:rsidR="00496AF8" w:rsidRPr="003956E0" w:rsidRDefault="00C5180E" w:rsidP="002E2177">
      <w:pPr>
        <w:ind w:left="0" w:firstLine="0"/>
        <w:rPr>
          <w:b/>
        </w:rPr>
      </w:pPr>
      <w:r w:rsidRPr="003956E0">
        <w:rPr>
          <w:b/>
          <w:noProof/>
        </w:rPr>
        <w:lastRenderedPageBreak/>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496AF8" w:rsidRPr="009953E1" w:rsidRDefault="00496AF8" w:rsidP="002E2177">
      <w:pPr>
        <w:ind w:left="0" w:firstLine="0"/>
        <w:rPr>
          <w:color w:val="FF0000"/>
        </w:rPr>
      </w:pPr>
    </w:p>
    <w:p w:rsidR="005D19E3" w:rsidRPr="00704F57" w:rsidRDefault="005D19E3" w:rsidP="00951D4C">
      <w:pPr>
        <w:ind w:left="0" w:firstLine="0"/>
        <w:rPr>
          <w:color w:val="0000CC"/>
        </w:rPr>
      </w:pPr>
      <w:r w:rsidRPr="00704F57">
        <w:rPr>
          <w:color w:val="0000CC"/>
        </w:rPr>
        <w:t>7 systematic reviews and 14 individual clinical studies we</w:t>
      </w:r>
      <w:r w:rsidR="00951D4C" w:rsidRPr="00704F57">
        <w:rPr>
          <w:color w:val="0000CC"/>
        </w:rPr>
        <w:t>re reviewed</w:t>
      </w:r>
      <w:r w:rsidR="00426B70" w:rsidRPr="00704F57">
        <w:rPr>
          <w:color w:val="0000CC"/>
        </w:rPr>
        <w:t xml:space="preserve"> with respect to the clinical questions identified</w:t>
      </w:r>
      <w:r w:rsidR="00951D4C" w:rsidRPr="00704F57">
        <w:rPr>
          <w:color w:val="0000CC"/>
        </w:rPr>
        <w:t>.  The evidence guidelines do not provide summary data regarding the number of studies by type of study.</w:t>
      </w:r>
      <w:r w:rsidR="00F4519B" w:rsidRPr="00704F57">
        <w:rPr>
          <w:color w:val="0000CC"/>
        </w:rPr>
        <w:t xml:space="preserve"> (Beauchamp 2008, p. 260)</w:t>
      </w:r>
    </w:p>
    <w:p w:rsidR="00951D4C" w:rsidRDefault="00951D4C" w:rsidP="00951D4C">
      <w:pPr>
        <w:ind w:left="0" w:firstLine="0"/>
        <w:rPr>
          <w:color w:val="FF0000"/>
        </w:rPr>
      </w:pPr>
    </w:p>
    <w:p w:rsidR="00951D4C" w:rsidRPr="00704F57" w:rsidRDefault="00951D4C" w:rsidP="00951D4C">
      <w:pPr>
        <w:ind w:left="0" w:firstLine="0"/>
        <w:rPr>
          <w:color w:val="0000CC"/>
        </w:rPr>
      </w:pPr>
      <w:r w:rsidRPr="00704F57">
        <w:rPr>
          <w:color w:val="0000CC"/>
        </w:rPr>
        <w:t xml:space="preserve">However, the guidelines </w:t>
      </w:r>
      <w:r w:rsidR="00F4519B" w:rsidRPr="00704F57">
        <w:rPr>
          <w:color w:val="0000CC"/>
        </w:rPr>
        <w:t>provide the following details</w:t>
      </w:r>
      <w:r w:rsidRPr="00704F57">
        <w:rPr>
          <w:color w:val="0000CC"/>
        </w:rPr>
        <w:t xml:space="preserve"> regarding </w:t>
      </w:r>
      <w:r w:rsidR="00F4519B" w:rsidRPr="00704F57">
        <w:rPr>
          <w:color w:val="0000CC"/>
        </w:rPr>
        <w:t xml:space="preserve">the strength and quality of the </w:t>
      </w:r>
      <w:r w:rsidRPr="00704F57">
        <w:rPr>
          <w:color w:val="0000CC"/>
        </w:rPr>
        <w:t>evidence related to sealants for caries prevention</w:t>
      </w:r>
      <w:r w:rsidR="00031108" w:rsidRPr="00704F57">
        <w:rPr>
          <w:color w:val="0000CC"/>
        </w:rPr>
        <w:t>:</w:t>
      </w:r>
    </w:p>
    <w:p w:rsidR="000C46C8" w:rsidRDefault="000C46C8" w:rsidP="00951D4C">
      <w:pPr>
        <w:ind w:left="0" w:firstLine="0"/>
        <w:rPr>
          <w:b/>
          <w:color w:val="0000CC"/>
          <w:u w:val="single"/>
        </w:rPr>
      </w:pPr>
    </w:p>
    <w:p w:rsidR="00951D4C" w:rsidRPr="00704F57" w:rsidRDefault="00951D4C" w:rsidP="00951D4C">
      <w:pPr>
        <w:ind w:left="0" w:firstLine="0"/>
        <w:rPr>
          <w:b/>
          <w:color w:val="0000CC"/>
          <w:u w:val="single"/>
        </w:rPr>
      </w:pPr>
      <w:r w:rsidRPr="00704F57">
        <w:rPr>
          <w:b/>
          <w:color w:val="0000CC"/>
          <w:u w:val="single"/>
        </w:rPr>
        <w:t xml:space="preserve">Evidence Grade </w:t>
      </w:r>
      <w:proofErr w:type="spellStart"/>
      <w:proofErr w:type="gramStart"/>
      <w:r w:rsidRPr="00704F57">
        <w:rPr>
          <w:b/>
          <w:color w:val="0000CC"/>
          <w:u w:val="single"/>
        </w:rPr>
        <w:t>Ia</w:t>
      </w:r>
      <w:proofErr w:type="spellEnd"/>
      <w:proofErr w:type="gramEnd"/>
      <w:r w:rsidRPr="00704F57">
        <w:rPr>
          <w:b/>
          <w:color w:val="0000CC"/>
          <w:u w:val="single"/>
        </w:rPr>
        <w:t xml:space="preserve"> (systematic reviews of randomized controlled trials)</w:t>
      </w:r>
    </w:p>
    <w:p w:rsidR="00951D4C" w:rsidRPr="00704F57" w:rsidRDefault="00951D4C" w:rsidP="00951D4C">
      <w:pPr>
        <w:ind w:left="0" w:firstLine="0"/>
        <w:rPr>
          <w:color w:val="0000CC"/>
        </w:rPr>
      </w:pPr>
      <w:r w:rsidRPr="00704F57">
        <w:rPr>
          <w:color w:val="0000CC"/>
        </w:rPr>
        <w:t>Supports the following evidence statements based on the evidence review by the expert panel:</w:t>
      </w:r>
    </w:p>
    <w:p w:rsidR="00951D4C" w:rsidRPr="00704F57" w:rsidRDefault="00F4519B" w:rsidP="00951D4C">
      <w:pPr>
        <w:pStyle w:val="ListParagraph"/>
        <w:numPr>
          <w:ilvl w:val="0"/>
          <w:numId w:val="14"/>
        </w:numPr>
        <w:rPr>
          <w:color w:val="0000CC"/>
        </w:rPr>
      </w:pPr>
      <w:r w:rsidRPr="00704F57">
        <w:rPr>
          <w:color w:val="0000CC"/>
        </w:rPr>
        <w:t>“</w:t>
      </w:r>
      <w:r w:rsidR="00951D4C" w:rsidRPr="00704F57">
        <w:rPr>
          <w:color w:val="0000CC"/>
        </w:rPr>
        <w:t>Placement of resin-based sealants on the permanent molars of children and adolescents is effective for caries reduction.</w:t>
      </w:r>
      <w:r w:rsidRPr="00704F57">
        <w:rPr>
          <w:color w:val="0000CC"/>
        </w:rPr>
        <w:t>”</w:t>
      </w:r>
      <w:r w:rsidR="00951D4C" w:rsidRPr="00704F57">
        <w:rPr>
          <w:color w:val="0000CC"/>
        </w:rPr>
        <w:t xml:space="preserve">  </w:t>
      </w:r>
      <w:r w:rsidRPr="00704F57">
        <w:rPr>
          <w:color w:val="0000CC"/>
        </w:rPr>
        <w:t>(Beauchamp 2008, p. 260)</w:t>
      </w:r>
    </w:p>
    <w:p w:rsidR="00951D4C" w:rsidRPr="00704F57" w:rsidRDefault="00F4519B" w:rsidP="00951D4C">
      <w:pPr>
        <w:pStyle w:val="ListParagraph"/>
        <w:numPr>
          <w:ilvl w:val="0"/>
          <w:numId w:val="14"/>
        </w:numPr>
        <w:rPr>
          <w:color w:val="0000CC"/>
        </w:rPr>
      </w:pPr>
      <w:r w:rsidRPr="00704F57">
        <w:rPr>
          <w:color w:val="0000CC"/>
        </w:rPr>
        <w:t>“</w:t>
      </w:r>
      <w:r w:rsidR="00951D4C" w:rsidRPr="00704F57">
        <w:rPr>
          <w:color w:val="0000CC"/>
        </w:rPr>
        <w:t>Reduction of caries incidence in children and adolescents after placement of resin-based sealants ranges from 86 percent at one year to 78.6 percent at two years and 58.6 percent at four years.</w:t>
      </w:r>
      <w:r w:rsidRPr="00704F57">
        <w:rPr>
          <w:color w:val="0000CC"/>
        </w:rPr>
        <w:t>” (Beauchamp 2008, p. 260)</w:t>
      </w:r>
    </w:p>
    <w:p w:rsidR="00951D4C" w:rsidRPr="00704F57" w:rsidRDefault="00426B70" w:rsidP="00951D4C">
      <w:pPr>
        <w:rPr>
          <w:color w:val="0000CC"/>
        </w:rPr>
      </w:pPr>
      <w:r w:rsidRPr="00704F57">
        <w:rPr>
          <w:color w:val="0000CC"/>
          <w:u w:val="single"/>
        </w:rPr>
        <w:t>Studies</w:t>
      </w:r>
      <w:r w:rsidR="00F4519B" w:rsidRPr="00704F57">
        <w:rPr>
          <w:color w:val="0000CC"/>
          <w:u w:val="single"/>
        </w:rPr>
        <w:t xml:space="preserve"> with evidence grade of </w:t>
      </w:r>
      <w:proofErr w:type="spellStart"/>
      <w:proofErr w:type="gramStart"/>
      <w:r w:rsidR="00F4519B" w:rsidRPr="00704F57">
        <w:rPr>
          <w:color w:val="0000CC"/>
          <w:u w:val="single"/>
        </w:rPr>
        <w:t>Ia</w:t>
      </w:r>
      <w:proofErr w:type="spellEnd"/>
      <w:proofErr w:type="gramEnd"/>
      <w:r w:rsidRPr="00704F57">
        <w:rPr>
          <w:color w:val="0000CC"/>
          <w:u w:val="single"/>
        </w:rPr>
        <w:t xml:space="preserve"> cited</w:t>
      </w:r>
      <w:r w:rsidRPr="00704F57">
        <w:rPr>
          <w:color w:val="0000CC"/>
        </w:rPr>
        <w:t xml:space="preserve">: </w:t>
      </w:r>
    </w:p>
    <w:p w:rsidR="00426B70" w:rsidRPr="00704F57" w:rsidRDefault="00426B70" w:rsidP="00426B70">
      <w:pPr>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Worthington H, </w:t>
      </w:r>
      <w:proofErr w:type="spellStart"/>
      <w:r w:rsidRPr="00704F57">
        <w:rPr>
          <w:color w:val="0000CC"/>
        </w:rPr>
        <w:t>Mäkelä</w:t>
      </w:r>
      <w:proofErr w:type="spellEnd"/>
      <w:r w:rsidRPr="00704F57">
        <w:rPr>
          <w:color w:val="0000CC"/>
        </w:rPr>
        <w:t xml:space="preserve"> M. Pit and fissure sealants for preventing dental decay in the permanent teeth of children and adolescents. Cochrane Database </w:t>
      </w:r>
      <w:proofErr w:type="spellStart"/>
      <w:r w:rsidRPr="00704F57">
        <w:rPr>
          <w:color w:val="0000CC"/>
        </w:rPr>
        <w:t>Syst</w:t>
      </w:r>
      <w:proofErr w:type="spellEnd"/>
      <w:r w:rsidRPr="00704F57">
        <w:rPr>
          <w:color w:val="0000CC"/>
        </w:rPr>
        <w:t xml:space="preserve"> Rev 2004(3):CD001830.</w:t>
      </w:r>
    </w:p>
    <w:p w:rsidR="00951D4C" w:rsidRPr="00704F57" w:rsidRDefault="00426B70" w:rsidP="00426B70">
      <w:pPr>
        <w:rPr>
          <w:color w:val="0000CC"/>
        </w:rPr>
      </w:pPr>
      <w:proofErr w:type="spellStart"/>
      <w:r w:rsidRPr="00704F57">
        <w:rPr>
          <w:color w:val="0000CC"/>
        </w:rPr>
        <w:t>Llodra</w:t>
      </w:r>
      <w:proofErr w:type="spellEnd"/>
      <w:r w:rsidRPr="00704F57">
        <w:rPr>
          <w:color w:val="0000CC"/>
        </w:rPr>
        <w:t xml:space="preserve"> JC, Bravo M, Delgado-Rodriguez M, Baca P, Galvez R. Factors influencing the effectiveness of sealants: a meta-analysis. Community Dent Oral </w:t>
      </w:r>
      <w:proofErr w:type="spellStart"/>
      <w:r w:rsidRPr="00704F57">
        <w:rPr>
          <w:color w:val="0000CC"/>
        </w:rPr>
        <w:t>Epidemiol</w:t>
      </w:r>
      <w:proofErr w:type="spellEnd"/>
      <w:r w:rsidRPr="00704F57">
        <w:rPr>
          <w:color w:val="0000CC"/>
        </w:rPr>
        <w:t xml:space="preserve"> 1993</w:t>
      </w:r>
      <w:proofErr w:type="gramStart"/>
      <w:r w:rsidRPr="00704F57">
        <w:rPr>
          <w:color w:val="0000CC"/>
        </w:rPr>
        <w:t>;21</w:t>
      </w:r>
      <w:proofErr w:type="gramEnd"/>
      <w:r w:rsidRPr="00704F57">
        <w:rPr>
          <w:color w:val="0000CC"/>
        </w:rPr>
        <w:t>(5):261-268.</w:t>
      </w:r>
    </w:p>
    <w:p w:rsidR="00426B70" w:rsidRPr="00704F57" w:rsidRDefault="00426B70" w:rsidP="00426B70">
      <w:pPr>
        <w:rPr>
          <w:color w:val="0000CC"/>
        </w:rPr>
      </w:pPr>
    </w:p>
    <w:p w:rsidR="00951D4C" w:rsidRPr="00704F57" w:rsidRDefault="00951D4C" w:rsidP="00951D4C">
      <w:pPr>
        <w:ind w:left="0" w:firstLine="0"/>
        <w:rPr>
          <w:b/>
          <w:color w:val="0000CC"/>
          <w:u w:val="single"/>
        </w:rPr>
      </w:pPr>
      <w:r w:rsidRPr="00704F57">
        <w:rPr>
          <w:b/>
          <w:color w:val="0000CC"/>
          <w:u w:val="single"/>
        </w:rPr>
        <w:t xml:space="preserve">Evidence Grade </w:t>
      </w:r>
      <w:proofErr w:type="spellStart"/>
      <w:r w:rsidRPr="00704F57">
        <w:rPr>
          <w:b/>
          <w:color w:val="0000CC"/>
          <w:u w:val="single"/>
        </w:rPr>
        <w:t>Ib</w:t>
      </w:r>
      <w:proofErr w:type="spellEnd"/>
      <w:r w:rsidRPr="00704F57">
        <w:rPr>
          <w:b/>
          <w:color w:val="0000CC"/>
          <w:u w:val="single"/>
        </w:rPr>
        <w:t xml:space="preserve"> (evidence from at least one randomized controlled trial)</w:t>
      </w:r>
    </w:p>
    <w:p w:rsidR="00951D4C" w:rsidRPr="00704F57" w:rsidRDefault="00951D4C" w:rsidP="00951D4C">
      <w:pPr>
        <w:ind w:left="0" w:firstLine="0"/>
        <w:rPr>
          <w:color w:val="0000CC"/>
        </w:rPr>
      </w:pPr>
      <w:r w:rsidRPr="00704F57">
        <w:rPr>
          <w:color w:val="0000CC"/>
        </w:rPr>
        <w:t>Supports the following evidence statements based on the evidence review by the expert panel:</w:t>
      </w:r>
    </w:p>
    <w:p w:rsidR="00951D4C" w:rsidRPr="00704F57" w:rsidRDefault="00F4519B" w:rsidP="00951D4C">
      <w:pPr>
        <w:pStyle w:val="ListParagraph"/>
        <w:numPr>
          <w:ilvl w:val="0"/>
          <w:numId w:val="15"/>
        </w:numPr>
        <w:rPr>
          <w:color w:val="0000CC"/>
        </w:rPr>
      </w:pPr>
      <w:r w:rsidRPr="00704F57">
        <w:rPr>
          <w:color w:val="0000CC"/>
        </w:rPr>
        <w:t>“</w:t>
      </w:r>
      <w:r w:rsidR="00951D4C" w:rsidRPr="00704F57">
        <w:rPr>
          <w:color w:val="0000CC"/>
        </w:rPr>
        <w:t xml:space="preserve">Sealants are effective in reducing </w:t>
      </w:r>
      <w:proofErr w:type="spellStart"/>
      <w:r w:rsidR="00951D4C" w:rsidRPr="00704F57">
        <w:rPr>
          <w:color w:val="0000CC"/>
        </w:rPr>
        <w:t>occlusal</w:t>
      </w:r>
      <w:proofErr w:type="spellEnd"/>
      <w:r w:rsidR="00951D4C" w:rsidRPr="00704F57">
        <w:rPr>
          <w:color w:val="0000CC"/>
        </w:rPr>
        <w:t xml:space="preserve"> caries incidence in permanent first molars of children, with caries reductions of 76.3 percent at four years, when sealants were reapplied as needed. Caries reduction was 65 percent at nine years from initial treatment, with no reapplication </w:t>
      </w:r>
      <w:r w:rsidR="00BF5AF9" w:rsidRPr="00704F57">
        <w:rPr>
          <w:color w:val="0000CC"/>
        </w:rPr>
        <w:t>d</w:t>
      </w:r>
      <w:r w:rsidR="00951D4C" w:rsidRPr="00704F57">
        <w:rPr>
          <w:color w:val="0000CC"/>
        </w:rPr>
        <w:t>uring the</w:t>
      </w:r>
      <w:r w:rsidR="00BF5AF9" w:rsidRPr="00704F57">
        <w:rPr>
          <w:color w:val="0000CC"/>
        </w:rPr>
        <w:t xml:space="preserve"> last five years.</w:t>
      </w:r>
      <w:r w:rsidRPr="00704F57">
        <w:rPr>
          <w:color w:val="0000CC"/>
        </w:rPr>
        <w:t>” (Beauchamp 2008, p. 261)</w:t>
      </w:r>
    </w:p>
    <w:p w:rsidR="00BF5AF9" w:rsidRPr="00704F57" w:rsidRDefault="00BF5AF9" w:rsidP="00BF5AF9">
      <w:pPr>
        <w:rPr>
          <w:color w:val="0000CC"/>
        </w:rPr>
      </w:pPr>
      <w:r w:rsidRPr="00704F57">
        <w:rPr>
          <w:color w:val="0000CC"/>
          <w:u w:val="single"/>
        </w:rPr>
        <w:t>Studies</w:t>
      </w:r>
      <w:r w:rsidR="00F4519B" w:rsidRPr="00704F57">
        <w:rPr>
          <w:color w:val="0000CC"/>
          <w:u w:val="single"/>
        </w:rPr>
        <w:t xml:space="preserve"> with evidence grade of </w:t>
      </w:r>
      <w:proofErr w:type="spellStart"/>
      <w:proofErr w:type="gramStart"/>
      <w:r w:rsidR="00031108" w:rsidRPr="00704F57">
        <w:rPr>
          <w:color w:val="0000CC"/>
          <w:u w:val="single"/>
        </w:rPr>
        <w:t>I</w:t>
      </w:r>
      <w:r w:rsidR="00F4519B" w:rsidRPr="00704F57">
        <w:rPr>
          <w:color w:val="0000CC"/>
          <w:u w:val="single"/>
        </w:rPr>
        <w:t>b</w:t>
      </w:r>
      <w:proofErr w:type="spellEnd"/>
      <w:proofErr w:type="gramEnd"/>
      <w:r w:rsidRPr="00704F57">
        <w:rPr>
          <w:color w:val="0000CC"/>
          <w:u w:val="single"/>
        </w:rPr>
        <w:t xml:space="preserve"> cited</w:t>
      </w:r>
      <w:r w:rsidRPr="00704F57">
        <w:rPr>
          <w:color w:val="0000CC"/>
        </w:rPr>
        <w:t xml:space="preserve">: </w:t>
      </w:r>
    </w:p>
    <w:p w:rsidR="00426B70" w:rsidRPr="00704F57" w:rsidRDefault="00426B70" w:rsidP="00426B70">
      <w:pPr>
        <w:rPr>
          <w:color w:val="0000CC"/>
        </w:rPr>
      </w:pPr>
      <w:r w:rsidRPr="00704F57">
        <w:rPr>
          <w:color w:val="0000CC"/>
        </w:rPr>
        <w:t xml:space="preserve">Bravo M, Montero J, Bravo JJ, Baca P, </w:t>
      </w:r>
      <w:proofErr w:type="spellStart"/>
      <w:r w:rsidRPr="00704F57">
        <w:rPr>
          <w:color w:val="0000CC"/>
        </w:rPr>
        <w:t>Llodra</w:t>
      </w:r>
      <w:proofErr w:type="spellEnd"/>
      <w:r w:rsidRPr="00704F57">
        <w:rPr>
          <w:color w:val="0000CC"/>
        </w:rPr>
        <w:t xml:space="preserve"> JC. Sealant and fluoride varnish in caries: a randomized trial. J Dent Res 2005</w:t>
      </w:r>
      <w:proofErr w:type="gramStart"/>
      <w:r w:rsidRPr="00704F57">
        <w:rPr>
          <w:color w:val="0000CC"/>
        </w:rPr>
        <w:t>;84</w:t>
      </w:r>
      <w:proofErr w:type="gramEnd"/>
      <w:r w:rsidRPr="00704F57">
        <w:rPr>
          <w:color w:val="0000CC"/>
        </w:rPr>
        <w:t>(12):1138-1143.</w:t>
      </w:r>
    </w:p>
    <w:p w:rsidR="00BF5AF9" w:rsidRPr="00704F57" w:rsidRDefault="00BF5AF9" w:rsidP="00BF5AF9">
      <w:pPr>
        <w:rPr>
          <w:color w:val="0000CC"/>
        </w:rPr>
      </w:pPr>
    </w:p>
    <w:p w:rsidR="00BF5AF9" w:rsidRPr="00704F57" w:rsidRDefault="00BF5AF9" w:rsidP="00BF5AF9">
      <w:pPr>
        <w:ind w:left="0" w:firstLine="0"/>
        <w:rPr>
          <w:b/>
          <w:color w:val="0000CC"/>
          <w:u w:val="single"/>
        </w:rPr>
      </w:pPr>
      <w:r w:rsidRPr="00704F57">
        <w:rPr>
          <w:b/>
          <w:color w:val="0000CC"/>
          <w:u w:val="single"/>
        </w:rPr>
        <w:t xml:space="preserve">Evidence Grade III (evidence from </w:t>
      </w:r>
      <w:proofErr w:type="spellStart"/>
      <w:r w:rsidRPr="00704F57">
        <w:rPr>
          <w:b/>
          <w:color w:val="0000CC"/>
          <w:u w:val="single"/>
        </w:rPr>
        <w:t>nonexperimental</w:t>
      </w:r>
      <w:proofErr w:type="spellEnd"/>
      <w:r w:rsidRPr="00704F57">
        <w:rPr>
          <w:b/>
          <w:color w:val="0000CC"/>
          <w:u w:val="single"/>
        </w:rPr>
        <w:t xml:space="preserve"> descriptive studies, such as comparative studies, correlation studies, cohort studies and case control studies)</w:t>
      </w:r>
    </w:p>
    <w:p w:rsidR="00BF5AF9" w:rsidRPr="00704F57" w:rsidRDefault="00BF5AF9" w:rsidP="00BF5AF9">
      <w:pPr>
        <w:ind w:left="0" w:firstLine="0"/>
        <w:rPr>
          <w:color w:val="0000CC"/>
        </w:rPr>
      </w:pPr>
      <w:r w:rsidRPr="00704F57">
        <w:rPr>
          <w:color w:val="0000CC"/>
        </w:rPr>
        <w:t>Supports the following evidence statements based on the evidence review by the expert panel:</w:t>
      </w:r>
    </w:p>
    <w:p w:rsidR="00426B70" w:rsidRPr="00704F57" w:rsidRDefault="00F4519B" w:rsidP="00BF5AF9">
      <w:pPr>
        <w:pStyle w:val="ListParagraph"/>
        <w:numPr>
          <w:ilvl w:val="0"/>
          <w:numId w:val="15"/>
        </w:numPr>
        <w:rPr>
          <w:color w:val="0000CC"/>
        </w:rPr>
      </w:pPr>
      <w:r w:rsidRPr="00704F57">
        <w:rPr>
          <w:color w:val="0000CC"/>
        </w:rPr>
        <w:t>“</w:t>
      </w:r>
      <w:r w:rsidR="00BF5AF9" w:rsidRPr="00704F57">
        <w:rPr>
          <w:color w:val="0000CC"/>
        </w:rPr>
        <w:t>There is consistent evidence</w:t>
      </w:r>
      <w:r w:rsidR="00426B70" w:rsidRPr="00704F57">
        <w:rPr>
          <w:color w:val="0000CC"/>
        </w:rPr>
        <w:t xml:space="preserve"> </w:t>
      </w:r>
      <w:r w:rsidR="00BF5AF9" w:rsidRPr="00704F57">
        <w:rPr>
          <w:color w:val="0000CC"/>
        </w:rPr>
        <w:t>from private dental insurance and</w:t>
      </w:r>
      <w:r w:rsidR="00426B70" w:rsidRPr="00704F57">
        <w:rPr>
          <w:color w:val="0000CC"/>
        </w:rPr>
        <w:t xml:space="preserve"> </w:t>
      </w:r>
      <w:r w:rsidR="00BF5AF9" w:rsidRPr="00704F57">
        <w:rPr>
          <w:color w:val="0000CC"/>
        </w:rPr>
        <w:t xml:space="preserve">Medicaid databases that </w:t>
      </w:r>
      <w:r w:rsidR="00426B70" w:rsidRPr="00704F57">
        <w:rPr>
          <w:color w:val="0000CC"/>
        </w:rPr>
        <w:t>p</w:t>
      </w:r>
      <w:r w:rsidR="00BF5AF9" w:rsidRPr="00704F57">
        <w:rPr>
          <w:color w:val="0000CC"/>
        </w:rPr>
        <w:t>lacement</w:t>
      </w:r>
      <w:r w:rsidR="00426B70" w:rsidRPr="00704F57">
        <w:rPr>
          <w:color w:val="0000CC"/>
        </w:rPr>
        <w:t xml:space="preserve"> </w:t>
      </w:r>
      <w:r w:rsidR="00BF5AF9" w:rsidRPr="00704F57">
        <w:rPr>
          <w:color w:val="0000CC"/>
        </w:rPr>
        <w:t>of sealants on first and</w:t>
      </w:r>
      <w:r w:rsidR="00426B70" w:rsidRPr="00704F57">
        <w:rPr>
          <w:color w:val="0000CC"/>
        </w:rPr>
        <w:t xml:space="preserve"> </w:t>
      </w:r>
      <w:r w:rsidR="00BF5AF9" w:rsidRPr="00704F57">
        <w:rPr>
          <w:color w:val="0000CC"/>
        </w:rPr>
        <w:t>second permanent molars in children</w:t>
      </w:r>
      <w:r w:rsidR="00426B70" w:rsidRPr="00704F57">
        <w:rPr>
          <w:color w:val="0000CC"/>
        </w:rPr>
        <w:t xml:space="preserve"> </w:t>
      </w:r>
      <w:r w:rsidR="00BF5AF9" w:rsidRPr="00704F57">
        <w:rPr>
          <w:color w:val="0000CC"/>
        </w:rPr>
        <w:t xml:space="preserve">and </w:t>
      </w:r>
      <w:proofErr w:type="gramStart"/>
      <w:r w:rsidR="00BF5AF9" w:rsidRPr="00704F57">
        <w:rPr>
          <w:color w:val="0000CC"/>
        </w:rPr>
        <w:t>adolescents is</w:t>
      </w:r>
      <w:proofErr w:type="gramEnd"/>
      <w:r w:rsidRPr="00704F57">
        <w:rPr>
          <w:color w:val="0000CC"/>
        </w:rPr>
        <w:t xml:space="preserve"> a</w:t>
      </w:r>
      <w:r w:rsidR="00BF5AF9" w:rsidRPr="00704F57">
        <w:rPr>
          <w:color w:val="0000CC"/>
        </w:rPr>
        <w:t>ssociated</w:t>
      </w:r>
      <w:r w:rsidR="00426B70" w:rsidRPr="00704F57">
        <w:rPr>
          <w:color w:val="0000CC"/>
        </w:rPr>
        <w:t xml:space="preserve"> </w:t>
      </w:r>
      <w:r w:rsidR="00BF5AF9" w:rsidRPr="00704F57">
        <w:rPr>
          <w:color w:val="0000CC"/>
        </w:rPr>
        <w:t>with reductions in the subsequent</w:t>
      </w:r>
      <w:r w:rsidR="00426B70" w:rsidRPr="00704F57">
        <w:rPr>
          <w:color w:val="0000CC"/>
        </w:rPr>
        <w:t xml:space="preserve"> </w:t>
      </w:r>
      <w:r w:rsidR="00BF5AF9" w:rsidRPr="00704F57">
        <w:rPr>
          <w:color w:val="0000CC"/>
        </w:rPr>
        <w:t>provision of restorative service</w:t>
      </w:r>
      <w:r w:rsidRPr="00704F57">
        <w:rPr>
          <w:color w:val="0000CC"/>
        </w:rPr>
        <w:t>.” (Beauchamp 2008, p. 261)</w:t>
      </w:r>
    </w:p>
    <w:p w:rsidR="00BF5AF9" w:rsidRPr="00704F57" w:rsidRDefault="00F4519B" w:rsidP="00BF5AF9">
      <w:pPr>
        <w:pStyle w:val="ListParagraph"/>
        <w:numPr>
          <w:ilvl w:val="0"/>
          <w:numId w:val="15"/>
        </w:numPr>
        <w:rPr>
          <w:color w:val="0000CC"/>
        </w:rPr>
      </w:pPr>
      <w:r w:rsidRPr="00704F57">
        <w:rPr>
          <w:color w:val="0000CC"/>
        </w:rPr>
        <w:t>“</w:t>
      </w:r>
      <w:r w:rsidR="00BF5AF9" w:rsidRPr="00704F57">
        <w:rPr>
          <w:color w:val="0000CC"/>
        </w:rPr>
        <w:t>Evidence from Medicaid claims</w:t>
      </w:r>
      <w:r w:rsidR="00426B70" w:rsidRPr="00704F57">
        <w:rPr>
          <w:color w:val="0000CC"/>
        </w:rPr>
        <w:t xml:space="preserve"> </w:t>
      </w:r>
      <w:r w:rsidR="00BF5AF9" w:rsidRPr="00704F57">
        <w:rPr>
          <w:color w:val="0000CC"/>
        </w:rPr>
        <w:t>data for children who were continuously</w:t>
      </w:r>
      <w:r w:rsidR="00426B70" w:rsidRPr="00704F57">
        <w:rPr>
          <w:color w:val="0000CC"/>
        </w:rPr>
        <w:t xml:space="preserve"> </w:t>
      </w:r>
      <w:r w:rsidR="00BF5AF9" w:rsidRPr="00704F57">
        <w:rPr>
          <w:color w:val="0000CC"/>
        </w:rPr>
        <w:t>enrolled for four years indicates</w:t>
      </w:r>
      <w:r w:rsidR="00426B70" w:rsidRPr="00704F57">
        <w:rPr>
          <w:color w:val="0000CC"/>
        </w:rPr>
        <w:t xml:space="preserve"> </w:t>
      </w:r>
      <w:r w:rsidR="00BF5AF9" w:rsidRPr="00704F57">
        <w:rPr>
          <w:color w:val="0000CC"/>
        </w:rPr>
        <w:t>that sealed permanent</w:t>
      </w:r>
      <w:r w:rsidR="00426B70" w:rsidRPr="00704F57">
        <w:rPr>
          <w:color w:val="0000CC"/>
        </w:rPr>
        <w:t xml:space="preserve"> </w:t>
      </w:r>
      <w:r w:rsidR="00BF5AF9" w:rsidRPr="00704F57">
        <w:rPr>
          <w:color w:val="0000CC"/>
        </w:rPr>
        <w:t>molars are less likely to receive</w:t>
      </w:r>
      <w:r w:rsidR="00426B70" w:rsidRPr="00704F57">
        <w:rPr>
          <w:color w:val="0000CC"/>
        </w:rPr>
        <w:t xml:space="preserve"> </w:t>
      </w:r>
      <w:r w:rsidR="00BF5AF9" w:rsidRPr="00704F57">
        <w:rPr>
          <w:color w:val="0000CC"/>
        </w:rPr>
        <w:t>restorative treatment, that the</w:t>
      </w:r>
      <w:r w:rsidR="00426B70" w:rsidRPr="00704F57">
        <w:rPr>
          <w:color w:val="0000CC"/>
        </w:rPr>
        <w:t xml:space="preserve"> </w:t>
      </w:r>
      <w:r w:rsidR="00BF5AF9" w:rsidRPr="00704F57">
        <w:rPr>
          <w:color w:val="0000CC"/>
        </w:rPr>
        <w:lastRenderedPageBreak/>
        <w:t>time between receiving sealants</w:t>
      </w:r>
      <w:r w:rsidR="00426B70" w:rsidRPr="00704F57">
        <w:rPr>
          <w:color w:val="0000CC"/>
        </w:rPr>
        <w:t xml:space="preserve"> </w:t>
      </w:r>
      <w:r w:rsidR="00BF5AF9" w:rsidRPr="00704F57">
        <w:rPr>
          <w:color w:val="0000CC"/>
        </w:rPr>
        <w:t>and receiving restorative treatment</w:t>
      </w:r>
      <w:r w:rsidR="00426B70" w:rsidRPr="00704F57">
        <w:rPr>
          <w:color w:val="0000CC"/>
        </w:rPr>
        <w:t xml:space="preserve"> </w:t>
      </w:r>
      <w:r w:rsidR="00BF5AF9" w:rsidRPr="00704F57">
        <w:rPr>
          <w:color w:val="0000CC"/>
        </w:rPr>
        <w:t xml:space="preserve">is greater, and that the </w:t>
      </w:r>
      <w:r w:rsidR="00426B70" w:rsidRPr="00704F57">
        <w:rPr>
          <w:color w:val="0000CC"/>
        </w:rPr>
        <w:t>r</w:t>
      </w:r>
      <w:r w:rsidR="00BF5AF9" w:rsidRPr="00704F57">
        <w:rPr>
          <w:color w:val="0000CC"/>
        </w:rPr>
        <w:t>estorations</w:t>
      </w:r>
      <w:r w:rsidR="00426B70" w:rsidRPr="00704F57">
        <w:rPr>
          <w:color w:val="0000CC"/>
        </w:rPr>
        <w:t xml:space="preserve"> </w:t>
      </w:r>
      <w:r w:rsidR="00BF5AF9" w:rsidRPr="00704F57">
        <w:rPr>
          <w:color w:val="0000CC"/>
        </w:rPr>
        <w:t>were less extensive than</w:t>
      </w:r>
      <w:r w:rsidR="00426B70" w:rsidRPr="00704F57">
        <w:rPr>
          <w:color w:val="0000CC"/>
        </w:rPr>
        <w:t xml:space="preserve"> </w:t>
      </w:r>
      <w:r w:rsidR="00BF5AF9" w:rsidRPr="00704F57">
        <w:rPr>
          <w:color w:val="0000CC"/>
        </w:rPr>
        <w:t>those in permanent molars that</w:t>
      </w:r>
      <w:r w:rsidR="00426B70" w:rsidRPr="00704F57">
        <w:rPr>
          <w:color w:val="0000CC"/>
        </w:rPr>
        <w:t xml:space="preserve"> </w:t>
      </w:r>
      <w:r w:rsidR="00BF5AF9" w:rsidRPr="00704F57">
        <w:rPr>
          <w:color w:val="0000CC"/>
        </w:rPr>
        <w:t>were unsealed.</w:t>
      </w:r>
      <w:r w:rsidRPr="00704F57">
        <w:rPr>
          <w:color w:val="0000CC"/>
        </w:rPr>
        <w:t>” (Beauchamp 2008, p. 261)</w:t>
      </w:r>
    </w:p>
    <w:p w:rsidR="00426B70" w:rsidRPr="00704F57" w:rsidRDefault="00426B70" w:rsidP="00426B70">
      <w:pPr>
        <w:pStyle w:val="ListParagraph"/>
        <w:ind w:firstLine="0"/>
        <w:rPr>
          <w:color w:val="0000CC"/>
        </w:rPr>
      </w:pPr>
    </w:p>
    <w:p w:rsidR="00426B70" w:rsidRPr="00704F57" w:rsidRDefault="00426B70" w:rsidP="00426B70">
      <w:pPr>
        <w:pStyle w:val="ListParagraph"/>
        <w:ind w:left="0" w:firstLine="0"/>
        <w:rPr>
          <w:color w:val="0000CC"/>
        </w:rPr>
      </w:pPr>
      <w:r w:rsidRPr="00704F57">
        <w:rPr>
          <w:color w:val="0000CC"/>
          <w:u w:val="single"/>
        </w:rPr>
        <w:t>Studies</w:t>
      </w:r>
      <w:r w:rsidR="00F4519B" w:rsidRPr="00704F57">
        <w:rPr>
          <w:color w:val="0000CC"/>
          <w:u w:val="single"/>
        </w:rPr>
        <w:t xml:space="preserve"> with evidence grade of III</w:t>
      </w:r>
      <w:r w:rsidRPr="00704F57">
        <w:rPr>
          <w:color w:val="0000CC"/>
          <w:u w:val="single"/>
        </w:rPr>
        <w:t xml:space="preserve"> cited</w:t>
      </w:r>
      <w:r w:rsidRPr="00704F57">
        <w:rPr>
          <w:color w:val="0000CC"/>
        </w:rPr>
        <w:t xml:space="preserve">: </w:t>
      </w:r>
    </w:p>
    <w:p w:rsidR="00426B70" w:rsidRPr="00704F57" w:rsidRDefault="00426B70" w:rsidP="00426B70">
      <w:pPr>
        <w:pStyle w:val="ListParagraph"/>
        <w:ind w:hanging="720"/>
        <w:rPr>
          <w:color w:val="0000CC"/>
        </w:rPr>
      </w:pPr>
      <w:proofErr w:type="spellStart"/>
      <w:r w:rsidRPr="00704F57">
        <w:rPr>
          <w:color w:val="0000CC"/>
        </w:rPr>
        <w:t>Bhuridej</w:t>
      </w:r>
      <w:proofErr w:type="spellEnd"/>
      <w:r w:rsidRPr="00704F57">
        <w:rPr>
          <w:color w:val="0000CC"/>
        </w:rPr>
        <w:t xml:space="preserve"> P, </w:t>
      </w:r>
      <w:proofErr w:type="spellStart"/>
      <w:r w:rsidRPr="00704F57">
        <w:rPr>
          <w:color w:val="0000CC"/>
        </w:rPr>
        <w:t>Damiano</w:t>
      </w:r>
      <w:proofErr w:type="spellEnd"/>
      <w:r w:rsidRPr="00704F57">
        <w:rPr>
          <w:color w:val="0000CC"/>
        </w:rPr>
        <w:t xml:space="preserve"> PC, </w:t>
      </w:r>
      <w:proofErr w:type="spellStart"/>
      <w:r w:rsidRPr="00704F57">
        <w:rPr>
          <w:color w:val="0000CC"/>
        </w:rPr>
        <w:t>Kuthy</w:t>
      </w:r>
      <w:proofErr w:type="spellEnd"/>
      <w:r w:rsidRPr="00704F57">
        <w:rPr>
          <w:color w:val="0000CC"/>
        </w:rPr>
        <w:t xml:space="preserve"> RA, et al. Natural history of treatment outcomes of permanent first molars: a study of sealant effectiveness. JADA 2005</w:t>
      </w:r>
      <w:proofErr w:type="gramStart"/>
      <w:r w:rsidRPr="00704F57">
        <w:rPr>
          <w:color w:val="0000CC"/>
        </w:rPr>
        <w:t>;136</w:t>
      </w:r>
      <w:proofErr w:type="gramEnd"/>
      <w:r w:rsidRPr="00704F57">
        <w:rPr>
          <w:color w:val="0000CC"/>
        </w:rPr>
        <w:t>(9):1265-1272.</w:t>
      </w:r>
    </w:p>
    <w:p w:rsidR="00426B70" w:rsidRPr="00704F57" w:rsidRDefault="00426B70" w:rsidP="00426B70">
      <w:pPr>
        <w:pStyle w:val="ListParagraph"/>
        <w:ind w:hanging="720"/>
        <w:rPr>
          <w:color w:val="0000CC"/>
        </w:rPr>
      </w:pPr>
      <w:r w:rsidRPr="00704F57">
        <w:rPr>
          <w:color w:val="0000CC"/>
        </w:rPr>
        <w:t xml:space="preserve">Dennison JB, </w:t>
      </w:r>
      <w:proofErr w:type="spellStart"/>
      <w:r w:rsidRPr="00704F57">
        <w:rPr>
          <w:color w:val="0000CC"/>
        </w:rPr>
        <w:t>Straffon</w:t>
      </w:r>
      <w:proofErr w:type="spellEnd"/>
      <w:r w:rsidRPr="00704F57">
        <w:rPr>
          <w:color w:val="0000CC"/>
        </w:rPr>
        <w:t xml:space="preserve"> LH, Smith RC. </w:t>
      </w:r>
      <w:proofErr w:type="gramStart"/>
      <w:r w:rsidRPr="00704F57">
        <w:rPr>
          <w:color w:val="0000CC"/>
        </w:rPr>
        <w:t>Effectiveness of sealant treatment over five years in an insured population.</w:t>
      </w:r>
      <w:proofErr w:type="gramEnd"/>
      <w:r w:rsidRPr="00704F57">
        <w:rPr>
          <w:color w:val="0000CC"/>
        </w:rPr>
        <w:t xml:space="preserve"> JADA 2000</w:t>
      </w:r>
      <w:proofErr w:type="gramStart"/>
      <w:r w:rsidRPr="00704F57">
        <w:rPr>
          <w:color w:val="0000CC"/>
        </w:rPr>
        <w:t>;131</w:t>
      </w:r>
      <w:proofErr w:type="gramEnd"/>
      <w:r w:rsidRPr="00704F57">
        <w:rPr>
          <w:color w:val="0000CC"/>
        </w:rPr>
        <w:t>(5):597-605.</w:t>
      </w:r>
    </w:p>
    <w:p w:rsidR="00426B70" w:rsidRPr="00704F57" w:rsidRDefault="00426B70" w:rsidP="00426B70">
      <w:pPr>
        <w:pStyle w:val="ListParagraph"/>
        <w:ind w:hanging="720"/>
        <w:rPr>
          <w:color w:val="0000CC"/>
        </w:rPr>
      </w:pPr>
      <w:proofErr w:type="spellStart"/>
      <w:proofErr w:type="gramStart"/>
      <w:r w:rsidRPr="00704F57">
        <w:rPr>
          <w:color w:val="0000CC"/>
        </w:rPr>
        <w:t>Hotuman</w:t>
      </w:r>
      <w:proofErr w:type="spellEnd"/>
      <w:r w:rsidRPr="00704F57">
        <w:rPr>
          <w:color w:val="0000CC"/>
        </w:rPr>
        <w:t xml:space="preserve"> E, </w:t>
      </w:r>
      <w:proofErr w:type="spellStart"/>
      <w:r w:rsidRPr="00704F57">
        <w:rPr>
          <w:color w:val="0000CC"/>
        </w:rPr>
        <w:t>Rølling</w:t>
      </w:r>
      <w:proofErr w:type="spellEnd"/>
      <w:r w:rsidRPr="00704F57">
        <w:rPr>
          <w:color w:val="0000CC"/>
        </w:rPr>
        <w:t xml:space="preserve"> I, </w:t>
      </w:r>
      <w:proofErr w:type="spellStart"/>
      <w:r w:rsidRPr="00704F57">
        <w:rPr>
          <w:color w:val="0000CC"/>
        </w:rPr>
        <w:t>Poulsen</w:t>
      </w:r>
      <w:proofErr w:type="spellEnd"/>
      <w:r w:rsidRPr="00704F57">
        <w:rPr>
          <w:color w:val="0000CC"/>
        </w:rPr>
        <w:t xml:space="preserve"> S. Fissure sealants in a group of 3-4-year-old children.</w:t>
      </w:r>
      <w:proofErr w:type="gramEnd"/>
      <w:r w:rsidRPr="00704F57">
        <w:rPr>
          <w:color w:val="0000CC"/>
        </w:rPr>
        <w:t xml:space="preserve"> </w:t>
      </w:r>
      <w:proofErr w:type="spellStart"/>
      <w:r w:rsidRPr="00704F57">
        <w:rPr>
          <w:color w:val="0000CC"/>
        </w:rPr>
        <w:t>Int</w:t>
      </w:r>
      <w:proofErr w:type="spellEnd"/>
      <w:r w:rsidRPr="00704F57">
        <w:rPr>
          <w:color w:val="0000CC"/>
        </w:rPr>
        <w:t xml:space="preserve"> J </w:t>
      </w:r>
      <w:proofErr w:type="spellStart"/>
      <w:r w:rsidRPr="00704F57">
        <w:rPr>
          <w:color w:val="0000CC"/>
        </w:rPr>
        <w:t>Paediatr</w:t>
      </w:r>
      <w:proofErr w:type="spellEnd"/>
      <w:r w:rsidRPr="00704F57">
        <w:rPr>
          <w:color w:val="0000CC"/>
        </w:rPr>
        <w:t xml:space="preserve"> Dent 1998</w:t>
      </w:r>
      <w:proofErr w:type="gramStart"/>
      <w:r w:rsidRPr="00704F57">
        <w:rPr>
          <w:color w:val="0000CC"/>
        </w:rPr>
        <w:t>;8</w:t>
      </w:r>
      <w:proofErr w:type="gramEnd"/>
      <w:r w:rsidRPr="00704F57">
        <w:rPr>
          <w:color w:val="0000CC"/>
        </w:rPr>
        <w:t>(2):159-160.</w:t>
      </w:r>
    </w:p>
    <w:p w:rsidR="00426B70" w:rsidRPr="00704F57" w:rsidRDefault="00426B70" w:rsidP="00426B70">
      <w:pPr>
        <w:pStyle w:val="ListParagraph"/>
        <w:ind w:hanging="720"/>
        <w:rPr>
          <w:color w:val="0000CC"/>
        </w:rPr>
      </w:pPr>
      <w:proofErr w:type="spellStart"/>
      <w:r w:rsidRPr="00704F57">
        <w:rPr>
          <w:color w:val="0000CC"/>
        </w:rPr>
        <w:t>Weintraub</w:t>
      </w:r>
      <w:proofErr w:type="spellEnd"/>
      <w:r w:rsidRPr="00704F57">
        <w:rPr>
          <w:color w:val="0000CC"/>
        </w:rPr>
        <w:t xml:space="preserve"> JA, Stearns SC, </w:t>
      </w:r>
      <w:proofErr w:type="spellStart"/>
      <w:r w:rsidRPr="00704F57">
        <w:rPr>
          <w:color w:val="0000CC"/>
        </w:rPr>
        <w:t>Rozier</w:t>
      </w:r>
      <w:proofErr w:type="spellEnd"/>
      <w:r w:rsidRPr="00704F57">
        <w:rPr>
          <w:color w:val="0000CC"/>
        </w:rPr>
        <w:t xml:space="preserve"> RG, Huang CC. Treatment outcomes and costs of dental sealants among children enrolled in Medicaid. Am J Public Health 2001</w:t>
      </w:r>
      <w:proofErr w:type="gramStart"/>
      <w:r w:rsidRPr="00704F57">
        <w:rPr>
          <w:color w:val="0000CC"/>
        </w:rPr>
        <w:t>;91</w:t>
      </w:r>
      <w:proofErr w:type="gramEnd"/>
      <w:r w:rsidRPr="00704F57">
        <w:rPr>
          <w:color w:val="0000CC"/>
        </w:rPr>
        <w:t>(11):1877-1881.</w:t>
      </w: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D14F0B" w:rsidRDefault="00D14F0B" w:rsidP="002E2177">
      <w:pPr>
        <w:ind w:left="0" w:firstLine="0"/>
      </w:pPr>
    </w:p>
    <w:p w:rsidR="00DD31EC" w:rsidRPr="00704F57" w:rsidRDefault="00DD31EC" w:rsidP="002E2177">
      <w:pPr>
        <w:ind w:left="0" w:firstLine="0"/>
        <w:rPr>
          <w:color w:val="0000CC"/>
        </w:rPr>
      </w:pPr>
      <w:r w:rsidRPr="00704F57">
        <w:rPr>
          <w:color w:val="0000CC"/>
        </w:rPr>
        <w:t xml:space="preserve">The quality of the evidence is high, grades of </w:t>
      </w:r>
      <w:proofErr w:type="spellStart"/>
      <w:proofErr w:type="gramStart"/>
      <w:r w:rsidRPr="00704F57">
        <w:rPr>
          <w:color w:val="0000CC"/>
        </w:rPr>
        <w:t>Ia</w:t>
      </w:r>
      <w:proofErr w:type="spellEnd"/>
      <w:proofErr w:type="gramEnd"/>
      <w:r w:rsidRPr="00704F57">
        <w:rPr>
          <w:color w:val="0000CC"/>
        </w:rPr>
        <w:t xml:space="preserve"> (systematic reviews of randomized controlled trials), for sealants placed on permanent molars of children and adolescents.  </w:t>
      </w:r>
    </w:p>
    <w:p w:rsidR="00203D97" w:rsidRPr="00704F57" w:rsidRDefault="00203D97" w:rsidP="002E2177">
      <w:pPr>
        <w:ind w:left="0" w:firstLine="0"/>
        <w:rPr>
          <w:color w:val="0000CC"/>
        </w:rPr>
      </w:pPr>
    </w:p>
    <w:p w:rsidR="00DD31EC" w:rsidRPr="00704F57" w:rsidRDefault="00DD31EC" w:rsidP="002E2177">
      <w:pPr>
        <w:ind w:left="0" w:firstLine="0"/>
        <w:rPr>
          <w:color w:val="0000CC"/>
        </w:rPr>
      </w:pPr>
      <w:r w:rsidRPr="00704F57">
        <w:rPr>
          <w:color w:val="0000CC"/>
        </w:rPr>
        <w:t>The evidence directly pertains to both the measure focus and the measure target population.</w:t>
      </w:r>
    </w:p>
    <w:p w:rsidR="00DD31EC" w:rsidRPr="00A91C0B" w:rsidRDefault="00DD31EC" w:rsidP="002E2177">
      <w:pPr>
        <w:ind w:left="0" w:firstLine="0"/>
      </w:pP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496AF8" w:rsidRDefault="00496AF8" w:rsidP="002E2177">
      <w:pPr>
        <w:ind w:left="0" w:firstLine="0"/>
        <w:rPr>
          <w:b/>
          <w:u w:val="single"/>
        </w:rPr>
      </w:pPr>
    </w:p>
    <w:p w:rsidR="00472ED4" w:rsidRPr="00704F57" w:rsidRDefault="00E54DFB" w:rsidP="002E2177">
      <w:pPr>
        <w:ind w:left="0" w:firstLine="0"/>
        <w:rPr>
          <w:color w:val="0000CC"/>
        </w:rPr>
      </w:pPr>
      <w:r w:rsidRPr="00704F57">
        <w:rPr>
          <w:color w:val="0000CC"/>
        </w:rPr>
        <w:t xml:space="preserve">Meta-analyses were not conducted as part of the evidence review.  Please see the response in 1a.7.5. </w:t>
      </w:r>
      <w:proofErr w:type="gramStart"/>
      <w:r w:rsidRPr="00704F57">
        <w:rPr>
          <w:color w:val="0000CC"/>
        </w:rPr>
        <w:t>regarding</w:t>
      </w:r>
      <w:proofErr w:type="gramEnd"/>
      <w:r w:rsidRPr="00704F57">
        <w:rPr>
          <w:color w:val="0000CC"/>
        </w:rPr>
        <w:t xml:space="preserve"> the identified benefits and associated strength of evidence.</w:t>
      </w:r>
      <w:r w:rsidR="0016657B" w:rsidRPr="00704F57">
        <w:rPr>
          <w:color w:val="0000CC"/>
        </w:rPr>
        <w:t xml:space="preserve"> However, a more recent Cochrane Review published in 2013 </w:t>
      </w:r>
      <w:r w:rsidR="00F4519B" w:rsidRPr="00704F57">
        <w:rPr>
          <w:color w:val="0000CC"/>
        </w:rPr>
        <w:t xml:space="preserve">by </w:t>
      </w:r>
      <w:proofErr w:type="spellStart"/>
      <w:r w:rsidR="00F4519B" w:rsidRPr="00704F57">
        <w:rPr>
          <w:color w:val="0000CC"/>
        </w:rPr>
        <w:t>Ahovuo-Saloranta</w:t>
      </w:r>
      <w:proofErr w:type="spellEnd"/>
      <w:r w:rsidR="00F4519B" w:rsidRPr="00704F57">
        <w:rPr>
          <w:color w:val="0000CC"/>
        </w:rPr>
        <w:t xml:space="preserve"> et al. </w:t>
      </w:r>
      <w:r w:rsidR="0016657B" w:rsidRPr="00704F57">
        <w:rPr>
          <w:color w:val="0000CC"/>
        </w:rPr>
        <w:t>brings together all the evidence in a quantitative manner. More information from this review is provided below in Section 1.a.7.9</w:t>
      </w:r>
    </w:p>
    <w:p w:rsidR="00E54DFB" w:rsidRDefault="00E54DFB" w:rsidP="002E2177">
      <w:pPr>
        <w:ind w:left="0" w:firstLine="0"/>
        <w:rPr>
          <w:color w:val="FF0000"/>
        </w:rPr>
      </w:pPr>
    </w:p>
    <w:p w:rsidR="00496AF8" w:rsidRDefault="001B772D" w:rsidP="006373E4">
      <w:pPr>
        <w:ind w:left="-72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496AF8" w:rsidRDefault="00496AF8" w:rsidP="002E2177">
      <w:pPr>
        <w:ind w:left="0" w:firstLine="0"/>
      </w:pPr>
    </w:p>
    <w:p w:rsidR="0016657B" w:rsidRPr="00704F57" w:rsidRDefault="0016657B" w:rsidP="005C75C7">
      <w:pPr>
        <w:ind w:left="0" w:firstLine="0"/>
        <w:rPr>
          <w:color w:val="0000CC"/>
        </w:rPr>
      </w:pPr>
      <w:r w:rsidRPr="00704F57">
        <w:rPr>
          <w:color w:val="0000CC"/>
        </w:rPr>
        <w:t>Harms were not evaluated as part of this systematic review. However this question was addressed in a recent Cochrane Review on the effectiveness of sealants</w:t>
      </w:r>
      <w:r w:rsidR="00F4519B" w:rsidRPr="00704F57">
        <w:rPr>
          <w:color w:val="0000CC"/>
        </w:rPr>
        <w:t xml:space="preserve"> (</w:t>
      </w:r>
      <w:proofErr w:type="spellStart"/>
      <w:r w:rsidR="00F4519B" w:rsidRPr="00704F57">
        <w:rPr>
          <w:color w:val="0000CC"/>
        </w:rPr>
        <w:t>Ahovuo-Saloranta</w:t>
      </w:r>
      <w:proofErr w:type="spellEnd"/>
      <w:r w:rsidR="00F4519B" w:rsidRPr="00704F57">
        <w:rPr>
          <w:color w:val="0000CC"/>
        </w:rPr>
        <w:t xml:space="preserve"> et al. 2013),</w:t>
      </w:r>
      <w:r w:rsidRPr="00704F57">
        <w:rPr>
          <w:color w:val="0000CC"/>
        </w:rPr>
        <w:t xml:space="preserve"> and it was noted: “Only two studies (Bravo 2005; Liu 2012) assessed side effects of the sealants. No adverse effects were detected or reported by patients included in the studies.” </w:t>
      </w:r>
    </w:p>
    <w:p w:rsidR="0016657B" w:rsidRPr="00704F57" w:rsidRDefault="0016657B" w:rsidP="005C75C7">
      <w:pPr>
        <w:ind w:left="0" w:firstLine="0"/>
        <w:rPr>
          <w:color w:val="0000CC"/>
        </w:rPr>
      </w:pPr>
    </w:p>
    <w:p w:rsidR="0016657B" w:rsidRPr="00704F57" w:rsidRDefault="0016657B" w:rsidP="005C75C7">
      <w:pPr>
        <w:ind w:left="0" w:firstLine="0"/>
        <w:rPr>
          <w:color w:val="0000CC"/>
          <w:u w:val="single"/>
        </w:rPr>
      </w:pPr>
      <w:r w:rsidRPr="00704F57">
        <w:rPr>
          <w:color w:val="0000CC"/>
          <w:u w:val="single"/>
        </w:rPr>
        <w:t>Citations</w:t>
      </w:r>
      <w:r w:rsidR="00031108" w:rsidRPr="00704F57">
        <w:rPr>
          <w:color w:val="0000CC"/>
          <w:u w:val="single"/>
        </w:rPr>
        <w:t>:</w:t>
      </w:r>
    </w:p>
    <w:p w:rsidR="005C75C7" w:rsidRPr="00704F57" w:rsidRDefault="0016657B" w:rsidP="00D25DD8">
      <w:pPr>
        <w:ind w:left="0" w:firstLine="0"/>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Forss</w:t>
      </w:r>
      <w:proofErr w:type="spellEnd"/>
      <w:r w:rsidRPr="00704F57">
        <w:rPr>
          <w:color w:val="0000CC"/>
        </w:rPr>
        <w:t xml:space="preserve"> H, Walsh T,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t>
      </w:r>
      <w:proofErr w:type="spellStart"/>
      <w:r w:rsidRPr="00704F57">
        <w:rPr>
          <w:color w:val="0000CC"/>
        </w:rPr>
        <w:t>Mäkelä</w:t>
      </w:r>
      <w:proofErr w:type="spellEnd"/>
      <w:r w:rsidRPr="00704F57">
        <w:rPr>
          <w:color w:val="0000CC"/>
        </w:rPr>
        <w:t xml:space="preserve"> M, Worthington HV.  </w:t>
      </w:r>
      <w:proofErr w:type="gramStart"/>
      <w:r w:rsidRPr="00704F57">
        <w:rPr>
          <w:color w:val="0000CC"/>
        </w:rPr>
        <w:t>Sealants for preventing dental decay in the permanent teeth.</w:t>
      </w:r>
      <w:proofErr w:type="gramEnd"/>
      <w:r w:rsidRPr="00704F57">
        <w:rPr>
          <w:color w:val="0000CC"/>
        </w:rPr>
        <w:t xml:space="preserve"> Cochrane Database </w:t>
      </w:r>
      <w:proofErr w:type="spellStart"/>
      <w:r w:rsidRPr="00704F57">
        <w:rPr>
          <w:color w:val="0000CC"/>
        </w:rPr>
        <w:t>Syst</w:t>
      </w:r>
      <w:proofErr w:type="spellEnd"/>
      <w:r w:rsidRPr="00704F57">
        <w:rPr>
          <w:color w:val="0000CC"/>
        </w:rPr>
        <w:t xml:space="preserve"> Rev. 2013 Mar 28</w:t>
      </w:r>
      <w:proofErr w:type="gramStart"/>
      <w:r w:rsidRPr="00704F57">
        <w:rPr>
          <w:color w:val="0000CC"/>
        </w:rPr>
        <w:t>;3:CD001830</w:t>
      </w:r>
      <w:proofErr w:type="gramEnd"/>
      <w:r w:rsidRPr="00704F57">
        <w:rPr>
          <w:color w:val="0000CC"/>
        </w:rPr>
        <w:t xml:space="preserve">. </w:t>
      </w:r>
      <w:proofErr w:type="spellStart"/>
      <w:proofErr w:type="gramStart"/>
      <w:r w:rsidRPr="00704F57">
        <w:rPr>
          <w:color w:val="0000CC"/>
        </w:rPr>
        <w:t>doi</w:t>
      </w:r>
      <w:proofErr w:type="spellEnd"/>
      <w:proofErr w:type="gramEnd"/>
      <w:r w:rsidRPr="00704F57">
        <w:rPr>
          <w:color w:val="0000CC"/>
        </w:rPr>
        <w:t>: 10.1002/14651858.CD001830.pub4.</w:t>
      </w:r>
    </w:p>
    <w:p w:rsidR="0016657B" w:rsidRPr="00704F57" w:rsidRDefault="0016657B" w:rsidP="0016657B">
      <w:pPr>
        <w:ind w:left="720" w:hanging="720"/>
        <w:rPr>
          <w:color w:val="0000CC"/>
        </w:rPr>
      </w:pPr>
      <w:r w:rsidRPr="00704F57">
        <w:rPr>
          <w:color w:val="0000CC"/>
        </w:rPr>
        <w:lastRenderedPageBreak/>
        <w:t xml:space="preserve">Bravo M, Montero J, Bravo JJ, Baca P, </w:t>
      </w:r>
      <w:proofErr w:type="spellStart"/>
      <w:r w:rsidRPr="00704F57">
        <w:rPr>
          <w:color w:val="0000CC"/>
        </w:rPr>
        <w:t>Llodra</w:t>
      </w:r>
      <w:proofErr w:type="spellEnd"/>
      <w:r w:rsidRPr="00704F57">
        <w:rPr>
          <w:color w:val="0000CC"/>
        </w:rPr>
        <w:t xml:space="preserve"> JC. Sealant and fluoride varnish in caries: a randomized trial. Journal of Dental Research 2005</w:t>
      </w:r>
      <w:proofErr w:type="gramStart"/>
      <w:r w:rsidRPr="00704F57">
        <w:rPr>
          <w:color w:val="0000CC"/>
        </w:rPr>
        <w:t>;84</w:t>
      </w:r>
      <w:proofErr w:type="gramEnd"/>
      <w:r w:rsidRPr="00704F57">
        <w:rPr>
          <w:color w:val="0000CC"/>
        </w:rPr>
        <w:t>(12):1138-43.</w:t>
      </w:r>
    </w:p>
    <w:p w:rsidR="0016657B" w:rsidRPr="00704F57" w:rsidRDefault="0016657B" w:rsidP="0016657B">
      <w:pPr>
        <w:ind w:left="720" w:hanging="720"/>
        <w:rPr>
          <w:color w:val="0000CC"/>
        </w:rPr>
      </w:pPr>
      <w:proofErr w:type="gramStart"/>
      <w:r w:rsidRPr="00704F57">
        <w:rPr>
          <w:color w:val="0000CC"/>
        </w:rPr>
        <w:t>Liu BY, Lo ECM, Chu CH, Lin HC.</w:t>
      </w:r>
      <w:proofErr w:type="gramEnd"/>
      <w:r w:rsidRPr="00704F57">
        <w:rPr>
          <w:color w:val="0000CC"/>
        </w:rPr>
        <w:t xml:space="preserve"> </w:t>
      </w:r>
      <w:proofErr w:type="gramStart"/>
      <w:r w:rsidRPr="00704F57">
        <w:rPr>
          <w:color w:val="0000CC"/>
        </w:rPr>
        <w:t>Randomized trial on fluorides and sealants for fissure caries prevention.</w:t>
      </w:r>
      <w:proofErr w:type="gramEnd"/>
      <w:r w:rsidRPr="00704F57">
        <w:rPr>
          <w:color w:val="0000CC"/>
        </w:rPr>
        <w:t xml:space="preserve"> Journal of Dental Research 2012</w:t>
      </w:r>
      <w:proofErr w:type="gramStart"/>
      <w:r w:rsidRPr="00704F57">
        <w:rPr>
          <w:color w:val="0000CC"/>
        </w:rPr>
        <w:t>;91</w:t>
      </w:r>
      <w:proofErr w:type="gramEnd"/>
      <w:r w:rsidRPr="00704F57">
        <w:rPr>
          <w:color w:val="0000CC"/>
        </w:rPr>
        <w:t>(8):753-8.</w:t>
      </w:r>
    </w:p>
    <w:p w:rsidR="00156A6E" w:rsidRDefault="00156A6E" w:rsidP="002E2177">
      <w:pPr>
        <w:ind w:left="0" w:firstLine="0"/>
      </w:pPr>
    </w:p>
    <w:p w:rsidR="0016657B" w:rsidRPr="00A91C0B" w:rsidRDefault="0016657B"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5C75C7" w:rsidRDefault="005C75C7" w:rsidP="002E2177">
      <w:pPr>
        <w:ind w:left="0" w:firstLine="0"/>
        <w:rPr>
          <w:color w:val="FF0000"/>
        </w:rPr>
      </w:pPr>
    </w:p>
    <w:p w:rsidR="0016657B" w:rsidRPr="00704F57" w:rsidRDefault="0016657B" w:rsidP="0016657B">
      <w:pPr>
        <w:ind w:left="0" w:firstLine="0"/>
        <w:rPr>
          <w:color w:val="0000CC"/>
        </w:rPr>
      </w:pPr>
      <w:r w:rsidRPr="00704F57">
        <w:rPr>
          <w:color w:val="0000CC"/>
        </w:rPr>
        <w:t>A recent Cochrane Review on the effectiveness of sealants brings together all the evidence on this topic. The conclusions of this new review continue to support the recommendations of the ADA Sealant Guideline (Note: the ADA is currently updating this guideline).  The summary of findings from the Cochrane review appears below:</w:t>
      </w:r>
    </w:p>
    <w:p w:rsidR="0016657B" w:rsidRPr="005C75C7" w:rsidRDefault="0016657B" w:rsidP="002E2177">
      <w:pPr>
        <w:ind w:left="0" w:firstLine="0"/>
        <w:rPr>
          <w:color w:val="FF0000"/>
        </w:rPr>
      </w:pPr>
    </w:p>
    <w:p w:rsidR="0094689F" w:rsidRDefault="009443C8" w:rsidP="0016657B">
      <w:pPr>
        <w:ind w:left="-720" w:firstLine="0"/>
        <w:rPr>
          <w:b/>
          <w:color w:val="0070C0"/>
        </w:rPr>
      </w:pPr>
      <w:r>
        <w:rPr>
          <w:noProof/>
        </w:rPr>
        <w:drawing>
          <wp:inline distT="0" distB="0" distL="0" distR="0">
            <wp:extent cx="6236552" cy="394030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srcRect l="18722" t="20384" r="14660" b="4790"/>
                    <a:stretch/>
                  </pic:blipFill>
                  <pic:spPr bwMode="auto">
                    <a:xfrm>
                      <a:off x="0" y="0"/>
                      <a:ext cx="6241047" cy="3943146"/>
                    </a:xfrm>
                    <a:prstGeom prst="rect">
                      <a:avLst/>
                    </a:prstGeom>
                    <a:ln>
                      <a:noFill/>
                    </a:ln>
                    <a:extLst>
                      <a:ext uri="{53640926-AAD7-44D8-BBD7-CCE9431645EC}">
                        <a14:shadowObscured xmlns:a14="http://schemas.microsoft.com/office/drawing/2010/main"/>
                      </a:ext>
                    </a:extLst>
                  </pic:spPr>
                </pic:pic>
              </a:graphicData>
            </a:graphic>
          </wp:inline>
        </w:drawing>
      </w:r>
    </w:p>
    <w:p w:rsidR="009443C8" w:rsidRDefault="009443C8" w:rsidP="0016657B">
      <w:pPr>
        <w:ind w:left="-720" w:firstLine="0"/>
        <w:rPr>
          <w:b/>
          <w:color w:val="0070C0"/>
        </w:rPr>
      </w:pPr>
      <w:r>
        <w:rPr>
          <w:noProof/>
        </w:rPr>
        <w:lastRenderedPageBreak/>
        <w:drawing>
          <wp:inline distT="0" distB="0" distL="0" distR="0">
            <wp:extent cx="6548563" cy="3124600"/>
            <wp:effectExtent l="19050" t="0" r="4637"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l="19158" t="48766" r="30043" b="8144"/>
                    <a:stretch/>
                  </pic:blipFill>
                  <pic:spPr bwMode="auto">
                    <a:xfrm>
                      <a:off x="0" y="0"/>
                      <a:ext cx="6547365" cy="3124029"/>
                    </a:xfrm>
                    <a:prstGeom prst="rect">
                      <a:avLst/>
                    </a:prstGeom>
                    <a:ln>
                      <a:noFill/>
                    </a:ln>
                    <a:extLst>
                      <a:ext uri="{53640926-AAD7-44D8-BBD7-CCE9431645EC}">
                        <a14:shadowObscured xmlns:a14="http://schemas.microsoft.com/office/drawing/2010/main"/>
                      </a:ext>
                    </a:extLst>
                  </pic:spPr>
                </pic:pic>
              </a:graphicData>
            </a:graphic>
          </wp:inline>
        </w:drawing>
      </w:r>
    </w:p>
    <w:p w:rsidR="009443C8" w:rsidRDefault="009443C8" w:rsidP="002E2177">
      <w:pPr>
        <w:ind w:left="0" w:firstLine="0"/>
        <w:rPr>
          <w:b/>
          <w:color w:val="0070C0"/>
        </w:rPr>
      </w:pPr>
    </w:p>
    <w:p w:rsidR="00853673" w:rsidRPr="00704F57" w:rsidRDefault="00853673" w:rsidP="00704F57">
      <w:pPr>
        <w:ind w:left="0" w:firstLine="0"/>
        <w:rPr>
          <w:color w:val="0000CC"/>
          <w:u w:val="single"/>
        </w:rPr>
      </w:pPr>
      <w:r w:rsidRPr="00704F57">
        <w:rPr>
          <w:color w:val="0000CC"/>
          <w:u w:val="single"/>
        </w:rPr>
        <w:t>Citations</w:t>
      </w:r>
    </w:p>
    <w:p w:rsidR="00853673" w:rsidRPr="00704F57" w:rsidRDefault="00853673" w:rsidP="00704F57">
      <w:pPr>
        <w:ind w:left="0" w:firstLine="0"/>
        <w:rPr>
          <w:color w:val="0000CC"/>
        </w:rPr>
      </w:pPr>
      <w:proofErr w:type="spellStart"/>
      <w:r w:rsidRPr="00704F57">
        <w:rPr>
          <w:color w:val="0000CC"/>
        </w:rPr>
        <w:t>Ahovuo-Saloranta</w:t>
      </w:r>
      <w:proofErr w:type="spellEnd"/>
      <w:r w:rsidRPr="00704F57">
        <w:rPr>
          <w:color w:val="0000CC"/>
        </w:rPr>
        <w:t xml:space="preserve"> A, </w:t>
      </w:r>
      <w:proofErr w:type="spellStart"/>
      <w:r w:rsidRPr="00704F57">
        <w:rPr>
          <w:color w:val="0000CC"/>
        </w:rPr>
        <w:t>Forss</w:t>
      </w:r>
      <w:proofErr w:type="spellEnd"/>
      <w:r w:rsidRPr="00704F57">
        <w:rPr>
          <w:color w:val="0000CC"/>
        </w:rPr>
        <w:t xml:space="preserve"> H, Walsh T, </w:t>
      </w:r>
      <w:proofErr w:type="spellStart"/>
      <w:r w:rsidRPr="00704F57">
        <w:rPr>
          <w:color w:val="0000CC"/>
        </w:rPr>
        <w:t>Hiiri</w:t>
      </w:r>
      <w:proofErr w:type="spellEnd"/>
      <w:r w:rsidRPr="00704F57">
        <w:rPr>
          <w:color w:val="0000CC"/>
        </w:rPr>
        <w:t xml:space="preserve"> A, </w:t>
      </w:r>
      <w:proofErr w:type="spellStart"/>
      <w:r w:rsidRPr="00704F57">
        <w:rPr>
          <w:color w:val="0000CC"/>
        </w:rPr>
        <w:t>Nordblad</w:t>
      </w:r>
      <w:proofErr w:type="spellEnd"/>
      <w:r w:rsidRPr="00704F57">
        <w:rPr>
          <w:color w:val="0000CC"/>
        </w:rPr>
        <w:t xml:space="preserve"> A, </w:t>
      </w:r>
      <w:proofErr w:type="spellStart"/>
      <w:r w:rsidRPr="00704F57">
        <w:rPr>
          <w:color w:val="0000CC"/>
        </w:rPr>
        <w:t>Mäkelä</w:t>
      </w:r>
      <w:proofErr w:type="spellEnd"/>
      <w:r w:rsidRPr="00704F57">
        <w:rPr>
          <w:color w:val="0000CC"/>
        </w:rPr>
        <w:t xml:space="preserve"> M, Worthington HV.  </w:t>
      </w:r>
      <w:proofErr w:type="gramStart"/>
      <w:r w:rsidRPr="00704F57">
        <w:rPr>
          <w:color w:val="0000CC"/>
        </w:rPr>
        <w:t>Sealants for preventing dental decay in the permanent teeth.</w:t>
      </w:r>
      <w:proofErr w:type="gramEnd"/>
      <w:r w:rsidRPr="00704F57">
        <w:rPr>
          <w:color w:val="0000CC"/>
        </w:rPr>
        <w:t xml:space="preserve"> Cochrane Database </w:t>
      </w:r>
      <w:proofErr w:type="spellStart"/>
      <w:r w:rsidRPr="00704F57">
        <w:rPr>
          <w:color w:val="0000CC"/>
        </w:rPr>
        <w:t>Syst</w:t>
      </w:r>
      <w:proofErr w:type="spellEnd"/>
      <w:r w:rsidRPr="00704F57">
        <w:rPr>
          <w:color w:val="0000CC"/>
        </w:rPr>
        <w:t xml:space="preserve"> Rev. 2013 Mar 28</w:t>
      </w:r>
      <w:proofErr w:type="gramStart"/>
      <w:r w:rsidRPr="00704F57">
        <w:rPr>
          <w:color w:val="0000CC"/>
        </w:rPr>
        <w:t>;3:CD001830</w:t>
      </w:r>
      <w:proofErr w:type="gramEnd"/>
      <w:r w:rsidRPr="00704F57">
        <w:rPr>
          <w:color w:val="0000CC"/>
        </w:rPr>
        <w:t xml:space="preserve">. </w:t>
      </w:r>
      <w:proofErr w:type="spellStart"/>
      <w:proofErr w:type="gramStart"/>
      <w:r w:rsidRPr="00704F57">
        <w:rPr>
          <w:color w:val="0000CC"/>
        </w:rPr>
        <w:t>doi</w:t>
      </w:r>
      <w:proofErr w:type="spellEnd"/>
      <w:proofErr w:type="gramEnd"/>
      <w:r w:rsidRPr="00704F57">
        <w:rPr>
          <w:color w:val="0000CC"/>
        </w:rPr>
        <w:t>: 10.1002/14651858.CD001830.pub4.</w:t>
      </w:r>
    </w:p>
    <w:p w:rsidR="00853673" w:rsidRDefault="00853673" w:rsidP="002E2177">
      <w:pPr>
        <w:ind w:left="0" w:firstLine="0"/>
        <w:rPr>
          <w:b/>
          <w:color w:val="0070C0"/>
        </w:rPr>
      </w:pPr>
    </w:p>
    <w:p w:rsidR="009443C8" w:rsidRDefault="009443C8" w:rsidP="002E2177">
      <w:pPr>
        <w:ind w:left="0" w:firstLine="0"/>
        <w:rPr>
          <w:b/>
          <w:color w:val="0070C0"/>
        </w:rPr>
      </w:pPr>
    </w:p>
    <w:p w:rsidR="00837121" w:rsidRPr="00837121" w:rsidRDefault="00837121" w:rsidP="002E2177">
      <w:pPr>
        <w:ind w:left="0" w:firstLine="0"/>
        <w:rPr>
          <w:b/>
        </w:rPr>
      </w:pPr>
      <w:bookmarkStart w:id="11" w:name="Section1a8"/>
      <w:bookmarkEnd w:id="11"/>
      <w:r w:rsidRPr="0015535B">
        <w:rPr>
          <w:b/>
          <w:color w:val="0000FF"/>
        </w:rPr>
        <w:t xml:space="preserve">1a.8 </w:t>
      </w:r>
      <w:r w:rsidRPr="00837121">
        <w:rPr>
          <w:b/>
        </w:rPr>
        <w:t>OTHER SOURCE OF EVIDENCE</w:t>
      </w:r>
    </w:p>
    <w:p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837121" w:rsidRDefault="00837121" w:rsidP="002E2177">
      <w:pPr>
        <w:ind w:left="0" w:firstLine="0"/>
      </w:pPr>
    </w:p>
    <w:p w:rsidR="00837121" w:rsidRDefault="00837121" w:rsidP="002E2177">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rsidR="00B04A3E" w:rsidRPr="00B04A3E" w:rsidRDefault="00B04A3E" w:rsidP="00B04A3E">
      <w:pPr>
        <w:ind w:left="0" w:firstLine="0"/>
        <w:rPr>
          <w:color w:val="0000CC"/>
        </w:rPr>
      </w:pPr>
      <w:r>
        <w:rPr>
          <w:color w:val="0000CC"/>
        </w:rPr>
        <w:t>Not applicable.</w:t>
      </w:r>
    </w:p>
    <w:p w:rsidR="00837121" w:rsidRDefault="00837121" w:rsidP="002E2177">
      <w:pPr>
        <w:ind w:left="0" w:firstLine="0"/>
      </w:pPr>
    </w:p>
    <w:p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B04A3E" w:rsidRPr="00B04A3E" w:rsidRDefault="00B04A3E" w:rsidP="00B04A3E">
      <w:pPr>
        <w:ind w:left="0" w:firstLine="0"/>
        <w:rPr>
          <w:color w:val="0000CC"/>
        </w:rPr>
      </w:pPr>
      <w:r>
        <w:rPr>
          <w:color w:val="0000CC"/>
        </w:rPr>
        <w:t>Not applicable.</w:t>
      </w:r>
    </w:p>
    <w:p w:rsidR="00B04A3E" w:rsidRPr="001B772D" w:rsidRDefault="00B04A3E" w:rsidP="002E2177">
      <w:pPr>
        <w:ind w:left="0" w:firstLine="0"/>
      </w:pPr>
    </w:p>
    <w:sectPr w:rsidR="00B04A3E" w:rsidRPr="001B772D" w:rsidSect="008A6F5D">
      <w:headerReference w:type="default" r:id="rId19"/>
      <w:footerReference w:type="default" r:id="rId20"/>
      <w:pgSz w:w="12240" w:h="15840"/>
      <w:pgMar w:top="1440" w:right="1440" w:bottom="1440" w:left="1440" w:header="720" w:footer="720" w:gutter="0"/>
      <w:pgNumType w:start="2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C68" w:rsidRDefault="002F6C68" w:rsidP="007E37A5">
      <w:r>
        <w:separator/>
      </w:r>
    </w:p>
  </w:endnote>
  <w:endnote w:type="continuationSeparator" w:id="0">
    <w:p w:rsidR="002F6C68" w:rsidRDefault="002F6C6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DD8" w:rsidRDefault="00D25DD8">
    <w:pPr>
      <w:pStyle w:val="Footer"/>
    </w:pPr>
    <w:r w:rsidRPr="00395263">
      <w:t xml:space="preserve">Version </w:t>
    </w:r>
    <w:proofErr w:type="gramStart"/>
    <w:r w:rsidRPr="00395263">
      <w:t xml:space="preserve">6.5 </w:t>
    </w:r>
    <w:r>
      <w:t xml:space="preserve"> </w:t>
    </w:r>
    <w:r w:rsidRPr="00395263">
      <w:t>05</w:t>
    </w:r>
    <w:proofErr w:type="gramEnd"/>
    <w:r w:rsidRPr="00395263">
      <w:t>/</w:t>
    </w:r>
    <w:r>
      <w:t>29</w:t>
    </w:r>
    <w:r w:rsidRPr="00395263">
      <w:t>/13</w:t>
    </w:r>
    <w:r w:rsidRPr="00395263">
      <w:ptab w:relativeTo="margin" w:alignment="center" w:leader="none"/>
    </w:r>
    <w:r w:rsidRPr="00395263">
      <w:ptab w:relativeTo="margin" w:alignment="right" w:leader="none"/>
    </w:r>
    <w:r w:rsidR="00CC1B59">
      <w:fldChar w:fldCharType="begin"/>
    </w:r>
    <w:r w:rsidR="00CC1B59">
      <w:instrText xml:space="preserve"> PAGE   \* MERGEFORMAT </w:instrText>
    </w:r>
    <w:r w:rsidR="00CC1B59">
      <w:fldChar w:fldCharType="separate"/>
    </w:r>
    <w:r w:rsidR="008A6F5D">
      <w:rPr>
        <w:noProof/>
      </w:rPr>
      <w:t>29</w:t>
    </w:r>
    <w:r w:rsidR="00CC1B5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C68" w:rsidRDefault="002F6C68" w:rsidP="007E37A5">
      <w:r>
        <w:separator/>
      </w:r>
    </w:p>
  </w:footnote>
  <w:footnote w:type="continuationSeparator" w:id="0">
    <w:p w:rsidR="002F6C68" w:rsidRDefault="002F6C68"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D25DD8" w:rsidRDefault="00D25DD8"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7A5C"/>
    <w:multiLevelType w:val="hybridMultilevel"/>
    <w:tmpl w:val="BFC81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C83713"/>
    <w:multiLevelType w:val="hybridMultilevel"/>
    <w:tmpl w:val="0568B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2B7AB1"/>
    <w:multiLevelType w:val="hybridMultilevel"/>
    <w:tmpl w:val="480C6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41712B3"/>
    <w:multiLevelType w:val="hybridMultilevel"/>
    <w:tmpl w:val="4472436E"/>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8">
    <w:nsid w:val="356B19B0"/>
    <w:multiLevelType w:val="hybridMultilevel"/>
    <w:tmpl w:val="0FCA0FC0"/>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685E6A"/>
    <w:multiLevelType w:val="hybridMultilevel"/>
    <w:tmpl w:val="978A147E"/>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2">
    <w:nsid w:val="600318FF"/>
    <w:multiLevelType w:val="hybridMultilevel"/>
    <w:tmpl w:val="648E1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18B530E"/>
    <w:multiLevelType w:val="hybridMultilevel"/>
    <w:tmpl w:val="2884C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1"/>
  </w:num>
  <w:num w:numId="4">
    <w:abstractNumId w:val="2"/>
  </w:num>
  <w:num w:numId="5">
    <w:abstractNumId w:val="6"/>
  </w:num>
  <w:num w:numId="6">
    <w:abstractNumId w:val="4"/>
  </w:num>
  <w:num w:numId="7">
    <w:abstractNumId w:val="15"/>
  </w:num>
  <w:num w:numId="8">
    <w:abstractNumId w:val="14"/>
  </w:num>
  <w:num w:numId="9">
    <w:abstractNumId w:val="11"/>
  </w:num>
  <w:num w:numId="10">
    <w:abstractNumId w:val="13"/>
  </w:num>
  <w:num w:numId="11">
    <w:abstractNumId w:val="5"/>
  </w:num>
  <w:num w:numId="12">
    <w:abstractNumId w:val="0"/>
  </w:num>
  <w:num w:numId="13">
    <w:abstractNumId w:val="8"/>
  </w:num>
  <w:num w:numId="14">
    <w:abstractNumId w:val="12"/>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31108"/>
    <w:rsid w:val="00061CF3"/>
    <w:rsid w:val="00063601"/>
    <w:rsid w:val="00073079"/>
    <w:rsid w:val="0007593F"/>
    <w:rsid w:val="00095EC9"/>
    <w:rsid w:val="00096A37"/>
    <w:rsid w:val="000A0810"/>
    <w:rsid w:val="000B627F"/>
    <w:rsid w:val="000C0C26"/>
    <w:rsid w:val="000C358F"/>
    <w:rsid w:val="000C46C8"/>
    <w:rsid w:val="000D649E"/>
    <w:rsid w:val="000D6D06"/>
    <w:rsid w:val="000F09A5"/>
    <w:rsid w:val="00114848"/>
    <w:rsid w:val="00120934"/>
    <w:rsid w:val="001244B8"/>
    <w:rsid w:val="00132070"/>
    <w:rsid w:val="00141875"/>
    <w:rsid w:val="001427B3"/>
    <w:rsid w:val="0014347E"/>
    <w:rsid w:val="001551F6"/>
    <w:rsid w:val="0015535B"/>
    <w:rsid w:val="00156A6E"/>
    <w:rsid w:val="00162036"/>
    <w:rsid w:val="001632DD"/>
    <w:rsid w:val="0016657B"/>
    <w:rsid w:val="00176E60"/>
    <w:rsid w:val="00182709"/>
    <w:rsid w:val="001854AF"/>
    <w:rsid w:val="00194D9A"/>
    <w:rsid w:val="001A196B"/>
    <w:rsid w:val="001A6D05"/>
    <w:rsid w:val="001B38BF"/>
    <w:rsid w:val="001B772D"/>
    <w:rsid w:val="001D5B5D"/>
    <w:rsid w:val="001D7EC5"/>
    <w:rsid w:val="001F43B4"/>
    <w:rsid w:val="00201FF9"/>
    <w:rsid w:val="00203D97"/>
    <w:rsid w:val="00205857"/>
    <w:rsid w:val="00235ADC"/>
    <w:rsid w:val="002432AF"/>
    <w:rsid w:val="00265702"/>
    <w:rsid w:val="002662B2"/>
    <w:rsid w:val="002709A6"/>
    <w:rsid w:val="002717C7"/>
    <w:rsid w:val="002875E9"/>
    <w:rsid w:val="00287EB3"/>
    <w:rsid w:val="002A47BA"/>
    <w:rsid w:val="002A568E"/>
    <w:rsid w:val="002A6777"/>
    <w:rsid w:val="002B06BD"/>
    <w:rsid w:val="002C0E48"/>
    <w:rsid w:val="002C28E7"/>
    <w:rsid w:val="002C6F04"/>
    <w:rsid w:val="002D4272"/>
    <w:rsid w:val="002E2177"/>
    <w:rsid w:val="002E2E41"/>
    <w:rsid w:val="002E74E4"/>
    <w:rsid w:val="002E78CD"/>
    <w:rsid w:val="002F20A7"/>
    <w:rsid w:val="002F6C68"/>
    <w:rsid w:val="00302B1D"/>
    <w:rsid w:val="00307FA5"/>
    <w:rsid w:val="00324D64"/>
    <w:rsid w:val="00352B52"/>
    <w:rsid w:val="00363ECC"/>
    <w:rsid w:val="0039020B"/>
    <w:rsid w:val="00395263"/>
    <w:rsid w:val="003956E0"/>
    <w:rsid w:val="0039609A"/>
    <w:rsid w:val="00397500"/>
    <w:rsid w:val="003B0F30"/>
    <w:rsid w:val="003B5863"/>
    <w:rsid w:val="003B65CE"/>
    <w:rsid w:val="003E039E"/>
    <w:rsid w:val="003F24C6"/>
    <w:rsid w:val="00422917"/>
    <w:rsid w:val="00426B70"/>
    <w:rsid w:val="00440687"/>
    <w:rsid w:val="0044131D"/>
    <w:rsid w:val="00441ADA"/>
    <w:rsid w:val="00457E46"/>
    <w:rsid w:val="00472ED4"/>
    <w:rsid w:val="00496AF8"/>
    <w:rsid w:val="004A38A3"/>
    <w:rsid w:val="004A575D"/>
    <w:rsid w:val="004A76AC"/>
    <w:rsid w:val="004B65C6"/>
    <w:rsid w:val="004D1DC7"/>
    <w:rsid w:val="004D4F31"/>
    <w:rsid w:val="00500B0C"/>
    <w:rsid w:val="00512775"/>
    <w:rsid w:val="00531F05"/>
    <w:rsid w:val="00537150"/>
    <w:rsid w:val="005379A8"/>
    <w:rsid w:val="00540984"/>
    <w:rsid w:val="00543851"/>
    <w:rsid w:val="00552812"/>
    <w:rsid w:val="0055559D"/>
    <w:rsid w:val="005569AE"/>
    <w:rsid w:val="00571B66"/>
    <w:rsid w:val="00582634"/>
    <w:rsid w:val="005857F8"/>
    <w:rsid w:val="00594B0F"/>
    <w:rsid w:val="005960F1"/>
    <w:rsid w:val="005B0D18"/>
    <w:rsid w:val="005B12C3"/>
    <w:rsid w:val="005B409D"/>
    <w:rsid w:val="005C75C7"/>
    <w:rsid w:val="005D0FDB"/>
    <w:rsid w:val="005D19E3"/>
    <w:rsid w:val="005D6D59"/>
    <w:rsid w:val="005D7C16"/>
    <w:rsid w:val="005F247D"/>
    <w:rsid w:val="00617390"/>
    <w:rsid w:val="00623420"/>
    <w:rsid w:val="00634768"/>
    <w:rsid w:val="006355AB"/>
    <w:rsid w:val="0063596F"/>
    <w:rsid w:val="006373E4"/>
    <w:rsid w:val="00656627"/>
    <w:rsid w:val="006709EB"/>
    <w:rsid w:val="00672824"/>
    <w:rsid w:val="00676F32"/>
    <w:rsid w:val="0068184A"/>
    <w:rsid w:val="006C7F30"/>
    <w:rsid w:val="006F4B7F"/>
    <w:rsid w:val="006F760B"/>
    <w:rsid w:val="00701CC3"/>
    <w:rsid w:val="00704F57"/>
    <w:rsid w:val="00705D6A"/>
    <w:rsid w:val="0071215B"/>
    <w:rsid w:val="00722617"/>
    <w:rsid w:val="00724801"/>
    <w:rsid w:val="00734949"/>
    <w:rsid w:val="00736AEC"/>
    <w:rsid w:val="00736E0F"/>
    <w:rsid w:val="007412E9"/>
    <w:rsid w:val="007434FA"/>
    <w:rsid w:val="007573F0"/>
    <w:rsid w:val="00757B35"/>
    <w:rsid w:val="00765156"/>
    <w:rsid w:val="00767669"/>
    <w:rsid w:val="00773485"/>
    <w:rsid w:val="007765EA"/>
    <w:rsid w:val="00776E8F"/>
    <w:rsid w:val="00776F6D"/>
    <w:rsid w:val="00777067"/>
    <w:rsid w:val="007811A1"/>
    <w:rsid w:val="007C0297"/>
    <w:rsid w:val="007C1887"/>
    <w:rsid w:val="007D0611"/>
    <w:rsid w:val="007D5DC6"/>
    <w:rsid w:val="007E37A5"/>
    <w:rsid w:val="007F49D8"/>
    <w:rsid w:val="00805940"/>
    <w:rsid w:val="00814769"/>
    <w:rsid w:val="008241F6"/>
    <w:rsid w:val="00837121"/>
    <w:rsid w:val="00840604"/>
    <w:rsid w:val="008471E5"/>
    <w:rsid w:val="00850C35"/>
    <w:rsid w:val="00853673"/>
    <w:rsid w:val="00863E43"/>
    <w:rsid w:val="008647C3"/>
    <w:rsid w:val="00870987"/>
    <w:rsid w:val="0087564A"/>
    <w:rsid w:val="00881160"/>
    <w:rsid w:val="0088371C"/>
    <w:rsid w:val="008A45F3"/>
    <w:rsid w:val="008A6F5D"/>
    <w:rsid w:val="008B51D9"/>
    <w:rsid w:val="008B652E"/>
    <w:rsid w:val="008F1DC6"/>
    <w:rsid w:val="00905C5B"/>
    <w:rsid w:val="00923295"/>
    <w:rsid w:val="00935265"/>
    <w:rsid w:val="009443C8"/>
    <w:rsid w:val="0094689F"/>
    <w:rsid w:val="009477D6"/>
    <w:rsid w:val="00951D4C"/>
    <w:rsid w:val="00953971"/>
    <w:rsid w:val="00953ED3"/>
    <w:rsid w:val="00965FF6"/>
    <w:rsid w:val="009846D6"/>
    <w:rsid w:val="0098657F"/>
    <w:rsid w:val="009953E1"/>
    <w:rsid w:val="009A3236"/>
    <w:rsid w:val="009B4846"/>
    <w:rsid w:val="009B5A93"/>
    <w:rsid w:val="009B5BEA"/>
    <w:rsid w:val="009B6E7F"/>
    <w:rsid w:val="009C1408"/>
    <w:rsid w:val="009E37BD"/>
    <w:rsid w:val="009E6B86"/>
    <w:rsid w:val="00A12762"/>
    <w:rsid w:val="00A13867"/>
    <w:rsid w:val="00A32192"/>
    <w:rsid w:val="00A40319"/>
    <w:rsid w:val="00A421D4"/>
    <w:rsid w:val="00A44FF0"/>
    <w:rsid w:val="00A50E55"/>
    <w:rsid w:val="00A91A47"/>
    <w:rsid w:val="00A95D2B"/>
    <w:rsid w:val="00AA5587"/>
    <w:rsid w:val="00AB366D"/>
    <w:rsid w:val="00AD79C8"/>
    <w:rsid w:val="00AE6CE0"/>
    <w:rsid w:val="00B04A3E"/>
    <w:rsid w:val="00B058A6"/>
    <w:rsid w:val="00B117D0"/>
    <w:rsid w:val="00B13998"/>
    <w:rsid w:val="00B153A4"/>
    <w:rsid w:val="00B366AC"/>
    <w:rsid w:val="00B439DD"/>
    <w:rsid w:val="00B52E0F"/>
    <w:rsid w:val="00B5699C"/>
    <w:rsid w:val="00B74629"/>
    <w:rsid w:val="00B74A71"/>
    <w:rsid w:val="00B91F58"/>
    <w:rsid w:val="00BA26B3"/>
    <w:rsid w:val="00BA579E"/>
    <w:rsid w:val="00BB0FB0"/>
    <w:rsid w:val="00BB1078"/>
    <w:rsid w:val="00BB7AF9"/>
    <w:rsid w:val="00BE2295"/>
    <w:rsid w:val="00BE6373"/>
    <w:rsid w:val="00BF533A"/>
    <w:rsid w:val="00BF5AF9"/>
    <w:rsid w:val="00C46677"/>
    <w:rsid w:val="00C4681F"/>
    <w:rsid w:val="00C5180E"/>
    <w:rsid w:val="00C54E40"/>
    <w:rsid w:val="00C55F56"/>
    <w:rsid w:val="00C57BA4"/>
    <w:rsid w:val="00C749F5"/>
    <w:rsid w:val="00C84623"/>
    <w:rsid w:val="00CB06C9"/>
    <w:rsid w:val="00CB271C"/>
    <w:rsid w:val="00CB3EB3"/>
    <w:rsid w:val="00CC1B59"/>
    <w:rsid w:val="00CE4F96"/>
    <w:rsid w:val="00CF0AB1"/>
    <w:rsid w:val="00CF4B9B"/>
    <w:rsid w:val="00CF55E6"/>
    <w:rsid w:val="00CF772F"/>
    <w:rsid w:val="00D03D48"/>
    <w:rsid w:val="00D048DB"/>
    <w:rsid w:val="00D14F0B"/>
    <w:rsid w:val="00D178CA"/>
    <w:rsid w:val="00D2020F"/>
    <w:rsid w:val="00D25DD8"/>
    <w:rsid w:val="00D3311C"/>
    <w:rsid w:val="00D4136A"/>
    <w:rsid w:val="00D434BC"/>
    <w:rsid w:val="00D53405"/>
    <w:rsid w:val="00D53417"/>
    <w:rsid w:val="00D5457B"/>
    <w:rsid w:val="00D56859"/>
    <w:rsid w:val="00D72995"/>
    <w:rsid w:val="00D748BD"/>
    <w:rsid w:val="00DA7FA2"/>
    <w:rsid w:val="00DB5522"/>
    <w:rsid w:val="00DC2D8D"/>
    <w:rsid w:val="00DC6862"/>
    <w:rsid w:val="00DD31EC"/>
    <w:rsid w:val="00DD4005"/>
    <w:rsid w:val="00DE50D8"/>
    <w:rsid w:val="00DE61A9"/>
    <w:rsid w:val="00DF278A"/>
    <w:rsid w:val="00DF3B25"/>
    <w:rsid w:val="00E1664B"/>
    <w:rsid w:val="00E173D1"/>
    <w:rsid w:val="00E30D12"/>
    <w:rsid w:val="00E35241"/>
    <w:rsid w:val="00E41417"/>
    <w:rsid w:val="00E43D2B"/>
    <w:rsid w:val="00E54DFB"/>
    <w:rsid w:val="00E57BE2"/>
    <w:rsid w:val="00E61A2C"/>
    <w:rsid w:val="00E62A95"/>
    <w:rsid w:val="00E746A2"/>
    <w:rsid w:val="00E90D06"/>
    <w:rsid w:val="00E97E59"/>
    <w:rsid w:val="00EA79C9"/>
    <w:rsid w:val="00EB66AC"/>
    <w:rsid w:val="00EB6BDE"/>
    <w:rsid w:val="00EE1F87"/>
    <w:rsid w:val="00EE3931"/>
    <w:rsid w:val="00EE5AF6"/>
    <w:rsid w:val="00EF2CEF"/>
    <w:rsid w:val="00F0542B"/>
    <w:rsid w:val="00F431D8"/>
    <w:rsid w:val="00F4519B"/>
    <w:rsid w:val="00F5422E"/>
    <w:rsid w:val="00F67706"/>
    <w:rsid w:val="00F800BD"/>
    <w:rsid w:val="00F84EC8"/>
    <w:rsid w:val="00F92D75"/>
    <w:rsid w:val="00F97327"/>
    <w:rsid w:val="00FA296F"/>
    <w:rsid w:val="00FA7323"/>
    <w:rsid w:val="00FC32D3"/>
    <w:rsid w:val="00FD4D82"/>
    <w:rsid w:val="00FE0890"/>
    <w:rsid w:val="00FE57AE"/>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link w:val="Heading1Char"/>
    <w:uiPriority w:val="9"/>
    <w:qFormat/>
    <w:rsid w:val="009443C8"/>
    <w:pPr>
      <w:spacing w:before="240" w:after="120"/>
      <w:ind w:left="0" w:firstLine="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A4">
    <w:name w:val="A4"/>
    <w:uiPriority w:val="99"/>
    <w:rsid w:val="00E61A2C"/>
    <w:rPr>
      <w:rFonts w:cs="NewCenturySchlbk"/>
      <w:color w:val="000000"/>
      <w:sz w:val="11"/>
      <w:szCs w:val="11"/>
    </w:rPr>
  </w:style>
  <w:style w:type="character" w:customStyle="1" w:styleId="Heading1Char">
    <w:name w:val="Heading 1 Char"/>
    <w:basedOn w:val="DefaultParagraphFont"/>
    <w:link w:val="Heading1"/>
    <w:uiPriority w:val="9"/>
    <w:rsid w:val="009443C8"/>
    <w:rPr>
      <w:rFonts w:ascii="Times New Roman" w:eastAsia="Times New Roman" w:hAnsi="Times New Roman" w:cs="Times New Roman"/>
      <w:b/>
      <w:bCs/>
      <w:color w:val="000000"/>
      <w:kern w:val="36"/>
      <w:sz w:val="33"/>
      <w:szCs w:val="33"/>
    </w:rPr>
  </w:style>
  <w:style w:type="character" w:customStyle="1" w:styleId="highlight1">
    <w:name w:val="highlight1"/>
    <w:basedOn w:val="DefaultParagraphFont"/>
    <w:rsid w:val="009443C8"/>
    <w:rPr>
      <w:shd w:val="clear" w:color="auto" w:fill="F2F5F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link w:val="Heading1Char"/>
    <w:uiPriority w:val="9"/>
    <w:qFormat/>
    <w:rsid w:val="009443C8"/>
    <w:pPr>
      <w:spacing w:before="240" w:after="120"/>
      <w:ind w:left="0" w:firstLine="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A4">
    <w:name w:val="A4"/>
    <w:uiPriority w:val="99"/>
    <w:rsid w:val="00E61A2C"/>
    <w:rPr>
      <w:rFonts w:cs="NewCenturySchlbk"/>
      <w:color w:val="000000"/>
      <w:sz w:val="11"/>
      <w:szCs w:val="11"/>
    </w:rPr>
  </w:style>
  <w:style w:type="character" w:customStyle="1" w:styleId="Heading1Char">
    <w:name w:val="Heading 1 Char"/>
    <w:basedOn w:val="DefaultParagraphFont"/>
    <w:link w:val="Heading1"/>
    <w:uiPriority w:val="9"/>
    <w:rsid w:val="009443C8"/>
    <w:rPr>
      <w:rFonts w:ascii="Times New Roman" w:eastAsia="Times New Roman" w:hAnsi="Times New Roman" w:cs="Times New Roman"/>
      <w:b/>
      <w:bCs/>
      <w:color w:val="000000"/>
      <w:kern w:val="36"/>
      <w:sz w:val="33"/>
      <w:szCs w:val="33"/>
    </w:rPr>
  </w:style>
  <w:style w:type="character" w:customStyle="1" w:styleId="highlight1">
    <w:name w:val="highlight1"/>
    <w:basedOn w:val="DefaultParagraphFont"/>
    <w:rsid w:val="009443C8"/>
    <w:rPr>
      <w:shd w:val="clear" w:color="auto" w:fill="F2F5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0830">
      <w:bodyDiv w:val="1"/>
      <w:marLeft w:val="0"/>
      <w:marRight w:val="0"/>
      <w:marTop w:val="0"/>
      <w:marBottom w:val="0"/>
      <w:divBdr>
        <w:top w:val="none" w:sz="0" w:space="0" w:color="auto"/>
        <w:left w:val="none" w:sz="0" w:space="0" w:color="auto"/>
        <w:bottom w:val="none" w:sz="0" w:space="0" w:color="auto"/>
        <w:right w:val="none" w:sz="0" w:space="0" w:color="auto"/>
      </w:divBdr>
      <w:divsChild>
        <w:div w:id="1515999821">
          <w:marLeft w:val="0"/>
          <w:marRight w:val="1"/>
          <w:marTop w:val="0"/>
          <w:marBottom w:val="0"/>
          <w:divBdr>
            <w:top w:val="none" w:sz="0" w:space="0" w:color="auto"/>
            <w:left w:val="none" w:sz="0" w:space="0" w:color="auto"/>
            <w:bottom w:val="none" w:sz="0" w:space="0" w:color="auto"/>
            <w:right w:val="none" w:sz="0" w:space="0" w:color="auto"/>
          </w:divBdr>
          <w:divsChild>
            <w:div w:id="1484928306">
              <w:marLeft w:val="0"/>
              <w:marRight w:val="0"/>
              <w:marTop w:val="0"/>
              <w:marBottom w:val="0"/>
              <w:divBdr>
                <w:top w:val="none" w:sz="0" w:space="0" w:color="auto"/>
                <w:left w:val="none" w:sz="0" w:space="0" w:color="auto"/>
                <w:bottom w:val="none" w:sz="0" w:space="0" w:color="auto"/>
                <w:right w:val="none" w:sz="0" w:space="0" w:color="auto"/>
              </w:divBdr>
              <w:divsChild>
                <w:div w:id="839319841">
                  <w:marLeft w:val="0"/>
                  <w:marRight w:val="1"/>
                  <w:marTop w:val="0"/>
                  <w:marBottom w:val="0"/>
                  <w:divBdr>
                    <w:top w:val="none" w:sz="0" w:space="0" w:color="auto"/>
                    <w:left w:val="none" w:sz="0" w:space="0" w:color="auto"/>
                    <w:bottom w:val="none" w:sz="0" w:space="0" w:color="auto"/>
                    <w:right w:val="none" w:sz="0" w:space="0" w:color="auto"/>
                  </w:divBdr>
                  <w:divsChild>
                    <w:div w:id="1773090854">
                      <w:marLeft w:val="0"/>
                      <w:marRight w:val="0"/>
                      <w:marTop w:val="0"/>
                      <w:marBottom w:val="0"/>
                      <w:divBdr>
                        <w:top w:val="none" w:sz="0" w:space="0" w:color="auto"/>
                        <w:left w:val="none" w:sz="0" w:space="0" w:color="auto"/>
                        <w:bottom w:val="none" w:sz="0" w:space="0" w:color="auto"/>
                        <w:right w:val="none" w:sz="0" w:space="0" w:color="auto"/>
                      </w:divBdr>
                      <w:divsChild>
                        <w:div w:id="1350838454">
                          <w:marLeft w:val="0"/>
                          <w:marRight w:val="0"/>
                          <w:marTop w:val="0"/>
                          <w:marBottom w:val="0"/>
                          <w:divBdr>
                            <w:top w:val="none" w:sz="0" w:space="0" w:color="auto"/>
                            <w:left w:val="none" w:sz="0" w:space="0" w:color="auto"/>
                            <w:bottom w:val="none" w:sz="0" w:space="0" w:color="auto"/>
                            <w:right w:val="none" w:sz="0" w:space="0" w:color="auto"/>
                          </w:divBdr>
                          <w:divsChild>
                            <w:div w:id="1347903480">
                              <w:marLeft w:val="0"/>
                              <w:marRight w:val="0"/>
                              <w:marTop w:val="120"/>
                              <w:marBottom w:val="360"/>
                              <w:divBdr>
                                <w:top w:val="none" w:sz="0" w:space="0" w:color="auto"/>
                                <w:left w:val="none" w:sz="0" w:space="0" w:color="auto"/>
                                <w:bottom w:val="none" w:sz="0" w:space="0" w:color="auto"/>
                                <w:right w:val="none" w:sz="0" w:space="0" w:color="auto"/>
                              </w:divBdr>
                              <w:divsChild>
                                <w:div w:id="811365583">
                                  <w:marLeft w:val="0"/>
                                  <w:marRight w:val="0"/>
                                  <w:marTop w:val="0"/>
                                  <w:marBottom w:val="0"/>
                                  <w:divBdr>
                                    <w:top w:val="none" w:sz="0" w:space="0" w:color="auto"/>
                                    <w:left w:val="none" w:sz="0" w:space="0" w:color="auto"/>
                                    <w:bottom w:val="none" w:sz="0" w:space="0" w:color="auto"/>
                                    <w:right w:val="none" w:sz="0" w:space="0" w:color="auto"/>
                                  </w:divBdr>
                                </w:div>
                                <w:div w:id="12860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image" Target="media/image2.pn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image" Target="media/image1.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jada.ada.org/content/139/3/257.ful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jada.ada.org/content/139/3/257.full"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http://www.uspreventiveservicestaskforce.org/uspstf/grades.ht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glossaryDocument" Target="glossary/document.xm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030FE"/>
    <w:rsid w:val="00006DBF"/>
    <w:rsid w:val="00063651"/>
    <w:rsid w:val="000F4881"/>
    <w:rsid w:val="001011DA"/>
    <w:rsid w:val="00160241"/>
    <w:rsid w:val="00205158"/>
    <w:rsid w:val="003A1E4B"/>
    <w:rsid w:val="004453EB"/>
    <w:rsid w:val="00455EB5"/>
    <w:rsid w:val="00461C1C"/>
    <w:rsid w:val="004B4A27"/>
    <w:rsid w:val="004E2027"/>
    <w:rsid w:val="005D592A"/>
    <w:rsid w:val="006B537F"/>
    <w:rsid w:val="00723CCE"/>
    <w:rsid w:val="007A5145"/>
    <w:rsid w:val="0082313D"/>
    <w:rsid w:val="008F6A9B"/>
    <w:rsid w:val="00996310"/>
    <w:rsid w:val="00A7472B"/>
    <w:rsid w:val="00AE3EF0"/>
    <w:rsid w:val="00B01B63"/>
    <w:rsid w:val="00B22597"/>
    <w:rsid w:val="00C03643"/>
    <w:rsid w:val="00C2797F"/>
    <w:rsid w:val="00C80225"/>
    <w:rsid w:val="00CA709B"/>
    <w:rsid w:val="00D02993"/>
    <w:rsid w:val="00D228C9"/>
    <w:rsid w:val="00DB5324"/>
    <w:rsid w:val="00E54A35"/>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99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3AB5717962F94139A5659490100B7CEE">
    <w:name w:val="3AB5717962F94139A5659490100B7CEE"/>
    <w:rsid w:val="00D029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3.xml><?xml version="1.0" encoding="utf-8"?>
<?mso-contentType ?>
<SharedContentType xmlns="Microsoft.SharePoint.Taxonomy.ContentTypeSync" SourceId="975718fd-5203-40f4-9090-782adc176dc9" ContentTypeId="0x0101002103F21F9513D04D98FE1FBF67229DC5010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94063F-0EAF-4373-A87A-F30DAF343F52}"/>
</file>

<file path=customXml/itemProps2.xml><?xml version="1.0" encoding="utf-8"?>
<ds:datastoreItem xmlns:ds="http://schemas.openxmlformats.org/officeDocument/2006/customXml" ds:itemID="{AF748A49-B5C0-4B12-ACF8-DAF27FBEB066}"/>
</file>

<file path=customXml/itemProps3.xml><?xml version="1.0" encoding="utf-8"?>
<ds:datastoreItem xmlns:ds="http://schemas.openxmlformats.org/officeDocument/2006/customXml" ds:itemID="{AE2A94C5-EE37-46DF-9A13-BAC2EA09F92D}"/>
</file>

<file path=customXml/itemProps4.xml><?xml version="1.0" encoding="utf-8"?>
<ds:datastoreItem xmlns:ds="http://schemas.openxmlformats.org/officeDocument/2006/customXml" ds:itemID="{D6F90B83-CEDA-4EAA-8611-EDD50120D879}"/>
</file>

<file path=customXml/itemProps5.xml><?xml version="1.0" encoding="utf-8"?>
<ds:datastoreItem xmlns:ds="http://schemas.openxmlformats.org/officeDocument/2006/customXml" ds:itemID="{E6C20D56-7E66-43A3-9370-05F852DD663F}"/>
</file>

<file path=customXml/itemProps6.xml><?xml version="1.0" encoding="utf-8"?>
<ds:datastoreItem xmlns:ds="http://schemas.openxmlformats.org/officeDocument/2006/customXml" ds:itemID="{07F35437-DA49-4804-AFE4-673C0FBB4794}"/>
</file>

<file path=docProps/app.xml><?xml version="1.0" encoding="utf-8"?>
<Properties xmlns="http://schemas.openxmlformats.org/officeDocument/2006/extended-properties" xmlns:vt="http://schemas.openxmlformats.org/officeDocument/2006/docPropsVTypes">
  <Template>Normal.dotm</Template>
  <TotalTime>0</TotalTime>
  <Pages>9</Pages>
  <Words>3329</Words>
  <Characters>18976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NQF Evidence.docx</dc:title>
  <dc:creator>Karen Pace</dc:creator>
  <cp:lastModifiedBy>ManesaVaclavik</cp:lastModifiedBy>
  <cp:revision>3</cp:revision>
  <dcterms:created xsi:type="dcterms:W3CDTF">2014-03-05T20:57:00Z</dcterms:created>
  <dcterms:modified xsi:type="dcterms:W3CDTF">2014-03-05T21:01:00Z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16709493</vt:lpwstr>
  </property>
  <property fmtid="{D5CDD505-2E9C-101B-9397-08002B2CF9AE}" pid="4" name="LivelinkID">
    <vt:lpwstr>16709493</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04&amp;#58;54&amp;#58;32&lt;/td&gt;&lt;td&gt;Admin&lt;/td&gt;&lt;/tr&gt;&lt;tr&gt;&lt;td&gt;Permissions Changed&lt;/td&gt;&lt;td&gt;02/16/2015 19&amp;#58;15&amp;#58;07&lt;/td&gt;&lt;td&gt;dempseyl&lt;/td&gt;&lt;/tr&gt;&lt;tr&gt;&lt;td&gt;Create&lt;/td&gt;&lt;td&gt;07/02/2014 15&amp;#58;46&amp;#58;08&lt;/td&gt;&lt;td&gt;vaclavikm&lt;/td&gt;&lt;/tr&gt;&lt;tr&gt;&lt;td&gt;Version Added&lt;/td&gt;&lt;td&gt;07/02/2014 15&amp;#58;46&amp;#58;08&lt;/td&gt;&lt;td&gt;vaclavikm&lt;/td&gt;&lt;/tr&gt;&lt;/table&gt;</vt:lpwstr>
  </property>
  <property fmtid="{D5CDD505-2E9C-101B-9397-08002B2CF9AE}" pid="8" name="_dlc_DocId">
    <vt:lpwstr/>
  </property>
</Properties>
</file>