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glossary/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bookmarkStart w:id="0" w:name="_GoBack"/>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292DDA" w:rsidRDefault="00105D8B" w:rsidP="00105D8B">
      <w:pPr>
        <w:contextualSpacing/>
        <w:rPr>
          <w:rFonts w:cstheme="minorHAnsi"/>
          <w:noProof/>
          <w:color w:val="0000CC"/>
        </w:rPr>
      </w:pPr>
      <w:r w:rsidRPr="00A25024">
        <w:rPr>
          <w:rFonts w:cstheme="minorHAnsi"/>
          <w:b/>
          <w:noProof/>
        </w:rPr>
        <w:t>Measure Title</w:t>
      </w:r>
      <w:r w:rsidRPr="00A25024">
        <w:rPr>
          <w:rFonts w:cstheme="minorHAnsi"/>
          <w:noProof/>
        </w:rPr>
        <w:t xml:space="preserve">:  </w:t>
      </w:r>
      <w:sdt>
        <w:sdtPr>
          <w:rPr>
            <w:rStyle w:val="Style1"/>
            <w:rFonts w:cstheme="minorHAnsi"/>
            <w:color w:val="0000CC"/>
          </w:rPr>
          <w:id w:val="-882640736"/>
          <w:placeholder>
            <w:docPart w:val="00949831315D4E1BAFC508BD77E32A40"/>
          </w:placeholder>
        </w:sdtPr>
        <w:sdtEndPr>
          <w:rPr>
            <w:rStyle w:val="DefaultParagraphFont"/>
            <w:noProof/>
          </w:rPr>
        </w:sdtEndPr>
        <w:sdtContent>
          <w:r w:rsidR="00446B99" w:rsidRPr="00292DDA">
            <w:rPr>
              <w:rStyle w:val="Style1"/>
              <w:rFonts w:cstheme="minorHAnsi"/>
              <w:color w:val="0000CC"/>
            </w:rPr>
            <w:t xml:space="preserve">Prevention: Dental Sealants for </w:t>
          </w:r>
          <w:r w:rsidR="00B823F1">
            <w:rPr>
              <w:rStyle w:val="Style1"/>
              <w:rFonts w:cstheme="minorHAnsi"/>
              <w:color w:val="0000CC"/>
            </w:rPr>
            <w:t>10-14</w:t>
          </w:r>
          <w:r w:rsidR="00446B99" w:rsidRPr="00292DDA">
            <w:rPr>
              <w:rStyle w:val="Style1"/>
              <w:rFonts w:cstheme="minorHAnsi"/>
              <w:color w:val="0000CC"/>
            </w:rPr>
            <w:t xml:space="preserve"> Year-Old Children at Elevated Caries Risk</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color w:val="auto"/>
            <w:u w:val="none"/>
          </w:rPr>
        </w:sdtEndPr>
        <w:sdtContent>
          <w:r w:rsidR="003224F2">
            <w:rPr>
              <w:rStyle w:val="Style2"/>
              <w:rFonts w:cstheme="minorHAnsi"/>
            </w:rPr>
            <w:t>2/10/2014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4130B2"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4130B2"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4130B2"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4130B2"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proofErr w:type="spellStart"/>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roofErr w:type="spellEnd"/>
          </w:p>
        </w:tc>
      </w:tr>
      <w:tr w:rsidR="00CD364B" w:rsidRPr="00B82A57" w:rsidTr="000B3880">
        <w:trPr>
          <w:jc w:val="center"/>
        </w:trPr>
        <w:tc>
          <w:tcPr>
            <w:tcW w:w="2547" w:type="pct"/>
          </w:tcPr>
          <w:p w:rsidR="00CD364B" w:rsidRPr="00B82A57" w:rsidRDefault="004130B2"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4130B2"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1"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2"/>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4130B2"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4130B2"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4130B2"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4130B2"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2D69EE" w:rsidRPr="00E443FB" w:rsidRDefault="00643C0F" w:rsidP="002D69EE">
      <w:pPr>
        <w:autoSpaceDE w:val="0"/>
        <w:autoSpaceDN w:val="0"/>
        <w:adjustRightInd w:val="0"/>
        <w:spacing w:after="0" w:line="240" w:lineRule="auto"/>
        <w:rPr>
          <w:rFonts w:cstheme="minorHAnsi"/>
          <w:bCs/>
          <w:color w:val="0000CC"/>
        </w:rPr>
      </w:pPr>
      <w:r w:rsidRPr="00CB766D">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002D69EE" w:rsidRPr="00E443FB">
        <w:rPr>
          <w:rFonts w:cstheme="minorHAnsi"/>
          <w:bCs/>
          <w:color w:val="0000CC"/>
        </w:rPr>
        <w:t xml:space="preserve">We used data from five sources and refer to “program” level information and “plan” level information.  We included data for publicly insured children in the Texas Medicaid, Texas CHIP,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five programs collectively represent different delivery system models.  The Texas Medicaid data represented dental fee-for-service, and Texas CHIP data reflected a single dental managed care organization (MCO).  The Florida CHIP data included data from two dental MCOs.  The Florida Medicaid data include dental fee-for-service and prepaid dental data.  The commercial data included members in indemnity and preferred provider organization (PPO) product lines.  </w:t>
      </w:r>
    </w:p>
    <w:p w:rsidR="009E1846" w:rsidRPr="00CB766D" w:rsidRDefault="009E1846" w:rsidP="00DB3627">
      <w:pPr>
        <w:autoSpaceDE w:val="0"/>
        <w:autoSpaceDN w:val="0"/>
        <w:adjustRightInd w:val="0"/>
        <w:spacing w:after="0" w:line="240" w:lineRule="auto"/>
        <w:rPr>
          <w:rFonts w:cstheme="minorHAnsi"/>
          <w:b/>
          <w:color w:val="0000CC"/>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643C0F">
            <w:rPr>
              <w:rStyle w:val="Style1"/>
            </w:rPr>
            <w:t>We used d</w:t>
          </w:r>
          <w:r w:rsidR="00CB766D" w:rsidRPr="00CB766D">
            <w:rPr>
              <w:rStyle w:val="Style1"/>
            </w:rPr>
            <w:t>ata from calendar years 2010 and 2011 for all programs except Florida Medicaid. Full-year data for 2011 were not available for Florida Medicaid.</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sidRPr="00446B99">
        <w:rPr>
          <w:rFonts w:cstheme="minorHAnsi"/>
          <w:b/>
          <w:bCs/>
        </w:rPr>
        <w:t>1</w:t>
      </w:r>
      <w:r w:rsidR="00927027" w:rsidRPr="00446B99">
        <w:rPr>
          <w:rFonts w:cstheme="minorHAnsi"/>
          <w:b/>
          <w:bCs/>
        </w:rPr>
        <w:t>.</w:t>
      </w:r>
      <w:r w:rsidR="00DB3627" w:rsidRPr="00446B99">
        <w:rPr>
          <w:rFonts w:cstheme="minorHAnsi"/>
          <w:b/>
          <w:bCs/>
        </w:rPr>
        <w:t xml:space="preserve">4. </w:t>
      </w:r>
      <w:r w:rsidR="00021170" w:rsidRPr="00446B99">
        <w:rPr>
          <w:rFonts w:cstheme="minorHAnsi"/>
          <w:b/>
          <w:bCs/>
        </w:rPr>
        <w:t>What level</w:t>
      </w:r>
      <w:r w:rsidR="006327D8" w:rsidRPr="00446B99">
        <w:rPr>
          <w:rFonts w:cstheme="minorHAnsi"/>
          <w:b/>
          <w:bCs/>
        </w:rPr>
        <w:t>s</w:t>
      </w:r>
      <w:r w:rsidR="00021170" w:rsidRPr="00446B99">
        <w:rPr>
          <w:rFonts w:cstheme="minorHAnsi"/>
          <w:b/>
          <w:bCs/>
        </w:rPr>
        <w:t xml:space="preserve"> of analysis</w:t>
      </w:r>
      <w:r w:rsidR="00021170" w:rsidRPr="00446B99">
        <w:rPr>
          <w:rFonts w:cstheme="minorHAnsi"/>
          <w:bCs/>
        </w:rPr>
        <w:t xml:space="preserve"> </w:t>
      </w:r>
      <w:r w:rsidR="00021170" w:rsidRPr="00446B99">
        <w:rPr>
          <w:rFonts w:cstheme="minorHAnsi"/>
          <w:b/>
          <w:bCs/>
        </w:rPr>
        <w:t>w</w:t>
      </w:r>
      <w:r w:rsidR="006327D8" w:rsidRPr="00446B99">
        <w:rPr>
          <w:rFonts w:cstheme="minorHAnsi"/>
          <w:b/>
          <w:bCs/>
        </w:rPr>
        <w:t>ere</w:t>
      </w:r>
      <w:r w:rsidR="00021170" w:rsidRPr="00446B99">
        <w:rPr>
          <w:rFonts w:cstheme="minorHAnsi"/>
          <w:b/>
          <w:bCs/>
        </w:rPr>
        <w:t xml:space="preserve"> </w:t>
      </w:r>
      <w:r w:rsidR="006327D8" w:rsidRPr="00446B99">
        <w:rPr>
          <w:rFonts w:cstheme="minorHAnsi"/>
          <w:b/>
          <w:bCs/>
        </w:rPr>
        <w:t>tested</w:t>
      </w:r>
      <w:r w:rsidR="00021170" w:rsidRPr="00446B99">
        <w:rPr>
          <w:rFonts w:cstheme="minorHAnsi"/>
          <w:bCs/>
        </w:rPr>
        <w:t>? (</w:t>
      </w:r>
      <w:proofErr w:type="gramStart"/>
      <w:r w:rsidR="00F435AA" w:rsidRPr="00446B99">
        <w:rPr>
          <w:rFonts w:cstheme="minorHAnsi"/>
          <w:bCs/>
          <w:i/>
        </w:rPr>
        <w:t>testing</w:t>
      </w:r>
      <w:proofErr w:type="gramEnd"/>
      <w:r w:rsidR="00F435AA" w:rsidRPr="00446B99">
        <w:rPr>
          <w:rFonts w:cstheme="minorHAnsi"/>
          <w:bCs/>
          <w:i/>
        </w:rPr>
        <w:t xml:space="preserve"> </w:t>
      </w:r>
      <w:r w:rsidR="009A25B1" w:rsidRPr="00446B99">
        <w:rPr>
          <w:rFonts w:cstheme="minorHAnsi"/>
          <w:bCs/>
          <w:i/>
        </w:rPr>
        <w:t>must be provided for</w:t>
      </w:r>
      <w:r w:rsidR="00021170" w:rsidRPr="00446B99">
        <w:rPr>
          <w:rFonts w:cstheme="minorHAnsi"/>
          <w:bCs/>
          <w:i/>
        </w:rPr>
        <w:t xml:space="preserve"> </w:t>
      </w:r>
      <w:r w:rsidR="00021170" w:rsidRPr="00446B99">
        <w:rPr>
          <w:rFonts w:cstheme="minorHAnsi"/>
          <w:bCs/>
          <w:i/>
          <w:u w:val="single"/>
        </w:rPr>
        <w:t>all</w:t>
      </w:r>
      <w:r w:rsidR="00021170" w:rsidRPr="00446B99">
        <w:rPr>
          <w:rFonts w:cstheme="minorHAnsi"/>
          <w:bCs/>
          <w:i/>
        </w:rPr>
        <w:t xml:space="preserve"> the levels specified and</w:t>
      </w:r>
      <w:r w:rsidR="00021170" w:rsidRPr="00A25024">
        <w:rPr>
          <w:rFonts w:cstheme="minorHAnsi"/>
          <w:bCs/>
          <w:i/>
        </w:rPr>
        <w:t xml:space="preserve">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4130B2"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4130B2"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4130B2"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4130B2"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4130B2"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2D69EE" w:rsidRPr="00E443FB" w:rsidRDefault="002D69EE" w:rsidP="002D69EE">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Program, 5 Measured Entities</w:t>
      </w:r>
    </w:p>
    <w:p w:rsidR="002D69EE" w:rsidRPr="00E443FB" w:rsidRDefault="002D69EE" w:rsidP="002D69EE">
      <w:pPr>
        <w:pStyle w:val="ListParagraph"/>
        <w:numPr>
          <w:ilvl w:val="0"/>
          <w:numId w:val="30"/>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2D69EE" w:rsidRPr="00E443FB" w:rsidRDefault="002D69EE" w:rsidP="002D69EE">
      <w:pPr>
        <w:pStyle w:val="ListParagraph"/>
        <w:numPr>
          <w:ilvl w:val="1"/>
          <w:numId w:val="30"/>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3,554,247; # Members 0-20 years, CY 2010: 3,393,963</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w:t>
      </w: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ab/>
      </w: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2.  Texas CHIP</w:t>
      </w:r>
    </w:p>
    <w:p w:rsidR="002D69EE" w:rsidRPr="00E443FB" w:rsidRDefault="002D69EE" w:rsidP="002D69EE">
      <w:pPr>
        <w:pStyle w:val="ListParagraph"/>
        <w:numPr>
          <w:ilvl w:val="0"/>
          <w:numId w:val="31"/>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842,454; # Members 0-20 years, CY 2010: 786,070</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(1 plan)</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 xml:space="preserve">3.  Florida CHIP </w:t>
      </w:r>
    </w:p>
    <w:p w:rsidR="002D69EE" w:rsidRPr="00E443FB" w:rsidRDefault="002D69EE" w:rsidP="002D69EE">
      <w:pPr>
        <w:pStyle w:val="ListParagraph"/>
        <w:numPr>
          <w:ilvl w:val="0"/>
          <w:numId w:val="32"/>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317,146; # Members 0-20 years, CY 2010: 315,975</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(2 plans)</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 xml:space="preserve">4.  Commercial </w:t>
      </w:r>
    </w:p>
    <w:p w:rsidR="002D69EE" w:rsidRPr="00E443FB" w:rsidRDefault="002D69EE" w:rsidP="002D69EE">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184,152; # Members 0-20 years, CY 2010: 189,96</w:t>
      </w:r>
      <w:r>
        <w:rPr>
          <w:rFonts w:cstheme="minorHAnsi"/>
          <w:bCs/>
          <w:color w:val="0000CC"/>
        </w:rPr>
        <w:t>8</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National</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Indemnity/FFS &amp; PPO product lines</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5.  Florida Medicaid</w:t>
      </w:r>
    </w:p>
    <w:p w:rsidR="002D69EE" w:rsidRPr="00E443FB" w:rsidRDefault="002D69EE" w:rsidP="002D69EE">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 xml:space="preserve">Size: # Members 0-20 years, CY 2010: 2,068,670; </w:t>
      </w:r>
    </w:p>
    <w:p w:rsidR="002D69EE" w:rsidRPr="00E443FB" w:rsidRDefault="002D69EE" w:rsidP="002D69EE">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 and Prepaid Dental</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The FL CHIP program had two separate dental plans that participate in the program in 2010 and 2011.  Technically, we had three plans represented because the Texas CHIP program was served by a single dental plan so the program=plan in that case.  For the purposes of testing plan comparisons within a program, we focus on the two plans in FL CHIP.</w:t>
      </w:r>
    </w:p>
    <w:p w:rsidR="002D69EE" w:rsidRPr="00E443FB" w:rsidRDefault="002D69EE" w:rsidP="002D69EE">
      <w:pPr>
        <w:autoSpaceDE w:val="0"/>
        <w:autoSpaceDN w:val="0"/>
        <w:adjustRightInd w:val="0"/>
        <w:spacing w:after="0" w:line="240" w:lineRule="auto"/>
        <w:rPr>
          <w:rFonts w:cstheme="minorHAnsi"/>
          <w:bCs/>
          <w:color w:val="0000CC"/>
        </w:rPr>
      </w:pPr>
    </w:p>
    <w:p w:rsidR="002D69EE" w:rsidRPr="00E443FB" w:rsidRDefault="002D69EE" w:rsidP="002D69EE">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2D69EE" w:rsidRPr="00E443FB" w:rsidRDefault="002D69EE" w:rsidP="002D69EE">
      <w:pPr>
        <w:pStyle w:val="ListParagraph"/>
        <w:numPr>
          <w:ilvl w:val="1"/>
          <w:numId w:val="35"/>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140,986; # Members 0-20 years, CY 2010: 77,255</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w:t>
      </w:r>
    </w:p>
    <w:p w:rsidR="002D69EE" w:rsidRPr="00E443FB" w:rsidRDefault="002D69EE" w:rsidP="002D69EE">
      <w:pPr>
        <w:autoSpaceDE w:val="0"/>
        <w:autoSpaceDN w:val="0"/>
        <w:adjustRightInd w:val="0"/>
        <w:spacing w:after="0" w:line="240" w:lineRule="auto"/>
        <w:rPr>
          <w:rFonts w:cstheme="minorHAnsi"/>
          <w:bCs/>
          <w:color w:val="0000CC"/>
        </w:rPr>
      </w:pPr>
      <w:r w:rsidRPr="00E443FB">
        <w:rPr>
          <w:rFonts w:cstheme="minorHAnsi"/>
          <w:bCs/>
          <w:color w:val="0000CC"/>
        </w:rPr>
        <w:tab/>
      </w:r>
    </w:p>
    <w:p w:rsidR="002D69EE" w:rsidRPr="00E443FB" w:rsidRDefault="002D69EE" w:rsidP="002D69EE">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2D69EE" w:rsidRPr="00E443FB" w:rsidRDefault="002D69EE" w:rsidP="002D69EE">
      <w:pPr>
        <w:pStyle w:val="ListParagraph"/>
        <w:numPr>
          <w:ilvl w:val="0"/>
          <w:numId w:val="36"/>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168,191; # Members 0-20 years, CY 2010: 116,388</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D69EE" w:rsidRPr="00E443FB" w:rsidRDefault="002D69EE" w:rsidP="002D69EE">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 xml:space="preserve"> Delivery Type – Dental MCO</w:t>
      </w:r>
    </w:p>
    <w:p w:rsidR="002D69EE" w:rsidRPr="00E443FB" w:rsidRDefault="002B5016" w:rsidP="002D69EE">
      <w:pPr>
        <w:autoSpaceDE w:val="0"/>
        <w:autoSpaceDN w:val="0"/>
        <w:adjustRightInd w:val="0"/>
        <w:spacing w:after="0" w:line="240" w:lineRule="auto"/>
        <w:rPr>
          <w:rFonts w:cstheme="minorHAnsi"/>
          <w:b/>
          <w:bCs/>
          <w:color w:val="0000CC"/>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2D69EE" w:rsidRPr="00E443FB">
        <w:rPr>
          <w:rFonts w:cstheme="minorHAnsi"/>
          <w:bCs/>
          <w:color w:val="0000CC"/>
        </w:rPr>
        <w:t>Note that there were only four p</w:t>
      </w:r>
      <w:r w:rsidR="002D69EE">
        <w:rPr>
          <w:rFonts w:cstheme="minorHAnsi"/>
          <w:bCs/>
          <w:color w:val="0000CC"/>
        </w:rPr>
        <w:t>rograms</w:t>
      </w:r>
      <w:r w:rsidR="002D69EE" w:rsidRPr="00E443FB">
        <w:rPr>
          <w:rFonts w:cstheme="minorHAnsi"/>
          <w:bCs/>
          <w:color w:val="0000CC"/>
        </w:rPr>
        <w:t xml:space="preserve"> in CY 2011 because Florida Medicaid did not have complete claims data available for CY 2011 at the time testing was conducted.</w:t>
      </w:r>
    </w:p>
    <w:p w:rsidR="002D69EE" w:rsidRPr="00E443FB" w:rsidRDefault="002D69EE" w:rsidP="002D69EE">
      <w:pPr>
        <w:autoSpaceDE w:val="0"/>
        <w:autoSpaceDN w:val="0"/>
        <w:adjustRightInd w:val="0"/>
        <w:spacing w:after="0" w:line="240" w:lineRule="auto"/>
        <w:rPr>
          <w:rFonts w:cstheme="minorHAnsi"/>
          <w:b/>
          <w:bCs/>
          <w:color w:val="0000CC"/>
        </w:rPr>
      </w:pPr>
    </w:p>
    <w:p w:rsidR="002D69EE" w:rsidRDefault="002D69EE" w:rsidP="002D69EE">
      <w:pPr>
        <w:autoSpaceDE w:val="0"/>
        <w:autoSpaceDN w:val="0"/>
        <w:adjustRightInd w:val="0"/>
        <w:spacing w:after="0" w:line="240" w:lineRule="auto"/>
        <w:rPr>
          <w:rFonts w:cstheme="minorHAnsi"/>
          <w:b/>
          <w:bCs/>
          <w:color w:val="0000CC"/>
        </w:rPr>
      </w:pPr>
      <w:r w:rsidRPr="00CB766D">
        <w:rPr>
          <w:rFonts w:cstheme="minorHAnsi"/>
          <w:b/>
          <w:bCs/>
          <w:color w:val="0000CC"/>
        </w:rPr>
        <w:t>Table 1.6</w:t>
      </w:r>
      <w:r>
        <w:rPr>
          <w:rFonts w:cstheme="minorHAnsi"/>
          <w:b/>
          <w:bCs/>
          <w:color w:val="0000CC"/>
        </w:rPr>
        <w:t>A, Patient Characteristics, 0-20 Years Old, 2011</w:t>
      </w:r>
    </w:p>
    <w:p w:rsidR="002D69EE" w:rsidRDefault="002D69EE" w:rsidP="002D69EE">
      <w:pPr>
        <w:autoSpaceDE w:val="0"/>
        <w:autoSpaceDN w:val="0"/>
        <w:adjustRightInd w:val="0"/>
        <w:spacing w:after="0" w:line="240" w:lineRule="auto"/>
        <w:rPr>
          <w:rFonts w:cstheme="minorHAnsi"/>
          <w:b/>
          <w:bCs/>
          <w:color w:val="0000CC"/>
        </w:rPr>
      </w:pPr>
      <w:r w:rsidRPr="002D69EE">
        <w:rPr>
          <w:rFonts w:cstheme="minorHAnsi"/>
          <w:b/>
          <w:bCs/>
          <w:noProof/>
          <w:color w:val="0000CC"/>
        </w:rPr>
        <w:drawing>
          <wp:inline distT="0" distB="0" distL="0" distR="0" wp14:anchorId="30434034" wp14:editId="1F02DE10">
            <wp:extent cx="5479245" cy="3825449"/>
            <wp:effectExtent l="19050" t="0" r="715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8000" cy="3831561"/>
                    </a:xfrm>
                    <a:prstGeom prst="rect">
                      <a:avLst/>
                    </a:prstGeom>
                    <a:noFill/>
                    <a:ln w="9525">
                      <a:noFill/>
                      <a:miter lim="800000"/>
                      <a:headEnd/>
                      <a:tailEnd/>
                    </a:ln>
                  </pic:spPr>
                </pic:pic>
              </a:graphicData>
            </a:graphic>
          </wp:inline>
        </w:drawing>
      </w:r>
    </w:p>
    <w:p w:rsidR="002D69EE" w:rsidRDefault="002D69EE" w:rsidP="002D69EE">
      <w:pPr>
        <w:autoSpaceDE w:val="0"/>
        <w:autoSpaceDN w:val="0"/>
        <w:adjustRightInd w:val="0"/>
        <w:spacing w:after="0" w:line="240" w:lineRule="auto"/>
        <w:rPr>
          <w:rFonts w:cstheme="minorHAnsi"/>
          <w:b/>
          <w:bCs/>
          <w:color w:val="0000CC"/>
        </w:rPr>
      </w:pPr>
    </w:p>
    <w:p w:rsidR="002D69EE" w:rsidRDefault="002D69EE" w:rsidP="002D69EE">
      <w:pPr>
        <w:spacing w:after="0" w:line="240" w:lineRule="auto"/>
        <w:rPr>
          <w:rFonts w:cstheme="minorHAnsi"/>
          <w:b/>
          <w:bCs/>
          <w:color w:val="0000CC"/>
        </w:rPr>
      </w:pPr>
      <w:r w:rsidRPr="00CB766D">
        <w:rPr>
          <w:rFonts w:cstheme="minorHAnsi"/>
          <w:b/>
          <w:bCs/>
          <w:color w:val="0000CC"/>
        </w:rPr>
        <w:t>Table 1.6</w:t>
      </w:r>
      <w:r>
        <w:rPr>
          <w:rFonts w:cstheme="minorHAnsi"/>
          <w:b/>
          <w:bCs/>
          <w:color w:val="0000CC"/>
        </w:rPr>
        <w:t>B, Patient Characteristics, 10-14 Years Old (Age Range Targeted by Measure), 2011</w:t>
      </w:r>
    </w:p>
    <w:p w:rsidR="00CB766D" w:rsidRDefault="009F45F2" w:rsidP="002D69EE">
      <w:pPr>
        <w:autoSpaceDE w:val="0"/>
        <w:autoSpaceDN w:val="0"/>
        <w:adjustRightInd w:val="0"/>
        <w:spacing w:after="0" w:line="240" w:lineRule="auto"/>
        <w:rPr>
          <w:rFonts w:cstheme="minorHAnsi"/>
          <w:b/>
          <w:bCs/>
          <w:color w:val="0000CC"/>
        </w:rPr>
      </w:pPr>
      <w:r w:rsidRPr="009F45F2">
        <w:rPr>
          <w:noProof/>
        </w:rPr>
        <w:drawing>
          <wp:inline distT="0" distB="0" distL="0" distR="0" wp14:anchorId="4C0DD71D" wp14:editId="4A02626E">
            <wp:extent cx="5086350" cy="266508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086361" cy="2665086"/>
                    </a:xfrm>
                    <a:prstGeom prst="rect">
                      <a:avLst/>
                    </a:prstGeom>
                    <a:noFill/>
                    <a:ln w="9525">
                      <a:noFill/>
                      <a:miter lim="800000"/>
                      <a:headEnd/>
                      <a:tailEnd/>
                    </a:ln>
                  </pic:spPr>
                </pic:pic>
              </a:graphicData>
            </a:graphic>
          </wp:inline>
        </w:drawing>
      </w:r>
      <w:r w:rsidR="00CB766D">
        <w:rPr>
          <w:rFonts w:cstheme="minorHAnsi"/>
          <w:b/>
          <w:bCs/>
          <w:color w:val="0000CC"/>
        </w:rPr>
        <w:br w:type="page"/>
      </w:r>
    </w:p>
    <w:p w:rsidR="006037A3" w:rsidRDefault="006037A3" w:rsidP="006037A3">
      <w:pPr>
        <w:autoSpaceDE w:val="0"/>
        <w:autoSpaceDN w:val="0"/>
        <w:adjustRightInd w:val="0"/>
        <w:spacing w:after="0" w:line="240" w:lineRule="auto"/>
        <w:rPr>
          <w:rFonts w:cstheme="minorHAnsi"/>
          <w:b/>
          <w:bCs/>
          <w:color w:val="0000CC"/>
        </w:rPr>
      </w:pPr>
      <w:r w:rsidRPr="00CB766D">
        <w:rPr>
          <w:rFonts w:cstheme="minorHAnsi"/>
          <w:b/>
          <w:bCs/>
          <w:color w:val="0000CC"/>
        </w:rPr>
        <w:lastRenderedPageBreak/>
        <w:t>Table 1.6</w:t>
      </w:r>
      <w:r>
        <w:rPr>
          <w:rFonts w:cstheme="minorHAnsi"/>
          <w:b/>
          <w:bCs/>
          <w:color w:val="0000CC"/>
        </w:rPr>
        <w:t>C, Patient Characteristics, 0-20 Years Old, 2010</w:t>
      </w:r>
    </w:p>
    <w:p w:rsidR="006037A3" w:rsidRDefault="006037A3" w:rsidP="00446B99">
      <w:pPr>
        <w:rPr>
          <w:rFonts w:cstheme="minorHAnsi"/>
          <w:b/>
          <w:bCs/>
          <w:color w:val="0000CC"/>
        </w:rPr>
      </w:pPr>
      <w:r w:rsidRPr="006037A3">
        <w:rPr>
          <w:rFonts w:cstheme="minorHAnsi"/>
          <w:b/>
          <w:bCs/>
          <w:noProof/>
          <w:color w:val="0000CC"/>
        </w:rPr>
        <w:drawing>
          <wp:inline distT="0" distB="0" distL="0" distR="0" wp14:anchorId="5886E935" wp14:editId="4AAD6886">
            <wp:extent cx="5943600" cy="4118258"/>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4118258"/>
                    </a:xfrm>
                    <a:prstGeom prst="rect">
                      <a:avLst/>
                    </a:prstGeom>
                    <a:noFill/>
                    <a:ln w="9525">
                      <a:noFill/>
                      <a:miter lim="800000"/>
                      <a:headEnd/>
                      <a:tailEnd/>
                    </a:ln>
                  </pic:spPr>
                </pic:pic>
              </a:graphicData>
            </a:graphic>
          </wp:inline>
        </w:drawing>
      </w:r>
    </w:p>
    <w:p w:rsidR="006037A3" w:rsidRDefault="006037A3" w:rsidP="006037A3">
      <w:pPr>
        <w:spacing w:after="0" w:line="240" w:lineRule="auto"/>
        <w:rPr>
          <w:rFonts w:cstheme="minorHAnsi"/>
          <w:b/>
          <w:bCs/>
          <w:color w:val="0000CC"/>
        </w:rPr>
      </w:pPr>
      <w:r w:rsidRPr="00CB766D">
        <w:rPr>
          <w:rFonts w:cstheme="minorHAnsi"/>
          <w:b/>
          <w:bCs/>
          <w:color w:val="0000CC"/>
        </w:rPr>
        <w:t>Table 1.6</w:t>
      </w:r>
      <w:r>
        <w:rPr>
          <w:rFonts w:cstheme="minorHAnsi"/>
          <w:b/>
          <w:bCs/>
          <w:color w:val="0000CC"/>
        </w:rPr>
        <w:t>D, Patient Characteristics, 10-14 Years Old (Age Range Targeted by Measure), 2010</w:t>
      </w:r>
    </w:p>
    <w:p w:rsidR="00E37E1B" w:rsidRDefault="006037A3" w:rsidP="006037A3">
      <w:pPr>
        <w:spacing w:after="0" w:line="240" w:lineRule="auto"/>
        <w:rPr>
          <w:rFonts w:cstheme="minorHAnsi"/>
          <w:bCs/>
        </w:rPr>
      </w:pPr>
      <w:r w:rsidRPr="006037A3">
        <w:rPr>
          <w:noProof/>
        </w:rPr>
        <w:drawing>
          <wp:inline distT="0" distB="0" distL="0" distR="0" wp14:anchorId="798FC773" wp14:editId="1BE380C3">
            <wp:extent cx="5943600" cy="2976495"/>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943600" cy="2976495"/>
                    </a:xfrm>
                    <a:prstGeom prst="rect">
                      <a:avLst/>
                    </a:prstGeom>
                    <a:noFill/>
                    <a:ln w="9525">
                      <a:noFill/>
                      <a:miter lim="800000"/>
                      <a:headEnd/>
                      <a:tailEnd/>
                    </a:ln>
                  </pic:spPr>
                </pic:pic>
              </a:graphicData>
            </a:graphic>
          </wp:inline>
        </w:drawing>
      </w:r>
      <w:r w:rsidR="00CB766D">
        <w:rPr>
          <w:rFonts w:cstheme="minorHAnsi"/>
          <w:b/>
          <w:bCs/>
          <w:color w:val="0000CC"/>
        </w:rPr>
        <w:br w:type="page"/>
      </w:r>
      <w:r w:rsidRPr="000B078D">
        <w:rPr>
          <w:noProof/>
        </w:rPr>
        <w:lastRenderedPageBreak/>
        <w:t xml:space="preserve"> </w:t>
      </w:r>
      <w:r w:rsidR="002B5016">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6037A3" w:rsidRPr="009D7E8A" w:rsidRDefault="006037A3" w:rsidP="006037A3">
      <w:pPr>
        <w:autoSpaceDE w:val="0"/>
        <w:autoSpaceDN w:val="0"/>
        <w:adjustRightInd w:val="0"/>
        <w:spacing w:after="0" w:line="240" w:lineRule="auto"/>
        <w:rPr>
          <w:rFonts w:cstheme="minorHAnsi"/>
          <w:bCs/>
          <w:color w:val="0000CC"/>
        </w:rPr>
      </w:pP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 including conducting an environmental scan of measure concepts and using the RAND-UCLA modified Delphi process to rate the importance, feasibility and validity.  Please see section 2b2.2 for a complete description.</w:t>
      </w:r>
    </w:p>
    <w:p w:rsidR="006037A3" w:rsidRPr="009D7E8A" w:rsidRDefault="006037A3" w:rsidP="006037A3">
      <w:pPr>
        <w:autoSpaceDE w:val="0"/>
        <w:autoSpaceDN w:val="0"/>
        <w:adjustRightInd w:val="0"/>
        <w:spacing w:after="0" w:line="240" w:lineRule="auto"/>
        <w:rPr>
          <w:rFonts w:cstheme="minorHAnsi"/>
          <w:bCs/>
          <w:color w:val="0000CC"/>
        </w:rPr>
      </w:pP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B.  Data element validation using medical chart reviews did not include all programs. Due to the cost of these activities, chart reviews were conducted only for the Texas Medicaid and CHIP programs.  Texas has the third largest Medicaid program and second largest CHIP in the U.S., both with significant diversity represented.  In addition, the research team conducting the testing is the External Quality Review Organization for Texas and has years of experience conducting medical chart audits for the Texas Medicaid and CHIP programs for ongoing quality assurance purposes.  Thus, an established infrastructure and expertise was in place to conduct chart reviews for these programs.</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proofErr w:type="spellStart"/>
      <w:r w:rsidR="00CB766D" w:rsidRPr="00CB766D">
        <w:rPr>
          <w:rFonts w:eastAsia="MS Mincho" w:cstheme="minorHAnsi"/>
          <w:b/>
          <w:bCs/>
          <w:color w:val="0000CC"/>
        </w:rPr>
        <w:t>X</w:t>
      </w:r>
      <w:r w:rsidR="005232D6" w:rsidRPr="00CB766D">
        <w:rPr>
          <w:rFonts w:cstheme="minorHAnsi"/>
          <w:b/>
          <w:bCs/>
          <w:color w:val="0000CC"/>
        </w:rPr>
        <w:t>C</w:t>
      </w:r>
      <w:r w:rsidR="00D1754D" w:rsidRPr="00CB766D">
        <w:rPr>
          <w:rFonts w:cstheme="minorHAnsi"/>
          <w:b/>
          <w:bCs/>
          <w:color w:val="0000CC"/>
        </w:rPr>
        <w:t>ritical</w:t>
      </w:r>
      <w:proofErr w:type="spellEnd"/>
      <w:r w:rsidR="00D1754D" w:rsidRPr="00CB766D">
        <w:rPr>
          <w:rFonts w:cstheme="minorHAnsi"/>
          <w:b/>
          <w:bCs/>
          <w:color w:val="0000CC"/>
        </w:rPr>
        <w:t xml:space="preserve"> </w:t>
      </w:r>
      <w:r w:rsidR="00D36489" w:rsidRPr="00CB766D">
        <w:rPr>
          <w:rFonts w:cstheme="minorHAnsi"/>
          <w:b/>
          <w:bCs/>
          <w:color w:val="0000CC"/>
        </w:rPr>
        <w:t>data</w:t>
      </w:r>
      <w:r w:rsidR="007422FD" w:rsidRPr="00CB766D">
        <w:rPr>
          <w:rFonts w:cstheme="minorHAnsi"/>
          <w:b/>
          <w:bCs/>
          <w:color w:val="0000CC"/>
        </w:rPr>
        <w:t xml:space="preserve"> elements</w:t>
      </w:r>
      <w:r w:rsidR="00E310B9" w:rsidRPr="00CB766D">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6037A3" w:rsidRPr="00A25024">
        <w:rPr>
          <w:rFonts w:cstheme="minorHAnsi"/>
          <w:bCs/>
        </w:rPr>
        <w:br/>
      </w:r>
      <w:sdt>
        <w:sdtPr>
          <w:rPr>
            <w:rFonts w:cstheme="minorHAnsi"/>
            <w:bCs/>
            <w:color w:val="0000FF"/>
          </w:rPr>
          <w:id w:val="1807820231"/>
        </w:sdtPr>
        <w:sdtEndPr/>
        <w:sdtContent>
          <w:r w:rsidR="006037A3" w:rsidRPr="006574D2">
            <w:rPr>
              <w:rFonts w:ascii="MS Gothic" w:eastAsia="MS Gothic" w:cstheme="minorHAnsi" w:hint="eastAsia"/>
              <w:bCs/>
              <w:color w:val="0000FF"/>
            </w:rPr>
            <w:t>☐</w:t>
          </w:r>
        </w:sdtContent>
      </w:sdt>
      <w:r w:rsidR="006037A3" w:rsidRPr="00A25024">
        <w:rPr>
          <w:rFonts w:eastAsia="MS Mincho" w:cstheme="minorHAnsi"/>
          <w:b/>
          <w:bCs/>
          <w:color w:val="0000FF"/>
        </w:rPr>
        <w:t xml:space="preserve"> </w:t>
      </w:r>
      <w:proofErr w:type="spellStart"/>
      <w:r w:rsidR="006037A3" w:rsidRPr="00A72A0D">
        <w:rPr>
          <w:rFonts w:eastAsia="MS Mincho" w:cstheme="minorHAnsi"/>
          <w:b/>
          <w:bCs/>
          <w:color w:val="0000CC"/>
        </w:rPr>
        <w:t>X</w:t>
      </w:r>
      <w:r w:rsidR="006037A3" w:rsidRPr="00A72A0D">
        <w:rPr>
          <w:rFonts w:cstheme="minorHAnsi"/>
          <w:b/>
          <w:bCs/>
          <w:color w:val="0000CC"/>
        </w:rPr>
        <w:t>Performance</w:t>
      </w:r>
      <w:proofErr w:type="spellEnd"/>
      <w:r w:rsidR="006037A3" w:rsidRPr="00A72A0D">
        <w:rPr>
          <w:rFonts w:cstheme="minorHAnsi"/>
          <w:b/>
          <w:bCs/>
          <w:color w:val="0000CC"/>
        </w:rPr>
        <w:t xml:space="preserve"> measure score</w:t>
      </w:r>
      <w:r w:rsidR="006037A3" w:rsidRPr="00A25024">
        <w:rPr>
          <w:rFonts w:cstheme="minorHAnsi"/>
          <w:bCs/>
        </w:rPr>
        <w:t xml:space="preserve"> (e.g., </w:t>
      </w:r>
      <w:r w:rsidR="006037A3" w:rsidRPr="00A25024">
        <w:rPr>
          <w:rFonts w:cstheme="minorHAnsi"/>
          <w:bCs/>
          <w:i/>
        </w:rPr>
        <w:t>signal-to-noise</w:t>
      </w:r>
      <w:r w:rsidR="006037A3">
        <w:rPr>
          <w:rFonts w:cstheme="minorHAnsi"/>
          <w:bCs/>
          <w:i/>
        </w:rPr>
        <w:t xml:space="preserve"> analysis</w:t>
      </w:r>
      <w:r w:rsidR="006037A3" w:rsidRPr="00A25024">
        <w:rPr>
          <w:rFonts w:cstheme="minorHAnsi"/>
          <w:bCs/>
        </w:rPr>
        <w:t>)</w:t>
      </w:r>
      <w:r w:rsidR="006037A3" w:rsidRPr="00A25024">
        <w:rPr>
          <w:rFonts w:cstheme="minorHAnsi"/>
          <w:bCs/>
        </w:rPr>
        <w:br/>
      </w:r>
      <w:r w:rsidR="006037A3"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D39CE" w:rsidRDefault="008D39CE" w:rsidP="006037A3">
      <w:pPr>
        <w:autoSpaceDE w:val="0"/>
        <w:autoSpaceDN w:val="0"/>
        <w:adjustRightInd w:val="0"/>
        <w:spacing w:after="0" w:line="240" w:lineRule="auto"/>
        <w:rPr>
          <w:rFonts w:cstheme="minorHAnsi"/>
          <w:b/>
          <w:bCs/>
          <w:color w:val="0000CC"/>
          <w:u w:val="single"/>
        </w:rPr>
      </w:pPr>
    </w:p>
    <w:p w:rsidR="006037A3" w:rsidRPr="009D7E8A" w:rsidRDefault="006037A3" w:rsidP="006037A3">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6037A3" w:rsidRPr="009D7E8A" w:rsidRDefault="006037A3" w:rsidP="006037A3">
      <w:pPr>
        <w:pStyle w:val="ListParagraph"/>
        <w:numPr>
          <w:ilvl w:val="0"/>
          <w:numId w:val="37"/>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6037A3" w:rsidRDefault="006037A3" w:rsidP="006037A3">
      <w:pPr>
        <w:pStyle w:val="ListParagraph"/>
        <w:numPr>
          <w:ilvl w:val="0"/>
          <w:numId w:val="37"/>
        </w:numPr>
        <w:autoSpaceDE w:val="0"/>
        <w:autoSpaceDN w:val="0"/>
        <w:adjustRightInd w:val="0"/>
        <w:spacing w:after="0" w:line="240" w:lineRule="auto"/>
        <w:rPr>
          <w:rFonts w:cstheme="minorHAnsi"/>
          <w:bCs/>
          <w:color w:val="0000CC"/>
        </w:rPr>
      </w:pPr>
      <w:r w:rsidRPr="009D7E8A">
        <w:rPr>
          <w:rFonts w:cstheme="minorHAnsi"/>
          <w:bCs/>
          <w:color w:val="0000CC"/>
        </w:rPr>
        <w:t xml:space="preserve">Note: 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CB766D" w:rsidRPr="008D39CE" w:rsidRDefault="00CB766D" w:rsidP="008D39CE">
      <w:pPr>
        <w:pStyle w:val="ListParagraph"/>
        <w:autoSpaceDE w:val="0"/>
        <w:autoSpaceDN w:val="0"/>
        <w:adjustRightInd w:val="0"/>
        <w:spacing w:after="0" w:line="240" w:lineRule="auto"/>
        <w:ind w:left="360"/>
        <w:rPr>
          <w:rFonts w:cstheme="minorHAnsi"/>
          <w:bCs/>
          <w:color w:val="0000CC"/>
        </w:rPr>
      </w:pPr>
    </w:p>
    <w:p w:rsidR="006037A3" w:rsidRPr="009D7E8A" w:rsidRDefault="006037A3" w:rsidP="006037A3">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 – Threats to Measure Reliability</w:t>
      </w:r>
      <w:r w:rsidRPr="009D7E8A">
        <w:rPr>
          <w:rFonts w:cstheme="minorHAnsi"/>
          <w:b/>
          <w:bCs/>
          <w:color w:val="0000CC"/>
        </w:rPr>
        <w:t xml:space="preserve"> </w:t>
      </w: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6037A3" w:rsidRDefault="006037A3" w:rsidP="00CB766D">
      <w:pPr>
        <w:autoSpaceDE w:val="0"/>
        <w:autoSpaceDN w:val="0"/>
        <w:adjustRightInd w:val="0"/>
        <w:spacing w:after="0" w:line="240" w:lineRule="auto"/>
        <w:rPr>
          <w:rFonts w:cstheme="minorHAnsi"/>
          <w:b/>
          <w:bCs/>
          <w:color w:val="0000CC"/>
        </w:rPr>
      </w:pPr>
    </w:p>
    <w:p w:rsidR="006037A3" w:rsidRDefault="006037A3" w:rsidP="006037A3">
      <w:pPr>
        <w:autoSpaceDE w:val="0"/>
        <w:autoSpaceDN w:val="0"/>
        <w:adjustRightInd w:val="0"/>
        <w:spacing w:after="0" w:line="240" w:lineRule="auto"/>
        <w:rPr>
          <w:rFonts w:cstheme="minorHAnsi"/>
          <w:bCs/>
          <w:color w:val="0000CC"/>
        </w:rPr>
      </w:pPr>
      <w:r w:rsidRPr="009D7E8A">
        <w:rPr>
          <w:rFonts w:cstheme="minorHAnsi"/>
          <w:b/>
          <w:bCs/>
          <w:color w:val="0000CC"/>
        </w:rPr>
        <w:t>1.  Evaluation of Clarity and Completeness of Measure Specifications</w:t>
      </w:r>
      <w:r w:rsidRPr="009D7E8A">
        <w:rPr>
          <w:rFonts w:cstheme="minorHAnsi"/>
          <w:bCs/>
          <w:color w:val="0000CC"/>
        </w:rPr>
        <w:t xml:space="preserve"> </w:t>
      </w: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must be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 xml:space="preserve">stakeholders, including federal agencies involved with oral health services, dental professional </w:t>
      </w:r>
      <w:r w:rsidRPr="009D7E8A">
        <w:rPr>
          <w:rFonts w:cstheme="minorHAnsi"/>
          <w:bCs/>
          <w:color w:val="0000CC"/>
        </w:rPr>
        <w:lastRenderedPageBreak/>
        <w:t>associations, medical professional associations, dental and medical health insurance commercial plans, state Medicaid and CHIP programs, quality accrediting bodies, and the general public.  The initial specifications were developed based on (</w:t>
      </w:r>
      <w:r w:rsidR="00B478FE">
        <w:rPr>
          <w:rFonts w:cstheme="minorHAnsi"/>
          <w:bCs/>
          <w:color w:val="0000CC"/>
        </w:rPr>
        <w:t>1</w:t>
      </w:r>
      <w:r w:rsidRPr="009D7E8A">
        <w:rPr>
          <w:rFonts w:cstheme="minorHAnsi"/>
          <w:bCs/>
          <w:color w:val="0000CC"/>
        </w:rPr>
        <w:t xml:space="preserve">) the evidence regarding the effectiveness of sealants in caries prevention, (2) an environmental scan, and (3) face validity assessments of the measure concept.  These specifications were contained in the competitive Request for Proposals to conduct measure testing; a research team from the University of Florida was selected to conduct testing.  The research team independently 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 to ensure clear and detailed measure specifications.  </w:t>
      </w:r>
    </w:p>
    <w:p w:rsidR="006037A3" w:rsidRDefault="006037A3" w:rsidP="006037A3">
      <w:pPr>
        <w:autoSpaceDE w:val="0"/>
        <w:autoSpaceDN w:val="0"/>
        <w:adjustRightInd w:val="0"/>
        <w:spacing w:after="0" w:line="240" w:lineRule="auto"/>
        <w:rPr>
          <w:rFonts w:cstheme="minorHAnsi"/>
          <w:b/>
          <w:bCs/>
          <w:color w:val="0000CC"/>
        </w:rPr>
      </w:pP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
          <w:bCs/>
          <w:color w:val="0000CC"/>
        </w:rPr>
        <w:t>2.  Other Threats to Reliability - Sample Size</w:t>
      </w:r>
      <w:r w:rsidRPr="009D7E8A">
        <w:rPr>
          <w:rFonts w:cstheme="minorHAnsi"/>
          <w:bCs/>
          <w:color w:val="0000CC"/>
        </w:rPr>
        <w:t xml:space="preserve">  </w:t>
      </w: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therefore, small sample size is not a concern.</w:t>
      </w:r>
    </w:p>
    <w:p w:rsidR="00564CD5" w:rsidRDefault="00564CD5" w:rsidP="008C54A9">
      <w:pPr>
        <w:autoSpaceDE w:val="0"/>
        <w:autoSpaceDN w:val="0"/>
        <w:adjustRightInd w:val="0"/>
        <w:spacing w:after="0" w:line="240" w:lineRule="auto"/>
        <w:rPr>
          <w:rFonts w:cstheme="minorHAnsi"/>
          <w:b/>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ritical</w:t>
      </w:r>
      <w:proofErr w:type="spellEnd"/>
      <w:r w:rsidR="00D1754D" w:rsidRPr="002915B3">
        <w:rPr>
          <w:rFonts w:cstheme="minorHAnsi"/>
          <w:b/>
          <w:bCs/>
          <w:color w:val="0000CC"/>
        </w:rPr>
        <w:t xml:space="preserve">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4130B2"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4130B2"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ystematic</w:t>
      </w:r>
      <w:proofErr w:type="spellEnd"/>
      <w:r w:rsidR="00D50704" w:rsidRPr="002915B3">
        <w:rPr>
          <w:rFonts w:cstheme="minorHAnsi"/>
          <w:b/>
          <w:bCs/>
          <w:color w:val="0000CC"/>
        </w:rPr>
        <w:t xml:space="preserve">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6037A3" w:rsidRDefault="00092566" w:rsidP="006037A3">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 xml:space="preserve">2. </w:t>
      </w:r>
      <w:proofErr w:type="gramStart"/>
      <w:r w:rsidR="007757CE" w:rsidRPr="00A25024">
        <w:rPr>
          <w:rFonts w:cstheme="minorHAnsi"/>
          <w:b/>
          <w:bCs/>
        </w:rPr>
        <w:t>For</w:t>
      </w:r>
      <w:proofErr w:type="gramEnd"/>
      <w:r w:rsidR="007757CE" w:rsidRPr="00A25024">
        <w:rPr>
          <w:rFonts w:cstheme="minorHAnsi"/>
          <w:b/>
          <w:bCs/>
        </w:rPr>
        <w:t xml:space="preserve">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6037A3" w:rsidRPr="009D7E8A" w:rsidRDefault="006037A3" w:rsidP="006037A3">
      <w:pPr>
        <w:autoSpaceDE w:val="0"/>
        <w:autoSpaceDN w:val="0"/>
        <w:adjustRightInd w:val="0"/>
        <w:spacing w:after="0" w:line="240" w:lineRule="auto"/>
        <w:rPr>
          <w:rFonts w:cstheme="minorHAnsi"/>
          <w:bCs/>
          <w:color w:val="0000CC"/>
        </w:rPr>
      </w:pPr>
      <w:r w:rsidRPr="009D7E8A">
        <w:rPr>
          <w:rFonts w:cstheme="minorHAnsi"/>
          <w:bCs/>
          <w:color w:val="0000CC"/>
        </w:rPr>
        <w:t>We assessed (1) critical data element validity, (2) measure score validity, and (3) potential threats to validity.</w:t>
      </w:r>
    </w:p>
    <w:p w:rsidR="006037A3" w:rsidRDefault="006037A3" w:rsidP="006037A3">
      <w:pPr>
        <w:autoSpaceDE w:val="0"/>
        <w:autoSpaceDN w:val="0"/>
        <w:adjustRightInd w:val="0"/>
        <w:spacing w:after="0" w:line="240" w:lineRule="auto"/>
        <w:rPr>
          <w:rFonts w:cstheme="minorHAnsi"/>
          <w:b/>
          <w:bCs/>
          <w:color w:val="0000CC"/>
        </w:rPr>
      </w:pPr>
    </w:p>
    <w:p w:rsidR="006037A3" w:rsidRDefault="006037A3" w:rsidP="002915B3">
      <w:pPr>
        <w:autoSpaceDE w:val="0"/>
        <w:autoSpaceDN w:val="0"/>
        <w:adjustRightInd w:val="0"/>
        <w:spacing w:after="0" w:line="240" w:lineRule="auto"/>
        <w:rPr>
          <w:rFonts w:cstheme="minorHAnsi"/>
          <w:b/>
          <w:bCs/>
          <w:color w:val="0000CC"/>
        </w:rPr>
      </w:pPr>
    </w:p>
    <w:p w:rsidR="006037A3" w:rsidRDefault="006037A3">
      <w:pPr>
        <w:rPr>
          <w:rFonts w:cstheme="minorHAnsi"/>
          <w:b/>
          <w:bCs/>
          <w:color w:val="0000CC"/>
        </w:rPr>
      </w:pPr>
      <w:r>
        <w:rPr>
          <w:rFonts w:cstheme="minorHAnsi"/>
          <w:b/>
          <w:bCs/>
          <w:color w:val="0000CC"/>
        </w:rPr>
        <w:br w:type="page"/>
      </w:r>
    </w:p>
    <w:p w:rsidR="002915B3" w:rsidRPr="00292DDA" w:rsidRDefault="002915B3" w:rsidP="002915B3">
      <w:pPr>
        <w:autoSpaceDE w:val="0"/>
        <w:autoSpaceDN w:val="0"/>
        <w:adjustRightInd w:val="0"/>
        <w:spacing w:after="0" w:line="240" w:lineRule="auto"/>
        <w:rPr>
          <w:rFonts w:cstheme="minorHAnsi"/>
          <w:b/>
          <w:bCs/>
          <w:color w:val="0000CC"/>
        </w:rPr>
      </w:pPr>
      <w:r w:rsidRPr="00292DDA">
        <w:rPr>
          <w:rFonts w:cstheme="minorHAnsi"/>
          <w:b/>
          <w:bCs/>
          <w:color w:val="0000CC"/>
        </w:rPr>
        <w:lastRenderedPageBreak/>
        <w:t>1.  CRITICAL DATA ELEMENT VALIDITY</w:t>
      </w:r>
    </w:p>
    <w:p w:rsidR="006037A3" w:rsidRPr="009D7E8A" w:rsidRDefault="005847E8" w:rsidP="006037A3">
      <w:pPr>
        <w:autoSpaceDE w:val="0"/>
        <w:autoSpaceDN w:val="0"/>
        <w:adjustRightInd w:val="0"/>
        <w:spacing w:after="0" w:line="240" w:lineRule="auto"/>
        <w:rPr>
          <w:rFonts w:cstheme="minorHAnsi"/>
          <w:bCs/>
          <w:color w:val="0000CC"/>
        </w:rPr>
      </w:pPr>
      <w:r w:rsidRPr="00292DDA">
        <w:rPr>
          <w:rStyle w:val="Style1"/>
          <w:rFonts w:cstheme="minorHAnsi"/>
          <w:color w:val="0000CC"/>
        </w:rPr>
        <w:t xml:space="preserve">Dental Sealants for </w:t>
      </w:r>
      <w:r w:rsidR="00B823F1">
        <w:rPr>
          <w:rStyle w:val="Style1"/>
          <w:rFonts w:cstheme="minorHAnsi"/>
          <w:color w:val="0000CC"/>
        </w:rPr>
        <w:t>10-14</w:t>
      </w:r>
      <w:r w:rsidRPr="00292DDA">
        <w:rPr>
          <w:rStyle w:val="Style1"/>
          <w:rFonts w:cstheme="minorHAnsi"/>
          <w:color w:val="0000CC"/>
        </w:rPr>
        <w:t xml:space="preserve"> Year-Old Children at Elevated Caries Risk</w:t>
      </w:r>
      <w:r w:rsidRPr="00292DDA">
        <w:rPr>
          <w:rFonts w:cstheme="minorHAnsi"/>
          <w:bCs/>
          <w:color w:val="0000CC"/>
        </w:rPr>
        <w:t xml:space="preserve"> measures the percentage of children ages </w:t>
      </w:r>
      <w:r w:rsidR="00B823F1">
        <w:rPr>
          <w:rFonts w:cstheme="minorHAnsi"/>
          <w:bCs/>
          <w:color w:val="0000CC"/>
        </w:rPr>
        <w:t>10-14</w:t>
      </w:r>
      <w:r w:rsidRPr="00292DDA">
        <w:rPr>
          <w:rFonts w:cstheme="minorHAnsi"/>
          <w:bCs/>
          <w:color w:val="0000CC"/>
        </w:rPr>
        <w:t xml:space="preserve"> years at moderate to high risk for dental caries who received a sealant on a permanent </w:t>
      </w:r>
      <w:r w:rsidR="00B823F1">
        <w:rPr>
          <w:rFonts w:cstheme="minorHAnsi"/>
          <w:bCs/>
          <w:color w:val="0000CC"/>
        </w:rPr>
        <w:t>second</w:t>
      </w:r>
      <w:r w:rsidRPr="00292DDA">
        <w:rPr>
          <w:rFonts w:cstheme="minorHAnsi"/>
          <w:bCs/>
          <w:color w:val="0000CC"/>
        </w:rPr>
        <w:t xml:space="preserve"> molar tooth during the reporting year.   </w:t>
      </w:r>
      <w:r w:rsidR="006037A3" w:rsidRPr="009D7E8A">
        <w:rPr>
          <w:rFonts w:cstheme="minorHAnsi"/>
          <w:bCs/>
          <w:color w:val="0000CC"/>
        </w:rPr>
        <w:t xml:space="preserve">The critical data elements for this measure include: (1) member ID (to link between claims and enrollment data), (2) date of birth, (3) monthly enrollment indicator, (4) date of service, and (5) CDT codes.  The first four items are core fields used in virtually all measures relying on administrative data and essential for any reporting or billing purposes.  As such, it was determined that these fields have established reliability and validity.  Thus, </w:t>
      </w:r>
      <w:r w:rsidR="006037A3" w:rsidRPr="009D7E8A">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006037A3" w:rsidRPr="009D7E8A">
        <w:rPr>
          <w:rFonts w:cstheme="minorHAnsi"/>
          <w:bCs/>
          <w:color w:val="0000CC"/>
        </w:rPr>
        <w:t>.  To evaluate data element validity, we conducted reviews of dental records for the Texas Medicaid and CHIP programs.  Validation of clinical codes in administrative claims data are most often conducted using manual abstraction from the patient’s full chart as the authoritative source.   As described in detail below, we evaluated agreement between the claims data and dental charts by calculating the sensitivity, specificity, positive predictive value, and negative predictive value as well as the kappa statistic.</w:t>
      </w:r>
    </w:p>
    <w:p w:rsidR="002915B3" w:rsidRPr="00292DDA" w:rsidRDefault="005847E8" w:rsidP="002915B3">
      <w:pPr>
        <w:autoSpaceDE w:val="0"/>
        <w:autoSpaceDN w:val="0"/>
        <w:adjustRightInd w:val="0"/>
        <w:spacing w:after="0" w:line="240" w:lineRule="auto"/>
        <w:rPr>
          <w:rFonts w:cstheme="minorHAnsi"/>
          <w:b/>
          <w:bCs/>
          <w:color w:val="0000CC"/>
        </w:rPr>
      </w:pPr>
      <w:r w:rsidRPr="00292DDA">
        <w:rPr>
          <w:rFonts w:cstheme="minorHAnsi"/>
          <w:bCs/>
          <w:color w:val="0000CC"/>
          <w:sz w:val="16"/>
          <w:szCs w:val="16"/>
        </w:rPr>
        <w:t xml:space="preserve"> </w:t>
      </w:r>
    </w:p>
    <w:p w:rsidR="006037A3" w:rsidRPr="00292DDA" w:rsidRDefault="006037A3" w:rsidP="006037A3">
      <w:pPr>
        <w:autoSpaceDE w:val="0"/>
        <w:autoSpaceDN w:val="0"/>
        <w:adjustRightInd w:val="0"/>
        <w:spacing w:after="0" w:line="240" w:lineRule="auto"/>
        <w:rPr>
          <w:rFonts w:cstheme="minorHAnsi"/>
          <w:b/>
          <w:bCs/>
          <w:color w:val="0000CC"/>
        </w:rPr>
      </w:pPr>
      <w:r w:rsidRPr="00292DDA">
        <w:rPr>
          <w:rFonts w:cstheme="minorHAnsi"/>
          <w:b/>
          <w:bCs/>
          <w:color w:val="0000CC"/>
        </w:rPr>
        <w:t xml:space="preserve">A.  Data </w:t>
      </w:r>
      <w:r>
        <w:rPr>
          <w:rFonts w:cstheme="minorHAnsi"/>
          <w:b/>
          <w:bCs/>
          <w:color w:val="0000CC"/>
        </w:rPr>
        <w:t>Sources</w:t>
      </w:r>
    </w:p>
    <w:p w:rsidR="006037A3" w:rsidRPr="00292DDA" w:rsidRDefault="006037A3" w:rsidP="006037A3">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were requested.  All outpatient dental records for members during an eight-month period were requested.  Table 2b2.2</w:t>
      </w:r>
      <w:r>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6037A3" w:rsidRPr="00292DDA" w:rsidRDefault="006037A3" w:rsidP="006037A3">
      <w:pPr>
        <w:autoSpaceDE w:val="0"/>
        <w:autoSpaceDN w:val="0"/>
        <w:adjustRightInd w:val="0"/>
        <w:spacing w:after="0" w:line="240" w:lineRule="auto"/>
        <w:rPr>
          <w:rFonts w:cstheme="minorHAnsi"/>
          <w:bCs/>
          <w:color w:val="0000CC"/>
        </w:rPr>
      </w:pPr>
    </w:p>
    <w:p w:rsidR="006037A3" w:rsidRPr="00292DDA" w:rsidRDefault="006037A3" w:rsidP="006037A3">
      <w:pPr>
        <w:autoSpaceDE w:val="0"/>
        <w:autoSpaceDN w:val="0"/>
        <w:adjustRightInd w:val="0"/>
        <w:spacing w:after="0" w:line="240" w:lineRule="auto"/>
        <w:rPr>
          <w:rFonts w:cstheme="minorHAnsi"/>
          <w:bCs/>
          <w:color w:val="0000CC"/>
        </w:rPr>
      </w:pPr>
      <w:r w:rsidRPr="00292DDA">
        <w:rPr>
          <w:rFonts w:cstheme="minorHAnsi"/>
          <w:b/>
          <w:bCs/>
          <w:color w:val="0000CC"/>
        </w:rPr>
        <w:t>Table 2b2.2</w:t>
      </w:r>
      <w:r>
        <w:rPr>
          <w:rFonts w:cstheme="minorHAnsi"/>
          <w:b/>
          <w:bCs/>
          <w:color w:val="0000CC"/>
        </w:rPr>
        <w:t>-1</w:t>
      </w:r>
      <w:r w:rsidRPr="00292DDA">
        <w:rPr>
          <w:rFonts w:cstheme="minorHAnsi"/>
          <w:b/>
          <w:bCs/>
          <w:color w:val="0000CC"/>
        </w:rPr>
        <w:t xml:space="preserve"> Dental Records Requested and Received</w:t>
      </w:r>
    </w:p>
    <w:p w:rsidR="006037A3" w:rsidRPr="00292DDA" w:rsidRDefault="006037A3" w:rsidP="006037A3">
      <w:pPr>
        <w:autoSpaceDE w:val="0"/>
        <w:autoSpaceDN w:val="0"/>
        <w:adjustRightInd w:val="0"/>
        <w:spacing w:after="0" w:line="240" w:lineRule="auto"/>
        <w:rPr>
          <w:rFonts w:cstheme="minorHAnsi"/>
          <w:bCs/>
          <w:color w:val="0000CC"/>
        </w:rPr>
      </w:pPr>
      <w:r w:rsidRPr="00292DDA">
        <w:rPr>
          <w:rFonts w:cstheme="minorHAnsi"/>
          <w:bCs/>
          <w:color w:val="0000CC"/>
        </w:rPr>
        <w:t xml:space="preserve"> </w:t>
      </w:r>
      <w:r w:rsidRPr="00A5186D">
        <w:rPr>
          <w:noProof/>
        </w:rPr>
        <w:drawing>
          <wp:inline distT="0" distB="0" distL="0" distR="0" wp14:anchorId="01CF8798" wp14:editId="11918207">
            <wp:extent cx="2743200" cy="391886"/>
            <wp:effectExtent l="1905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6037A3" w:rsidRPr="00292DDA" w:rsidRDefault="006037A3" w:rsidP="006037A3">
      <w:pPr>
        <w:autoSpaceDE w:val="0"/>
        <w:autoSpaceDN w:val="0"/>
        <w:adjustRightInd w:val="0"/>
        <w:spacing w:after="0" w:line="240" w:lineRule="auto"/>
        <w:rPr>
          <w:rFonts w:cstheme="minorHAnsi"/>
          <w:bCs/>
          <w:color w:val="0000CC"/>
        </w:rPr>
      </w:pPr>
    </w:p>
    <w:p w:rsidR="006037A3" w:rsidRPr="00292DDA" w:rsidRDefault="006037A3" w:rsidP="006037A3">
      <w:pPr>
        <w:autoSpaceDE w:val="0"/>
        <w:autoSpaceDN w:val="0"/>
        <w:adjustRightInd w:val="0"/>
        <w:spacing w:after="0" w:line="240" w:lineRule="auto"/>
        <w:rPr>
          <w:rFonts w:cstheme="minorHAnsi"/>
          <w:b/>
          <w:bCs/>
          <w:color w:val="0000CC"/>
        </w:rPr>
      </w:pPr>
      <w:r>
        <w:rPr>
          <w:rFonts w:cstheme="minorHAnsi"/>
          <w:b/>
          <w:bCs/>
          <w:color w:val="0000CC"/>
        </w:rPr>
        <w:t>B.  Record Review Methodology</w:t>
      </w:r>
    </w:p>
    <w:p w:rsidR="006037A3" w:rsidRPr="00292DDA" w:rsidRDefault="006037A3" w:rsidP="006037A3">
      <w:pPr>
        <w:autoSpaceDE w:val="0"/>
        <w:autoSpaceDN w:val="0"/>
        <w:adjustRightInd w:val="0"/>
        <w:spacing w:after="0" w:line="240" w:lineRule="auto"/>
        <w:rPr>
          <w:rFonts w:cstheme="minorHAnsi"/>
          <w:bCs/>
          <w:color w:val="0000CC"/>
        </w:rPr>
      </w:pPr>
      <w:r w:rsidRPr="00292DDA">
        <w:rPr>
          <w:rFonts w:cstheme="minorHAnsi"/>
          <w:bCs/>
          <w:color w:val="0000CC"/>
        </w:rPr>
        <w:t xml:space="preserve">There were two components to the record reviews used to evaluate data element validity:  </w:t>
      </w:r>
    </w:p>
    <w:p w:rsidR="006037A3" w:rsidRPr="00292DDA" w:rsidRDefault="006037A3" w:rsidP="006037A3">
      <w:pPr>
        <w:autoSpaceDE w:val="0"/>
        <w:autoSpaceDN w:val="0"/>
        <w:adjustRightInd w:val="0"/>
        <w:spacing w:after="0" w:line="240" w:lineRule="auto"/>
        <w:rPr>
          <w:rFonts w:cstheme="minorHAnsi"/>
          <w:bCs/>
          <w:color w:val="0000CC"/>
        </w:rPr>
      </w:pPr>
    </w:p>
    <w:p w:rsidR="006037A3" w:rsidRPr="009D7E8A" w:rsidRDefault="006037A3" w:rsidP="006037A3">
      <w:pPr>
        <w:pStyle w:val="ListParagraph"/>
        <w:numPr>
          <w:ilvl w:val="0"/>
          <w:numId w:val="29"/>
        </w:numPr>
        <w:autoSpaceDE w:val="0"/>
        <w:autoSpaceDN w:val="0"/>
        <w:adjustRightInd w:val="0"/>
        <w:spacing w:after="0" w:line="240" w:lineRule="auto"/>
        <w:ind w:left="360"/>
        <w:rPr>
          <w:rFonts w:cstheme="minorHAnsi"/>
          <w:bCs/>
          <w:color w:val="0000CC"/>
        </w:rPr>
      </w:pPr>
      <w:r w:rsidRPr="009D7E8A">
        <w:rPr>
          <w:rFonts w:cstheme="minorHAnsi"/>
          <w:bCs/>
          <w:color w:val="0000CC"/>
        </w:rPr>
        <w:t xml:space="preserve">Encounter data validation (EDV) that provided an </w:t>
      </w:r>
      <w:r w:rsidRPr="009D7E8A">
        <w:rPr>
          <w:rFonts w:cstheme="minorHAnsi"/>
          <w:bCs/>
          <w:color w:val="0000CC"/>
          <w:u w:val="single"/>
        </w:rPr>
        <w:t>overall assessment</w:t>
      </w:r>
      <w:r w:rsidRPr="009D7E8A">
        <w:rPr>
          <w:rFonts w:cstheme="minorHAnsi"/>
          <w:bCs/>
          <w:color w:val="0000CC"/>
        </w:rPr>
        <w:t xml:space="preserve"> of the accuracy of dental procedure codes found in the administrative claims data compared to dental records for the same dates of service.</w:t>
      </w:r>
    </w:p>
    <w:p w:rsidR="006037A3" w:rsidRPr="00A5186D" w:rsidRDefault="006037A3" w:rsidP="006037A3">
      <w:pPr>
        <w:pStyle w:val="ListParagraph"/>
        <w:numPr>
          <w:ilvl w:val="0"/>
          <w:numId w:val="29"/>
        </w:numPr>
        <w:autoSpaceDE w:val="0"/>
        <w:autoSpaceDN w:val="0"/>
        <w:adjustRightInd w:val="0"/>
        <w:spacing w:after="0" w:line="240" w:lineRule="auto"/>
        <w:ind w:left="360"/>
        <w:rPr>
          <w:rFonts w:cstheme="minorHAnsi"/>
          <w:bCs/>
          <w:color w:val="0000CC"/>
        </w:rPr>
      </w:pPr>
      <w:r w:rsidRPr="009D7E8A">
        <w:rPr>
          <w:rFonts w:cstheme="minorHAnsi"/>
          <w:bCs/>
          <w:color w:val="0000CC"/>
        </w:rPr>
        <w:t xml:space="preserve">Validation of </w:t>
      </w:r>
      <w:r w:rsidRPr="009D7E8A">
        <w:rPr>
          <w:rFonts w:cstheme="minorHAnsi"/>
          <w:bCs/>
          <w:color w:val="0000CC"/>
          <w:u w:val="single"/>
        </w:rPr>
        <w:t>sealant procedure and tooth number codes specifically</w:t>
      </w:r>
      <w:r w:rsidRPr="009D7E8A">
        <w:rPr>
          <w:rFonts w:cstheme="minorHAnsi"/>
          <w:bCs/>
          <w:color w:val="0000CC"/>
        </w:rPr>
        <w:t>.</w:t>
      </w:r>
      <w:r w:rsidRPr="00A5186D">
        <w:rPr>
          <w:rFonts w:cstheme="minorHAnsi"/>
          <w:bCs/>
          <w:color w:val="0000CC"/>
        </w:rPr>
        <w:t xml:space="preserve">  </w:t>
      </w:r>
    </w:p>
    <w:p w:rsidR="006037A3" w:rsidRPr="00A5186D" w:rsidRDefault="006037A3" w:rsidP="006037A3">
      <w:pPr>
        <w:autoSpaceDE w:val="0"/>
        <w:autoSpaceDN w:val="0"/>
        <w:adjustRightInd w:val="0"/>
        <w:spacing w:after="0" w:line="240" w:lineRule="auto"/>
        <w:rPr>
          <w:rFonts w:cstheme="minorHAnsi"/>
          <w:bCs/>
          <w:color w:val="0000CC"/>
        </w:rPr>
      </w:pPr>
    </w:p>
    <w:p w:rsidR="006037A3" w:rsidRPr="00A5186D" w:rsidRDefault="006037A3" w:rsidP="006037A3">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2915B3" w:rsidRDefault="002915B3" w:rsidP="002915B3">
      <w:pPr>
        <w:autoSpaceDE w:val="0"/>
        <w:autoSpaceDN w:val="0"/>
        <w:adjustRightInd w:val="0"/>
        <w:spacing w:after="0" w:line="240" w:lineRule="auto"/>
        <w:rPr>
          <w:rFonts w:cstheme="minorHAnsi"/>
          <w:bCs/>
          <w:color w:val="0000CC"/>
        </w:rPr>
      </w:pPr>
    </w:p>
    <w:p w:rsidR="006037A3" w:rsidRPr="00D251B4" w:rsidRDefault="006037A3" w:rsidP="006037A3">
      <w:pPr>
        <w:autoSpaceDE w:val="0"/>
        <w:autoSpaceDN w:val="0"/>
        <w:adjustRightInd w:val="0"/>
        <w:spacing w:after="0" w:line="240" w:lineRule="auto"/>
        <w:rPr>
          <w:rFonts w:cstheme="minorHAnsi"/>
          <w:b/>
          <w:bCs/>
          <w:color w:val="0000CC"/>
        </w:rPr>
      </w:pPr>
      <w:r w:rsidRPr="00D251B4">
        <w:rPr>
          <w:rFonts w:cstheme="minorHAnsi"/>
          <w:b/>
          <w:bCs/>
          <w:color w:val="0000CC"/>
        </w:rPr>
        <w:t>C.  Encounter Data Validation – Overall Assessment</w:t>
      </w:r>
    </w:p>
    <w:p w:rsidR="006037A3" w:rsidRPr="00292DDA" w:rsidRDefault="006037A3" w:rsidP="006037A3">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t>[Centers for Medicare and Medicaid Services, External Quality Review Encounter Data Validation Protocol (http://www.medicaid.gov/Medicaid-CHIP-Program-Information/By-Topics/Quality-of-</w:t>
      </w:r>
      <w:r w:rsidRPr="00292DDA">
        <w:rPr>
          <w:rFonts w:cstheme="minorHAnsi"/>
          <w:bCs/>
          <w:color w:val="0000CC"/>
        </w:rPr>
        <w:lastRenderedPageBreak/>
        <w:t>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6037A3" w:rsidRDefault="006037A3" w:rsidP="002915B3">
      <w:pPr>
        <w:autoSpaceDE w:val="0"/>
        <w:autoSpaceDN w:val="0"/>
        <w:adjustRightInd w:val="0"/>
        <w:spacing w:after="0" w:line="240" w:lineRule="auto"/>
        <w:rPr>
          <w:rFonts w:cstheme="minorHAnsi"/>
          <w:b/>
          <w:bCs/>
          <w:color w:val="0000CC"/>
        </w:rPr>
      </w:pPr>
    </w:p>
    <w:p w:rsidR="00CB4F81" w:rsidRPr="00D251B4" w:rsidRDefault="00CB4F81" w:rsidP="00CB4F81">
      <w:pPr>
        <w:autoSpaceDE w:val="0"/>
        <w:autoSpaceDN w:val="0"/>
        <w:adjustRightInd w:val="0"/>
        <w:spacing w:after="0" w:line="240" w:lineRule="auto"/>
        <w:rPr>
          <w:rFonts w:cstheme="minorHAnsi"/>
          <w:b/>
          <w:bCs/>
          <w:color w:val="0000CC"/>
        </w:rPr>
      </w:pPr>
      <w:r>
        <w:rPr>
          <w:rFonts w:cstheme="minorHAnsi"/>
          <w:b/>
          <w:bCs/>
          <w:color w:val="0000CC"/>
        </w:rPr>
        <w:t xml:space="preserve">D.  Critical Data Element Validation - </w:t>
      </w:r>
      <w:r w:rsidRPr="00D251B4">
        <w:rPr>
          <w:rFonts w:cstheme="minorHAnsi"/>
          <w:b/>
          <w:bCs/>
          <w:color w:val="0000CC"/>
        </w:rPr>
        <w:t>Sealant and Tooth Number Codes</w:t>
      </w:r>
    </w:p>
    <w:p w:rsidR="00CB4F81" w:rsidRDefault="00CB4F81" w:rsidP="00CB4F81">
      <w:pPr>
        <w:autoSpaceDE w:val="0"/>
        <w:autoSpaceDN w:val="0"/>
        <w:adjustRightInd w:val="0"/>
        <w:spacing w:after="0" w:line="240" w:lineRule="auto"/>
        <w:rPr>
          <w:rFonts w:cstheme="minorHAnsi"/>
          <w:b/>
          <w:bCs/>
          <w:color w:val="0000CC"/>
        </w:rPr>
      </w:pPr>
    </w:p>
    <w:p w:rsidR="00CB4F81" w:rsidRPr="009D7E8A" w:rsidRDefault="00CB4F81" w:rsidP="00CB4F81">
      <w:pPr>
        <w:autoSpaceDE w:val="0"/>
        <w:autoSpaceDN w:val="0"/>
        <w:adjustRightInd w:val="0"/>
        <w:spacing w:after="0" w:line="240" w:lineRule="auto"/>
        <w:rPr>
          <w:rFonts w:cstheme="minorHAnsi"/>
          <w:bCs/>
          <w:color w:val="0000CC"/>
        </w:rPr>
      </w:pPr>
      <w:proofErr w:type="gramStart"/>
      <w:r>
        <w:rPr>
          <w:rFonts w:cstheme="minorHAnsi"/>
          <w:b/>
          <w:bCs/>
          <w:color w:val="0000CC"/>
        </w:rPr>
        <w:t>Data Extraction.</w:t>
      </w:r>
      <w:proofErr w:type="gramEnd"/>
      <w:r>
        <w:rPr>
          <w:rFonts w:cstheme="minorHAnsi"/>
          <w:b/>
          <w:bCs/>
          <w:color w:val="0000CC"/>
        </w:rPr>
        <w:t xml:space="preserve">  </w:t>
      </w:r>
      <w:r w:rsidRPr="00292DDA">
        <w:rPr>
          <w:rFonts w:cstheme="minorHAnsi"/>
          <w:bCs/>
          <w:color w:val="0000CC"/>
        </w:rPr>
        <w:t>For the second component of validation, assessing whether the specific preventive service of sealant placement and associated tooth type coding are accurately captured by claims data, chart abstraction forms were developed by the research team.  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sealants applied to the teeth during the visit.  If there was evidence of sealant placement, the RHITs then recorded whether sealants were applied to the child’s permanent first molar, permanent second molar, and/or “other” tooth type.  If there was no indication of the tooth to which the sealant was applied, the tooth number field was coded as “indeterminate.”  The programming team extracted data from the administrative claims data for the same members and dates of service, recording the presence or absence of CDT code D1351 (sealants); and, when D1351 was present, recording the associated tooth number (or noted as missing).  Permanent first molars were identified in the claims data as tooth numbers 3, 14, 19, and 30; </w:t>
      </w:r>
      <w:r>
        <w:rPr>
          <w:rFonts w:cstheme="minorHAnsi"/>
          <w:bCs/>
          <w:color w:val="0000CC"/>
        </w:rPr>
        <w:t>p</w:t>
      </w:r>
      <w:r w:rsidRPr="009D7E8A">
        <w:rPr>
          <w:rFonts w:cstheme="minorHAnsi"/>
          <w:bCs/>
          <w:color w:val="0000CC"/>
        </w:rPr>
        <w:t xml:space="preserve">ermanent second molars were identified as tooth numbers 2, 15, 18, and 31.  The data files from the record review team and the programming team were merged into a single data file.  </w:t>
      </w:r>
    </w:p>
    <w:p w:rsidR="006037A3" w:rsidRDefault="006037A3" w:rsidP="002915B3">
      <w:pPr>
        <w:autoSpaceDE w:val="0"/>
        <w:autoSpaceDN w:val="0"/>
        <w:adjustRightInd w:val="0"/>
        <w:spacing w:after="0" w:line="240" w:lineRule="auto"/>
        <w:rPr>
          <w:rFonts w:cstheme="minorHAnsi"/>
          <w:b/>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w:t>
      </w:r>
      <w:proofErr w:type="spellStart"/>
      <w:r w:rsidRPr="009D7E8A">
        <w:rPr>
          <w:rFonts w:cstheme="minorHAnsi"/>
          <w:bCs/>
          <w:color w:val="0000CC"/>
        </w:rPr>
        <w:t>Quan</w:t>
      </w:r>
      <w:proofErr w:type="spellEnd"/>
      <w:r w:rsidRPr="009D7E8A">
        <w:rPr>
          <w:rFonts w:cstheme="minorHAnsi"/>
          <w:bCs/>
          <w:color w:val="0000CC"/>
        </w:rPr>
        <w:t xml:space="preserve"> H, Parsons GA, </w:t>
      </w:r>
      <w:proofErr w:type="spellStart"/>
      <w:r w:rsidRPr="009D7E8A">
        <w:rPr>
          <w:rFonts w:cstheme="minorHAnsi"/>
          <w:bCs/>
          <w:color w:val="0000CC"/>
        </w:rPr>
        <w:t>Ghali</w:t>
      </w:r>
      <w:proofErr w:type="spellEnd"/>
      <w:r w:rsidRPr="009D7E8A">
        <w:rPr>
          <w:rFonts w:cstheme="minorHAnsi"/>
          <w:bCs/>
          <w:color w:val="0000CC"/>
        </w:rPr>
        <w:t xml:space="preserve">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w:t>
      </w:r>
      <w:r w:rsidRPr="00292DDA">
        <w:rPr>
          <w:rFonts w:cstheme="minorHAnsi"/>
          <w:bCs/>
          <w:color w:val="0000CC"/>
        </w:rPr>
        <w:lastRenderedPageBreak/>
        <w:t xml:space="preserve">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CB4F81" w:rsidRDefault="00CB4F81" w:rsidP="00CB4F81">
      <w:pPr>
        <w:autoSpaceDE w:val="0"/>
        <w:autoSpaceDN w:val="0"/>
        <w:adjustRightInd w:val="0"/>
        <w:spacing w:after="0" w:line="240" w:lineRule="auto"/>
        <w:rPr>
          <w:rFonts w:cstheme="minorHAnsi"/>
          <w:b/>
          <w:bCs/>
          <w:color w:val="0000CC"/>
        </w:rPr>
      </w:pPr>
    </w:p>
    <w:p w:rsidR="00CB4F81" w:rsidRPr="00292DDA" w:rsidRDefault="00CB4F81" w:rsidP="00CB4F81">
      <w:pPr>
        <w:autoSpaceDE w:val="0"/>
        <w:autoSpaceDN w:val="0"/>
        <w:adjustRightInd w:val="0"/>
        <w:spacing w:after="0" w:line="240" w:lineRule="auto"/>
        <w:rPr>
          <w:rFonts w:cstheme="minorHAnsi"/>
          <w:b/>
          <w:bCs/>
          <w:color w:val="0000CC"/>
        </w:rPr>
      </w:pPr>
      <w:r>
        <w:rPr>
          <w:rFonts w:cstheme="minorHAnsi"/>
          <w:b/>
          <w:bCs/>
          <w:color w:val="0000CC"/>
        </w:rPr>
        <w:t>2</w:t>
      </w:r>
      <w:r w:rsidRPr="00292DDA">
        <w:rPr>
          <w:rFonts w:cstheme="minorHAnsi"/>
          <w:b/>
          <w:bCs/>
          <w:color w:val="0000CC"/>
        </w:rPr>
        <w:t xml:space="preserve">.  </w:t>
      </w:r>
      <w:r>
        <w:rPr>
          <w:rFonts w:cstheme="minorHAnsi"/>
          <w:b/>
          <w:bCs/>
          <w:color w:val="0000CC"/>
        </w:rPr>
        <w:t xml:space="preserve">MEASURE SCORE - </w:t>
      </w:r>
      <w:r w:rsidRPr="00292DDA">
        <w:rPr>
          <w:rFonts w:cstheme="minorHAnsi"/>
          <w:b/>
          <w:bCs/>
          <w:color w:val="0000CC"/>
        </w:rPr>
        <w:t>FACE VALIDITY</w:t>
      </w: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CB4F81" w:rsidRPr="00292DDA" w:rsidRDefault="00CB4F81" w:rsidP="00CB4F81">
      <w:pPr>
        <w:autoSpaceDE w:val="0"/>
        <w:autoSpaceDN w:val="0"/>
        <w:adjustRightInd w:val="0"/>
        <w:spacing w:after="0" w:line="240" w:lineRule="auto"/>
        <w:rPr>
          <w:rFonts w:cstheme="minorHAnsi"/>
          <w:b/>
          <w:bCs/>
          <w:color w:val="0000CC"/>
        </w:rPr>
      </w:pPr>
    </w:p>
    <w:p w:rsidR="00CB4F81" w:rsidRPr="00066288" w:rsidRDefault="00CB4F81" w:rsidP="00CB4F81">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Pr>
          <w:rFonts w:cstheme="minorHAnsi"/>
          <w:bCs/>
          <w:color w:val="0000CC"/>
        </w:rPr>
        <w:t>letter from</w:t>
      </w:r>
      <w:r w:rsidRPr="00066288">
        <w:rPr>
          <w:rFonts w:cstheme="minorHAnsi"/>
          <w:bCs/>
          <w:color w:val="0000CC"/>
        </w:rPr>
        <w:t xml:space="preserve"> Cindy Mann, JD, Director of the Center for Medicaid &amp; CHIP Services within CMS: “The dearth of tested quality measures in oral health has been a concern to CMS and other payers of oral health services for quite some time.”</w:t>
      </w:r>
      <w:r>
        <w:rPr>
          <w:rFonts w:cstheme="minorHAnsi"/>
          <w:bCs/>
          <w:color w:val="0000CC"/>
        </w:rPr>
        <w:t xml:space="preserve"> (See Appendix)</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During the measurement development process, the DQA Research and Development Committee, purposely comprised of individuals with recognized and appropriate expertise in oral health to lead quality measure development,  undertook an environmental scan of existing pediatric oral health performance measures, which involved the following: (1) Literature Search, (2) Measure Solicitation, (3) 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(Dental 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w:t>
      </w:r>
      <w:proofErr w:type="spellStart"/>
      <w:r w:rsidRPr="00292DDA">
        <w:rPr>
          <w:rFonts w:cstheme="minorHAnsi"/>
          <w:bCs/>
          <w:color w:val="0000CC"/>
        </w:rPr>
        <w:t>paediatric</w:t>
      </w:r>
      <w:proofErr w:type="spellEnd"/>
      <w:r w:rsidRPr="00292DDA">
        <w:rPr>
          <w:rFonts w:cstheme="minorHAnsi"/>
          <w:bCs/>
          <w:color w:val="0000CC"/>
        </w:rPr>
        <w:t>)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4"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w:t>
      </w:r>
      <w:proofErr w:type="spellStart"/>
      <w:r w:rsidRPr="00292DDA">
        <w:rPr>
          <w:rFonts w:cstheme="minorHAnsi"/>
          <w:bCs/>
          <w:color w:val="0000CC"/>
        </w:rPr>
        <w:t>DentaQuest</w:t>
      </w:r>
      <w:proofErr w:type="spellEnd"/>
      <w:r w:rsidRPr="00292DDA">
        <w:rPr>
          <w:rFonts w:cstheme="minorHAnsi"/>
          <w:bCs/>
          <w:color w:val="0000CC"/>
        </w:rPr>
        <w:t xml:space="preserve"> Institute, involved in measure development activities. </w:t>
      </w: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lastRenderedPageBreak/>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CB4F81" w:rsidRPr="00292DDA" w:rsidRDefault="00CB4F81" w:rsidP="00CB4F81">
      <w:pPr>
        <w:autoSpaceDE w:val="0"/>
        <w:autoSpaceDN w:val="0"/>
        <w:adjustRightInd w:val="0"/>
        <w:spacing w:after="0" w:line="240" w:lineRule="auto"/>
        <w:rPr>
          <w:rFonts w:cstheme="minorHAnsi"/>
          <w:b/>
          <w:bCs/>
          <w:color w:val="0000CC"/>
        </w:rPr>
      </w:pP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
          <w:bCs/>
          <w:color w:val="0000CC"/>
        </w:rPr>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improvement projects longitudinally and monitor improvements in care; (c) identify variations in care, and (d) develop benchmarks for comparison.</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The final face validity assessment was conducted at the July 2013 Dental Alliance Quality meeting at which the full membership, representing a broad range of stakeholders.  A detailed presentation of the testing results was provided.  The membership then participated in an open consensus process with </w:t>
      </w:r>
      <w:r w:rsidRPr="00066288">
        <w:rPr>
          <w:rFonts w:cstheme="minorHAnsi"/>
          <w:bCs/>
          <w:color w:val="0000CC"/>
        </w:rPr>
        <w:lastRenderedPageBreak/>
        <w:t xml:space="preserve">observed unanimous agreement that the calculated measure scores can be used to evaluate quality of care.  </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CB4F81" w:rsidRPr="00292DDA" w:rsidRDefault="00CB4F81" w:rsidP="00CB4F81">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CB4F81" w:rsidRPr="00292DDA" w:rsidRDefault="00CB4F81" w:rsidP="00CB4F81">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CB4F81" w:rsidRPr="00292DDA" w:rsidRDefault="00CB4F81" w:rsidP="00CB4F81">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CB4F81" w:rsidRDefault="00CB4F81" w:rsidP="00CB4F81">
      <w:pPr>
        <w:autoSpaceDE w:val="0"/>
        <w:autoSpaceDN w:val="0"/>
        <w:adjustRightInd w:val="0"/>
        <w:spacing w:after="0" w:line="240" w:lineRule="auto"/>
        <w:rPr>
          <w:rFonts w:cstheme="minorHAnsi"/>
          <w:b/>
          <w:bCs/>
          <w:color w:val="0000CC"/>
        </w:rPr>
      </w:pPr>
    </w:p>
    <w:p w:rsidR="00CB4F81" w:rsidRPr="00292DDA" w:rsidRDefault="00CB4F81" w:rsidP="00CB4F81">
      <w:pPr>
        <w:autoSpaceDE w:val="0"/>
        <w:autoSpaceDN w:val="0"/>
        <w:adjustRightInd w:val="0"/>
        <w:spacing w:after="0" w:line="240" w:lineRule="auto"/>
        <w:rPr>
          <w:rFonts w:cstheme="minorHAnsi"/>
          <w:b/>
          <w:bCs/>
          <w:color w:val="0000CC"/>
        </w:rPr>
      </w:pPr>
      <w:r>
        <w:rPr>
          <w:rFonts w:cstheme="minorHAnsi"/>
          <w:b/>
          <w:bCs/>
          <w:color w:val="0000CC"/>
        </w:rPr>
        <w:t xml:space="preserve">3.  </w:t>
      </w:r>
      <w:r w:rsidRPr="00292DDA">
        <w:rPr>
          <w:rFonts w:cstheme="minorHAnsi"/>
          <w:b/>
          <w:bCs/>
          <w:color w:val="0000CC"/>
        </w:rPr>
        <w:t xml:space="preserve">ADDITIONAL VALIDITY </w:t>
      </w:r>
      <w:proofErr w:type="gramStart"/>
      <w:r w:rsidRPr="00292DDA">
        <w:rPr>
          <w:rFonts w:cstheme="minorHAnsi"/>
          <w:b/>
          <w:bCs/>
          <w:color w:val="0000CC"/>
        </w:rPr>
        <w:t>TESTING  -</w:t>
      </w:r>
      <w:proofErr w:type="gramEnd"/>
      <w:r w:rsidRPr="00292DDA">
        <w:rPr>
          <w:rFonts w:cstheme="minorHAnsi"/>
          <w:b/>
          <w:bCs/>
          <w:color w:val="0000CC"/>
        </w:rPr>
        <w:t xml:space="preserve"> RELEVANCE OF TOOTH TYPE</w:t>
      </w:r>
    </w:p>
    <w:p w:rsidR="00CB4F81" w:rsidRPr="00292DDA" w:rsidRDefault="00CB4F81" w:rsidP="00CB4F81">
      <w:pPr>
        <w:autoSpaceDE w:val="0"/>
        <w:autoSpaceDN w:val="0"/>
        <w:adjustRightInd w:val="0"/>
        <w:spacing w:after="0" w:line="240" w:lineRule="auto"/>
        <w:rPr>
          <w:rFonts w:cstheme="minorHAnsi"/>
          <w:bCs/>
          <w:color w:val="0000CC"/>
        </w:rPr>
      </w:pPr>
      <w:r w:rsidRPr="00292DDA">
        <w:rPr>
          <w:rFonts w:cstheme="minorHAnsi"/>
          <w:bCs/>
          <w:color w:val="0000CC"/>
        </w:rPr>
        <w:t xml:space="preserve">Evidence-based recommendations advise that sealants be placed on pits and fissures of children’s primary and permanent teeth when the tooth, or patient, is at caries risk, with stronger evidence for effectiveness in permanent molars (Beauchamp et al. 2008).  Sealants benefit children across a wide age range; however, for greatest effectiveness in caries prevention, it is recommended that sealants be placed on teeth soon after they erupt (US DHHS 2010; CDC 2013). Thus, we also sought to evaluate how well the specifications addressed both the tooth type on which sealants are placed and the timeliness of care provision.  The research team ran frequency distributions of sealant placement by tooth number and age range for three programs.  Specifically, the percentage of children with (1) any sealants (regardless of tooth type), (2) sealants on permanent first molars, and (3) sealants on permanent second molars was assessed by age for children enrolled at least one month in the program.  </w:t>
      </w:r>
    </w:p>
    <w:p w:rsidR="00CB4F81" w:rsidRPr="00292DDA" w:rsidRDefault="00CB4F81" w:rsidP="00CB4F81">
      <w:pPr>
        <w:autoSpaceDE w:val="0"/>
        <w:autoSpaceDN w:val="0"/>
        <w:adjustRightInd w:val="0"/>
        <w:spacing w:after="0" w:line="240" w:lineRule="auto"/>
        <w:rPr>
          <w:rFonts w:cstheme="minorHAnsi"/>
          <w:bCs/>
          <w:color w:val="0000CC"/>
        </w:rPr>
      </w:pPr>
    </w:p>
    <w:p w:rsidR="00CB4F81" w:rsidRPr="00292DDA" w:rsidRDefault="00CB4F81" w:rsidP="00CB4F81">
      <w:pPr>
        <w:spacing w:after="0" w:line="240" w:lineRule="auto"/>
        <w:rPr>
          <w:iCs/>
          <w:color w:val="0000CC"/>
          <w:u w:val="single"/>
        </w:rPr>
      </w:pPr>
      <w:r w:rsidRPr="00292DDA">
        <w:rPr>
          <w:iCs/>
          <w:color w:val="0000CC"/>
          <w:u w:val="single"/>
        </w:rPr>
        <w:t>Citations</w:t>
      </w:r>
    </w:p>
    <w:p w:rsidR="00CB4F81" w:rsidRPr="00292DDA" w:rsidRDefault="00CB4F81" w:rsidP="00CB4F81">
      <w:pPr>
        <w:spacing w:after="0" w:line="240" w:lineRule="auto"/>
        <w:ind w:left="720" w:hanging="720"/>
        <w:rPr>
          <w:iCs/>
          <w:color w:val="0000CC"/>
        </w:rPr>
      </w:pPr>
      <w:r w:rsidRPr="00292DDA">
        <w:rPr>
          <w:iCs/>
          <w:color w:val="0000CC"/>
        </w:rPr>
        <w:t xml:space="preserve">Beauchamp J, </w:t>
      </w:r>
      <w:proofErr w:type="spellStart"/>
      <w:r w:rsidRPr="00292DDA">
        <w:rPr>
          <w:iCs/>
          <w:color w:val="0000CC"/>
        </w:rPr>
        <w:t>Caufield</w:t>
      </w:r>
      <w:proofErr w:type="spellEnd"/>
      <w:r w:rsidRPr="00292DDA">
        <w:rPr>
          <w:iCs/>
          <w:color w:val="0000CC"/>
        </w:rPr>
        <w:t xml:space="preserve"> PW, </w:t>
      </w:r>
      <w:proofErr w:type="spellStart"/>
      <w:r w:rsidRPr="00292DDA">
        <w:rPr>
          <w:iCs/>
          <w:color w:val="0000CC"/>
        </w:rPr>
        <w:t>Crall</w:t>
      </w:r>
      <w:proofErr w:type="spellEnd"/>
      <w:r w:rsidRPr="00292DDA">
        <w:rPr>
          <w:iCs/>
          <w:color w:val="0000CC"/>
        </w:rPr>
        <w:t xml:space="preserve"> JJ, </w:t>
      </w:r>
      <w:proofErr w:type="spellStart"/>
      <w:r w:rsidRPr="00292DDA">
        <w:rPr>
          <w:iCs/>
          <w:color w:val="0000CC"/>
        </w:rPr>
        <w:t>Donly</w:t>
      </w:r>
      <w:proofErr w:type="spellEnd"/>
      <w:r w:rsidRPr="00292DDA">
        <w:rPr>
          <w:iCs/>
          <w:color w:val="0000CC"/>
        </w:rPr>
        <w:t xml:space="preserve"> K, </w:t>
      </w:r>
      <w:proofErr w:type="spellStart"/>
      <w:r w:rsidRPr="00292DDA">
        <w:rPr>
          <w:iCs/>
          <w:color w:val="0000CC"/>
        </w:rPr>
        <w:t>Feigal</w:t>
      </w:r>
      <w:proofErr w:type="spellEnd"/>
      <w:r w:rsidRPr="00292DDA">
        <w:rPr>
          <w:iCs/>
          <w:color w:val="0000CC"/>
        </w:rPr>
        <w:t xml:space="preserve"> R, Gooch B, et al. Evidence-based clinical recommendations for the use of pit-and-fissure sealants: a report of the American Dental Association Council on Scientific Affairs. J Am Dent </w:t>
      </w:r>
      <w:proofErr w:type="spellStart"/>
      <w:r w:rsidRPr="00292DDA">
        <w:rPr>
          <w:iCs/>
          <w:color w:val="0000CC"/>
        </w:rPr>
        <w:t>Assoc</w:t>
      </w:r>
      <w:proofErr w:type="spellEnd"/>
      <w:r w:rsidRPr="00292DDA">
        <w:rPr>
          <w:iCs/>
          <w:color w:val="0000CC"/>
        </w:rPr>
        <w:t xml:space="preserve"> 2008</w:t>
      </w:r>
      <w:proofErr w:type="gramStart"/>
      <w:r w:rsidRPr="00292DDA">
        <w:rPr>
          <w:iCs/>
          <w:color w:val="0000CC"/>
        </w:rPr>
        <w:t>;139</w:t>
      </w:r>
      <w:proofErr w:type="gramEnd"/>
      <w:r w:rsidRPr="00292DDA">
        <w:rPr>
          <w:iCs/>
          <w:color w:val="0000CC"/>
        </w:rPr>
        <w:t>(3):257-268.</w:t>
      </w:r>
    </w:p>
    <w:p w:rsidR="00CB4F81" w:rsidRPr="00292DDA" w:rsidRDefault="00CB4F81" w:rsidP="00CB4F81">
      <w:pPr>
        <w:spacing w:after="0" w:line="240" w:lineRule="auto"/>
        <w:ind w:left="720" w:hanging="720"/>
        <w:rPr>
          <w:iCs/>
          <w:color w:val="0000CC"/>
        </w:rPr>
      </w:pPr>
      <w:proofErr w:type="gramStart"/>
      <w:r w:rsidRPr="00292DDA">
        <w:rPr>
          <w:iCs/>
          <w:color w:val="0000CC"/>
        </w:rPr>
        <w:t>Centers for Disease Control and Prevention.</w:t>
      </w:r>
      <w:proofErr w:type="gramEnd"/>
      <w:r w:rsidRPr="00292DDA">
        <w:rPr>
          <w:iCs/>
          <w:color w:val="0000CC"/>
        </w:rPr>
        <w:t xml:space="preserve">  2013. Dental Sealants. Available at: </w:t>
      </w:r>
      <w:hyperlink r:id="rId15" w:history="1">
        <w:r w:rsidRPr="00292DDA">
          <w:rPr>
            <w:rStyle w:val="Hyperlink"/>
            <w:iCs/>
            <w:color w:val="0000CC"/>
          </w:rPr>
          <w:t>http://www.cdc.gov/OralHealth/publications/faqs/sealants.htm</w:t>
        </w:r>
      </w:hyperlink>
      <w:r w:rsidRPr="00292DDA">
        <w:rPr>
          <w:iCs/>
          <w:color w:val="0000CC"/>
        </w:rPr>
        <w:t xml:space="preserve">.  </w:t>
      </w:r>
      <w:proofErr w:type="gramStart"/>
      <w:r w:rsidRPr="00292DDA">
        <w:rPr>
          <w:iCs/>
          <w:color w:val="0000CC"/>
        </w:rPr>
        <w:t>Accessed January 20, 2014.</w:t>
      </w:r>
      <w:proofErr w:type="gramEnd"/>
    </w:p>
    <w:p w:rsidR="00CB4F81" w:rsidRPr="00292DDA" w:rsidRDefault="00CB4F81" w:rsidP="00CB4F81">
      <w:pPr>
        <w:spacing w:after="0" w:line="240" w:lineRule="auto"/>
        <w:ind w:left="720" w:hanging="720"/>
        <w:rPr>
          <w:iCs/>
          <w:color w:val="0000CC"/>
        </w:rPr>
      </w:pPr>
      <w:r w:rsidRPr="00292DDA">
        <w:rPr>
          <w:iCs/>
          <w:color w:val="0000CC"/>
        </w:rPr>
        <w:t xml:space="preserve">U.S. Dept. of Health and Human Services, National Institute of Dental and Craniofacial Research. Oral health in </w:t>
      </w:r>
      <w:proofErr w:type="gramStart"/>
      <w:r w:rsidRPr="00292DDA">
        <w:rPr>
          <w:iCs/>
          <w:color w:val="0000CC"/>
        </w:rPr>
        <w:t>America :</w:t>
      </w:r>
      <w:proofErr w:type="gramEnd"/>
      <w:r w:rsidRPr="00292DDA">
        <w:rPr>
          <w:iCs/>
          <w:color w:val="0000CC"/>
        </w:rPr>
        <w:t xml:space="preserve"> a report of the Surgeon General. Rockville, Md.: U.S. Public Health Service, Dept. of Health and Human Services; 2000.</w:t>
      </w:r>
    </w:p>
    <w:p w:rsidR="00CB4F81" w:rsidRDefault="00CB4F81" w:rsidP="00CB4F81">
      <w:pPr>
        <w:autoSpaceDE w:val="0"/>
        <w:autoSpaceDN w:val="0"/>
        <w:adjustRightInd w:val="0"/>
        <w:spacing w:after="0" w:line="240" w:lineRule="auto"/>
        <w:rPr>
          <w:rFonts w:cstheme="minorHAnsi"/>
          <w:b/>
          <w:bCs/>
          <w:color w:val="0000CC"/>
        </w:rPr>
      </w:pPr>
    </w:p>
    <w:p w:rsidR="00CB4F81" w:rsidRPr="00A34ECD" w:rsidRDefault="00CB4F81" w:rsidP="00CB4F81">
      <w:pPr>
        <w:autoSpaceDE w:val="0"/>
        <w:autoSpaceDN w:val="0"/>
        <w:adjustRightInd w:val="0"/>
        <w:spacing w:after="0" w:line="240" w:lineRule="auto"/>
        <w:rPr>
          <w:rFonts w:cstheme="minorHAnsi"/>
          <w:b/>
          <w:bCs/>
          <w:color w:val="FF0000"/>
        </w:rPr>
      </w:pPr>
      <w:r>
        <w:rPr>
          <w:rFonts w:cstheme="minorHAnsi"/>
          <w:b/>
          <w:bCs/>
          <w:color w:val="0000CC"/>
        </w:rPr>
        <w:t xml:space="preserve">4.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DENOMINATOR</w:t>
      </w:r>
      <w:proofErr w:type="gramEnd"/>
      <w:r>
        <w:rPr>
          <w:rFonts w:cstheme="minorHAnsi"/>
          <w:b/>
          <w:bCs/>
          <w:color w:val="0000CC"/>
        </w:rPr>
        <w:t xml:space="preserve"> ENROLLMENT CRITERIA</w:t>
      </w:r>
    </w:p>
    <w:p w:rsidR="00CB4F81" w:rsidRPr="00066288" w:rsidRDefault="00CB4F81" w:rsidP="00CB4F81">
      <w:pPr>
        <w:autoSpaceDE w:val="0"/>
        <w:autoSpaceDN w:val="0"/>
        <w:adjustRightInd w:val="0"/>
        <w:spacing w:after="0" w:line="240" w:lineRule="auto"/>
        <w:rPr>
          <w:rFonts w:cstheme="minorHAnsi"/>
          <w:bCs/>
          <w:color w:val="0000CC"/>
        </w:rPr>
      </w:pPr>
      <w:r w:rsidRPr="00292DDA">
        <w:rPr>
          <w:rFonts w:cstheme="minorHAnsi"/>
          <w:bCs/>
          <w:color w:val="0000CC"/>
        </w:rPr>
        <w:t xml:space="preserve">To finalize the denominator definition, several different enrollment criteria were tested:  (1) enrolled at least one month, (2) enrolled at least three months, (3) enrolled at least 6 months, (4) enrolled the entire year (12 months), allowing a single one-month gap, and (5) average period of enrollment/person-time equivalent (weighting members in </w:t>
      </w:r>
      <w:r w:rsidRPr="00066288">
        <w:rPr>
          <w:rFonts w:cstheme="minorHAnsi"/>
          <w:bCs/>
          <w:color w:val="0000CC"/>
        </w:rPr>
        <w:t xml:space="preserve">denominator by enrollment length).  These were evaluated through the face validity consensus processes.  </w:t>
      </w:r>
    </w:p>
    <w:p w:rsidR="00CB4F81" w:rsidRDefault="00CB4F81" w:rsidP="00CB4F81">
      <w:pPr>
        <w:autoSpaceDE w:val="0"/>
        <w:autoSpaceDN w:val="0"/>
        <w:adjustRightInd w:val="0"/>
        <w:spacing w:after="0" w:line="240" w:lineRule="auto"/>
        <w:rPr>
          <w:rFonts w:cstheme="minorHAnsi"/>
          <w:bCs/>
          <w:color w:val="0000CC"/>
        </w:rPr>
      </w:pPr>
    </w:p>
    <w:p w:rsidR="00CB4F81" w:rsidRDefault="00CB4F81" w:rsidP="00CB4F81">
      <w:pPr>
        <w:autoSpaceDE w:val="0"/>
        <w:autoSpaceDN w:val="0"/>
        <w:adjustRightInd w:val="0"/>
        <w:spacing w:after="0" w:line="240" w:lineRule="auto"/>
        <w:rPr>
          <w:rFonts w:cstheme="minorHAnsi"/>
          <w:bCs/>
          <w:color w:val="0000CC"/>
        </w:rPr>
      </w:pPr>
      <w:r w:rsidRPr="00292DDA">
        <w:rPr>
          <w:rFonts w:cstheme="minorHAnsi"/>
          <w:bCs/>
          <w:color w:val="0000CC"/>
        </w:rPr>
        <w:t>The first definition was ruled out because of concern that one month is an insufficient period of time to expect children to seek, schedule, and obtain a preventive care dental visit.  The last definition was ruled out on the basis of usability as it was considered to be less readily interpretable by a wide range of stakeholder</w:t>
      </w:r>
      <w:r>
        <w:rPr>
          <w:rFonts w:cstheme="minorHAnsi"/>
          <w:bCs/>
          <w:color w:val="0000CC"/>
        </w:rPr>
        <w:t>s</w:t>
      </w:r>
      <w:r w:rsidRPr="00292DDA">
        <w:rPr>
          <w:rFonts w:cstheme="minorHAnsi"/>
          <w:bCs/>
          <w:color w:val="0000CC"/>
        </w:rPr>
        <w:t>.</w:t>
      </w:r>
      <w:r>
        <w:rPr>
          <w:rFonts w:cstheme="minorHAnsi"/>
          <w:bCs/>
          <w:color w:val="0000CC"/>
        </w:rPr>
        <w:t xml:space="preserve">  </w:t>
      </w:r>
      <w:r w:rsidRPr="00292DDA">
        <w:rPr>
          <w:rFonts w:cstheme="minorHAnsi"/>
          <w:bCs/>
          <w:color w:val="0000CC"/>
        </w:rPr>
        <w:t>Table 2a2.2-</w:t>
      </w:r>
      <w:r>
        <w:rPr>
          <w:rFonts w:cstheme="minorHAnsi"/>
          <w:bCs/>
          <w:color w:val="0000CC"/>
        </w:rPr>
        <w:t>2</w:t>
      </w:r>
      <w:r w:rsidRPr="00292DDA">
        <w:rPr>
          <w:rFonts w:cstheme="minorHAnsi"/>
          <w:bCs/>
          <w:color w:val="0000CC"/>
        </w:rPr>
        <w:t xml:space="preserve"> summarizes the percentage of members enrolled in the program during the reporting year who were eligible under each of the different enrollment intervals.  Based on these data, a consensus was reached to adopt a six-month continuous enrollment requirement to balance sufficient enrollment duration that allows children adequate time to access care (seek, schedule and obtain a </w:t>
      </w:r>
      <w:r w:rsidRPr="00292DDA">
        <w:rPr>
          <w:rFonts w:cstheme="minorHAnsi"/>
          <w:bCs/>
          <w:color w:val="0000CC"/>
        </w:rPr>
        <w:lastRenderedPageBreak/>
        <w:t>preventive care  dental visit) with the number of children who drop out of the denominator</w:t>
      </w:r>
      <w:r w:rsidRPr="007052D1">
        <w:rPr>
          <w:rFonts w:cstheme="minorHAnsi"/>
          <w:bCs/>
          <w:color w:val="0000CC"/>
        </w:rPr>
        <w:t xml:space="preserve"> due to stricter enrollment requirements</w:t>
      </w:r>
      <w:r>
        <w:rPr>
          <w:rFonts w:cstheme="minorHAnsi"/>
          <w:bCs/>
          <w:color w:val="0000CC"/>
        </w:rPr>
        <w:t xml:space="preserve">.  </w:t>
      </w:r>
    </w:p>
    <w:p w:rsidR="00CB4F81" w:rsidRDefault="00CB4F81" w:rsidP="00CB4F81">
      <w:pPr>
        <w:autoSpaceDE w:val="0"/>
        <w:autoSpaceDN w:val="0"/>
        <w:adjustRightInd w:val="0"/>
        <w:spacing w:after="0" w:line="240" w:lineRule="auto"/>
        <w:rPr>
          <w:rFonts w:cstheme="minorHAnsi"/>
          <w:bCs/>
          <w:color w:val="0000CC"/>
        </w:rPr>
      </w:pPr>
    </w:p>
    <w:p w:rsidR="00CB4F81" w:rsidRPr="00A1189F" w:rsidRDefault="00CB4F81" w:rsidP="00CB4F81">
      <w:pPr>
        <w:autoSpaceDE w:val="0"/>
        <w:autoSpaceDN w:val="0"/>
        <w:adjustRightInd w:val="0"/>
        <w:spacing w:after="0" w:line="240" w:lineRule="auto"/>
        <w:rPr>
          <w:rFonts w:cstheme="minorHAnsi"/>
          <w:b/>
          <w:bCs/>
          <w:color w:val="0000CC"/>
        </w:rPr>
      </w:pPr>
      <w:proofErr w:type="gramStart"/>
      <w:r>
        <w:rPr>
          <w:rFonts w:cstheme="minorHAnsi"/>
          <w:b/>
          <w:bCs/>
          <w:color w:val="0000CC"/>
        </w:rPr>
        <w:t>Table 2</w:t>
      </w:r>
      <w:r w:rsidR="00B126E4">
        <w:rPr>
          <w:rFonts w:cstheme="minorHAnsi"/>
          <w:b/>
          <w:bCs/>
          <w:color w:val="0000CC"/>
        </w:rPr>
        <w:t>b</w:t>
      </w:r>
      <w:r>
        <w:rPr>
          <w:rFonts w:cstheme="minorHAnsi"/>
          <w:b/>
          <w:bCs/>
          <w:color w:val="0000CC"/>
        </w:rPr>
        <w:t>2.2-2.</w:t>
      </w:r>
      <w:proofErr w:type="gramEnd"/>
      <w:r>
        <w:rPr>
          <w:rFonts w:cstheme="minorHAnsi"/>
          <w:b/>
          <w:bCs/>
          <w:color w:val="0000CC"/>
        </w:rPr>
        <w:t xml:space="preserve">  Percentage of All Enrolled Members Included in Different Denominator Definitions</w:t>
      </w:r>
    </w:p>
    <w:p w:rsidR="00CB4F81" w:rsidRDefault="00CB4F81" w:rsidP="00CB4F81">
      <w:pPr>
        <w:autoSpaceDE w:val="0"/>
        <w:autoSpaceDN w:val="0"/>
        <w:adjustRightInd w:val="0"/>
        <w:spacing w:after="0" w:line="240" w:lineRule="auto"/>
        <w:rPr>
          <w:rFonts w:cstheme="minorHAnsi"/>
          <w:bCs/>
          <w:color w:val="0000CC"/>
        </w:rPr>
      </w:pPr>
      <w:r w:rsidRPr="00AD77EE">
        <w:rPr>
          <w:noProof/>
        </w:rPr>
        <w:drawing>
          <wp:inline distT="0" distB="0" distL="0" distR="0" wp14:anchorId="1635F5AE" wp14:editId="2F1EC1FE">
            <wp:extent cx="4723765" cy="1343121"/>
            <wp:effectExtent l="19050" t="0" r="635"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4723765" cy="1343121"/>
                    </a:xfrm>
                    <a:prstGeom prst="rect">
                      <a:avLst/>
                    </a:prstGeom>
                    <a:noFill/>
                    <a:ln w="9525">
                      <a:noFill/>
                      <a:miter lim="800000"/>
                      <a:headEnd/>
                      <a:tailEnd/>
                    </a:ln>
                  </pic:spPr>
                </pic:pic>
              </a:graphicData>
            </a:graphic>
          </wp:inline>
        </w:drawing>
      </w:r>
    </w:p>
    <w:p w:rsidR="00CB4F81" w:rsidRDefault="00CB4F81" w:rsidP="00CB4F81">
      <w:pPr>
        <w:autoSpaceDE w:val="0"/>
        <w:autoSpaceDN w:val="0"/>
        <w:adjustRightInd w:val="0"/>
        <w:spacing w:after="0" w:line="240" w:lineRule="auto"/>
        <w:rPr>
          <w:rFonts w:cstheme="minorHAnsi"/>
          <w:b/>
          <w:bCs/>
          <w:color w:val="0000CC"/>
        </w:rPr>
      </w:pPr>
    </w:p>
    <w:p w:rsidR="00CB4F81" w:rsidRPr="00292DDA" w:rsidRDefault="00CB4F81" w:rsidP="00CB4F81">
      <w:pPr>
        <w:autoSpaceDE w:val="0"/>
        <w:autoSpaceDN w:val="0"/>
        <w:adjustRightInd w:val="0"/>
        <w:spacing w:after="0" w:line="240" w:lineRule="auto"/>
        <w:rPr>
          <w:rFonts w:cstheme="minorHAnsi"/>
          <w:b/>
          <w:bCs/>
          <w:color w:val="0000CC"/>
        </w:rPr>
      </w:pPr>
      <w:r>
        <w:rPr>
          <w:rFonts w:cstheme="minorHAnsi"/>
          <w:b/>
          <w:bCs/>
          <w:color w:val="0000CC"/>
        </w:rPr>
        <w:t>5</w:t>
      </w:r>
      <w:r w:rsidRPr="00292DDA">
        <w:rPr>
          <w:rFonts w:cstheme="minorHAnsi"/>
          <w:b/>
          <w:bCs/>
          <w:color w:val="0000CC"/>
        </w:rPr>
        <w:t xml:space="preserve">.  ADDITIONAL VALIDITY </w:t>
      </w:r>
      <w:proofErr w:type="gramStart"/>
      <w:r w:rsidRPr="00292DDA">
        <w:rPr>
          <w:rFonts w:cstheme="minorHAnsi"/>
          <w:b/>
          <w:bCs/>
          <w:color w:val="0000CC"/>
        </w:rPr>
        <w:t>TESTING  -</w:t>
      </w:r>
      <w:proofErr w:type="gramEnd"/>
      <w:r w:rsidRPr="00292DDA">
        <w:rPr>
          <w:rFonts w:cstheme="minorHAnsi"/>
          <w:b/>
          <w:bCs/>
          <w:color w:val="0000CC"/>
        </w:rPr>
        <w:t xml:space="preserve"> </w:t>
      </w:r>
      <w:r>
        <w:rPr>
          <w:rFonts w:cstheme="minorHAnsi"/>
          <w:b/>
          <w:bCs/>
          <w:color w:val="0000CC"/>
        </w:rPr>
        <w:t>IDENTIFYING ELEVATED RISK WITH CLAIMS DATA</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Evidence-based guidelines indicate that sealants are most effective for children at higher risk for caries (see Measure Evidence Form). Thus, inclusion in the denominator is limited to children identified as being at moderate to high risk for caries.  Administrative claims data for dental claims typically do not include diagnostic codes. Procedure codes for risk assessment that identify moderate and high risk were included in the measure logic.  However, because these are newer codes, additional logic was included to identify children with recent history of restorations, which are indicative of caries.  </w:t>
      </w:r>
      <w:r w:rsidRPr="00066288">
        <w:rPr>
          <w:rFonts w:cstheme="minorHAnsi"/>
          <w:bCs/>
          <w:color w:val="0000CC"/>
          <w:u w:val="single"/>
        </w:rPr>
        <w:t>A systematic review found that prior caries experience to be an important predictor of future risk</w:t>
      </w:r>
      <w:r w:rsidRPr="00066288">
        <w:rPr>
          <w:rFonts w:cstheme="minorHAnsi"/>
          <w:bCs/>
          <w:color w:val="0000CC"/>
        </w:rPr>
        <w:t xml:space="preserve"> (Zero D, Fontana M, Lennon AM. 2001. Clinical applications and outcomes of using indicators of risk in caries management. J Dent Educ. 2001 Oct</w:t>
      </w:r>
      <w:proofErr w:type="gramStart"/>
      <w:r w:rsidRPr="00066288">
        <w:rPr>
          <w:rFonts w:cstheme="minorHAnsi"/>
          <w:bCs/>
          <w:color w:val="0000CC"/>
        </w:rPr>
        <w:t>;65</w:t>
      </w:r>
      <w:proofErr w:type="gramEnd"/>
      <w:r w:rsidRPr="00066288">
        <w:rPr>
          <w:rFonts w:cstheme="minorHAnsi"/>
          <w:bCs/>
          <w:color w:val="0000CC"/>
        </w:rPr>
        <w:t>(10):1126-32.) Expert consensus and validation through chart reviews was done to finalize the procedure codes (indicated in the measure specifications) used to identify elevated risk. The test data results reported in this application demonstrate that it is feasible to use these validated codes to identify children at elevated risk who should receive preventive services.</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
          <w:bCs/>
          <w:color w:val="0000CC"/>
        </w:rPr>
      </w:pPr>
      <w:r w:rsidRPr="00066288">
        <w:rPr>
          <w:rFonts w:cstheme="minorHAnsi"/>
          <w:b/>
          <w:bCs/>
          <w:color w:val="0000CC"/>
        </w:rPr>
        <w:t>6.  ADDITIONAL VALIDITY EVALUATION – ASSESSMENT OF THREATS TO VALIDITY</w:t>
      </w:r>
    </w:p>
    <w:p w:rsidR="00CB4F81" w:rsidRPr="00066288" w:rsidRDefault="00CB4F81" w:rsidP="00CB4F81">
      <w:pPr>
        <w:autoSpaceDE w:val="0"/>
        <w:autoSpaceDN w:val="0"/>
        <w:adjustRightInd w:val="0"/>
        <w:spacing w:after="0" w:line="240" w:lineRule="auto"/>
        <w:rPr>
          <w:rFonts w:cstheme="minorHAnsi"/>
          <w:b/>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As described in 2b3. </w:t>
      </w:r>
      <w:proofErr w:type="gramStart"/>
      <w:r w:rsidRPr="00066288">
        <w:rPr>
          <w:rFonts w:cstheme="minorHAnsi"/>
          <w:bCs/>
          <w:color w:val="0000CC"/>
        </w:rPr>
        <w:t>of</w:t>
      </w:r>
      <w:proofErr w:type="gramEnd"/>
      <w:r w:rsidRPr="00066288">
        <w:rPr>
          <w:rFonts w:cstheme="minorHAnsi"/>
          <w:bCs/>
          <w:color w:val="0000CC"/>
        </w:rPr>
        <w:t xml:space="preserve"> this form, there are no exclusions for this measure.</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 xml:space="preserve">Risk adjustment is not applicable for this process measure.  </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
          <w:bCs/>
          <w:color w:val="0000CC"/>
        </w:rPr>
        <w:t>C.  Missing Data</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Pr>
          <w:rFonts w:cstheme="minorHAnsi"/>
          <w:bCs/>
          <w:color w:val="0000CC"/>
        </w:rPr>
        <w:t>1</w:t>
      </w:r>
      <w:r w:rsidRPr="00066288">
        <w:rPr>
          <w:rFonts w:cstheme="minorHAnsi"/>
          <w:bCs/>
          <w:color w:val="0000CC"/>
        </w:rPr>
        <w:t>).</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CB4F81" w:rsidRPr="00066288" w:rsidRDefault="00CB4F81" w:rsidP="00CB4F81">
      <w:pPr>
        <w:autoSpaceDE w:val="0"/>
        <w:autoSpaceDN w:val="0"/>
        <w:adjustRightInd w:val="0"/>
        <w:spacing w:after="0" w:line="240" w:lineRule="auto"/>
        <w:rPr>
          <w:rFonts w:cstheme="minorHAnsi"/>
          <w:bCs/>
          <w:color w:val="0000CC"/>
        </w:rPr>
      </w:pP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CB4F81" w:rsidRPr="00066288" w:rsidRDefault="00CB4F81" w:rsidP="00CB4F81">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CB4F81" w:rsidRPr="00066288" w:rsidRDefault="00CB4F81" w:rsidP="00CB4F81">
      <w:pPr>
        <w:autoSpaceDE w:val="0"/>
        <w:autoSpaceDN w:val="0"/>
        <w:adjustRightInd w:val="0"/>
        <w:spacing w:after="0" w:line="240" w:lineRule="auto"/>
        <w:rPr>
          <w:rFonts w:cstheme="minorHAnsi"/>
          <w:b/>
          <w:bCs/>
          <w:color w:val="0000CC"/>
        </w:rPr>
      </w:pPr>
    </w:p>
    <w:p w:rsidR="007422FD" w:rsidRPr="002E2732" w:rsidRDefault="00092566" w:rsidP="00092566">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2E2732">
        <w:rPr>
          <w:rFonts w:cstheme="minorHAnsi"/>
          <w:b/>
          <w:bCs/>
        </w:rPr>
        <w:t>What</w:t>
      </w:r>
      <w:proofErr w:type="gramEnd"/>
      <w:r w:rsidR="00833325" w:rsidRPr="002E2732">
        <w:rPr>
          <w:rFonts w:cstheme="minorHAnsi"/>
          <w:b/>
          <w:bCs/>
        </w:rPr>
        <w:t xml:space="preserve"> were the statistical results </w:t>
      </w:r>
      <w:r w:rsidR="007422FD" w:rsidRPr="002E2732">
        <w:rPr>
          <w:rFonts w:cstheme="minorHAnsi"/>
          <w:b/>
          <w:bCs/>
        </w:rPr>
        <w:t xml:space="preserve">from </w:t>
      </w:r>
      <w:r w:rsidR="00EC79DE" w:rsidRPr="002E2732">
        <w:rPr>
          <w:rFonts w:cstheme="minorHAnsi"/>
          <w:b/>
          <w:bCs/>
        </w:rPr>
        <w:t>validity</w:t>
      </w:r>
      <w:r w:rsidR="007422FD" w:rsidRPr="002E2732">
        <w:rPr>
          <w:rFonts w:cstheme="minorHAnsi"/>
          <w:b/>
          <w:bCs/>
        </w:rPr>
        <w:t xml:space="preserve"> testing</w:t>
      </w:r>
      <w:r w:rsidR="00833325" w:rsidRPr="002E2732">
        <w:rPr>
          <w:rFonts w:cstheme="minorHAnsi"/>
          <w:bCs/>
        </w:rPr>
        <w:t xml:space="preserve">? </w:t>
      </w:r>
      <w:r w:rsidR="00AA5213" w:rsidRPr="002E2732">
        <w:rPr>
          <w:rFonts w:cstheme="minorHAnsi"/>
          <w:bCs/>
        </w:rPr>
        <w:t>(</w:t>
      </w:r>
      <w:r w:rsidR="00AA5213" w:rsidRPr="002E2732">
        <w:rPr>
          <w:rFonts w:cstheme="minorHAnsi"/>
          <w:bCs/>
          <w:i/>
        </w:rPr>
        <w:t xml:space="preserve">e.g., correlation; </w:t>
      </w:r>
      <w:r w:rsidR="001F1DA1" w:rsidRPr="002E2732">
        <w:rPr>
          <w:rFonts w:cstheme="minorHAnsi"/>
          <w:bCs/>
          <w:i/>
        </w:rPr>
        <w:t>t-test</w:t>
      </w:r>
      <w:r w:rsidR="00AA5213" w:rsidRPr="002E2732">
        <w:rPr>
          <w:rFonts w:cstheme="minorHAnsi"/>
          <w:bCs/>
        </w:rPr>
        <w:t>)</w:t>
      </w:r>
      <w:r w:rsidR="00833325" w:rsidRPr="002E2732">
        <w:rPr>
          <w:rFonts w:cstheme="minorHAnsi"/>
          <w:bCs/>
        </w:rPr>
        <w:br/>
      </w:r>
    </w:p>
    <w:p w:rsidR="00CB4F81" w:rsidRDefault="00CB4F81" w:rsidP="00CB4F81">
      <w:pPr>
        <w:autoSpaceDE w:val="0"/>
        <w:autoSpaceDN w:val="0"/>
        <w:adjustRightInd w:val="0"/>
        <w:spacing w:after="0" w:line="240" w:lineRule="auto"/>
        <w:rPr>
          <w:rFonts w:cstheme="minorHAnsi"/>
          <w:b/>
          <w:bCs/>
          <w:color w:val="0000CC"/>
        </w:rPr>
      </w:pPr>
      <w:r>
        <w:rPr>
          <w:rFonts w:cstheme="minorHAnsi"/>
          <w:b/>
          <w:bCs/>
          <w:color w:val="0000CC"/>
        </w:rPr>
        <w:t>1</w:t>
      </w:r>
      <w:r w:rsidRPr="002E2732">
        <w:rPr>
          <w:rFonts w:cstheme="minorHAnsi"/>
          <w:b/>
          <w:bCs/>
          <w:color w:val="0000CC"/>
        </w:rPr>
        <w:t>.  CRITICAL DATA ELEMENT VALIDITY</w:t>
      </w:r>
    </w:p>
    <w:p w:rsidR="00CB4F81" w:rsidRDefault="00CB4F81" w:rsidP="00CB4F81">
      <w:pPr>
        <w:autoSpaceDE w:val="0"/>
        <w:autoSpaceDN w:val="0"/>
        <w:adjustRightInd w:val="0"/>
        <w:spacing w:after="0" w:line="240" w:lineRule="auto"/>
        <w:rPr>
          <w:rFonts w:cstheme="minorHAnsi"/>
          <w:b/>
          <w:bCs/>
          <w:color w:val="0000CC"/>
        </w:rPr>
      </w:pPr>
    </w:p>
    <w:p w:rsidR="00CB4F81" w:rsidRPr="00D251B4" w:rsidRDefault="00CB4F81" w:rsidP="00CB4F81">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CB4F81" w:rsidRPr="002E2732" w:rsidRDefault="00CB4F81" w:rsidP="00CB4F81">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CB4F81" w:rsidRDefault="00CB4F81" w:rsidP="00CB4F81">
      <w:pPr>
        <w:autoSpaceDE w:val="0"/>
        <w:autoSpaceDN w:val="0"/>
        <w:adjustRightInd w:val="0"/>
        <w:spacing w:after="0" w:line="240" w:lineRule="auto"/>
        <w:rPr>
          <w:rFonts w:cstheme="minorHAnsi"/>
          <w:b/>
          <w:bCs/>
          <w:color w:val="0000CC"/>
        </w:rPr>
      </w:pPr>
      <w:r w:rsidRPr="002E2732">
        <w:rPr>
          <w:rFonts w:cstheme="minorHAnsi"/>
          <w:bCs/>
          <w:color w:val="0000CC"/>
        </w:rPr>
        <w:tab/>
      </w:r>
    </w:p>
    <w:p w:rsidR="00CB4F81" w:rsidRDefault="00CB4F81" w:rsidP="00CB4F81">
      <w:pPr>
        <w:autoSpaceDE w:val="0"/>
        <w:autoSpaceDN w:val="0"/>
        <w:adjustRightInd w:val="0"/>
        <w:spacing w:after="0" w:line="240" w:lineRule="auto"/>
        <w:rPr>
          <w:noProof/>
        </w:rPr>
      </w:pPr>
      <w:r w:rsidRPr="002E2732">
        <w:rPr>
          <w:rFonts w:cstheme="minorHAnsi"/>
          <w:b/>
          <w:bCs/>
          <w:color w:val="0000CC"/>
        </w:rPr>
        <w:t xml:space="preserve">Table 2b2.3-1 Agreement between Records and Administrative Data for Procedures </w:t>
      </w:r>
      <w:r w:rsidRPr="00827742">
        <w:rPr>
          <w:rFonts w:cstheme="minorHAnsi"/>
          <w:bCs/>
          <w:color w:val="0000CC"/>
        </w:rPr>
        <w:t xml:space="preserve"> </w:t>
      </w:r>
    </w:p>
    <w:p w:rsidR="00CB4F81" w:rsidRPr="00827742" w:rsidRDefault="00CB4F81" w:rsidP="00CB4F81">
      <w:pPr>
        <w:autoSpaceDE w:val="0"/>
        <w:autoSpaceDN w:val="0"/>
        <w:adjustRightInd w:val="0"/>
        <w:spacing w:after="0" w:line="240" w:lineRule="auto"/>
        <w:rPr>
          <w:rFonts w:cstheme="minorHAnsi"/>
          <w:bCs/>
          <w:color w:val="0000CC"/>
        </w:rPr>
      </w:pPr>
      <w:r w:rsidRPr="002E2732">
        <w:rPr>
          <w:noProof/>
        </w:rPr>
        <w:drawing>
          <wp:inline distT="0" distB="0" distL="0" distR="0" wp14:anchorId="4A050670" wp14:editId="3DD4D65F">
            <wp:extent cx="5543550" cy="818174"/>
            <wp:effectExtent l="1905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549357" cy="819031"/>
                    </a:xfrm>
                    <a:prstGeom prst="rect">
                      <a:avLst/>
                    </a:prstGeom>
                    <a:noFill/>
                    <a:ln w="9525">
                      <a:noFill/>
                      <a:miter lim="800000"/>
                      <a:headEnd/>
                      <a:tailEnd/>
                    </a:ln>
                  </pic:spPr>
                </pic:pic>
              </a:graphicData>
            </a:graphic>
          </wp:inline>
        </w:drawing>
      </w:r>
    </w:p>
    <w:p w:rsidR="00CB4F81" w:rsidRDefault="00CB4F81" w:rsidP="00CB4F81">
      <w:pPr>
        <w:autoSpaceDE w:val="0"/>
        <w:autoSpaceDN w:val="0"/>
        <w:adjustRightInd w:val="0"/>
        <w:spacing w:after="0" w:line="240" w:lineRule="auto"/>
        <w:rPr>
          <w:rFonts w:cstheme="minorHAnsi"/>
          <w:bCs/>
          <w:color w:val="0000CC"/>
        </w:rPr>
      </w:pPr>
    </w:p>
    <w:p w:rsidR="00CB4F81" w:rsidRPr="004776B9" w:rsidRDefault="00CB4F81" w:rsidP="00CB4F81">
      <w:pPr>
        <w:autoSpaceDE w:val="0"/>
        <w:autoSpaceDN w:val="0"/>
        <w:adjustRightInd w:val="0"/>
        <w:spacing w:after="0" w:line="240" w:lineRule="auto"/>
        <w:rPr>
          <w:rFonts w:cstheme="minorHAnsi"/>
          <w:b/>
          <w:bCs/>
          <w:color w:val="0000CC"/>
        </w:rPr>
      </w:pPr>
      <w:r w:rsidRPr="004776B9">
        <w:rPr>
          <w:rFonts w:cstheme="minorHAnsi"/>
          <w:b/>
          <w:bCs/>
          <w:color w:val="0000CC"/>
        </w:rPr>
        <w:t>B.  Critical Data Element Validation - Sealant and Tooth Number Codes</w:t>
      </w:r>
    </w:p>
    <w:p w:rsidR="002E2732" w:rsidRDefault="00CB4F81" w:rsidP="00DA3C35">
      <w:pPr>
        <w:autoSpaceDE w:val="0"/>
        <w:autoSpaceDN w:val="0"/>
        <w:adjustRightInd w:val="0"/>
        <w:spacing w:after="0" w:line="240" w:lineRule="auto"/>
        <w:rPr>
          <w:rFonts w:cstheme="minorHAnsi"/>
          <w:bCs/>
          <w:color w:val="0000CC"/>
        </w:rPr>
      </w:pPr>
      <w:r w:rsidRPr="004776B9">
        <w:rPr>
          <w:rFonts w:cstheme="minorHAnsi"/>
          <w:bCs/>
          <w:color w:val="0000CC"/>
        </w:rPr>
        <w:t>To assess whether the specific preventive service of dental sealants and associated tooth type are accurately captured by claims data, the 414 records, representing 631 dates of service, were reviewed.  Table 2b2.3-2 below summarizes the agreement between the dental records and administrative data for sealants and tooth number.  Agreement (concordance) for sealant placement was 95%.  Sensitivity of sealant placements was moderately high (77.8%) and specificity was very high (98.8%)</w:t>
      </w:r>
      <w:r w:rsidR="00DA3C35" w:rsidRPr="004776B9">
        <w:rPr>
          <w:rFonts w:cstheme="minorHAnsi"/>
          <w:bCs/>
          <w:color w:val="0000CC"/>
        </w:rPr>
        <w:t xml:space="preserve">.  </w:t>
      </w:r>
      <w:r w:rsidR="00DA3C35">
        <w:rPr>
          <w:rFonts w:cstheme="minorHAnsi"/>
          <w:bCs/>
          <w:color w:val="0000CC"/>
        </w:rPr>
        <w:t xml:space="preserve">Sensitivity was not as strong for second permanent molars (50%), but specificity was very high (100%).  </w:t>
      </w:r>
      <w:r w:rsidR="00DA3C35" w:rsidRPr="004776B9">
        <w:rPr>
          <w:rFonts w:cstheme="minorHAnsi"/>
          <w:bCs/>
          <w:color w:val="0000CC"/>
        </w:rPr>
        <w:t xml:space="preserve">The positive predictive and negative predictive values were both high (&gt;93%) for sealant placement with a lower negative predictive value for the specific tooth type.  As noted above, the kappa statistic provides a more neutral description of agreement and extends a comparison of simple agreement by taking into account agreement occurring by chance, thereby providing a more rigorous and conservative measure of agreement between the two data sources.  The kappa statistic for sealants was also very high at 0.8205 indicating “almost perfect” agreement.  For </w:t>
      </w:r>
      <w:r w:rsidR="00C734F9">
        <w:rPr>
          <w:rFonts w:cstheme="minorHAnsi"/>
          <w:bCs/>
          <w:color w:val="0000CC"/>
        </w:rPr>
        <w:t>dates of service</w:t>
      </w:r>
      <w:r w:rsidR="00DA3C35" w:rsidRPr="004776B9">
        <w:rPr>
          <w:rFonts w:cstheme="minorHAnsi"/>
          <w:bCs/>
          <w:color w:val="0000CC"/>
        </w:rPr>
        <w:t xml:space="preserve"> in which there was agreement with the administrative data that sealants had been applied (</w:t>
      </w:r>
      <w:r w:rsidR="00C734F9">
        <w:rPr>
          <w:rFonts w:cstheme="minorHAnsi"/>
          <w:bCs/>
          <w:color w:val="0000CC"/>
        </w:rPr>
        <w:t>n=</w:t>
      </w:r>
      <w:r w:rsidR="00DA3C35" w:rsidRPr="004776B9">
        <w:rPr>
          <w:rFonts w:cstheme="minorHAnsi"/>
          <w:bCs/>
          <w:color w:val="0000CC"/>
        </w:rPr>
        <w:t>8</w:t>
      </w:r>
      <w:r w:rsidR="00C734F9">
        <w:rPr>
          <w:rFonts w:cstheme="minorHAnsi"/>
          <w:bCs/>
          <w:color w:val="0000CC"/>
        </w:rPr>
        <w:t>4</w:t>
      </w:r>
      <w:r w:rsidR="00DA3C35" w:rsidRPr="004776B9">
        <w:rPr>
          <w:rFonts w:cstheme="minorHAnsi"/>
          <w:bCs/>
          <w:color w:val="0000CC"/>
        </w:rPr>
        <w:t xml:space="preserve">), we then assessed whether there was agreement on tooth type using the following categories: permanent first molar, permanent second </w:t>
      </w:r>
      <w:proofErr w:type="gramStart"/>
      <w:r w:rsidR="00DA3C35" w:rsidRPr="004776B9">
        <w:rPr>
          <w:rFonts w:cstheme="minorHAnsi"/>
          <w:bCs/>
          <w:color w:val="0000CC"/>
        </w:rPr>
        <w:t>molar,</w:t>
      </w:r>
      <w:proofErr w:type="gramEnd"/>
      <w:r w:rsidR="00DA3C35" w:rsidRPr="004776B9">
        <w:rPr>
          <w:rFonts w:cstheme="minorHAnsi"/>
          <w:bCs/>
          <w:color w:val="0000CC"/>
        </w:rPr>
        <w:t xml:space="preserve"> and other teeth. </w:t>
      </w:r>
      <w:r w:rsidR="00DA3C35">
        <w:rPr>
          <w:rFonts w:cstheme="minorHAnsi"/>
          <w:bCs/>
          <w:color w:val="0000CC"/>
        </w:rPr>
        <w:t xml:space="preserve"> </w:t>
      </w:r>
      <w:r w:rsidR="00DA3C35" w:rsidRPr="004776B9">
        <w:rPr>
          <w:rFonts w:cstheme="minorHAnsi"/>
          <w:bCs/>
          <w:color w:val="0000CC"/>
        </w:rPr>
        <w:t xml:space="preserve">We report here on the findings for permanent </w:t>
      </w:r>
      <w:r w:rsidR="00DA3C35">
        <w:rPr>
          <w:rFonts w:cstheme="minorHAnsi"/>
          <w:bCs/>
          <w:color w:val="0000CC"/>
        </w:rPr>
        <w:t>second</w:t>
      </w:r>
      <w:r w:rsidR="00DA3C35" w:rsidRPr="004776B9">
        <w:rPr>
          <w:rFonts w:cstheme="minorHAnsi"/>
          <w:bCs/>
          <w:color w:val="0000CC"/>
        </w:rPr>
        <w:t xml:space="preserve"> molar which is the focus of the proposed measure (we had similar findings for </w:t>
      </w:r>
      <w:r w:rsidR="003224F2">
        <w:rPr>
          <w:rFonts w:cstheme="minorHAnsi"/>
          <w:bCs/>
          <w:color w:val="0000CC"/>
        </w:rPr>
        <w:t>first</w:t>
      </w:r>
      <w:r w:rsidR="00DA3C35" w:rsidRPr="004776B9">
        <w:rPr>
          <w:rFonts w:cstheme="minorHAnsi"/>
          <w:bCs/>
          <w:color w:val="0000CC"/>
        </w:rPr>
        <w:t xml:space="preserve"> molars).  Overall, the simple agreement percentage was 8</w:t>
      </w:r>
      <w:r w:rsidR="00DA3C35">
        <w:rPr>
          <w:rFonts w:cstheme="minorHAnsi"/>
          <w:bCs/>
          <w:color w:val="0000CC"/>
        </w:rPr>
        <w:t>8</w:t>
      </w:r>
      <w:r w:rsidR="00DA3C35" w:rsidRPr="004776B9">
        <w:rPr>
          <w:rFonts w:cstheme="minorHAnsi"/>
          <w:bCs/>
          <w:color w:val="0000CC"/>
        </w:rPr>
        <w:t xml:space="preserve">% for permanent </w:t>
      </w:r>
      <w:r w:rsidR="00DA3C35">
        <w:rPr>
          <w:rFonts w:cstheme="minorHAnsi"/>
          <w:bCs/>
          <w:color w:val="0000CC"/>
        </w:rPr>
        <w:t>second</w:t>
      </w:r>
      <w:r w:rsidR="00DA3C35" w:rsidRPr="004776B9">
        <w:rPr>
          <w:rFonts w:cstheme="minorHAnsi"/>
          <w:bCs/>
          <w:color w:val="0000CC"/>
        </w:rPr>
        <w:t xml:space="preserve"> molars.  The corresponding kappa statistic value was 0.6</w:t>
      </w:r>
      <w:r w:rsidR="00DA3C35">
        <w:rPr>
          <w:rFonts w:cstheme="minorHAnsi"/>
          <w:bCs/>
          <w:color w:val="0000CC"/>
        </w:rPr>
        <w:t>04</w:t>
      </w:r>
      <w:r w:rsidR="00DA3C35" w:rsidRPr="004776B9">
        <w:rPr>
          <w:rFonts w:cstheme="minorHAnsi"/>
          <w:bCs/>
          <w:color w:val="0000CC"/>
        </w:rPr>
        <w:t xml:space="preserve">, indicating “substantial” agreement.  </w:t>
      </w:r>
      <w:r w:rsidRPr="004776B9">
        <w:rPr>
          <w:rFonts w:cstheme="minorHAnsi"/>
          <w:bCs/>
          <w:color w:val="0000CC"/>
        </w:rPr>
        <w:t xml:space="preserve">  </w:t>
      </w:r>
    </w:p>
    <w:p w:rsidR="00C734F9" w:rsidRDefault="00C734F9" w:rsidP="00DA3C35">
      <w:pPr>
        <w:autoSpaceDE w:val="0"/>
        <w:autoSpaceDN w:val="0"/>
        <w:adjustRightInd w:val="0"/>
        <w:spacing w:after="0" w:line="240" w:lineRule="auto"/>
        <w:rPr>
          <w:rFonts w:cstheme="minorHAnsi"/>
          <w:b/>
          <w:bCs/>
          <w:color w:val="0000CC"/>
        </w:rPr>
      </w:pPr>
    </w:p>
    <w:p w:rsidR="00FF03F8" w:rsidRPr="00827742" w:rsidRDefault="00827742" w:rsidP="00FF03F8">
      <w:pPr>
        <w:autoSpaceDE w:val="0"/>
        <w:autoSpaceDN w:val="0"/>
        <w:adjustRightInd w:val="0"/>
        <w:spacing w:after="0" w:line="240" w:lineRule="auto"/>
        <w:rPr>
          <w:rFonts w:cstheme="minorHAnsi"/>
          <w:bCs/>
          <w:color w:val="0000CC"/>
        </w:rPr>
      </w:pPr>
      <w:r w:rsidRPr="00827742">
        <w:rPr>
          <w:rFonts w:cstheme="minorHAnsi"/>
          <w:b/>
          <w:bCs/>
          <w:color w:val="0000CC"/>
        </w:rPr>
        <w:t>Table 2b2.3-</w:t>
      </w:r>
      <w:r>
        <w:rPr>
          <w:rFonts w:cstheme="minorHAnsi"/>
          <w:b/>
          <w:bCs/>
          <w:color w:val="0000CC"/>
        </w:rPr>
        <w:t xml:space="preserve">2 </w:t>
      </w:r>
      <w:r w:rsidR="00FF03F8" w:rsidRPr="00827742">
        <w:rPr>
          <w:rFonts w:cstheme="minorHAnsi"/>
          <w:b/>
          <w:bCs/>
          <w:color w:val="0000CC"/>
        </w:rPr>
        <w:t xml:space="preserve">Agreement between Record and Administrative Data for Specific </w:t>
      </w:r>
      <w:r w:rsidR="00837450">
        <w:rPr>
          <w:rFonts w:cstheme="minorHAnsi"/>
          <w:b/>
          <w:bCs/>
          <w:color w:val="0000CC"/>
        </w:rPr>
        <w:t>Services</w:t>
      </w:r>
    </w:p>
    <w:p w:rsidR="00FF03F8" w:rsidRDefault="00C734F9" w:rsidP="00092566">
      <w:pPr>
        <w:autoSpaceDE w:val="0"/>
        <w:autoSpaceDN w:val="0"/>
        <w:adjustRightInd w:val="0"/>
        <w:spacing w:after="0" w:line="240" w:lineRule="auto"/>
        <w:rPr>
          <w:rFonts w:cstheme="minorHAnsi"/>
          <w:bCs/>
        </w:rPr>
      </w:pPr>
      <w:r w:rsidRPr="00C734F9">
        <w:rPr>
          <w:noProof/>
        </w:rPr>
        <w:drawing>
          <wp:inline distT="0" distB="0" distL="0" distR="0" wp14:anchorId="2930D2A1" wp14:editId="510D3557">
            <wp:extent cx="5943600" cy="1127924"/>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943600" cy="1127924"/>
                    </a:xfrm>
                    <a:prstGeom prst="rect">
                      <a:avLst/>
                    </a:prstGeom>
                    <a:noFill/>
                    <a:ln w="9525">
                      <a:noFill/>
                      <a:miter lim="800000"/>
                      <a:headEnd/>
                      <a:tailEnd/>
                    </a:ln>
                  </pic:spPr>
                </pic:pic>
              </a:graphicData>
            </a:graphic>
          </wp:inline>
        </w:drawing>
      </w:r>
    </w:p>
    <w:p w:rsidR="00C734F9" w:rsidRPr="00E13A29" w:rsidRDefault="00C734F9" w:rsidP="00C734F9">
      <w:pPr>
        <w:autoSpaceDE w:val="0"/>
        <w:autoSpaceDN w:val="0"/>
        <w:adjustRightInd w:val="0"/>
        <w:spacing w:after="0" w:line="240" w:lineRule="auto"/>
        <w:rPr>
          <w:rFonts w:cstheme="minorHAnsi"/>
          <w:bCs/>
          <w:sz w:val="20"/>
          <w:szCs w:val="20"/>
        </w:rPr>
      </w:pPr>
      <w:r w:rsidRPr="00E13A29">
        <w:rPr>
          <w:rFonts w:cstheme="minorHAnsi"/>
          <w:bCs/>
          <w:sz w:val="20"/>
          <w:szCs w:val="20"/>
        </w:rPr>
        <w:t>95% confidence intervals indicated in parentheses</w:t>
      </w:r>
    </w:p>
    <w:p w:rsidR="00FF03F8" w:rsidRDefault="00FF03F8" w:rsidP="00092566">
      <w:pPr>
        <w:autoSpaceDE w:val="0"/>
        <w:autoSpaceDN w:val="0"/>
        <w:adjustRightInd w:val="0"/>
        <w:spacing w:after="0" w:line="240" w:lineRule="auto"/>
        <w:rPr>
          <w:rFonts w:cstheme="minorHAnsi"/>
          <w:bCs/>
        </w:rPr>
      </w:pPr>
    </w:p>
    <w:p w:rsidR="00C734F9" w:rsidRPr="004776B9" w:rsidRDefault="00C734F9" w:rsidP="00C734F9">
      <w:pPr>
        <w:spacing w:after="0" w:line="240" w:lineRule="auto"/>
        <w:rPr>
          <w:rFonts w:cstheme="minorHAnsi"/>
          <w:bCs/>
          <w:color w:val="0000CC"/>
        </w:rPr>
      </w:pPr>
      <w:r w:rsidRPr="004776B9">
        <w:rPr>
          <w:rFonts w:cstheme="minorHAnsi"/>
          <w:bCs/>
          <w:color w:val="0000CC"/>
        </w:rPr>
        <w:lastRenderedPageBreak/>
        <w:t xml:space="preserve">Our findings are similar to those in the peer-reviewed literature.  A study was conducted in 2004 that used data from 3,751 patient visits in 120 dental practices participating in the Ohio Practice-Based Research Network to examine the concordance of chart and billing data with direct observation of dental procedures.  For sealants, they found lower sensitivity (73%), higher specificity (100%) and similar kappa value (0.84) of billing data compared to direct observation.  </w:t>
      </w:r>
      <w:proofErr w:type="gramStart"/>
      <w:r w:rsidRPr="004776B9">
        <w:rPr>
          <w:rFonts w:cstheme="minorHAnsi"/>
          <w:bCs/>
          <w:color w:val="0000CC"/>
        </w:rPr>
        <w:t>(</w:t>
      </w:r>
      <w:proofErr w:type="spellStart"/>
      <w:r w:rsidRPr="004776B9">
        <w:rPr>
          <w:rFonts w:cstheme="minorHAnsi"/>
          <w:bCs/>
          <w:color w:val="0000CC"/>
        </w:rPr>
        <w:t>Demko</w:t>
      </w:r>
      <w:proofErr w:type="spellEnd"/>
      <w:r w:rsidRPr="004776B9">
        <w:rPr>
          <w:rFonts w:cstheme="minorHAnsi"/>
          <w:bCs/>
          <w:color w:val="0000CC"/>
        </w:rPr>
        <w:t xml:space="preserve"> CA, </w:t>
      </w:r>
      <w:proofErr w:type="spellStart"/>
      <w:r w:rsidRPr="004776B9">
        <w:rPr>
          <w:rFonts w:cstheme="minorHAnsi"/>
          <w:bCs/>
          <w:color w:val="0000CC"/>
        </w:rPr>
        <w:t>Victoroff</w:t>
      </w:r>
      <w:proofErr w:type="spellEnd"/>
      <w:r w:rsidRPr="004776B9">
        <w:rPr>
          <w:rFonts w:cstheme="minorHAnsi"/>
          <w:bCs/>
          <w:color w:val="0000CC"/>
        </w:rPr>
        <w:t xml:space="preserve"> KZ, </w:t>
      </w:r>
      <w:proofErr w:type="spellStart"/>
      <w:r w:rsidRPr="004776B9">
        <w:rPr>
          <w:rFonts w:cstheme="minorHAnsi"/>
          <w:bCs/>
          <w:color w:val="0000CC"/>
        </w:rPr>
        <w:t>Wotman</w:t>
      </w:r>
      <w:proofErr w:type="spellEnd"/>
      <w:r w:rsidRPr="004776B9">
        <w:rPr>
          <w:rFonts w:cstheme="minorHAnsi"/>
          <w:bCs/>
          <w:color w:val="0000CC"/>
        </w:rPr>
        <w:t xml:space="preserve"> S. 2008.</w:t>
      </w:r>
      <w:proofErr w:type="gramEnd"/>
      <w:r w:rsidRPr="004776B9">
        <w:rPr>
          <w:rFonts w:cstheme="minorHAnsi"/>
          <w:bCs/>
          <w:color w:val="0000CC"/>
        </w:rPr>
        <w:t xml:space="preserve"> “Concordance of chart and billing data with direct observation in dental practice” Community Dent Oral </w:t>
      </w:r>
      <w:proofErr w:type="spellStart"/>
      <w:r w:rsidRPr="004776B9">
        <w:rPr>
          <w:rFonts w:cstheme="minorHAnsi"/>
          <w:bCs/>
          <w:color w:val="0000CC"/>
        </w:rPr>
        <w:t>Epidemiol</w:t>
      </w:r>
      <w:proofErr w:type="spellEnd"/>
      <w:r w:rsidRPr="004776B9">
        <w:rPr>
          <w:rFonts w:cstheme="minorHAnsi"/>
          <w:bCs/>
          <w:color w:val="0000CC"/>
        </w:rPr>
        <w:t>. 36(5):466-74.)</w:t>
      </w:r>
    </w:p>
    <w:p w:rsidR="00C734F9" w:rsidRDefault="00C734F9" w:rsidP="00416EB9">
      <w:pPr>
        <w:autoSpaceDE w:val="0"/>
        <w:autoSpaceDN w:val="0"/>
        <w:adjustRightInd w:val="0"/>
        <w:spacing w:after="0" w:line="240" w:lineRule="auto"/>
        <w:rPr>
          <w:rFonts w:cstheme="minorHAnsi"/>
          <w:b/>
          <w:bCs/>
          <w:color w:val="0000CC"/>
        </w:rPr>
      </w:pPr>
    </w:p>
    <w:p w:rsidR="00C734F9" w:rsidRPr="002E2732" w:rsidRDefault="00C734F9" w:rsidP="00C734F9">
      <w:pPr>
        <w:autoSpaceDE w:val="0"/>
        <w:autoSpaceDN w:val="0"/>
        <w:adjustRightInd w:val="0"/>
        <w:spacing w:after="0" w:line="240" w:lineRule="auto"/>
        <w:rPr>
          <w:rFonts w:cstheme="minorHAnsi"/>
          <w:b/>
          <w:bCs/>
          <w:color w:val="0000CC"/>
        </w:rPr>
      </w:pPr>
      <w:r>
        <w:rPr>
          <w:rFonts w:cstheme="minorHAnsi"/>
          <w:b/>
          <w:bCs/>
          <w:color w:val="0000CC"/>
        </w:rPr>
        <w:t>2</w:t>
      </w:r>
      <w:r w:rsidRPr="002E2732">
        <w:rPr>
          <w:rFonts w:cstheme="minorHAnsi"/>
          <w:b/>
          <w:bCs/>
          <w:color w:val="0000CC"/>
        </w:rPr>
        <w:t>.  FACE VALIDITY</w:t>
      </w:r>
    </w:p>
    <w:p w:rsidR="00C734F9" w:rsidRPr="004776B9" w:rsidRDefault="00C734F9" w:rsidP="00C734F9">
      <w:pPr>
        <w:autoSpaceDE w:val="0"/>
        <w:autoSpaceDN w:val="0"/>
        <w:adjustRightInd w:val="0"/>
        <w:spacing w:after="0" w:line="240" w:lineRule="auto"/>
        <w:rPr>
          <w:rFonts w:cstheme="minorHAnsi"/>
          <w:bCs/>
          <w:color w:val="0000CC"/>
        </w:rPr>
      </w:pPr>
      <w:r w:rsidRPr="004776B9">
        <w:rPr>
          <w:rFonts w:cstheme="minorHAnsi"/>
          <w:b/>
          <w:bCs/>
          <w:color w:val="0000CC"/>
          <w:u w:val="single"/>
        </w:rPr>
        <w:t>Sealants on a Permanent Molar Tooth</w:t>
      </w:r>
      <w:r w:rsidRPr="004776B9">
        <w:rPr>
          <w:rFonts w:cstheme="minorHAnsi"/>
          <w:bCs/>
          <w:color w:val="0000CC"/>
        </w:rPr>
        <w:t xml:space="preserve"> was identified through the Delphi rating process as a high-scoring measure concept with a mean importance score of 7, mean feasibility score of 8, and mean validity score of 7, all out of a 9-point scale.  </w:t>
      </w:r>
      <w:proofErr w:type="gramStart"/>
      <w:r w:rsidRPr="004776B9">
        <w:rPr>
          <w:rFonts w:cstheme="minorHAnsi"/>
          <w:bCs/>
          <w:color w:val="0000CC"/>
        </w:rPr>
        <w:t>[Rating of 1-3: not scientifically sound and invalid; 4-6 – uncertain scientific soundness and uncertain validity; 7-9 – scientifically sound and valid.]</w:t>
      </w:r>
      <w:proofErr w:type="gramEnd"/>
      <w:r w:rsidRPr="004776B9">
        <w:rPr>
          <w:rFonts w:cstheme="minorHAnsi"/>
          <w:bCs/>
          <w:color w:val="0000CC"/>
        </w:rPr>
        <w:t xml:space="preserve">  Thus, the measure has face validity.  However, gaps were identified with existing measures, </w:t>
      </w:r>
      <w:proofErr w:type="gramStart"/>
      <w:r w:rsidRPr="004776B9">
        <w:rPr>
          <w:rFonts w:cstheme="minorHAnsi"/>
          <w:bCs/>
          <w:color w:val="0000CC"/>
        </w:rPr>
        <w:t>including  not</w:t>
      </w:r>
      <w:proofErr w:type="gramEnd"/>
      <w:r w:rsidRPr="004776B9">
        <w:rPr>
          <w:rFonts w:cstheme="minorHAnsi"/>
          <w:bCs/>
          <w:color w:val="0000CC"/>
        </w:rPr>
        <w:t xml:space="preserve"> associating tooth type and age range, lack of clear specifications, and lack of standardization.  The proposed measure overcomes these limitations.</w:t>
      </w:r>
    </w:p>
    <w:p w:rsidR="00C734F9" w:rsidRPr="004776B9" w:rsidRDefault="00C734F9" w:rsidP="00C734F9">
      <w:pPr>
        <w:autoSpaceDE w:val="0"/>
        <w:autoSpaceDN w:val="0"/>
        <w:adjustRightInd w:val="0"/>
        <w:spacing w:after="0" w:line="240" w:lineRule="auto"/>
        <w:rPr>
          <w:rFonts w:cstheme="minorHAnsi"/>
          <w:bCs/>
          <w:color w:val="0000CC"/>
        </w:rPr>
      </w:pPr>
    </w:p>
    <w:p w:rsidR="00C734F9" w:rsidRPr="004776B9" w:rsidRDefault="00C734F9" w:rsidP="00C734F9">
      <w:pPr>
        <w:autoSpaceDE w:val="0"/>
        <w:autoSpaceDN w:val="0"/>
        <w:adjustRightInd w:val="0"/>
        <w:spacing w:after="0" w:line="240" w:lineRule="auto"/>
        <w:rPr>
          <w:rFonts w:cstheme="minorHAnsi"/>
          <w:bCs/>
          <w:color w:val="0000CC"/>
        </w:rPr>
      </w:pPr>
      <w:proofErr w:type="gramStart"/>
      <w:r w:rsidRPr="004776B9">
        <w:rPr>
          <w:rFonts w:cstheme="minorHAnsi"/>
          <w:b/>
          <w:bCs/>
          <w:color w:val="0000CC"/>
          <w:u w:val="single"/>
        </w:rPr>
        <w:t>Content Validity.</w:t>
      </w:r>
      <w:proofErr w:type="gramEnd"/>
      <w:r w:rsidRPr="004776B9">
        <w:rPr>
          <w:rFonts w:cstheme="minorHAnsi"/>
          <w:b/>
          <w:bCs/>
          <w:color w:val="0000CC"/>
          <w:u w:val="single"/>
        </w:rPr>
        <w:t xml:space="preserve">  </w:t>
      </w:r>
      <w:r w:rsidRPr="004776B9">
        <w:rPr>
          <w:rFonts w:cstheme="minorHAnsi"/>
          <w:bCs/>
          <w:color w:val="0000CC"/>
        </w:rPr>
        <w:t xml:space="preserve">In addition, the measure also demonstrates </w:t>
      </w:r>
      <w:r w:rsidRPr="004776B9">
        <w:rPr>
          <w:rFonts w:cstheme="minorHAnsi"/>
          <w:b/>
          <w:bCs/>
          <w:color w:val="0000CC"/>
        </w:rPr>
        <w:t xml:space="preserve">content validity </w:t>
      </w:r>
      <w:r w:rsidRPr="004776B9">
        <w:rPr>
          <w:rFonts w:cstheme="minorHAnsi"/>
          <w:bCs/>
          <w:color w:val="0000CC"/>
        </w:rPr>
        <w:t xml:space="preserve">– the extent to which the measure specifications reflect the intended domain of care.  </w:t>
      </w:r>
      <w:r w:rsidRPr="004776B9">
        <w:rPr>
          <w:color w:val="0000CC"/>
        </w:rPr>
        <w:t xml:space="preserve">This measure directly reflects evidence-based guidelines regarding an effective caries prevention measure (sealants) as well as the specific tooth type for which the evidence is the strongest (permanent molar) and the timing of sealant placement to maximize effectiveness (shortly after eruption – </w:t>
      </w:r>
      <w:r>
        <w:rPr>
          <w:color w:val="0000CC"/>
        </w:rPr>
        <w:t>10-14</w:t>
      </w:r>
      <w:r w:rsidRPr="004776B9">
        <w:rPr>
          <w:color w:val="0000CC"/>
        </w:rPr>
        <w:t xml:space="preserve"> years of age for permanent </w:t>
      </w:r>
      <w:r>
        <w:rPr>
          <w:color w:val="0000CC"/>
        </w:rPr>
        <w:t>second</w:t>
      </w:r>
      <w:r w:rsidRPr="004776B9">
        <w:rPr>
          <w:color w:val="0000CC"/>
        </w:rPr>
        <w:t xml:space="preserve"> molars).  Please see the Measure Evidence Form for more details.</w:t>
      </w:r>
    </w:p>
    <w:p w:rsidR="00AB1CA7" w:rsidRPr="002E2732" w:rsidRDefault="00AB1CA7" w:rsidP="00416EB9">
      <w:pPr>
        <w:autoSpaceDE w:val="0"/>
        <w:autoSpaceDN w:val="0"/>
        <w:adjustRightInd w:val="0"/>
        <w:spacing w:after="0" w:line="240" w:lineRule="auto"/>
        <w:rPr>
          <w:rFonts w:cstheme="minorHAnsi"/>
          <w:bCs/>
          <w:color w:val="0000CC"/>
        </w:rPr>
      </w:pPr>
    </w:p>
    <w:p w:rsidR="00703A90" w:rsidRPr="002E2732" w:rsidRDefault="00703A90" w:rsidP="00703A90">
      <w:pPr>
        <w:autoSpaceDE w:val="0"/>
        <w:autoSpaceDN w:val="0"/>
        <w:adjustRightInd w:val="0"/>
        <w:spacing w:after="0" w:line="240" w:lineRule="auto"/>
        <w:rPr>
          <w:rFonts w:cstheme="minorHAnsi"/>
          <w:b/>
          <w:bCs/>
          <w:color w:val="0000CC"/>
        </w:rPr>
      </w:pPr>
      <w:r w:rsidRPr="002E2732">
        <w:rPr>
          <w:rFonts w:cstheme="minorHAnsi"/>
          <w:b/>
          <w:bCs/>
          <w:color w:val="0000CC"/>
        </w:rPr>
        <w:t xml:space="preserve">3.  ADDITIONAL VALIDITY </w:t>
      </w:r>
      <w:proofErr w:type="gramStart"/>
      <w:r w:rsidRPr="002E2732">
        <w:rPr>
          <w:rFonts w:cstheme="minorHAnsi"/>
          <w:b/>
          <w:bCs/>
          <w:color w:val="0000CC"/>
        </w:rPr>
        <w:t>TESTING  -</w:t>
      </w:r>
      <w:proofErr w:type="gramEnd"/>
      <w:r w:rsidRPr="002E2732">
        <w:rPr>
          <w:rFonts w:cstheme="minorHAnsi"/>
          <w:b/>
          <w:bCs/>
          <w:color w:val="0000CC"/>
        </w:rPr>
        <w:t xml:space="preserve"> RELEVANCE OF TOOTH NUMBER</w:t>
      </w:r>
    </w:p>
    <w:p w:rsidR="00703A90" w:rsidRPr="002E2732" w:rsidRDefault="00487968" w:rsidP="00703A90">
      <w:pPr>
        <w:autoSpaceDE w:val="0"/>
        <w:autoSpaceDN w:val="0"/>
        <w:adjustRightInd w:val="0"/>
        <w:spacing w:after="0" w:line="240" w:lineRule="auto"/>
        <w:rPr>
          <w:rFonts w:cstheme="minorHAnsi"/>
          <w:bCs/>
          <w:color w:val="0000CC"/>
        </w:rPr>
      </w:pPr>
      <w:r w:rsidRPr="002E2732">
        <w:rPr>
          <w:rFonts w:cstheme="minorHAnsi"/>
          <w:bCs/>
          <w:color w:val="0000CC"/>
        </w:rPr>
        <w:t xml:space="preserve">Analysis of sealant placement by tooth type and age range </w:t>
      </w:r>
      <w:r w:rsidR="00703A90" w:rsidRPr="002E2732">
        <w:rPr>
          <w:rFonts w:cstheme="minorHAnsi"/>
          <w:bCs/>
          <w:color w:val="0000CC"/>
        </w:rPr>
        <w:t xml:space="preserve">validated the importance of including </w:t>
      </w:r>
      <w:r w:rsidRPr="002E2732">
        <w:rPr>
          <w:rFonts w:cstheme="minorHAnsi"/>
          <w:bCs/>
          <w:color w:val="0000CC"/>
        </w:rPr>
        <w:t xml:space="preserve">specific </w:t>
      </w:r>
      <w:r w:rsidR="00703A90" w:rsidRPr="002E2732">
        <w:rPr>
          <w:rFonts w:cstheme="minorHAnsi"/>
          <w:bCs/>
          <w:color w:val="0000CC"/>
        </w:rPr>
        <w:t xml:space="preserve">teeth numbers in the measure specifications to identify permanent first molars and permanent second molars </w:t>
      </w:r>
      <w:r w:rsidRPr="002E2732">
        <w:rPr>
          <w:rFonts w:cstheme="minorHAnsi"/>
          <w:bCs/>
          <w:color w:val="0000CC"/>
        </w:rPr>
        <w:t xml:space="preserve">and associating those tooth numbers </w:t>
      </w:r>
      <w:r w:rsidR="00703A90" w:rsidRPr="002E2732">
        <w:rPr>
          <w:rFonts w:cstheme="minorHAnsi"/>
          <w:bCs/>
          <w:color w:val="0000CC"/>
        </w:rPr>
        <w:t>with the corresponding appropriate age ranges (6-9 years and 10-14 years</w:t>
      </w:r>
      <w:r w:rsidRPr="002E2732">
        <w:rPr>
          <w:rFonts w:cstheme="minorHAnsi"/>
          <w:bCs/>
          <w:color w:val="0000CC"/>
        </w:rPr>
        <w:t>, respectively</w:t>
      </w:r>
      <w:r w:rsidR="00703A90" w:rsidRPr="002E2732">
        <w:rPr>
          <w:rFonts w:cstheme="minorHAnsi"/>
          <w:bCs/>
          <w:color w:val="0000CC"/>
        </w:rPr>
        <w:t xml:space="preserve">) in order to have reliable indicators of whether children are getting recommended and timely prevention.  </w:t>
      </w:r>
      <w:r w:rsidRPr="002E2732">
        <w:rPr>
          <w:rFonts w:cstheme="minorHAnsi"/>
          <w:bCs/>
          <w:color w:val="0000CC"/>
        </w:rPr>
        <w:t xml:space="preserve"> Table 2b2.3-3 indicates the percentage of children in each of three programs who had (1) a sealant placed on any tooth, (2) a sealant placed on a permanent first molar, and (3) a sealant placed on a permanent second molar; the same child could be included in more than one category.  </w:t>
      </w:r>
      <w:r w:rsidR="00B823F1">
        <w:rPr>
          <w:rFonts w:cstheme="minorHAnsi"/>
          <w:bCs/>
          <w:color w:val="0000CC"/>
        </w:rPr>
        <w:t xml:space="preserve">In all programs, the percentage of children with “any sealants” is greater than the percentage of children with sealants specifically on permanent second molars.  Children in this age group may receive sealants </w:t>
      </w:r>
      <w:r w:rsidR="003224F2">
        <w:rPr>
          <w:rFonts w:cstheme="minorHAnsi"/>
          <w:bCs/>
          <w:color w:val="0000CC"/>
        </w:rPr>
        <w:t xml:space="preserve">or replacement sealants </w:t>
      </w:r>
      <w:r w:rsidR="00B823F1">
        <w:rPr>
          <w:rFonts w:cstheme="minorHAnsi"/>
          <w:bCs/>
          <w:color w:val="0000CC"/>
        </w:rPr>
        <w:t>on premolars or permanent first molars, which confounds findings about whether permanent second mol</w:t>
      </w:r>
      <w:r w:rsidR="00373273">
        <w:rPr>
          <w:rFonts w:cstheme="minorHAnsi"/>
          <w:bCs/>
          <w:color w:val="0000CC"/>
        </w:rPr>
        <w:t>a</w:t>
      </w:r>
      <w:r w:rsidR="00B823F1">
        <w:rPr>
          <w:rFonts w:cstheme="minorHAnsi"/>
          <w:bCs/>
          <w:color w:val="0000CC"/>
        </w:rPr>
        <w:t xml:space="preserve">rs are being sealed when the tooth type is not identified in the measure specifications.   </w:t>
      </w:r>
      <w:r w:rsidR="00373273">
        <w:rPr>
          <w:rFonts w:cstheme="minorHAnsi"/>
          <w:bCs/>
          <w:color w:val="0000CC"/>
        </w:rPr>
        <w:t xml:space="preserve">The differences between the percentage of children with “any sealants” and those with sealants on permanent second molars are most dramatic for Program </w:t>
      </w:r>
      <w:r w:rsidR="00C734F9">
        <w:rPr>
          <w:rFonts w:cstheme="minorHAnsi"/>
          <w:bCs/>
          <w:color w:val="0000CC"/>
        </w:rPr>
        <w:t>1</w:t>
      </w:r>
      <w:r w:rsidR="00373273">
        <w:rPr>
          <w:rFonts w:cstheme="minorHAnsi"/>
          <w:bCs/>
          <w:color w:val="0000CC"/>
        </w:rPr>
        <w:t xml:space="preserve"> compared to Programs </w:t>
      </w:r>
      <w:r w:rsidR="00C734F9">
        <w:rPr>
          <w:rFonts w:cstheme="minorHAnsi"/>
          <w:bCs/>
          <w:color w:val="0000CC"/>
        </w:rPr>
        <w:t>3</w:t>
      </w:r>
      <w:r w:rsidR="00373273">
        <w:rPr>
          <w:rFonts w:cstheme="minorHAnsi"/>
          <w:bCs/>
          <w:color w:val="0000CC"/>
        </w:rPr>
        <w:t xml:space="preserve"> and </w:t>
      </w:r>
      <w:r w:rsidR="00C734F9">
        <w:rPr>
          <w:rFonts w:cstheme="minorHAnsi"/>
          <w:bCs/>
          <w:color w:val="0000CC"/>
        </w:rPr>
        <w:t>4</w:t>
      </w:r>
      <w:r w:rsidR="00373273">
        <w:rPr>
          <w:rFonts w:cstheme="minorHAnsi"/>
          <w:bCs/>
          <w:color w:val="0000CC"/>
        </w:rPr>
        <w:t xml:space="preserve"> due to </w:t>
      </w:r>
      <w:r w:rsidRPr="002E2732">
        <w:rPr>
          <w:rFonts w:cstheme="minorHAnsi"/>
          <w:bCs/>
          <w:color w:val="0000CC"/>
        </w:rPr>
        <w:t xml:space="preserve">differences in benefit coverage between the programs; Program </w:t>
      </w:r>
      <w:r w:rsidR="00C734F9">
        <w:rPr>
          <w:rFonts w:cstheme="minorHAnsi"/>
          <w:bCs/>
          <w:color w:val="0000CC"/>
        </w:rPr>
        <w:t>1</w:t>
      </w:r>
      <w:r w:rsidRPr="002E2732">
        <w:rPr>
          <w:rFonts w:cstheme="minorHAnsi"/>
          <w:bCs/>
          <w:color w:val="0000CC"/>
        </w:rPr>
        <w:t xml:space="preserve"> did not condition reimbursement for sealants on tooth type.  These results</w:t>
      </w:r>
      <w:r w:rsidR="00703A90" w:rsidRPr="002E2732">
        <w:rPr>
          <w:rFonts w:cstheme="minorHAnsi"/>
          <w:bCs/>
          <w:color w:val="0000CC"/>
        </w:rPr>
        <w:t xml:space="preserve"> </w:t>
      </w:r>
      <w:r w:rsidRPr="002E2732">
        <w:rPr>
          <w:rFonts w:cstheme="minorHAnsi"/>
          <w:bCs/>
          <w:color w:val="0000CC"/>
        </w:rPr>
        <w:t>indicate</w:t>
      </w:r>
      <w:r w:rsidR="00703A90" w:rsidRPr="002E2732">
        <w:rPr>
          <w:rFonts w:cstheme="minorHAnsi"/>
          <w:bCs/>
          <w:color w:val="0000CC"/>
        </w:rPr>
        <w:t xml:space="preserve"> that </w:t>
      </w:r>
      <w:r w:rsidRPr="002E2732">
        <w:rPr>
          <w:rFonts w:cstheme="minorHAnsi"/>
          <w:bCs/>
          <w:color w:val="0000CC"/>
        </w:rPr>
        <w:t xml:space="preserve">children ages </w:t>
      </w:r>
      <w:r w:rsidR="00373273">
        <w:rPr>
          <w:rFonts w:cstheme="minorHAnsi"/>
          <w:bCs/>
          <w:color w:val="0000CC"/>
        </w:rPr>
        <w:t xml:space="preserve">10-14 </w:t>
      </w:r>
      <w:r w:rsidRPr="002E2732">
        <w:rPr>
          <w:rFonts w:cstheme="minorHAnsi"/>
          <w:bCs/>
          <w:color w:val="0000CC"/>
        </w:rPr>
        <w:t>years</w:t>
      </w:r>
      <w:r w:rsidR="00703A90" w:rsidRPr="002E2732">
        <w:rPr>
          <w:rFonts w:cstheme="minorHAnsi"/>
          <w:bCs/>
          <w:color w:val="0000CC"/>
        </w:rPr>
        <w:t xml:space="preserve"> may have </w:t>
      </w:r>
      <w:r w:rsidRPr="002E2732">
        <w:rPr>
          <w:rFonts w:cstheme="minorHAnsi"/>
          <w:bCs/>
          <w:color w:val="0000CC"/>
        </w:rPr>
        <w:t xml:space="preserve">teeth other than permanent </w:t>
      </w:r>
      <w:r w:rsidR="003224F2">
        <w:rPr>
          <w:rFonts w:cstheme="minorHAnsi"/>
          <w:bCs/>
          <w:color w:val="0000CC"/>
        </w:rPr>
        <w:t>second</w:t>
      </w:r>
      <w:r w:rsidRPr="002E2732">
        <w:rPr>
          <w:rFonts w:cstheme="minorHAnsi"/>
          <w:bCs/>
          <w:color w:val="0000CC"/>
        </w:rPr>
        <w:t xml:space="preserve"> molars </w:t>
      </w:r>
      <w:r w:rsidR="00703A90" w:rsidRPr="002E2732">
        <w:rPr>
          <w:rFonts w:cstheme="minorHAnsi"/>
          <w:bCs/>
          <w:color w:val="0000CC"/>
        </w:rPr>
        <w:t>sealed that would get captured in the numerator</w:t>
      </w:r>
      <w:r w:rsidRPr="002E2732">
        <w:rPr>
          <w:rFonts w:cstheme="minorHAnsi"/>
          <w:bCs/>
          <w:color w:val="0000CC"/>
        </w:rPr>
        <w:t xml:space="preserve"> and inflate the measure score</w:t>
      </w:r>
      <w:r w:rsidR="00703A90" w:rsidRPr="002E2732">
        <w:rPr>
          <w:rFonts w:cstheme="minorHAnsi"/>
          <w:bCs/>
          <w:color w:val="0000CC"/>
        </w:rPr>
        <w:t xml:space="preserve"> if </w:t>
      </w:r>
      <w:r w:rsidR="00373273">
        <w:rPr>
          <w:rFonts w:cstheme="minorHAnsi"/>
          <w:bCs/>
          <w:color w:val="0000CC"/>
        </w:rPr>
        <w:t xml:space="preserve">the type of tooth is not specified, resulting in misleading </w:t>
      </w:r>
      <w:r w:rsidRPr="002E2732">
        <w:rPr>
          <w:rFonts w:cstheme="minorHAnsi"/>
          <w:bCs/>
          <w:color w:val="0000CC"/>
        </w:rPr>
        <w:t>comparisons of performance between programs</w:t>
      </w:r>
      <w:r w:rsidR="00703A90" w:rsidRPr="002E2732">
        <w:rPr>
          <w:rFonts w:cstheme="minorHAnsi"/>
          <w:bCs/>
          <w:color w:val="0000CC"/>
        </w:rPr>
        <w:t xml:space="preserve">.   Thus, the </w:t>
      </w:r>
      <w:r w:rsidRPr="002E2732">
        <w:rPr>
          <w:rFonts w:cstheme="minorHAnsi"/>
          <w:bCs/>
          <w:color w:val="0000CC"/>
        </w:rPr>
        <w:t>research team</w:t>
      </w:r>
      <w:r w:rsidR="00703A90" w:rsidRPr="002E2732">
        <w:rPr>
          <w:rFonts w:cstheme="minorHAnsi"/>
          <w:bCs/>
          <w:color w:val="0000CC"/>
        </w:rPr>
        <w:t xml:space="preserve"> concluded that the incorporation of teeth numbers in the DQA specifications is a significant and important improvement over existing sealant measures that have lacked this specificity.  </w:t>
      </w:r>
    </w:p>
    <w:p w:rsidR="00373273" w:rsidRDefault="00373273" w:rsidP="00487968">
      <w:pPr>
        <w:autoSpaceDE w:val="0"/>
        <w:autoSpaceDN w:val="0"/>
        <w:adjustRightInd w:val="0"/>
        <w:spacing w:after="0" w:line="240" w:lineRule="auto"/>
        <w:rPr>
          <w:rFonts w:cstheme="minorHAnsi"/>
          <w:b/>
          <w:bCs/>
          <w:color w:val="0000CC"/>
        </w:rPr>
      </w:pPr>
    </w:p>
    <w:p w:rsidR="00C734F9" w:rsidRDefault="00C734F9">
      <w:pPr>
        <w:rPr>
          <w:rFonts w:cstheme="minorHAnsi"/>
          <w:b/>
          <w:bCs/>
          <w:color w:val="0000CC"/>
        </w:rPr>
      </w:pPr>
      <w:r>
        <w:rPr>
          <w:rFonts w:cstheme="minorHAnsi"/>
          <w:b/>
          <w:bCs/>
          <w:color w:val="0000CC"/>
        </w:rPr>
        <w:br w:type="page"/>
      </w:r>
    </w:p>
    <w:p w:rsidR="00487968" w:rsidRPr="002E2732" w:rsidRDefault="00487968" w:rsidP="00487968">
      <w:pPr>
        <w:autoSpaceDE w:val="0"/>
        <w:autoSpaceDN w:val="0"/>
        <w:adjustRightInd w:val="0"/>
        <w:spacing w:after="0" w:line="240" w:lineRule="auto"/>
        <w:rPr>
          <w:rFonts w:cstheme="minorHAnsi"/>
          <w:bCs/>
          <w:color w:val="0000CC"/>
        </w:rPr>
      </w:pPr>
      <w:r w:rsidRPr="002E2732">
        <w:rPr>
          <w:rFonts w:cstheme="minorHAnsi"/>
          <w:b/>
          <w:bCs/>
          <w:color w:val="0000CC"/>
        </w:rPr>
        <w:lastRenderedPageBreak/>
        <w:t>Table 2b2.3-3 Sealant Placement by Age and Tooth Type</w:t>
      </w:r>
    </w:p>
    <w:p w:rsidR="00703A90" w:rsidRPr="00092566" w:rsidRDefault="00C734F9" w:rsidP="00092566">
      <w:pPr>
        <w:autoSpaceDE w:val="0"/>
        <w:autoSpaceDN w:val="0"/>
        <w:adjustRightInd w:val="0"/>
        <w:spacing w:after="0" w:line="240" w:lineRule="auto"/>
        <w:rPr>
          <w:rFonts w:cstheme="minorHAnsi"/>
          <w:bCs/>
        </w:rPr>
      </w:pPr>
      <w:r w:rsidRPr="00C734F9">
        <w:rPr>
          <w:rFonts w:cstheme="minorHAnsi"/>
          <w:bCs/>
          <w:noProof/>
        </w:rPr>
        <w:drawing>
          <wp:inline distT="0" distB="0" distL="0" distR="0" wp14:anchorId="02C4360F" wp14:editId="3C5A7CB2">
            <wp:extent cx="5943600" cy="2318482"/>
            <wp:effectExtent l="19050" t="19050" r="19050" b="24668"/>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5943600" cy="2318482"/>
                    </a:xfrm>
                    <a:prstGeom prst="rect">
                      <a:avLst/>
                    </a:prstGeom>
                    <a:noFill/>
                    <a:ln w="9525">
                      <a:solidFill>
                        <a:schemeClr val="tx1"/>
                      </a:solidFill>
                      <a:miter lim="800000"/>
                      <a:headEnd/>
                      <a:tailEnd/>
                    </a:ln>
                  </pic:spPr>
                </pic:pic>
              </a:graphicData>
            </a:graphic>
          </wp:inline>
        </w:drawing>
      </w:r>
    </w:p>
    <w:p w:rsidR="00487968" w:rsidRDefault="00487968" w:rsidP="00DB3627">
      <w:pPr>
        <w:autoSpaceDE w:val="0"/>
        <w:autoSpaceDN w:val="0"/>
        <w:adjustRightInd w:val="0"/>
        <w:spacing w:after="0" w:line="240" w:lineRule="auto"/>
        <w:rPr>
          <w:rFonts w:cstheme="minorHAnsi"/>
          <w:b/>
          <w:bCs/>
        </w:rPr>
      </w:pPr>
    </w:p>
    <w:p w:rsidR="007422FD" w:rsidRPr="002E2732" w:rsidRDefault="00092566" w:rsidP="00DB3627">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16EB9" w:rsidRPr="002E2732">
        <w:rPr>
          <w:rFonts w:cstheme="minorHAnsi"/>
          <w:bCs/>
          <w:color w:val="0000CC"/>
        </w:rPr>
        <w:t xml:space="preserve">As noted above, the overall agreement between the administrative claims data and dental record data was high based on both simple agreement and using the more conservative Kappa statistic.  </w:t>
      </w:r>
      <w:r w:rsidR="00C734F9" w:rsidRPr="004776B9">
        <w:rPr>
          <w:rFonts w:cstheme="minorHAnsi"/>
          <w:bCs/>
          <w:color w:val="0000CC"/>
        </w:rPr>
        <w:t xml:space="preserve">Although the agreement for the specific tooth type was not as strong as for sealant application in general, it was still “substantial,” and we believe that data concordance will improve with increasing accountability as is often the case when new performance measures are implemented.  </w:t>
      </w:r>
      <w:r w:rsidR="00D32108" w:rsidRPr="004776B9">
        <w:rPr>
          <w:rFonts w:cstheme="minorHAnsi"/>
          <w:bCs/>
          <w:color w:val="0000CC"/>
        </w:rPr>
        <w:t>Overall, we interpret these findings as evidence that validates the accuracy of administrative claims data for performance measurement purposes.  These empirical findings, combined with our face validity assessments of the measure score, lead us to conclude that both the data elements and the measure score represent valid measures of sealant placement prevalence among</w:t>
      </w:r>
      <w:r w:rsidR="004F1ED1" w:rsidRPr="002E2732">
        <w:rPr>
          <w:rFonts w:cstheme="minorHAnsi"/>
          <w:bCs/>
          <w:color w:val="0000CC"/>
        </w:rPr>
        <w:t xml:space="preserve"> </w:t>
      </w:r>
      <w:r w:rsidR="00373273">
        <w:rPr>
          <w:rFonts w:cstheme="minorHAnsi"/>
          <w:bCs/>
          <w:color w:val="0000CC"/>
        </w:rPr>
        <w:t>10</w:t>
      </w:r>
      <w:r w:rsidR="004F1ED1" w:rsidRPr="002E2732">
        <w:rPr>
          <w:rFonts w:cstheme="minorHAnsi"/>
          <w:bCs/>
          <w:color w:val="0000CC"/>
        </w:rPr>
        <w:t>-</w:t>
      </w:r>
      <w:r w:rsidR="00373273">
        <w:rPr>
          <w:rFonts w:cstheme="minorHAnsi"/>
          <w:bCs/>
          <w:color w:val="0000CC"/>
        </w:rPr>
        <w:t>14</w:t>
      </w:r>
      <w:r w:rsidR="004F1ED1" w:rsidRPr="002E2732">
        <w:rPr>
          <w:rFonts w:cstheme="minorHAnsi"/>
          <w:bCs/>
          <w:color w:val="0000CC"/>
        </w:rPr>
        <w:t xml:space="preserve"> year olds.  In addition, our testing indicated that the incorporation of tooth number as part of the measure specifications was important for ensuring that the measure captures sealant placement on the tooth type (permanent </w:t>
      </w:r>
      <w:r w:rsidR="00373273">
        <w:rPr>
          <w:rFonts w:cstheme="minorHAnsi"/>
          <w:bCs/>
          <w:color w:val="0000CC"/>
        </w:rPr>
        <w:t>second</w:t>
      </w:r>
      <w:r w:rsidR="004F1ED1" w:rsidRPr="002E2732">
        <w:rPr>
          <w:rFonts w:cstheme="minorHAnsi"/>
          <w:bCs/>
          <w:color w:val="0000CC"/>
        </w:rPr>
        <w:t xml:space="preserve"> molars) for which there is the strongest evidence of effectiveness</w:t>
      </w:r>
      <w:r w:rsidR="00F71DB2" w:rsidRPr="002E2732">
        <w:rPr>
          <w:rFonts w:cstheme="minorHAnsi"/>
          <w:bCs/>
          <w:color w:val="0000CC"/>
        </w:rPr>
        <w:t xml:space="preserve"> among this age group</w:t>
      </w:r>
      <w:r w:rsidR="004F1ED1" w:rsidRPr="002E2732">
        <w:rPr>
          <w:rFonts w:cstheme="minorHAnsi"/>
          <w:bCs/>
          <w:color w:val="0000CC"/>
        </w:rPr>
        <w:t xml:space="preserve">.  </w:t>
      </w:r>
    </w:p>
    <w:p w:rsidR="008A403A" w:rsidRPr="006400CF" w:rsidRDefault="00483E94" w:rsidP="00DB3627">
      <w:pPr>
        <w:autoSpaceDE w:val="0"/>
        <w:autoSpaceDN w:val="0"/>
        <w:adjustRightInd w:val="0"/>
        <w:spacing w:after="0" w:line="240" w:lineRule="auto"/>
        <w:rPr>
          <w:rFonts w:cstheme="minorHAnsi"/>
          <w:bCs/>
          <w:color w:val="FF0000"/>
        </w:rPr>
      </w:pPr>
      <w:r w:rsidRPr="006400CF">
        <w:rPr>
          <w:rFonts w:cstheme="minorHAnsi"/>
          <w:bCs/>
          <w:color w:val="FF0000"/>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416EB9" w:rsidRPr="00416EB9" w:rsidRDefault="00416EB9" w:rsidP="00DB3627">
      <w:pPr>
        <w:autoSpaceDE w:val="0"/>
        <w:autoSpaceDN w:val="0"/>
        <w:adjustRightInd w:val="0"/>
        <w:spacing w:after="0" w:line="240" w:lineRule="auto"/>
        <w:rPr>
          <w:rFonts w:cstheme="minorHAnsi"/>
          <w:bCs/>
          <w:color w:val="0000CC"/>
        </w:rPr>
      </w:pPr>
      <w:r w:rsidRPr="00416EB9">
        <w:rPr>
          <w:rFonts w:cstheme="minorHAnsi"/>
          <w:bCs/>
          <w:color w:val="0000CC"/>
        </w:rPr>
        <w:t>The only exclusions were those that are standard exclusions in any measure reporting: children who do not qualify for dental benefits under their coverage were not included because this measure is intended only for children with dental coverage.  For example,</w:t>
      </w:r>
      <w:r w:rsidR="00F9714C">
        <w:rPr>
          <w:rFonts w:cstheme="minorHAnsi"/>
          <w:bCs/>
          <w:color w:val="0000CC"/>
        </w:rPr>
        <w:t xml:space="preserve"> individuals</w:t>
      </w:r>
      <w:r w:rsidRPr="00416EB9">
        <w:rPr>
          <w:rFonts w:cstheme="minorHAnsi"/>
          <w:bCs/>
          <w:color w:val="0000CC"/>
        </w:rPr>
        <w:t xml:space="preserve"> 0-20</w:t>
      </w:r>
      <w:r w:rsidR="00F9714C">
        <w:rPr>
          <w:rFonts w:cstheme="minorHAnsi"/>
          <w:bCs/>
          <w:color w:val="0000CC"/>
        </w:rPr>
        <w:t xml:space="preserve"> years</w:t>
      </w:r>
      <w:r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DB3627">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416EB9">
        <w:rPr>
          <w:rFonts w:cstheme="minorHAnsi"/>
          <w:bCs/>
          <w:color w:val="0000CC"/>
        </w:rPr>
        <w:t>Not applicable.</w:t>
      </w: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16EB9">
        <w:rPr>
          <w:rFonts w:cstheme="minorHAnsi"/>
          <w:bCs/>
          <w:color w:val="0000CC"/>
        </w:rPr>
        <w:t>Not applicable.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D32108" w:rsidRPr="002F458B" w:rsidRDefault="004130B2" w:rsidP="00D32108">
      <w:pPr>
        <w:autoSpaceDE w:val="0"/>
        <w:autoSpaceDN w:val="0"/>
        <w:adjustRightInd w:val="0"/>
        <w:spacing w:after="0" w:line="240" w:lineRule="auto"/>
        <w:rPr>
          <w:rFonts w:cstheme="minorHAnsi"/>
          <w:b/>
          <w:bCs/>
          <w:color w:val="0000CC"/>
        </w:rPr>
      </w:pPr>
      <w:sdt>
        <w:sdtPr>
          <w:rPr>
            <w:rFonts w:cstheme="minorHAnsi"/>
            <w:b/>
            <w:bCs/>
            <w:color w:val="0000CC"/>
          </w:rPr>
          <w:id w:val="-1450705013"/>
        </w:sdtPr>
        <w:sdtEndPr/>
        <w:sdtContent>
          <w:r w:rsidR="00D32108" w:rsidRPr="002F458B">
            <w:rPr>
              <w:rFonts w:ascii="MS Gothic" w:eastAsia="MS Gothic" w:hAnsi="MS Gothic" w:cstheme="minorHAnsi" w:hint="eastAsia"/>
              <w:b/>
              <w:bCs/>
              <w:color w:val="0000CC"/>
            </w:rPr>
            <w:t>☐</w:t>
          </w:r>
          <w:r w:rsidR="00D32108">
            <w:rPr>
              <w:rFonts w:ascii="MS Gothic" w:eastAsia="MS Gothic" w:hAnsi="MS Gothic" w:cstheme="minorHAnsi"/>
              <w:b/>
              <w:bCs/>
              <w:color w:val="0000CC"/>
            </w:rPr>
            <w:t>X</w:t>
          </w:r>
        </w:sdtContent>
      </w:sdt>
      <w:r w:rsidR="00D32108" w:rsidRPr="002F458B">
        <w:rPr>
          <w:rFonts w:eastAsia="MS Mincho" w:cstheme="minorHAnsi"/>
          <w:b/>
          <w:bCs/>
          <w:color w:val="0000CC"/>
        </w:rPr>
        <w:t xml:space="preserve"> </w:t>
      </w:r>
      <w:r w:rsidR="00D32108" w:rsidRPr="002F458B">
        <w:rPr>
          <w:rFonts w:cstheme="minorHAnsi"/>
          <w:b/>
          <w:bCs/>
          <w:color w:val="0000CC"/>
        </w:rPr>
        <w:t>No risk adjustment or stratification</w:t>
      </w:r>
    </w:p>
    <w:p w:rsidR="00743E46" w:rsidRPr="005232D6" w:rsidRDefault="004130B2"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4130B2"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4130B2"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416EB9" w:rsidRDefault="00416EB9"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6EB9">
        <w:rPr>
          <w:rFonts w:cstheme="minorHAnsi"/>
          <w:bCs/>
          <w:color w:val="0000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color w:val="0000CC"/>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D32108">
        <w:rPr>
          <w:rFonts w:cstheme="minorHAnsi"/>
          <w:bCs/>
          <w:color w:val="0000CC"/>
        </w:rPr>
        <w:t>Not applicable.</w:t>
      </w:r>
    </w:p>
    <w:p w:rsidR="00D32108" w:rsidRDefault="00D32108"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D32108">
        <w:rPr>
          <w:rFonts w:cstheme="minorHAnsi"/>
          <w:b/>
          <w:bCs/>
        </w:rPr>
        <w:t xml:space="preserve"> </w:t>
      </w:r>
      <w:r w:rsidR="00416EB9">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416EB9">
        <w:rPr>
          <w:rFonts w:cstheme="minorHAnsi"/>
          <w:bCs/>
          <w:color w:val="0000CC"/>
        </w:rPr>
        <w:t>Not applicable.</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32322">
        <w:rPr>
          <w:rFonts w:cstheme="minorHAnsi"/>
          <w:bCs/>
          <w:color w:val="0000CC"/>
        </w:rPr>
        <w:t>Not applicable.</w:t>
      </w:r>
    </w:p>
    <w:p w:rsidR="00D32108" w:rsidRDefault="00D32108"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32322">
        <w:rPr>
          <w:rFonts w:cstheme="minorHAnsi"/>
          <w:bCs/>
          <w:color w:val="0000CC"/>
        </w:rPr>
        <w:t>Not applicable.</w:t>
      </w:r>
    </w:p>
    <w:p w:rsidR="00D32108" w:rsidRDefault="00D32108"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D32108">
        <w:rPr>
          <w:rFonts w:cstheme="minorHAnsi"/>
          <w:bCs/>
        </w:rPr>
        <w:t xml:space="preserve"> </w:t>
      </w:r>
      <w:r w:rsidR="00D32322">
        <w:rPr>
          <w:rFonts w:cstheme="minorHAnsi"/>
          <w:bCs/>
          <w:color w:val="0000CC"/>
        </w:rPr>
        <w:t>Not applicable.</w:t>
      </w:r>
      <w:r w:rsidR="00092566" w:rsidRPr="00A25024">
        <w:rPr>
          <w:rFonts w:cstheme="minorHAnsi"/>
        </w:rPr>
        <w:br/>
      </w:r>
    </w:p>
    <w:p w:rsidR="00092566" w:rsidRDefault="00743E46" w:rsidP="00D32108">
      <w:pPr>
        <w:autoSpaceDE w:val="0"/>
        <w:autoSpaceDN w:val="0"/>
        <w:adjustRightInd w:val="0"/>
        <w:spacing w:after="0" w:line="240" w:lineRule="auto"/>
        <w:rPr>
          <w:rFonts w:cstheme="minorHAnsi"/>
          <w:bCs/>
          <w:color w:val="0000CC"/>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r w:rsidR="00D32322">
        <w:rPr>
          <w:rFonts w:cstheme="minorHAnsi"/>
          <w:bCs/>
          <w:color w:val="0000CC"/>
        </w:rPr>
        <w:t>Not applicable.</w:t>
      </w:r>
    </w:p>
    <w:p w:rsidR="00D32108" w:rsidRPr="00A25024" w:rsidRDefault="00D32108" w:rsidP="00D32108">
      <w:pPr>
        <w:autoSpaceDE w:val="0"/>
        <w:autoSpaceDN w:val="0"/>
        <w:adjustRightInd w:val="0"/>
        <w:spacing w:after="0" w:line="240" w:lineRule="auto"/>
        <w:rPr>
          <w:rFonts w:cstheme="minorHAnsi"/>
          <w:bCs/>
        </w:rPr>
      </w:pPr>
    </w:p>
    <w:p w:rsidR="00D32108" w:rsidRDefault="00D32108">
      <w:pPr>
        <w:rPr>
          <w:rFonts w:cstheme="minorHAnsi"/>
          <w:b/>
          <w:bCs/>
        </w:rPr>
      </w:pPr>
      <w:r>
        <w:rPr>
          <w:rFonts w:cstheme="minorHAnsi"/>
          <w:b/>
          <w:bCs/>
        </w:rPr>
        <w:br w:type="page"/>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32322">
        <w:rPr>
          <w:rFonts w:cstheme="minorHAnsi"/>
          <w:bCs/>
          <w:color w:val="0000CC"/>
        </w:rPr>
        <w:t>Not applicable.</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
          <w:bCs/>
        </w:rPr>
      </w:pPr>
      <w:r>
        <w:rPr>
          <w:rFonts w:cstheme="minorHAnsi"/>
          <w:bCs/>
          <w:color w:val="0000CC"/>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32108" w:rsidRPr="002F458B" w:rsidRDefault="00D61410" w:rsidP="00D32108">
      <w:pPr>
        <w:autoSpaceDE w:val="0"/>
        <w:autoSpaceDN w:val="0"/>
        <w:adjustRightInd w:val="0"/>
        <w:spacing w:after="0" w:line="240" w:lineRule="auto"/>
        <w:rPr>
          <w:rFonts w:ascii="Verdana" w:hAnsi="Verdana" w:cs="Trebuchet MS"/>
          <w:color w:val="0000CC"/>
          <w:sz w:val="19"/>
          <w:szCs w:val="19"/>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roofErr w:type="gramStart"/>
      <w:r w:rsidR="00D32108" w:rsidRPr="002F458B">
        <w:rPr>
          <w:rFonts w:cstheme="minorHAnsi"/>
          <w:bCs/>
          <w:color w:val="0000CC"/>
        </w:rPr>
        <w:t>This</w:t>
      </w:r>
      <w:proofErr w:type="gramEnd"/>
      <w:r w:rsidR="00D32108" w:rsidRPr="002F458B">
        <w:rPr>
          <w:rFonts w:cstheme="minorHAnsi"/>
          <w:bCs/>
          <w:color w:val="0000CC"/>
        </w:rPr>
        <w:t xml:space="preserve"> is a new measure.  </w:t>
      </w:r>
      <w:r w:rsidR="00D32108" w:rsidRPr="002F458B">
        <w:rPr>
          <w:rFonts w:ascii="Verdana" w:hAnsi="Verdana" w:cs="Trebuchet MS"/>
          <w:color w:val="0000CC"/>
          <w:sz w:val="19"/>
          <w:szCs w:val="19"/>
        </w:rPr>
        <w:t>As noted in 1b, there were variations in the measure scores across the five programs included in the testing.  For convenience we have included the performance score data from 1b below.  In addition to providing the 95% confidence intervals for each score, we used chi-square tests to analyze whether there were statistic</w:t>
      </w:r>
      <w:r w:rsidR="00D32108">
        <w:rPr>
          <w:rFonts w:ascii="Verdana" w:hAnsi="Verdana" w:cs="Trebuchet MS"/>
          <w:color w:val="0000CC"/>
          <w:sz w:val="19"/>
          <w:szCs w:val="19"/>
        </w:rPr>
        <w:t xml:space="preserve">ally significant differences </w:t>
      </w:r>
      <w:r w:rsidR="00D32108" w:rsidRPr="002F458B">
        <w:rPr>
          <w:rFonts w:ascii="Verdana" w:hAnsi="Verdana" w:cs="Trebuchet MS"/>
          <w:color w:val="0000CC"/>
          <w:sz w:val="19"/>
          <w:szCs w:val="19"/>
        </w:rPr>
        <w:t xml:space="preserve">between (1) the 4 programs with performance data for 2011, (2) the 5 programs with performance data for 2010, (3) the two dental MCOs in FL CHIP in CY 2010 and (4) the two dental MCOs in FL CHIP in CY 2011.  Because the measure score is the proportion of children who had a sealant, the dichotomous outcome of had/did not have a sealant can be used to conduct chi-square significance testing in order to evaluate whether there are statistically significant differences in the measure scores between programs and between plans.  </w:t>
      </w:r>
    </w:p>
    <w:p w:rsidR="00381420" w:rsidRPr="002E2732" w:rsidRDefault="00381420" w:rsidP="00381420">
      <w:pPr>
        <w:autoSpaceDE w:val="0"/>
        <w:autoSpaceDN w:val="0"/>
        <w:adjustRightInd w:val="0"/>
        <w:spacing w:after="0" w:line="240" w:lineRule="auto"/>
        <w:rPr>
          <w:rFonts w:ascii="Verdana" w:hAnsi="Verdana" w:cs="Trebuchet MS"/>
          <w:color w:val="0000CC"/>
          <w:sz w:val="19"/>
          <w:szCs w:val="19"/>
        </w:rPr>
      </w:pPr>
    </w:p>
    <w:p w:rsidR="00D32108" w:rsidRPr="002F458B" w:rsidRDefault="00381420" w:rsidP="00D32108">
      <w:pPr>
        <w:autoSpaceDE w:val="0"/>
        <w:autoSpaceDN w:val="0"/>
        <w:adjustRightInd w:val="0"/>
        <w:spacing w:after="0" w:line="240" w:lineRule="auto"/>
        <w:rPr>
          <w:rFonts w:ascii="Verdana" w:hAnsi="Verdana" w:cs="Trebuchet MS"/>
          <w:color w:val="0000CC"/>
          <w:sz w:val="18"/>
          <w:szCs w:val="18"/>
        </w:rPr>
      </w:pPr>
      <w:proofErr w:type="gramStart"/>
      <w:r w:rsidRPr="00F41342">
        <w:rPr>
          <w:rFonts w:ascii="Verdana" w:hAnsi="Verdana" w:cs="Trebuchet MS"/>
          <w:b/>
          <w:color w:val="0000CC"/>
          <w:sz w:val="19"/>
          <w:szCs w:val="19"/>
        </w:rPr>
        <w:t>Table 1b.2.</w:t>
      </w:r>
      <w:proofErr w:type="gramEnd"/>
      <w:r>
        <w:rPr>
          <w:rFonts w:ascii="Verdana" w:hAnsi="Verdana" w:cs="Trebuchet MS"/>
          <w:b/>
          <w:color w:val="0000CC"/>
          <w:sz w:val="19"/>
          <w:szCs w:val="19"/>
        </w:rPr>
        <w:t xml:space="preserve"> Performance Scores</w:t>
      </w:r>
      <w:r w:rsidR="00D32108" w:rsidRPr="00D32108">
        <w:rPr>
          <w:rFonts w:ascii="Verdana" w:hAnsi="Verdana" w:cs="Trebuchet MS"/>
          <w:color w:val="0000CC"/>
          <w:sz w:val="18"/>
          <w:szCs w:val="18"/>
        </w:rPr>
        <w:t xml:space="preserve"> </w:t>
      </w:r>
    </w:p>
    <w:p w:rsidR="00D32108" w:rsidRPr="002F458B" w:rsidRDefault="00D32108" w:rsidP="00D32108">
      <w:pPr>
        <w:autoSpaceDE w:val="0"/>
        <w:autoSpaceDN w:val="0"/>
        <w:adjustRightInd w:val="0"/>
        <w:spacing w:after="0" w:line="240" w:lineRule="auto"/>
        <w:rPr>
          <w:rFonts w:cs="Trebuchet MS"/>
          <w:color w:val="0000CC"/>
        </w:rPr>
      </w:pPr>
      <w:r w:rsidRPr="002F458B">
        <w:rPr>
          <w:rFonts w:cs="Trebuchet MS"/>
          <w:color w:val="0000CC"/>
        </w:rPr>
        <w:t>Program/Plan, Year, Measure Score as % (Measure Score, SD, Lower 95% CI, Upper 95% CI)</w:t>
      </w:r>
    </w:p>
    <w:p w:rsidR="00381420" w:rsidRPr="00F41342" w:rsidRDefault="005C4B46" w:rsidP="00381420">
      <w:pPr>
        <w:autoSpaceDE w:val="0"/>
        <w:autoSpaceDN w:val="0"/>
        <w:adjustRightInd w:val="0"/>
        <w:spacing w:after="0" w:line="240" w:lineRule="auto"/>
        <w:rPr>
          <w:rFonts w:ascii="Verdana" w:hAnsi="Verdana" w:cs="Trebuchet MS"/>
          <w:b/>
          <w:sz w:val="19"/>
          <w:szCs w:val="19"/>
        </w:rPr>
      </w:pPr>
      <w:r w:rsidRPr="005C4B46">
        <w:rPr>
          <w:noProof/>
          <w:szCs w:val="19"/>
        </w:rPr>
        <w:drawing>
          <wp:inline distT="0" distB="0" distL="0" distR="0" wp14:anchorId="766E88B0" wp14:editId="097EB87C">
            <wp:extent cx="4689949" cy="2438400"/>
            <wp:effectExtent l="19050" t="19050" r="15401" b="1905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4689949" cy="2438400"/>
                    </a:xfrm>
                    <a:prstGeom prst="rect">
                      <a:avLst/>
                    </a:prstGeom>
                    <a:noFill/>
                    <a:ln w="9525">
                      <a:solidFill>
                        <a:schemeClr val="tx1"/>
                      </a:solidFill>
                      <a:miter lim="800000"/>
                      <a:headEnd/>
                      <a:tailEnd/>
                    </a:ln>
                  </pic:spPr>
                </pic:pic>
              </a:graphicData>
            </a:graphic>
          </wp:inline>
        </w:drawing>
      </w:r>
    </w:p>
    <w:p w:rsidR="001608AA" w:rsidRPr="001608AA" w:rsidRDefault="001608AA" w:rsidP="00D61410">
      <w:pPr>
        <w:autoSpaceDE w:val="0"/>
        <w:autoSpaceDN w:val="0"/>
        <w:adjustRightInd w:val="0"/>
        <w:spacing w:after="0" w:line="240" w:lineRule="auto"/>
        <w:rPr>
          <w:rFonts w:cstheme="minorHAnsi"/>
          <w:bCs/>
          <w:color w:val="0000CC"/>
        </w:rPr>
      </w:pPr>
    </w:p>
    <w:p w:rsidR="00D61410" w:rsidRPr="002E2732" w:rsidRDefault="00D61410" w:rsidP="00D61410">
      <w:pPr>
        <w:autoSpaceDE w:val="0"/>
        <w:autoSpaceDN w:val="0"/>
        <w:adjustRightInd w:val="0"/>
        <w:spacing w:after="0" w:line="240" w:lineRule="auto"/>
        <w:rPr>
          <w:rFonts w:cstheme="minorHAnsi"/>
          <w:bCs/>
          <w:color w:val="0000CC"/>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2E2732" w:rsidRDefault="00381420" w:rsidP="00D61410">
      <w:pPr>
        <w:autoSpaceDE w:val="0"/>
        <w:autoSpaceDN w:val="0"/>
        <w:adjustRightInd w:val="0"/>
        <w:spacing w:after="0" w:line="240" w:lineRule="auto"/>
        <w:rPr>
          <w:rFonts w:ascii="Verdana" w:hAnsi="Verdana" w:cs="Trebuchet MS"/>
          <w:color w:val="0000CC"/>
          <w:sz w:val="19"/>
          <w:szCs w:val="19"/>
        </w:rPr>
      </w:pPr>
      <w:r w:rsidRPr="002E2732">
        <w:rPr>
          <w:rFonts w:ascii="Verdana" w:hAnsi="Verdana" w:cs="Trebuchet MS"/>
          <w:color w:val="0000CC"/>
          <w:sz w:val="19"/>
          <w:szCs w:val="19"/>
        </w:rPr>
        <w:lastRenderedPageBreak/>
        <w:t xml:space="preserve">For both years, statistically significant differences were detected in the measure scores between programs </w:t>
      </w:r>
      <w:r w:rsidR="005C4B46">
        <w:rPr>
          <w:rFonts w:ascii="Verdana" w:hAnsi="Verdana" w:cs="Trebuchet MS"/>
          <w:color w:val="0000CC"/>
          <w:sz w:val="19"/>
          <w:szCs w:val="19"/>
        </w:rPr>
        <w:t>(b</w:t>
      </w:r>
      <w:r w:rsidR="000D3A0F" w:rsidRPr="002E2732">
        <w:rPr>
          <w:rFonts w:ascii="Verdana" w:hAnsi="Verdana" w:cs="Trebuchet MS"/>
          <w:color w:val="0000CC"/>
          <w:sz w:val="19"/>
          <w:szCs w:val="19"/>
        </w:rPr>
        <w:t>oth years</w:t>
      </w:r>
      <w:r w:rsidR="005C4B46">
        <w:rPr>
          <w:rFonts w:ascii="Verdana" w:hAnsi="Verdana" w:cs="Trebuchet MS"/>
          <w:color w:val="0000CC"/>
          <w:sz w:val="19"/>
          <w:szCs w:val="19"/>
        </w:rPr>
        <w:t>)</w:t>
      </w:r>
      <w:r w:rsidR="00373273">
        <w:rPr>
          <w:rFonts w:ascii="Verdana" w:hAnsi="Verdana" w:cs="Trebuchet MS"/>
          <w:color w:val="0000CC"/>
          <w:sz w:val="19"/>
          <w:szCs w:val="19"/>
        </w:rPr>
        <w:t xml:space="preserve"> and the plans</w:t>
      </w:r>
      <w:r w:rsidR="005C4B46">
        <w:rPr>
          <w:rFonts w:ascii="Verdana" w:hAnsi="Verdana" w:cs="Trebuchet MS"/>
          <w:color w:val="0000CC"/>
          <w:sz w:val="19"/>
          <w:szCs w:val="19"/>
        </w:rPr>
        <w:t xml:space="preserve"> (</w:t>
      </w:r>
      <w:r w:rsidR="00373273">
        <w:rPr>
          <w:rFonts w:ascii="Verdana" w:hAnsi="Verdana" w:cs="Trebuchet MS"/>
          <w:color w:val="0000CC"/>
          <w:sz w:val="19"/>
          <w:szCs w:val="19"/>
        </w:rPr>
        <w:t>one year</w:t>
      </w:r>
      <w:r w:rsidR="005C4B46">
        <w:rPr>
          <w:rFonts w:ascii="Verdana" w:hAnsi="Verdana" w:cs="Trebuchet MS"/>
          <w:color w:val="0000CC"/>
          <w:sz w:val="19"/>
          <w:szCs w:val="19"/>
        </w:rPr>
        <w:t>)</w:t>
      </w:r>
      <w:r w:rsidRPr="002E2732">
        <w:rPr>
          <w:rFonts w:ascii="Verdana" w:hAnsi="Verdana" w:cs="Trebuchet MS"/>
          <w:color w:val="0000CC"/>
          <w:sz w:val="19"/>
          <w:szCs w:val="19"/>
        </w:rPr>
        <w:t xml:space="preserve"> (Table 2b5.</w:t>
      </w:r>
      <w:r w:rsidR="00DD32DB" w:rsidRPr="002E2732">
        <w:rPr>
          <w:rFonts w:ascii="Verdana" w:hAnsi="Verdana" w:cs="Trebuchet MS"/>
          <w:color w:val="0000CC"/>
          <w:sz w:val="19"/>
          <w:szCs w:val="19"/>
        </w:rPr>
        <w:t>2</w:t>
      </w:r>
      <w:r w:rsidRPr="002E2732">
        <w:rPr>
          <w:rFonts w:ascii="Verdana" w:hAnsi="Verdana" w:cs="Trebuchet MS"/>
          <w:color w:val="0000CC"/>
          <w:sz w:val="19"/>
          <w:szCs w:val="19"/>
        </w:rPr>
        <w:t xml:space="preserve">).  </w:t>
      </w:r>
    </w:p>
    <w:p w:rsidR="00381420" w:rsidRPr="002E2732" w:rsidRDefault="00381420" w:rsidP="00D61410">
      <w:pPr>
        <w:autoSpaceDE w:val="0"/>
        <w:autoSpaceDN w:val="0"/>
        <w:adjustRightInd w:val="0"/>
        <w:spacing w:after="0" w:line="240" w:lineRule="auto"/>
        <w:rPr>
          <w:rFonts w:ascii="Verdana" w:hAnsi="Verdana" w:cs="Trebuchet MS"/>
          <w:color w:val="0000CC"/>
          <w:sz w:val="19"/>
          <w:szCs w:val="19"/>
        </w:rPr>
      </w:pPr>
    </w:p>
    <w:p w:rsidR="00381420" w:rsidRPr="002E2732" w:rsidRDefault="00381420" w:rsidP="005C4B46">
      <w:pPr>
        <w:spacing w:after="0" w:line="240" w:lineRule="auto"/>
        <w:rPr>
          <w:rFonts w:ascii="Verdana" w:hAnsi="Verdana" w:cs="Trebuchet MS"/>
          <w:b/>
          <w:color w:val="0000CC"/>
          <w:sz w:val="19"/>
          <w:szCs w:val="19"/>
        </w:rPr>
      </w:pPr>
      <w:proofErr w:type="gramStart"/>
      <w:r w:rsidRPr="002E2732">
        <w:rPr>
          <w:rFonts w:ascii="Verdana" w:hAnsi="Verdana" w:cs="Trebuchet MS"/>
          <w:b/>
          <w:color w:val="0000CC"/>
          <w:sz w:val="19"/>
          <w:szCs w:val="19"/>
        </w:rPr>
        <w:t>Table 2b5.</w:t>
      </w:r>
      <w:r w:rsidR="004E15ED" w:rsidRPr="002E2732">
        <w:rPr>
          <w:rFonts w:ascii="Verdana" w:hAnsi="Verdana" w:cs="Trebuchet MS"/>
          <w:b/>
          <w:color w:val="0000CC"/>
          <w:sz w:val="19"/>
          <w:szCs w:val="19"/>
        </w:rPr>
        <w:t>2</w:t>
      </w:r>
      <w:r w:rsidRPr="002E2732">
        <w:rPr>
          <w:rFonts w:ascii="Verdana" w:hAnsi="Verdana" w:cs="Trebuchet MS"/>
          <w:b/>
          <w:color w:val="0000CC"/>
          <w:sz w:val="19"/>
          <w:szCs w:val="19"/>
        </w:rPr>
        <w:t>.</w:t>
      </w:r>
      <w:proofErr w:type="gramEnd"/>
      <w:r w:rsidRPr="002E2732">
        <w:rPr>
          <w:rFonts w:ascii="Verdana" w:hAnsi="Verdana" w:cs="Trebuchet MS"/>
          <w:b/>
          <w:color w:val="0000CC"/>
          <w:sz w:val="19"/>
          <w:szCs w:val="19"/>
        </w:rPr>
        <w:t xml:space="preserve">  Chi-Square Test of Differences in Measure Scores</w:t>
      </w:r>
    </w:p>
    <w:p w:rsidR="00381420" w:rsidRPr="00381420" w:rsidRDefault="00373273" w:rsidP="00D61410">
      <w:pPr>
        <w:autoSpaceDE w:val="0"/>
        <w:autoSpaceDN w:val="0"/>
        <w:adjustRightInd w:val="0"/>
        <w:spacing w:after="0" w:line="240" w:lineRule="auto"/>
        <w:rPr>
          <w:rFonts w:cstheme="minorHAnsi"/>
          <w:b/>
          <w:bCs/>
          <w:color w:val="FF0000"/>
        </w:rPr>
      </w:pPr>
      <w:r w:rsidRPr="00373273">
        <w:rPr>
          <w:noProof/>
        </w:rPr>
        <w:drawing>
          <wp:inline distT="0" distB="0" distL="0" distR="0" wp14:anchorId="5D7819C7" wp14:editId="6381D1FD">
            <wp:extent cx="3257550" cy="1095375"/>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3257550" cy="1095375"/>
                    </a:xfrm>
                    <a:prstGeom prst="rect">
                      <a:avLst/>
                    </a:prstGeom>
                    <a:noFill/>
                    <a:ln w="9525">
                      <a:noFill/>
                      <a:miter lim="800000"/>
                      <a:headEnd/>
                      <a:tailEnd/>
                    </a:ln>
                  </pic:spPr>
                </pic:pic>
              </a:graphicData>
            </a:graphic>
          </wp:inline>
        </w:drawing>
      </w:r>
    </w:p>
    <w:p w:rsidR="00D61410" w:rsidRPr="00927027" w:rsidRDefault="00D61410" w:rsidP="00D61410">
      <w:pPr>
        <w:autoSpaceDE w:val="0"/>
        <w:autoSpaceDN w:val="0"/>
        <w:adjustRightInd w:val="0"/>
        <w:spacing w:after="0" w:line="240" w:lineRule="auto"/>
        <w:rPr>
          <w:rFonts w:cstheme="minorHAnsi"/>
          <w:bCs/>
        </w:rPr>
      </w:pPr>
    </w:p>
    <w:p w:rsidR="00381420" w:rsidRPr="002E2732" w:rsidRDefault="00D61410" w:rsidP="00D61410">
      <w:pPr>
        <w:autoSpaceDE w:val="0"/>
        <w:autoSpaceDN w:val="0"/>
        <w:adjustRightInd w:val="0"/>
        <w:spacing w:after="0" w:line="240" w:lineRule="auto"/>
        <w:rPr>
          <w:rFonts w:cstheme="minorHAnsi"/>
          <w:bCs/>
          <w:color w:val="0000CC"/>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462CAD" w:rsidRPr="002E2732">
        <w:rPr>
          <w:rFonts w:cstheme="minorHAnsi"/>
          <w:bCs/>
          <w:color w:val="0000CC"/>
        </w:rPr>
        <w:t>Statistically significant differences between measured entities were detected at the program</w:t>
      </w:r>
      <w:r w:rsidR="00373273">
        <w:rPr>
          <w:rFonts w:cstheme="minorHAnsi"/>
          <w:bCs/>
          <w:color w:val="0000CC"/>
        </w:rPr>
        <w:t xml:space="preserve"> and plan</w:t>
      </w:r>
      <w:r w:rsidR="00462CAD" w:rsidRPr="002E2732">
        <w:rPr>
          <w:rFonts w:cstheme="minorHAnsi"/>
          <w:bCs/>
          <w:color w:val="0000CC"/>
        </w:rPr>
        <w:t xml:space="preserve"> level</w:t>
      </w:r>
      <w:r w:rsidR="00373273">
        <w:rPr>
          <w:rFonts w:cstheme="minorHAnsi"/>
          <w:bCs/>
          <w:color w:val="0000CC"/>
        </w:rPr>
        <w:t>s</w:t>
      </w:r>
      <w:r w:rsidR="00462CAD" w:rsidRPr="002E2732">
        <w:rPr>
          <w:rFonts w:cstheme="minorHAnsi"/>
          <w:bCs/>
          <w:color w:val="0000CC"/>
        </w:rPr>
        <w:t xml:space="preserve">.  </w:t>
      </w:r>
      <w:r w:rsidR="006020FC" w:rsidRPr="006020FC">
        <w:rPr>
          <w:rFonts w:cstheme="minorHAnsi"/>
          <w:bCs/>
          <w:color w:val="0000CC"/>
        </w:rPr>
        <w:t xml:space="preserve">At the plan level, statistically significant differences were detected in 2011, but not in 2010.  This is consistent with a greater difference in performance between the two plans in 2011 (9.64% and 11.06%) than in 2010 when the rates were almost equal (10.10% and 10.05%).  This is precisely the purpose of performance </w:t>
      </w:r>
      <w:proofErr w:type="gramStart"/>
      <w:r w:rsidR="006020FC" w:rsidRPr="006020FC">
        <w:rPr>
          <w:rFonts w:cstheme="minorHAnsi"/>
          <w:bCs/>
          <w:color w:val="0000CC"/>
        </w:rPr>
        <w:t>measurement  -</w:t>
      </w:r>
      <w:proofErr w:type="gramEnd"/>
      <w:r w:rsidR="006020FC" w:rsidRPr="006020FC">
        <w:rPr>
          <w:rFonts w:cstheme="minorHAnsi"/>
          <w:bCs/>
          <w:color w:val="0000CC"/>
        </w:rPr>
        <w:t xml:space="preserve"> to detect when there are differences in performance.  In 2010, there was no appreciable difference in performance between the two plans.  Collectively, however, it is clear that this measure detects differences in performance on the measure scores when they do exist.  Our findings are </w:t>
      </w:r>
      <w:r w:rsidR="00462CAD" w:rsidRPr="002E2732">
        <w:rPr>
          <w:rFonts w:cstheme="minorHAnsi"/>
          <w:bCs/>
          <w:color w:val="0000CC"/>
        </w:rPr>
        <w:t xml:space="preserve">consistent with evidence reported earlier in this application </w:t>
      </w:r>
      <w:r w:rsidR="000A208D" w:rsidRPr="002E2732">
        <w:rPr>
          <w:rFonts w:cstheme="minorHAnsi"/>
          <w:bCs/>
          <w:color w:val="0000CC"/>
        </w:rPr>
        <w:t xml:space="preserve">documenting </w:t>
      </w:r>
      <w:r w:rsidR="00462CAD" w:rsidRPr="002E2732">
        <w:rPr>
          <w:rFonts w:cstheme="minorHAnsi"/>
          <w:bCs/>
          <w:color w:val="0000CC"/>
        </w:rPr>
        <w:t xml:space="preserve">disparities in </w:t>
      </w:r>
      <w:r w:rsidR="000A208D" w:rsidRPr="002E2732">
        <w:rPr>
          <w:rFonts w:cstheme="minorHAnsi"/>
          <w:bCs/>
          <w:color w:val="0000CC"/>
        </w:rPr>
        <w:t>sealant receipt among children</w:t>
      </w:r>
      <w:r w:rsidR="00462CAD" w:rsidRPr="002E2732">
        <w:rPr>
          <w:rFonts w:cstheme="minorHAnsi"/>
          <w:bCs/>
          <w:color w:val="0000CC"/>
        </w:rPr>
        <w:t>.  Thus, this measure informs performance improvement efforts by allowing plans and programs to identify and monitor performance gaps</w:t>
      </w:r>
      <w:r w:rsidR="000A208D" w:rsidRPr="002E2732">
        <w:rPr>
          <w:rFonts w:cstheme="minorHAnsi"/>
          <w:bCs/>
          <w:color w:val="0000CC"/>
        </w:rPr>
        <w:t xml:space="preserve"> and disparities in performance</w:t>
      </w:r>
      <w:r w:rsidR="00462CAD" w:rsidRPr="002E2732">
        <w:rPr>
          <w:rFonts w:cstheme="minorHAnsi"/>
          <w:bCs/>
          <w:color w:val="0000CC"/>
        </w:rPr>
        <w:t xml:space="preserve"> both at any given point in time and over time.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E1508F" w:rsidRPr="00E1508F" w:rsidRDefault="00E1508F" w:rsidP="00E1508F">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lastRenderedPageBreak/>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bookmarkEnd w:id="0"/>
    <w:p w:rsidR="0079180E" w:rsidRPr="00DB3627" w:rsidRDefault="0079180E" w:rsidP="00DB3627">
      <w:pPr>
        <w:autoSpaceDE w:val="0"/>
        <w:autoSpaceDN w:val="0"/>
        <w:adjustRightInd w:val="0"/>
        <w:spacing w:after="0" w:line="240" w:lineRule="auto"/>
        <w:rPr>
          <w:rFonts w:cstheme="minorHAnsi"/>
          <w:bCs/>
        </w:rPr>
      </w:pPr>
    </w:p>
    <w:sectPr w:rsidR="0079180E" w:rsidRPr="00DB3627" w:rsidSect="009D3B0F">
      <w:headerReference w:type="default" r:id="rId22"/>
      <w:footerReference w:type="default" r:id="rId23"/>
      <w:pgSz w:w="12240" w:h="15840"/>
      <w:pgMar w:top="1440" w:right="1440" w:bottom="1440" w:left="1440" w:header="720" w:footer="720" w:gutter="0"/>
      <w:pgNumType w:start="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0B2" w:rsidRDefault="004130B2" w:rsidP="005C73CA">
      <w:pPr>
        <w:spacing w:after="0" w:line="240" w:lineRule="auto"/>
      </w:pPr>
      <w:r>
        <w:separator/>
      </w:r>
    </w:p>
  </w:endnote>
  <w:endnote w:type="continuationSeparator" w:id="0">
    <w:p w:rsidR="004130B2" w:rsidRDefault="004130B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F9" w:rsidRDefault="00C734F9">
    <w:pPr>
      <w:pStyle w:val="Footer"/>
    </w:pPr>
    <w:r>
      <w:t xml:space="preserve">Version </w:t>
    </w:r>
    <w:proofErr w:type="gramStart"/>
    <w:r>
      <w:t>6.5  05</w:t>
    </w:r>
    <w:proofErr w:type="gramEnd"/>
    <w:r>
      <w:t>/29/13</w:t>
    </w:r>
    <w:r>
      <w:ptab w:relativeTo="margin" w:alignment="center" w:leader="none"/>
    </w:r>
    <w:r>
      <w:ptab w:relativeTo="margin" w:alignment="right" w:leader="none"/>
    </w:r>
    <w:r w:rsidR="000A21C8">
      <w:fldChar w:fldCharType="begin"/>
    </w:r>
    <w:r w:rsidR="000A21C8">
      <w:instrText xml:space="preserve"> PAGE   \* MERGEFORMAT </w:instrText>
    </w:r>
    <w:r w:rsidR="000A21C8">
      <w:fldChar w:fldCharType="separate"/>
    </w:r>
    <w:r w:rsidR="009D3B0F">
      <w:rPr>
        <w:noProof/>
      </w:rPr>
      <w:t>37</w:t>
    </w:r>
    <w:r w:rsidR="000A21C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0B2" w:rsidRDefault="004130B2" w:rsidP="005C73CA">
      <w:pPr>
        <w:spacing w:after="0" w:line="240" w:lineRule="auto"/>
      </w:pPr>
      <w:r>
        <w:separator/>
      </w:r>
    </w:p>
  </w:footnote>
  <w:footnote w:type="continuationSeparator" w:id="0">
    <w:p w:rsidR="004130B2" w:rsidRDefault="004130B2"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C734F9" w:rsidRPr="00105D8B" w:rsidRDefault="00C734F9"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A735B3"/>
    <w:multiLevelType w:val="hybridMultilevel"/>
    <w:tmpl w:val="8E12C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196398"/>
    <w:multiLevelType w:val="hybridMultilevel"/>
    <w:tmpl w:val="28F0ED5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5B380D"/>
    <w:multiLevelType w:val="hybridMultilevel"/>
    <w:tmpl w:val="EF72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2"/>
  </w:num>
  <w:num w:numId="4">
    <w:abstractNumId w:val="8"/>
  </w:num>
  <w:num w:numId="5">
    <w:abstractNumId w:val="1"/>
  </w:num>
  <w:num w:numId="6">
    <w:abstractNumId w:val="0"/>
  </w:num>
  <w:num w:numId="7">
    <w:abstractNumId w:val="3"/>
  </w:num>
  <w:num w:numId="8">
    <w:abstractNumId w:val="24"/>
  </w:num>
  <w:num w:numId="9">
    <w:abstractNumId w:val="12"/>
  </w:num>
  <w:num w:numId="10">
    <w:abstractNumId w:val="32"/>
  </w:num>
  <w:num w:numId="11">
    <w:abstractNumId w:val="14"/>
  </w:num>
  <w:num w:numId="12">
    <w:abstractNumId w:val="29"/>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0"/>
  </w:num>
  <w:num w:numId="17">
    <w:abstractNumId w:val="31"/>
  </w:num>
  <w:num w:numId="18">
    <w:abstractNumId w:val="27"/>
  </w:num>
  <w:num w:numId="19">
    <w:abstractNumId w:val="25"/>
  </w:num>
  <w:num w:numId="20">
    <w:abstractNumId w:val="19"/>
  </w:num>
  <w:num w:numId="21">
    <w:abstractNumId w:val="23"/>
  </w:num>
  <w:num w:numId="22">
    <w:abstractNumId w:val="17"/>
  </w:num>
  <w:num w:numId="23">
    <w:abstractNumId w:val="9"/>
  </w:num>
  <w:num w:numId="24">
    <w:abstractNumId w:val="16"/>
  </w:num>
  <w:num w:numId="25">
    <w:abstractNumId w:val="15"/>
  </w:num>
  <w:num w:numId="26">
    <w:abstractNumId w:val="35"/>
  </w:num>
  <w:num w:numId="27">
    <w:abstractNumId w:val="28"/>
  </w:num>
  <w:num w:numId="28">
    <w:abstractNumId w:val="6"/>
  </w:num>
  <w:num w:numId="29">
    <w:abstractNumId w:val="33"/>
  </w:num>
  <w:num w:numId="30">
    <w:abstractNumId w:val="4"/>
  </w:num>
  <w:num w:numId="31">
    <w:abstractNumId w:val="34"/>
  </w:num>
  <w:num w:numId="32">
    <w:abstractNumId w:val="26"/>
  </w:num>
  <w:num w:numId="33">
    <w:abstractNumId w:val="18"/>
  </w:num>
  <w:num w:numId="34">
    <w:abstractNumId w:val="30"/>
  </w:num>
  <w:num w:numId="35">
    <w:abstractNumId w:val="11"/>
  </w:num>
  <w:num w:numId="36">
    <w:abstractNumId w:val="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74FB"/>
    <w:rsid w:val="000175F2"/>
    <w:rsid w:val="0001783C"/>
    <w:rsid w:val="00021170"/>
    <w:rsid w:val="0002128B"/>
    <w:rsid w:val="00024DFD"/>
    <w:rsid w:val="00027AB8"/>
    <w:rsid w:val="000309DD"/>
    <w:rsid w:val="00031414"/>
    <w:rsid w:val="00033038"/>
    <w:rsid w:val="00033D63"/>
    <w:rsid w:val="0003436F"/>
    <w:rsid w:val="000414E8"/>
    <w:rsid w:val="0004593A"/>
    <w:rsid w:val="00047561"/>
    <w:rsid w:val="000506D0"/>
    <w:rsid w:val="00050A3E"/>
    <w:rsid w:val="00052A6F"/>
    <w:rsid w:val="00053F02"/>
    <w:rsid w:val="0005612B"/>
    <w:rsid w:val="000574AB"/>
    <w:rsid w:val="0006147A"/>
    <w:rsid w:val="000775F8"/>
    <w:rsid w:val="00080CF7"/>
    <w:rsid w:val="000830C5"/>
    <w:rsid w:val="000851B2"/>
    <w:rsid w:val="00092566"/>
    <w:rsid w:val="000968F8"/>
    <w:rsid w:val="00097012"/>
    <w:rsid w:val="000A208D"/>
    <w:rsid w:val="000A21C8"/>
    <w:rsid w:val="000B032A"/>
    <w:rsid w:val="000B078D"/>
    <w:rsid w:val="000B2DF7"/>
    <w:rsid w:val="000B3880"/>
    <w:rsid w:val="000D3A0F"/>
    <w:rsid w:val="000D7948"/>
    <w:rsid w:val="000D7C84"/>
    <w:rsid w:val="000E4E13"/>
    <w:rsid w:val="000E78F6"/>
    <w:rsid w:val="000F06B5"/>
    <w:rsid w:val="000F39E9"/>
    <w:rsid w:val="00104B45"/>
    <w:rsid w:val="00105D8B"/>
    <w:rsid w:val="0011342F"/>
    <w:rsid w:val="001202E9"/>
    <w:rsid w:val="0012454F"/>
    <w:rsid w:val="00127C06"/>
    <w:rsid w:val="00145149"/>
    <w:rsid w:val="0014773C"/>
    <w:rsid w:val="001608AA"/>
    <w:rsid w:val="00167528"/>
    <w:rsid w:val="0017696D"/>
    <w:rsid w:val="001848FC"/>
    <w:rsid w:val="001969C5"/>
    <w:rsid w:val="001A6CDD"/>
    <w:rsid w:val="001C12EE"/>
    <w:rsid w:val="001C7B02"/>
    <w:rsid w:val="001E4DD4"/>
    <w:rsid w:val="001E69DC"/>
    <w:rsid w:val="001F169D"/>
    <w:rsid w:val="001F1DA1"/>
    <w:rsid w:val="001F3296"/>
    <w:rsid w:val="00201BDE"/>
    <w:rsid w:val="00203296"/>
    <w:rsid w:val="002117EC"/>
    <w:rsid w:val="0021195A"/>
    <w:rsid w:val="00213383"/>
    <w:rsid w:val="00220250"/>
    <w:rsid w:val="0022691B"/>
    <w:rsid w:val="00232163"/>
    <w:rsid w:val="00235C18"/>
    <w:rsid w:val="002376F8"/>
    <w:rsid w:val="002408E4"/>
    <w:rsid w:val="00241591"/>
    <w:rsid w:val="00250B4F"/>
    <w:rsid w:val="00251DCF"/>
    <w:rsid w:val="0025762F"/>
    <w:rsid w:val="00287649"/>
    <w:rsid w:val="00287E84"/>
    <w:rsid w:val="002915B3"/>
    <w:rsid w:val="0029286C"/>
    <w:rsid w:val="00292DDA"/>
    <w:rsid w:val="0029300E"/>
    <w:rsid w:val="002B0C3A"/>
    <w:rsid w:val="002B2116"/>
    <w:rsid w:val="002B2D9B"/>
    <w:rsid w:val="002B5016"/>
    <w:rsid w:val="002B7F4D"/>
    <w:rsid w:val="002C285C"/>
    <w:rsid w:val="002C7BE4"/>
    <w:rsid w:val="002D417D"/>
    <w:rsid w:val="002D69EE"/>
    <w:rsid w:val="002E2732"/>
    <w:rsid w:val="002E78A0"/>
    <w:rsid w:val="002F2687"/>
    <w:rsid w:val="002F48E1"/>
    <w:rsid w:val="002F4F3B"/>
    <w:rsid w:val="002F6D56"/>
    <w:rsid w:val="003059EB"/>
    <w:rsid w:val="003116AC"/>
    <w:rsid w:val="00315567"/>
    <w:rsid w:val="0032143C"/>
    <w:rsid w:val="003224F2"/>
    <w:rsid w:val="00330144"/>
    <w:rsid w:val="00346245"/>
    <w:rsid w:val="00356267"/>
    <w:rsid w:val="00356BAD"/>
    <w:rsid w:val="003605B4"/>
    <w:rsid w:val="003627AC"/>
    <w:rsid w:val="00366914"/>
    <w:rsid w:val="00373273"/>
    <w:rsid w:val="003755CB"/>
    <w:rsid w:val="00381420"/>
    <w:rsid w:val="00383F85"/>
    <w:rsid w:val="00394037"/>
    <w:rsid w:val="003A2F1A"/>
    <w:rsid w:val="003A306C"/>
    <w:rsid w:val="003A7DE7"/>
    <w:rsid w:val="003B1006"/>
    <w:rsid w:val="003C1A65"/>
    <w:rsid w:val="003C5F11"/>
    <w:rsid w:val="003D6401"/>
    <w:rsid w:val="003E1863"/>
    <w:rsid w:val="003E1BF4"/>
    <w:rsid w:val="003E3196"/>
    <w:rsid w:val="004130B2"/>
    <w:rsid w:val="0041606D"/>
    <w:rsid w:val="00416962"/>
    <w:rsid w:val="00416EB9"/>
    <w:rsid w:val="004348CC"/>
    <w:rsid w:val="00446B99"/>
    <w:rsid w:val="00462CAD"/>
    <w:rsid w:val="004658FF"/>
    <w:rsid w:val="00474ED7"/>
    <w:rsid w:val="004756E1"/>
    <w:rsid w:val="0048008A"/>
    <w:rsid w:val="00483E94"/>
    <w:rsid w:val="00484120"/>
    <w:rsid w:val="004853A0"/>
    <w:rsid w:val="00487968"/>
    <w:rsid w:val="0049033C"/>
    <w:rsid w:val="00496B5F"/>
    <w:rsid w:val="004A1A42"/>
    <w:rsid w:val="004A2E10"/>
    <w:rsid w:val="004B17FF"/>
    <w:rsid w:val="004B1BA0"/>
    <w:rsid w:val="004B6CEE"/>
    <w:rsid w:val="004C2443"/>
    <w:rsid w:val="004C498F"/>
    <w:rsid w:val="004C5D29"/>
    <w:rsid w:val="004C681A"/>
    <w:rsid w:val="004D4D8A"/>
    <w:rsid w:val="004E15ED"/>
    <w:rsid w:val="004F1ED1"/>
    <w:rsid w:val="004F68EE"/>
    <w:rsid w:val="005038D5"/>
    <w:rsid w:val="00505BD3"/>
    <w:rsid w:val="00511BA4"/>
    <w:rsid w:val="005149E7"/>
    <w:rsid w:val="005232D6"/>
    <w:rsid w:val="005333CC"/>
    <w:rsid w:val="005363F1"/>
    <w:rsid w:val="0055007C"/>
    <w:rsid w:val="00554922"/>
    <w:rsid w:val="00555282"/>
    <w:rsid w:val="005612CC"/>
    <w:rsid w:val="00563029"/>
    <w:rsid w:val="00564CD5"/>
    <w:rsid w:val="00567D12"/>
    <w:rsid w:val="005705D6"/>
    <w:rsid w:val="00576062"/>
    <w:rsid w:val="0058214A"/>
    <w:rsid w:val="005847E8"/>
    <w:rsid w:val="0059559F"/>
    <w:rsid w:val="005A49FF"/>
    <w:rsid w:val="005A7634"/>
    <w:rsid w:val="005C0447"/>
    <w:rsid w:val="005C4B46"/>
    <w:rsid w:val="005C739F"/>
    <w:rsid w:val="005C73CA"/>
    <w:rsid w:val="005D4768"/>
    <w:rsid w:val="005E2CAB"/>
    <w:rsid w:val="005E429E"/>
    <w:rsid w:val="00601ED4"/>
    <w:rsid w:val="006020FC"/>
    <w:rsid w:val="006030BC"/>
    <w:rsid w:val="006037A3"/>
    <w:rsid w:val="00612866"/>
    <w:rsid w:val="00616EB5"/>
    <w:rsid w:val="006269D4"/>
    <w:rsid w:val="006327D8"/>
    <w:rsid w:val="006400CF"/>
    <w:rsid w:val="0064070A"/>
    <w:rsid w:val="00643A01"/>
    <w:rsid w:val="00643C0F"/>
    <w:rsid w:val="006574D2"/>
    <w:rsid w:val="006676D4"/>
    <w:rsid w:val="00675535"/>
    <w:rsid w:val="00677E55"/>
    <w:rsid w:val="00681359"/>
    <w:rsid w:val="00684165"/>
    <w:rsid w:val="00693AD3"/>
    <w:rsid w:val="00696262"/>
    <w:rsid w:val="006C3A4F"/>
    <w:rsid w:val="006C46D8"/>
    <w:rsid w:val="006C4845"/>
    <w:rsid w:val="006D21AF"/>
    <w:rsid w:val="006D6BC1"/>
    <w:rsid w:val="006E2BFC"/>
    <w:rsid w:val="006E5C57"/>
    <w:rsid w:val="006F22A5"/>
    <w:rsid w:val="00702C73"/>
    <w:rsid w:val="00703A90"/>
    <w:rsid w:val="007052D1"/>
    <w:rsid w:val="00710CC1"/>
    <w:rsid w:val="00713394"/>
    <w:rsid w:val="00724677"/>
    <w:rsid w:val="00725AC2"/>
    <w:rsid w:val="00732880"/>
    <w:rsid w:val="00740B27"/>
    <w:rsid w:val="007416B9"/>
    <w:rsid w:val="007422FD"/>
    <w:rsid w:val="00743E46"/>
    <w:rsid w:val="00747C45"/>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6F1C"/>
    <w:rsid w:val="00804C69"/>
    <w:rsid w:val="0080711D"/>
    <w:rsid w:val="008155CD"/>
    <w:rsid w:val="00815BEE"/>
    <w:rsid w:val="00827742"/>
    <w:rsid w:val="00833325"/>
    <w:rsid w:val="00837450"/>
    <w:rsid w:val="00840A41"/>
    <w:rsid w:val="00842F3C"/>
    <w:rsid w:val="008505D1"/>
    <w:rsid w:val="00855158"/>
    <w:rsid w:val="00857EE8"/>
    <w:rsid w:val="00860A1A"/>
    <w:rsid w:val="0086464B"/>
    <w:rsid w:val="008647FC"/>
    <w:rsid w:val="00864CA8"/>
    <w:rsid w:val="00865E2D"/>
    <w:rsid w:val="00870E6C"/>
    <w:rsid w:val="00874089"/>
    <w:rsid w:val="00884486"/>
    <w:rsid w:val="008871A9"/>
    <w:rsid w:val="008916BA"/>
    <w:rsid w:val="00892176"/>
    <w:rsid w:val="00893174"/>
    <w:rsid w:val="008A1DB7"/>
    <w:rsid w:val="008A403A"/>
    <w:rsid w:val="008A4C13"/>
    <w:rsid w:val="008C54A9"/>
    <w:rsid w:val="008D39CE"/>
    <w:rsid w:val="008E67C3"/>
    <w:rsid w:val="008F589F"/>
    <w:rsid w:val="008F76A9"/>
    <w:rsid w:val="00900DBF"/>
    <w:rsid w:val="009048B9"/>
    <w:rsid w:val="00904E91"/>
    <w:rsid w:val="009214DC"/>
    <w:rsid w:val="00921AD0"/>
    <w:rsid w:val="00927027"/>
    <w:rsid w:val="009344BA"/>
    <w:rsid w:val="0093567C"/>
    <w:rsid w:val="00947F78"/>
    <w:rsid w:val="00953234"/>
    <w:rsid w:val="009570BF"/>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3B0F"/>
    <w:rsid w:val="009D7E38"/>
    <w:rsid w:val="009E095B"/>
    <w:rsid w:val="009E1846"/>
    <w:rsid w:val="009E78FF"/>
    <w:rsid w:val="009F45F2"/>
    <w:rsid w:val="00A00230"/>
    <w:rsid w:val="00A01494"/>
    <w:rsid w:val="00A1189F"/>
    <w:rsid w:val="00A1315F"/>
    <w:rsid w:val="00A22FA9"/>
    <w:rsid w:val="00A25024"/>
    <w:rsid w:val="00A263F8"/>
    <w:rsid w:val="00A35F8F"/>
    <w:rsid w:val="00A41377"/>
    <w:rsid w:val="00A4263D"/>
    <w:rsid w:val="00A509B8"/>
    <w:rsid w:val="00A50C56"/>
    <w:rsid w:val="00A5186D"/>
    <w:rsid w:val="00A52AB9"/>
    <w:rsid w:val="00A53D12"/>
    <w:rsid w:val="00A6210B"/>
    <w:rsid w:val="00A70857"/>
    <w:rsid w:val="00A7323A"/>
    <w:rsid w:val="00A97798"/>
    <w:rsid w:val="00AA5213"/>
    <w:rsid w:val="00AA65A6"/>
    <w:rsid w:val="00AB1CA7"/>
    <w:rsid w:val="00AC1D8E"/>
    <w:rsid w:val="00AC48FA"/>
    <w:rsid w:val="00AC68C5"/>
    <w:rsid w:val="00AD0240"/>
    <w:rsid w:val="00AD4137"/>
    <w:rsid w:val="00AD77EE"/>
    <w:rsid w:val="00B037BA"/>
    <w:rsid w:val="00B126E4"/>
    <w:rsid w:val="00B20139"/>
    <w:rsid w:val="00B218DA"/>
    <w:rsid w:val="00B3091A"/>
    <w:rsid w:val="00B342FA"/>
    <w:rsid w:val="00B478FE"/>
    <w:rsid w:val="00B53E8B"/>
    <w:rsid w:val="00B55832"/>
    <w:rsid w:val="00B55FA2"/>
    <w:rsid w:val="00B64589"/>
    <w:rsid w:val="00B774D2"/>
    <w:rsid w:val="00B8015A"/>
    <w:rsid w:val="00B823F1"/>
    <w:rsid w:val="00B82A57"/>
    <w:rsid w:val="00BB35AE"/>
    <w:rsid w:val="00BC03A1"/>
    <w:rsid w:val="00BC0D25"/>
    <w:rsid w:val="00BC5FF7"/>
    <w:rsid w:val="00BD2505"/>
    <w:rsid w:val="00BE592D"/>
    <w:rsid w:val="00BE739E"/>
    <w:rsid w:val="00BF412B"/>
    <w:rsid w:val="00BF52B0"/>
    <w:rsid w:val="00BF5697"/>
    <w:rsid w:val="00C11D77"/>
    <w:rsid w:val="00C14CCC"/>
    <w:rsid w:val="00C22C1C"/>
    <w:rsid w:val="00C33F2E"/>
    <w:rsid w:val="00C34936"/>
    <w:rsid w:val="00C34C14"/>
    <w:rsid w:val="00C355B9"/>
    <w:rsid w:val="00C401C4"/>
    <w:rsid w:val="00C41680"/>
    <w:rsid w:val="00C45389"/>
    <w:rsid w:val="00C5134F"/>
    <w:rsid w:val="00C54C60"/>
    <w:rsid w:val="00C5589B"/>
    <w:rsid w:val="00C60A25"/>
    <w:rsid w:val="00C734F9"/>
    <w:rsid w:val="00C765C5"/>
    <w:rsid w:val="00C82479"/>
    <w:rsid w:val="00C867F0"/>
    <w:rsid w:val="00C917DD"/>
    <w:rsid w:val="00C97C0E"/>
    <w:rsid w:val="00CA06D8"/>
    <w:rsid w:val="00CA345A"/>
    <w:rsid w:val="00CB49FF"/>
    <w:rsid w:val="00CB4F81"/>
    <w:rsid w:val="00CB5010"/>
    <w:rsid w:val="00CB766D"/>
    <w:rsid w:val="00CC0000"/>
    <w:rsid w:val="00CC02CF"/>
    <w:rsid w:val="00CC086A"/>
    <w:rsid w:val="00CD0F66"/>
    <w:rsid w:val="00CD364B"/>
    <w:rsid w:val="00CE23B8"/>
    <w:rsid w:val="00CE50D7"/>
    <w:rsid w:val="00D00344"/>
    <w:rsid w:val="00D1610F"/>
    <w:rsid w:val="00D1754D"/>
    <w:rsid w:val="00D2223F"/>
    <w:rsid w:val="00D274A4"/>
    <w:rsid w:val="00D277AF"/>
    <w:rsid w:val="00D31163"/>
    <w:rsid w:val="00D320B1"/>
    <w:rsid w:val="00D32108"/>
    <w:rsid w:val="00D32322"/>
    <w:rsid w:val="00D33AFD"/>
    <w:rsid w:val="00D36489"/>
    <w:rsid w:val="00D42195"/>
    <w:rsid w:val="00D50704"/>
    <w:rsid w:val="00D5760A"/>
    <w:rsid w:val="00D61410"/>
    <w:rsid w:val="00D8181D"/>
    <w:rsid w:val="00D920BE"/>
    <w:rsid w:val="00D968D8"/>
    <w:rsid w:val="00DA3C35"/>
    <w:rsid w:val="00DA563D"/>
    <w:rsid w:val="00DA7277"/>
    <w:rsid w:val="00DB3627"/>
    <w:rsid w:val="00DB4724"/>
    <w:rsid w:val="00DC4746"/>
    <w:rsid w:val="00DD32DB"/>
    <w:rsid w:val="00DD6666"/>
    <w:rsid w:val="00DE7149"/>
    <w:rsid w:val="00DF3AC2"/>
    <w:rsid w:val="00DF3FCE"/>
    <w:rsid w:val="00E00B3B"/>
    <w:rsid w:val="00E0314C"/>
    <w:rsid w:val="00E11433"/>
    <w:rsid w:val="00E118AC"/>
    <w:rsid w:val="00E1508F"/>
    <w:rsid w:val="00E27240"/>
    <w:rsid w:val="00E27EDD"/>
    <w:rsid w:val="00E310B9"/>
    <w:rsid w:val="00E37E1B"/>
    <w:rsid w:val="00E40304"/>
    <w:rsid w:val="00E50DDE"/>
    <w:rsid w:val="00E562C0"/>
    <w:rsid w:val="00E672D6"/>
    <w:rsid w:val="00E76024"/>
    <w:rsid w:val="00E856A2"/>
    <w:rsid w:val="00E91D83"/>
    <w:rsid w:val="00E96884"/>
    <w:rsid w:val="00EA4CD8"/>
    <w:rsid w:val="00EA5435"/>
    <w:rsid w:val="00EA5F47"/>
    <w:rsid w:val="00EC79DE"/>
    <w:rsid w:val="00ED07CA"/>
    <w:rsid w:val="00ED186B"/>
    <w:rsid w:val="00ED4ACE"/>
    <w:rsid w:val="00EF2DA7"/>
    <w:rsid w:val="00F25D91"/>
    <w:rsid w:val="00F41AAE"/>
    <w:rsid w:val="00F435AA"/>
    <w:rsid w:val="00F5738A"/>
    <w:rsid w:val="00F612D4"/>
    <w:rsid w:val="00F71DB2"/>
    <w:rsid w:val="00F77F1D"/>
    <w:rsid w:val="00F87400"/>
    <w:rsid w:val="00F87CCB"/>
    <w:rsid w:val="00F9714C"/>
    <w:rsid w:val="00FA48C7"/>
    <w:rsid w:val="00FB73C1"/>
    <w:rsid w:val="00FE0DA4"/>
    <w:rsid w:val="00FF03F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dc.gov/OralHealth/publications/faqs/sealants.htm" TargetMode="External"/><Relationship Id="rId23" Type="http://schemas.openxmlformats.org/officeDocument/2006/relationships/footer" Target="footer1.xml"/><Relationship Id="rId28"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nlm.nih.gov/hsrinfo/quality.html" TargetMode="External"/><Relationship Id="rId22" Type="http://schemas.openxmlformats.org/officeDocument/2006/relationships/header" Target="header1.xml"/><Relationship Id="rId27" Type="http://schemas.openxmlformats.org/officeDocument/2006/relationships/customXml" Target="../customXml/item1.xml"/><Relationship Id="rId30"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37A98"/>
    <w:rsid w:val="00127222"/>
    <w:rsid w:val="00190AF4"/>
    <w:rsid w:val="00223FA3"/>
    <w:rsid w:val="002A288F"/>
    <w:rsid w:val="002F052A"/>
    <w:rsid w:val="00350176"/>
    <w:rsid w:val="003840F0"/>
    <w:rsid w:val="003D37D8"/>
    <w:rsid w:val="0049601D"/>
    <w:rsid w:val="00510360"/>
    <w:rsid w:val="0053654E"/>
    <w:rsid w:val="005D1FD4"/>
    <w:rsid w:val="00632A7E"/>
    <w:rsid w:val="00632AB6"/>
    <w:rsid w:val="00687C96"/>
    <w:rsid w:val="0072311B"/>
    <w:rsid w:val="00730B33"/>
    <w:rsid w:val="007458F6"/>
    <w:rsid w:val="00772B2A"/>
    <w:rsid w:val="007801E4"/>
    <w:rsid w:val="007C672A"/>
    <w:rsid w:val="007D4368"/>
    <w:rsid w:val="007E5662"/>
    <w:rsid w:val="00822666"/>
    <w:rsid w:val="00823ECC"/>
    <w:rsid w:val="00866C97"/>
    <w:rsid w:val="009017AE"/>
    <w:rsid w:val="00926E39"/>
    <w:rsid w:val="00931B28"/>
    <w:rsid w:val="009A1042"/>
    <w:rsid w:val="009C542D"/>
    <w:rsid w:val="00A214C3"/>
    <w:rsid w:val="00A95183"/>
    <w:rsid w:val="00AB4AF7"/>
    <w:rsid w:val="00AB75E1"/>
    <w:rsid w:val="00AD7C4F"/>
    <w:rsid w:val="00B04094"/>
    <w:rsid w:val="00B26485"/>
    <w:rsid w:val="00B445F5"/>
    <w:rsid w:val="00B52D96"/>
    <w:rsid w:val="00BD40CB"/>
    <w:rsid w:val="00C87029"/>
    <w:rsid w:val="00C90121"/>
    <w:rsid w:val="00CA344F"/>
    <w:rsid w:val="00D1676E"/>
    <w:rsid w:val="00DA43CE"/>
    <w:rsid w:val="00DC0246"/>
    <w:rsid w:val="00E15A6A"/>
    <w:rsid w:val="00E6518A"/>
    <w:rsid w:val="00ED0055"/>
    <w:rsid w:val="00EE7CC7"/>
    <w:rsid w:val="00F0514D"/>
    <w:rsid w:val="00F540AB"/>
    <w:rsid w:val="00F915BA"/>
    <w:rsid w:val="00FB30CD"/>
    <w:rsid w:val="00FC11BB"/>
    <w:rsid w:val="00FE6497"/>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Props1.xml><?xml version="1.0" encoding="utf-8"?>
<ds:datastoreItem xmlns:ds="http://schemas.openxmlformats.org/officeDocument/2006/customXml" ds:itemID="{AFEAAD41-0E3A-4AC9-A94B-E9548A3E1E19}"/>
</file>

<file path=customXml/itemProps2.xml><?xml version="1.0" encoding="utf-8"?>
<ds:datastoreItem xmlns:ds="http://schemas.openxmlformats.org/officeDocument/2006/customXml" ds:itemID="{47078676-FA3E-4A2C-9D04-663A3D06153A}"/>
</file>

<file path=customXml/itemProps3.xml><?xml version="1.0" encoding="utf-8"?>
<ds:datastoreItem xmlns:ds="http://schemas.openxmlformats.org/officeDocument/2006/customXml" ds:itemID="{75F44B31-28A0-4D9F-B2C8-F83FDFDBB5A7}"/>
</file>

<file path=customXml/itemProps4.xml><?xml version="1.0" encoding="utf-8"?>
<ds:datastoreItem xmlns:ds="http://schemas.openxmlformats.org/officeDocument/2006/customXml" ds:itemID="{519877B0-CEA4-4098-B376-9AC09DC2F90E}"/>
</file>

<file path=customXml/itemProps5.xml><?xml version="1.0" encoding="utf-8"?>
<ds:datastoreItem xmlns:ds="http://schemas.openxmlformats.org/officeDocument/2006/customXml" ds:itemID="{CA1DA645-A1ED-4532-9671-F3FA213CED49}"/>
</file>

<file path=docProps/app.xml><?xml version="1.0" encoding="utf-8"?>
<Properties xmlns="http://schemas.openxmlformats.org/officeDocument/2006/extended-properties" xmlns:vt="http://schemas.openxmlformats.org/officeDocument/2006/docPropsVTypes">
  <Template>Normal.dotm</Template>
  <TotalTime>1</TotalTime>
  <Pages>21</Pages>
  <Words>8814</Words>
  <Characters>50243</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Testing.docx</dc:title>
  <dc:creator>Reva Winkler</dc:creator>
  <cp:lastModifiedBy>ManesaVaclavik</cp:lastModifiedBy>
  <cp:revision>3</cp:revision>
  <dcterms:created xsi:type="dcterms:W3CDTF">2014-03-05T20:59:00Z</dcterms:created>
  <dcterms:modified xsi:type="dcterms:W3CDTF">2014-03-05T21:08:00Z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16709954</vt:lpwstr>
  </property>
  <property fmtid="{D5CDD505-2E9C-101B-9397-08002B2CF9AE}" pid="4" name="LivelinkID">
    <vt:lpwstr>16709954</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04&amp;#58;54&amp;#58;28&lt;/td&gt;&lt;td&gt;Admin&lt;/td&gt;&lt;/tr&gt;&lt;tr&gt;&lt;td&gt;Permissions Changed&lt;/td&gt;&lt;td&gt;02/16/2015 19&amp;#58;15&amp;#58;06&lt;/td&gt;&lt;td&gt;dempseyl&lt;/td&gt;&lt;/tr&gt;&lt;tr&gt;&lt;td&gt;Create&lt;/td&gt;&lt;td&gt;07/02/2014 15&amp;#58;47&amp;#58;08&lt;/td&gt;&lt;td&gt;vaclavikm&lt;/td&gt;&lt;/tr&gt;&lt;tr&gt;&lt;td&gt;Version Added&lt;/td&gt;&lt;td&gt;07/02/2014 15&amp;#58;47&amp;#58;07&lt;/td&gt;&lt;td&gt;vaclavikm&lt;/td&gt;&lt;/tr&gt;&lt;/table&gt;</vt:lpwstr>
  </property>
  <property fmtid="{D5CDD505-2E9C-101B-9397-08002B2CF9AE}" pid="8" name="_dlc_DocId">
    <vt:lpwstr/>
  </property>
</Properties>
</file>