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WithEffects.xml" ContentType="application/vnd.ms-word.stylesWithEffect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Default="00496AF8" w:rsidP="002E2177">
      <w:pPr>
        <w:ind w:left="0" w:firstLine="0"/>
        <w:rPr>
          <w:rStyle w:val="Style1"/>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84250E">
            <w:rPr>
              <w:rStyle w:val="Style1"/>
            </w:rPr>
            <w:t>Oral Evaluation, Dental Services</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10T00:00:00Z">
            <w:dateFormat w:val="M/d/yyyy"/>
            <w:lid w:val="en-US"/>
            <w:storeMappedDataAs w:val="dateTime"/>
            <w:calendar w:val="gregorian"/>
          </w:date>
        </w:sdtPr>
        <w:sdtEndPr>
          <w:rPr>
            <w:rStyle w:val="DefaultParagraphFont"/>
            <w:noProof/>
            <w:color w:val="auto"/>
            <w:u w:val="none"/>
          </w:rPr>
        </w:sdtEndPr>
        <w:sdtContent>
          <w:r w:rsidR="00335AFA">
            <w:rPr>
              <w:rStyle w:val="Style2"/>
            </w:rPr>
            <w:t>2/10/2014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7438A9">
              <w:fldChar w:fldCharType="begin"/>
            </w:r>
            <w:r w:rsidR="007438A9">
              <w:instrText xml:space="preserve"> HYPERLINK \l "Note3" </w:instrText>
            </w:r>
            <w:r w:rsidR="007438A9">
              <w:fldChar w:fldCharType="separate"/>
            </w:r>
            <w:r w:rsidRPr="00765156">
              <w:rPr>
                <w:rStyle w:val="Hyperlink"/>
                <w:b/>
                <w:vertAlign w:val="superscript"/>
              </w:rPr>
              <w:t>3</w:t>
            </w:r>
            <w:r w:rsidR="007438A9">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7438A9">
              <w:fldChar w:fldCharType="begin"/>
            </w:r>
            <w:r w:rsidR="007438A9">
              <w:instrText xml:space="preserve"> HYPERLINK \l "Note4" </w:instrText>
            </w:r>
            <w:r w:rsidR="007438A9">
              <w:fldChar w:fldCharType="separate"/>
            </w:r>
            <w:r w:rsidRPr="00765156">
              <w:rPr>
                <w:rStyle w:val="Hyperlink"/>
                <w:b/>
                <w:vertAlign w:val="superscript"/>
              </w:rPr>
              <w:t>4</w:t>
            </w:r>
            <w:r w:rsidR="007438A9">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7438A9">
              <w:fldChar w:fldCharType="begin"/>
            </w:r>
            <w:r w:rsidR="007438A9">
              <w:instrText xml:space="preserve"> HYPERLINK \l "Note6" </w:instrText>
            </w:r>
            <w:r w:rsidR="007438A9">
              <w:fldChar w:fldCharType="separate"/>
            </w:r>
            <w:r w:rsidRPr="00765156">
              <w:rPr>
                <w:rStyle w:val="Hyperlink"/>
                <w:b/>
                <w:vertAlign w:val="superscript"/>
              </w:rPr>
              <w:t>6</w:t>
            </w:r>
            <w:r w:rsidR="007438A9">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7438A9"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7438A9" w:rsidP="005857F8">
      <w:pPr>
        <w:ind w:left="720" w:hanging="432"/>
        <w:rPr>
          <w:bCs/>
        </w:rPr>
      </w:pPr>
      <w:sdt>
        <w:sdtPr>
          <w:rPr>
            <w:bCs/>
            <w:color w:val="0000FF"/>
          </w:rPr>
          <w:id w:val="1309518776"/>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7438A9" w:rsidP="00015986">
      <w:pPr>
        <w:ind w:left="432" w:hanging="432"/>
        <w:rPr>
          <w:bCs/>
        </w:rPr>
      </w:pPr>
      <w:sdt>
        <w:sdtPr>
          <w:rPr>
            <w:bCs/>
            <w:color w:val="0000FF"/>
          </w:rPr>
          <w:id w:val="-1535727686"/>
        </w:sdtPr>
        <w:sdtEndPr/>
        <w:sdtContent>
          <w:r w:rsidR="005960F1" w:rsidRPr="005960F1">
            <w:rPr>
              <w:b/>
              <w:bCs/>
              <w:color w:val="0000CC"/>
            </w:rPr>
            <w:t>X</w:t>
          </w:r>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5960F1">
            <w:rPr>
              <w:rStyle w:val="Style2"/>
              <w:rFonts w:cstheme="minorHAnsi"/>
            </w:rPr>
            <w:t xml:space="preserve">Receipt of </w:t>
          </w:r>
          <w:r w:rsidR="0084250E">
            <w:rPr>
              <w:rStyle w:val="Style2"/>
              <w:rFonts w:cstheme="minorHAnsi"/>
            </w:rPr>
            <w:t xml:space="preserve">a comprehensive or periodic oral evaluation during </w:t>
          </w:r>
          <w:r w:rsidR="005960F1">
            <w:rPr>
              <w:rStyle w:val="Style2"/>
              <w:rFonts w:cstheme="minorHAnsi"/>
            </w:rPr>
            <w:t>the reporting period</w:t>
          </w:r>
        </w:sdtContent>
      </w:sdt>
    </w:p>
    <w:p w:rsidR="00496AF8" w:rsidRPr="00E51798" w:rsidRDefault="007438A9" w:rsidP="00015986">
      <w:pPr>
        <w:ind w:left="432" w:hanging="432"/>
        <w:rPr>
          <w:bCs/>
        </w:rPr>
      </w:pPr>
      <w:sdt>
        <w:sdtPr>
          <w:rPr>
            <w:bCs/>
            <w:color w:val="0000FF"/>
            <w:u w:val="single"/>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7438A9"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proofErr w:type="gramStart"/>
      <w:r w:rsidR="00E41417">
        <w:rPr>
          <w:bCs/>
        </w:rPr>
        <w:t>O</w:t>
      </w:r>
      <w:r w:rsidR="00496AF8" w:rsidRPr="00B058A6">
        <w:rPr>
          <w:bCs/>
        </w:rPr>
        <w:t>ther</w:t>
      </w:r>
      <w:proofErr w:type="gramEnd"/>
      <w:r w:rsidR="00496AF8" w:rsidRPr="00B058A6">
        <w:rPr>
          <w:bCs/>
        </w:rPr>
        <w:t>:</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5960F1" w:rsidRDefault="005960F1" w:rsidP="002E2177">
      <w:pPr>
        <w:ind w:left="432" w:hanging="432"/>
        <w:rPr>
          <w:color w:val="0000FF"/>
        </w:rPr>
      </w:pPr>
      <w:r>
        <w:rPr>
          <w:color w:val="0000FF"/>
        </w:rPr>
        <w:t>Not applicable.</w:t>
      </w:r>
    </w:p>
    <w:p w:rsidR="00FB3DD8" w:rsidRDefault="00FB3DD8" w:rsidP="002E2177">
      <w:pPr>
        <w:ind w:left="432" w:hanging="432"/>
        <w:rPr>
          <w:b/>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5960F1" w:rsidRDefault="005960F1" w:rsidP="005D36E2">
      <w:pPr>
        <w:ind w:left="0" w:firstLine="0"/>
        <w:rPr>
          <w:b/>
          <w:iCs/>
          <w:caps/>
        </w:rPr>
      </w:pPr>
    </w:p>
    <w:p w:rsidR="00496AF8" w:rsidRPr="003956E0" w:rsidRDefault="002F20A7" w:rsidP="005D36E2">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496AF8" w:rsidRDefault="002B06BD" w:rsidP="005D36E2">
      <w:pPr>
        <w:ind w:left="0" w:firstLine="0"/>
        <w:rPr>
          <w:i/>
          <w:iCs/>
        </w:rPr>
      </w:pPr>
      <w:bookmarkStart w:id="6" w:name="Section1a3"/>
      <w:bookmarkEnd w:id="6"/>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117273" w:rsidRDefault="002F6690" w:rsidP="005D36E2">
      <w:pPr>
        <w:ind w:left="0" w:firstLine="0"/>
        <w:rPr>
          <w:iCs/>
          <w:color w:val="0000CC"/>
        </w:rPr>
      </w:pPr>
      <w:r w:rsidRPr="002F6690">
        <w:rPr>
          <w:color w:val="0000CC"/>
        </w:rPr>
        <w:t xml:space="preserve">The proposed measure, Oral Evaluation - Dental Services, captures whether children receive a comprehensive or periodic oral evaluation as a dental service during the reporting year.  </w:t>
      </w:r>
      <w:r w:rsidR="00A24289" w:rsidRPr="0055651A">
        <w:rPr>
          <w:color w:val="0000CC"/>
        </w:rPr>
        <w:t xml:space="preserve">As described in </w:t>
      </w:r>
      <w:r w:rsidR="00A24289" w:rsidRPr="00A24289">
        <w:rPr>
          <w:color w:val="0000CC"/>
        </w:rPr>
        <w:t xml:space="preserve">1b1 (Importance), dental caries is the most common chronic disease in children in the U.S., and a significant percentage of children have untreated dental caries.  Dental decay causes significant short- and long-term adverse consequences for children’s health and functioning.  </w:t>
      </w:r>
      <w:r w:rsidR="00A24289" w:rsidRPr="00A24289">
        <w:rPr>
          <w:iCs/>
          <w:color w:val="0000CC"/>
        </w:rPr>
        <w:t xml:space="preserve">Identifying caries early is important to reverse the disease process, prevent progression of caries, and reduce incidence of future lesions.  Evidence-based guidelines </w:t>
      </w:r>
      <w:r w:rsidR="00A24289">
        <w:rPr>
          <w:iCs/>
          <w:color w:val="0000CC"/>
        </w:rPr>
        <w:t>recommend</w:t>
      </w:r>
      <w:r w:rsidR="00A24289" w:rsidRPr="00A24289">
        <w:rPr>
          <w:iCs/>
          <w:color w:val="0000CC"/>
        </w:rPr>
        <w:t xml:space="preserve"> </w:t>
      </w:r>
      <w:r w:rsidR="00A24289">
        <w:rPr>
          <w:iCs/>
          <w:color w:val="0000CC"/>
        </w:rPr>
        <w:t xml:space="preserve">clinical </w:t>
      </w:r>
      <w:r w:rsidR="00A24289" w:rsidRPr="00A24289">
        <w:rPr>
          <w:iCs/>
          <w:color w:val="0000CC"/>
        </w:rPr>
        <w:t xml:space="preserve">oral evaluations </w:t>
      </w:r>
      <w:r w:rsidR="00A24289">
        <w:rPr>
          <w:iCs/>
          <w:color w:val="0000CC"/>
        </w:rPr>
        <w:t>with a regular recall schedule that is t</w:t>
      </w:r>
      <w:r w:rsidR="00A24289" w:rsidRPr="00A24289">
        <w:rPr>
          <w:iCs/>
          <w:color w:val="0000CC"/>
        </w:rPr>
        <w:t xml:space="preserve">ailored to individual needs based on assessments of existing disease and risk of disease (e.g., caries risk) with </w:t>
      </w:r>
      <w:r w:rsidR="00A24289">
        <w:rPr>
          <w:iCs/>
          <w:color w:val="0000CC"/>
        </w:rPr>
        <w:t>the</w:t>
      </w:r>
      <w:r w:rsidR="00A24289" w:rsidRPr="00A24289">
        <w:rPr>
          <w:iCs/>
          <w:color w:val="0000CC"/>
        </w:rPr>
        <w:t xml:space="preserve"> recommended recall frequency ranging from 3 months to no more than 12 months for individuals younger than 18 years of age (National Institute for Health and Care Excellence (NICE), Clinical Guideline 19, 2004).</w:t>
      </w:r>
      <w:r w:rsidR="00A24289">
        <w:rPr>
          <w:iCs/>
          <w:color w:val="0000CC"/>
        </w:rPr>
        <w:t xml:space="preserve">   </w:t>
      </w:r>
      <w:r w:rsidR="00A24289" w:rsidRPr="00A24289">
        <w:rPr>
          <w:iCs/>
          <w:color w:val="0000CC"/>
        </w:rPr>
        <w:t xml:space="preserve">Comprehensive and periodic clinical oral evaluations are diagnostic services that are critical to evaluating oral disease and dentition development.  Clinical oral evaluations also are essential to developing an appropriate preventive oral health regimen and treatment plan.  Thus, clinical oral evaluations play an essential role in caries identification, prevention and treatment, thereby promoting improved oral health, overall health, and quality of life.    </w:t>
      </w:r>
    </w:p>
    <w:p w:rsidR="00A24289" w:rsidRPr="00A24289" w:rsidRDefault="00A24289" w:rsidP="005D36E2">
      <w:pPr>
        <w:ind w:left="0" w:firstLine="0"/>
        <w:rPr>
          <w:color w:val="0000CC"/>
        </w:rPr>
      </w:pPr>
    </w:p>
    <w:p w:rsidR="0055559D" w:rsidRDefault="00FD4D82" w:rsidP="005D36E2">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7438A9" w:rsidP="005D36E2">
      <w:pPr>
        <w:ind w:left="0" w:firstLine="0"/>
      </w:pPr>
      <w:sdt>
        <w:sdtPr>
          <w:rPr>
            <w:b/>
            <w:bCs/>
            <w:color w:val="0000CC"/>
          </w:rPr>
          <w:id w:val="-468508862"/>
        </w:sdtPr>
        <w:sdtEndPr/>
        <w:sdtContent>
          <w:r w:rsidR="0015535B" w:rsidRPr="002F6690">
            <w:rPr>
              <w:rFonts w:ascii="MS Gothic" w:eastAsia="MS Gothic" w:hAnsi="MS Gothic" w:hint="eastAsia"/>
              <w:b/>
              <w:bCs/>
              <w:color w:val="0000CC"/>
            </w:rPr>
            <w:t>☐</w:t>
          </w:r>
          <w:r w:rsidR="005960F1" w:rsidRPr="002F6690">
            <w:rPr>
              <w:rFonts w:ascii="MS Gothic" w:eastAsia="MS Gothic" w:hAnsi="MS Gothic"/>
              <w:b/>
              <w:bCs/>
              <w:color w:val="0000CC"/>
            </w:rPr>
            <w:t>X</w:t>
          </w:r>
        </w:sdtContent>
      </w:sdt>
      <w:r w:rsidR="001B38BF" w:rsidRPr="002F6690">
        <w:rPr>
          <w:b/>
          <w:color w:val="0000CC"/>
        </w:rPr>
        <w:t xml:space="preserve"> Clinical Practice </w:t>
      </w:r>
      <w:r w:rsidR="00AA5587" w:rsidRPr="002F6690">
        <w:rPr>
          <w:b/>
          <w:color w:val="0000CC"/>
        </w:rPr>
        <w:t>G</w:t>
      </w:r>
      <w:r w:rsidR="001B38BF" w:rsidRPr="002F6690">
        <w:rPr>
          <w:b/>
          <w:color w:val="0000CC"/>
        </w:rPr>
        <w:t>uideline</w:t>
      </w:r>
      <w:r w:rsidR="00E746A2" w:rsidRPr="002F6690">
        <w:rPr>
          <w:b/>
          <w:color w:val="0000CC"/>
        </w:rPr>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7438A9" w:rsidP="005D36E2">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7438A9" w:rsidP="005D36E2">
      <w:pPr>
        <w:ind w:left="0" w:firstLine="0"/>
      </w:pPr>
      <w:sdt>
        <w:sdtPr>
          <w:rPr>
            <w:bCs/>
            <w:color w:val="0000FF"/>
            <w:u w:val="single"/>
          </w:rPr>
          <w:id w:val="1199589694"/>
        </w:sdtPr>
        <w:sdtEndPr/>
        <w:sdtContent>
          <w:r w:rsidR="007573F0">
            <w:rPr>
              <w:rFonts w:ascii="MS Gothic" w:eastAsia="MS Gothic" w:hAnsi="MS Gothic" w:hint="eastAsia"/>
              <w:bCs/>
              <w:color w:val="0000FF"/>
            </w:rPr>
            <w:t>☐</w:t>
          </w:r>
        </w:sdtContent>
      </w:sdt>
      <w:r w:rsidR="007573F0">
        <w:t xml:space="preserve"> </w:t>
      </w:r>
      <w:proofErr w:type="gramStart"/>
      <w:r w:rsidR="007573F0">
        <w:t>Other</w:t>
      </w:r>
      <w:proofErr w:type="gramEnd"/>
      <w:r w:rsidR="007573F0">
        <w:t xml:space="preserve">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7438A9" w:rsidP="005D36E2">
      <w:pPr>
        <w:ind w:left="0" w:firstLine="0"/>
      </w:pPr>
      <w:sdt>
        <w:sdtPr>
          <w:rPr>
            <w:bCs/>
            <w:color w:val="0000FF"/>
            <w:u w:val="single"/>
          </w:rPr>
          <w:id w:val="302275832"/>
        </w:sdtPr>
        <w:sdtEndPr/>
        <w:sdtContent>
          <w:r w:rsidR="0015535B">
            <w:rPr>
              <w:rFonts w:ascii="MS Gothic" w:eastAsia="MS Gothic" w:hAnsi="MS Gothic" w:hint="eastAsia"/>
              <w:bCs/>
              <w:color w:val="0000FF"/>
            </w:rPr>
            <w:t>☐</w:t>
          </w:r>
        </w:sdtContent>
      </w:sdt>
      <w:r w:rsidR="00FD4D82">
        <w:t xml:space="preserve"> </w:t>
      </w:r>
      <w:proofErr w:type="gramStart"/>
      <w:r w:rsidR="00FD4D82">
        <w:t>Other</w:t>
      </w:r>
      <w:proofErr w:type="gramEnd"/>
      <w:r w:rsidR="00FD4D82">
        <w:t xml:space="preserve">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201FF9" w:rsidRPr="00201FF9" w:rsidRDefault="00201FF9" w:rsidP="005D36E2">
      <w:pPr>
        <w:ind w:left="0" w:firstLine="0"/>
        <w:rPr>
          <w:i/>
        </w:rPr>
      </w:pPr>
      <w:r w:rsidRPr="00201FF9">
        <w:rPr>
          <w:i/>
          <w:highlight w:val="green"/>
        </w:rPr>
        <w:lastRenderedPageBreak/>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5D36E2">
      <w:pPr>
        <w:ind w:left="0" w:firstLine="0"/>
        <w:rPr>
          <w:b/>
          <w:color w:val="0070C0"/>
        </w:rPr>
      </w:pPr>
    </w:p>
    <w:p w:rsidR="009B5BEA" w:rsidRPr="00FD4D82" w:rsidRDefault="00FD4D82" w:rsidP="005D36E2">
      <w:pPr>
        <w:ind w:left="0" w:firstLine="0"/>
        <w:rPr>
          <w:b/>
        </w:rPr>
      </w:pPr>
      <w:bookmarkStart w:id="7" w:name="Section1a4"/>
      <w:bookmarkEnd w:id="7"/>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7E37A5" w:rsidRDefault="008B51D9" w:rsidP="005D36E2">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117273" w:rsidRPr="002F6690" w:rsidRDefault="00117273" w:rsidP="005D36E2">
      <w:pPr>
        <w:ind w:left="0" w:firstLine="0"/>
        <w:rPr>
          <w:color w:val="0000CC"/>
        </w:rPr>
      </w:pPr>
      <w:proofErr w:type="gramStart"/>
      <w:r w:rsidRPr="002F6690">
        <w:rPr>
          <w:color w:val="0000CC"/>
        </w:rPr>
        <w:t xml:space="preserve">National Institute for </w:t>
      </w:r>
      <w:r w:rsidR="00626D15" w:rsidRPr="002F6690">
        <w:rPr>
          <w:color w:val="0000CC"/>
        </w:rPr>
        <w:t xml:space="preserve">Health and Care </w:t>
      </w:r>
      <w:r w:rsidRPr="002F6690">
        <w:rPr>
          <w:color w:val="0000CC"/>
        </w:rPr>
        <w:t>Excellence</w:t>
      </w:r>
      <w:r w:rsidR="00626D15" w:rsidRPr="002F6690">
        <w:rPr>
          <w:color w:val="0000CC"/>
        </w:rPr>
        <w:t xml:space="preserve"> (NICE)</w:t>
      </w:r>
      <w:r w:rsidRPr="002F6690">
        <w:rPr>
          <w:color w:val="0000CC"/>
        </w:rPr>
        <w:t>.</w:t>
      </w:r>
      <w:proofErr w:type="gramEnd"/>
      <w:r w:rsidRPr="002F6690">
        <w:rPr>
          <w:color w:val="0000CC"/>
        </w:rPr>
        <w:t xml:space="preserve">  2004. </w:t>
      </w:r>
      <w:r w:rsidR="00626D15" w:rsidRPr="002F6690">
        <w:rPr>
          <w:color w:val="0000CC"/>
        </w:rPr>
        <w:t xml:space="preserve">Clinical Guidelines.  </w:t>
      </w:r>
      <w:r w:rsidRPr="002F6690">
        <w:rPr>
          <w:color w:val="0000CC"/>
        </w:rPr>
        <w:t>“</w:t>
      </w:r>
      <w:r w:rsidR="00626D15" w:rsidRPr="002F6690">
        <w:rPr>
          <w:color w:val="0000CC"/>
        </w:rPr>
        <w:t xml:space="preserve">CG19: </w:t>
      </w:r>
      <w:r w:rsidRPr="002F6690">
        <w:rPr>
          <w:color w:val="0000CC"/>
        </w:rPr>
        <w:t xml:space="preserve">Dental Recall – Recall Interval between Routine Dental Examinations.” </w:t>
      </w:r>
      <w:r w:rsidR="00626D15" w:rsidRPr="002F6690">
        <w:rPr>
          <w:color w:val="0000CC"/>
        </w:rPr>
        <w:t>Available at: http://guidance.nice.org.uk/CG19.</w:t>
      </w:r>
    </w:p>
    <w:p w:rsidR="00117273" w:rsidRPr="002F6690" w:rsidRDefault="00117273" w:rsidP="005D36E2">
      <w:pPr>
        <w:ind w:left="0" w:firstLine="0"/>
        <w:rPr>
          <w:color w:val="0000CC"/>
        </w:rPr>
      </w:pPr>
    </w:p>
    <w:p w:rsidR="005960F1" w:rsidRPr="002F6690" w:rsidRDefault="005960F1" w:rsidP="005D36E2">
      <w:pPr>
        <w:ind w:left="0" w:firstLine="0"/>
        <w:rPr>
          <w:color w:val="0000CC"/>
        </w:rPr>
      </w:pPr>
      <w:proofErr w:type="gramStart"/>
      <w:r w:rsidRPr="002F6690">
        <w:rPr>
          <w:color w:val="0000CC"/>
        </w:rPr>
        <w:t>American Academy of Pediatric Dentistry.</w:t>
      </w:r>
      <w:proofErr w:type="gramEnd"/>
      <w:r w:rsidRPr="002F6690">
        <w:rPr>
          <w:color w:val="0000CC"/>
        </w:rPr>
        <w:t xml:space="preserve"> 2013. "Guideline on Periodicity of Examination, Preventive Dental Services, Anticipatory Guidance/Counseling, and Oral Treatment for Infants, Children, and Adolescents</w:t>
      </w:r>
      <w:proofErr w:type="gramStart"/>
      <w:r w:rsidRPr="002F6690">
        <w:rPr>
          <w:color w:val="0000CC"/>
        </w:rPr>
        <w:t>. "</w:t>
      </w:r>
      <w:proofErr w:type="gramEnd"/>
      <w:r w:rsidRPr="002F6690">
        <w:rPr>
          <w:color w:val="0000CC"/>
        </w:rPr>
        <w:t xml:space="preserve"> Available at: </w:t>
      </w:r>
      <w:hyperlink r:id="rId15" w:history="1">
        <w:r w:rsidRPr="002F6690">
          <w:rPr>
            <w:rStyle w:val="Hyperlink"/>
            <w:color w:val="0000CC"/>
          </w:rPr>
          <w:t>http://www.aapd.org/media/Policies_Guidelines/G_Periodicity.pdf</w:t>
        </w:r>
      </w:hyperlink>
      <w:r w:rsidRPr="002F6690">
        <w:rPr>
          <w:color w:val="0000CC"/>
        </w:rPr>
        <w:t xml:space="preserve">. </w:t>
      </w:r>
    </w:p>
    <w:p w:rsidR="005960F1" w:rsidRPr="002F6690" w:rsidRDefault="005960F1" w:rsidP="005D36E2">
      <w:pPr>
        <w:ind w:left="0" w:firstLine="0"/>
        <w:rPr>
          <w:color w:val="0000CC"/>
        </w:rPr>
      </w:pPr>
    </w:p>
    <w:p w:rsidR="005960F1" w:rsidRDefault="005960F1" w:rsidP="005D36E2">
      <w:pPr>
        <w:ind w:left="0" w:firstLine="0"/>
        <w:rPr>
          <w:color w:val="FF0000"/>
        </w:rPr>
      </w:pPr>
      <w:proofErr w:type="gramStart"/>
      <w:r w:rsidRPr="002F6690">
        <w:rPr>
          <w:color w:val="0000CC"/>
        </w:rPr>
        <w:t>American Academy of Pediatrics Section on Pediatric Dentistry and Oral Health.</w:t>
      </w:r>
      <w:proofErr w:type="gramEnd"/>
      <w:r w:rsidRPr="002F6690">
        <w:rPr>
          <w:color w:val="0000CC"/>
        </w:rPr>
        <w:t xml:space="preserve"> 2008. “Policy Statement: Preventive Oral Health Intervention for Pediatricians.” Pediatrics 122(6): 1387-94. Available at: </w:t>
      </w:r>
      <w:hyperlink r:id="rId16" w:history="1">
        <w:r w:rsidRPr="002F6690">
          <w:rPr>
            <w:rStyle w:val="Hyperlink"/>
            <w:color w:val="0000CC"/>
          </w:rPr>
          <w:t>http://pediatrics.aappublications.org/content/122/6/1387.full</w:t>
        </w:r>
      </w:hyperlink>
      <w:r w:rsidRPr="002F6690">
        <w:rPr>
          <w:color w:val="0000CC"/>
        </w:rPr>
        <w:t>.</w:t>
      </w:r>
      <w:r>
        <w:rPr>
          <w:color w:val="FF0000"/>
        </w:rPr>
        <w:t xml:space="preserve"> </w:t>
      </w:r>
    </w:p>
    <w:p w:rsidR="00437B34" w:rsidRDefault="00437B34" w:rsidP="005D36E2">
      <w:pPr>
        <w:ind w:left="0" w:firstLine="0"/>
        <w:rPr>
          <w:color w:val="FF0000"/>
        </w:rPr>
      </w:pPr>
    </w:p>
    <w:p w:rsidR="00D14F0B" w:rsidRDefault="008B51D9" w:rsidP="005D36E2">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5960F1" w:rsidRPr="002F6690" w:rsidRDefault="005960F1" w:rsidP="005D36E2">
      <w:pPr>
        <w:ind w:left="0" w:firstLine="0"/>
        <w:rPr>
          <w:color w:val="0000CC"/>
        </w:rPr>
      </w:pPr>
      <w:r w:rsidRPr="002F6690">
        <w:rPr>
          <w:color w:val="0000CC"/>
        </w:rPr>
        <w:t xml:space="preserve">National guidelines from the American Academy of Pediatric Dentistry </w:t>
      </w:r>
      <w:r w:rsidR="001244B8" w:rsidRPr="002F6690">
        <w:rPr>
          <w:color w:val="0000CC"/>
        </w:rPr>
        <w:t xml:space="preserve">(AAPD) </w:t>
      </w:r>
      <w:r w:rsidRPr="002F6690">
        <w:rPr>
          <w:color w:val="0000CC"/>
        </w:rPr>
        <w:t>and the American Academy of Pediatrics</w:t>
      </w:r>
      <w:r w:rsidR="001244B8" w:rsidRPr="002F6690">
        <w:rPr>
          <w:color w:val="0000CC"/>
        </w:rPr>
        <w:t xml:space="preserve"> (AAP)</w:t>
      </w:r>
      <w:r w:rsidRPr="002F6690">
        <w:rPr>
          <w:color w:val="0000CC"/>
        </w:rPr>
        <w:t xml:space="preserve"> recommend that children receive oral health services by 1 year of age and have regular visits thereafter.  The most common recall interval is six months.  However, </w:t>
      </w:r>
      <w:r w:rsidR="00626D15" w:rsidRPr="002F6690">
        <w:rPr>
          <w:color w:val="0000CC"/>
        </w:rPr>
        <w:t>evidence-based guidelines indicate that the recall schedu</w:t>
      </w:r>
      <w:r w:rsidR="00437B34" w:rsidRPr="002F6690">
        <w:rPr>
          <w:color w:val="0000CC"/>
        </w:rPr>
        <w:t>le should be tailored to individual needs based on assessments of existing disease and risk of disease (e.g., caries risk) with a recommend</w:t>
      </w:r>
      <w:r w:rsidR="00CA2DC0" w:rsidRPr="002F6690">
        <w:rPr>
          <w:color w:val="0000CC"/>
        </w:rPr>
        <w:t>ed</w:t>
      </w:r>
      <w:r w:rsidR="00437B34" w:rsidRPr="002F6690">
        <w:rPr>
          <w:color w:val="0000CC"/>
        </w:rPr>
        <w:t xml:space="preserve"> recall frequency </w:t>
      </w:r>
      <w:r w:rsidR="00CA2DC0" w:rsidRPr="002F6690">
        <w:rPr>
          <w:color w:val="0000CC"/>
        </w:rPr>
        <w:t xml:space="preserve">for routine oral evaluations </w:t>
      </w:r>
      <w:r w:rsidR="00437B34" w:rsidRPr="002F6690">
        <w:rPr>
          <w:color w:val="0000CC"/>
        </w:rPr>
        <w:t>ranging from 3 months to no more than 12 months for individuals younger than 18 years of age.</w:t>
      </w:r>
    </w:p>
    <w:p w:rsidR="002F3BBD" w:rsidRPr="002F6690" w:rsidRDefault="002F3BBD" w:rsidP="005D36E2">
      <w:pPr>
        <w:ind w:left="0" w:firstLine="0"/>
        <w:rPr>
          <w:color w:val="0000CC"/>
        </w:rPr>
      </w:pPr>
    </w:p>
    <w:p w:rsidR="002F3BBD" w:rsidRPr="002F6690" w:rsidRDefault="002F3BBD" w:rsidP="005D36E2">
      <w:pPr>
        <w:ind w:left="0" w:firstLine="0"/>
        <w:rPr>
          <w:color w:val="0000CC"/>
        </w:rPr>
      </w:pPr>
      <w:r w:rsidRPr="002F6690">
        <w:rPr>
          <w:b/>
          <w:color w:val="0000CC"/>
        </w:rPr>
        <w:t>Terminology Note:</w:t>
      </w:r>
      <w:r w:rsidRPr="002F6690">
        <w:rPr>
          <w:color w:val="0000CC"/>
        </w:rPr>
        <w:t xml:space="preserve"> The United Kingdom’s National Institute for Health and Care Excellence (NICE) uses the term “Oral Health Review” to “refer to the continuing re-examination of an individual’s oral health and risk status.”  The UK’s Oral Health Reviews are what the American Dental Association refers to as “Oral Evaluations</w:t>
      </w:r>
      <w:r w:rsidR="002F6690">
        <w:rPr>
          <w:color w:val="0000CC"/>
        </w:rPr>
        <w:t>.</w:t>
      </w:r>
      <w:r w:rsidRPr="002F6690">
        <w:rPr>
          <w:color w:val="0000CC"/>
        </w:rPr>
        <w:t>”</w:t>
      </w:r>
    </w:p>
    <w:p w:rsidR="00437B34" w:rsidRPr="002F6690" w:rsidRDefault="00437B34" w:rsidP="005D36E2">
      <w:pPr>
        <w:ind w:left="0" w:firstLine="0"/>
        <w:rPr>
          <w:color w:val="0000CC"/>
        </w:rPr>
      </w:pPr>
    </w:p>
    <w:p w:rsidR="00CA48C2" w:rsidRPr="002F6690" w:rsidRDefault="00CA48C2" w:rsidP="005D36E2">
      <w:pPr>
        <w:ind w:left="0" w:firstLine="0"/>
        <w:rPr>
          <w:b/>
          <w:color w:val="0000CC"/>
        </w:rPr>
      </w:pPr>
      <w:r w:rsidRPr="002F6690">
        <w:rPr>
          <w:b/>
          <w:color w:val="0000CC"/>
          <w:u w:val="single"/>
        </w:rPr>
        <w:t>Age of First Visit</w:t>
      </w:r>
    </w:p>
    <w:p w:rsidR="00437B34" w:rsidRPr="002F6690" w:rsidRDefault="00437B34" w:rsidP="005D36E2">
      <w:pPr>
        <w:ind w:left="0" w:firstLine="0"/>
        <w:rPr>
          <w:color w:val="0000CC"/>
        </w:rPr>
      </w:pPr>
      <w:r w:rsidRPr="002F6690">
        <w:rPr>
          <w:color w:val="0000CC"/>
        </w:rPr>
        <w:t xml:space="preserve">“The first examination is recommended at the time of the eruption of the first tooth and no later than 12 months of age.” </w:t>
      </w:r>
      <w:proofErr w:type="gramStart"/>
      <w:r w:rsidRPr="002F6690">
        <w:rPr>
          <w:color w:val="0000CC"/>
        </w:rPr>
        <w:t>(p. 114 of AAPD Clinical Guidelines).</w:t>
      </w:r>
      <w:proofErr w:type="gramEnd"/>
      <w:r w:rsidRPr="002F6690">
        <w:rPr>
          <w:color w:val="0000CC"/>
        </w:rPr>
        <w:t xml:space="preserve"> </w:t>
      </w:r>
    </w:p>
    <w:p w:rsidR="00437B34" w:rsidRPr="002F6690" w:rsidRDefault="00437B34" w:rsidP="005D36E2">
      <w:pPr>
        <w:ind w:left="0" w:firstLine="0"/>
        <w:rPr>
          <w:color w:val="0000CC"/>
        </w:rPr>
      </w:pPr>
      <w:r w:rsidRPr="002F6690">
        <w:rPr>
          <w:color w:val="0000CC"/>
        </w:rPr>
        <w:t xml:space="preserve"> </w:t>
      </w:r>
    </w:p>
    <w:p w:rsidR="00437B34" w:rsidRPr="002F6690" w:rsidRDefault="00437B34" w:rsidP="005D36E2">
      <w:pPr>
        <w:ind w:left="0" w:firstLine="0"/>
        <w:rPr>
          <w:color w:val="0000CC"/>
        </w:rPr>
      </w:pPr>
      <w:r w:rsidRPr="002F6690">
        <w:rPr>
          <w:color w:val="0000CC"/>
        </w:rPr>
        <w:t xml:space="preserve">“Every child should have a dental home established by 1 year of age.” </w:t>
      </w:r>
      <w:proofErr w:type="gramStart"/>
      <w:r w:rsidRPr="002F6690">
        <w:rPr>
          <w:color w:val="0000CC"/>
        </w:rPr>
        <w:t>(American Academy of Pediatrics Section on Pediatric Dentistry and Oral Health.</w:t>
      </w:r>
      <w:proofErr w:type="gramEnd"/>
      <w:r w:rsidRPr="002F6690">
        <w:rPr>
          <w:color w:val="0000CC"/>
        </w:rPr>
        <w:t xml:space="preserve"> 2008. “Policy Statement: Preventive Oral Health Intervention for Pediatricians.” Pediatrics 122(6): 1387-94; at page 1391).</w:t>
      </w:r>
    </w:p>
    <w:p w:rsidR="00437B34" w:rsidRPr="002F6690" w:rsidRDefault="00437B34" w:rsidP="005D36E2">
      <w:pPr>
        <w:ind w:left="0" w:firstLine="0"/>
        <w:rPr>
          <w:color w:val="0000CC"/>
        </w:rPr>
      </w:pPr>
    </w:p>
    <w:p w:rsidR="005960F1" w:rsidRPr="002F6690" w:rsidRDefault="005960F1" w:rsidP="005D36E2">
      <w:pPr>
        <w:ind w:left="0" w:firstLine="0"/>
        <w:rPr>
          <w:color w:val="0000CC"/>
        </w:rPr>
      </w:pPr>
      <w:r w:rsidRPr="002F6690">
        <w:rPr>
          <w:color w:val="0000CC"/>
          <w:u w:val="single"/>
        </w:rPr>
        <w:t>Supporting evidence cited</w:t>
      </w:r>
      <w:r w:rsidR="00CA48C2" w:rsidRPr="002F6690">
        <w:rPr>
          <w:color w:val="0000CC"/>
          <w:u w:val="single"/>
        </w:rPr>
        <w:t xml:space="preserve"> in AAPD Guidelines</w:t>
      </w:r>
      <w:r w:rsidRPr="002F6690">
        <w:rPr>
          <w:color w:val="0000CC"/>
        </w:rPr>
        <w:t>:</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Policy on the dental home.</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issue):24-5.</w:t>
      </w:r>
    </w:p>
    <w:p w:rsidR="005960F1" w:rsidRPr="002F6690" w:rsidRDefault="005960F1" w:rsidP="005D36E2">
      <w:pPr>
        <w:ind w:left="720" w:hanging="720"/>
        <w:rPr>
          <w:color w:val="0000CC"/>
        </w:rPr>
      </w:pPr>
      <w:proofErr w:type="gramStart"/>
      <w:r w:rsidRPr="002F6690">
        <w:rPr>
          <w:color w:val="0000CC"/>
        </w:rPr>
        <w:t>American Academy of Pediatrics.</w:t>
      </w:r>
      <w:proofErr w:type="gramEnd"/>
      <w:r w:rsidRPr="002F6690">
        <w:rPr>
          <w:color w:val="0000CC"/>
        </w:rPr>
        <w:t xml:space="preserve"> Oral health risk assessment timing and establishment of the dental home. </w:t>
      </w:r>
      <w:proofErr w:type="spellStart"/>
      <w:r w:rsidRPr="002F6690">
        <w:rPr>
          <w:color w:val="0000CC"/>
        </w:rPr>
        <w:t>Pediatr</w:t>
      </w:r>
      <w:proofErr w:type="spellEnd"/>
      <w:r w:rsidRPr="002F6690">
        <w:rPr>
          <w:color w:val="0000CC"/>
        </w:rPr>
        <w:t xml:space="preserve"> 2003:11(5):1113-6. Reaffirmed 2009</w:t>
      </w:r>
      <w:proofErr w:type="gramStart"/>
      <w:r w:rsidRPr="002F6690">
        <w:rPr>
          <w:color w:val="0000CC"/>
        </w:rPr>
        <w:t>;124</w:t>
      </w:r>
      <w:proofErr w:type="gramEnd"/>
      <w:r w:rsidRPr="002F6690">
        <w:rPr>
          <w:color w:val="0000CC"/>
        </w:rPr>
        <w:t>(2):</w:t>
      </w:r>
    </w:p>
    <w:p w:rsidR="005960F1" w:rsidRPr="002F6690" w:rsidRDefault="005960F1" w:rsidP="005D36E2">
      <w:pPr>
        <w:ind w:left="720" w:hanging="720"/>
        <w:rPr>
          <w:color w:val="0000CC"/>
        </w:rPr>
      </w:pPr>
      <w:r w:rsidRPr="002F6690">
        <w:rPr>
          <w:color w:val="0000CC"/>
        </w:rPr>
        <w:t xml:space="preserve">Berg JH, Stapleton FB. Physician and dentist: New initiatives to jointly mitigate early childhood oral disease. </w:t>
      </w:r>
      <w:proofErr w:type="spellStart"/>
      <w:r w:rsidRPr="002F6690">
        <w:rPr>
          <w:color w:val="0000CC"/>
        </w:rPr>
        <w:t>Clin</w:t>
      </w:r>
      <w:proofErr w:type="spellEnd"/>
      <w:r w:rsidRPr="002F6690">
        <w:rPr>
          <w:color w:val="0000CC"/>
        </w:rPr>
        <w:t xml:space="preserve"> </w:t>
      </w:r>
      <w:proofErr w:type="spellStart"/>
      <w:r w:rsidRPr="002F6690">
        <w:rPr>
          <w:color w:val="0000CC"/>
        </w:rPr>
        <w:t>Pediatr</w:t>
      </w:r>
      <w:proofErr w:type="spellEnd"/>
      <w:r w:rsidRPr="002F6690">
        <w:rPr>
          <w:color w:val="0000CC"/>
        </w:rPr>
        <w:t xml:space="preserve"> 2012:51(6):531-7.</w:t>
      </w:r>
    </w:p>
    <w:p w:rsidR="005960F1" w:rsidRPr="002F6690" w:rsidRDefault="005960F1" w:rsidP="005D36E2">
      <w:pPr>
        <w:ind w:left="0" w:firstLine="0"/>
        <w:rPr>
          <w:color w:val="0000CC"/>
        </w:rPr>
      </w:pPr>
    </w:p>
    <w:p w:rsidR="00D736F4" w:rsidRDefault="00D736F4">
      <w:pPr>
        <w:rPr>
          <w:b/>
          <w:color w:val="0000CC"/>
          <w:u w:val="single"/>
        </w:rPr>
      </w:pPr>
      <w:r>
        <w:rPr>
          <w:b/>
          <w:color w:val="0000CC"/>
          <w:u w:val="single"/>
        </w:rPr>
        <w:br w:type="page"/>
      </w:r>
    </w:p>
    <w:p w:rsidR="00CA48C2" w:rsidRPr="002F6690" w:rsidRDefault="00CA48C2" w:rsidP="005D36E2">
      <w:pPr>
        <w:ind w:left="0" w:firstLine="0"/>
        <w:rPr>
          <w:b/>
          <w:color w:val="0000CC"/>
          <w:u w:val="single"/>
        </w:rPr>
      </w:pPr>
      <w:r w:rsidRPr="002F6690">
        <w:rPr>
          <w:b/>
          <w:color w:val="0000CC"/>
          <w:u w:val="single"/>
        </w:rPr>
        <w:lastRenderedPageBreak/>
        <w:t>Recall Interval</w:t>
      </w:r>
    </w:p>
    <w:p w:rsidR="00CA48C2" w:rsidRPr="002F6690" w:rsidRDefault="00CA48C2" w:rsidP="005D36E2">
      <w:pPr>
        <w:ind w:left="0" w:firstLine="0"/>
        <w:rPr>
          <w:color w:val="0000CC"/>
        </w:rPr>
      </w:pPr>
      <w:r w:rsidRPr="002F6690">
        <w:rPr>
          <w:color w:val="0000CC"/>
        </w:rPr>
        <w:t>“The recommended interval between oral health reviews should be determined specifically for each patient and tailored to meet his or her needs, on the basis of an assessment of disease levels and risk of or from dental disease.” (NICE Guidelines, 2004, p. 40)</w:t>
      </w:r>
    </w:p>
    <w:p w:rsidR="002F3BBD" w:rsidRPr="002F6690" w:rsidRDefault="002F3BBD" w:rsidP="005D36E2">
      <w:pPr>
        <w:ind w:left="0" w:firstLine="0"/>
        <w:rPr>
          <w:color w:val="0000CC"/>
        </w:rPr>
      </w:pPr>
    </w:p>
    <w:p w:rsidR="00CA48C2" w:rsidRPr="002F6690" w:rsidRDefault="00CA48C2" w:rsidP="005D36E2">
      <w:pPr>
        <w:ind w:left="0" w:firstLine="0"/>
        <w:rPr>
          <w:color w:val="0000CC"/>
        </w:rPr>
      </w:pPr>
      <w:r w:rsidRPr="002F6690">
        <w:rPr>
          <w:color w:val="0000CC"/>
        </w:rPr>
        <w:t>“The shortest interval between oral health reviews for all patients should be 3 months.” (NICE Guidelines, 2004, p. 41)</w:t>
      </w:r>
      <w:r w:rsidR="002F3BBD" w:rsidRPr="002F6690">
        <w:rPr>
          <w:color w:val="0000CC"/>
        </w:rPr>
        <w:t xml:space="preserve">  Note: NICE uses the term “oral health reviews” </w:t>
      </w:r>
    </w:p>
    <w:p w:rsidR="002F3BBD" w:rsidRPr="002F6690" w:rsidRDefault="002F3BBD" w:rsidP="005D36E2">
      <w:pPr>
        <w:ind w:left="0" w:firstLine="0"/>
        <w:rPr>
          <w:color w:val="0000CC"/>
        </w:rPr>
      </w:pPr>
    </w:p>
    <w:p w:rsidR="002F3BBD" w:rsidRPr="002F6690" w:rsidRDefault="002F3BBD" w:rsidP="005D36E2">
      <w:pPr>
        <w:ind w:left="0" w:firstLine="0"/>
        <w:rPr>
          <w:color w:val="0000CC"/>
        </w:rPr>
      </w:pPr>
      <w:r w:rsidRPr="002F6690">
        <w:rPr>
          <w:color w:val="0000CC"/>
        </w:rPr>
        <w:t>“The longest interval between oral health reviews for patients younger than 18 years should be 12 months.” (NICE Guidelines, 2004, p. 41)</w:t>
      </w:r>
    </w:p>
    <w:p w:rsidR="002F3BBD" w:rsidRPr="002F6690" w:rsidRDefault="002F3BBD" w:rsidP="005D36E2">
      <w:pPr>
        <w:pStyle w:val="ListParagraph"/>
        <w:numPr>
          <w:ilvl w:val="0"/>
          <w:numId w:val="9"/>
        </w:numPr>
        <w:spacing w:after="0" w:line="240" w:lineRule="auto"/>
        <w:rPr>
          <w:color w:val="0000CC"/>
        </w:rPr>
      </w:pPr>
      <w:r w:rsidRPr="002F6690">
        <w:rPr>
          <w:color w:val="0000CC"/>
        </w:rPr>
        <w:t>Rationale: “There is evidence that the rate of progression of dental caries can be more rapid in children and adolescents than in older people, and it seems to be faster in primary teeth than in permanent teeth (see Chapter Three, Section 3.1.2.)  Periodic developmental assessment of the dentition is also required in children.  Recall intervals of no longer than 12 months give the opportunity for delivering and reinforcing preventive advice and for raising awareness of the importance of good oral health.  This is particularly important in young children, to layout the foundations for life-long dental health.” (NICE Guidelines, 2004, p. 41)</w:t>
      </w:r>
    </w:p>
    <w:p w:rsidR="002F3BBD" w:rsidRPr="002F6690" w:rsidRDefault="002F3BBD" w:rsidP="005D36E2">
      <w:pPr>
        <w:ind w:left="0" w:firstLine="0"/>
        <w:rPr>
          <w:color w:val="0000CC"/>
        </w:rPr>
      </w:pPr>
      <w:r w:rsidRPr="002F6690">
        <w:rPr>
          <w:color w:val="0000CC"/>
        </w:rPr>
        <w:t>“For practic</w:t>
      </w:r>
      <w:r w:rsidR="00FE5301" w:rsidRPr="002F6690">
        <w:rPr>
          <w:color w:val="0000CC"/>
        </w:rPr>
        <w:t>al</w:t>
      </w:r>
      <w:r w:rsidRPr="002F6690">
        <w:rPr>
          <w:color w:val="0000CC"/>
        </w:rPr>
        <w:t xml:space="preserve"> reasons, the patient should be assigned a recall interval of 3, 6, 9, or 12 months if he or she is younger than 18 years, or 3, 6, 9, 12, 15, 18, 21, or 24 months if he or she is aged 18 years or older.”</w:t>
      </w:r>
      <w:r w:rsidR="00FE5301" w:rsidRPr="002F6690">
        <w:rPr>
          <w:color w:val="0000CC"/>
        </w:rPr>
        <w:t xml:space="preserve"> (NICE Guidelines, 2004, p. 41)</w:t>
      </w:r>
    </w:p>
    <w:p w:rsidR="002F3BBD" w:rsidRPr="002F6690" w:rsidRDefault="002F3BBD" w:rsidP="005D36E2">
      <w:pPr>
        <w:ind w:left="0" w:firstLine="0"/>
        <w:rPr>
          <w:color w:val="0000CC"/>
        </w:rPr>
      </w:pPr>
    </w:p>
    <w:p w:rsidR="005960F1" w:rsidRPr="002F6690" w:rsidRDefault="005960F1" w:rsidP="005D36E2">
      <w:pPr>
        <w:ind w:left="0" w:firstLine="0"/>
        <w:rPr>
          <w:color w:val="0000CC"/>
        </w:rPr>
      </w:pPr>
      <w:r w:rsidRPr="002F6690">
        <w:rPr>
          <w:color w:val="0000CC"/>
        </w:rPr>
        <w:t xml:space="preserve">“The most common interval of examination is six months; however, some patients may require examination and preventive services at more or less frequent intervals, based upon historical, clinical, and radiographic findings.” (p. 115 of </w:t>
      </w:r>
      <w:r w:rsidR="00CA48C2" w:rsidRPr="002F6690">
        <w:rPr>
          <w:color w:val="0000CC"/>
        </w:rPr>
        <w:t xml:space="preserve">AAPD </w:t>
      </w:r>
      <w:r w:rsidRPr="002F6690">
        <w:rPr>
          <w:color w:val="0000CC"/>
        </w:rPr>
        <w:t xml:space="preserve">Clinical Guidelines)  </w:t>
      </w:r>
    </w:p>
    <w:p w:rsidR="005960F1" w:rsidRPr="002F6690" w:rsidRDefault="005960F1" w:rsidP="005D36E2">
      <w:pPr>
        <w:ind w:left="0" w:firstLine="0"/>
        <w:rPr>
          <w:color w:val="0000CC"/>
        </w:rPr>
      </w:pPr>
    </w:p>
    <w:p w:rsidR="005960F1" w:rsidRPr="002F6690" w:rsidRDefault="005960F1" w:rsidP="005D36E2">
      <w:pPr>
        <w:ind w:left="0" w:firstLine="0"/>
        <w:rPr>
          <w:color w:val="0000CC"/>
        </w:rPr>
      </w:pPr>
      <w:r w:rsidRPr="002F6690">
        <w:rPr>
          <w:color w:val="0000CC"/>
          <w:u w:val="single"/>
        </w:rPr>
        <w:t>Supporting evidence cited</w:t>
      </w:r>
      <w:r w:rsidR="00FE5301" w:rsidRPr="002F6690">
        <w:rPr>
          <w:color w:val="0000CC"/>
          <w:u w:val="single"/>
        </w:rPr>
        <w:t xml:space="preserve"> by AAPD Clinical Guidelines</w:t>
      </w:r>
      <w:r w:rsidRPr="002F6690">
        <w:rPr>
          <w:color w:val="0000CC"/>
        </w:rPr>
        <w:t>:</w:t>
      </w:r>
    </w:p>
    <w:p w:rsidR="005960F1" w:rsidRPr="002F6690" w:rsidRDefault="005960F1" w:rsidP="005D36E2">
      <w:pPr>
        <w:ind w:left="720" w:hanging="720"/>
        <w:rPr>
          <w:color w:val="0000CC"/>
        </w:rPr>
      </w:pPr>
      <w:proofErr w:type="spellStart"/>
      <w:proofErr w:type="gramStart"/>
      <w:r w:rsidRPr="002F6690">
        <w:rPr>
          <w:color w:val="0000CC"/>
        </w:rPr>
        <w:t>Beil</w:t>
      </w:r>
      <w:proofErr w:type="spellEnd"/>
      <w:r w:rsidRPr="002F6690">
        <w:rPr>
          <w:color w:val="0000CC"/>
        </w:rPr>
        <w:t xml:space="preserve"> HA, </w:t>
      </w:r>
      <w:proofErr w:type="spellStart"/>
      <w:r w:rsidRPr="002F6690">
        <w:rPr>
          <w:color w:val="0000CC"/>
        </w:rPr>
        <w:t>Rozier</w:t>
      </w:r>
      <w:proofErr w:type="spellEnd"/>
      <w:r w:rsidRPr="002F6690">
        <w:rPr>
          <w:color w:val="0000CC"/>
        </w:rPr>
        <w:t xml:space="preserve"> RG.</w:t>
      </w:r>
      <w:proofErr w:type="gramEnd"/>
      <w:r w:rsidRPr="002F6690">
        <w:rPr>
          <w:color w:val="0000CC"/>
        </w:rPr>
        <w:t xml:space="preserve"> </w:t>
      </w:r>
      <w:proofErr w:type="gramStart"/>
      <w:r w:rsidRPr="002F6690">
        <w:rPr>
          <w:color w:val="0000CC"/>
        </w:rPr>
        <w:t>Primary health care providers’ advice for a dental checkup and dental use in children.</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2010</w:t>
      </w:r>
      <w:proofErr w:type="gramStart"/>
      <w:r w:rsidRPr="002F6690">
        <w:rPr>
          <w:color w:val="0000CC"/>
        </w:rPr>
        <w:t>;126</w:t>
      </w:r>
      <w:proofErr w:type="gramEnd"/>
      <w:r w:rsidRPr="002F6690">
        <w:rPr>
          <w:color w:val="0000CC"/>
        </w:rPr>
        <w:t>(2):435-41.</w:t>
      </w:r>
    </w:p>
    <w:p w:rsidR="005960F1" w:rsidRPr="002F6690" w:rsidRDefault="005960F1" w:rsidP="005D36E2">
      <w:pPr>
        <w:ind w:left="720" w:hanging="720"/>
        <w:rPr>
          <w:color w:val="0000CC"/>
        </w:rPr>
      </w:pPr>
      <w:proofErr w:type="spellStart"/>
      <w:r w:rsidRPr="002F6690">
        <w:rPr>
          <w:color w:val="0000CC"/>
        </w:rPr>
        <w:t>Pahel</w:t>
      </w:r>
      <w:proofErr w:type="spellEnd"/>
      <w:r w:rsidRPr="002F6690">
        <w:rPr>
          <w:color w:val="0000CC"/>
        </w:rPr>
        <w:t xml:space="preserve"> BT, </w:t>
      </w:r>
      <w:proofErr w:type="spellStart"/>
      <w:r w:rsidRPr="002F6690">
        <w:rPr>
          <w:color w:val="0000CC"/>
        </w:rPr>
        <w:t>Rozier</w:t>
      </w:r>
      <w:proofErr w:type="spellEnd"/>
      <w:r w:rsidRPr="002F6690">
        <w:rPr>
          <w:color w:val="0000CC"/>
        </w:rPr>
        <w:t xml:space="preserve"> RG, Stearns SC, </w:t>
      </w:r>
      <w:proofErr w:type="spellStart"/>
      <w:r w:rsidRPr="002F6690">
        <w:rPr>
          <w:color w:val="0000CC"/>
        </w:rPr>
        <w:t>Quiñonez</w:t>
      </w:r>
      <w:proofErr w:type="spellEnd"/>
      <w:r w:rsidRPr="002F6690">
        <w:rPr>
          <w:color w:val="0000CC"/>
        </w:rPr>
        <w:t xml:space="preserve"> RB. </w:t>
      </w:r>
      <w:proofErr w:type="gramStart"/>
      <w:r w:rsidRPr="002F6690">
        <w:rPr>
          <w:color w:val="0000CC"/>
        </w:rPr>
        <w:t>Effectiveness of preventive dental treatments by physicians for young Medicaid enrollees.</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2011</w:t>
      </w:r>
      <w:proofErr w:type="gramStart"/>
      <w:r w:rsidRPr="002F6690">
        <w:rPr>
          <w:color w:val="0000CC"/>
        </w:rPr>
        <w:t>;127</w:t>
      </w:r>
      <w:proofErr w:type="gramEnd"/>
      <w:r w:rsidRPr="002F6690">
        <w:rPr>
          <w:color w:val="0000CC"/>
        </w:rPr>
        <w:t>(3):682-9.</w:t>
      </w:r>
    </w:p>
    <w:p w:rsidR="005960F1" w:rsidRPr="002F6690" w:rsidRDefault="005960F1" w:rsidP="005D36E2">
      <w:pPr>
        <w:ind w:left="720" w:hanging="720"/>
        <w:rPr>
          <w:color w:val="0000CC"/>
        </w:rPr>
      </w:pPr>
      <w:proofErr w:type="spellStart"/>
      <w:r w:rsidRPr="002F6690">
        <w:rPr>
          <w:color w:val="0000CC"/>
        </w:rPr>
        <w:t>Diangelis</w:t>
      </w:r>
      <w:proofErr w:type="spellEnd"/>
      <w:r w:rsidRPr="002F6690">
        <w:rPr>
          <w:color w:val="0000CC"/>
        </w:rPr>
        <w:t xml:space="preserve"> AJ, </w:t>
      </w:r>
      <w:proofErr w:type="spellStart"/>
      <w:r w:rsidRPr="002F6690">
        <w:rPr>
          <w:color w:val="0000CC"/>
        </w:rPr>
        <w:t>Andreasen</w:t>
      </w:r>
      <w:proofErr w:type="spellEnd"/>
      <w:r w:rsidRPr="002F6690">
        <w:rPr>
          <w:color w:val="0000CC"/>
        </w:rPr>
        <w:t xml:space="preserve"> JO, </w:t>
      </w:r>
      <w:proofErr w:type="spellStart"/>
      <w:r w:rsidRPr="002F6690">
        <w:rPr>
          <w:color w:val="0000CC"/>
        </w:rPr>
        <w:t>Ebeleseder</w:t>
      </w:r>
      <w:proofErr w:type="spellEnd"/>
      <w:r w:rsidRPr="002F6690">
        <w:rPr>
          <w:color w:val="0000CC"/>
        </w:rPr>
        <w:t xml:space="preserve"> KA, et al. International Association of Dental Traumatology Guidelines for the Management of Traumatic Dental Injuries: 1. Fractures and </w:t>
      </w:r>
      <w:proofErr w:type="spellStart"/>
      <w:r w:rsidRPr="002F6690">
        <w:rPr>
          <w:color w:val="0000CC"/>
        </w:rPr>
        <w:t>luxations</w:t>
      </w:r>
      <w:proofErr w:type="spellEnd"/>
      <w:r w:rsidRPr="002F6690">
        <w:rPr>
          <w:color w:val="0000CC"/>
        </w:rPr>
        <w:t xml:space="preserve"> of permanent teeth. Dent </w:t>
      </w:r>
      <w:proofErr w:type="spellStart"/>
      <w:r w:rsidRPr="002F6690">
        <w:rPr>
          <w:color w:val="0000CC"/>
        </w:rPr>
        <w:t>Traumatol</w:t>
      </w:r>
      <w:proofErr w:type="spellEnd"/>
      <w:r w:rsidRPr="002F6690">
        <w:rPr>
          <w:color w:val="0000CC"/>
        </w:rPr>
        <w:t xml:space="preserve"> 2012</w:t>
      </w:r>
      <w:proofErr w:type="gramStart"/>
      <w:r w:rsidRPr="002F6690">
        <w:rPr>
          <w:color w:val="0000CC"/>
        </w:rPr>
        <w:t>;28</w:t>
      </w:r>
      <w:proofErr w:type="gramEnd"/>
      <w:r w:rsidRPr="002F6690">
        <w:rPr>
          <w:color w:val="0000CC"/>
        </w:rPr>
        <w:t>(1):2-12.</w:t>
      </w:r>
    </w:p>
    <w:p w:rsidR="005960F1" w:rsidRPr="002F6690" w:rsidRDefault="005960F1" w:rsidP="005D36E2">
      <w:pPr>
        <w:ind w:left="720" w:hanging="720"/>
        <w:rPr>
          <w:color w:val="0000CC"/>
        </w:rPr>
      </w:pPr>
      <w:proofErr w:type="spellStart"/>
      <w:r w:rsidRPr="002F6690">
        <w:rPr>
          <w:color w:val="0000CC"/>
        </w:rPr>
        <w:t>Andersson</w:t>
      </w:r>
      <w:proofErr w:type="spellEnd"/>
      <w:r w:rsidRPr="002F6690">
        <w:rPr>
          <w:color w:val="0000CC"/>
        </w:rPr>
        <w:t xml:space="preserve"> L, </w:t>
      </w:r>
      <w:proofErr w:type="spellStart"/>
      <w:r w:rsidRPr="002F6690">
        <w:rPr>
          <w:color w:val="0000CC"/>
        </w:rPr>
        <w:t>Andreasen</w:t>
      </w:r>
      <w:proofErr w:type="spellEnd"/>
      <w:r w:rsidRPr="002F6690">
        <w:rPr>
          <w:color w:val="0000CC"/>
        </w:rPr>
        <w:t xml:space="preserve"> JO, Day P, et al. International Association of Dental Traumatology Guidelines for the Management of Traumatic Dental Injuries: 2. Avulsion of permanent teeth. Dent </w:t>
      </w:r>
      <w:proofErr w:type="spellStart"/>
      <w:r w:rsidRPr="002F6690">
        <w:rPr>
          <w:color w:val="0000CC"/>
        </w:rPr>
        <w:t>Traumatol</w:t>
      </w:r>
      <w:proofErr w:type="spellEnd"/>
      <w:r w:rsidRPr="002F6690">
        <w:rPr>
          <w:color w:val="0000CC"/>
        </w:rPr>
        <w:t xml:space="preserve"> 2012</w:t>
      </w:r>
      <w:proofErr w:type="gramStart"/>
      <w:r w:rsidRPr="002F6690">
        <w:rPr>
          <w:color w:val="0000CC"/>
        </w:rPr>
        <w:t>;28</w:t>
      </w:r>
      <w:proofErr w:type="gramEnd"/>
      <w:r w:rsidRPr="002F6690">
        <w:rPr>
          <w:color w:val="0000CC"/>
        </w:rPr>
        <w:t>(2):88-96.</w:t>
      </w:r>
    </w:p>
    <w:p w:rsidR="005960F1" w:rsidRPr="002F6690" w:rsidRDefault="005960F1" w:rsidP="005D36E2">
      <w:pPr>
        <w:ind w:left="720" w:hanging="720"/>
        <w:rPr>
          <w:color w:val="0000CC"/>
        </w:rPr>
      </w:pPr>
      <w:proofErr w:type="spellStart"/>
      <w:r w:rsidRPr="002F6690">
        <w:rPr>
          <w:color w:val="0000CC"/>
        </w:rPr>
        <w:t>Malmgren</w:t>
      </w:r>
      <w:proofErr w:type="spellEnd"/>
      <w:r w:rsidRPr="002F6690">
        <w:rPr>
          <w:color w:val="0000CC"/>
        </w:rPr>
        <w:t xml:space="preserve"> B, </w:t>
      </w:r>
      <w:proofErr w:type="spellStart"/>
      <w:r w:rsidRPr="002F6690">
        <w:rPr>
          <w:color w:val="0000CC"/>
        </w:rPr>
        <w:t>Andreasen</w:t>
      </w:r>
      <w:proofErr w:type="spellEnd"/>
      <w:r w:rsidRPr="002F6690">
        <w:rPr>
          <w:color w:val="0000CC"/>
        </w:rPr>
        <w:t xml:space="preserve"> JO, Flores MT, et al. International Association of Dental Traumatology Guidelines for the Management of Traumatic Injuries: 3. Injuries in the primary dentition. Dent </w:t>
      </w:r>
      <w:proofErr w:type="spellStart"/>
      <w:r w:rsidRPr="002F6690">
        <w:rPr>
          <w:color w:val="0000CC"/>
        </w:rPr>
        <w:t>Traumatol</w:t>
      </w:r>
      <w:proofErr w:type="spellEnd"/>
      <w:r w:rsidRPr="002F6690">
        <w:rPr>
          <w:color w:val="0000CC"/>
        </w:rPr>
        <w:t xml:space="preserve"> 2012</w:t>
      </w:r>
      <w:proofErr w:type="gramStart"/>
      <w:r w:rsidRPr="002F6690">
        <w:rPr>
          <w:color w:val="0000CC"/>
        </w:rPr>
        <w:t>;28</w:t>
      </w:r>
      <w:proofErr w:type="gramEnd"/>
      <w:r w:rsidRPr="002F6690">
        <w:rPr>
          <w:color w:val="0000CC"/>
        </w:rPr>
        <w:t>(3):174-82.</w:t>
      </w:r>
    </w:p>
    <w:p w:rsidR="005960F1" w:rsidRPr="002F6690" w:rsidRDefault="005960F1" w:rsidP="005D36E2">
      <w:pPr>
        <w:ind w:left="720" w:hanging="720"/>
        <w:rPr>
          <w:color w:val="0000CC"/>
        </w:rPr>
      </w:pPr>
      <w:r w:rsidRPr="002F6690">
        <w:rPr>
          <w:color w:val="0000CC"/>
        </w:rPr>
        <w:t xml:space="preserve">Patel S, Bay RC, Glick M. </w:t>
      </w:r>
      <w:proofErr w:type="gramStart"/>
      <w:r w:rsidRPr="002F6690">
        <w:rPr>
          <w:color w:val="0000CC"/>
        </w:rPr>
        <w:t>A systematic review of dental recall intervals and incidence of dental caries.</w:t>
      </w:r>
      <w:proofErr w:type="gramEnd"/>
      <w:r w:rsidRPr="002F6690">
        <w:rPr>
          <w:color w:val="0000CC"/>
        </w:rPr>
        <w:t xml:space="preserve"> J Am Dent </w:t>
      </w:r>
      <w:proofErr w:type="spellStart"/>
      <w:r w:rsidRPr="002F6690">
        <w:rPr>
          <w:color w:val="0000CC"/>
        </w:rPr>
        <w:t>Assoc</w:t>
      </w:r>
      <w:proofErr w:type="spellEnd"/>
      <w:r w:rsidRPr="002F6690">
        <w:rPr>
          <w:color w:val="0000CC"/>
        </w:rPr>
        <w:t xml:space="preserve"> 2010</w:t>
      </w:r>
      <w:proofErr w:type="gramStart"/>
      <w:r w:rsidRPr="002F6690">
        <w:rPr>
          <w:color w:val="0000CC"/>
        </w:rPr>
        <w:t>;141</w:t>
      </w:r>
      <w:proofErr w:type="gramEnd"/>
      <w:r w:rsidRPr="002F6690">
        <w:rPr>
          <w:color w:val="0000CC"/>
        </w:rPr>
        <w:t>(5):527-39.</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Guideline on prescribing dental radiographs.</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issue):299-301.</w:t>
      </w:r>
    </w:p>
    <w:p w:rsidR="005960F1" w:rsidRPr="002F6690" w:rsidRDefault="005960F1" w:rsidP="005D36E2">
      <w:pPr>
        <w:ind w:left="720" w:hanging="720"/>
        <w:rPr>
          <w:color w:val="0000CC"/>
        </w:rPr>
      </w:pPr>
      <w:r w:rsidRPr="002F6690">
        <w:rPr>
          <w:color w:val="0000CC"/>
        </w:rPr>
        <w:t xml:space="preserve">American Dental Association Council on Scientific </w:t>
      </w:r>
      <w:proofErr w:type="spellStart"/>
      <w:r w:rsidRPr="002F6690">
        <w:rPr>
          <w:color w:val="0000CC"/>
        </w:rPr>
        <w:t>Affairs.The</w:t>
      </w:r>
      <w:proofErr w:type="spellEnd"/>
      <w:r w:rsidRPr="002F6690">
        <w:rPr>
          <w:color w:val="0000CC"/>
        </w:rPr>
        <w:t xml:space="preserve"> use of dental radiographs; Update and recommendations. J Am Dent </w:t>
      </w:r>
      <w:proofErr w:type="spellStart"/>
      <w:r w:rsidRPr="002F6690">
        <w:rPr>
          <w:color w:val="0000CC"/>
        </w:rPr>
        <w:t>Assoc</w:t>
      </w:r>
      <w:proofErr w:type="spellEnd"/>
      <w:r w:rsidRPr="002F6690">
        <w:rPr>
          <w:color w:val="0000CC"/>
        </w:rPr>
        <w:t xml:space="preserve"> 2006</w:t>
      </w:r>
      <w:proofErr w:type="gramStart"/>
      <w:r w:rsidRPr="002F6690">
        <w:rPr>
          <w:color w:val="0000CC"/>
        </w:rPr>
        <w:t>;137</w:t>
      </w:r>
      <w:proofErr w:type="gramEnd"/>
      <w:r w:rsidRPr="002F6690">
        <w:rPr>
          <w:color w:val="0000CC"/>
        </w:rPr>
        <w:t>(9):1304-12.</w:t>
      </w:r>
    </w:p>
    <w:p w:rsidR="005960F1" w:rsidRPr="002F6690" w:rsidRDefault="005960F1" w:rsidP="005D36E2">
      <w:pPr>
        <w:ind w:left="720" w:hanging="720"/>
        <w:rPr>
          <w:color w:val="0000CC"/>
        </w:rPr>
      </w:pPr>
      <w:r w:rsidRPr="002F6690">
        <w:rPr>
          <w:color w:val="0000CC"/>
        </w:rPr>
        <w:t xml:space="preserve">Greenwell H, Committee on Research, Science and Therapy American Academy of Periodontology. </w:t>
      </w:r>
      <w:proofErr w:type="gramStart"/>
      <w:r w:rsidRPr="002F6690">
        <w:rPr>
          <w:color w:val="0000CC"/>
        </w:rPr>
        <w:t>Guidelines for periodontal therapy.</w:t>
      </w:r>
      <w:proofErr w:type="gramEnd"/>
      <w:r w:rsidRPr="002F6690">
        <w:rPr>
          <w:color w:val="0000CC"/>
        </w:rPr>
        <w:t xml:space="preserve"> J </w:t>
      </w:r>
      <w:proofErr w:type="spellStart"/>
      <w:r w:rsidRPr="002F6690">
        <w:rPr>
          <w:color w:val="0000CC"/>
        </w:rPr>
        <w:t>Periodontol</w:t>
      </w:r>
      <w:proofErr w:type="spellEnd"/>
      <w:r w:rsidRPr="002F6690">
        <w:rPr>
          <w:color w:val="0000CC"/>
        </w:rPr>
        <w:t xml:space="preserve"> 2001</w:t>
      </w:r>
      <w:proofErr w:type="gramStart"/>
      <w:r w:rsidRPr="002F6690">
        <w:rPr>
          <w:color w:val="0000CC"/>
        </w:rPr>
        <w:t>;72</w:t>
      </w:r>
      <w:proofErr w:type="gramEnd"/>
      <w:r w:rsidRPr="002F6690">
        <w:rPr>
          <w:color w:val="0000CC"/>
        </w:rPr>
        <w:t>(11):1624-8.</w:t>
      </w:r>
    </w:p>
    <w:p w:rsidR="005960F1" w:rsidRPr="002F6690" w:rsidRDefault="005960F1" w:rsidP="005D36E2">
      <w:pPr>
        <w:ind w:left="720" w:hanging="720"/>
        <w:rPr>
          <w:color w:val="0000CC"/>
        </w:rPr>
      </w:pPr>
      <w:proofErr w:type="spellStart"/>
      <w:proofErr w:type="gramStart"/>
      <w:r w:rsidRPr="002F6690">
        <w:rPr>
          <w:color w:val="0000CC"/>
        </w:rPr>
        <w:lastRenderedPageBreak/>
        <w:t>Califano</w:t>
      </w:r>
      <w:proofErr w:type="spellEnd"/>
      <w:r w:rsidRPr="002F6690">
        <w:rPr>
          <w:color w:val="0000CC"/>
        </w:rPr>
        <w:t xml:space="preserve"> JV, Research Science and Therapy </w:t>
      </w:r>
      <w:proofErr w:type="spellStart"/>
      <w:r w:rsidRPr="002F6690">
        <w:rPr>
          <w:color w:val="0000CC"/>
        </w:rPr>
        <w:t>CommitteeAmerican</w:t>
      </w:r>
      <w:proofErr w:type="spellEnd"/>
      <w:r w:rsidRPr="002F6690">
        <w:rPr>
          <w:color w:val="0000CC"/>
        </w:rPr>
        <w:t xml:space="preserve"> Academy of Periodontology.</w:t>
      </w:r>
      <w:proofErr w:type="gramEnd"/>
      <w:r w:rsidRPr="002F6690">
        <w:rPr>
          <w:color w:val="0000CC"/>
        </w:rPr>
        <w:t xml:space="preserve"> </w:t>
      </w:r>
      <w:proofErr w:type="gramStart"/>
      <w:r w:rsidRPr="002F6690">
        <w:rPr>
          <w:color w:val="0000CC"/>
        </w:rPr>
        <w:t>Periodontal diseases of children and adolescents.</w:t>
      </w:r>
      <w:proofErr w:type="gramEnd"/>
      <w:r w:rsidRPr="002F6690">
        <w:rPr>
          <w:color w:val="0000CC"/>
        </w:rPr>
        <w:t xml:space="preserve"> J </w:t>
      </w:r>
      <w:proofErr w:type="spellStart"/>
      <w:r w:rsidRPr="002F6690">
        <w:rPr>
          <w:color w:val="0000CC"/>
        </w:rPr>
        <w:t>Periodontol</w:t>
      </w:r>
      <w:proofErr w:type="spellEnd"/>
      <w:r w:rsidRPr="002F6690">
        <w:rPr>
          <w:color w:val="0000CC"/>
        </w:rPr>
        <w:t xml:space="preserve"> 2003</w:t>
      </w:r>
      <w:proofErr w:type="gramStart"/>
      <w:r w:rsidRPr="002F6690">
        <w:rPr>
          <w:color w:val="0000CC"/>
        </w:rPr>
        <w:t>;74</w:t>
      </w:r>
      <w:proofErr w:type="gramEnd"/>
      <w:r w:rsidRPr="002F6690">
        <w:rPr>
          <w:color w:val="0000CC"/>
        </w:rPr>
        <w:t xml:space="preserve">(11):1696-704. </w:t>
      </w:r>
    </w:p>
    <w:p w:rsidR="005960F1" w:rsidRPr="002F6690" w:rsidRDefault="005960F1" w:rsidP="005D36E2">
      <w:pPr>
        <w:ind w:left="720" w:hanging="720"/>
        <w:rPr>
          <w:color w:val="0000CC"/>
        </w:rPr>
      </w:pPr>
      <w:proofErr w:type="spellStart"/>
      <w:proofErr w:type="gramStart"/>
      <w:r w:rsidRPr="002F6690">
        <w:rPr>
          <w:color w:val="0000CC"/>
        </w:rPr>
        <w:t>Clerehugh</w:t>
      </w:r>
      <w:proofErr w:type="spellEnd"/>
      <w:r w:rsidRPr="002F6690">
        <w:rPr>
          <w:color w:val="0000CC"/>
        </w:rPr>
        <w:t xml:space="preserve"> V. Periodontal diseases in children and </w:t>
      </w:r>
      <w:proofErr w:type="spellStart"/>
      <w:r w:rsidRPr="002F6690">
        <w:rPr>
          <w:color w:val="0000CC"/>
        </w:rPr>
        <w:t>adoles¬cents</w:t>
      </w:r>
      <w:proofErr w:type="spellEnd"/>
      <w:r w:rsidRPr="002F6690">
        <w:rPr>
          <w:color w:val="0000CC"/>
        </w:rPr>
        <w:t>.</w:t>
      </w:r>
      <w:proofErr w:type="gramEnd"/>
      <w:r w:rsidRPr="002F6690">
        <w:rPr>
          <w:color w:val="0000CC"/>
        </w:rPr>
        <w:t xml:space="preserve"> British Dental J 2008</w:t>
      </w:r>
      <w:proofErr w:type="gramStart"/>
      <w:r w:rsidRPr="002F6690">
        <w:rPr>
          <w:color w:val="0000CC"/>
        </w:rPr>
        <w:t>;204</w:t>
      </w:r>
      <w:proofErr w:type="gramEnd"/>
      <w:r w:rsidRPr="002F6690">
        <w:rPr>
          <w:color w:val="0000CC"/>
        </w:rPr>
        <w:t>(8):469-71.845.</w:t>
      </w:r>
    </w:p>
    <w:p w:rsidR="005960F1" w:rsidRPr="002F6690" w:rsidRDefault="005960F1" w:rsidP="005D36E2">
      <w:pPr>
        <w:ind w:left="0" w:firstLine="0"/>
        <w:rPr>
          <w:color w:val="0000CC"/>
        </w:rPr>
      </w:pPr>
    </w:p>
    <w:p w:rsidR="00FE5301" w:rsidRPr="002F6690" w:rsidRDefault="00FE5301" w:rsidP="005D36E2">
      <w:pPr>
        <w:ind w:left="0" w:firstLine="0"/>
        <w:rPr>
          <w:color w:val="0000CC"/>
        </w:rPr>
      </w:pPr>
      <w:r w:rsidRPr="002F6690">
        <w:rPr>
          <w:b/>
          <w:color w:val="0000CC"/>
          <w:u w:val="single"/>
        </w:rPr>
        <w:t>Benefits Obtained</w:t>
      </w:r>
    </w:p>
    <w:p w:rsidR="00CA48C2" w:rsidRPr="002F6690" w:rsidRDefault="00CA48C2" w:rsidP="005D36E2">
      <w:pPr>
        <w:ind w:left="0" w:firstLine="0"/>
        <w:rPr>
          <w:color w:val="0000CC"/>
        </w:rPr>
      </w:pPr>
      <w:r w:rsidRPr="002F6690">
        <w:rPr>
          <w:color w:val="0000CC"/>
        </w:rPr>
        <w:t xml:space="preserve">“Early detection and management of oral conditions can improve a child’s oral health, general health and well-being, and school readiness.” (p. 114 of </w:t>
      </w:r>
      <w:r w:rsidR="00FE5301" w:rsidRPr="002F6690">
        <w:rPr>
          <w:color w:val="0000CC"/>
        </w:rPr>
        <w:t xml:space="preserve">AAPD </w:t>
      </w:r>
      <w:r w:rsidRPr="002F6690">
        <w:rPr>
          <w:color w:val="0000CC"/>
        </w:rPr>
        <w:t xml:space="preserve">Clinical Guidelines) </w:t>
      </w:r>
    </w:p>
    <w:p w:rsidR="00CA48C2" w:rsidRPr="002F6690" w:rsidRDefault="00CA48C2" w:rsidP="005D36E2">
      <w:pPr>
        <w:ind w:left="0" w:firstLine="0"/>
        <w:rPr>
          <w:color w:val="0000CC"/>
        </w:rPr>
      </w:pPr>
    </w:p>
    <w:p w:rsidR="00CA48C2" w:rsidRPr="002F6690" w:rsidRDefault="00CA48C2" w:rsidP="005D36E2">
      <w:pPr>
        <w:ind w:left="0" w:firstLine="0"/>
        <w:rPr>
          <w:color w:val="0000CC"/>
        </w:rPr>
      </w:pPr>
      <w:r w:rsidRPr="002F6690">
        <w:rPr>
          <w:color w:val="0000CC"/>
          <w:u w:val="single"/>
        </w:rPr>
        <w:t>Supporting evidence cited</w:t>
      </w:r>
      <w:r w:rsidR="00FE5301" w:rsidRPr="002F6690">
        <w:rPr>
          <w:color w:val="0000CC"/>
          <w:u w:val="single"/>
        </w:rPr>
        <w:t xml:space="preserve"> by AAPD Guidelines</w:t>
      </w:r>
      <w:r w:rsidRPr="002F6690">
        <w:rPr>
          <w:color w:val="0000CC"/>
        </w:rPr>
        <w:t>:</w:t>
      </w:r>
    </w:p>
    <w:p w:rsidR="00CA48C2" w:rsidRPr="002F6690" w:rsidRDefault="00CA48C2"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Policy on early childhood caries: Classifications, consequences, and preventive strategies.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issue):50-2.</w:t>
      </w:r>
    </w:p>
    <w:p w:rsidR="00CA48C2" w:rsidRPr="002F6690" w:rsidRDefault="00CA48C2"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Policy on early childhood caries: Unique challenges and treatment options.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issue):53-5.</w:t>
      </w:r>
    </w:p>
    <w:p w:rsidR="00CA48C2" w:rsidRPr="002F6690" w:rsidRDefault="00CA48C2" w:rsidP="005D36E2">
      <w:pPr>
        <w:ind w:left="720" w:hanging="720"/>
        <w:rPr>
          <w:color w:val="0000CC"/>
        </w:rPr>
      </w:pPr>
      <w:r w:rsidRPr="002F6690">
        <w:rPr>
          <w:color w:val="0000CC"/>
        </w:rPr>
        <w:t xml:space="preserve">Clarke M, Locker D, </w:t>
      </w:r>
      <w:proofErr w:type="spellStart"/>
      <w:r w:rsidRPr="002F6690">
        <w:rPr>
          <w:color w:val="0000CC"/>
        </w:rPr>
        <w:t>Berall</w:t>
      </w:r>
      <w:proofErr w:type="spellEnd"/>
      <w:r w:rsidRPr="002F6690">
        <w:rPr>
          <w:color w:val="0000CC"/>
        </w:rPr>
        <w:t xml:space="preserve"> G, </w:t>
      </w:r>
      <w:proofErr w:type="spellStart"/>
      <w:r w:rsidRPr="002F6690">
        <w:rPr>
          <w:color w:val="0000CC"/>
        </w:rPr>
        <w:t>Pencharz</w:t>
      </w:r>
      <w:proofErr w:type="spellEnd"/>
      <w:r w:rsidRPr="002F6690">
        <w:rPr>
          <w:color w:val="0000CC"/>
        </w:rPr>
        <w:t xml:space="preserve"> P, Kenny DJ, Judd P. Malnourishment in a population of young children with severe early childhood caries. </w:t>
      </w:r>
      <w:proofErr w:type="spellStart"/>
      <w:r w:rsidRPr="002F6690">
        <w:rPr>
          <w:color w:val="0000CC"/>
        </w:rPr>
        <w:t>Pediatr</w:t>
      </w:r>
      <w:proofErr w:type="spellEnd"/>
      <w:r w:rsidRPr="002F6690">
        <w:rPr>
          <w:color w:val="0000CC"/>
        </w:rPr>
        <w:t xml:space="preserve"> Dent 2006</w:t>
      </w:r>
      <w:proofErr w:type="gramStart"/>
      <w:r w:rsidRPr="002F6690">
        <w:rPr>
          <w:color w:val="0000CC"/>
        </w:rPr>
        <w:t>;28</w:t>
      </w:r>
      <w:proofErr w:type="gramEnd"/>
      <w:r w:rsidRPr="002F6690">
        <w:rPr>
          <w:color w:val="0000CC"/>
        </w:rPr>
        <w:t>(3):254-9.</w:t>
      </w:r>
    </w:p>
    <w:p w:rsidR="00CA48C2" w:rsidRPr="002F6690" w:rsidRDefault="00CA48C2" w:rsidP="005D36E2">
      <w:pPr>
        <w:ind w:left="720" w:hanging="720"/>
        <w:rPr>
          <w:color w:val="0000CC"/>
        </w:rPr>
      </w:pPr>
      <w:proofErr w:type="gramStart"/>
      <w:r w:rsidRPr="002F6690">
        <w:rPr>
          <w:color w:val="0000CC"/>
        </w:rPr>
        <w:t xml:space="preserve">Dye BA, </w:t>
      </w:r>
      <w:proofErr w:type="spellStart"/>
      <w:r w:rsidRPr="002F6690">
        <w:rPr>
          <w:color w:val="0000CC"/>
        </w:rPr>
        <w:t>Shenkin</w:t>
      </w:r>
      <w:proofErr w:type="spellEnd"/>
      <w:r w:rsidRPr="002F6690">
        <w:rPr>
          <w:color w:val="0000CC"/>
        </w:rPr>
        <w:t xml:space="preserve"> JD, Ogden CL, Marshall TA, Levy SM, </w:t>
      </w:r>
      <w:proofErr w:type="spellStart"/>
      <w:r w:rsidRPr="002F6690">
        <w:rPr>
          <w:color w:val="0000CC"/>
        </w:rPr>
        <w:t>Kanellis</w:t>
      </w:r>
      <w:proofErr w:type="spellEnd"/>
      <w:r w:rsidRPr="002F6690">
        <w:rPr>
          <w:color w:val="0000CC"/>
        </w:rPr>
        <w:t xml:space="preserve"> MJ.</w:t>
      </w:r>
      <w:proofErr w:type="gramEnd"/>
      <w:r w:rsidRPr="002F6690">
        <w:rPr>
          <w:color w:val="0000CC"/>
        </w:rPr>
        <w:t xml:space="preserve"> The relationship between healthful eating practices and dental caries in children ages 2-5 years in the United States, 1988-1994. J Am Dent </w:t>
      </w:r>
      <w:proofErr w:type="spellStart"/>
      <w:r w:rsidRPr="002F6690">
        <w:rPr>
          <w:color w:val="0000CC"/>
        </w:rPr>
        <w:t>Assoc</w:t>
      </w:r>
      <w:proofErr w:type="spellEnd"/>
      <w:r w:rsidRPr="002F6690">
        <w:rPr>
          <w:color w:val="0000CC"/>
        </w:rPr>
        <w:t xml:space="preserve"> 2004</w:t>
      </w:r>
      <w:proofErr w:type="gramStart"/>
      <w:r w:rsidRPr="002F6690">
        <w:rPr>
          <w:color w:val="0000CC"/>
        </w:rPr>
        <w:t>;135</w:t>
      </w:r>
      <w:proofErr w:type="gramEnd"/>
      <w:r w:rsidRPr="002F6690">
        <w:rPr>
          <w:color w:val="0000CC"/>
        </w:rPr>
        <w:t>(1):55-6.</w:t>
      </w:r>
    </w:p>
    <w:p w:rsidR="00CA48C2" w:rsidRPr="002F6690" w:rsidRDefault="00CA48C2" w:rsidP="005D36E2">
      <w:pPr>
        <w:ind w:left="720" w:hanging="720"/>
        <w:rPr>
          <w:color w:val="0000CC"/>
        </w:rPr>
      </w:pPr>
      <w:proofErr w:type="gramStart"/>
      <w:r w:rsidRPr="002F6690">
        <w:rPr>
          <w:color w:val="0000CC"/>
        </w:rPr>
        <w:t xml:space="preserve">Jackson SL, Vann WF, </w:t>
      </w:r>
      <w:proofErr w:type="spellStart"/>
      <w:r w:rsidRPr="002F6690">
        <w:rPr>
          <w:color w:val="0000CC"/>
        </w:rPr>
        <w:t>Kotch</w:t>
      </w:r>
      <w:proofErr w:type="spellEnd"/>
      <w:r w:rsidRPr="002F6690">
        <w:rPr>
          <w:color w:val="0000CC"/>
        </w:rPr>
        <w:t xml:space="preserve"> J, </w:t>
      </w:r>
      <w:proofErr w:type="spellStart"/>
      <w:r w:rsidRPr="002F6690">
        <w:rPr>
          <w:color w:val="0000CC"/>
        </w:rPr>
        <w:t>Pahel</w:t>
      </w:r>
      <w:proofErr w:type="spellEnd"/>
      <w:r w:rsidRPr="002F6690">
        <w:rPr>
          <w:color w:val="0000CC"/>
        </w:rPr>
        <w:t xml:space="preserve"> BT, Lee JY.</w:t>
      </w:r>
      <w:proofErr w:type="gramEnd"/>
      <w:r w:rsidRPr="002F6690">
        <w:rPr>
          <w:color w:val="0000CC"/>
        </w:rPr>
        <w:t xml:space="preserve"> </w:t>
      </w:r>
      <w:proofErr w:type="gramStart"/>
      <w:r w:rsidRPr="002F6690">
        <w:rPr>
          <w:color w:val="0000CC"/>
        </w:rPr>
        <w:t>Impact of poor oral health on children’s school attendance and performance.</w:t>
      </w:r>
      <w:proofErr w:type="gramEnd"/>
      <w:r w:rsidRPr="002F6690">
        <w:rPr>
          <w:color w:val="0000CC"/>
        </w:rPr>
        <w:t xml:space="preserve"> </w:t>
      </w:r>
      <w:proofErr w:type="spellStart"/>
      <w:r w:rsidRPr="002F6690">
        <w:rPr>
          <w:color w:val="0000CC"/>
        </w:rPr>
        <w:t>Amer</w:t>
      </w:r>
      <w:proofErr w:type="spellEnd"/>
      <w:r w:rsidRPr="002F6690">
        <w:rPr>
          <w:color w:val="0000CC"/>
        </w:rPr>
        <w:t xml:space="preserve"> J </w:t>
      </w:r>
      <w:proofErr w:type="spellStart"/>
      <w:r w:rsidRPr="002F6690">
        <w:rPr>
          <w:color w:val="0000CC"/>
        </w:rPr>
        <w:t>Publ</w:t>
      </w:r>
      <w:proofErr w:type="spellEnd"/>
      <w:r w:rsidRPr="002F6690">
        <w:rPr>
          <w:color w:val="0000CC"/>
        </w:rPr>
        <w:t xml:space="preserve"> Health 2011</w:t>
      </w:r>
      <w:proofErr w:type="gramStart"/>
      <w:r w:rsidRPr="002F6690">
        <w:rPr>
          <w:color w:val="0000CC"/>
        </w:rPr>
        <w:t>;10</w:t>
      </w:r>
      <w:proofErr w:type="gramEnd"/>
      <w:r w:rsidRPr="002F6690">
        <w:rPr>
          <w:color w:val="0000CC"/>
        </w:rPr>
        <w:t>(10):1900-6.</w:t>
      </w:r>
    </w:p>
    <w:p w:rsidR="00CA48C2" w:rsidRPr="002F6690" w:rsidRDefault="00CA48C2" w:rsidP="005D36E2">
      <w:pPr>
        <w:ind w:left="0" w:firstLine="0"/>
        <w:rPr>
          <w:color w:val="0000CC"/>
        </w:rPr>
      </w:pPr>
    </w:p>
    <w:p w:rsidR="005960F1" w:rsidRPr="002F6690" w:rsidRDefault="005960F1" w:rsidP="005D36E2">
      <w:pPr>
        <w:ind w:left="0" w:firstLine="0"/>
        <w:rPr>
          <w:color w:val="0000CC"/>
        </w:rPr>
      </w:pPr>
      <w:r w:rsidRPr="002F6690">
        <w:rPr>
          <w:color w:val="0000CC"/>
        </w:rPr>
        <w:t>Every visit provides the opportunity to provide anticipatory guidance, which “is the process of providing practice, developmentally-appropriate information about children’s health to prepare parents for</w:t>
      </w:r>
      <w:r w:rsidR="001244B8" w:rsidRPr="002F6690">
        <w:rPr>
          <w:color w:val="0000CC"/>
        </w:rPr>
        <w:t xml:space="preserve"> the</w:t>
      </w:r>
      <w:r w:rsidRPr="002F6690">
        <w:rPr>
          <w:color w:val="0000CC"/>
        </w:rPr>
        <w:t xml:space="preserve"> significant physical, emotional, and psychological milestones.”  (AAPD Clinical Guidelines, p. 116) “Individualized discussion and counseling [anticipatory guidance] should be an integral part of each visit.  Topics to be included are oral hygiene and dietary habits, injury prevention, nonnutritive habits, substance abuse, intraoral/perioral piercing, and speech/language development.” (</w:t>
      </w:r>
      <w:proofErr w:type="gramStart"/>
      <w:r w:rsidRPr="002F6690">
        <w:rPr>
          <w:color w:val="0000CC"/>
        </w:rPr>
        <w:t xml:space="preserve">AAPD </w:t>
      </w:r>
      <w:r w:rsidR="001244B8" w:rsidRPr="002F6690">
        <w:rPr>
          <w:color w:val="0000CC"/>
        </w:rPr>
        <w:t xml:space="preserve"> </w:t>
      </w:r>
      <w:r w:rsidRPr="002F6690">
        <w:rPr>
          <w:color w:val="0000CC"/>
        </w:rPr>
        <w:t>Clinical</w:t>
      </w:r>
      <w:proofErr w:type="gramEnd"/>
      <w:r w:rsidRPr="002F6690">
        <w:rPr>
          <w:color w:val="0000CC"/>
        </w:rPr>
        <w:t xml:space="preserve"> Guidelines, p. 116).  </w:t>
      </w:r>
    </w:p>
    <w:p w:rsidR="005960F1" w:rsidRPr="002F6690" w:rsidRDefault="005960F1" w:rsidP="005D36E2">
      <w:pPr>
        <w:ind w:left="0" w:firstLine="0"/>
        <w:rPr>
          <w:color w:val="0000CC"/>
        </w:rPr>
      </w:pPr>
    </w:p>
    <w:p w:rsidR="005960F1" w:rsidRPr="002F6690" w:rsidRDefault="005960F1" w:rsidP="005D36E2">
      <w:pPr>
        <w:ind w:left="0" w:firstLine="0"/>
        <w:rPr>
          <w:color w:val="0000CC"/>
        </w:rPr>
      </w:pPr>
      <w:r w:rsidRPr="002F6690">
        <w:rPr>
          <w:color w:val="0000CC"/>
          <w:u w:val="single"/>
        </w:rPr>
        <w:t>Supporting evidence cited</w:t>
      </w:r>
      <w:r w:rsidR="00FE5301" w:rsidRPr="002F6690">
        <w:rPr>
          <w:color w:val="0000CC"/>
          <w:u w:val="single"/>
        </w:rPr>
        <w:t xml:space="preserve"> by AAPD Guidelines</w:t>
      </w:r>
      <w:r w:rsidRPr="002F6690">
        <w:rPr>
          <w:color w:val="0000CC"/>
        </w:rPr>
        <w:t>:</w:t>
      </w:r>
    </w:p>
    <w:p w:rsidR="005960F1" w:rsidRPr="002F6690" w:rsidRDefault="005960F1" w:rsidP="005D36E2">
      <w:pPr>
        <w:ind w:left="720" w:hanging="720"/>
        <w:rPr>
          <w:color w:val="0000CC"/>
        </w:rPr>
      </w:pPr>
      <w:proofErr w:type="gramStart"/>
      <w:r w:rsidRPr="002F6690">
        <w:rPr>
          <w:color w:val="0000CC"/>
        </w:rPr>
        <w:t>American Academy of Pediatrics.</w:t>
      </w:r>
      <w:proofErr w:type="gramEnd"/>
      <w:r w:rsidRPr="002F6690">
        <w:rPr>
          <w:color w:val="0000CC"/>
        </w:rPr>
        <w:t xml:space="preserve"> Oral health risk assessment timing and establishment of the dental home. </w:t>
      </w:r>
      <w:proofErr w:type="spellStart"/>
      <w:r w:rsidRPr="002F6690">
        <w:rPr>
          <w:color w:val="0000CC"/>
        </w:rPr>
        <w:t>Pediatr</w:t>
      </w:r>
      <w:proofErr w:type="spellEnd"/>
      <w:r w:rsidRPr="002F6690">
        <w:rPr>
          <w:color w:val="0000CC"/>
        </w:rPr>
        <w:t xml:space="preserve"> 2003:11(5):1113-6. Reaffirmed 2009</w:t>
      </w:r>
      <w:proofErr w:type="gramStart"/>
      <w:r w:rsidRPr="002F6690">
        <w:rPr>
          <w:color w:val="0000CC"/>
        </w:rPr>
        <w:t>;124</w:t>
      </w:r>
      <w:proofErr w:type="gramEnd"/>
      <w:r w:rsidRPr="002F6690">
        <w:rPr>
          <w:color w:val="0000CC"/>
        </w:rPr>
        <w:t>(2): 845.</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Guideline on infant oral health care.</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 xml:space="preserve"> (special issue):132-6.</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Guideline on adolescent oral health care.</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issue):137-44.</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 xml:space="preserve">Policy on prevention of sports-related </w:t>
      </w:r>
      <w:proofErr w:type="spellStart"/>
      <w:r w:rsidRPr="002F6690">
        <w:rPr>
          <w:color w:val="0000CC"/>
        </w:rPr>
        <w:t>orofacial</w:t>
      </w:r>
      <w:proofErr w:type="spellEnd"/>
      <w:r w:rsidRPr="002F6690">
        <w:rPr>
          <w:color w:val="0000CC"/>
        </w:rPr>
        <w:t xml:space="preserve"> injuries.</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2013</w:t>
      </w:r>
      <w:proofErr w:type="gramStart"/>
      <w:r w:rsidRPr="002F6690">
        <w:rPr>
          <w:color w:val="0000CC"/>
        </w:rPr>
        <w:t>;35</w:t>
      </w:r>
      <w:proofErr w:type="gramEnd"/>
      <w:r w:rsidRPr="002F6690">
        <w:rPr>
          <w:color w:val="0000CC"/>
        </w:rPr>
        <w:t>(special issue):67-71</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Policy on the dental home.</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issue):24-5.</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Guideline on management of the developing dentition and occlusion in pediatric dentistry.</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issue):239-51.</w:t>
      </w:r>
    </w:p>
    <w:p w:rsidR="005960F1" w:rsidRPr="002F6690" w:rsidRDefault="005960F1" w:rsidP="005D36E2">
      <w:pPr>
        <w:ind w:left="720" w:hanging="720"/>
        <w:rPr>
          <w:color w:val="0000CC"/>
        </w:rPr>
      </w:pPr>
      <w:r w:rsidRPr="002F6690">
        <w:rPr>
          <w:color w:val="0000CC"/>
        </w:rPr>
        <w:t xml:space="preserve"> CDC. Preventing tobacco use among young people: A report of the Surgeon General (executive summary). MMWR Recommend Reports 1994</w:t>
      </w:r>
      <w:proofErr w:type="gramStart"/>
      <w:r w:rsidRPr="002F6690">
        <w:rPr>
          <w:color w:val="0000CC"/>
        </w:rPr>
        <w:t>;43</w:t>
      </w:r>
      <w:proofErr w:type="gramEnd"/>
      <w:r w:rsidRPr="002F6690">
        <w:rPr>
          <w:color w:val="0000CC"/>
        </w:rPr>
        <w:t>(RR-4):[inclusive page numbers]</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Policy on tobacco use.</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issue):61-4.</w:t>
      </w:r>
    </w:p>
    <w:p w:rsidR="005960F1" w:rsidRPr="002F6690" w:rsidRDefault="005960F1" w:rsidP="005D36E2">
      <w:pPr>
        <w:ind w:left="720" w:hanging="720"/>
        <w:rPr>
          <w:color w:val="0000CC"/>
        </w:rPr>
      </w:pPr>
      <w:proofErr w:type="gramStart"/>
      <w:r w:rsidRPr="002F6690">
        <w:rPr>
          <w:color w:val="0000CC"/>
        </w:rPr>
        <w:t>American Academy of Pediatric Dentistry.</w:t>
      </w:r>
      <w:proofErr w:type="gramEnd"/>
      <w:r w:rsidRPr="002F6690">
        <w:rPr>
          <w:color w:val="0000CC"/>
        </w:rPr>
        <w:t xml:space="preserve"> </w:t>
      </w:r>
      <w:proofErr w:type="gramStart"/>
      <w:r w:rsidRPr="002F6690">
        <w:rPr>
          <w:color w:val="0000CC"/>
        </w:rPr>
        <w:t>Policy on intra- oral/perioral piercing and oral jewelry/accessories.</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2012</w:t>
      </w:r>
      <w:proofErr w:type="gramStart"/>
      <w:r w:rsidRPr="002F6690">
        <w:rPr>
          <w:color w:val="0000CC"/>
        </w:rPr>
        <w:t>;34</w:t>
      </w:r>
      <w:proofErr w:type="gramEnd"/>
      <w:r w:rsidRPr="002F6690">
        <w:rPr>
          <w:color w:val="0000CC"/>
        </w:rPr>
        <w:t>(special issue):65-6.</w:t>
      </w:r>
    </w:p>
    <w:p w:rsidR="005960F1" w:rsidRPr="002F6690" w:rsidRDefault="005960F1" w:rsidP="005D36E2">
      <w:pPr>
        <w:ind w:left="720" w:hanging="720"/>
        <w:rPr>
          <w:color w:val="0000CC"/>
        </w:rPr>
      </w:pPr>
      <w:r w:rsidRPr="002F6690">
        <w:rPr>
          <w:color w:val="0000CC"/>
        </w:rPr>
        <w:lastRenderedPageBreak/>
        <w:t xml:space="preserve">Douglass JM. Response to </w:t>
      </w:r>
      <w:proofErr w:type="spellStart"/>
      <w:r w:rsidRPr="002F6690">
        <w:rPr>
          <w:color w:val="0000CC"/>
        </w:rPr>
        <w:t>Tinanoff</w:t>
      </w:r>
      <w:proofErr w:type="spellEnd"/>
      <w:r w:rsidRPr="002F6690">
        <w:rPr>
          <w:color w:val="0000CC"/>
        </w:rPr>
        <w:t xml:space="preserve"> and Palmer: Dietary determinants of dental caries and dietary recommendations for preschool children. J Public Health Dent 2000; 60(3):207-9</w:t>
      </w:r>
    </w:p>
    <w:p w:rsidR="005960F1" w:rsidRPr="002F6690" w:rsidRDefault="005960F1" w:rsidP="005D36E2">
      <w:pPr>
        <w:ind w:left="720" w:hanging="720"/>
        <w:rPr>
          <w:color w:val="0000CC"/>
        </w:rPr>
      </w:pPr>
      <w:proofErr w:type="spellStart"/>
      <w:r w:rsidRPr="002F6690">
        <w:rPr>
          <w:color w:val="0000CC"/>
        </w:rPr>
        <w:t>Kranz</w:t>
      </w:r>
      <w:proofErr w:type="spellEnd"/>
      <w:r w:rsidRPr="002F6690">
        <w:rPr>
          <w:color w:val="0000CC"/>
        </w:rPr>
        <w:t xml:space="preserve"> S, </w:t>
      </w:r>
      <w:proofErr w:type="spellStart"/>
      <w:r w:rsidRPr="002F6690">
        <w:rPr>
          <w:color w:val="0000CC"/>
        </w:rPr>
        <w:t>Smiciklas</w:t>
      </w:r>
      <w:proofErr w:type="spellEnd"/>
      <w:r w:rsidRPr="002F6690">
        <w:rPr>
          <w:color w:val="0000CC"/>
        </w:rPr>
        <w:t xml:space="preserve">-Wright H, Francis LA. </w:t>
      </w:r>
      <w:proofErr w:type="gramStart"/>
      <w:r w:rsidRPr="002F6690">
        <w:rPr>
          <w:color w:val="0000CC"/>
        </w:rPr>
        <w:t xml:space="preserve">Diet quality, added sugar, and dietary fiber intakes in American pre- </w:t>
      </w:r>
      <w:proofErr w:type="spellStart"/>
      <w:r w:rsidRPr="002F6690">
        <w:rPr>
          <w:color w:val="0000CC"/>
        </w:rPr>
        <w:t>schoolers</w:t>
      </w:r>
      <w:proofErr w:type="spellEnd"/>
      <w:r w:rsidRPr="002F6690">
        <w:rPr>
          <w:color w:val="0000CC"/>
        </w:rPr>
        <w:t>.</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2006</w:t>
      </w:r>
      <w:proofErr w:type="gramStart"/>
      <w:r w:rsidRPr="002F6690">
        <w:rPr>
          <w:color w:val="0000CC"/>
        </w:rPr>
        <w:t>;28</w:t>
      </w:r>
      <w:proofErr w:type="gramEnd"/>
      <w:r w:rsidRPr="002F6690">
        <w:rPr>
          <w:color w:val="0000CC"/>
        </w:rPr>
        <w:t>(2):164-71.</w:t>
      </w:r>
    </w:p>
    <w:p w:rsidR="005960F1" w:rsidRPr="002F6690" w:rsidRDefault="005960F1" w:rsidP="005D36E2">
      <w:pPr>
        <w:ind w:left="720" w:hanging="720"/>
        <w:rPr>
          <w:color w:val="0000CC"/>
        </w:rPr>
      </w:pPr>
      <w:proofErr w:type="gramStart"/>
      <w:r w:rsidRPr="002F6690">
        <w:rPr>
          <w:color w:val="0000CC"/>
        </w:rPr>
        <w:t xml:space="preserve">Lewis CW, Grossman DC, </w:t>
      </w:r>
      <w:proofErr w:type="spellStart"/>
      <w:r w:rsidRPr="002F6690">
        <w:rPr>
          <w:color w:val="0000CC"/>
        </w:rPr>
        <w:t>Domoto</w:t>
      </w:r>
      <w:proofErr w:type="spellEnd"/>
      <w:r w:rsidRPr="002F6690">
        <w:rPr>
          <w:color w:val="0000CC"/>
        </w:rPr>
        <w:t xml:space="preserve"> PK, </w:t>
      </w:r>
      <w:proofErr w:type="spellStart"/>
      <w:r w:rsidRPr="002F6690">
        <w:rPr>
          <w:color w:val="0000CC"/>
        </w:rPr>
        <w:t>Deyo</w:t>
      </w:r>
      <w:proofErr w:type="spellEnd"/>
      <w:r w:rsidRPr="002F6690">
        <w:rPr>
          <w:color w:val="0000CC"/>
        </w:rPr>
        <w:t xml:space="preserve"> RA.</w:t>
      </w:r>
      <w:proofErr w:type="gramEnd"/>
      <w:r w:rsidRPr="002F6690">
        <w:rPr>
          <w:color w:val="0000CC"/>
        </w:rPr>
        <w:t xml:space="preserve"> The role of the pediatrician in the oral health of children: A national survey. Pediatrics 2000</w:t>
      </w:r>
      <w:proofErr w:type="gramStart"/>
      <w:r w:rsidRPr="002F6690">
        <w:rPr>
          <w:color w:val="0000CC"/>
        </w:rPr>
        <w:t>;106</w:t>
      </w:r>
      <w:proofErr w:type="gramEnd"/>
      <w:r w:rsidRPr="002F6690">
        <w:rPr>
          <w:color w:val="0000CC"/>
        </w:rPr>
        <w:t>(6):E84.</w:t>
      </w:r>
    </w:p>
    <w:p w:rsidR="005960F1" w:rsidRPr="002F6690" w:rsidRDefault="005960F1" w:rsidP="005D36E2">
      <w:pPr>
        <w:ind w:left="720" w:hanging="720"/>
        <w:rPr>
          <w:color w:val="0000CC"/>
        </w:rPr>
      </w:pPr>
      <w:r w:rsidRPr="002F6690">
        <w:rPr>
          <w:color w:val="0000CC"/>
        </w:rPr>
        <w:t xml:space="preserve">Li H, </w:t>
      </w:r>
      <w:proofErr w:type="spellStart"/>
      <w:r w:rsidRPr="002F6690">
        <w:rPr>
          <w:color w:val="0000CC"/>
        </w:rPr>
        <w:t>Zou</w:t>
      </w:r>
      <w:proofErr w:type="spellEnd"/>
      <w:r w:rsidRPr="002F6690">
        <w:rPr>
          <w:color w:val="0000CC"/>
        </w:rPr>
        <w:t xml:space="preserve"> Y, Ding G. Dietary factors associated with dental erosion: A meta-analysis. </w:t>
      </w:r>
      <w:proofErr w:type="spellStart"/>
      <w:r w:rsidRPr="002F6690">
        <w:rPr>
          <w:color w:val="0000CC"/>
        </w:rPr>
        <w:t>PLoSOne</w:t>
      </w:r>
      <w:proofErr w:type="spellEnd"/>
      <w:r w:rsidRPr="002F6690">
        <w:rPr>
          <w:color w:val="0000CC"/>
        </w:rPr>
        <w:t xml:space="preserve"> 2012</w:t>
      </w:r>
      <w:proofErr w:type="gramStart"/>
      <w:r w:rsidRPr="002F6690">
        <w:rPr>
          <w:color w:val="0000CC"/>
        </w:rPr>
        <w:t>;7</w:t>
      </w:r>
      <w:proofErr w:type="gramEnd"/>
      <w:r w:rsidRPr="002F6690">
        <w:rPr>
          <w:color w:val="0000CC"/>
        </w:rPr>
        <w:t xml:space="preserve">(8):e42626. doi:10.1371/journal.pone.0042626. </w:t>
      </w:r>
      <w:proofErr w:type="gramStart"/>
      <w:r w:rsidRPr="002F6690">
        <w:rPr>
          <w:color w:val="0000CC"/>
        </w:rPr>
        <w:t>Epub2012 Aug 31.</w:t>
      </w:r>
      <w:proofErr w:type="gramEnd"/>
    </w:p>
    <w:p w:rsidR="005960F1" w:rsidRPr="002F6690" w:rsidRDefault="005960F1" w:rsidP="005D36E2">
      <w:pPr>
        <w:ind w:left="720" w:hanging="720"/>
        <w:rPr>
          <w:color w:val="0000CC"/>
        </w:rPr>
      </w:pPr>
      <w:proofErr w:type="spellStart"/>
      <w:r w:rsidRPr="002F6690">
        <w:rPr>
          <w:color w:val="0000CC"/>
        </w:rPr>
        <w:t>Malmgren</w:t>
      </w:r>
      <w:proofErr w:type="spellEnd"/>
      <w:r w:rsidRPr="002F6690">
        <w:rPr>
          <w:color w:val="0000CC"/>
        </w:rPr>
        <w:t xml:space="preserve"> B, </w:t>
      </w:r>
      <w:proofErr w:type="spellStart"/>
      <w:r w:rsidRPr="002F6690">
        <w:rPr>
          <w:color w:val="0000CC"/>
        </w:rPr>
        <w:t>Andreasen</w:t>
      </w:r>
      <w:proofErr w:type="spellEnd"/>
      <w:r w:rsidRPr="002F6690">
        <w:rPr>
          <w:color w:val="0000CC"/>
        </w:rPr>
        <w:t xml:space="preserve"> JO, Flores MT, et al. International Association of Dental Traumatology Guidelines for the Management of Traumatic Injuries: 3. Injuries in the primary dentition. Dent </w:t>
      </w:r>
      <w:proofErr w:type="spellStart"/>
      <w:r w:rsidRPr="002F6690">
        <w:rPr>
          <w:color w:val="0000CC"/>
        </w:rPr>
        <w:t>Traumatol</w:t>
      </w:r>
      <w:proofErr w:type="spellEnd"/>
      <w:r w:rsidRPr="002F6690">
        <w:rPr>
          <w:color w:val="0000CC"/>
        </w:rPr>
        <w:t xml:space="preserve"> 2012</w:t>
      </w:r>
      <w:proofErr w:type="gramStart"/>
      <w:r w:rsidRPr="002F6690">
        <w:rPr>
          <w:color w:val="0000CC"/>
        </w:rPr>
        <w:t>;28</w:t>
      </w:r>
      <w:proofErr w:type="gramEnd"/>
      <w:r w:rsidRPr="002F6690">
        <w:rPr>
          <w:color w:val="0000CC"/>
        </w:rPr>
        <w:t>(3):174-82. 19.</w:t>
      </w:r>
    </w:p>
    <w:p w:rsidR="005960F1" w:rsidRPr="002F6690" w:rsidRDefault="005960F1" w:rsidP="005D36E2">
      <w:pPr>
        <w:ind w:left="720" w:hanging="720"/>
        <w:rPr>
          <w:color w:val="0000CC"/>
        </w:rPr>
      </w:pPr>
      <w:r w:rsidRPr="002F6690">
        <w:rPr>
          <w:color w:val="0000CC"/>
        </w:rPr>
        <w:t xml:space="preserve">Mobley C, Marshall TA, </w:t>
      </w:r>
      <w:proofErr w:type="spellStart"/>
      <w:r w:rsidRPr="002F6690">
        <w:rPr>
          <w:color w:val="0000CC"/>
        </w:rPr>
        <w:t>Milgrom</w:t>
      </w:r>
      <w:proofErr w:type="spellEnd"/>
      <w:r w:rsidRPr="002F6690">
        <w:rPr>
          <w:color w:val="0000CC"/>
        </w:rPr>
        <w:t xml:space="preserve"> P, Coldwell SE. </w:t>
      </w:r>
      <w:proofErr w:type="gramStart"/>
      <w:r w:rsidRPr="002F6690">
        <w:rPr>
          <w:color w:val="0000CC"/>
        </w:rPr>
        <w:t>The contribution of dietary factors to dental caries and disparities in caries.</w:t>
      </w:r>
      <w:proofErr w:type="gramEnd"/>
      <w:r w:rsidRPr="002F6690">
        <w:rPr>
          <w:color w:val="0000CC"/>
        </w:rPr>
        <w:t xml:space="preserve"> </w:t>
      </w:r>
      <w:proofErr w:type="spellStart"/>
      <w:r w:rsidRPr="002F6690">
        <w:rPr>
          <w:color w:val="0000CC"/>
        </w:rPr>
        <w:t>Acad</w:t>
      </w:r>
      <w:proofErr w:type="spellEnd"/>
      <w:r w:rsidRPr="002F6690">
        <w:rPr>
          <w:color w:val="0000CC"/>
        </w:rPr>
        <w:t xml:space="preserve"> </w:t>
      </w:r>
      <w:proofErr w:type="spellStart"/>
      <w:r w:rsidRPr="002F6690">
        <w:rPr>
          <w:color w:val="0000CC"/>
        </w:rPr>
        <w:t>Pediatr</w:t>
      </w:r>
      <w:proofErr w:type="spellEnd"/>
      <w:r w:rsidRPr="002F6690">
        <w:rPr>
          <w:color w:val="0000CC"/>
        </w:rPr>
        <w:t xml:space="preserve"> 2009</w:t>
      </w:r>
      <w:proofErr w:type="gramStart"/>
      <w:r w:rsidRPr="002F6690">
        <w:rPr>
          <w:color w:val="0000CC"/>
        </w:rPr>
        <w:t>;9</w:t>
      </w:r>
      <w:proofErr w:type="gramEnd"/>
      <w:r w:rsidRPr="002F6690">
        <w:rPr>
          <w:color w:val="0000CC"/>
        </w:rPr>
        <w:t>(6):410-4</w:t>
      </w:r>
    </w:p>
    <w:p w:rsidR="005960F1" w:rsidRPr="002F6690" w:rsidRDefault="005960F1" w:rsidP="005D36E2">
      <w:pPr>
        <w:ind w:left="720" w:hanging="720"/>
        <w:rPr>
          <w:color w:val="0000CC"/>
        </w:rPr>
      </w:pPr>
      <w:proofErr w:type="spellStart"/>
      <w:r w:rsidRPr="002F6690">
        <w:rPr>
          <w:color w:val="0000CC"/>
        </w:rPr>
        <w:t>Reisine</w:t>
      </w:r>
      <w:proofErr w:type="spellEnd"/>
      <w:r w:rsidRPr="002F6690">
        <w:rPr>
          <w:color w:val="0000CC"/>
        </w:rPr>
        <w:t xml:space="preserve"> S, Douglass JM. </w:t>
      </w:r>
      <w:proofErr w:type="spellStart"/>
      <w:proofErr w:type="gramStart"/>
      <w:r w:rsidRPr="002F6690">
        <w:rPr>
          <w:color w:val="0000CC"/>
        </w:rPr>
        <w:t>Pyschosocial</w:t>
      </w:r>
      <w:proofErr w:type="spellEnd"/>
      <w:r w:rsidRPr="002F6690">
        <w:rPr>
          <w:color w:val="0000CC"/>
        </w:rPr>
        <w:t xml:space="preserve"> and </w:t>
      </w:r>
      <w:proofErr w:type="spellStart"/>
      <w:r w:rsidRPr="002F6690">
        <w:rPr>
          <w:color w:val="0000CC"/>
        </w:rPr>
        <w:t>behavorial</w:t>
      </w:r>
      <w:proofErr w:type="spellEnd"/>
      <w:r w:rsidRPr="002F6690">
        <w:rPr>
          <w:color w:val="0000CC"/>
        </w:rPr>
        <w:t xml:space="preserve"> issues in early childhood caries.</w:t>
      </w:r>
      <w:proofErr w:type="gramEnd"/>
      <w:r w:rsidRPr="002F6690">
        <w:rPr>
          <w:color w:val="0000CC"/>
        </w:rPr>
        <w:t xml:space="preserve"> </w:t>
      </w:r>
      <w:proofErr w:type="spellStart"/>
      <w:r w:rsidRPr="002F6690">
        <w:rPr>
          <w:color w:val="0000CC"/>
        </w:rPr>
        <w:t>Comm</w:t>
      </w:r>
      <w:proofErr w:type="spellEnd"/>
      <w:r w:rsidRPr="002F6690">
        <w:rPr>
          <w:color w:val="0000CC"/>
        </w:rPr>
        <w:t xml:space="preserve"> Dent Oral </w:t>
      </w:r>
      <w:proofErr w:type="spellStart"/>
      <w:r w:rsidRPr="002F6690">
        <w:rPr>
          <w:color w:val="0000CC"/>
        </w:rPr>
        <w:t>Epidem</w:t>
      </w:r>
      <w:proofErr w:type="spellEnd"/>
      <w:r w:rsidRPr="002F6690">
        <w:rPr>
          <w:color w:val="0000CC"/>
        </w:rPr>
        <w:t xml:space="preserve"> 1998</w:t>
      </w:r>
      <w:proofErr w:type="gramStart"/>
      <w:r w:rsidRPr="002F6690">
        <w:rPr>
          <w:color w:val="0000CC"/>
        </w:rPr>
        <w:t>;26</w:t>
      </w:r>
      <w:proofErr w:type="gramEnd"/>
      <w:r w:rsidRPr="002F6690">
        <w:rPr>
          <w:color w:val="0000CC"/>
        </w:rPr>
        <w:t>(</w:t>
      </w:r>
      <w:proofErr w:type="spellStart"/>
      <w:r w:rsidRPr="002F6690">
        <w:rPr>
          <w:color w:val="0000CC"/>
        </w:rPr>
        <w:t>suppl</w:t>
      </w:r>
      <w:proofErr w:type="spellEnd"/>
      <w:r w:rsidRPr="002F6690">
        <w:rPr>
          <w:color w:val="0000CC"/>
        </w:rPr>
        <w:t>):132-44.</w:t>
      </w:r>
    </w:p>
    <w:p w:rsidR="005960F1" w:rsidRPr="002F6690" w:rsidRDefault="005960F1" w:rsidP="005D36E2">
      <w:pPr>
        <w:ind w:left="720" w:hanging="720"/>
        <w:rPr>
          <w:color w:val="0000CC"/>
        </w:rPr>
      </w:pPr>
      <w:proofErr w:type="gramStart"/>
      <w:r w:rsidRPr="002F6690">
        <w:rPr>
          <w:color w:val="0000CC"/>
        </w:rPr>
        <w:t>Sigurdsson, A. Evidence-based review of prevention of dental injuries.</w:t>
      </w:r>
      <w:proofErr w:type="gramEnd"/>
      <w:r w:rsidRPr="002F6690">
        <w:rPr>
          <w:color w:val="0000CC"/>
        </w:rPr>
        <w:t xml:space="preserve">  </w:t>
      </w:r>
      <w:proofErr w:type="spellStart"/>
      <w:r w:rsidRPr="002F6690">
        <w:rPr>
          <w:color w:val="0000CC"/>
        </w:rPr>
        <w:t>Pediatr</w:t>
      </w:r>
      <w:proofErr w:type="spellEnd"/>
      <w:r w:rsidRPr="002F6690">
        <w:rPr>
          <w:color w:val="0000CC"/>
        </w:rPr>
        <w:t xml:space="preserve"> Dent 2013</w:t>
      </w:r>
      <w:proofErr w:type="gramStart"/>
      <w:r w:rsidRPr="002F6690">
        <w:rPr>
          <w:color w:val="0000CC"/>
        </w:rPr>
        <w:t>;35</w:t>
      </w:r>
      <w:proofErr w:type="gramEnd"/>
      <w:r w:rsidRPr="002F6690">
        <w:rPr>
          <w:color w:val="0000CC"/>
        </w:rPr>
        <w:t>(2):184-90.</w:t>
      </w:r>
    </w:p>
    <w:p w:rsidR="005960F1" w:rsidRPr="002F6690" w:rsidRDefault="005960F1" w:rsidP="005D36E2">
      <w:pPr>
        <w:ind w:left="720" w:hanging="720"/>
        <w:rPr>
          <w:color w:val="0000CC"/>
        </w:rPr>
      </w:pPr>
      <w:proofErr w:type="spellStart"/>
      <w:r w:rsidRPr="002F6690">
        <w:rPr>
          <w:color w:val="0000CC"/>
        </w:rPr>
        <w:t>Tinanoff</w:t>
      </w:r>
      <w:proofErr w:type="spellEnd"/>
      <w:r w:rsidRPr="002F6690">
        <w:rPr>
          <w:color w:val="0000CC"/>
        </w:rPr>
        <w:t xml:space="preserve"> NT, Palmer C. Dietary determinants of dental caries in pre-school children and dietary recommendations for pre-school children. J Pub Health Dent 2000; 60(3):197-206.</w:t>
      </w:r>
    </w:p>
    <w:p w:rsidR="003F34B1" w:rsidRPr="002F6690" w:rsidRDefault="003F34B1" w:rsidP="005D36E2">
      <w:pPr>
        <w:ind w:left="0" w:firstLine="0"/>
        <w:rPr>
          <w:b/>
          <w:color w:val="0000CC"/>
        </w:rPr>
      </w:pPr>
    </w:p>
    <w:p w:rsidR="008A45F3" w:rsidRDefault="00B058A6" w:rsidP="005D36E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FE5301" w:rsidRPr="002F6690" w:rsidRDefault="00FE5301" w:rsidP="005D36E2">
      <w:pPr>
        <w:ind w:left="0" w:firstLine="0"/>
        <w:rPr>
          <w:color w:val="0000CC"/>
        </w:rPr>
      </w:pPr>
      <w:r w:rsidRPr="002F6690">
        <w:rPr>
          <w:b/>
          <w:color w:val="0000CC"/>
          <w:u w:val="single"/>
        </w:rPr>
        <w:t>NICE Guidelines</w:t>
      </w:r>
    </w:p>
    <w:p w:rsidR="00FE5301" w:rsidRPr="002F6690" w:rsidRDefault="00FE5301" w:rsidP="005D36E2">
      <w:pPr>
        <w:ind w:left="0" w:firstLine="0"/>
        <w:rPr>
          <w:color w:val="0000CC"/>
        </w:rPr>
      </w:pPr>
      <w:r w:rsidRPr="002F6690">
        <w:rPr>
          <w:color w:val="0000CC"/>
        </w:rPr>
        <w:t>“The recommended interval between oral health reviews should be determined specifically for each patient and tailored to meet his or her needs, on the basis of an assessment of disease levels and risk of or from dental disease.” (NICE Guidelines, 2004, p. 40)</w:t>
      </w:r>
    </w:p>
    <w:p w:rsidR="00FE5301" w:rsidRPr="002F6690" w:rsidRDefault="00FE5301" w:rsidP="005D36E2">
      <w:pPr>
        <w:ind w:left="0" w:firstLine="0"/>
        <w:rPr>
          <w:b/>
          <w:color w:val="0000CC"/>
        </w:rPr>
      </w:pPr>
      <w:r w:rsidRPr="002F6690">
        <w:rPr>
          <w:b/>
          <w:color w:val="0000CC"/>
        </w:rPr>
        <w:t>Grade: D</w:t>
      </w:r>
    </w:p>
    <w:p w:rsidR="00FE5301" w:rsidRPr="002F6690" w:rsidRDefault="00FE5301" w:rsidP="005D36E2">
      <w:pPr>
        <w:ind w:left="0" w:firstLine="0"/>
        <w:rPr>
          <w:color w:val="0000CC"/>
        </w:rPr>
      </w:pPr>
    </w:p>
    <w:p w:rsidR="00FE5301" w:rsidRPr="002F6690" w:rsidRDefault="00FE5301" w:rsidP="005D36E2">
      <w:pPr>
        <w:ind w:left="0" w:firstLine="0"/>
        <w:rPr>
          <w:color w:val="0000CC"/>
        </w:rPr>
      </w:pPr>
      <w:r w:rsidRPr="002F6690">
        <w:rPr>
          <w:color w:val="0000CC"/>
        </w:rPr>
        <w:t xml:space="preserve">“The shortest interval between oral health reviews for all patients should be 3 months.” (NICE Guidelines, 2004, p. 41)  Note: NICE uses the term “oral health reviews” </w:t>
      </w:r>
    </w:p>
    <w:p w:rsidR="00FE5301" w:rsidRPr="002F6690" w:rsidRDefault="00FE5301" w:rsidP="005D36E2">
      <w:pPr>
        <w:ind w:left="0" w:firstLine="0"/>
        <w:rPr>
          <w:color w:val="0000CC"/>
        </w:rPr>
      </w:pPr>
      <w:r w:rsidRPr="002F6690">
        <w:rPr>
          <w:b/>
          <w:color w:val="0000CC"/>
        </w:rPr>
        <w:t>Grade: GPP</w:t>
      </w:r>
    </w:p>
    <w:p w:rsidR="00FE5301" w:rsidRPr="002F6690" w:rsidRDefault="00FE5301" w:rsidP="005D36E2">
      <w:pPr>
        <w:ind w:left="0" w:firstLine="0"/>
        <w:rPr>
          <w:color w:val="0000CC"/>
        </w:rPr>
      </w:pPr>
    </w:p>
    <w:p w:rsidR="00FE5301" w:rsidRPr="002F6690" w:rsidRDefault="00FE5301" w:rsidP="005D36E2">
      <w:pPr>
        <w:ind w:left="0" w:firstLine="0"/>
        <w:rPr>
          <w:color w:val="0000CC"/>
        </w:rPr>
      </w:pPr>
      <w:r w:rsidRPr="002F6690">
        <w:rPr>
          <w:color w:val="0000CC"/>
        </w:rPr>
        <w:t>“The longest interval between oral health reviews for patients younger than 18 years should be 12 months.” (NICE Guidelines, 2004, p. 41)</w:t>
      </w:r>
    </w:p>
    <w:p w:rsidR="00FE5301" w:rsidRPr="002F6690" w:rsidRDefault="00FE5301" w:rsidP="005D36E2">
      <w:pPr>
        <w:ind w:left="0" w:firstLine="0"/>
        <w:rPr>
          <w:b/>
          <w:color w:val="0000CC"/>
        </w:rPr>
      </w:pPr>
      <w:r w:rsidRPr="002F6690">
        <w:rPr>
          <w:b/>
          <w:color w:val="0000CC"/>
        </w:rPr>
        <w:t>Grade: GPP</w:t>
      </w:r>
    </w:p>
    <w:p w:rsidR="00FE5301" w:rsidRPr="002F6690" w:rsidRDefault="00FE5301" w:rsidP="005D36E2">
      <w:pPr>
        <w:rPr>
          <w:color w:val="0000CC"/>
        </w:rPr>
      </w:pPr>
    </w:p>
    <w:p w:rsidR="00FE5301" w:rsidRPr="002F6690" w:rsidRDefault="00FE5301" w:rsidP="005D36E2">
      <w:pPr>
        <w:ind w:left="0" w:firstLine="0"/>
        <w:rPr>
          <w:color w:val="0000CC"/>
        </w:rPr>
      </w:pPr>
      <w:r w:rsidRPr="002F6690">
        <w:rPr>
          <w:color w:val="0000CC"/>
        </w:rPr>
        <w:t>“For practical reasons, the patient should be assigned a recall interval of 3, 6, 9, or 12 months if he or she is younger than 18 years, or 3, 6, 9, 12, 15, 18, 21, or 24 months if he or she is aged 18 years or older.” (NICE Guidelines, 2004, p. 41)</w:t>
      </w:r>
    </w:p>
    <w:p w:rsidR="00FE5301" w:rsidRPr="002F6690" w:rsidRDefault="00FE5301" w:rsidP="005D36E2">
      <w:pPr>
        <w:ind w:left="0" w:firstLine="0"/>
        <w:rPr>
          <w:b/>
          <w:color w:val="0000CC"/>
        </w:rPr>
      </w:pPr>
      <w:r w:rsidRPr="002F6690">
        <w:rPr>
          <w:b/>
          <w:color w:val="0000CC"/>
        </w:rPr>
        <w:t>Grade: GPP</w:t>
      </w:r>
    </w:p>
    <w:p w:rsidR="00FE5301" w:rsidRPr="002F6690" w:rsidRDefault="00FE5301" w:rsidP="005D36E2">
      <w:pPr>
        <w:ind w:left="0" w:firstLine="0"/>
        <w:rPr>
          <w:color w:val="0000CC"/>
        </w:rPr>
      </w:pPr>
    </w:p>
    <w:p w:rsidR="00FE5301" w:rsidRPr="002F6690" w:rsidRDefault="00FE5301" w:rsidP="005D36E2">
      <w:pPr>
        <w:ind w:left="0" w:firstLine="0"/>
        <w:rPr>
          <w:color w:val="0000CC"/>
        </w:rPr>
      </w:pPr>
      <w:r w:rsidRPr="002F6690">
        <w:rPr>
          <w:b/>
          <w:color w:val="0000CC"/>
          <w:u w:val="single"/>
        </w:rPr>
        <w:t>AAPD Clinical Guidelines</w:t>
      </w:r>
    </w:p>
    <w:p w:rsidR="008A45F3" w:rsidRPr="002F6690" w:rsidRDefault="001244B8" w:rsidP="005D36E2">
      <w:pPr>
        <w:ind w:left="0" w:firstLine="0"/>
        <w:rPr>
          <w:color w:val="0000CC"/>
        </w:rPr>
      </w:pPr>
      <w:r w:rsidRPr="002F6690">
        <w:rPr>
          <w:color w:val="0000CC"/>
        </w:rPr>
        <w:t xml:space="preserve">Not graded.  Supporting evidence is cited within the guidelines.  Please see references in 1a.4.2. </w:t>
      </w:r>
      <w:proofErr w:type="gramStart"/>
      <w:r w:rsidRPr="002F6690">
        <w:rPr>
          <w:color w:val="0000CC"/>
        </w:rPr>
        <w:t>above</w:t>
      </w:r>
      <w:proofErr w:type="gramEnd"/>
      <w:r w:rsidRPr="002F6690">
        <w:rPr>
          <w:color w:val="0000CC"/>
        </w:rPr>
        <w:t>.</w:t>
      </w:r>
    </w:p>
    <w:p w:rsidR="008A45F3" w:rsidRPr="001244B8" w:rsidRDefault="008A45F3" w:rsidP="005D36E2">
      <w:pPr>
        <w:ind w:left="0" w:firstLine="0"/>
        <w:rPr>
          <w:color w:val="FF0000"/>
        </w:rPr>
      </w:pPr>
    </w:p>
    <w:p w:rsidR="00265702" w:rsidRPr="007573F0" w:rsidRDefault="00965FF6" w:rsidP="005D36E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1244B8" w:rsidRPr="002F6690" w:rsidRDefault="00FE5301" w:rsidP="005D36E2">
      <w:pPr>
        <w:ind w:left="0" w:firstLine="0"/>
        <w:rPr>
          <w:color w:val="0000CC"/>
        </w:rPr>
      </w:pPr>
      <w:r w:rsidRPr="002F6690">
        <w:rPr>
          <w:b/>
          <w:color w:val="0000CC"/>
          <w:u w:val="single"/>
        </w:rPr>
        <w:t>NICE Guidelines</w:t>
      </w:r>
      <w:r w:rsidR="00207297" w:rsidRPr="002F6690">
        <w:rPr>
          <w:b/>
          <w:color w:val="0000CC"/>
          <w:u w:val="single"/>
        </w:rPr>
        <w:t xml:space="preserve"> (p. 8)</w:t>
      </w:r>
    </w:p>
    <w:tbl>
      <w:tblPr>
        <w:tblStyle w:val="TableGrid"/>
        <w:tblW w:w="0" w:type="auto"/>
        <w:tblLook w:val="04A0" w:firstRow="1" w:lastRow="0" w:firstColumn="1" w:lastColumn="0" w:noHBand="0" w:noVBand="1"/>
      </w:tblPr>
      <w:tblGrid>
        <w:gridCol w:w="648"/>
        <w:gridCol w:w="8928"/>
      </w:tblGrid>
      <w:tr w:rsidR="00FE5301" w:rsidRPr="002F6690" w:rsidTr="00207297">
        <w:tc>
          <w:tcPr>
            <w:tcW w:w="648" w:type="dxa"/>
            <w:vAlign w:val="center"/>
          </w:tcPr>
          <w:p w:rsidR="00FE5301" w:rsidRPr="002F6690" w:rsidRDefault="00FE5301" w:rsidP="005D36E2">
            <w:pPr>
              <w:ind w:left="0" w:firstLine="0"/>
              <w:rPr>
                <w:color w:val="0000CC"/>
              </w:rPr>
            </w:pPr>
            <w:r w:rsidRPr="002F6690">
              <w:rPr>
                <w:color w:val="0000CC"/>
              </w:rPr>
              <w:t>A</w:t>
            </w:r>
          </w:p>
        </w:tc>
        <w:tc>
          <w:tcPr>
            <w:tcW w:w="8928" w:type="dxa"/>
          </w:tcPr>
          <w:p w:rsidR="00FE5301" w:rsidRPr="002F6690" w:rsidRDefault="00FE5301" w:rsidP="005D36E2">
            <w:pPr>
              <w:ind w:left="0" w:firstLine="0"/>
              <w:rPr>
                <w:color w:val="0000CC"/>
              </w:rPr>
            </w:pPr>
            <w:r w:rsidRPr="002F6690">
              <w:rPr>
                <w:color w:val="0000CC"/>
              </w:rPr>
              <w:t xml:space="preserve">&gt; At least one meta-analysis, systematic review, or RCT rated as 1++, and directly applicable to the target population, or </w:t>
            </w:r>
          </w:p>
          <w:p w:rsidR="00FE5301" w:rsidRPr="002F6690" w:rsidRDefault="00FE5301" w:rsidP="005D36E2">
            <w:pPr>
              <w:ind w:left="0" w:firstLine="0"/>
              <w:rPr>
                <w:color w:val="0000CC"/>
              </w:rPr>
            </w:pPr>
            <w:r w:rsidRPr="002F6690">
              <w:rPr>
                <w:color w:val="0000CC"/>
              </w:rPr>
              <w:t xml:space="preserve">&gt; A systematic review of RCTs or a body of evidence consisting principally of studies rated as 1+, </w:t>
            </w:r>
            <w:r w:rsidRPr="002F6690">
              <w:rPr>
                <w:color w:val="0000CC"/>
              </w:rPr>
              <w:lastRenderedPageBreak/>
              <w:t>directly applicable to the target population, and demonstrating overall consistency of results</w:t>
            </w:r>
          </w:p>
        </w:tc>
      </w:tr>
      <w:tr w:rsidR="00FE5301" w:rsidRPr="002F6690" w:rsidTr="00207297">
        <w:tc>
          <w:tcPr>
            <w:tcW w:w="648" w:type="dxa"/>
            <w:vAlign w:val="center"/>
          </w:tcPr>
          <w:p w:rsidR="00FE5301" w:rsidRPr="002F6690" w:rsidRDefault="00FE5301" w:rsidP="005D36E2">
            <w:pPr>
              <w:ind w:left="0" w:firstLine="0"/>
              <w:rPr>
                <w:color w:val="0000CC"/>
              </w:rPr>
            </w:pPr>
            <w:r w:rsidRPr="002F6690">
              <w:rPr>
                <w:color w:val="0000CC"/>
              </w:rPr>
              <w:lastRenderedPageBreak/>
              <w:t>B</w:t>
            </w:r>
          </w:p>
        </w:tc>
        <w:tc>
          <w:tcPr>
            <w:tcW w:w="8928" w:type="dxa"/>
          </w:tcPr>
          <w:p w:rsidR="00FE5301" w:rsidRPr="002F6690" w:rsidRDefault="00FE5301" w:rsidP="005D36E2">
            <w:pPr>
              <w:ind w:left="0" w:firstLine="0"/>
              <w:rPr>
                <w:color w:val="0000CC"/>
              </w:rPr>
            </w:pPr>
            <w:r w:rsidRPr="002F6690">
              <w:rPr>
                <w:color w:val="0000CC"/>
              </w:rPr>
              <w:t>&gt; A body of evidence including studies rated as 2++, directly applicable to the target population, and demonstrating overall consistency of results, or</w:t>
            </w:r>
          </w:p>
          <w:p w:rsidR="00FE5301" w:rsidRPr="002F6690" w:rsidRDefault="00FE5301" w:rsidP="005D36E2">
            <w:pPr>
              <w:ind w:left="0" w:firstLine="0"/>
              <w:rPr>
                <w:color w:val="0000CC"/>
              </w:rPr>
            </w:pPr>
            <w:r w:rsidRPr="002F6690">
              <w:rPr>
                <w:color w:val="0000CC"/>
              </w:rPr>
              <w:t>&gt; Extrapolated evidence from studies rated as 1++ or 1+</w:t>
            </w:r>
          </w:p>
        </w:tc>
      </w:tr>
      <w:tr w:rsidR="00FE5301" w:rsidRPr="002F6690" w:rsidTr="00207297">
        <w:tc>
          <w:tcPr>
            <w:tcW w:w="648" w:type="dxa"/>
            <w:vAlign w:val="center"/>
          </w:tcPr>
          <w:p w:rsidR="00FE5301" w:rsidRPr="002F6690" w:rsidRDefault="00FE5301" w:rsidP="005D36E2">
            <w:pPr>
              <w:ind w:left="0" w:firstLine="0"/>
              <w:rPr>
                <w:color w:val="0000CC"/>
              </w:rPr>
            </w:pPr>
            <w:r w:rsidRPr="002F6690">
              <w:rPr>
                <w:color w:val="0000CC"/>
              </w:rPr>
              <w:t>C</w:t>
            </w:r>
          </w:p>
        </w:tc>
        <w:tc>
          <w:tcPr>
            <w:tcW w:w="8928" w:type="dxa"/>
          </w:tcPr>
          <w:p w:rsidR="00FE5301" w:rsidRPr="002F6690" w:rsidRDefault="00FE5301" w:rsidP="005D36E2">
            <w:pPr>
              <w:ind w:left="0" w:firstLine="0"/>
              <w:rPr>
                <w:color w:val="0000CC"/>
              </w:rPr>
            </w:pPr>
            <w:r w:rsidRPr="002F6690">
              <w:rPr>
                <w:color w:val="0000CC"/>
              </w:rPr>
              <w:t xml:space="preserve">&gt; A body of evidence including studies rated as 2+, directly applicable to the target population and demonstrating overall consistency of results, or </w:t>
            </w:r>
          </w:p>
          <w:p w:rsidR="00FE5301" w:rsidRPr="002F6690" w:rsidRDefault="00FE5301" w:rsidP="005D36E2">
            <w:pPr>
              <w:ind w:left="0" w:firstLine="0"/>
              <w:rPr>
                <w:color w:val="0000CC"/>
              </w:rPr>
            </w:pPr>
            <w:r w:rsidRPr="002F6690">
              <w:rPr>
                <w:color w:val="0000CC"/>
              </w:rPr>
              <w:t>&gt; Extrapolated evidence from studies rated as 2++</w:t>
            </w:r>
          </w:p>
        </w:tc>
      </w:tr>
      <w:tr w:rsidR="00FE5301" w:rsidRPr="002F6690" w:rsidTr="00207297">
        <w:tc>
          <w:tcPr>
            <w:tcW w:w="648" w:type="dxa"/>
            <w:vAlign w:val="center"/>
          </w:tcPr>
          <w:p w:rsidR="00FE5301" w:rsidRPr="002F6690" w:rsidRDefault="00FE5301" w:rsidP="005D36E2">
            <w:pPr>
              <w:ind w:left="0" w:firstLine="0"/>
              <w:rPr>
                <w:color w:val="0000CC"/>
              </w:rPr>
            </w:pPr>
            <w:r w:rsidRPr="002F6690">
              <w:rPr>
                <w:color w:val="0000CC"/>
              </w:rPr>
              <w:t>D</w:t>
            </w:r>
          </w:p>
        </w:tc>
        <w:tc>
          <w:tcPr>
            <w:tcW w:w="8928" w:type="dxa"/>
          </w:tcPr>
          <w:p w:rsidR="00FE5301" w:rsidRPr="002F6690" w:rsidRDefault="00FE5301" w:rsidP="005D36E2">
            <w:pPr>
              <w:ind w:left="0" w:firstLine="0"/>
              <w:rPr>
                <w:color w:val="0000CC"/>
              </w:rPr>
            </w:pPr>
            <w:r w:rsidRPr="002F6690">
              <w:rPr>
                <w:color w:val="0000CC"/>
              </w:rPr>
              <w:t>&gt;Evidence level 3 or 4, or</w:t>
            </w:r>
          </w:p>
          <w:p w:rsidR="00FE5301" w:rsidRPr="002F6690" w:rsidRDefault="00FE5301" w:rsidP="005D36E2">
            <w:pPr>
              <w:ind w:left="0" w:firstLine="0"/>
              <w:rPr>
                <w:color w:val="0000CC"/>
              </w:rPr>
            </w:pPr>
            <w:r w:rsidRPr="002F6690">
              <w:rPr>
                <w:color w:val="0000CC"/>
              </w:rPr>
              <w:t>&gt; Extrapolated evidence from studies</w:t>
            </w:r>
            <w:r w:rsidR="00026B24" w:rsidRPr="002F6690">
              <w:rPr>
                <w:color w:val="0000CC"/>
              </w:rPr>
              <w:t xml:space="preserve"> </w:t>
            </w:r>
            <w:r w:rsidRPr="002F6690">
              <w:rPr>
                <w:color w:val="0000CC"/>
              </w:rPr>
              <w:t>rated as 2+, or</w:t>
            </w:r>
          </w:p>
          <w:p w:rsidR="00FE5301" w:rsidRPr="002F6690" w:rsidRDefault="00FE5301" w:rsidP="005D36E2">
            <w:pPr>
              <w:ind w:left="0" w:firstLine="0"/>
              <w:rPr>
                <w:color w:val="0000CC"/>
              </w:rPr>
            </w:pPr>
            <w:r w:rsidRPr="002F6690">
              <w:rPr>
                <w:color w:val="0000CC"/>
              </w:rPr>
              <w:t>&gt; Formal consensus</w:t>
            </w:r>
          </w:p>
        </w:tc>
      </w:tr>
      <w:tr w:rsidR="00FE5301" w:rsidRPr="002F6690" w:rsidTr="00207297">
        <w:tc>
          <w:tcPr>
            <w:tcW w:w="648" w:type="dxa"/>
            <w:vAlign w:val="center"/>
          </w:tcPr>
          <w:p w:rsidR="00FE5301" w:rsidRPr="002F6690" w:rsidRDefault="00FE5301" w:rsidP="005D36E2">
            <w:pPr>
              <w:ind w:left="0" w:firstLine="0"/>
              <w:rPr>
                <w:color w:val="0000CC"/>
              </w:rPr>
            </w:pPr>
            <w:r w:rsidRPr="002F6690">
              <w:rPr>
                <w:color w:val="0000CC"/>
              </w:rPr>
              <w:t>GPP</w:t>
            </w:r>
          </w:p>
        </w:tc>
        <w:tc>
          <w:tcPr>
            <w:tcW w:w="8928" w:type="dxa"/>
          </w:tcPr>
          <w:p w:rsidR="00FE5301" w:rsidRPr="002F6690" w:rsidRDefault="00FE5301" w:rsidP="005D36E2">
            <w:pPr>
              <w:ind w:left="0" w:firstLine="0"/>
              <w:rPr>
                <w:color w:val="0000CC"/>
              </w:rPr>
            </w:pPr>
            <w:r w:rsidRPr="002F6690">
              <w:rPr>
                <w:color w:val="0000CC"/>
              </w:rPr>
              <w:t>A good practice point (GPP) is a recommendation for best practice based on the clinical experience of the Guideline Development Group</w:t>
            </w:r>
          </w:p>
        </w:tc>
      </w:tr>
    </w:tbl>
    <w:p w:rsidR="00850C35" w:rsidRDefault="00850C35" w:rsidP="005D36E2">
      <w:pPr>
        <w:ind w:left="0" w:firstLine="0"/>
        <w:rPr>
          <w:b/>
        </w:rPr>
      </w:pPr>
    </w:p>
    <w:p w:rsidR="00A12762" w:rsidRPr="00030F43" w:rsidRDefault="00776F6D" w:rsidP="005D36E2">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1244B8" w:rsidRPr="002F6690" w:rsidRDefault="00207297" w:rsidP="005D36E2">
      <w:pPr>
        <w:ind w:left="0" w:firstLine="0"/>
        <w:rPr>
          <w:color w:val="0000CC"/>
        </w:rPr>
      </w:pPr>
      <w:proofErr w:type="gramStart"/>
      <w:r w:rsidRPr="002F6690">
        <w:rPr>
          <w:color w:val="0000CC"/>
        </w:rPr>
        <w:t>Same as 1a.4.1.</w:t>
      </w:r>
      <w:proofErr w:type="gramEnd"/>
    </w:p>
    <w:p w:rsidR="001244B8" w:rsidRDefault="001244B8" w:rsidP="005D36E2">
      <w:pPr>
        <w:ind w:left="432" w:hanging="432"/>
        <w:rPr>
          <w:color w:val="0000FF"/>
        </w:rPr>
      </w:pPr>
    </w:p>
    <w:p w:rsidR="00736AEC" w:rsidRDefault="00736AEC" w:rsidP="005D36E2">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7438A9" w:rsidP="005D36E2">
      <w:pPr>
        <w:ind w:left="720" w:hanging="432"/>
        <w:rPr>
          <w:b/>
        </w:rPr>
      </w:pPr>
      <w:sdt>
        <w:sdtPr>
          <w:rPr>
            <w:b/>
            <w:bCs/>
          </w:rPr>
          <w:id w:val="-1346319738"/>
        </w:sdtPr>
        <w:sdtEndPr/>
        <w:sdtContent>
          <w:r w:rsidR="00FC32D3" w:rsidRPr="00D736F4">
            <w:rPr>
              <w:rFonts w:ascii="MS Gothic" w:eastAsia="MS Gothic" w:hAnsi="MS Gothic" w:hint="eastAsia"/>
              <w:b/>
              <w:bCs/>
            </w:rPr>
            <w:t>☐</w:t>
          </w:r>
        </w:sdtContent>
      </w:sdt>
      <w:r w:rsidR="00FC32D3" w:rsidRPr="00D736F4">
        <w:rPr>
          <w:b/>
        </w:rPr>
        <w:t xml:space="preserve"> </w:t>
      </w:r>
      <w:r w:rsidR="00FC32D3" w:rsidRPr="00D736F4">
        <w:t>Yes</w:t>
      </w:r>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7438A9" w:rsidP="005D36E2">
      <w:pPr>
        <w:ind w:left="1008" w:hanging="720"/>
      </w:pPr>
      <w:sdt>
        <w:sdtPr>
          <w:rPr>
            <w:bCs/>
            <w:color w:val="0000CC"/>
            <w:u w:val="single"/>
          </w:rPr>
          <w:id w:val="777454248"/>
        </w:sdtPr>
        <w:sdtEndPr/>
        <w:sdtContent>
          <w:r w:rsidR="00FC32D3" w:rsidRPr="00D736F4">
            <w:rPr>
              <w:rFonts w:ascii="MS Gothic" w:eastAsia="MS Gothic" w:hAnsi="MS Gothic" w:hint="eastAsia"/>
              <w:b/>
              <w:bCs/>
              <w:color w:val="0000CC"/>
            </w:rPr>
            <w:t>☐</w:t>
          </w:r>
          <w:r w:rsidR="00026B24" w:rsidRPr="00D736F4">
            <w:rPr>
              <w:rFonts w:ascii="MS Gothic" w:eastAsia="MS Gothic" w:hAnsi="MS Gothic"/>
              <w:b/>
              <w:bCs/>
              <w:color w:val="0000CC"/>
            </w:rPr>
            <w:t>X</w:t>
          </w:r>
        </w:sdtContent>
      </w:sdt>
      <w:r w:rsidR="00736AEC" w:rsidRPr="00D736F4">
        <w:rPr>
          <w:b/>
          <w:color w:val="0000CC"/>
        </w:rPr>
        <w:t xml:space="preserve"> </w:t>
      </w:r>
      <w:proofErr w:type="gramStart"/>
      <w:r w:rsidR="00736AEC" w:rsidRPr="00D736F4">
        <w:rPr>
          <w:color w:val="0000CC"/>
        </w:rPr>
        <w:t>No</w:t>
      </w:r>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EE5AF6" w:rsidRDefault="00EE5AF6" w:rsidP="005D36E2">
      <w:pPr>
        <w:ind w:left="0" w:firstLine="0"/>
        <w:rPr>
          <w:color w:val="0000FF"/>
        </w:rPr>
      </w:pPr>
    </w:p>
    <w:p w:rsidR="00EE5AF6" w:rsidRDefault="00EE5AF6" w:rsidP="005D36E2">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5D36E2">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1244B8" w:rsidRPr="001244B8" w:rsidRDefault="001244B8" w:rsidP="005D36E2">
      <w:pPr>
        <w:ind w:left="0" w:firstLine="0"/>
        <w:rPr>
          <w:color w:val="0000CC"/>
        </w:rPr>
      </w:pPr>
      <w:r w:rsidRPr="001244B8">
        <w:rPr>
          <w:color w:val="0000CC"/>
        </w:rPr>
        <w:t>Not applicable.</w:t>
      </w:r>
    </w:p>
    <w:p w:rsidR="001244B8" w:rsidRPr="001244B8" w:rsidRDefault="00307FA5" w:rsidP="005D36E2">
      <w:pPr>
        <w:ind w:left="0" w:firstLine="0"/>
        <w:rPr>
          <w:color w:val="0000CC"/>
        </w:rPr>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r w:rsidR="00D736F4">
        <w:t xml:space="preserve"> </w:t>
      </w:r>
      <w:r w:rsidR="001244B8" w:rsidRPr="001244B8">
        <w:rPr>
          <w:color w:val="0000CC"/>
        </w:rPr>
        <w:t>Not applicable.</w:t>
      </w:r>
    </w:p>
    <w:p w:rsidR="001244B8" w:rsidRPr="001244B8" w:rsidRDefault="00307FA5" w:rsidP="005D36E2">
      <w:pPr>
        <w:ind w:left="0" w:firstLine="0"/>
        <w:rPr>
          <w:color w:val="0000CC"/>
        </w:rPr>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r w:rsidR="00D736F4">
        <w:t xml:space="preserve"> </w:t>
      </w:r>
      <w:r w:rsidR="001244B8" w:rsidRPr="001244B8">
        <w:rPr>
          <w:color w:val="0000CC"/>
        </w:rPr>
        <w:t>Not applicable.</w:t>
      </w:r>
    </w:p>
    <w:p w:rsidR="00307FA5" w:rsidRPr="00095EC9" w:rsidRDefault="008A45F3" w:rsidP="005D36E2">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1244B8" w:rsidRPr="001244B8" w:rsidRDefault="001244B8" w:rsidP="005D36E2">
      <w:pPr>
        <w:ind w:left="0" w:firstLine="0"/>
        <w:rPr>
          <w:color w:val="0000CC"/>
        </w:rPr>
      </w:pPr>
      <w:r w:rsidRPr="001244B8">
        <w:rPr>
          <w:color w:val="0000CC"/>
        </w:rPr>
        <w:t>Not applicable.</w:t>
      </w:r>
    </w:p>
    <w:p w:rsidR="00A12762" w:rsidRDefault="008A45F3" w:rsidP="005D36E2">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1244B8" w:rsidRPr="001244B8" w:rsidRDefault="001244B8" w:rsidP="005D36E2">
      <w:pPr>
        <w:ind w:left="0" w:firstLine="0"/>
        <w:rPr>
          <w:color w:val="0000CC"/>
        </w:rPr>
      </w:pPr>
      <w:r w:rsidRPr="001244B8">
        <w:rPr>
          <w:color w:val="0000CC"/>
        </w:rPr>
        <w:t>Not applicable.</w:t>
      </w:r>
    </w:p>
    <w:p w:rsidR="00EE5AF6" w:rsidRPr="00201FF9" w:rsidRDefault="00923295" w:rsidP="005D36E2">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EE5AF6" w:rsidRPr="00DF278A" w:rsidRDefault="00EE5AF6" w:rsidP="005D36E2">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5D36E2">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D736F4" w:rsidRDefault="00D736F4" w:rsidP="00D736F4">
      <w:pPr>
        <w:ind w:left="0" w:firstLine="0"/>
        <w:rPr>
          <w:color w:val="0000CC"/>
        </w:rPr>
      </w:pPr>
      <w:proofErr w:type="gramStart"/>
      <w:r w:rsidRPr="00FF4D95">
        <w:rPr>
          <w:color w:val="0000CC"/>
        </w:rPr>
        <w:t xml:space="preserve">Riley P, Worthington HV, Clarkson JE, </w:t>
      </w:r>
      <w:proofErr w:type="spellStart"/>
      <w:r w:rsidRPr="00FF4D95">
        <w:rPr>
          <w:color w:val="0000CC"/>
        </w:rPr>
        <w:t>Beirne</w:t>
      </w:r>
      <w:proofErr w:type="spellEnd"/>
      <w:r w:rsidRPr="00FF4D95">
        <w:rPr>
          <w:color w:val="0000CC"/>
        </w:rPr>
        <w:t xml:space="preserve"> PV.</w:t>
      </w:r>
      <w:proofErr w:type="gramEnd"/>
      <w:r w:rsidRPr="00FF4D95">
        <w:rPr>
          <w:color w:val="0000CC"/>
        </w:rPr>
        <w:t xml:space="preserve"> Recall intervals for oral health in primary care patients. Cochrane Database of Systematic Reviews 2013, Issue 12.</w:t>
      </w:r>
      <w:r>
        <w:rPr>
          <w:color w:val="0000CC"/>
        </w:rPr>
        <w:t xml:space="preserve"> </w:t>
      </w:r>
      <w:r w:rsidRPr="00FF4D95">
        <w:rPr>
          <w:color w:val="0000CC"/>
        </w:rPr>
        <w:t>http://onlinelibrary.wiley.com/doi/10.1002/14651858.CD004346.pub4/abstract</w:t>
      </w:r>
    </w:p>
    <w:p w:rsidR="00EE5AF6" w:rsidRDefault="00EE5AF6" w:rsidP="005D36E2">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1244B8" w:rsidRPr="001244B8" w:rsidRDefault="001244B8" w:rsidP="005D36E2">
      <w:pPr>
        <w:ind w:left="0" w:firstLine="0"/>
        <w:rPr>
          <w:color w:val="0000CC"/>
        </w:rPr>
      </w:pPr>
      <w:r w:rsidRPr="001244B8">
        <w:rPr>
          <w:color w:val="0000CC"/>
        </w:rPr>
        <w:t>Not applicable.</w:t>
      </w:r>
    </w:p>
    <w:p w:rsidR="00C84623" w:rsidRDefault="00C84623" w:rsidP="005D36E2">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C84623" w:rsidRDefault="00C84623" w:rsidP="005D36E2">
      <w:pPr>
        <w:ind w:left="0" w:firstLine="0"/>
        <w:rPr>
          <w:b/>
          <w:color w:val="0000FF"/>
        </w:rPr>
      </w:pPr>
    </w:p>
    <w:p w:rsidR="00C84623" w:rsidRPr="00D736F4" w:rsidRDefault="00C84623" w:rsidP="00D736F4">
      <w:pPr>
        <w:rPr>
          <w:b/>
          <w:color w:val="0000FF"/>
        </w:rPr>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5D36E2">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rsidR="00D736F4" w:rsidRDefault="00D736F4" w:rsidP="005D36E2">
      <w:pPr>
        <w:ind w:left="0" w:firstLine="0"/>
        <w:rPr>
          <w:b/>
          <w:color w:val="0000CC"/>
          <w:u w:val="single"/>
        </w:rPr>
      </w:pPr>
    </w:p>
    <w:p w:rsidR="00207297" w:rsidRPr="002F6690" w:rsidRDefault="00207297" w:rsidP="005D36E2">
      <w:pPr>
        <w:ind w:left="0" w:firstLine="0"/>
        <w:rPr>
          <w:color w:val="0000CC"/>
        </w:rPr>
      </w:pPr>
      <w:r w:rsidRPr="002F6690">
        <w:rPr>
          <w:b/>
          <w:color w:val="0000CC"/>
          <w:u w:val="single"/>
        </w:rPr>
        <w:lastRenderedPageBreak/>
        <w:t>NICE Guidelines</w:t>
      </w:r>
    </w:p>
    <w:p w:rsidR="00207297" w:rsidRPr="002F6690" w:rsidRDefault="00207297" w:rsidP="005D36E2">
      <w:pPr>
        <w:ind w:left="0" w:firstLine="0"/>
        <w:rPr>
          <w:color w:val="0000CC"/>
        </w:rPr>
      </w:pPr>
      <w:r w:rsidRPr="002F6690">
        <w:rPr>
          <w:color w:val="0000CC"/>
        </w:rPr>
        <w:t>Key Clinical Questions:</w:t>
      </w:r>
    </w:p>
    <w:p w:rsidR="00207297" w:rsidRPr="002F6690" w:rsidRDefault="00207297" w:rsidP="005D36E2">
      <w:pPr>
        <w:ind w:left="0" w:firstLine="0"/>
        <w:rPr>
          <w:color w:val="0000CC"/>
        </w:rPr>
      </w:pPr>
    </w:p>
    <w:p w:rsidR="00207297" w:rsidRPr="002F6690" w:rsidRDefault="00207297" w:rsidP="005D36E2">
      <w:pPr>
        <w:ind w:left="0" w:firstLine="0"/>
        <w:rPr>
          <w:color w:val="0000CC"/>
        </w:rPr>
      </w:pPr>
      <w:r w:rsidRPr="002F6690">
        <w:rPr>
          <w:color w:val="0000CC"/>
        </w:rPr>
        <w:t>(a) How effective are routine dental checks of different recall frequencies in improving quality of life and reducing the morbidity associated with dental caries and periodontal disease in children?</w:t>
      </w:r>
    </w:p>
    <w:p w:rsidR="00207297" w:rsidRPr="002F6690" w:rsidRDefault="00207297" w:rsidP="005D36E2">
      <w:pPr>
        <w:ind w:left="0" w:firstLine="0"/>
        <w:rPr>
          <w:color w:val="0000CC"/>
        </w:rPr>
      </w:pPr>
    </w:p>
    <w:p w:rsidR="00207297" w:rsidRPr="002F6690" w:rsidRDefault="00207297" w:rsidP="005D36E2">
      <w:pPr>
        <w:ind w:left="0" w:firstLine="0"/>
        <w:rPr>
          <w:color w:val="0000CC"/>
        </w:rPr>
      </w:pPr>
      <w:r w:rsidRPr="002F6690">
        <w:rPr>
          <w:color w:val="0000CC"/>
        </w:rPr>
        <w:t>(b) How effective are routine dental checks of different recall frequencies in improving quality of life, reducing the morbidity associated with dental caries, periodontal disease and oral cancer, and reducing the mortality associated with oral cancer in adults?</w:t>
      </w:r>
    </w:p>
    <w:p w:rsidR="00207297" w:rsidRPr="002F6690" w:rsidRDefault="00207297" w:rsidP="005D36E2">
      <w:pPr>
        <w:ind w:left="0" w:firstLine="0"/>
        <w:rPr>
          <w:color w:val="0000CC"/>
        </w:rPr>
      </w:pPr>
    </w:p>
    <w:p w:rsidR="00207297" w:rsidRPr="002F6690" w:rsidRDefault="00207297" w:rsidP="005D36E2">
      <w:pPr>
        <w:ind w:left="0" w:firstLine="0"/>
        <w:rPr>
          <w:b/>
          <w:color w:val="0000CC"/>
          <w:u w:val="single"/>
        </w:rPr>
      </w:pPr>
      <w:r w:rsidRPr="002F6690">
        <w:rPr>
          <w:b/>
          <w:color w:val="0000CC"/>
          <w:u w:val="single"/>
        </w:rPr>
        <w:t>AAPD Guidelines</w:t>
      </w:r>
    </w:p>
    <w:p w:rsidR="00EE5AF6" w:rsidRPr="002F6690" w:rsidRDefault="001244B8" w:rsidP="005D36E2">
      <w:pPr>
        <w:ind w:left="0" w:firstLine="0"/>
        <w:rPr>
          <w:color w:val="0000CC"/>
        </w:rPr>
      </w:pPr>
      <w:r w:rsidRPr="002F6690">
        <w:rPr>
          <w:color w:val="0000CC"/>
        </w:rPr>
        <w:t xml:space="preserve">The periodicity guideline covers a broad range of services.  Consequently, the evidence review for the most recent update of this guideline (2013), included the following search terms for articles published in the last 10 years: “periodicity of dental examinations”, “dental recall intervals”, “preventive dental services”, “anticipatory guidance and dentistry”, “caries risk assessment”, “early childhood caries”, “dental caries prediction”, “dental care cost effectiveness children”, “periodontal disease and children and adolescents US”, “pit and fissure sealants”, “dental sealants“, “fluoride supplementation and topical fluoride”, “dental trauma”, “dental fracture and tooth”, “nonnutritive oral habits”, “treatment of developing malocclusion”, “removal of wisdom teeth”, “removal of third molars”.  Additional search limitations were humans, English language, clinical trials, and </w:t>
      </w:r>
      <w:proofErr w:type="gramStart"/>
      <w:r w:rsidRPr="002F6690">
        <w:rPr>
          <w:color w:val="0000CC"/>
        </w:rPr>
        <w:t>ages</w:t>
      </w:r>
      <w:proofErr w:type="gramEnd"/>
      <w:r w:rsidRPr="002F6690">
        <w:rPr>
          <w:color w:val="0000CC"/>
        </w:rPr>
        <w:t xml:space="preserve"> birth -18 years.  The search returned 3,418 articles, 113 which were chosen for a detailed review after reviewing the titles and abstracts.  (AAPD Clinical Guidelines, p. 114)</w:t>
      </w:r>
    </w:p>
    <w:p w:rsidR="001244B8" w:rsidRPr="00FB3DD8" w:rsidRDefault="001244B8" w:rsidP="005D36E2">
      <w:pPr>
        <w:ind w:left="0" w:firstLine="0"/>
        <w:rPr>
          <w:b/>
          <w:color w:val="FF0000"/>
        </w:rPr>
      </w:pPr>
    </w:p>
    <w:p w:rsidR="00095EC9" w:rsidRDefault="00EE5AF6" w:rsidP="005D36E2">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207297" w:rsidRPr="002F6690" w:rsidRDefault="00207297" w:rsidP="005D36E2">
      <w:pPr>
        <w:ind w:left="0" w:firstLine="0"/>
        <w:rPr>
          <w:color w:val="0000CC"/>
        </w:rPr>
      </w:pPr>
      <w:r w:rsidRPr="002F6690">
        <w:rPr>
          <w:b/>
          <w:color w:val="0000CC"/>
          <w:u w:val="single"/>
        </w:rPr>
        <w:t>NICE Guidelines</w:t>
      </w:r>
    </w:p>
    <w:p w:rsidR="00207297" w:rsidRPr="002F6690" w:rsidRDefault="00026B24" w:rsidP="005D36E2">
      <w:pPr>
        <w:ind w:left="0" w:firstLine="0"/>
        <w:rPr>
          <w:color w:val="0000CC"/>
        </w:rPr>
      </w:pPr>
      <w:r w:rsidRPr="002F6690">
        <w:rPr>
          <w:color w:val="0000CC"/>
        </w:rPr>
        <w:t>Although NICE has a detailed method for grading evidence</w:t>
      </w:r>
      <w:r w:rsidR="003F71CC" w:rsidRPr="002F6690">
        <w:rPr>
          <w:color w:val="0000CC"/>
        </w:rPr>
        <w:t xml:space="preserve"> in developing clinical guidelines</w:t>
      </w:r>
      <w:r w:rsidRPr="002F6690">
        <w:rPr>
          <w:color w:val="0000CC"/>
        </w:rPr>
        <w:t xml:space="preserve">, the report does not contain </w:t>
      </w:r>
      <w:r w:rsidR="003F71CC" w:rsidRPr="002F6690">
        <w:rPr>
          <w:color w:val="0000CC"/>
        </w:rPr>
        <w:t>the specific grades assigned for the evidence associated with each clinical guideline.</w:t>
      </w:r>
    </w:p>
    <w:p w:rsidR="00207297" w:rsidRPr="002F6690" w:rsidRDefault="00207297" w:rsidP="005D36E2">
      <w:pPr>
        <w:ind w:left="0" w:firstLine="0"/>
        <w:rPr>
          <w:color w:val="0000CC"/>
        </w:rPr>
      </w:pPr>
    </w:p>
    <w:p w:rsidR="003F71CC" w:rsidRPr="002F6690" w:rsidRDefault="003F71CC" w:rsidP="005D36E2">
      <w:pPr>
        <w:ind w:left="0" w:firstLine="0"/>
        <w:rPr>
          <w:color w:val="0000CC"/>
        </w:rPr>
      </w:pPr>
      <w:r w:rsidRPr="002F6690">
        <w:rPr>
          <w:b/>
          <w:color w:val="0000CC"/>
          <w:u w:val="single"/>
        </w:rPr>
        <w:t>AAPD Guidelines</w:t>
      </w:r>
    </w:p>
    <w:p w:rsidR="001244B8" w:rsidRPr="002F6690" w:rsidRDefault="001244B8" w:rsidP="005D36E2">
      <w:pPr>
        <w:ind w:left="0" w:firstLine="0"/>
        <w:rPr>
          <w:color w:val="0000CC"/>
        </w:rPr>
      </w:pPr>
      <w:r w:rsidRPr="002F6690">
        <w:rPr>
          <w:color w:val="0000CC"/>
        </w:rPr>
        <w:t>Evidence grades were not assigned.</w:t>
      </w:r>
    </w:p>
    <w:p w:rsidR="00095EC9" w:rsidRDefault="00095EC9" w:rsidP="005D36E2">
      <w:pPr>
        <w:ind w:left="0" w:firstLine="0"/>
      </w:pPr>
    </w:p>
    <w:p w:rsidR="00EA79C9" w:rsidRPr="00352B52" w:rsidRDefault="00095EC9" w:rsidP="005D36E2">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1244B8" w:rsidRDefault="003F71CC" w:rsidP="005D36E2">
      <w:pPr>
        <w:ind w:left="0" w:firstLine="0"/>
        <w:rPr>
          <w:color w:val="0000CC"/>
        </w:rPr>
      </w:pPr>
      <w:r>
        <w:rPr>
          <w:color w:val="0000CC"/>
        </w:rPr>
        <w:t>NICE’s Evidence Grading System is (p. 6):</w:t>
      </w:r>
    </w:p>
    <w:tbl>
      <w:tblPr>
        <w:tblStyle w:val="TableGrid"/>
        <w:tblW w:w="0" w:type="auto"/>
        <w:tblLook w:val="04A0" w:firstRow="1" w:lastRow="0" w:firstColumn="1" w:lastColumn="0" w:noHBand="0" w:noVBand="1"/>
      </w:tblPr>
      <w:tblGrid>
        <w:gridCol w:w="648"/>
        <w:gridCol w:w="8928"/>
      </w:tblGrid>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1++</w:t>
            </w:r>
          </w:p>
        </w:tc>
        <w:tc>
          <w:tcPr>
            <w:tcW w:w="8928" w:type="dxa"/>
          </w:tcPr>
          <w:p w:rsidR="003F71CC" w:rsidRPr="002F6690" w:rsidRDefault="003F71CC" w:rsidP="005D36E2">
            <w:pPr>
              <w:ind w:left="0" w:firstLine="0"/>
              <w:rPr>
                <w:color w:val="0000CC"/>
              </w:rPr>
            </w:pPr>
            <w:r w:rsidRPr="002F6690">
              <w:rPr>
                <w:color w:val="0000CC"/>
              </w:rPr>
              <w:t>High-quality meta-analyses, systematic reviews of RCTs, or RCTs with a very low risk of bias</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1+</w:t>
            </w:r>
          </w:p>
        </w:tc>
        <w:tc>
          <w:tcPr>
            <w:tcW w:w="8928" w:type="dxa"/>
          </w:tcPr>
          <w:p w:rsidR="003F71CC" w:rsidRPr="002F6690" w:rsidRDefault="003F71CC" w:rsidP="005D36E2">
            <w:pPr>
              <w:ind w:left="0" w:firstLine="0"/>
              <w:rPr>
                <w:color w:val="0000CC"/>
              </w:rPr>
            </w:pPr>
            <w:r w:rsidRPr="002F6690">
              <w:rPr>
                <w:color w:val="0000CC"/>
              </w:rPr>
              <w:t>Well-conducted meta-analyses, systematic reviews of RCTs, or RCTs with a low risk of bias</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1-</w:t>
            </w:r>
          </w:p>
        </w:tc>
        <w:tc>
          <w:tcPr>
            <w:tcW w:w="8928" w:type="dxa"/>
          </w:tcPr>
          <w:p w:rsidR="003F71CC" w:rsidRPr="002F6690" w:rsidRDefault="003F71CC" w:rsidP="005D36E2">
            <w:pPr>
              <w:ind w:left="0" w:firstLine="0"/>
              <w:rPr>
                <w:color w:val="0000CC"/>
              </w:rPr>
            </w:pPr>
            <w:r w:rsidRPr="002F6690">
              <w:rPr>
                <w:color w:val="0000CC"/>
              </w:rPr>
              <w:t>Meta-analyses, systematic reviews of RCTs, or RCTs with a high risk of bias</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2++</w:t>
            </w:r>
          </w:p>
        </w:tc>
        <w:tc>
          <w:tcPr>
            <w:tcW w:w="8928" w:type="dxa"/>
          </w:tcPr>
          <w:p w:rsidR="003F71CC" w:rsidRPr="002F6690" w:rsidRDefault="003F71CC" w:rsidP="005D36E2">
            <w:pPr>
              <w:ind w:left="0" w:firstLine="0"/>
              <w:rPr>
                <w:color w:val="0000CC"/>
              </w:rPr>
            </w:pPr>
            <w:r w:rsidRPr="002F6690">
              <w:rPr>
                <w:color w:val="0000CC"/>
              </w:rPr>
              <w:t>High-quality systematic reviews of case control or cohort studies</w:t>
            </w:r>
          </w:p>
          <w:p w:rsidR="003F71CC" w:rsidRPr="002F6690" w:rsidRDefault="003F71CC" w:rsidP="005D36E2">
            <w:pPr>
              <w:ind w:left="0" w:firstLine="0"/>
              <w:rPr>
                <w:color w:val="0000CC"/>
              </w:rPr>
            </w:pPr>
            <w:r w:rsidRPr="002F6690">
              <w:rPr>
                <w:color w:val="0000CC"/>
              </w:rPr>
              <w:t>High-quality case-control or cohort studies with a very low risk of confounding, bias or chance and a high probability that the relationship is causal</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2+</w:t>
            </w:r>
          </w:p>
        </w:tc>
        <w:tc>
          <w:tcPr>
            <w:tcW w:w="8928" w:type="dxa"/>
          </w:tcPr>
          <w:p w:rsidR="003F71CC" w:rsidRPr="002F6690" w:rsidRDefault="003F71CC" w:rsidP="005D36E2">
            <w:pPr>
              <w:ind w:left="0" w:firstLine="0"/>
              <w:rPr>
                <w:color w:val="0000CC"/>
              </w:rPr>
            </w:pPr>
            <w:r w:rsidRPr="002F6690">
              <w:rPr>
                <w:color w:val="0000CC"/>
              </w:rPr>
              <w:t>Well-conducted case-control or cohort studies with a low risk of confounding, bias or chance and a moderate probability that the relationship is causal</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2-</w:t>
            </w:r>
          </w:p>
        </w:tc>
        <w:tc>
          <w:tcPr>
            <w:tcW w:w="8928" w:type="dxa"/>
          </w:tcPr>
          <w:p w:rsidR="003F71CC" w:rsidRPr="002F6690" w:rsidRDefault="003F71CC" w:rsidP="005D36E2">
            <w:pPr>
              <w:ind w:left="0" w:firstLine="0"/>
              <w:rPr>
                <w:color w:val="0000CC"/>
              </w:rPr>
            </w:pPr>
            <w:r w:rsidRPr="002F6690">
              <w:rPr>
                <w:color w:val="0000CC"/>
              </w:rPr>
              <w:t>Case-control or cohort studies with a high risk of confounding bias or chance and a significant risk that the relationship is not causal</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3</w:t>
            </w:r>
          </w:p>
        </w:tc>
        <w:tc>
          <w:tcPr>
            <w:tcW w:w="8928" w:type="dxa"/>
          </w:tcPr>
          <w:p w:rsidR="003F71CC" w:rsidRPr="002F6690" w:rsidRDefault="003F71CC" w:rsidP="005D36E2">
            <w:pPr>
              <w:ind w:left="0" w:firstLine="0"/>
              <w:rPr>
                <w:color w:val="0000CC"/>
              </w:rPr>
            </w:pPr>
            <w:r w:rsidRPr="002F6690">
              <w:rPr>
                <w:color w:val="0000CC"/>
              </w:rPr>
              <w:t>Non-analytic studies (for example, case reports, case series)</w:t>
            </w:r>
          </w:p>
        </w:tc>
      </w:tr>
      <w:tr w:rsidR="003F71CC" w:rsidRPr="002F6690" w:rsidTr="003F71CC">
        <w:tc>
          <w:tcPr>
            <w:tcW w:w="648" w:type="dxa"/>
            <w:vAlign w:val="center"/>
          </w:tcPr>
          <w:p w:rsidR="003F71CC" w:rsidRPr="002F6690" w:rsidRDefault="003F71CC" w:rsidP="005D36E2">
            <w:pPr>
              <w:ind w:left="0" w:firstLine="0"/>
              <w:rPr>
                <w:color w:val="0000CC"/>
              </w:rPr>
            </w:pPr>
            <w:r w:rsidRPr="002F6690">
              <w:rPr>
                <w:color w:val="0000CC"/>
              </w:rPr>
              <w:t>4</w:t>
            </w:r>
          </w:p>
        </w:tc>
        <w:tc>
          <w:tcPr>
            <w:tcW w:w="8928" w:type="dxa"/>
          </w:tcPr>
          <w:p w:rsidR="003F71CC" w:rsidRPr="002F6690" w:rsidRDefault="003F71CC" w:rsidP="005D36E2">
            <w:pPr>
              <w:ind w:left="0" w:firstLine="0"/>
              <w:rPr>
                <w:color w:val="0000CC"/>
              </w:rPr>
            </w:pPr>
            <w:r w:rsidRPr="002F6690">
              <w:rPr>
                <w:color w:val="0000CC"/>
              </w:rPr>
              <w:t>Expert opinion, formal consensus</w:t>
            </w:r>
          </w:p>
        </w:tc>
      </w:tr>
    </w:tbl>
    <w:p w:rsidR="00496AF8" w:rsidRPr="00FB3DD8" w:rsidRDefault="00496AF8" w:rsidP="005D36E2">
      <w:pPr>
        <w:ind w:left="432" w:hanging="432"/>
        <w:rPr>
          <w:color w:val="FF0000"/>
        </w:rPr>
      </w:pPr>
      <w:bookmarkStart w:id="10" w:name="Section1a7"/>
      <w:bookmarkEnd w:id="10"/>
      <w:r w:rsidRPr="00CB06C9">
        <w:rPr>
          <w:b/>
          <w:noProof/>
          <w:color w:val="0000FF"/>
        </w:rPr>
        <w:lastRenderedPageBreak/>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2F6690">
        <w:rPr>
          <w:color w:val="0000CC"/>
        </w:rPr>
        <w:t xml:space="preserve">:  </w:t>
      </w:r>
      <w:sdt>
        <w:sdtPr>
          <w:rPr>
            <w:rStyle w:val="Style2"/>
            <w:color w:val="0000CC"/>
          </w:rPr>
          <w:id w:val="-1666395719"/>
        </w:sdtPr>
        <w:sdtEndPr>
          <w:rPr>
            <w:rStyle w:val="DefaultParagraphFont"/>
            <w:u w:val="none"/>
          </w:rPr>
        </w:sdtEndPr>
        <w:sdtContent>
          <w:r w:rsidR="003F71CC" w:rsidRPr="002F6690">
            <w:rPr>
              <w:rStyle w:val="Style2"/>
              <w:color w:val="0000CC"/>
              <w:u w:val="none"/>
            </w:rPr>
            <w:t xml:space="preserve">NICE: </w:t>
          </w:r>
          <w:r w:rsidR="00817AFC" w:rsidRPr="002F6690">
            <w:rPr>
              <w:rStyle w:val="Style2"/>
              <w:color w:val="0000CC"/>
              <w:u w:val="none"/>
            </w:rPr>
            <w:t xml:space="preserve">NICE built upon an existing systematic review that addressed the focus the guidelines conducted by Davenport et al. (2003).  Davenport et al.’s review covered the literature through February 2001.  NICE updated that search through July 2003.  The AAPD Guidelines conducted a literature search covering the period </w:t>
          </w:r>
          <w:r w:rsidR="001244B8" w:rsidRPr="002F6690">
            <w:rPr>
              <w:color w:val="0000CC"/>
            </w:rPr>
            <w:t xml:space="preserve">2003-2013 for the most recent update of the guidelines; however, evidence from earlier guideline issuance is also included.  These guidelines were first adopted in 1991. </w:t>
          </w:r>
        </w:sdtContent>
      </w:sdt>
    </w:p>
    <w:p w:rsidR="001244B8" w:rsidRDefault="001244B8" w:rsidP="005D36E2">
      <w:pPr>
        <w:ind w:left="0" w:firstLine="0"/>
        <w:rPr>
          <w:color w:val="0000CC"/>
        </w:rPr>
      </w:pPr>
    </w:p>
    <w:p w:rsidR="00496AF8" w:rsidRPr="003956E0" w:rsidRDefault="00C5180E" w:rsidP="005D36E2">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5D36E2">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496AF8" w:rsidRDefault="00496AF8" w:rsidP="005D36E2">
      <w:pPr>
        <w:ind w:left="0" w:firstLine="0"/>
      </w:pPr>
    </w:p>
    <w:p w:rsidR="00817AFC" w:rsidRPr="002F6690" w:rsidRDefault="00817AFC" w:rsidP="005D36E2">
      <w:pPr>
        <w:ind w:left="0" w:firstLine="0"/>
        <w:rPr>
          <w:color w:val="0000CC"/>
        </w:rPr>
      </w:pPr>
      <w:r w:rsidRPr="002F6690">
        <w:rPr>
          <w:b/>
          <w:color w:val="0000CC"/>
          <w:u w:val="single"/>
        </w:rPr>
        <w:t>NICE Guidelines</w:t>
      </w:r>
    </w:p>
    <w:p w:rsidR="00817AFC" w:rsidRPr="002F6690" w:rsidRDefault="00817AFC" w:rsidP="005D36E2">
      <w:pPr>
        <w:ind w:left="0" w:firstLine="0"/>
        <w:rPr>
          <w:color w:val="0000CC"/>
        </w:rPr>
      </w:pPr>
      <w:r w:rsidRPr="002F6690">
        <w:rPr>
          <w:color w:val="0000CC"/>
        </w:rPr>
        <w:t xml:space="preserve">The literature review </w:t>
      </w:r>
      <w:proofErr w:type="gramStart"/>
      <w:r w:rsidRPr="002F6690">
        <w:rPr>
          <w:color w:val="0000CC"/>
        </w:rPr>
        <w:t>addressed  a</w:t>
      </w:r>
      <w:proofErr w:type="gramEnd"/>
      <w:r w:rsidRPr="002F6690">
        <w:rPr>
          <w:color w:val="0000CC"/>
        </w:rPr>
        <w:t xml:space="preserve"> range of outcomes for children and adult associated with different dental recall intervals.  There was no restriction on study design</w:t>
      </w:r>
      <w:r w:rsidR="00545100" w:rsidRPr="002F6690">
        <w:rPr>
          <w:color w:val="0000CC"/>
        </w:rPr>
        <w:t>. A total of 38 studies were used to make final recommendations</w:t>
      </w:r>
      <w:r w:rsidRPr="002F6690">
        <w:rPr>
          <w:color w:val="0000CC"/>
        </w:rPr>
        <w:t xml:space="preserve">. (p.5) </w:t>
      </w:r>
    </w:p>
    <w:p w:rsidR="00817AFC" w:rsidRPr="002F6690" w:rsidRDefault="00817AFC" w:rsidP="005D36E2">
      <w:pPr>
        <w:ind w:left="0" w:firstLine="0"/>
        <w:rPr>
          <w:color w:val="0000CC"/>
        </w:rPr>
      </w:pPr>
    </w:p>
    <w:p w:rsidR="00817AFC" w:rsidRPr="002F6690" w:rsidRDefault="00817AFC" w:rsidP="005D36E2">
      <w:pPr>
        <w:ind w:left="0" w:firstLine="0"/>
        <w:rPr>
          <w:b/>
          <w:color w:val="0000CC"/>
          <w:u w:val="single"/>
        </w:rPr>
      </w:pPr>
      <w:r w:rsidRPr="002F6690">
        <w:rPr>
          <w:b/>
          <w:color w:val="0000CC"/>
          <w:u w:val="single"/>
        </w:rPr>
        <w:t>AAPD Guidelines</w:t>
      </w:r>
    </w:p>
    <w:p w:rsidR="001244B8" w:rsidRPr="002F6690" w:rsidRDefault="001244B8" w:rsidP="005D36E2">
      <w:pPr>
        <w:ind w:left="0" w:firstLine="0"/>
        <w:rPr>
          <w:color w:val="0000CC"/>
        </w:rPr>
      </w:pPr>
      <w:r w:rsidRPr="002F6690">
        <w:rPr>
          <w:color w:val="0000CC"/>
        </w:rPr>
        <w:t xml:space="preserve">The </w:t>
      </w:r>
      <w:r w:rsidR="00817AFC" w:rsidRPr="002F6690">
        <w:rPr>
          <w:color w:val="0000CC"/>
        </w:rPr>
        <w:t xml:space="preserve">AAPD </w:t>
      </w:r>
      <w:r w:rsidRPr="002F6690">
        <w:rPr>
          <w:color w:val="0000CC"/>
        </w:rPr>
        <w:t>guidelines do not provide a detailed summary of this information.  For the update, there were 113 articles selected for detailed review.  The search was restricted to clinical trials.</w:t>
      </w:r>
    </w:p>
    <w:p w:rsidR="001244B8" w:rsidRPr="00FB3DD8" w:rsidRDefault="001244B8" w:rsidP="005D36E2">
      <w:pPr>
        <w:ind w:left="432" w:hanging="432"/>
        <w:rPr>
          <w:b/>
          <w:color w:val="FF0000"/>
        </w:rPr>
      </w:pPr>
    </w:p>
    <w:p w:rsidR="00496AF8" w:rsidRDefault="001B772D" w:rsidP="005D36E2">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D14F0B" w:rsidRDefault="00D14F0B" w:rsidP="005D36E2">
      <w:pPr>
        <w:ind w:left="0" w:firstLine="0"/>
      </w:pPr>
    </w:p>
    <w:p w:rsidR="00CE637E" w:rsidRPr="002F6690" w:rsidRDefault="00CE637E" w:rsidP="005D36E2">
      <w:pPr>
        <w:ind w:left="0" w:firstLine="0"/>
        <w:rPr>
          <w:b/>
          <w:color w:val="0000CC"/>
          <w:u w:val="single"/>
        </w:rPr>
      </w:pPr>
      <w:r w:rsidRPr="002F6690">
        <w:rPr>
          <w:b/>
          <w:color w:val="0000CC"/>
          <w:u w:val="single"/>
        </w:rPr>
        <w:t>NICE Guidelines</w:t>
      </w:r>
    </w:p>
    <w:p w:rsidR="00CE637E" w:rsidRPr="002F6690" w:rsidRDefault="00CE637E" w:rsidP="005D36E2">
      <w:pPr>
        <w:ind w:left="0" w:firstLine="0"/>
        <w:rPr>
          <w:color w:val="0000CC"/>
        </w:rPr>
      </w:pPr>
      <w:r w:rsidRPr="002F6690">
        <w:rPr>
          <w:color w:val="0000CC"/>
        </w:rPr>
        <w:t xml:space="preserve">The guidelines noted a lack of high-quality evidence in this area.  However, it also advised: “A recommendation’s grade may not necessarily reflect the importance attached to the recommendation. For example, the Guideline Development Group agreed that the principles underlying the </w:t>
      </w:r>
      <w:proofErr w:type="spellStart"/>
      <w:r w:rsidRPr="002F6690">
        <w:rPr>
          <w:color w:val="0000CC"/>
        </w:rPr>
        <w:t>individualisation</w:t>
      </w:r>
      <w:proofErr w:type="spellEnd"/>
      <w:r w:rsidRPr="002F6690">
        <w:rPr>
          <w:color w:val="0000CC"/>
        </w:rPr>
        <w:t xml:space="preserve"> of recall intervals advocated in this guideline are particularly important.” (p. 40)</w:t>
      </w:r>
    </w:p>
    <w:p w:rsidR="00CE637E" w:rsidRPr="002F6690" w:rsidRDefault="00CE637E" w:rsidP="005D36E2">
      <w:pPr>
        <w:ind w:left="0" w:firstLine="0"/>
        <w:rPr>
          <w:color w:val="0000CC"/>
        </w:rPr>
      </w:pPr>
    </w:p>
    <w:p w:rsidR="00CE637E" w:rsidRPr="002F6690" w:rsidRDefault="00CE637E" w:rsidP="005D36E2">
      <w:pPr>
        <w:ind w:left="0" w:firstLine="0"/>
        <w:rPr>
          <w:color w:val="0000CC"/>
          <w:u w:val="single"/>
        </w:rPr>
      </w:pPr>
      <w:r w:rsidRPr="002F6690">
        <w:rPr>
          <w:b/>
          <w:color w:val="0000CC"/>
          <w:u w:val="single"/>
        </w:rPr>
        <w:t>AAPD Guidelines</w:t>
      </w:r>
    </w:p>
    <w:p w:rsidR="001244B8" w:rsidRPr="002F6690" w:rsidRDefault="001244B8" w:rsidP="005D36E2">
      <w:pPr>
        <w:ind w:left="0" w:firstLine="0"/>
        <w:rPr>
          <w:color w:val="0000CC"/>
        </w:rPr>
      </w:pPr>
      <w:r w:rsidRPr="002F6690">
        <w:rPr>
          <w:color w:val="0000CC"/>
        </w:rPr>
        <w:t xml:space="preserve">The guidelines do not provide a formal grade of the quality of evidence across studies.  </w:t>
      </w:r>
      <w:r w:rsidR="00B9080D" w:rsidRPr="002F6690">
        <w:rPr>
          <w:color w:val="0000CC"/>
        </w:rPr>
        <w:t>However, these studies were reviewed by dental experts serving on the AAPD’s Clinical Affairs Committee and the overall recommendations were further reviewed by the Council on Clinical Affairs.  APPD g</w:t>
      </w:r>
      <w:r w:rsidR="00444A6A" w:rsidRPr="002F6690">
        <w:rPr>
          <w:color w:val="0000CC"/>
        </w:rPr>
        <w:t xml:space="preserve">uidelines are developed by members of the AAPD’s Council on Clinical Affairs, Council on Scientific Affairs, and additional participants </w:t>
      </w:r>
      <w:r w:rsidR="00B9080D" w:rsidRPr="002F6690">
        <w:rPr>
          <w:color w:val="0000CC"/>
        </w:rPr>
        <w:t>with appropriate expertise</w:t>
      </w:r>
      <w:r w:rsidR="00444A6A" w:rsidRPr="002F6690">
        <w:rPr>
          <w:color w:val="0000CC"/>
        </w:rPr>
        <w:t xml:space="preserve">.  </w:t>
      </w:r>
      <w:r w:rsidR="00B9080D" w:rsidRPr="002F6690">
        <w:rPr>
          <w:color w:val="0000CC"/>
        </w:rPr>
        <w:t xml:space="preserve">The review team must include members from both academia and clinical practice.  Members also participate in evidence-based training sessions sponsored by the AAPD.  </w:t>
      </w:r>
    </w:p>
    <w:p w:rsidR="00CE637E" w:rsidRPr="002F6690" w:rsidRDefault="00CE637E" w:rsidP="005D36E2">
      <w:pPr>
        <w:ind w:left="0" w:firstLine="0"/>
        <w:rPr>
          <w:color w:val="0000CC"/>
        </w:rPr>
      </w:pPr>
    </w:p>
    <w:p w:rsidR="00CE637E" w:rsidRPr="002F6690" w:rsidRDefault="00CE637E" w:rsidP="005D36E2">
      <w:pPr>
        <w:ind w:left="0" w:firstLine="0"/>
        <w:rPr>
          <w:color w:val="0000CC"/>
        </w:rPr>
      </w:pPr>
      <w:r w:rsidRPr="002F6690">
        <w:rPr>
          <w:b/>
          <w:color w:val="0000CC"/>
          <w:u w:val="single"/>
        </w:rPr>
        <w:t>Overall Assessment</w:t>
      </w:r>
    </w:p>
    <w:p w:rsidR="00CE637E" w:rsidRPr="002F6690" w:rsidRDefault="00CE637E" w:rsidP="005D36E2">
      <w:pPr>
        <w:ind w:left="0" w:firstLine="0"/>
        <w:rPr>
          <w:color w:val="0000CC"/>
        </w:rPr>
      </w:pPr>
      <w:r w:rsidRPr="002F6690">
        <w:rPr>
          <w:color w:val="0000CC"/>
        </w:rPr>
        <w:t xml:space="preserve">Although high-quality evidence is lacking, there is expert consensus nationally and internationally based on the best evidence currently available that children should have a routine dental check-up (i.e., Oral Evaluation) </w:t>
      </w:r>
      <w:r w:rsidRPr="002F6690">
        <w:rPr>
          <w:color w:val="0000CC"/>
          <w:u w:val="single"/>
        </w:rPr>
        <w:t>at least</w:t>
      </w:r>
      <w:r w:rsidRPr="002F6690">
        <w:rPr>
          <w:color w:val="0000CC"/>
        </w:rPr>
        <w:t xml:space="preserve"> once a year and more often based on the individual child’s disease and risk status.</w:t>
      </w:r>
    </w:p>
    <w:p w:rsidR="001244B8" w:rsidRPr="00FB3DD8" w:rsidRDefault="001244B8" w:rsidP="005D36E2">
      <w:pPr>
        <w:ind w:left="0" w:firstLine="0"/>
        <w:rPr>
          <w:color w:val="FF0000"/>
        </w:rPr>
      </w:pPr>
    </w:p>
    <w:p w:rsidR="00D736F4" w:rsidRDefault="00D736F4">
      <w:pPr>
        <w:rPr>
          <w:b/>
        </w:rPr>
      </w:pPr>
      <w:r>
        <w:rPr>
          <w:b/>
        </w:rPr>
        <w:br w:type="page"/>
      </w:r>
    </w:p>
    <w:p w:rsidR="00496AF8" w:rsidRPr="003956E0" w:rsidRDefault="00C5180E" w:rsidP="005D36E2">
      <w:pPr>
        <w:ind w:left="0" w:firstLine="0"/>
        <w:rPr>
          <w:b/>
        </w:rPr>
      </w:pPr>
      <w:r w:rsidRPr="003956E0">
        <w:rPr>
          <w:b/>
        </w:rPr>
        <w:lastRenderedPageBreak/>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5D36E2">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9B5BEA" w:rsidRPr="00D736F4" w:rsidRDefault="001244B8" w:rsidP="005D36E2">
      <w:pPr>
        <w:ind w:left="0" w:firstLine="0"/>
        <w:rPr>
          <w:color w:val="0000CC"/>
        </w:rPr>
      </w:pPr>
      <w:r w:rsidRPr="00D736F4">
        <w:rPr>
          <w:color w:val="0000CC"/>
        </w:rPr>
        <w:t xml:space="preserve">Not specifically assessed as part of the review for guideline development.  However, as noted above, </w:t>
      </w:r>
      <w:r w:rsidR="00CE637E" w:rsidRPr="00D736F4">
        <w:rPr>
          <w:color w:val="0000CC"/>
        </w:rPr>
        <w:t>there is expert consensus regarding the benefits of routine dental check-ups – Oral Evaluation – for children at least once per year and more often based on their disease and risk status.</w:t>
      </w:r>
    </w:p>
    <w:p w:rsidR="001244B8" w:rsidRDefault="001244B8" w:rsidP="005D36E2">
      <w:pPr>
        <w:ind w:left="0" w:firstLine="0"/>
        <w:rPr>
          <w:b/>
          <w:color w:val="0000FF"/>
        </w:rPr>
      </w:pPr>
    </w:p>
    <w:p w:rsidR="00496AF8" w:rsidRDefault="001B772D" w:rsidP="005D36E2">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B04A3E" w:rsidRPr="00D736F4" w:rsidRDefault="00B04A3E" w:rsidP="005D36E2">
      <w:pPr>
        <w:ind w:left="0" w:firstLine="0"/>
        <w:rPr>
          <w:color w:val="0000CC"/>
        </w:rPr>
      </w:pPr>
      <w:r w:rsidRPr="00D736F4">
        <w:rPr>
          <w:color w:val="0000CC"/>
        </w:rPr>
        <w:t xml:space="preserve">Not specifically assessed as part of the review for guideline development.  However, minimal harm would be expected from </w:t>
      </w:r>
      <w:r w:rsidR="00CE637E" w:rsidRPr="00D736F4">
        <w:rPr>
          <w:color w:val="0000CC"/>
        </w:rPr>
        <w:t>an oral evaluation that involves visual inspection of the oral tissues, evaluation/recording of medical and oral health history, and evaluation for caries risk and risk assessment.</w:t>
      </w:r>
    </w:p>
    <w:p w:rsidR="00496AF8" w:rsidRPr="00A91C0B" w:rsidRDefault="00496AF8" w:rsidP="005D36E2">
      <w:pPr>
        <w:ind w:left="0" w:firstLine="0"/>
      </w:pPr>
    </w:p>
    <w:p w:rsidR="00496AF8" w:rsidRPr="003956E0" w:rsidRDefault="00C5180E" w:rsidP="005D36E2">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5D36E2">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6C3A2C" w:rsidRPr="00FF4D95" w:rsidRDefault="00B04BB4" w:rsidP="006C3A2C">
      <w:pPr>
        <w:ind w:left="0" w:firstLine="0"/>
        <w:rPr>
          <w:color w:val="0000CC"/>
        </w:rPr>
      </w:pPr>
      <w:r w:rsidRPr="00B04BB4">
        <w:rPr>
          <w:color w:val="0000CC"/>
        </w:rPr>
        <w:t>A more recent Cochrane review evaluated this topic</w:t>
      </w:r>
      <w:r>
        <w:rPr>
          <w:color w:val="0000CC"/>
        </w:rPr>
        <w:t xml:space="preserve"> (Riley et al. 2013)</w:t>
      </w:r>
      <w:r w:rsidRPr="00B04BB4">
        <w:rPr>
          <w:color w:val="0000CC"/>
        </w:rPr>
        <w:t xml:space="preserve">. The Cochrane review only included </w:t>
      </w:r>
      <w:r>
        <w:rPr>
          <w:color w:val="0000CC"/>
        </w:rPr>
        <w:t xml:space="preserve">randomized controlled trials; </w:t>
      </w:r>
      <w:r w:rsidRPr="00B04BB4">
        <w:rPr>
          <w:color w:val="0000CC"/>
        </w:rPr>
        <w:t>thus</w:t>
      </w:r>
      <w:r>
        <w:rPr>
          <w:color w:val="0000CC"/>
        </w:rPr>
        <w:t>,</w:t>
      </w:r>
      <w:r w:rsidRPr="00B04BB4">
        <w:rPr>
          <w:color w:val="0000CC"/>
        </w:rPr>
        <w:t xml:space="preserve"> only 1 study was included. The study compared the effects of a clinical examination every 12 months with a clinical examination every 24 months on the outcomes of caries (decayed, missing, filled surfaces (</w:t>
      </w:r>
      <w:proofErr w:type="spellStart"/>
      <w:r w:rsidRPr="00B04BB4">
        <w:rPr>
          <w:color w:val="0000CC"/>
        </w:rPr>
        <w:t>dmfs</w:t>
      </w:r>
      <w:proofErr w:type="spellEnd"/>
      <w:r w:rsidRPr="00B04BB4">
        <w:rPr>
          <w:color w:val="0000CC"/>
        </w:rPr>
        <w:t xml:space="preserve">/DMFS) increment) and economic cost outcomes (total time used per person). </w:t>
      </w:r>
      <w:r w:rsidR="00152F68">
        <w:rPr>
          <w:color w:val="0000CC"/>
        </w:rPr>
        <w:t>The main finding of that study was: “</w:t>
      </w:r>
      <w:r w:rsidRPr="00B04BB4">
        <w:rPr>
          <w:color w:val="0000CC"/>
        </w:rPr>
        <w:t>For</w:t>
      </w:r>
      <w:r w:rsidR="00152F68">
        <w:rPr>
          <w:color w:val="0000CC"/>
        </w:rPr>
        <w:t xml:space="preserve"> three to five-year olds</w:t>
      </w:r>
      <w:r w:rsidRPr="00B04BB4">
        <w:rPr>
          <w:color w:val="0000CC"/>
        </w:rPr>
        <w:t xml:space="preserve"> with primary teeth, the </w:t>
      </w:r>
      <w:r w:rsidRPr="003F34B1">
        <w:rPr>
          <w:color w:val="0000CC"/>
        </w:rPr>
        <w:t xml:space="preserve">mean difference (MD) in </w:t>
      </w:r>
      <w:proofErr w:type="spellStart"/>
      <w:r w:rsidRPr="003F34B1">
        <w:rPr>
          <w:color w:val="0000CC"/>
        </w:rPr>
        <w:t>dmfs</w:t>
      </w:r>
      <w:proofErr w:type="spellEnd"/>
      <w:r w:rsidRPr="003F34B1">
        <w:rPr>
          <w:color w:val="0000CC"/>
        </w:rPr>
        <w:t xml:space="preserve"> increment was -0.90 (95% CI -1.96 to 0.16) in </w:t>
      </w:r>
      <w:proofErr w:type="spellStart"/>
      <w:r w:rsidRPr="003F34B1">
        <w:rPr>
          <w:color w:val="0000CC"/>
        </w:rPr>
        <w:t>favo</w:t>
      </w:r>
      <w:r w:rsidR="00152F68" w:rsidRPr="003F34B1">
        <w:rPr>
          <w:color w:val="0000CC"/>
        </w:rPr>
        <w:t>u</w:t>
      </w:r>
      <w:r w:rsidRPr="003F34B1">
        <w:rPr>
          <w:color w:val="0000CC"/>
        </w:rPr>
        <w:t>r</w:t>
      </w:r>
      <w:proofErr w:type="spellEnd"/>
      <w:r w:rsidRPr="003F34B1">
        <w:rPr>
          <w:color w:val="0000CC"/>
        </w:rPr>
        <w:t xml:space="preserve"> of 12-month recall. For 16 to 20-year olds with permanent teeth, the MD in DMFS increment was -0.86 (95% CI -1.75 to 0.03) also in </w:t>
      </w:r>
      <w:proofErr w:type="spellStart"/>
      <w:r w:rsidRPr="003F34B1">
        <w:rPr>
          <w:color w:val="0000CC"/>
        </w:rPr>
        <w:t>favo</w:t>
      </w:r>
      <w:r w:rsidR="00152F68" w:rsidRPr="003F34B1">
        <w:rPr>
          <w:color w:val="0000CC"/>
        </w:rPr>
        <w:t>u</w:t>
      </w:r>
      <w:r w:rsidRPr="003F34B1">
        <w:rPr>
          <w:color w:val="0000CC"/>
        </w:rPr>
        <w:t>r</w:t>
      </w:r>
      <w:proofErr w:type="spellEnd"/>
      <w:r w:rsidRPr="003F34B1">
        <w:rPr>
          <w:color w:val="0000CC"/>
        </w:rPr>
        <w:t xml:space="preserve"> of 12-month recall.</w:t>
      </w:r>
      <w:r w:rsidR="00152F68" w:rsidRPr="003F34B1">
        <w:rPr>
          <w:color w:val="0000CC"/>
        </w:rPr>
        <w:t xml:space="preserve">” The quality of the body of evidence was rated as very low because the study was at high risk of bias, had a small sample size and only included low-risk participants. </w:t>
      </w:r>
      <w:r w:rsidR="00D61858" w:rsidRPr="003F34B1">
        <w:rPr>
          <w:color w:val="0000CC"/>
        </w:rPr>
        <w:t xml:space="preserve">Thus, the review authors concluded: “There is a very low quality body of evidence from one RCT which is insufficient to draw any conclusions regarding the potential beneficial and harmful effects of altering the recall interval between dental check-ups. There is no evidence to support or refute the practice of encouraging patients to attend for dental check-ups at six-monthly intervals.”  This finding is consistent with those of NICE </w:t>
      </w:r>
      <w:r w:rsidR="005D36E2" w:rsidRPr="003F34B1">
        <w:rPr>
          <w:color w:val="0000CC"/>
        </w:rPr>
        <w:t xml:space="preserve">regarding existing evidence </w:t>
      </w:r>
      <w:r w:rsidR="00D61858" w:rsidRPr="003F34B1">
        <w:rPr>
          <w:color w:val="0000CC"/>
        </w:rPr>
        <w:t xml:space="preserve">and with </w:t>
      </w:r>
      <w:r w:rsidR="005D36E2" w:rsidRPr="003F34B1">
        <w:rPr>
          <w:color w:val="0000CC"/>
        </w:rPr>
        <w:t xml:space="preserve">the </w:t>
      </w:r>
      <w:r w:rsidR="00D61858" w:rsidRPr="003F34B1">
        <w:rPr>
          <w:color w:val="0000CC"/>
        </w:rPr>
        <w:t xml:space="preserve">NICE guidelines </w:t>
      </w:r>
      <w:r w:rsidR="005D36E2" w:rsidRPr="003F34B1">
        <w:rPr>
          <w:color w:val="0000CC"/>
        </w:rPr>
        <w:t>which advise</w:t>
      </w:r>
      <w:r w:rsidR="00D61858" w:rsidRPr="003F34B1">
        <w:rPr>
          <w:color w:val="0000CC"/>
        </w:rPr>
        <w:t xml:space="preserve"> tailor</w:t>
      </w:r>
      <w:r w:rsidR="005D36E2" w:rsidRPr="003F34B1">
        <w:rPr>
          <w:color w:val="0000CC"/>
        </w:rPr>
        <w:t>ing</w:t>
      </w:r>
      <w:r w:rsidR="00D61858" w:rsidRPr="003F34B1">
        <w:rPr>
          <w:color w:val="0000CC"/>
        </w:rPr>
        <w:t xml:space="preserve"> recall intervals to individual patient needs within a recommended range of 3 months to 12 months for children.</w:t>
      </w:r>
      <w:r w:rsidR="005D36E2" w:rsidRPr="003F34B1">
        <w:rPr>
          <w:color w:val="0000CC"/>
        </w:rPr>
        <w:t xml:space="preserve">  </w:t>
      </w:r>
      <w:r w:rsidR="006C3A2C" w:rsidRPr="00FF4D95">
        <w:rPr>
          <w:color w:val="0000CC"/>
        </w:rPr>
        <w:t>As noted by the NICE and Bright Futures guidelines, although the</w:t>
      </w:r>
      <w:r w:rsidR="006C3A2C">
        <w:rPr>
          <w:color w:val="0000CC"/>
        </w:rPr>
        <w:t xml:space="preserve"> quality of </w:t>
      </w:r>
      <w:r w:rsidR="006C3A2C" w:rsidRPr="00FF4D95">
        <w:rPr>
          <w:color w:val="0000CC"/>
        </w:rPr>
        <w:t>evidence is weak, the need for a comprehensive evaluation of oral health remains critical to improving outcomes.</w:t>
      </w:r>
      <w:r w:rsidR="006C3A2C">
        <w:rPr>
          <w:color w:val="0000CC"/>
        </w:rPr>
        <w:t xml:space="preserve"> </w:t>
      </w:r>
      <w:r w:rsidR="006C3A2C" w:rsidRPr="00FF4D95">
        <w:rPr>
          <w:color w:val="0000CC"/>
          <w:u w:val="single"/>
        </w:rPr>
        <w:t>Citation</w:t>
      </w:r>
      <w:r w:rsidR="006C3A2C" w:rsidRPr="00FF4D95">
        <w:rPr>
          <w:color w:val="0000CC"/>
        </w:rPr>
        <w:t xml:space="preserve">: Riley P, Worthington HV, Clarkson JE, </w:t>
      </w:r>
      <w:proofErr w:type="spellStart"/>
      <w:r w:rsidR="006C3A2C" w:rsidRPr="00FF4D95">
        <w:rPr>
          <w:color w:val="0000CC"/>
        </w:rPr>
        <w:t>Beirne</w:t>
      </w:r>
      <w:proofErr w:type="spellEnd"/>
      <w:r w:rsidR="006C3A2C" w:rsidRPr="00FF4D95">
        <w:rPr>
          <w:color w:val="0000CC"/>
        </w:rPr>
        <w:t xml:space="preserve"> PV. Recall intervals for oral health in primary care patients. Cochrane Database of Systematic Reviews 2013, Issue 12.</w:t>
      </w:r>
    </w:p>
    <w:p w:rsidR="0094689F" w:rsidRDefault="0094689F" w:rsidP="006C3A2C">
      <w:pPr>
        <w:ind w:left="0" w:firstLine="0"/>
        <w:rPr>
          <w:b/>
          <w:color w:val="0070C0"/>
        </w:rPr>
      </w:pPr>
    </w:p>
    <w:p w:rsidR="00837121" w:rsidRPr="00837121" w:rsidRDefault="00837121" w:rsidP="005D36E2">
      <w:pPr>
        <w:ind w:left="0" w:firstLine="0"/>
        <w:rPr>
          <w:b/>
        </w:rPr>
      </w:pPr>
      <w:bookmarkStart w:id="11" w:name="Section1a8"/>
      <w:bookmarkEnd w:id="11"/>
      <w:r w:rsidRPr="0015535B">
        <w:rPr>
          <w:b/>
          <w:color w:val="0000FF"/>
        </w:rPr>
        <w:t xml:space="preserve">1a.8 </w:t>
      </w:r>
      <w:r w:rsidRPr="00837121">
        <w:rPr>
          <w:b/>
        </w:rPr>
        <w:t>OTHER SOURCE OF EVIDENCE</w:t>
      </w:r>
    </w:p>
    <w:p w:rsidR="00837121" w:rsidRPr="00CB06C9" w:rsidRDefault="00837121" w:rsidP="005D36E2">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837121" w:rsidRDefault="00837121" w:rsidP="005D36E2">
      <w:pPr>
        <w:ind w:left="0" w:firstLine="0"/>
      </w:pPr>
    </w:p>
    <w:p w:rsidR="00837121" w:rsidRDefault="00837121" w:rsidP="005D36E2">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rsidR="00B04A3E" w:rsidRPr="00B04A3E" w:rsidRDefault="00B04A3E" w:rsidP="005D36E2">
      <w:pPr>
        <w:ind w:left="0" w:firstLine="0"/>
        <w:rPr>
          <w:color w:val="0000CC"/>
        </w:rPr>
      </w:pPr>
      <w:r>
        <w:rPr>
          <w:color w:val="0000CC"/>
        </w:rPr>
        <w:t>Not applicable.</w:t>
      </w:r>
    </w:p>
    <w:p w:rsidR="00837121" w:rsidRDefault="00837121" w:rsidP="005D36E2">
      <w:pPr>
        <w:ind w:left="0" w:firstLine="0"/>
      </w:pPr>
    </w:p>
    <w:p w:rsidR="00837121" w:rsidRDefault="00837121" w:rsidP="005D36E2">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B04A3E" w:rsidRPr="00FB3DD8" w:rsidRDefault="00B04A3E" w:rsidP="005D36E2">
      <w:pPr>
        <w:ind w:left="0" w:firstLine="0"/>
        <w:rPr>
          <w:color w:val="0000CC"/>
        </w:rPr>
      </w:pPr>
      <w:r>
        <w:rPr>
          <w:color w:val="0000CC"/>
        </w:rPr>
        <w:t>Not applicable.</w:t>
      </w:r>
    </w:p>
    <w:sectPr w:rsidR="00B04A3E" w:rsidRPr="00FB3DD8" w:rsidSect="00004F10">
      <w:headerReference w:type="default" r:id="rId17"/>
      <w:footerReference w:type="default" r:id="rId18"/>
      <w:pgSz w:w="12240" w:h="15840"/>
      <w:pgMar w:top="1440" w:right="1440" w:bottom="1440" w:left="1440" w:header="720" w:footer="720" w:gutter="0"/>
      <w:pgNumType w:start="2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8A9" w:rsidRDefault="007438A9" w:rsidP="007E37A5">
      <w:r>
        <w:separator/>
      </w:r>
    </w:p>
  </w:endnote>
  <w:endnote w:type="continuationSeparator" w:id="0">
    <w:p w:rsidR="007438A9" w:rsidRDefault="007438A9"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6F4" w:rsidRDefault="00D736F4">
    <w:pPr>
      <w:pStyle w:val="Footer"/>
    </w:pPr>
    <w:r w:rsidRPr="00395263">
      <w:t xml:space="preserve">Version </w:t>
    </w:r>
    <w:proofErr w:type="gramStart"/>
    <w:r w:rsidRPr="00395263">
      <w:t xml:space="preserve">6.5 </w:t>
    </w:r>
    <w:r>
      <w:t xml:space="preserve"> </w:t>
    </w:r>
    <w:r w:rsidRPr="00395263">
      <w:t>05</w:t>
    </w:r>
    <w:proofErr w:type="gramEnd"/>
    <w:r w:rsidRPr="00395263">
      <w:t>/</w:t>
    </w:r>
    <w:r>
      <w:t>29</w:t>
    </w:r>
    <w:r w:rsidRPr="00395263">
      <w:t>/13</w:t>
    </w:r>
    <w:r w:rsidRPr="00395263">
      <w:ptab w:relativeTo="margin" w:alignment="center" w:leader="none"/>
    </w:r>
    <w:r w:rsidRPr="00395263">
      <w:ptab w:relativeTo="margin" w:alignment="right" w:leader="none"/>
    </w:r>
    <w:r w:rsidR="009A0507">
      <w:fldChar w:fldCharType="begin"/>
    </w:r>
    <w:r w:rsidR="009A0507">
      <w:instrText xml:space="preserve"> PAGE   \* MERGEFORMAT </w:instrText>
    </w:r>
    <w:r w:rsidR="009A0507">
      <w:fldChar w:fldCharType="separate"/>
    </w:r>
    <w:r w:rsidR="00004F10">
      <w:rPr>
        <w:noProof/>
      </w:rPr>
      <w:t>28</w:t>
    </w:r>
    <w:r w:rsidR="009A050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8A9" w:rsidRDefault="007438A9" w:rsidP="007E37A5">
      <w:r>
        <w:separator/>
      </w:r>
    </w:p>
  </w:footnote>
  <w:footnote w:type="continuationSeparator" w:id="0">
    <w:p w:rsidR="007438A9" w:rsidRDefault="007438A9"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D736F4" w:rsidRDefault="00D736F4"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D0E1E"/>
    <w:multiLevelType w:val="hybridMultilevel"/>
    <w:tmpl w:val="B0DA2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4F10"/>
    <w:rsid w:val="00015986"/>
    <w:rsid w:val="000160E6"/>
    <w:rsid w:val="00024526"/>
    <w:rsid w:val="00026B24"/>
    <w:rsid w:val="00030F43"/>
    <w:rsid w:val="00061CF3"/>
    <w:rsid w:val="00063601"/>
    <w:rsid w:val="00073079"/>
    <w:rsid w:val="0007593F"/>
    <w:rsid w:val="00095EC9"/>
    <w:rsid w:val="00096A37"/>
    <w:rsid w:val="000A0810"/>
    <w:rsid w:val="000B627F"/>
    <w:rsid w:val="000D649E"/>
    <w:rsid w:val="000D6D06"/>
    <w:rsid w:val="00114848"/>
    <w:rsid w:val="00117273"/>
    <w:rsid w:val="00120934"/>
    <w:rsid w:val="001244B8"/>
    <w:rsid w:val="00125C6F"/>
    <w:rsid w:val="00132070"/>
    <w:rsid w:val="00141875"/>
    <w:rsid w:val="0014347E"/>
    <w:rsid w:val="00152F68"/>
    <w:rsid w:val="001551F6"/>
    <w:rsid w:val="0015535B"/>
    <w:rsid w:val="00156746"/>
    <w:rsid w:val="00162036"/>
    <w:rsid w:val="001632DD"/>
    <w:rsid w:val="00176E60"/>
    <w:rsid w:val="00194D9A"/>
    <w:rsid w:val="001A196B"/>
    <w:rsid w:val="001A6D05"/>
    <w:rsid w:val="001B38BF"/>
    <w:rsid w:val="001B772D"/>
    <w:rsid w:val="001D5B5D"/>
    <w:rsid w:val="00201FF9"/>
    <w:rsid w:val="00205857"/>
    <w:rsid w:val="00207297"/>
    <w:rsid w:val="00235ADC"/>
    <w:rsid w:val="00265702"/>
    <w:rsid w:val="002662B2"/>
    <w:rsid w:val="002717C7"/>
    <w:rsid w:val="002875E9"/>
    <w:rsid w:val="00287EB3"/>
    <w:rsid w:val="002A47BA"/>
    <w:rsid w:val="002A6777"/>
    <w:rsid w:val="002B06BD"/>
    <w:rsid w:val="002C0E48"/>
    <w:rsid w:val="002C6F04"/>
    <w:rsid w:val="002E2177"/>
    <w:rsid w:val="002E2E41"/>
    <w:rsid w:val="002E78CD"/>
    <w:rsid w:val="002F20A7"/>
    <w:rsid w:val="002F3BBD"/>
    <w:rsid w:val="002F6690"/>
    <w:rsid w:val="00302B1D"/>
    <w:rsid w:val="00306B0F"/>
    <w:rsid w:val="00307FA5"/>
    <w:rsid w:val="00324D64"/>
    <w:rsid w:val="00335AFA"/>
    <w:rsid w:val="0033700A"/>
    <w:rsid w:val="00352B52"/>
    <w:rsid w:val="00363ECC"/>
    <w:rsid w:val="0039020B"/>
    <w:rsid w:val="00395263"/>
    <w:rsid w:val="003956E0"/>
    <w:rsid w:val="0039609A"/>
    <w:rsid w:val="00397500"/>
    <w:rsid w:val="003B65CE"/>
    <w:rsid w:val="003C7A3F"/>
    <w:rsid w:val="003E039E"/>
    <w:rsid w:val="003E4986"/>
    <w:rsid w:val="003F34B1"/>
    <w:rsid w:val="003F71CC"/>
    <w:rsid w:val="00422917"/>
    <w:rsid w:val="00422A11"/>
    <w:rsid w:val="00437B34"/>
    <w:rsid w:val="00440687"/>
    <w:rsid w:val="0044131D"/>
    <w:rsid w:val="00441ADA"/>
    <w:rsid w:val="00444A6A"/>
    <w:rsid w:val="00457E46"/>
    <w:rsid w:val="00496AF8"/>
    <w:rsid w:val="004A575D"/>
    <w:rsid w:val="004B65C6"/>
    <w:rsid w:val="004D1DC7"/>
    <w:rsid w:val="004D3B94"/>
    <w:rsid w:val="00500B0C"/>
    <w:rsid w:val="00526998"/>
    <w:rsid w:val="00537150"/>
    <w:rsid w:val="00540984"/>
    <w:rsid w:val="00543851"/>
    <w:rsid w:val="00545100"/>
    <w:rsid w:val="0055559D"/>
    <w:rsid w:val="005569AE"/>
    <w:rsid w:val="0056121F"/>
    <w:rsid w:val="005857F8"/>
    <w:rsid w:val="0059598D"/>
    <w:rsid w:val="005960F1"/>
    <w:rsid w:val="005B0D18"/>
    <w:rsid w:val="005B12C3"/>
    <w:rsid w:val="005B409D"/>
    <w:rsid w:val="005D0FDB"/>
    <w:rsid w:val="005D36E2"/>
    <w:rsid w:val="005D6D59"/>
    <w:rsid w:val="005D7C16"/>
    <w:rsid w:val="00617390"/>
    <w:rsid w:val="00623420"/>
    <w:rsid w:val="00626D15"/>
    <w:rsid w:val="00634768"/>
    <w:rsid w:val="0063596F"/>
    <w:rsid w:val="00647B88"/>
    <w:rsid w:val="006709EB"/>
    <w:rsid w:val="00672824"/>
    <w:rsid w:val="0068184A"/>
    <w:rsid w:val="006C3A2C"/>
    <w:rsid w:val="006C7F30"/>
    <w:rsid w:val="006F4B7F"/>
    <w:rsid w:val="006F760B"/>
    <w:rsid w:val="00701CC3"/>
    <w:rsid w:val="00724801"/>
    <w:rsid w:val="00727869"/>
    <w:rsid w:val="00734949"/>
    <w:rsid w:val="00736AEC"/>
    <w:rsid w:val="00736E0F"/>
    <w:rsid w:val="007412E9"/>
    <w:rsid w:val="007434FA"/>
    <w:rsid w:val="007438A9"/>
    <w:rsid w:val="00745E03"/>
    <w:rsid w:val="007573F0"/>
    <w:rsid w:val="00765156"/>
    <w:rsid w:val="00767669"/>
    <w:rsid w:val="00773485"/>
    <w:rsid w:val="00776E8F"/>
    <w:rsid w:val="00776F6D"/>
    <w:rsid w:val="007B2F89"/>
    <w:rsid w:val="007C0297"/>
    <w:rsid w:val="007C1887"/>
    <w:rsid w:val="007C193A"/>
    <w:rsid w:val="007D5DC6"/>
    <w:rsid w:val="007E37A5"/>
    <w:rsid w:val="007F49D8"/>
    <w:rsid w:val="00805940"/>
    <w:rsid w:val="00817AFC"/>
    <w:rsid w:val="00831CCD"/>
    <w:rsid w:val="00837121"/>
    <w:rsid w:val="0084250E"/>
    <w:rsid w:val="008471E5"/>
    <w:rsid w:val="00850C35"/>
    <w:rsid w:val="00863E43"/>
    <w:rsid w:val="008647C3"/>
    <w:rsid w:val="00866BCC"/>
    <w:rsid w:val="00870987"/>
    <w:rsid w:val="0087564A"/>
    <w:rsid w:val="00881160"/>
    <w:rsid w:val="0088371C"/>
    <w:rsid w:val="008A45F3"/>
    <w:rsid w:val="008B51D9"/>
    <w:rsid w:val="008B652E"/>
    <w:rsid w:val="008C11B1"/>
    <w:rsid w:val="008F1DC6"/>
    <w:rsid w:val="00905C5B"/>
    <w:rsid w:val="00923295"/>
    <w:rsid w:val="00935265"/>
    <w:rsid w:val="0094689F"/>
    <w:rsid w:val="009477D6"/>
    <w:rsid w:val="00953ED3"/>
    <w:rsid w:val="009608C3"/>
    <w:rsid w:val="00965FF6"/>
    <w:rsid w:val="009807D0"/>
    <w:rsid w:val="009846D6"/>
    <w:rsid w:val="0098657F"/>
    <w:rsid w:val="009A0507"/>
    <w:rsid w:val="009A3236"/>
    <w:rsid w:val="009B5A93"/>
    <w:rsid w:val="009B5BEA"/>
    <w:rsid w:val="009E37BD"/>
    <w:rsid w:val="009E6B86"/>
    <w:rsid w:val="009F19D8"/>
    <w:rsid w:val="00A12762"/>
    <w:rsid w:val="00A13867"/>
    <w:rsid w:val="00A24289"/>
    <w:rsid w:val="00A30960"/>
    <w:rsid w:val="00A421D4"/>
    <w:rsid w:val="00A44FF0"/>
    <w:rsid w:val="00A50E55"/>
    <w:rsid w:val="00A57A65"/>
    <w:rsid w:val="00A66C4E"/>
    <w:rsid w:val="00A91A47"/>
    <w:rsid w:val="00A95D2B"/>
    <w:rsid w:val="00AA0564"/>
    <w:rsid w:val="00AA5587"/>
    <w:rsid w:val="00AD79C8"/>
    <w:rsid w:val="00AE6CE0"/>
    <w:rsid w:val="00B04A3E"/>
    <w:rsid w:val="00B04BB4"/>
    <w:rsid w:val="00B058A6"/>
    <w:rsid w:val="00B117D0"/>
    <w:rsid w:val="00B13998"/>
    <w:rsid w:val="00B439DD"/>
    <w:rsid w:val="00B52E0F"/>
    <w:rsid w:val="00B648C1"/>
    <w:rsid w:val="00B74629"/>
    <w:rsid w:val="00B857E9"/>
    <w:rsid w:val="00B9080D"/>
    <w:rsid w:val="00B91F58"/>
    <w:rsid w:val="00BA579E"/>
    <w:rsid w:val="00BE2295"/>
    <w:rsid w:val="00BE6373"/>
    <w:rsid w:val="00BF533A"/>
    <w:rsid w:val="00C46677"/>
    <w:rsid w:val="00C5180E"/>
    <w:rsid w:val="00C54E40"/>
    <w:rsid w:val="00C55F56"/>
    <w:rsid w:val="00C57BA4"/>
    <w:rsid w:val="00C84623"/>
    <w:rsid w:val="00C94B81"/>
    <w:rsid w:val="00C96F61"/>
    <w:rsid w:val="00CA234E"/>
    <w:rsid w:val="00CA2DC0"/>
    <w:rsid w:val="00CA48C2"/>
    <w:rsid w:val="00CB06C9"/>
    <w:rsid w:val="00CB271C"/>
    <w:rsid w:val="00CE4F96"/>
    <w:rsid w:val="00CE637E"/>
    <w:rsid w:val="00CF0AB1"/>
    <w:rsid w:val="00CF4B9B"/>
    <w:rsid w:val="00CF55E6"/>
    <w:rsid w:val="00CF772F"/>
    <w:rsid w:val="00D048DB"/>
    <w:rsid w:val="00D14F0B"/>
    <w:rsid w:val="00D178CA"/>
    <w:rsid w:val="00D3311C"/>
    <w:rsid w:val="00D5106C"/>
    <w:rsid w:val="00D53405"/>
    <w:rsid w:val="00D5457B"/>
    <w:rsid w:val="00D61858"/>
    <w:rsid w:val="00D72995"/>
    <w:rsid w:val="00D736F4"/>
    <w:rsid w:val="00DA7FA2"/>
    <w:rsid w:val="00DC2D8D"/>
    <w:rsid w:val="00DC2EEC"/>
    <w:rsid w:val="00DE50D8"/>
    <w:rsid w:val="00DF278A"/>
    <w:rsid w:val="00E1664B"/>
    <w:rsid w:val="00E30D12"/>
    <w:rsid w:val="00E35241"/>
    <w:rsid w:val="00E41417"/>
    <w:rsid w:val="00E43D2B"/>
    <w:rsid w:val="00E57BE2"/>
    <w:rsid w:val="00E62A95"/>
    <w:rsid w:val="00E746A2"/>
    <w:rsid w:val="00E90D06"/>
    <w:rsid w:val="00E97E59"/>
    <w:rsid w:val="00EA79C9"/>
    <w:rsid w:val="00EB66AC"/>
    <w:rsid w:val="00EE1F87"/>
    <w:rsid w:val="00EE3931"/>
    <w:rsid w:val="00EE5AF6"/>
    <w:rsid w:val="00EF2CEF"/>
    <w:rsid w:val="00F33CBB"/>
    <w:rsid w:val="00F431D8"/>
    <w:rsid w:val="00F67706"/>
    <w:rsid w:val="00F84EC8"/>
    <w:rsid w:val="00F92D75"/>
    <w:rsid w:val="00F97327"/>
    <w:rsid w:val="00FA2608"/>
    <w:rsid w:val="00FA296F"/>
    <w:rsid w:val="00FA7323"/>
    <w:rsid w:val="00FB3DD8"/>
    <w:rsid w:val="00FC32D3"/>
    <w:rsid w:val="00FD4D82"/>
    <w:rsid w:val="00FE5301"/>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ighlight1">
    <w:name w:val="highlight1"/>
    <w:basedOn w:val="DefaultParagraphFont"/>
    <w:rsid w:val="00C94B81"/>
    <w:rPr>
      <w:shd w:val="clear" w:color="auto" w:fill="F2F5F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ighlight1">
    <w:name w:val="highlight1"/>
    <w:basedOn w:val="DefaultParagraphFont"/>
    <w:rsid w:val="00C94B81"/>
    <w:rPr>
      <w:shd w:val="clear" w:color="auto" w:fill="F2F5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06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pediatrics.aappublications.org/content/122/6/1387.ful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aapd.org/media/Policies_Guidelines/G_Periodicity.pdf" TargetMode="External"/><Relationship Id="rId23" Type="http://schemas.openxmlformats.org/officeDocument/2006/relationships/customXml" Target="../customXml/item3.xm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51B58"/>
    <w:rsid w:val="000F152A"/>
    <w:rsid w:val="00160241"/>
    <w:rsid w:val="00265814"/>
    <w:rsid w:val="00384BB0"/>
    <w:rsid w:val="003A1E4B"/>
    <w:rsid w:val="00455EB5"/>
    <w:rsid w:val="00461C1C"/>
    <w:rsid w:val="004A4C9D"/>
    <w:rsid w:val="004E2027"/>
    <w:rsid w:val="0082313D"/>
    <w:rsid w:val="00895476"/>
    <w:rsid w:val="008F6A9B"/>
    <w:rsid w:val="009A69B7"/>
    <w:rsid w:val="00A021C4"/>
    <w:rsid w:val="00A151D6"/>
    <w:rsid w:val="00AE3EF0"/>
    <w:rsid w:val="00C03643"/>
    <w:rsid w:val="00C2797F"/>
    <w:rsid w:val="00C80225"/>
    <w:rsid w:val="00D228C9"/>
    <w:rsid w:val="00DB22A0"/>
    <w:rsid w:val="00DB5324"/>
    <w:rsid w:val="00DC439E"/>
    <w:rsid w:val="00E2493F"/>
    <w:rsid w:val="00E97654"/>
    <w:rsid w:val="00EA1AEE"/>
    <w:rsid w:val="00EA555A"/>
    <w:rsid w:val="00F87EB9"/>
    <w:rsid w:val="00FC30A1"/>
    <w:rsid w:val="00FC3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975718fd-5203-40f4-9090-782adc176dc9" ContentTypeId="0x0101002103F21F9513D04D98FE1FBF67229DC5010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Props1.xml><?xml version="1.0" encoding="utf-8"?>
<ds:datastoreItem xmlns:ds="http://schemas.openxmlformats.org/officeDocument/2006/customXml" ds:itemID="{F61431FB-888B-4AD4-BF37-80B5D8D53F69}"/>
</file>

<file path=customXml/itemProps2.xml><?xml version="1.0" encoding="utf-8"?>
<ds:datastoreItem xmlns:ds="http://schemas.openxmlformats.org/officeDocument/2006/customXml" ds:itemID="{1D786403-4279-4826-B7E2-264D40CB9FB7}"/>
</file>

<file path=customXml/itemProps3.xml><?xml version="1.0" encoding="utf-8"?>
<ds:datastoreItem xmlns:ds="http://schemas.openxmlformats.org/officeDocument/2006/customXml" ds:itemID="{ADDF9484-1855-4753-A743-EBE26CC290AD}"/>
</file>

<file path=customXml/itemProps4.xml><?xml version="1.0" encoding="utf-8"?>
<ds:datastoreItem xmlns:ds="http://schemas.openxmlformats.org/officeDocument/2006/customXml" ds:itemID="{A5CD5056-C1C1-4FA4-B620-3515C5496616}"/>
</file>

<file path=customXml/itemProps5.xml><?xml version="1.0" encoding="utf-8"?>
<ds:datastoreItem xmlns:ds="http://schemas.openxmlformats.org/officeDocument/2006/customXml" ds:itemID="{A715A8D7-19EB-4498-BFAF-E5A1514B991C}"/>
</file>

<file path=customXml/itemProps6.xml><?xml version="1.0" encoding="utf-8"?>
<ds:datastoreItem xmlns:ds="http://schemas.openxmlformats.org/officeDocument/2006/customXml" ds:itemID="{89CC1702-7B58-4869-91D5-129458022165}"/>
</file>

<file path=docProps/app.xml><?xml version="1.0" encoding="utf-8"?>
<Properties xmlns="http://schemas.openxmlformats.org/officeDocument/2006/extended-properties" xmlns:vt="http://schemas.openxmlformats.org/officeDocument/2006/docPropsVTypes">
  <Template>Normal.dotm</Template>
  <TotalTime>1</TotalTime>
  <Pages>10</Pages>
  <Words>4919</Words>
  <Characters>28042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NQF Evidence.docx</dc:title>
  <dc:creator>Karen Pace</dc:creator>
  <cp:lastModifiedBy>ManesaVaclavik</cp:lastModifiedBy>
  <cp:revision>3</cp:revision>
  <dcterms:created xsi:type="dcterms:W3CDTF">2014-03-05T20:56:00Z</dcterms:created>
  <dcterms:modified xsi:type="dcterms:W3CDTF">2014-03-05T21:04:00Z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16710249</vt:lpwstr>
  </property>
  <property fmtid="{D5CDD505-2E9C-101B-9397-08002B2CF9AE}" pid="4" name="LivelinkID">
    <vt:lpwstr>16710249</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04&amp;#58;54&amp;#58;22&lt;/td&gt;&lt;td&gt;Admin&lt;/td&gt;&lt;/tr&gt;&lt;tr&gt;&lt;td&gt;Permissions Changed&lt;/td&gt;&lt;td&gt;02/16/2015 19&amp;#58;15&amp;#58;07&lt;/td&gt;&lt;td&gt;dempseyl&lt;/td&gt;&lt;/tr&gt;&lt;tr&gt;&lt;td&gt;Create&lt;/td&gt;&lt;td&gt;07/02/2014 15&amp;#58;45&amp;#58;05&lt;/td&gt;&lt;td&gt;vaclavikm&lt;/td&gt;&lt;/tr&gt;&lt;tr&gt;&lt;td&gt;Version Added&lt;/td&gt;&lt;td&gt;07/02/2014 15&amp;#58;45&amp;#58;05&lt;/td&gt;&lt;td&gt;vaclavikm&lt;/td&gt;&lt;/tr&gt;&lt;/table&gt;</vt:lpwstr>
  </property>
  <property fmtid="{D5CDD505-2E9C-101B-9397-08002B2CF9AE}" pid="8" name="_dlc_DocId">
    <vt:lpwstr/>
  </property>
</Properties>
</file>