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6D3C82" w:rsidRDefault="006D3C82" w:rsidP="00927027">
      <w:pPr>
        <w:contextualSpacing/>
        <w:jc w:val="center"/>
        <w:rPr>
          <w:rFonts w:cstheme="minorHAnsi"/>
          <w:b/>
          <w:noProof/>
        </w:rPr>
      </w:pP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FF234B">
            <w:rPr>
              <w:rStyle w:val="Style1"/>
            </w:rPr>
            <w:t>0280</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FF234B">
            <w:rPr>
              <w:rStyle w:val="Style1"/>
              <w:rFonts w:cstheme="minorHAnsi"/>
            </w:rPr>
            <w:t>Dehydration Admission Rate (PQI 10)</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161"/>
        <w:gridCol w:w="4971"/>
      </w:tblGrid>
      <w:tr w:rsidR="00CD364B" w:rsidRPr="00B82A57" w:rsidTr="000B3880">
        <w:trPr>
          <w:jc w:val="center"/>
        </w:trPr>
        <w:tc>
          <w:tcPr>
            <w:tcW w:w="2547" w:type="pct"/>
          </w:tcPr>
          <w:p w:rsidR="00CD364B" w:rsidRPr="00B82A57" w:rsidRDefault="006B47C0"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6B47C0"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FF234B">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6B47C0"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6B47C0"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6B47C0"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6B47C0"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1145"/>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1145"/>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lastRenderedPageBreak/>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510"/>
        <w:gridCol w:w="5129"/>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6B47C0"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6B47C0"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6B47C0"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FF234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6B47C0"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FF234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6B47C0"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6B47C0"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6B47C0"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6B47C0"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6B47C0"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6B47C0"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6B47C0" w:rsidP="00FF234B">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FF234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FF234B">
                  <w:rPr>
                    <w:rStyle w:val="Style1"/>
                  </w:rPr>
                  <w:t>US Census Population Data</w:t>
                </w:r>
              </w:sdtContent>
            </w:sdt>
          </w:p>
        </w:tc>
        <w:tc>
          <w:tcPr>
            <w:tcW w:w="4847" w:type="dxa"/>
          </w:tcPr>
          <w:p w:rsidR="00A01494" w:rsidRPr="00A01494" w:rsidRDefault="006B47C0" w:rsidP="00FF234B">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FF234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text/>
              </w:sdtPr>
              <w:sdtEndPr>
                <w:rPr>
                  <w:rStyle w:val="DefaultParagraphFont"/>
                  <w:rFonts w:cstheme="minorHAnsi"/>
                  <w:bCs/>
                  <w:color w:val="auto"/>
                </w:rPr>
              </w:sdtEndPr>
              <w:sdtContent>
                <w:r w:rsidR="00FF234B">
                  <w:rPr>
                    <w:rStyle w:val="Style1"/>
                  </w:rPr>
                  <w:t>US Census Population Data</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sdt>
      <w:sdtPr>
        <w:rPr>
          <w:rFonts w:ascii="Arial" w:hAnsi="Arial" w:cs="Arial"/>
          <w:color w:val="0000FF"/>
          <w:sz w:val="20"/>
          <w:szCs w:val="20"/>
        </w:rPr>
        <w:id w:val="1384294083"/>
      </w:sdtPr>
      <w:sdtEndPr>
        <w:rPr>
          <w:rFonts w:asciiTheme="minorHAnsi" w:hAnsiTheme="minorHAnsi" w:cstheme="minorHAnsi"/>
          <w:sz w:val="18"/>
          <w:szCs w:val="18"/>
          <w:highlight w:val="green"/>
        </w:rPr>
      </w:sdtEndPr>
      <w:sdtContent>
        <w:p w:rsidR="00FF234B" w:rsidRPr="00E52F19" w:rsidRDefault="00FF234B" w:rsidP="00FF234B">
          <w:pPr>
            <w:pStyle w:val="Default"/>
            <w:rPr>
              <w:rFonts w:asciiTheme="minorHAnsi" w:hAnsiTheme="minorHAnsi" w:cstheme="minorHAnsi"/>
              <w:color w:val="0000FF"/>
              <w:sz w:val="20"/>
              <w:szCs w:val="20"/>
            </w:rPr>
          </w:pPr>
          <w:r w:rsidRPr="00E52F19">
            <w:rPr>
              <w:rFonts w:asciiTheme="minorHAnsi" w:hAnsiTheme="minorHAnsi" w:cstheme="minorHAnsi"/>
              <w:color w:val="0000FF"/>
              <w:sz w:val="20"/>
              <w:szCs w:val="20"/>
            </w:rPr>
            <w:t>All analyses were completed using data from the Healthcare Cost and Utilization Project (HCUP) State Inpatient Databases (SID), 2007-2012. HCUP is a family of health care databases and related software tools and products developed through a Federal-State-Industry partnership and sponsored by the Agency for Healthcare Research and Quality (AHRQ).</w:t>
          </w:r>
          <w:r w:rsidRPr="00E52F19">
            <w:rPr>
              <w:rFonts w:asciiTheme="minorHAnsi" w:hAnsiTheme="minorHAnsi" w:cstheme="minorHAnsi"/>
              <w:color w:val="0000FF"/>
              <w:sz w:val="20"/>
              <w:szCs w:val="20"/>
              <w:vertAlign w:val="superscript"/>
            </w:rPr>
            <w:t>1</w:t>
          </w:r>
          <w:r w:rsidRPr="00E52F19">
            <w:rPr>
              <w:rFonts w:asciiTheme="minorHAnsi" w:hAnsiTheme="minorHAnsi" w:cstheme="minorHAnsi"/>
              <w:color w:val="0000FF"/>
              <w:sz w:val="20"/>
              <w:szCs w:val="20"/>
            </w:rPr>
            <w:t xml:space="preserve"> HCUP databases bring together the data collection efforts of State data organizations, hospital associations, private data organizations, and the Federal government to create a national information resource of encounter-level health care data. The HCUP SID contain the universe of the inpatient discharge abstracts in participating States, translated into a uniform format to facilitate multi-State comparisons and analyses. All states provide data for community hospitals and together, the SID encompass about 97 percent of all U.S. community hospital discharges (in 2012, 46 states participated for a total of about 34 million hospital discharges from community hospitals). As defined by the American Hospital Association, community hospitals are all non-Federal, short-term, general or other specialty hospitals, excluding hospital units of institutions. Included among community hospitals are specialty hospitals such as obstetrics–gynecology, ear–nose–throat, orthopedic, pediatric institutions, short-stay rehabilitation, and long-term acute care.  Also included are public hospitals and academic medical centers. In the 2012 HCUP SID databases, 97.4% of all discharges are from community hospitals. Some states also include additional hospital types, which make up the remaining 2.6% of discharges, specifically psychiatric facility, alcohol and drug dependency facilities, and military hospitals. </w:t>
          </w:r>
        </w:p>
        <w:p w:rsidR="00FF234B" w:rsidRPr="00E52F19" w:rsidRDefault="00FF234B" w:rsidP="00FF234B">
          <w:pPr>
            <w:pStyle w:val="Default"/>
            <w:rPr>
              <w:rFonts w:asciiTheme="minorHAnsi" w:hAnsiTheme="minorHAnsi" w:cstheme="minorHAnsi"/>
              <w:color w:val="0000FF"/>
              <w:sz w:val="20"/>
              <w:szCs w:val="20"/>
            </w:rPr>
          </w:pPr>
        </w:p>
        <w:p w:rsidR="00FF234B" w:rsidRPr="00E52F19" w:rsidRDefault="00FF234B" w:rsidP="00FF234B">
          <w:pPr>
            <w:pStyle w:val="Default"/>
            <w:rPr>
              <w:rFonts w:asciiTheme="minorHAnsi" w:hAnsiTheme="minorHAnsi" w:cstheme="minorHAnsi"/>
              <w:color w:val="0000FF"/>
              <w:sz w:val="20"/>
              <w:szCs w:val="20"/>
            </w:rPr>
          </w:pPr>
          <w:r w:rsidRPr="00E52F19">
            <w:rPr>
              <w:rFonts w:asciiTheme="minorHAnsi" w:hAnsiTheme="minorHAnsi" w:cstheme="minorHAnsi"/>
              <w:color w:val="0000FF"/>
              <w:sz w:val="20"/>
              <w:szCs w:val="20"/>
            </w:rPr>
            <w:t>The SID data elements include ICD-9-CM coded principal and secondary diagnoses and procedures, additional detailed clinical and service information based on revenue codes, admission and discharge status, patient demographics, expected payment source (Medicare, Medicaid, private insurance as well as the uninsured), total charges and length of stay (</w:t>
          </w:r>
          <w:hyperlink r:id="rId12" w:history="1">
            <w:r w:rsidRPr="00E52F19">
              <w:rPr>
                <w:rStyle w:val="Hyperlink"/>
                <w:rFonts w:asciiTheme="minorHAnsi" w:hAnsiTheme="minorHAnsi" w:cstheme="minorHAnsi"/>
                <w:color w:val="0000FF"/>
                <w:sz w:val="20"/>
                <w:szCs w:val="20"/>
              </w:rPr>
              <w:t>www.hcup-us.ahrq.gov</w:t>
            </w:r>
          </w:hyperlink>
          <w:r w:rsidRPr="00E52F19">
            <w:rPr>
              <w:rFonts w:asciiTheme="minorHAnsi" w:hAnsiTheme="minorHAnsi" w:cstheme="minorHAnsi"/>
              <w:color w:val="0000FF"/>
              <w:sz w:val="20"/>
              <w:szCs w:val="20"/>
            </w:rPr>
            <w:t xml:space="preserve">). </w:t>
          </w:r>
        </w:p>
        <w:p w:rsidR="00FF234B" w:rsidRPr="00E52F19" w:rsidRDefault="00FF234B" w:rsidP="00FF234B">
          <w:pPr>
            <w:pStyle w:val="Default"/>
            <w:rPr>
              <w:rFonts w:asciiTheme="minorHAnsi" w:hAnsiTheme="minorHAnsi" w:cstheme="minorHAnsi"/>
              <w:color w:val="0000FF"/>
              <w:sz w:val="20"/>
              <w:szCs w:val="20"/>
            </w:rPr>
          </w:pPr>
        </w:p>
        <w:p w:rsidR="00FF234B" w:rsidRPr="00E52F19" w:rsidRDefault="00FF234B" w:rsidP="00FF234B">
          <w:pPr>
            <w:pStyle w:val="Default"/>
            <w:rPr>
              <w:rFonts w:asciiTheme="minorHAnsi" w:hAnsiTheme="minorHAnsi" w:cstheme="minorHAnsi"/>
              <w:color w:val="0000FF"/>
              <w:sz w:val="20"/>
              <w:szCs w:val="20"/>
            </w:rPr>
          </w:pPr>
          <w:r w:rsidRPr="00E52F19">
            <w:rPr>
              <w:rFonts w:asciiTheme="minorHAnsi" w:hAnsiTheme="minorHAnsi" w:cstheme="minorHAnsi"/>
              <w:b/>
              <w:bCs/>
              <w:color w:val="0000FF"/>
              <w:sz w:val="20"/>
              <w:szCs w:val="20"/>
            </w:rPr>
            <w:t xml:space="preserve">The area universe is defined as the county of the residence of the patient for discharges in the hospital universe. </w:t>
          </w:r>
          <w:r w:rsidRPr="00E52F19">
            <w:rPr>
              <w:rFonts w:asciiTheme="minorHAnsi" w:hAnsiTheme="minorHAnsi" w:cstheme="minorHAnsi"/>
              <w:color w:val="0000FF"/>
              <w:sz w:val="20"/>
              <w:szCs w:val="20"/>
            </w:rPr>
            <w:t>The hospital universe is defined as all hospitals located in the U.S. that are open during any part of the calendar year and included in the SID database (see description above).</w:t>
          </w:r>
        </w:p>
        <w:p w:rsidR="00FF234B" w:rsidRPr="00E52F19" w:rsidRDefault="00FF234B" w:rsidP="00FF234B">
          <w:pPr>
            <w:pStyle w:val="Default"/>
            <w:rPr>
              <w:rFonts w:asciiTheme="minorHAnsi" w:hAnsiTheme="minorHAnsi" w:cstheme="minorHAnsi"/>
              <w:color w:val="0000FF"/>
              <w:sz w:val="20"/>
              <w:szCs w:val="20"/>
            </w:rPr>
          </w:pPr>
        </w:p>
        <w:p w:rsidR="00FF234B" w:rsidRPr="00E52F19" w:rsidRDefault="00FF234B" w:rsidP="00FF234B">
          <w:pPr>
            <w:pStyle w:val="Default"/>
            <w:rPr>
              <w:rFonts w:asciiTheme="minorHAnsi" w:hAnsiTheme="minorHAnsi" w:cstheme="minorHAnsi"/>
              <w:strike/>
              <w:color w:val="0000FF"/>
              <w:sz w:val="20"/>
              <w:szCs w:val="20"/>
            </w:rPr>
          </w:pPr>
          <w:r w:rsidRPr="00E52F19">
            <w:rPr>
              <w:rFonts w:asciiTheme="minorHAnsi" w:hAnsiTheme="minorHAnsi" w:cstheme="minorHAnsi"/>
              <w:color w:val="0000FF"/>
              <w:sz w:val="20"/>
              <w:szCs w:val="20"/>
            </w:rPr>
            <w:t>As noted, 97.4% of discharges in the 2012 SID are from “community hospitals.” The AHA defines community hospitals as follows: "All non-Federal, short-term, general, and other specialty hospitals, excluding hospital units of institutions." Starting in 2005, the AHA included long-term acute care facilities in the definition of community hospitals. These facilities provide acute care services to patients who need long-term hospitalization (stays of more than 25 days, but with an average stay of less than 30 days).</w:t>
          </w:r>
        </w:p>
        <w:p w:rsidR="00FF234B" w:rsidRPr="00E52F19" w:rsidRDefault="00FF234B" w:rsidP="00FF234B">
          <w:pPr>
            <w:spacing w:after="0" w:line="240" w:lineRule="auto"/>
            <w:rPr>
              <w:rFonts w:cstheme="minorHAnsi"/>
              <w:color w:val="0000FF"/>
              <w:sz w:val="20"/>
              <w:szCs w:val="20"/>
            </w:rPr>
          </w:pPr>
        </w:p>
        <w:p w:rsidR="00FF234B" w:rsidRPr="00E52F19" w:rsidRDefault="00FF234B" w:rsidP="00FF234B">
          <w:pPr>
            <w:spacing w:after="0" w:line="240" w:lineRule="auto"/>
            <w:rPr>
              <w:rFonts w:cstheme="minorHAnsi"/>
              <w:color w:val="0000FF"/>
              <w:sz w:val="20"/>
              <w:szCs w:val="20"/>
            </w:rPr>
          </w:pPr>
          <w:r>
            <w:rPr>
              <w:rFonts w:cstheme="minorHAnsi"/>
              <w:color w:val="0000FF"/>
              <w:sz w:val="20"/>
              <w:szCs w:val="20"/>
            </w:rPr>
            <w:t xml:space="preserve">For the purpose of these analyses visits made by individuals residing in states that are not included in the HCUP databases for excluded from numerator counts. </w:t>
          </w:r>
        </w:p>
        <w:p w:rsidR="00FF234B" w:rsidRDefault="00FF234B" w:rsidP="00FF234B">
          <w:pPr>
            <w:spacing w:after="0" w:line="240" w:lineRule="auto"/>
            <w:rPr>
              <w:rFonts w:cstheme="minorHAnsi"/>
              <w:color w:val="0000FF"/>
              <w:sz w:val="20"/>
              <w:szCs w:val="20"/>
            </w:rPr>
          </w:pPr>
        </w:p>
        <w:p w:rsidR="00FF234B" w:rsidRDefault="00FF234B" w:rsidP="00FF234B">
          <w:pPr>
            <w:spacing w:after="0" w:line="240" w:lineRule="auto"/>
            <w:rPr>
              <w:rFonts w:cstheme="minorHAnsi"/>
              <w:color w:val="0000FF"/>
              <w:sz w:val="20"/>
              <w:szCs w:val="20"/>
            </w:rPr>
          </w:pPr>
          <w:r w:rsidRPr="00E52F19">
            <w:rPr>
              <w:rFonts w:cstheme="minorHAnsi"/>
              <w:color w:val="0000FF"/>
              <w:sz w:val="20"/>
              <w:szCs w:val="20"/>
            </w:rPr>
            <w:t xml:space="preserve">Population estimates are derived from the US Census and are detailed in the 2013 Population File for use with the AHRQ Quality Indicators posted on the AHRQ QI website: </w:t>
          </w:r>
          <w:hyperlink r:id="rId13" w:history="1">
            <w:r w:rsidRPr="00E52F19">
              <w:rPr>
                <w:rStyle w:val="Hyperlink"/>
                <w:rFonts w:cstheme="minorHAnsi"/>
                <w:color w:val="0000FF"/>
                <w:sz w:val="20"/>
                <w:szCs w:val="20"/>
              </w:rPr>
              <w:t>http://www.qualityindicators.ahrq.gov/Downloads/Software/SAS/V45/AHRQ%20QI%20Population%20File%20V4.5.pdf</w:t>
            </w:r>
          </w:hyperlink>
          <w:r w:rsidRPr="00E52F19">
            <w:rPr>
              <w:rFonts w:cstheme="minorHAnsi"/>
              <w:color w:val="0000FF"/>
              <w:sz w:val="20"/>
              <w:szCs w:val="20"/>
            </w:rPr>
            <w:t xml:space="preserve"> and provided in the supplemental materials. Public-use files of </w:t>
          </w:r>
          <w:proofErr w:type="spellStart"/>
          <w:r w:rsidRPr="00E52F19">
            <w:rPr>
              <w:rFonts w:cstheme="minorHAnsi"/>
              <w:color w:val="0000FF"/>
              <w:sz w:val="20"/>
              <w:szCs w:val="20"/>
            </w:rPr>
            <w:t>intercensal</w:t>
          </w:r>
          <w:proofErr w:type="spellEnd"/>
          <w:r w:rsidRPr="00E52F19">
            <w:rPr>
              <w:rFonts w:cstheme="minorHAnsi"/>
              <w:color w:val="0000FF"/>
              <w:sz w:val="20"/>
              <w:szCs w:val="20"/>
            </w:rPr>
            <w:t xml:space="preserve"> and </w:t>
          </w:r>
          <w:proofErr w:type="spellStart"/>
          <w:r w:rsidRPr="00E52F19">
            <w:rPr>
              <w:rFonts w:cstheme="minorHAnsi"/>
              <w:color w:val="0000FF"/>
              <w:sz w:val="20"/>
              <w:szCs w:val="20"/>
            </w:rPr>
            <w:t>postcensal</w:t>
          </w:r>
          <w:proofErr w:type="spellEnd"/>
          <w:r w:rsidRPr="00E52F19">
            <w:rPr>
              <w:rFonts w:cstheme="minorHAnsi"/>
              <w:color w:val="0000FF"/>
              <w:sz w:val="20"/>
              <w:szCs w:val="20"/>
            </w:rPr>
            <w:t xml:space="preserve"> estimates of county-level population by five-year age group, sex, race, and Hispanic origin were acquired from the Census Bureau (</w:t>
          </w:r>
          <w:hyperlink r:id="rId14" w:history="1">
            <w:r w:rsidRPr="00E52F19">
              <w:rPr>
                <w:rStyle w:val="Hyperlink"/>
                <w:rFonts w:cstheme="minorHAnsi"/>
                <w:color w:val="0000FF"/>
                <w:sz w:val="20"/>
                <w:szCs w:val="20"/>
              </w:rPr>
              <w:t>http://www.census.gov/popest/</w:t>
            </w:r>
          </w:hyperlink>
          <w:r w:rsidRPr="00E52F19">
            <w:rPr>
              <w:rFonts w:cstheme="minorHAnsi"/>
              <w:color w:val="0000FF"/>
              <w:sz w:val="20"/>
              <w:szCs w:val="20"/>
            </w:rPr>
            <w:t>) covering the years 1995 through 2011.</w:t>
          </w:r>
        </w:p>
        <w:p w:rsidR="00FF234B" w:rsidRDefault="00FF234B" w:rsidP="00FF234B">
          <w:pPr>
            <w:spacing w:after="0" w:line="240" w:lineRule="auto"/>
            <w:rPr>
              <w:rFonts w:cstheme="minorHAnsi"/>
              <w:color w:val="0000FF"/>
              <w:sz w:val="20"/>
              <w:szCs w:val="20"/>
            </w:rPr>
          </w:pPr>
        </w:p>
        <w:p w:rsidR="00FF234B" w:rsidRPr="00E52F19" w:rsidRDefault="00FF234B" w:rsidP="00FF234B">
          <w:pPr>
            <w:spacing w:after="0" w:line="240" w:lineRule="auto"/>
            <w:rPr>
              <w:rFonts w:cstheme="minorHAnsi"/>
              <w:color w:val="0000FF"/>
              <w:sz w:val="20"/>
              <w:szCs w:val="20"/>
            </w:rPr>
          </w:pPr>
        </w:p>
        <w:p w:rsidR="00FF234B" w:rsidRDefault="00FF234B" w:rsidP="00FF234B">
          <w:pPr>
            <w:pStyle w:val="Default"/>
            <w:rPr>
              <w:rFonts w:asciiTheme="minorHAnsi" w:hAnsiTheme="minorHAnsi" w:cstheme="minorHAnsi"/>
              <w:color w:val="0000FF"/>
              <w:sz w:val="18"/>
              <w:szCs w:val="18"/>
              <w:highlight w:val="green"/>
            </w:rPr>
          </w:pPr>
          <w:r w:rsidRPr="00E52F19">
            <w:rPr>
              <w:rFonts w:asciiTheme="minorHAnsi" w:hAnsiTheme="minorHAnsi" w:cstheme="minorHAnsi"/>
              <w:color w:val="0000FF"/>
              <w:sz w:val="20"/>
              <w:szCs w:val="20"/>
              <w:vertAlign w:val="superscript"/>
            </w:rPr>
            <w:t>1</w:t>
          </w:r>
          <w:r w:rsidRPr="00E52F19">
            <w:rPr>
              <w:rFonts w:asciiTheme="minorHAnsi" w:hAnsiTheme="minorHAnsi" w:cstheme="minorHAnsi"/>
              <w:color w:val="0000FF"/>
              <w:sz w:val="20"/>
              <w:szCs w:val="20"/>
            </w:rPr>
            <w:t xml:space="preserve">HCUP State Inpatient Databases (SID). Healthcare Cost and Utilization Project (HCUP). </w:t>
          </w:r>
          <w:proofErr w:type="gramStart"/>
          <w:r w:rsidRPr="00E52F19">
            <w:rPr>
              <w:rFonts w:asciiTheme="minorHAnsi" w:hAnsiTheme="minorHAnsi" w:cstheme="minorHAnsi"/>
              <w:color w:val="0000FF"/>
              <w:sz w:val="20"/>
              <w:szCs w:val="20"/>
            </w:rPr>
            <w:t>2007-2012. Agency for Healthcare Research and Quality, Rockville, MD.</w:t>
          </w:r>
          <w:proofErr w:type="gramEnd"/>
          <w:r w:rsidRPr="00E52F19">
            <w:rPr>
              <w:rFonts w:asciiTheme="minorHAnsi" w:hAnsiTheme="minorHAnsi" w:cstheme="minorHAnsi"/>
              <w:color w:val="0000FF"/>
              <w:sz w:val="20"/>
              <w:szCs w:val="20"/>
            </w:rPr>
            <w:t xml:space="preserve"> </w:t>
          </w:r>
          <w:hyperlink r:id="rId15" w:history="1">
            <w:r w:rsidRPr="00E52F19">
              <w:rPr>
                <w:rStyle w:val="Hyperlink"/>
                <w:rFonts w:asciiTheme="minorHAnsi" w:hAnsiTheme="minorHAnsi" w:cstheme="minorHAnsi"/>
                <w:color w:val="0000FF"/>
                <w:sz w:val="20"/>
                <w:szCs w:val="20"/>
              </w:rPr>
              <w:t>www.hcup-us.ahrq.gov/sidoverview.jsp</w:t>
            </w:r>
          </w:hyperlink>
          <w:r w:rsidRPr="00E52F19">
            <w:rPr>
              <w:rFonts w:asciiTheme="minorHAnsi" w:hAnsiTheme="minorHAnsi" w:cstheme="minorHAnsi"/>
              <w:color w:val="0000FF"/>
              <w:sz w:val="20"/>
              <w:szCs w:val="20"/>
            </w:rPr>
            <w:t>. (AHRQ QI Software Version 4.5)</w:t>
          </w:r>
          <w:r w:rsidRPr="00A32FA0">
            <w:rPr>
              <w:rFonts w:asciiTheme="minorHAnsi" w:hAnsiTheme="minorHAnsi" w:cstheme="minorHAnsi"/>
              <w:color w:val="0000FF"/>
              <w:sz w:val="22"/>
              <w:szCs w:val="22"/>
            </w:rPr>
            <w:t xml:space="preserve"> </w:t>
          </w:r>
        </w:p>
      </w:sdtContent>
    </w:sdt>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FF234B">
            <w:rPr>
              <w:rStyle w:val="Style1"/>
            </w:rPr>
            <w:t>2007-2012</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19"/>
        <w:gridCol w:w="5320"/>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6B47C0"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6B47C0"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6B47C0"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6B47C0"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6B47C0"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6B47C0"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6B47C0"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6B47C0"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6B47C0" w:rsidP="006B47C0">
            <w:pPr>
              <w:autoSpaceDE w:val="0"/>
              <w:autoSpaceDN w:val="0"/>
              <w:adjustRightInd w:val="0"/>
              <w:rPr>
                <w:rFonts w:cstheme="minorHAnsi"/>
                <w:bCs/>
              </w:rPr>
            </w:pPr>
            <w:sdt>
              <w:sdtPr>
                <w:rPr>
                  <w:rFonts w:cstheme="minorHAnsi"/>
                  <w:bCs/>
                  <w:color w:val="0000FF"/>
                </w:rPr>
                <w:id w:val="-1138024150"/>
                <w14:checkbox>
                  <w14:checked w14:val="1"/>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text/>
              </w:sdtPr>
              <w:sdtEndPr>
                <w:rPr>
                  <w:rStyle w:val="DefaultParagraphFont"/>
                  <w:rFonts w:cstheme="minorHAnsi"/>
                  <w:bCs/>
                  <w:color w:val="auto"/>
                </w:rPr>
              </w:sdtEndPr>
              <w:sdtContent>
                <w:r>
                  <w:rPr>
                    <w:rStyle w:val="Style1"/>
                  </w:rPr>
                  <w:t>Geographic area, county</w:t>
                </w:r>
              </w:sdtContent>
            </w:sdt>
          </w:p>
        </w:tc>
        <w:tc>
          <w:tcPr>
            <w:tcW w:w="5028" w:type="dxa"/>
          </w:tcPr>
          <w:p w:rsidR="000414E8" w:rsidRPr="00A01494" w:rsidRDefault="006B47C0" w:rsidP="006B47C0">
            <w:pPr>
              <w:autoSpaceDE w:val="0"/>
              <w:autoSpaceDN w:val="0"/>
              <w:adjustRightInd w:val="0"/>
              <w:rPr>
                <w:rFonts w:cstheme="minorHAnsi"/>
                <w:bCs/>
              </w:rPr>
            </w:pPr>
            <w:sdt>
              <w:sdtPr>
                <w:rPr>
                  <w:rFonts w:cstheme="minorHAnsi"/>
                  <w:bCs/>
                  <w:color w:val="0000FF"/>
                </w:rPr>
                <w:id w:val="-417333514"/>
                <w14:checkbox>
                  <w14:checked w14:val="1"/>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text/>
              </w:sdtPr>
              <w:sdtEndPr>
                <w:rPr>
                  <w:rStyle w:val="DefaultParagraphFont"/>
                  <w:rFonts w:cstheme="minorHAnsi"/>
                  <w:bCs/>
                  <w:color w:val="auto"/>
                </w:rPr>
              </w:sdtEndPr>
              <w:sdtContent>
                <w:r>
                  <w:rPr>
                    <w:rStyle w:val="Style1"/>
                  </w:rPr>
                  <w:t>Geographic area, county</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w:t>
      </w:r>
      <w:bookmarkStart w:id="11" w:name="_GoBack"/>
      <w:bookmarkEnd w:id="11"/>
      <w:r w:rsidR="004348CC" w:rsidRPr="00A25024">
        <w:rPr>
          <w:rFonts w:cstheme="minorHAnsi"/>
          <w:b/>
          <w:bCs/>
        </w:rPr>
        <w:t xml:space="preserve">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FF234B" w:rsidRPr="00437D4B" w:rsidRDefault="00FF234B" w:rsidP="00FF234B">
      <w:pPr>
        <w:spacing w:after="0" w:line="406" w:lineRule="auto"/>
        <w:ind w:right="648"/>
        <w:rPr>
          <w:rFonts w:eastAsia="Trebuchet MS" w:cs="Trebuchet MS"/>
          <w:b/>
          <w:sz w:val="19"/>
          <w:szCs w:val="19"/>
        </w:rPr>
      </w:pPr>
      <w:proofErr w:type="gramStart"/>
      <w:r w:rsidRPr="00437D4B">
        <w:rPr>
          <w:rFonts w:ascii="Calibri" w:hAnsi="Calibri"/>
          <w:b/>
          <w:color w:val="0000FF"/>
        </w:rPr>
        <w:t>Table 1.</w:t>
      </w:r>
      <w:proofErr w:type="gramEnd"/>
      <w:r w:rsidRPr="00437D4B">
        <w:rPr>
          <w:rFonts w:ascii="Calibri" w:hAnsi="Calibri"/>
          <w:b/>
          <w:color w:val="0000FF"/>
        </w:rPr>
        <w:t xml:space="preserve"> Reference Population Rate</w:t>
      </w:r>
      <w:r>
        <w:rPr>
          <w:rFonts w:ascii="Calibri" w:hAnsi="Calibri"/>
          <w:b/>
          <w:color w:val="0000FF"/>
        </w:rPr>
        <w:t xml:space="preserve"> and Distribution of Area Performance</w:t>
      </w:r>
    </w:p>
    <w:tbl>
      <w:tblPr>
        <w:tblStyle w:val="TableGrid"/>
        <w:tblW w:w="0" w:type="auto"/>
        <w:tblInd w:w="198" w:type="dxa"/>
        <w:tblLayout w:type="fixed"/>
        <w:tblLook w:val="0000" w:firstRow="0" w:lastRow="0" w:firstColumn="0" w:lastColumn="0" w:noHBand="0" w:noVBand="0"/>
      </w:tblPr>
      <w:tblGrid>
        <w:gridCol w:w="1260"/>
        <w:gridCol w:w="1890"/>
        <w:gridCol w:w="2700"/>
        <w:gridCol w:w="2700"/>
        <w:gridCol w:w="1980"/>
      </w:tblGrid>
      <w:tr w:rsidR="00FF234B" w:rsidRPr="001A4934" w:rsidTr="00997A0C">
        <w:trPr>
          <w:trHeight w:val="250"/>
        </w:trPr>
        <w:tc>
          <w:tcPr>
            <w:tcW w:w="10530" w:type="dxa"/>
            <w:gridSpan w:val="5"/>
            <w:shd w:val="clear" w:color="auto" w:fill="D9D9D9" w:themeFill="background1" w:themeFillShade="D9"/>
          </w:tcPr>
          <w:p w:rsidR="00FF234B" w:rsidRPr="001A4934" w:rsidRDefault="00FF234B" w:rsidP="00997A0C">
            <w:pPr>
              <w:autoSpaceDE w:val="0"/>
              <w:autoSpaceDN w:val="0"/>
              <w:adjustRightInd w:val="0"/>
              <w:jc w:val="center"/>
              <w:rPr>
                <w:rFonts w:ascii="Calibri" w:hAnsi="Calibri" w:cs="Calibri"/>
                <w:b/>
                <w:bCs/>
                <w:color w:val="3333CC"/>
                <w:sz w:val="20"/>
                <w:szCs w:val="20"/>
              </w:rPr>
            </w:pPr>
            <w:r w:rsidRPr="001A4934">
              <w:rPr>
                <w:rFonts w:ascii="Calibri" w:hAnsi="Calibri" w:cs="Calibri"/>
                <w:b/>
                <w:bCs/>
                <w:color w:val="3333CC"/>
                <w:sz w:val="20"/>
                <w:szCs w:val="20"/>
              </w:rPr>
              <w:t>Overall Reference Population Rate</w:t>
            </w:r>
          </w:p>
        </w:tc>
      </w:tr>
      <w:tr w:rsidR="00FF234B" w:rsidRPr="00437D4B" w:rsidTr="00997A0C">
        <w:trPr>
          <w:trHeight w:val="250"/>
        </w:trPr>
        <w:tc>
          <w:tcPr>
            <w:tcW w:w="1260" w:type="dxa"/>
            <w:shd w:val="clear" w:color="auto" w:fill="D9D9D9" w:themeFill="background1" w:themeFillShade="D9"/>
          </w:tcPr>
          <w:p w:rsidR="00FF234B" w:rsidRPr="00437D4B" w:rsidRDefault="00FF234B" w:rsidP="00997A0C">
            <w:pPr>
              <w:autoSpaceDE w:val="0"/>
              <w:autoSpaceDN w:val="0"/>
              <w:adjustRightInd w:val="0"/>
              <w:rPr>
                <w:rFonts w:ascii="Calibri" w:hAnsi="Calibri" w:cs="Calibri"/>
                <w:color w:val="3333CC"/>
                <w:sz w:val="20"/>
                <w:szCs w:val="20"/>
              </w:rPr>
            </w:pPr>
            <w:r w:rsidRPr="00437D4B">
              <w:rPr>
                <w:rFonts w:ascii="Calibri" w:hAnsi="Calibri" w:cs="Calibri"/>
                <w:b/>
                <w:bCs/>
                <w:color w:val="3333CC"/>
                <w:sz w:val="20"/>
                <w:szCs w:val="20"/>
              </w:rPr>
              <w:t xml:space="preserve">Year </w:t>
            </w:r>
          </w:p>
        </w:tc>
        <w:tc>
          <w:tcPr>
            <w:tcW w:w="1890" w:type="dxa"/>
            <w:shd w:val="clear" w:color="auto" w:fill="D9D9D9" w:themeFill="background1" w:themeFillShade="D9"/>
          </w:tcPr>
          <w:p w:rsidR="00FF234B" w:rsidRPr="00437D4B" w:rsidRDefault="00FF234B" w:rsidP="00997A0C">
            <w:pPr>
              <w:autoSpaceDE w:val="0"/>
              <w:autoSpaceDN w:val="0"/>
              <w:adjustRightInd w:val="0"/>
              <w:rPr>
                <w:rFonts w:ascii="Calibri" w:hAnsi="Calibri" w:cs="Calibri"/>
                <w:color w:val="3333CC"/>
                <w:sz w:val="20"/>
                <w:szCs w:val="20"/>
              </w:rPr>
            </w:pPr>
            <w:r w:rsidRPr="00437D4B">
              <w:rPr>
                <w:rFonts w:ascii="Calibri" w:hAnsi="Calibri" w:cs="Calibri"/>
                <w:b/>
                <w:bCs/>
                <w:color w:val="3333CC"/>
                <w:sz w:val="20"/>
                <w:szCs w:val="20"/>
              </w:rPr>
              <w:t>N</w:t>
            </w:r>
            <w:r w:rsidRPr="001A4934">
              <w:rPr>
                <w:rFonts w:ascii="Calibri" w:hAnsi="Calibri" w:cs="Calibri"/>
                <w:b/>
                <w:bCs/>
                <w:color w:val="3333CC"/>
                <w:sz w:val="20"/>
                <w:szCs w:val="20"/>
              </w:rPr>
              <w:t xml:space="preserve">umber </w:t>
            </w:r>
            <w:r w:rsidRPr="00437D4B">
              <w:rPr>
                <w:rFonts w:ascii="Calibri" w:hAnsi="Calibri" w:cs="Calibri"/>
                <w:b/>
                <w:bCs/>
                <w:color w:val="3333CC"/>
                <w:sz w:val="20"/>
                <w:szCs w:val="20"/>
              </w:rPr>
              <w:t xml:space="preserve">Counties (Areas) </w:t>
            </w:r>
          </w:p>
        </w:tc>
        <w:tc>
          <w:tcPr>
            <w:tcW w:w="2700" w:type="dxa"/>
            <w:shd w:val="clear" w:color="auto" w:fill="D9D9D9" w:themeFill="background1" w:themeFillShade="D9"/>
          </w:tcPr>
          <w:p w:rsidR="00FF234B" w:rsidRPr="00437D4B" w:rsidRDefault="00FF234B" w:rsidP="00997A0C">
            <w:pPr>
              <w:autoSpaceDE w:val="0"/>
              <w:autoSpaceDN w:val="0"/>
              <w:adjustRightInd w:val="0"/>
              <w:rPr>
                <w:rFonts w:ascii="Calibri" w:hAnsi="Calibri" w:cs="Calibri"/>
                <w:color w:val="3333CC"/>
                <w:sz w:val="20"/>
                <w:szCs w:val="20"/>
              </w:rPr>
            </w:pPr>
            <w:r w:rsidRPr="00437D4B">
              <w:rPr>
                <w:rFonts w:ascii="Calibri" w:hAnsi="Calibri" w:cs="Calibri"/>
                <w:b/>
                <w:bCs/>
                <w:color w:val="3333CC"/>
                <w:sz w:val="20"/>
                <w:szCs w:val="20"/>
              </w:rPr>
              <w:t xml:space="preserve">Outcome of Interest </w:t>
            </w:r>
          </w:p>
          <w:p w:rsidR="00FF234B" w:rsidRPr="00437D4B" w:rsidRDefault="00FF234B" w:rsidP="00997A0C">
            <w:pPr>
              <w:autoSpaceDE w:val="0"/>
              <w:autoSpaceDN w:val="0"/>
              <w:adjustRightInd w:val="0"/>
              <w:rPr>
                <w:rFonts w:ascii="Calibri" w:hAnsi="Calibri" w:cs="Calibri"/>
                <w:color w:val="3333CC"/>
                <w:sz w:val="20"/>
                <w:szCs w:val="20"/>
              </w:rPr>
            </w:pPr>
            <w:r w:rsidRPr="00437D4B">
              <w:rPr>
                <w:rFonts w:ascii="Calibri" w:hAnsi="Calibri" w:cs="Calibri"/>
                <w:b/>
                <w:bCs/>
                <w:color w:val="3333CC"/>
                <w:sz w:val="20"/>
                <w:szCs w:val="20"/>
              </w:rPr>
              <w:t>(Numerator)</w:t>
            </w:r>
            <w:r w:rsidRPr="001A4934">
              <w:rPr>
                <w:rFonts w:ascii="Calibri" w:hAnsi="Calibri" w:cs="Calibri"/>
                <w:b/>
                <w:bCs/>
                <w:color w:val="3333CC"/>
                <w:sz w:val="20"/>
                <w:szCs w:val="20"/>
                <w:vertAlign w:val="superscript"/>
              </w:rPr>
              <w:t>1</w:t>
            </w:r>
            <w:r w:rsidRPr="00437D4B">
              <w:rPr>
                <w:rFonts w:ascii="Calibri" w:hAnsi="Calibri" w:cs="Calibri"/>
                <w:b/>
                <w:bCs/>
                <w:color w:val="3333CC"/>
                <w:sz w:val="20"/>
                <w:szCs w:val="20"/>
              </w:rPr>
              <w:t xml:space="preserve"> </w:t>
            </w:r>
          </w:p>
        </w:tc>
        <w:tc>
          <w:tcPr>
            <w:tcW w:w="2700" w:type="dxa"/>
            <w:shd w:val="clear" w:color="auto" w:fill="D9D9D9" w:themeFill="background1" w:themeFillShade="D9"/>
          </w:tcPr>
          <w:p w:rsidR="00FF234B" w:rsidRPr="00437D4B" w:rsidRDefault="00FF234B" w:rsidP="00997A0C">
            <w:pPr>
              <w:autoSpaceDE w:val="0"/>
              <w:autoSpaceDN w:val="0"/>
              <w:adjustRightInd w:val="0"/>
              <w:rPr>
                <w:rFonts w:ascii="Calibri" w:hAnsi="Calibri" w:cs="Calibri"/>
                <w:color w:val="3333CC"/>
                <w:sz w:val="20"/>
                <w:szCs w:val="20"/>
              </w:rPr>
            </w:pPr>
            <w:r w:rsidRPr="00437D4B">
              <w:rPr>
                <w:rFonts w:ascii="Calibri" w:hAnsi="Calibri" w:cs="Calibri"/>
                <w:b/>
                <w:bCs/>
                <w:color w:val="3333CC"/>
                <w:sz w:val="20"/>
                <w:szCs w:val="20"/>
              </w:rPr>
              <w:t xml:space="preserve">Population at Risk </w:t>
            </w:r>
          </w:p>
          <w:p w:rsidR="00FF234B" w:rsidRPr="00437D4B" w:rsidRDefault="00FF234B" w:rsidP="00997A0C">
            <w:pPr>
              <w:autoSpaceDE w:val="0"/>
              <w:autoSpaceDN w:val="0"/>
              <w:adjustRightInd w:val="0"/>
              <w:rPr>
                <w:rFonts w:ascii="Calibri" w:hAnsi="Calibri" w:cs="Calibri"/>
                <w:color w:val="3333CC"/>
                <w:sz w:val="20"/>
                <w:szCs w:val="20"/>
              </w:rPr>
            </w:pPr>
            <w:r w:rsidRPr="001A4934">
              <w:rPr>
                <w:rFonts w:ascii="Calibri" w:hAnsi="Calibri" w:cs="Calibri"/>
                <w:b/>
                <w:bCs/>
                <w:color w:val="3333CC"/>
                <w:sz w:val="20"/>
                <w:szCs w:val="20"/>
              </w:rPr>
              <w:t>(Denominator)</w:t>
            </w:r>
            <w:r w:rsidRPr="001A4934">
              <w:rPr>
                <w:rFonts w:ascii="Calibri" w:hAnsi="Calibri" w:cs="Calibri"/>
                <w:b/>
                <w:bCs/>
                <w:color w:val="3333CC"/>
                <w:sz w:val="20"/>
                <w:szCs w:val="20"/>
                <w:vertAlign w:val="superscript"/>
              </w:rPr>
              <w:t>1</w:t>
            </w:r>
          </w:p>
        </w:tc>
        <w:tc>
          <w:tcPr>
            <w:tcW w:w="1980" w:type="dxa"/>
            <w:shd w:val="clear" w:color="auto" w:fill="D9D9D9" w:themeFill="background1" w:themeFillShade="D9"/>
          </w:tcPr>
          <w:p w:rsidR="00FF234B" w:rsidRPr="00437D4B" w:rsidRDefault="00FF234B" w:rsidP="00997A0C">
            <w:pPr>
              <w:autoSpaceDE w:val="0"/>
              <w:autoSpaceDN w:val="0"/>
              <w:adjustRightInd w:val="0"/>
              <w:rPr>
                <w:rFonts w:ascii="Calibri" w:hAnsi="Calibri" w:cs="Calibri"/>
                <w:color w:val="3333CC"/>
                <w:sz w:val="20"/>
                <w:szCs w:val="20"/>
              </w:rPr>
            </w:pPr>
            <w:r w:rsidRPr="00437D4B">
              <w:rPr>
                <w:rFonts w:ascii="Calibri" w:hAnsi="Calibri" w:cs="Calibri"/>
                <w:b/>
                <w:bCs/>
                <w:color w:val="3333CC"/>
                <w:sz w:val="20"/>
                <w:szCs w:val="20"/>
              </w:rPr>
              <w:t xml:space="preserve">Observed Rate </w:t>
            </w:r>
          </w:p>
          <w:p w:rsidR="00FF234B" w:rsidRPr="00437D4B" w:rsidRDefault="00FF234B" w:rsidP="00997A0C">
            <w:pPr>
              <w:autoSpaceDE w:val="0"/>
              <w:autoSpaceDN w:val="0"/>
              <w:adjustRightInd w:val="0"/>
              <w:rPr>
                <w:rFonts w:ascii="Calibri" w:hAnsi="Calibri" w:cs="Calibri"/>
                <w:color w:val="3333CC"/>
                <w:sz w:val="20"/>
                <w:szCs w:val="20"/>
              </w:rPr>
            </w:pPr>
            <w:r w:rsidRPr="00437D4B">
              <w:rPr>
                <w:rFonts w:ascii="Calibri" w:hAnsi="Calibri" w:cs="Calibri"/>
                <w:b/>
                <w:bCs/>
                <w:color w:val="3333CC"/>
                <w:sz w:val="20"/>
                <w:szCs w:val="20"/>
              </w:rPr>
              <w:t>Per 100,000</w:t>
            </w:r>
            <w:r w:rsidRPr="001A4934">
              <w:rPr>
                <w:rFonts w:ascii="Calibri" w:hAnsi="Calibri" w:cs="Calibri"/>
                <w:b/>
                <w:bCs/>
                <w:color w:val="3333CC"/>
                <w:sz w:val="20"/>
                <w:szCs w:val="20"/>
                <w:vertAlign w:val="superscript"/>
              </w:rPr>
              <w:t>1</w:t>
            </w:r>
          </w:p>
        </w:tc>
      </w:tr>
      <w:tr w:rsidR="00FF234B" w:rsidRPr="00437D4B" w:rsidTr="00997A0C">
        <w:trPr>
          <w:trHeight w:val="139"/>
        </w:trPr>
        <w:tc>
          <w:tcPr>
            <w:tcW w:w="1260" w:type="dxa"/>
          </w:tcPr>
          <w:p w:rsidR="00FF234B" w:rsidRPr="001A4934" w:rsidRDefault="00FF234B" w:rsidP="00997A0C">
            <w:pPr>
              <w:jc w:val="center"/>
              <w:rPr>
                <w:rFonts w:ascii="Calibri" w:hAnsi="Calibri"/>
                <w:color w:val="3333CC"/>
              </w:rPr>
            </w:pPr>
            <w:r w:rsidRPr="001A4934">
              <w:rPr>
                <w:rFonts w:ascii="Calibri" w:hAnsi="Calibri"/>
                <w:color w:val="3333CC"/>
              </w:rPr>
              <w:t>2012</w:t>
            </w:r>
          </w:p>
        </w:tc>
        <w:tc>
          <w:tcPr>
            <w:tcW w:w="1890" w:type="dxa"/>
          </w:tcPr>
          <w:p w:rsidR="00FF234B" w:rsidRPr="001A4934" w:rsidRDefault="00FF234B" w:rsidP="00997A0C">
            <w:pPr>
              <w:jc w:val="center"/>
              <w:rPr>
                <w:rFonts w:ascii="Calibri" w:hAnsi="Calibri"/>
                <w:color w:val="3333CC"/>
              </w:rPr>
            </w:pPr>
            <w:r w:rsidRPr="001A4934">
              <w:rPr>
                <w:rFonts w:ascii="Calibri" w:hAnsi="Calibri"/>
                <w:color w:val="3333CC"/>
              </w:rPr>
              <w:t>2,935</w:t>
            </w:r>
          </w:p>
        </w:tc>
        <w:tc>
          <w:tcPr>
            <w:tcW w:w="2700" w:type="dxa"/>
          </w:tcPr>
          <w:p w:rsidR="00FF234B" w:rsidRPr="001A4934" w:rsidRDefault="00FF234B" w:rsidP="00997A0C">
            <w:pPr>
              <w:jc w:val="center"/>
              <w:rPr>
                <w:rFonts w:ascii="Calibri" w:hAnsi="Calibri"/>
                <w:color w:val="3333CC"/>
              </w:rPr>
            </w:pPr>
            <w:r w:rsidRPr="001A4934">
              <w:rPr>
                <w:rFonts w:ascii="Calibri" w:hAnsi="Calibri"/>
                <w:color w:val="3333CC"/>
              </w:rPr>
              <w:t>255,023</w:t>
            </w:r>
          </w:p>
        </w:tc>
        <w:tc>
          <w:tcPr>
            <w:tcW w:w="2700" w:type="dxa"/>
          </w:tcPr>
          <w:p w:rsidR="00FF234B" w:rsidRPr="001A4934" w:rsidRDefault="00FF234B" w:rsidP="00997A0C">
            <w:pPr>
              <w:jc w:val="center"/>
              <w:rPr>
                <w:rFonts w:ascii="Calibri" w:hAnsi="Calibri"/>
                <w:color w:val="3333CC"/>
              </w:rPr>
            </w:pPr>
            <w:r w:rsidRPr="001A4934">
              <w:rPr>
                <w:rFonts w:ascii="Calibri" w:hAnsi="Calibri"/>
                <w:color w:val="3333CC"/>
              </w:rPr>
              <w:t>230,988,781</w:t>
            </w:r>
          </w:p>
        </w:tc>
        <w:tc>
          <w:tcPr>
            <w:tcW w:w="1980" w:type="dxa"/>
          </w:tcPr>
          <w:p w:rsidR="00FF234B" w:rsidRPr="001A4934" w:rsidRDefault="00FF234B" w:rsidP="00997A0C">
            <w:pPr>
              <w:jc w:val="center"/>
              <w:rPr>
                <w:rFonts w:ascii="Calibri" w:hAnsi="Calibri"/>
                <w:color w:val="3333CC"/>
              </w:rPr>
            </w:pPr>
            <w:r w:rsidRPr="001A4934">
              <w:rPr>
                <w:rFonts w:ascii="Calibri" w:hAnsi="Calibri"/>
                <w:color w:val="3333CC"/>
              </w:rPr>
              <w:t>110.40</w:t>
            </w:r>
          </w:p>
        </w:tc>
      </w:tr>
      <w:tr w:rsidR="00FF234B" w:rsidRPr="00437D4B" w:rsidTr="00997A0C">
        <w:trPr>
          <w:trHeight w:val="230"/>
        </w:trPr>
        <w:tc>
          <w:tcPr>
            <w:tcW w:w="1260" w:type="dxa"/>
          </w:tcPr>
          <w:p w:rsidR="00FF234B" w:rsidRPr="001A4934" w:rsidRDefault="00FF234B" w:rsidP="00997A0C">
            <w:pPr>
              <w:jc w:val="center"/>
              <w:rPr>
                <w:rFonts w:ascii="Calibri" w:hAnsi="Calibri"/>
                <w:color w:val="3333CC"/>
              </w:rPr>
            </w:pPr>
            <w:r w:rsidRPr="001A4934">
              <w:rPr>
                <w:rFonts w:ascii="Calibri" w:hAnsi="Calibri"/>
                <w:color w:val="3333CC"/>
              </w:rPr>
              <w:t>2011</w:t>
            </w:r>
          </w:p>
        </w:tc>
        <w:tc>
          <w:tcPr>
            <w:tcW w:w="1890" w:type="dxa"/>
          </w:tcPr>
          <w:p w:rsidR="00FF234B" w:rsidRPr="001A4934" w:rsidRDefault="00FF234B" w:rsidP="00997A0C">
            <w:pPr>
              <w:jc w:val="center"/>
              <w:rPr>
                <w:rFonts w:ascii="Calibri" w:hAnsi="Calibri"/>
                <w:color w:val="3333CC"/>
              </w:rPr>
            </w:pPr>
            <w:r w:rsidRPr="001A4934">
              <w:rPr>
                <w:rFonts w:ascii="Calibri" w:hAnsi="Calibri"/>
                <w:color w:val="3333CC"/>
              </w:rPr>
              <w:t>3,018</w:t>
            </w:r>
          </w:p>
        </w:tc>
        <w:tc>
          <w:tcPr>
            <w:tcW w:w="2700" w:type="dxa"/>
          </w:tcPr>
          <w:p w:rsidR="00FF234B" w:rsidRPr="001A4934" w:rsidRDefault="00FF234B" w:rsidP="00997A0C">
            <w:pPr>
              <w:jc w:val="center"/>
              <w:rPr>
                <w:rFonts w:ascii="Calibri" w:hAnsi="Calibri"/>
                <w:color w:val="3333CC"/>
              </w:rPr>
            </w:pPr>
            <w:r w:rsidRPr="001A4934">
              <w:rPr>
                <w:rFonts w:ascii="Calibri" w:hAnsi="Calibri"/>
                <w:color w:val="3333CC"/>
              </w:rPr>
              <w:t>276,293</w:t>
            </w:r>
          </w:p>
        </w:tc>
        <w:tc>
          <w:tcPr>
            <w:tcW w:w="2700" w:type="dxa"/>
          </w:tcPr>
          <w:p w:rsidR="00FF234B" w:rsidRPr="001A4934" w:rsidRDefault="00FF234B" w:rsidP="00997A0C">
            <w:pPr>
              <w:jc w:val="center"/>
              <w:rPr>
                <w:rFonts w:ascii="Calibri" w:hAnsi="Calibri"/>
                <w:color w:val="3333CC"/>
              </w:rPr>
            </w:pPr>
            <w:r w:rsidRPr="001A4934">
              <w:rPr>
                <w:rFonts w:ascii="Calibri" w:hAnsi="Calibri"/>
                <w:color w:val="3333CC"/>
              </w:rPr>
              <w:t>230,827,273</w:t>
            </w:r>
          </w:p>
        </w:tc>
        <w:tc>
          <w:tcPr>
            <w:tcW w:w="1980" w:type="dxa"/>
          </w:tcPr>
          <w:p w:rsidR="00FF234B" w:rsidRPr="001A4934" w:rsidRDefault="00FF234B" w:rsidP="00997A0C">
            <w:pPr>
              <w:jc w:val="center"/>
              <w:rPr>
                <w:rFonts w:ascii="Calibri" w:hAnsi="Calibri"/>
                <w:color w:val="3333CC"/>
              </w:rPr>
            </w:pPr>
            <w:r w:rsidRPr="001A4934">
              <w:rPr>
                <w:rFonts w:ascii="Calibri" w:hAnsi="Calibri"/>
                <w:color w:val="3333CC"/>
              </w:rPr>
              <w:t>119.70</w:t>
            </w:r>
          </w:p>
        </w:tc>
      </w:tr>
      <w:tr w:rsidR="00FF234B" w:rsidRPr="00437D4B" w:rsidTr="00997A0C">
        <w:trPr>
          <w:trHeight w:val="139"/>
        </w:trPr>
        <w:tc>
          <w:tcPr>
            <w:tcW w:w="1260" w:type="dxa"/>
          </w:tcPr>
          <w:p w:rsidR="00FF234B" w:rsidRPr="001A4934" w:rsidRDefault="00FF234B" w:rsidP="00997A0C">
            <w:pPr>
              <w:jc w:val="center"/>
              <w:rPr>
                <w:rFonts w:ascii="Calibri" w:hAnsi="Calibri"/>
                <w:color w:val="3333CC"/>
              </w:rPr>
            </w:pPr>
            <w:r w:rsidRPr="001A4934">
              <w:rPr>
                <w:rFonts w:ascii="Calibri" w:hAnsi="Calibri"/>
                <w:color w:val="3333CC"/>
              </w:rPr>
              <w:t>2010</w:t>
            </w:r>
          </w:p>
        </w:tc>
        <w:tc>
          <w:tcPr>
            <w:tcW w:w="1890" w:type="dxa"/>
          </w:tcPr>
          <w:p w:rsidR="00FF234B" w:rsidRPr="001A4934" w:rsidRDefault="00FF234B" w:rsidP="00997A0C">
            <w:pPr>
              <w:jc w:val="center"/>
              <w:rPr>
                <w:rFonts w:ascii="Calibri" w:hAnsi="Calibri"/>
                <w:color w:val="3333CC"/>
              </w:rPr>
            </w:pPr>
            <w:r w:rsidRPr="001A4934">
              <w:rPr>
                <w:rFonts w:ascii="Calibri" w:hAnsi="Calibri"/>
                <w:color w:val="3333CC"/>
              </w:rPr>
              <w:t>3,015</w:t>
            </w:r>
          </w:p>
        </w:tc>
        <w:tc>
          <w:tcPr>
            <w:tcW w:w="2700" w:type="dxa"/>
          </w:tcPr>
          <w:p w:rsidR="00FF234B" w:rsidRPr="001A4934" w:rsidRDefault="00FF234B" w:rsidP="00997A0C">
            <w:pPr>
              <w:jc w:val="center"/>
              <w:rPr>
                <w:rFonts w:ascii="Calibri" w:hAnsi="Calibri"/>
                <w:color w:val="3333CC"/>
              </w:rPr>
            </w:pPr>
            <w:r w:rsidRPr="001A4934">
              <w:rPr>
                <w:rFonts w:ascii="Calibri" w:hAnsi="Calibri"/>
                <w:color w:val="3333CC"/>
              </w:rPr>
              <w:t>278,693</w:t>
            </w:r>
          </w:p>
        </w:tc>
        <w:tc>
          <w:tcPr>
            <w:tcW w:w="2700" w:type="dxa"/>
          </w:tcPr>
          <w:p w:rsidR="00FF234B" w:rsidRPr="001A4934" w:rsidRDefault="00FF234B" w:rsidP="00997A0C">
            <w:pPr>
              <w:jc w:val="center"/>
              <w:rPr>
                <w:rFonts w:ascii="Calibri" w:hAnsi="Calibri"/>
                <w:color w:val="3333CC"/>
              </w:rPr>
            </w:pPr>
            <w:r w:rsidRPr="001A4934">
              <w:rPr>
                <w:rFonts w:ascii="Calibri" w:hAnsi="Calibri"/>
                <w:color w:val="3333CC"/>
              </w:rPr>
              <w:t>228,371,155</w:t>
            </w:r>
          </w:p>
        </w:tc>
        <w:tc>
          <w:tcPr>
            <w:tcW w:w="1980" w:type="dxa"/>
          </w:tcPr>
          <w:p w:rsidR="00FF234B" w:rsidRPr="001A4934" w:rsidRDefault="00FF234B" w:rsidP="00997A0C">
            <w:pPr>
              <w:jc w:val="center"/>
              <w:rPr>
                <w:rFonts w:ascii="Calibri" w:hAnsi="Calibri"/>
                <w:color w:val="3333CC"/>
              </w:rPr>
            </w:pPr>
            <w:r w:rsidRPr="001A4934">
              <w:rPr>
                <w:rFonts w:ascii="Calibri" w:hAnsi="Calibri"/>
                <w:color w:val="3333CC"/>
              </w:rPr>
              <w:t>122.04</w:t>
            </w:r>
          </w:p>
        </w:tc>
      </w:tr>
      <w:tr w:rsidR="00FF234B" w:rsidRPr="00437D4B" w:rsidTr="00997A0C">
        <w:trPr>
          <w:trHeight w:val="58"/>
        </w:trPr>
        <w:tc>
          <w:tcPr>
            <w:tcW w:w="1260" w:type="dxa"/>
          </w:tcPr>
          <w:p w:rsidR="00FF234B" w:rsidRPr="001A4934" w:rsidRDefault="00FF234B" w:rsidP="00997A0C">
            <w:pPr>
              <w:jc w:val="center"/>
              <w:rPr>
                <w:rFonts w:ascii="Calibri" w:hAnsi="Calibri"/>
                <w:color w:val="3333CC"/>
              </w:rPr>
            </w:pPr>
            <w:r w:rsidRPr="001A4934">
              <w:rPr>
                <w:rFonts w:ascii="Calibri" w:hAnsi="Calibri"/>
                <w:color w:val="3333CC"/>
              </w:rPr>
              <w:t>2009</w:t>
            </w:r>
          </w:p>
        </w:tc>
        <w:tc>
          <w:tcPr>
            <w:tcW w:w="1890" w:type="dxa"/>
          </w:tcPr>
          <w:p w:rsidR="00FF234B" w:rsidRPr="001A4934" w:rsidRDefault="00FF234B" w:rsidP="00997A0C">
            <w:pPr>
              <w:jc w:val="center"/>
              <w:rPr>
                <w:rFonts w:ascii="Calibri" w:hAnsi="Calibri"/>
                <w:color w:val="3333CC"/>
              </w:rPr>
            </w:pPr>
            <w:r w:rsidRPr="001A4934">
              <w:rPr>
                <w:rFonts w:ascii="Calibri" w:hAnsi="Calibri"/>
                <w:color w:val="3333CC"/>
              </w:rPr>
              <w:t>2,863</w:t>
            </w:r>
          </w:p>
        </w:tc>
        <w:tc>
          <w:tcPr>
            <w:tcW w:w="2700" w:type="dxa"/>
          </w:tcPr>
          <w:p w:rsidR="00FF234B" w:rsidRPr="001A4934" w:rsidRDefault="00FF234B" w:rsidP="00997A0C">
            <w:pPr>
              <w:jc w:val="center"/>
              <w:rPr>
                <w:rFonts w:ascii="Calibri" w:hAnsi="Calibri"/>
                <w:color w:val="3333CC"/>
              </w:rPr>
            </w:pPr>
            <w:r w:rsidRPr="001A4934">
              <w:rPr>
                <w:rFonts w:ascii="Calibri" w:hAnsi="Calibri"/>
                <w:color w:val="3333CC"/>
              </w:rPr>
              <w:t>298,685</w:t>
            </w:r>
          </w:p>
        </w:tc>
        <w:tc>
          <w:tcPr>
            <w:tcW w:w="2700" w:type="dxa"/>
          </w:tcPr>
          <w:p w:rsidR="00FF234B" w:rsidRPr="001A4934" w:rsidRDefault="00FF234B" w:rsidP="00997A0C">
            <w:pPr>
              <w:jc w:val="center"/>
              <w:rPr>
                <w:rFonts w:ascii="Calibri" w:hAnsi="Calibri"/>
                <w:color w:val="3333CC"/>
              </w:rPr>
            </w:pPr>
            <w:r w:rsidRPr="001A4934">
              <w:rPr>
                <w:rFonts w:ascii="Calibri" w:hAnsi="Calibri"/>
                <w:color w:val="3333CC"/>
              </w:rPr>
              <w:t>223,703,795</w:t>
            </w:r>
          </w:p>
        </w:tc>
        <w:tc>
          <w:tcPr>
            <w:tcW w:w="1980" w:type="dxa"/>
          </w:tcPr>
          <w:p w:rsidR="00FF234B" w:rsidRPr="001A4934" w:rsidRDefault="00FF234B" w:rsidP="00997A0C">
            <w:pPr>
              <w:jc w:val="center"/>
              <w:rPr>
                <w:rFonts w:ascii="Calibri" w:hAnsi="Calibri"/>
                <w:color w:val="3333CC"/>
              </w:rPr>
            </w:pPr>
            <w:r w:rsidRPr="001A4934">
              <w:rPr>
                <w:rFonts w:ascii="Calibri" w:hAnsi="Calibri"/>
                <w:color w:val="3333CC"/>
              </w:rPr>
              <w:t>133.52</w:t>
            </w:r>
          </w:p>
        </w:tc>
      </w:tr>
      <w:tr w:rsidR="00FF234B" w:rsidRPr="00437D4B" w:rsidTr="00997A0C">
        <w:trPr>
          <w:trHeight w:val="139"/>
        </w:trPr>
        <w:tc>
          <w:tcPr>
            <w:tcW w:w="1260" w:type="dxa"/>
          </w:tcPr>
          <w:p w:rsidR="00FF234B" w:rsidRPr="001A4934" w:rsidRDefault="00FF234B" w:rsidP="00997A0C">
            <w:pPr>
              <w:jc w:val="center"/>
              <w:rPr>
                <w:rFonts w:ascii="Calibri" w:hAnsi="Calibri"/>
                <w:color w:val="3333CC"/>
              </w:rPr>
            </w:pPr>
            <w:r w:rsidRPr="001A4934">
              <w:rPr>
                <w:rFonts w:ascii="Calibri" w:hAnsi="Calibri"/>
                <w:color w:val="3333CC"/>
              </w:rPr>
              <w:t>2008</w:t>
            </w:r>
          </w:p>
        </w:tc>
        <w:tc>
          <w:tcPr>
            <w:tcW w:w="1890" w:type="dxa"/>
          </w:tcPr>
          <w:p w:rsidR="00FF234B" w:rsidRPr="001A4934" w:rsidRDefault="00FF234B" w:rsidP="00997A0C">
            <w:pPr>
              <w:jc w:val="center"/>
              <w:rPr>
                <w:rFonts w:ascii="Calibri" w:hAnsi="Calibri"/>
                <w:color w:val="3333CC"/>
              </w:rPr>
            </w:pPr>
            <w:r w:rsidRPr="001A4934">
              <w:rPr>
                <w:rFonts w:ascii="Calibri" w:hAnsi="Calibri"/>
                <w:color w:val="3333CC"/>
              </w:rPr>
              <w:t>2,774</w:t>
            </w:r>
          </w:p>
        </w:tc>
        <w:tc>
          <w:tcPr>
            <w:tcW w:w="2700" w:type="dxa"/>
          </w:tcPr>
          <w:p w:rsidR="00FF234B" w:rsidRPr="001A4934" w:rsidRDefault="00FF234B" w:rsidP="00997A0C">
            <w:pPr>
              <w:jc w:val="center"/>
              <w:rPr>
                <w:rFonts w:ascii="Calibri" w:hAnsi="Calibri"/>
                <w:color w:val="3333CC"/>
              </w:rPr>
            </w:pPr>
            <w:r w:rsidRPr="001A4934">
              <w:rPr>
                <w:rFonts w:ascii="Calibri" w:hAnsi="Calibri"/>
                <w:color w:val="3333CC"/>
              </w:rPr>
              <w:t>341,790</w:t>
            </w:r>
          </w:p>
        </w:tc>
        <w:tc>
          <w:tcPr>
            <w:tcW w:w="2700" w:type="dxa"/>
          </w:tcPr>
          <w:p w:rsidR="00FF234B" w:rsidRPr="001A4934" w:rsidRDefault="00FF234B" w:rsidP="00997A0C">
            <w:pPr>
              <w:jc w:val="center"/>
              <w:rPr>
                <w:rFonts w:ascii="Calibri" w:hAnsi="Calibri"/>
                <w:color w:val="3333CC"/>
              </w:rPr>
            </w:pPr>
            <w:r w:rsidRPr="001A4934">
              <w:rPr>
                <w:rFonts w:ascii="Calibri" w:hAnsi="Calibri"/>
                <w:color w:val="3333CC"/>
              </w:rPr>
              <w:t>219,039,613</w:t>
            </w:r>
          </w:p>
        </w:tc>
        <w:tc>
          <w:tcPr>
            <w:tcW w:w="1980" w:type="dxa"/>
          </w:tcPr>
          <w:p w:rsidR="00FF234B" w:rsidRPr="001A4934" w:rsidRDefault="00FF234B" w:rsidP="00997A0C">
            <w:pPr>
              <w:jc w:val="center"/>
              <w:rPr>
                <w:rFonts w:ascii="Calibri" w:hAnsi="Calibri"/>
                <w:color w:val="3333CC"/>
              </w:rPr>
            </w:pPr>
            <w:r w:rsidRPr="001A4934">
              <w:rPr>
                <w:rFonts w:ascii="Calibri" w:hAnsi="Calibri"/>
                <w:color w:val="3333CC"/>
              </w:rPr>
              <w:t>156.04</w:t>
            </w:r>
          </w:p>
        </w:tc>
      </w:tr>
    </w:tbl>
    <w:tbl>
      <w:tblPr>
        <w:tblW w:w="10530" w:type="dxa"/>
        <w:tblInd w:w="198" w:type="dxa"/>
        <w:tblLayout w:type="fixed"/>
        <w:tblLook w:val="04A0" w:firstRow="1" w:lastRow="0" w:firstColumn="1" w:lastColumn="0" w:noHBand="0" w:noVBand="1"/>
      </w:tblPr>
      <w:tblGrid>
        <w:gridCol w:w="1260"/>
        <w:gridCol w:w="1890"/>
        <w:gridCol w:w="1080"/>
        <w:gridCol w:w="990"/>
        <w:gridCol w:w="990"/>
        <w:gridCol w:w="990"/>
        <w:gridCol w:w="1080"/>
        <w:gridCol w:w="1080"/>
        <w:gridCol w:w="1170"/>
      </w:tblGrid>
      <w:tr w:rsidR="00FF234B" w:rsidRPr="001A4934" w:rsidTr="00997A0C">
        <w:trPr>
          <w:trHeight w:val="300"/>
        </w:trPr>
        <w:tc>
          <w:tcPr>
            <w:tcW w:w="10530" w:type="dxa"/>
            <w:gridSpan w:val="9"/>
            <w:tcBorders>
              <w:top w:val="single" w:sz="8" w:space="0" w:color="auto"/>
              <w:left w:val="single" w:sz="8" w:space="0" w:color="auto"/>
              <w:bottom w:val="nil"/>
              <w:right w:val="single" w:sz="8" w:space="0" w:color="000000"/>
            </w:tcBorders>
            <w:shd w:val="clear" w:color="auto" w:fill="D9D9D9" w:themeFill="background1" w:themeFillShade="D9"/>
            <w:noWrap/>
            <w:vAlign w:val="center"/>
          </w:tcPr>
          <w:p w:rsidR="00FF234B" w:rsidRPr="001A4934" w:rsidRDefault="00FF234B" w:rsidP="00997A0C">
            <w:pPr>
              <w:spacing w:after="0" w:line="240" w:lineRule="auto"/>
              <w:jc w:val="center"/>
              <w:rPr>
                <w:rFonts w:ascii="Calibri" w:eastAsia="Times New Roman" w:hAnsi="Calibri" w:cs="Times New Roman"/>
                <w:b/>
                <w:color w:val="3333CC"/>
              </w:rPr>
            </w:pPr>
            <w:r w:rsidRPr="001A4934">
              <w:rPr>
                <w:rFonts w:ascii="Calibri" w:eastAsia="Times New Roman" w:hAnsi="Calibri" w:cs="Times New Roman"/>
                <w:b/>
                <w:color w:val="3333CC"/>
              </w:rPr>
              <w:t>Distribution of Area-level Observed Rates in Reference Population</w:t>
            </w:r>
          </w:p>
        </w:tc>
      </w:tr>
      <w:tr w:rsidR="00FF234B" w:rsidRPr="001A4934" w:rsidTr="00997A0C">
        <w:trPr>
          <w:trHeight w:val="300"/>
        </w:trPr>
        <w:tc>
          <w:tcPr>
            <w:tcW w:w="1260" w:type="dxa"/>
            <w:vMerge w:val="restart"/>
            <w:tcBorders>
              <w:top w:val="single" w:sz="8" w:space="0" w:color="auto"/>
              <w:left w:val="single" w:sz="8" w:space="0" w:color="auto"/>
              <w:bottom w:val="nil"/>
              <w:right w:val="nil"/>
            </w:tcBorders>
            <w:shd w:val="clear" w:color="auto" w:fill="D9D9D9" w:themeFill="background1" w:themeFillShade="D9"/>
            <w:noWrap/>
            <w:vAlign w:val="center"/>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Year</w:t>
            </w:r>
          </w:p>
        </w:tc>
        <w:tc>
          <w:tcPr>
            <w:tcW w:w="1890" w:type="dxa"/>
            <w:vMerge w:val="restart"/>
            <w:tcBorders>
              <w:top w:val="single" w:sz="8" w:space="0" w:color="auto"/>
              <w:left w:val="single" w:sz="8" w:space="0" w:color="auto"/>
              <w:right w:val="single" w:sz="8" w:space="0" w:color="auto"/>
            </w:tcBorders>
            <w:shd w:val="clear" w:color="auto" w:fill="D9D9D9" w:themeFill="background1" w:themeFillShade="D9"/>
            <w:noWrap/>
            <w:vAlign w:val="bottom"/>
            <w:hideMark/>
          </w:tcPr>
          <w:p w:rsidR="00FF234B" w:rsidRPr="001A4934"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Number of</w:t>
            </w:r>
          </w:p>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Counties</w:t>
            </w:r>
          </w:p>
        </w:tc>
        <w:tc>
          <w:tcPr>
            <w:tcW w:w="7380" w:type="dxa"/>
            <w:gridSpan w:val="7"/>
            <w:tcBorders>
              <w:top w:val="single" w:sz="8" w:space="0" w:color="auto"/>
              <w:left w:val="nil"/>
              <w:bottom w:val="single" w:sz="8" w:space="0" w:color="auto"/>
              <w:right w:val="single" w:sz="8" w:space="0" w:color="000000"/>
            </w:tcBorders>
            <w:shd w:val="clear" w:color="auto" w:fill="D9D9D9" w:themeFill="background1" w:themeFillShade="D9"/>
            <w:noWrap/>
            <w:vAlign w:val="bottom"/>
            <w:hideMark/>
          </w:tcPr>
          <w:p w:rsidR="00FF234B" w:rsidRPr="0062274D" w:rsidRDefault="00FF234B" w:rsidP="00997A0C">
            <w:pPr>
              <w:spacing w:after="0" w:line="240" w:lineRule="auto"/>
              <w:jc w:val="center"/>
              <w:rPr>
                <w:rFonts w:ascii="Calibri" w:eastAsia="Times New Roman" w:hAnsi="Calibri" w:cs="Times New Roman"/>
                <w:color w:val="3333CC"/>
                <w:vertAlign w:val="superscript"/>
              </w:rPr>
            </w:pPr>
            <w:r>
              <w:rPr>
                <w:rFonts w:ascii="Calibri" w:eastAsia="Times New Roman" w:hAnsi="Calibri" w:cs="Times New Roman"/>
                <w:color w:val="3333CC"/>
              </w:rPr>
              <w:t xml:space="preserve">Distribution of </w:t>
            </w:r>
            <w:r w:rsidRPr="0062274D">
              <w:rPr>
                <w:rFonts w:ascii="Calibri" w:eastAsia="Times New Roman" w:hAnsi="Calibri" w:cs="Times New Roman"/>
                <w:color w:val="3333CC"/>
              </w:rPr>
              <w:t xml:space="preserve">Observed </w:t>
            </w:r>
            <w:r>
              <w:rPr>
                <w:rFonts w:ascii="Calibri" w:eastAsia="Times New Roman" w:hAnsi="Calibri" w:cs="Times New Roman"/>
                <w:color w:val="3333CC"/>
              </w:rPr>
              <w:t xml:space="preserve">Area-level </w:t>
            </w:r>
            <w:r w:rsidRPr="0062274D">
              <w:rPr>
                <w:rFonts w:ascii="Calibri" w:eastAsia="Times New Roman" w:hAnsi="Calibri" w:cs="Times New Roman"/>
                <w:color w:val="3333CC"/>
              </w:rPr>
              <w:t>Rate</w:t>
            </w:r>
            <w:r>
              <w:rPr>
                <w:rFonts w:ascii="Calibri" w:eastAsia="Times New Roman" w:hAnsi="Calibri" w:cs="Times New Roman"/>
                <w:color w:val="3333CC"/>
              </w:rPr>
              <w:t>s per 100,000 population (p=percentile)</w:t>
            </w:r>
            <w:r>
              <w:rPr>
                <w:rFonts w:ascii="Calibri" w:eastAsia="Times New Roman" w:hAnsi="Calibri" w:cs="Times New Roman"/>
                <w:color w:val="3333CC"/>
                <w:vertAlign w:val="superscript"/>
              </w:rPr>
              <w:t>2</w:t>
            </w:r>
          </w:p>
        </w:tc>
      </w:tr>
      <w:tr w:rsidR="00FF234B" w:rsidRPr="001A4934" w:rsidTr="00997A0C">
        <w:trPr>
          <w:trHeight w:val="300"/>
        </w:trPr>
        <w:tc>
          <w:tcPr>
            <w:tcW w:w="1260" w:type="dxa"/>
            <w:vMerge/>
            <w:tcBorders>
              <w:top w:val="single" w:sz="8" w:space="0" w:color="auto"/>
              <w:left w:val="single" w:sz="8" w:space="0" w:color="auto"/>
              <w:bottom w:val="nil"/>
              <w:right w:val="nil"/>
            </w:tcBorders>
            <w:shd w:val="clear" w:color="auto" w:fill="D9D9D9" w:themeFill="background1" w:themeFillShade="D9"/>
            <w:vAlign w:val="center"/>
            <w:hideMark/>
          </w:tcPr>
          <w:p w:rsidR="00FF234B" w:rsidRPr="0062274D" w:rsidRDefault="00FF234B" w:rsidP="00997A0C">
            <w:pPr>
              <w:spacing w:after="0" w:line="240" w:lineRule="auto"/>
              <w:rPr>
                <w:rFonts w:ascii="Calibri" w:eastAsia="Times New Roman" w:hAnsi="Calibri" w:cs="Times New Roman"/>
                <w:color w:val="3333CC"/>
              </w:rPr>
            </w:pPr>
          </w:p>
        </w:tc>
        <w:tc>
          <w:tcPr>
            <w:tcW w:w="1890" w:type="dxa"/>
            <w:vMerge/>
            <w:tcBorders>
              <w:left w:val="single" w:sz="8" w:space="0" w:color="auto"/>
              <w:bottom w:val="single" w:sz="8" w:space="0" w:color="auto"/>
              <w:right w:val="single" w:sz="8" w:space="0" w:color="auto"/>
            </w:tcBorders>
            <w:shd w:val="clear" w:color="auto" w:fill="D9D9D9" w:themeFill="background1" w:themeFillShade="D9"/>
            <w:noWrap/>
            <w:vAlign w:val="bottom"/>
            <w:hideMark/>
          </w:tcPr>
          <w:p w:rsidR="00FF234B" w:rsidRPr="0062274D" w:rsidRDefault="00FF234B" w:rsidP="00997A0C">
            <w:pPr>
              <w:spacing w:after="0" w:line="240" w:lineRule="auto"/>
              <w:jc w:val="center"/>
              <w:rPr>
                <w:rFonts w:ascii="Calibri" w:eastAsia="Times New Roman" w:hAnsi="Calibri" w:cs="Times New Roman"/>
                <w:color w:val="3333CC"/>
              </w:rPr>
            </w:pPr>
          </w:p>
        </w:tc>
        <w:tc>
          <w:tcPr>
            <w:tcW w:w="108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Mean</w:t>
            </w:r>
          </w:p>
        </w:tc>
        <w:tc>
          <w:tcPr>
            <w:tcW w:w="990" w:type="dxa"/>
            <w:tcBorders>
              <w:top w:val="nil"/>
              <w:left w:val="single" w:sz="4" w:space="0" w:color="auto"/>
              <w:bottom w:val="single" w:sz="4" w:space="0" w:color="auto"/>
              <w:right w:val="nil"/>
            </w:tcBorders>
            <w:shd w:val="clear" w:color="auto" w:fill="D9D9D9" w:themeFill="background1" w:themeFillShade="D9"/>
            <w:noWrap/>
            <w:vAlign w:val="bottom"/>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SD</w:t>
            </w:r>
          </w:p>
        </w:tc>
        <w:tc>
          <w:tcPr>
            <w:tcW w:w="990"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p5</w:t>
            </w:r>
          </w:p>
        </w:tc>
        <w:tc>
          <w:tcPr>
            <w:tcW w:w="99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p25</w:t>
            </w:r>
          </w:p>
        </w:tc>
        <w:tc>
          <w:tcPr>
            <w:tcW w:w="108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Median</w:t>
            </w:r>
          </w:p>
        </w:tc>
        <w:tc>
          <w:tcPr>
            <w:tcW w:w="108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p75</w:t>
            </w:r>
          </w:p>
        </w:tc>
        <w:tc>
          <w:tcPr>
            <w:tcW w:w="1170" w:type="dxa"/>
            <w:tcBorders>
              <w:top w:val="nil"/>
              <w:left w:val="single" w:sz="4" w:space="0" w:color="auto"/>
              <w:bottom w:val="single" w:sz="4" w:space="0" w:color="auto"/>
              <w:right w:val="single" w:sz="8" w:space="0" w:color="auto"/>
            </w:tcBorders>
            <w:shd w:val="clear" w:color="auto" w:fill="D9D9D9" w:themeFill="background1" w:themeFillShade="D9"/>
            <w:noWrap/>
            <w:vAlign w:val="bottom"/>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p95</w:t>
            </w:r>
          </w:p>
        </w:tc>
      </w:tr>
      <w:tr w:rsidR="00FF234B" w:rsidRPr="001A4934" w:rsidTr="00997A0C">
        <w:trPr>
          <w:trHeight w:val="300"/>
        </w:trPr>
        <w:tc>
          <w:tcPr>
            <w:tcW w:w="1260" w:type="dxa"/>
            <w:tcBorders>
              <w:top w:val="single" w:sz="8" w:space="0" w:color="auto"/>
              <w:left w:val="single" w:sz="8" w:space="0" w:color="auto"/>
              <w:bottom w:val="single" w:sz="4" w:space="0" w:color="auto"/>
              <w:right w:val="nil"/>
            </w:tcBorders>
            <w:shd w:val="clear" w:color="auto" w:fill="auto"/>
            <w:noWrap/>
            <w:vAlign w:val="bottom"/>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2011</w:t>
            </w:r>
          </w:p>
        </w:tc>
        <w:tc>
          <w:tcPr>
            <w:tcW w:w="1890" w:type="dxa"/>
            <w:tcBorders>
              <w:top w:val="nil"/>
              <w:left w:val="single" w:sz="8" w:space="0" w:color="auto"/>
              <w:bottom w:val="single" w:sz="4" w:space="0" w:color="auto"/>
              <w:right w:val="single" w:sz="8" w:space="0" w:color="auto"/>
            </w:tcBorders>
            <w:shd w:val="clear" w:color="auto" w:fill="auto"/>
            <w:noWrap/>
            <w:vAlign w:val="bottom"/>
            <w:hideMark/>
          </w:tcPr>
          <w:p w:rsidR="00FF234B" w:rsidRPr="0062274D" w:rsidRDefault="00FF234B" w:rsidP="00997A0C">
            <w:pPr>
              <w:spacing w:after="0" w:line="240" w:lineRule="auto"/>
              <w:rPr>
                <w:rFonts w:ascii="Calibri" w:eastAsia="Times New Roman" w:hAnsi="Calibri" w:cs="Times New Roman"/>
                <w:color w:val="3333CC"/>
              </w:rPr>
            </w:pPr>
            <w:r w:rsidRPr="0062274D">
              <w:rPr>
                <w:rFonts w:ascii="Calibri" w:eastAsia="Times New Roman" w:hAnsi="Calibri" w:cs="Times New Roman"/>
                <w:color w:val="3333CC"/>
              </w:rPr>
              <w:t xml:space="preserve">           2,862 </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137.56</w:t>
            </w:r>
          </w:p>
        </w:tc>
        <w:tc>
          <w:tcPr>
            <w:tcW w:w="990" w:type="dxa"/>
            <w:tcBorders>
              <w:top w:val="single" w:sz="4" w:space="0" w:color="auto"/>
              <w:left w:val="single" w:sz="4" w:space="0" w:color="auto"/>
              <w:bottom w:val="single" w:sz="4" w:space="0" w:color="auto"/>
              <w:right w:val="single" w:sz="8" w:space="0" w:color="auto"/>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69.58</w:t>
            </w:r>
          </w:p>
        </w:tc>
        <w:tc>
          <w:tcPr>
            <w:tcW w:w="990" w:type="dxa"/>
            <w:tcBorders>
              <w:top w:val="single" w:sz="4" w:space="0" w:color="auto"/>
              <w:left w:val="nil"/>
              <w:bottom w:val="single" w:sz="4" w:space="0" w:color="auto"/>
              <w:right w:val="nil"/>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33.29</w:t>
            </w:r>
          </w:p>
        </w:tc>
        <w:tc>
          <w:tcPr>
            <w:tcW w:w="990" w:type="dxa"/>
            <w:tcBorders>
              <w:top w:val="single" w:sz="4" w:space="0" w:color="auto"/>
              <w:left w:val="single" w:sz="4" w:space="0" w:color="auto"/>
              <w:bottom w:val="single" w:sz="4" w:space="0" w:color="auto"/>
              <w:right w:val="nil"/>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88.44</w:t>
            </w:r>
          </w:p>
        </w:tc>
        <w:tc>
          <w:tcPr>
            <w:tcW w:w="1080" w:type="dxa"/>
            <w:tcBorders>
              <w:top w:val="single" w:sz="4" w:space="0" w:color="auto"/>
              <w:left w:val="single" w:sz="4" w:space="0" w:color="auto"/>
              <w:bottom w:val="single" w:sz="4" w:space="0" w:color="auto"/>
              <w:right w:val="nil"/>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129.95</w:t>
            </w:r>
          </w:p>
        </w:tc>
        <w:tc>
          <w:tcPr>
            <w:tcW w:w="1080" w:type="dxa"/>
            <w:tcBorders>
              <w:top w:val="single" w:sz="4" w:space="0" w:color="auto"/>
              <w:left w:val="single" w:sz="4" w:space="0" w:color="auto"/>
              <w:bottom w:val="single" w:sz="4" w:space="0" w:color="auto"/>
              <w:right w:val="nil"/>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180.27</w:t>
            </w:r>
          </w:p>
        </w:tc>
        <w:tc>
          <w:tcPr>
            <w:tcW w:w="1170" w:type="dxa"/>
            <w:tcBorders>
              <w:top w:val="single" w:sz="4" w:space="0" w:color="auto"/>
              <w:left w:val="single" w:sz="4" w:space="0" w:color="auto"/>
              <w:bottom w:val="single" w:sz="4" w:space="0" w:color="auto"/>
              <w:right w:val="single" w:sz="8" w:space="0" w:color="auto"/>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268.46</w:t>
            </w:r>
          </w:p>
        </w:tc>
      </w:tr>
      <w:tr w:rsidR="00FF234B" w:rsidRPr="001A4934" w:rsidTr="00997A0C">
        <w:trPr>
          <w:trHeight w:val="315"/>
        </w:trPr>
        <w:tc>
          <w:tcPr>
            <w:tcW w:w="1260" w:type="dxa"/>
            <w:tcBorders>
              <w:top w:val="single" w:sz="4" w:space="0" w:color="auto"/>
              <w:left w:val="single" w:sz="8" w:space="0" w:color="auto"/>
              <w:bottom w:val="single" w:sz="8" w:space="0" w:color="auto"/>
              <w:right w:val="nil"/>
            </w:tcBorders>
            <w:shd w:val="clear" w:color="auto" w:fill="auto"/>
            <w:noWrap/>
            <w:vAlign w:val="bottom"/>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2012</w:t>
            </w:r>
          </w:p>
        </w:tc>
        <w:tc>
          <w:tcPr>
            <w:tcW w:w="1890" w:type="dxa"/>
            <w:tcBorders>
              <w:top w:val="single" w:sz="4" w:space="0" w:color="auto"/>
              <w:left w:val="single" w:sz="8" w:space="0" w:color="auto"/>
              <w:bottom w:val="single" w:sz="8" w:space="0" w:color="auto"/>
              <w:right w:val="single" w:sz="8" w:space="0" w:color="auto"/>
            </w:tcBorders>
            <w:shd w:val="clear" w:color="auto" w:fill="auto"/>
            <w:hideMark/>
          </w:tcPr>
          <w:p w:rsidR="00FF234B" w:rsidRPr="0062274D" w:rsidRDefault="00FF234B" w:rsidP="00997A0C">
            <w:pPr>
              <w:spacing w:after="0" w:line="240" w:lineRule="auto"/>
              <w:rPr>
                <w:rFonts w:ascii="Calibri" w:eastAsia="Times New Roman" w:hAnsi="Calibri" w:cs="Times New Roman"/>
                <w:color w:val="3333CC"/>
              </w:rPr>
            </w:pPr>
            <w:r w:rsidRPr="0062274D">
              <w:rPr>
                <w:rFonts w:ascii="Calibri" w:eastAsia="Times New Roman" w:hAnsi="Calibri" w:cs="Times New Roman"/>
                <w:color w:val="3333CC"/>
              </w:rPr>
              <w:t xml:space="preserve">           2,795 </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120.93</w:t>
            </w:r>
          </w:p>
        </w:tc>
        <w:tc>
          <w:tcPr>
            <w:tcW w:w="990" w:type="dxa"/>
            <w:tcBorders>
              <w:top w:val="single" w:sz="4" w:space="0" w:color="auto"/>
              <w:left w:val="single" w:sz="4" w:space="0" w:color="auto"/>
              <w:bottom w:val="single" w:sz="4" w:space="0" w:color="auto"/>
              <w:right w:val="single" w:sz="8" w:space="0" w:color="auto"/>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61.82</w:t>
            </w:r>
          </w:p>
        </w:tc>
        <w:tc>
          <w:tcPr>
            <w:tcW w:w="990" w:type="dxa"/>
            <w:tcBorders>
              <w:top w:val="single" w:sz="4" w:space="0" w:color="auto"/>
              <w:left w:val="nil"/>
              <w:bottom w:val="single" w:sz="8" w:space="0" w:color="auto"/>
              <w:right w:val="nil"/>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26.65</w:t>
            </w:r>
          </w:p>
        </w:tc>
        <w:tc>
          <w:tcPr>
            <w:tcW w:w="990" w:type="dxa"/>
            <w:tcBorders>
              <w:top w:val="single" w:sz="4" w:space="0" w:color="auto"/>
              <w:left w:val="single" w:sz="4" w:space="0" w:color="auto"/>
              <w:bottom w:val="single" w:sz="8" w:space="0" w:color="auto"/>
              <w:right w:val="nil"/>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77.76</w:t>
            </w:r>
          </w:p>
        </w:tc>
        <w:tc>
          <w:tcPr>
            <w:tcW w:w="1080" w:type="dxa"/>
            <w:tcBorders>
              <w:top w:val="single" w:sz="4" w:space="0" w:color="auto"/>
              <w:left w:val="single" w:sz="4" w:space="0" w:color="auto"/>
              <w:bottom w:val="single" w:sz="8" w:space="0" w:color="auto"/>
              <w:right w:val="nil"/>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115</w:t>
            </w:r>
          </w:p>
        </w:tc>
        <w:tc>
          <w:tcPr>
            <w:tcW w:w="1080" w:type="dxa"/>
            <w:tcBorders>
              <w:top w:val="single" w:sz="4" w:space="0" w:color="auto"/>
              <w:left w:val="single" w:sz="4" w:space="0" w:color="auto"/>
              <w:bottom w:val="single" w:sz="8" w:space="0" w:color="auto"/>
              <w:right w:val="nil"/>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158.73</w:t>
            </w:r>
          </w:p>
        </w:tc>
        <w:tc>
          <w:tcPr>
            <w:tcW w:w="1170" w:type="dxa"/>
            <w:tcBorders>
              <w:top w:val="single" w:sz="4" w:space="0" w:color="auto"/>
              <w:left w:val="single" w:sz="4" w:space="0" w:color="auto"/>
              <w:bottom w:val="single" w:sz="8" w:space="0" w:color="auto"/>
              <w:right w:val="single" w:sz="8" w:space="0" w:color="auto"/>
            </w:tcBorders>
            <w:shd w:val="clear" w:color="auto" w:fill="auto"/>
            <w:hideMark/>
          </w:tcPr>
          <w:p w:rsidR="00FF234B" w:rsidRPr="0062274D" w:rsidRDefault="00FF234B" w:rsidP="00997A0C">
            <w:pPr>
              <w:spacing w:after="0" w:line="240" w:lineRule="auto"/>
              <w:jc w:val="center"/>
              <w:rPr>
                <w:rFonts w:ascii="Calibri" w:eastAsia="Times New Roman" w:hAnsi="Calibri" w:cs="Times New Roman"/>
                <w:color w:val="3333CC"/>
              </w:rPr>
            </w:pPr>
            <w:r w:rsidRPr="0062274D">
              <w:rPr>
                <w:rFonts w:ascii="Calibri" w:eastAsia="Times New Roman" w:hAnsi="Calibri" w:cs="Times New Roman"/>
                <w:color w:val="3333CC"/>
              </w:rPr>
              <w:t>236.46</w:t>
            </w:r>
          </w:p>
        </w:tc>
      </w:tr>
    </w:tbl>
    <w:p w:rsidR="00FF234B" w:rsidRPr="00437D4B" w:rsidRDefault="00FF234B" w:rsidP="00FF234B">
      <w:pPr>
        <w:spacing w:after="0" w:line="200" w:lineRule="exact"/>
        <w:ind w:left="90" w:right="800"/>
        <w:rPr>
          <w:color w:val="0000FF"/>
          <w:sz w:val="18"/>
          <w:szCs w:val="18"/>
        </w:rPr>
      </w:pPr>
      <w:r w:rsidRPr="00437D4B">
        <w:rPr>
          <w:color w:val="0000FF"/>
          <w:sz w:val="18"/>
          <w:szCs w:val="18"/>
        </w:rPr>
        <w:t xml:space="preserve">Source: HCUP State Inpatient Databases (SID). Healthcare Cost and </w:t>
      </w:r>
      <w:r>
        <w:rPr>
          <w:color w:val="0000FF"/>
          <w:sz w:val="18"/>
          <w:szCs w:val="18"/>
        </w:rPr>
        <w:t xml:space="preserve">Utilization Project (HCUP). </w:t>
      </w:r>
      <w:proofErr w:type="gramStart"/>
      <w:r>
        <w:rPr>
          <w:color w:val="0000FF"/>
          <w:sz w:val="18"/>
          <w:szCs w:val="18"/>
        </w:rPr>
        <w:t>2008-2012</w:t>
      </w:r>
      <w:r w:rsidRPr="00437D4B">
        <w:rPr>
          <w:color w:val="0000FF"/>
          <w:sz w:val="18"/>
          <w:szCs w:val="18"/>
        </w:rPr>
        <w:t>. Agency for Healthcare Research and Quality, Rockville, MD.</w:t>
      </w:r>
      <w:proofErr w:type="gramEnd"/>
      <w:r w:rsidRPr="00437D4B">
        <w:rPr>
          <w:color w:val="0000FF"/>
          <w:sz w:val="18"/>
          <w:szCs w:val="18"/>
        </w:rPr>
        <w:t xml:space="preserve"> www.hcup-us.ahrq.gov/sidoverview.jsp. (AHRQ QI Software Version 4.5)</w:t>
      </w:r>
    </w:p>
    <w:p w:rsidR="00FF234B" w:rsidRDefault="00FF234B" w:rsidP="00FF234B">
      <w:pPr>
        <w:spacing w:after="0" w:line="200" w:lineRule="exact"/>
        <w:ind w:left="90" w:right="800"/>
        <w:rPr>
          <w:color w:val="0000FF"/>
          <w:sz w:val="18"/>
          <w:szCs w:val="18"/>
        </w:rPr>
      </w:pPr>
      <w:r w:rsidRPr="00437D4B">
        <w:rPr>
          <w:color w:val="0000FF"/>
          <w:sz w:val="18"/>
          <w:szCs w:val="18"/>
          <w:vertAlign w:val="superscript"/>
        </w:rPr>
        <w:t>1</w:t>
      </w:r>
      <w:r w:rsidRPr="00437D4B">
        <w:rPr>
          <w:color w:val="0000FF"/>
          <w:sz w:val="18"/>
          <w:szCs w:val="18"/>
        </w:rPr>
        <w:t xml:space="preserve">The observed rate refers to the total rate for all observations included in the reference population data (numerator) divided the total combined population of all counties included in the reference population data (denominator). </w:t>
      </w:r>
    </w:p>
    <w:p w:rsidR="002B5016" w:rsidRDefault="00FF234B" w:rsidP="00FF234B">
      <w:pPr>
        <w:autoSpaceDE w:val="0"/>
        <w:autoSpaceDN w:val="0"/>
        <w:adjustRightInd w:val="0"/>
        <w:spacing w:after="0" w:line="240" w:lineRule="auto"/>
        <w:rPr>
          <w:color w:val="0000FF"/>
          <w:sz w:val="18"/>
          <w:szCs w:val="18"/>
        </w:rPr>
      </w:pPr>
      <w:r>
        <w:rPr>
          <w:color w:val="0000FF"/>
          <w:sz w:val="18"/>
          <w:szCs w:val="18"/>
          <w:vertAlign w:val="superscript"/>
        </w:rPr>
        <w:t>2</w:t>
      </w:r>
      <w:r>
        <w:rPr>
          <w:color w:val="0000FF"/>
          <w:sz w:val="18"/>
          <w:szCs w:val="18"/>
        </w:rPr>
        <w:t>The distribution of area rates</w:t>
      </w:r>
      <w:r w:rsidRPr="00437D4B">
        <w:rPr>
          <w:color w:val="0000FF"/>
          <w:sz w:val="18"/>
          <w:szCs w:val="18"/>
        </w:rPr>
        <w:t xml:space="preserve"> </w:t>
      </w:r>
      <w:r>
        <w:rPr>
          <w:color w:val="0000FF"/>
          <w:sz w:val="18"/>
          <w:szCs w:val="18"/>
        </w:rPr>
        <w:t>reports the mean and standard deviation (SD) of the observed rates for all counties included in the dataset, as well as the observed rate for counties in the 5</w:t>
      </w:r>
      <w:r w:rsidRPr="00B92024">
        <w:rPr>
          <w:color w:val="0000FF"/>
          <w:sz w:val="18"/>
          <w:szCs w:val="18"/>
          <w:vertAlign w:val="superscript"/>
        </w:rPr>
        <w:t>th</w:t>
      </w:r>
      <w:r>
        <w:rPr>
          <w:color w:val="0000FF"/>
          <w:sz w:val="18"/>
          <w:szCs w:val="18"/>
        </w:rPr>
        <w:t>, 25</w:t>
      </w:r>
      <w:r w:rsidRPr="00B92024">
        <w:rPr>
          <w:color w:val="0000FF"/>
          <w:sz w:val="18"/>
          <w:szCs w:val="18"/>
          <w:vertAlign w:val="superscript"/>
        </w:rPr>
        <w:t>th</w:t>
      </w:r>
      <w:r>
        <w:rPr>
          <w:color w:val="0000FF"/>
          <w:sz w:val="18"/>
          <w:szCs w:val="18"/>
        </w:rPr>
        <w:t>, 50</w:t>
      </w:r>
      <w:r w:rsidRPr="00B92024">
        <w:rPr>
          <w:color w:val="0000FF"/>
          <w:sz w:val="18"/>
          <w:szCs w:val="18"/>
          <w:vertAlign w:val="superscript"/>
        </w:rPr>
        <w:t>th</w:t>
      </w:r>
      <w:r>
        <w:rPr>
          <w:color w:val="0000FF"/>
          <w:sz w:val="18"/>
          <w:szCs w:val="18"/>
        </w:rPr>
        <w:t xml:space="preserve"> (median), 75</w:t>
      </w:r>
      <w:r w:rsidRPr="00B92024">
        <w:rPr>
          <w:color w:val="0000FF"/>
          <w:sz w:val="18"/>
          <w:szCs w:val="18"/>
          <w:vertAlign w:val="superscript"/>
        </w:rPr>
        <w:t>th</w:t>
      </w:r>
      <w:r>
        <w:rPr>
          <w:color w:val="0000FF"/>
          <w:sz w:val="18"/>
          <w:szCs w:val="18"/>
        </w:rPr>
        <w:t>, and 95</w:t>
      </w:r>
      <w:r w:rsidRPr="00B92024">
        <w:rPr>
          <w:color w:val="0000FF"/>
          <w:sz w:val="18"/>
          <w:szCs w:val="18"/>
          <w:vertAlign w:val="superscript"/>
        </w:rPr>
        <w:t>th</w:t>
      </w:r>
      <w:r>
        <w:rPr>
          <w:color w:val="0000FF"/>
          <w:sz w:val="18"/>
          <w:szCs w:val="18"/>
        </w:rPr>
        <w:t xml:space="preserve"> percentile. Note: Counties with rates outside of 1.5*interquartile range are excluded as outliers.</w:t>
      </w:r>
    </w:p>
    <w:p w:rsidR="00FF234B" w:rsidRPr="00A25024" w:rsidRDefault="00FF234B" w:rsidP="00FF234B">
      <w:pPr>
        <w:autoSpaceDE w:val="0"/>
        <w:autoSpaceDN w:val="0"/>
        <w:adjustRightInd w:val="0"/>
        <w:spacing w:after="0" w:line="240" w:lineRule="auto"/>
        <w:rPr>
          <w:rFonts w:cstheme="minorHAnsi"/>
          <w:bCs/>
        </w:rPr>
      </w:pPr>
    </w:p>
    <w:p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rsidR="00FF234B" w:rsidRPr="00FF234B" w:rsidRDefault="00FF234B" w:rsidP="00DB3627">
      <w:pPr>
        <w:autoSpaceDE w:val="0"/>
        <w:autoSpaceDN w:val="0"/>
        <w:adjustRightInd w:val="0"/>
        <w:spacing w:after="0" w:line="240" w:lineRule="auto"/>
        <w:rPr>
          <w:rFonts w:cstheme="minorHAnsi"/>
          <w:bCs/>
          <w:color w:val="3333CC"/>
        </w:rPr>
      </w:pPr>
      <w:r w:rsidRPr="00FF234B">
        <w:rPr>
          <w:rFonts w:cstheme="minorHAnsi"/>
          <w:bCs/>
          <w:color w:val="3333CC"/>
        </w:rPr>
        <w:t>See 1.5 (Table 1)</w:t>
      </w:r>
    </w:p>
    <w:p w:rsidR="00FF234B" w:rsidRDefault="00FF234B"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FF234B" w:rsidRDefault="00FF234B" w:rsidP="00E37E1B">
      <w:pPr>
        <w:autoSpaceDE w:val="0"/>
        <w:autoSpaceDN w:val="0"/>
        <w:adjustRightInd w:val="0"/>
        <w:spacing w:after="0" w:line="240" w:lineRule="auto"/>
        <w:rPr>
          <w:rFonts w:cstheme="minorHAnsi"/>
          <w:bCs/>
        </w:rPr>
      </w:pPr>
    </w:p>
    <w:p w:rsidR="00FF234B" w:rsidRPr="00FF234B" w:rsidRDefault="00FF234B" w:rsidP="00E37E1B">
      <w:pPr>
        <w:autoSpaceDE w:val="0"/>
        <w:autoSpaceDN w:val="0"/>
        <w:adjustRightInd w:val="0"/>
        <w:spacing w:after="0" w:line="240" w:lineRule="auto"/>
        <w:rPr>
          <w:rFonts w:cstheme="minorHAnsi"/>
          <w:bCs/>
          <w:color w:val="3333CC"/>
        </w:rPr>
      </w:pPr>
      <w:r w:rsidRPr="00FF234B">
        <w:rPr>
          <w:rFonts w:cstheme="minorHAnsi"/>
          <w:bCs/>
          <w:color w:val="3333CC"/>
        </w:rPr>
        <w:t xml:space="preserve">Table 1 includes 2012 data. </w:t>
      </w:r>
      <w:proofErr w:type="gramStart"/>
      <w:r w:rsidRPr="00FF234B">
        <w:rPr>
          <w:rFonts w:cstheme="minorHAnsi"/>
          <w:bCs/>
          <w:color w:val="3333CC"/>
        </w:rPr>
        <w:t>All other testing use 2007-2011 data.</w:t>
      </w:r>
      <w:proofErr w:type="gramEnd"/>
      <w:r w:rsidRPr="00FF234B">
        <w:rPr>
          <w:rFonts w:cstheme="minorHAnsi"/>
          <w:bCs/>
          <w:color w:val="3333CC"/>
        </w:rPr>
        <w:t xml:space="preserve"> </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lastRenderedPageBreak/>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B94D55">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8C54A9" w:rsidRDefault="008C54A9" w:rsidP="008C54A9">
      <w:pPr>
        <w:autoSpaceDE w:val="0"/>
        <w:autoSpaceDN w:val="0"/>
        <w:adjustRightInd w:val="0"/>
        <w:spacing w:after="0" w:line="240" w:lineRule="auto"/>
        <w:rPr>
          <w:rFonts w:cstheme="minorHAnsi"/>
          <w:bCs/>
        </w:rPr>
      </w:pPr>
    </w:p>
    <w:p w:rsidR="00B94D55" w:rsidRDefault="00B94D55" w:rsidP="00B94D55">
      <w:pPr>
        <w:rPr>
          <w:color w:val="1F497D" w:themeColor="text2"/>
        </w:rPr>
      </w:pPr>
      <w:r>
        <w:rPr>
          <w:color w:val="1F497D" w:themeColor="text2"/>
        </w:rPr>
        <w:t xml:space="preserve">We evaluate the reliability of risk-adjusted rates using a signal-to-noise ratio metric.  The unit of analysis is the county.  The noise measure is defined as the within-county variance, which is computed using a formula for the approximation for the variance of adjusted rates that is based on the observed and expected rates (See empirical methods document for details, or, for example </w:t>
      </w:r>
      <w:proofErr w:type="spellStart"/>
      <w:r>
        <w:rPr>
          <w:color w:val="1F497D" w:themeColor="text2"/>
        </w:rPr>
        <w:t>Hosmer</w:t>
      </w:r>
      <w:proofErr w:type="spellEnd"/>
      <w:r>
        <w:rPr>
          <w:color w:val="1F497D" w:themeColor="text2"/>
        </w:rPr>
        <w:t xml:space="preserve"> and </w:t>
      </w:r>
      <w:proofErr w:type="spellStart"/>
      <w:r>
        <w:rPr>
          <w:color w:val="1F497D" w:themeColor="text2"/>
        </w:rPr>
        <w:t>Lemeshow</w:t>
      </w:r>
      <w:proofErr w:type="spellEnd"/>
      <w:r>
        <w:rPr>
          <w:color w:val="1F497D" w:themeColor="text2"/>
        </w:rPr>
        <w:t>, Stat Med. 1995).   The signal measure is defined as the variance between counties.  Signal-to-noise is computed for each county as (signal / (signal + noise)).  The overall signal-to-noise ratio is the weighted average of the county-specific signal-to-noise ratios where the weights are defined as (1</w:t>
      </w:r>
      <w:proofErr w:type="gramStart"/>
      <w:r>
        <w:rPr>
          <w:color w:val="1F497D" w:themeColor="text2"/>
        </w:rPr>
        <w:t>/(</w:t>
      </w:r>
      <w:proofErr w:type="spellStart"/>
      <w:proofErr w:type="gramEnd"/>
      <w:r>
        <w:rPr>
          <w:color w:val="1F497D" w:themeColor="text2"/>
        </w:rPr>
        <w:t>signal+noise</w:t>
      </w:r>
      <w:proofErr w:type="spellEnd"/>
      <w:r>
        <w:rPr>
          <w:color w:val="1F497D" w:themeColor="text2"/>
        </w:rPr>
        <w:t>)^2).</w:t>
      </w:r>
    </w:p>
    <w:p w:rsidR="00B94D55" w:rsidRDefault="00B94D55" w:rsidP="00B94D55">
      <w:pPr>
        <w:rPr>
          <w:color w:val="1F497D" w:themeColor="text2"/>
        </w:rPr>
      </w:pPr>
      <w:r>
        <w:rPr>
          <w:color w:val="1F497D" w:themeColor="text2"/>
        </w:rPr>
        <w:t>[</w:t>
      </w:r>
      <w:proofErr w:type="spellStart"/>
      <w:r w:rsidRPr="006D3858">
        <w:rPr>
          <w:color w:val="1F497D" w:themeColor="text2"/>
        </w:rPr>
        <w:t>Hosmer</w:t>
      </w:r>
      <w:proofErr w:type="spellEnd"/>
      <w:r w:rsidRPr="006D3858">
        <w:rPr>
          <w:color w:val="1F497D" w:themeColor="text2"/>
        </w:rPr>
        <w:t xml:space="preserve"> D and </w:t>
      </w:r>
      <w:proofErr w:type="spellStart"/>
      <w:r w:rsidRPr="006D3858">
        <w:rPr>
          <w:color w:val="1F497D" w:themeColor="text2"/>
        </w:rPr>
        <w:t>L</w:t>
      </w:r>
      <w:r>
        <w:rPr>
          <w:color w:val="1F497D" w:themeColor="text2"/>
        </w:rPr>
        <w:t>emeshow</w:t>
      </w:r>
      <w:proofErr w:type="spellEnd"/>
      <w:r>
        <w:rPr>
          <w:color w:val="1F497D" w:themeColor="text2"/>
        </w:rPr>
        <w:t xml:space="preserve"> S. Confidence Interval </w:t>
      </w:r>
      <w:r w:rsidRPr="006D3858">
        <w:rPr>
          <w:color w:val="1F497D" w:themeColor="text2"/>
        </w:rPr>
        <w:t>Estimates of an Index of an Index of Quality Performance Based on Logistic Re</w:t>
      </w:r>
      <w:r>
        <w:rPr>
          <w:color w:val="1F497D" w:themeColor="text2"/>
        </w:rPr>
        <w:t xml:space="preserve">gression Models. </w:t>
      </w:r>
      <w:proofErr w:type="gramStart"/>
      <w:r>
        <w:rPr>
          <w:color w:val="1F497D" w:themeColor="text2"/>
        </w:rPr>
        <w:t xml:space="preserve">Statistics in </w:t>
      </w:r>
      <w:r w:rsidRPr="006D3858">
        <w:rPr>
          <w:color w:val="1F497D" w:themeColor="text2"/>
        </w:rPr>
        <w:t>Medicine, Volume 14, 2161-2172 (1995).</w:t>
      </w:r>
      <w:r>
        <w:rPr>
          <w:color w:val="1F497D" w:themeColor="text2"/>
        </w:rPr>
        <w:t>]</w:t>
      </w:r>
      <w:proofErr w:type="gramEnd"/>
    </w:p>
    <w:p w:rsidR="00B94D55" w:rsidRDefault="00B94D55" w:rsidP="008C54A9">
      <w:pPr>
        <w:autoSpaceDE w:val="0"/>
        <w:autoSpaceDN w:val="0"/>
        <w:adjustRightInd w:val="0"/>
        <w:spacing w:after="0" w:line="240" w:lineRule="auto"/>
        <w:rPr>
          <w:rFonts w:cstheme="minorHAnsi"/>
          <w:bCs/>
        </w:rPr>
      </w:pPr>
    </w:p>
    <w:p w:rsidR="00B94D55" w:rsidRPr="00A25024" w:rsidRDefault="00B94D55" w:rsidP="008C54A9">
      <w:pPr>
        <w:autoSpaceDE w:val="0"/>
        <w:autoSpaceDN w:val="0"/>
        <w:adjustRightInd w:val="0"/>
        <w:spacing w:after="0" w:line="240" w:lineRule="auto"/>
        <w:rPr>
          <w:rFonts w:cstheme="minorHAnsi"/>
          <w:bCs/>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997A0C" w:rsidRPr="00997A0C" w:rsidRDefault="00997A0C" w:rsidP="00997A0C">
      <w:pPr>
        <w:autoSpaceDE w:val="0"/>
        <w:autoSpaceDN w:val="0"/>
        <w:adjustRightInd w:val="0"/>
        <w:spacing w:after="0" w:line="240" w:lineRule="auto"/>
        <w:rPr>
          <w:rFonts w:ascii="Calibri" w:hAnsi="Calibri"/>
          <w:sz w:val="24"/>
          <w:szCs w:val="24"/>
        </w:rPr>
        <w:sectPr w:rsidR="00997A0C" w:rsidRPr="00997A0C">
          <w:pgSz w:w="12240" w:h="16340"/>
          <w:pgMar w:top="1175" w:right="1109" w:bottom="670" w:left="1215" w:header="720" w:footer="720" w:gutter="0"/>
          <w:cols w:space="720"/>
          <w:noEndnote/>
        </w:sectPr>
      </w:pPr>
    </w:p>
    <w:tbl>
      <w:tblPr>
        <w:tblStyle w:val="TableGrid"/>
        <w:tblW w:w="0" w:type="auto"/>
        <w:tblLayout w:type="fixed"/>
        <w:tblLook w:val="0000" w:firstRow="0" w:lastRow="0" w:firstColumn="0" w:lastColumn="0" w:noHBand="0" w:noVBand="0"/>
      </w:tblPr>
      <w:tblGrid>
        <w:gridCol w:w="1915"/>
        <w:gridCol w:w="1915"/>
        <w:gridCol w:w="1915"/>
        <w:gridCol w:w="1915"/>
        <w:gridCol w:w="1915"/>
      </w:tblGrid>
      <w:tr w:rsidR="00997A0C" w:rsidRPr="00997A0C" w:rsidTr="00997A0C">
        <w:trPr>
          <w:trHeight w:val="811"/>
        </w:trPr>
        <w:tc>
          <w:tcPr>
            <w:tcW w:w="1915" w:type="dxa"/>
            <w:shd w:val="clear" w:color="auto" w:fill="D9D9D9" w:themeFill="background1" w:themeFillShade="D9"/>
          </w:tcPr>
          <w:p w:rsidR="00997A0C" w:rsidRPr="00997A0C" w:rsidRDefault="00997A0C" w:rsidP="00997A0C">
            <w:pPr>
              <w:autoSpaceDE w:val="0"/>
              <w:autoSpaceDN w:val="0"/>
              <w:adjustRightInd w:val="0"/>
              <w:rPr>
                <w:rFonts w:ascii="Calibri" w:hAnsi="Calibri" w:cs="Calibri"/>
                <w:color w:val="000000"/>
              </w:rPr>
            </w:pPr>
            <w:r w:rsidRPr="00997A0C">
              <w:rPr>
                <w:rFonts w:ascii="Calibri" w:hAnsi="Calibri" w:cs="Calibri"/>
                <w:b/>
                <w:bCs/>
                <w:color w:val="0000FF"/>
              </w:rPr>
              <w:lastRenderedPageBreak/>
              <w:t xml:space="preserve">Size Decile </w:t>
            </w:r>
          </w:p>
        </w:tc>
        <w:tc>
          <w:tcPr>
            <w:tcW w:w="1915" w:type="dxa"/>
            <w:shd w:val="clear" w:color="auto" w:fill="D9D9D9" w:themeFill="background1" w:themeFillShade="D9"/>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b/>
                <w:bCs/>
                <w:color w:val="0000FF"/>
              </w:rPr>
              <w:t xml:space="preserve">Number </w:t>
            </w:r>
          </w:p>
          <w:p w:rsidR="00997A0C" w:rsidRPr="00997A0C" w:rsidRDefault="00997A0C" w:rsidP="00997A0C">
            <w:pPr>
              <w:autoSpaceDE w:val="0"/>
              <w:autoSpaceDN w:val="0"/>
              <w:adjustRightInd w:val="0"/>
              <w:rPr>
                <w:rFonts w:ascii="Calibri" w:hAnsi="Calibri" w:cs="Calibri"/>
                <w:color w:val="000000"/>
              </w:rPr>
            </w:pPr>
            <w:r w:rsidRPr="00997A0C">
              <w:rPr>
                <w:rFonts w:ascii="Calibri" w:hAnsi="Calibri" w:cs="Calibri"/>
                <w:b/>
                <w:bCs/>
                <w:color w:val="0000FF"/>
              </w:rPr>
              <w:t xml:space="preserve">of Counties (Areas) </w:t>
            </w:r>
          </w:p>
        </w:tc>
        <w:tc>
          <w:tcPr>
            <w:tcW w:w="1915" w:type="dxa"/>
            <w:shd w:val="clear" w:color="auto" w:fill="D9D9D9" w:themeFill="background1" w:themeFillShade="D9"/>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b/>
                <w:bCs/>
                <w:color w:val="0000FF"/>
              </w:rPr>
              <w:t xml:space="preserve">Ave. Number of </w:t>
            </w:r>
          </w:p>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b/>
                <w:bCs/>
                <w:color w:val="0000FF"/>
              </w:rPr>
              <w:t xml:space="preserve">Persons per County (Area) </w:t>
            </w:r>
          </w:p>
          <w:p w:rsidR="00997A0C" w:rsidRPr="00997A0C" w:rsidRDefault="00997A0C" w:rsidP="00997A0C">
            <w:pPr>
              <w:autoSpaceDE w:val="0"/>
              <w:autoSpaceDN w:val="0"/>
              <w:adjustRightInd w:val="0"/>
              <w:rPr>
                <w:rFonts w:ascii="Calibri" w:hAnsi="Calibri" w:cs="Calibri"/>
                <w:color w:val="000000"/>
              </w:rPr>
            </w:pPr>
            <w:r w:rsidRPr="00997A0C">
              <w:rPr>
                <w:rFonts w:ascii="Calibri" w:hAnsi="Calibri" w:cs="Calibri"/>
                <w:b/>
                <w:bCs/>
                <w:color w:val="0000FF"/>
              </w:rPr>
              <w:t xml:space="preserve">in Decile </w:t>
            </w:r>
          </w:p>
        </w:tc>
        <w:tc>
          <w:tcPr>
            <w:tcW w:w="1915" w:type="dxa"/>
            <w:shd w:val="clear" w:color="auto" w:fill="D9D9D9" w:themeFill="background1" w:themeFillShade="D9"/>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b/>
                <w:bCs/>
                <w:color w:val="0000FF"/>
              </w:rPr>
              <w:t xml:space="preserve">Ave. Signal-to-Noise </w:t>
            </w:r>
          </w:p>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b/>
                <w:bCs/>
                <w:color w:val="0000FF"/>
              </w:rPr>
              <w:t xml:space="preserve">Ratio for Counties (Areas) </w:t>
            </w:r>
          </w:p>
          <w:p w:rsidR="00997A0C" w:rsidRPr="00997A0C" w:rsidRDefault="00997A0C" w:rsidP="00997A0C">
            <w:pPr>
              <w:autoSpaceDE w:val="0"/>
              <w:autoSpaceDN w:val="0"/>
              <w:adjustRightInd w:val="0"/>
              <w:rPr>
                <w:rFonts w:ascii="Calibri" w:hAnsi="Calibri" w:cs="Calibri"/>
                <w:color w:val="000000"/>
              </w:rPr>
            </w:pPr>
            <w:r w:rsidRPr="00997A0C">
              <w:rPr>
                <w:rFonts w:ascii="Calibri" w:hAnsi="Calibri" w:cs="Calibri"/>
                <w:b/>
                <w:bCs/>
                <w:color w:val="0000FF"/>
              </w:rPr>
              <w:t xml:space="preserve">in Decile </w:t>
            </w:r>
          </w:p>
        </w:tc>
        <w:tc>
          <w:tcPr>
            <w:tcW w:w="1915" w:type="dxa"/>
            <w:shd w:val="clear" w:color="auto" w:fill="D9D9D9" w:themeFill="background1" w:themeFillShade="D9"/>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b/>
                <w:bCs/>
                <w:color w:val="0000FF"/>
              </w:rPr>
              <w:t xml:space="preserve">Percent of Signal </w:t>
            </w:r>
          </w:p>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b/>
                <w:bCs/>
                <w:color w:val="0000FF"/>
              </w:rPr>
              <w:t xml:space="preserve">Variance Explained </w:t>
            </w:r>
          </w:p>
          <w:p w:rsidR="00997A0C" w:rsidRPr="00997A0C" w:rsidRDefault="00997A0C" w:rsidP="00997A0C">
            <w:pPr>
              <w:autoSpaceDE w:val="0"/>
              <w:autoSpaceDN w:val="0"/>
              <w:adjustRightInd w:val="0"/>
              <w:rPr>
                <w:rFonts w:ascii="Calibri" w:hAnsi="Calibri" w:cs="Calibri"/>
                <w:color w:val="000000"/>
              </w:rPr>
            </w:pPr>
            <w:r w:rsidRPr="00997A0C">
              <w:rPr>
                <w:rFonts w:ascii="Calibri" w:hAnsi="Calibri" w:cs="Calibri"/>
                <w:b/>
                <w:bCs/>
                <w:color w:val="0000FF"/>
              </w:rPr>
              <w:t xml:space="preserve">by Performance Score </w:t>
            </w:r>
          </w:p>
        </w:tc>
      </w:tr>
      <w:tr w:rsidR="00997A0C" w:rsidRPr="00997A0C" w:rsidTr="00997A0C">
        <w:trPr>
          <w:trHeight w:val="139"/>
        </w:trPr>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1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312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2,278.9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0.68591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0.83966 </w:t>
            </w:r>
          </w:p>
        </w:tc>
      </w:tr>
      <w:tr w:rsidR="00997A0C" w:rsidRPr="00997A0C" w:rsidTr="00997A0C">
        <w:trPr>
          <w:trHeight w:val="139"/>
        </w:trPr>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2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311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5,658.6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0.85517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0.89751 </w:t>
            </w:r>
          </w:p>
        </w:tc>
      </w:tr>
      <w:tr w:rsidR="00997A0C" w:rsidRPr="00997A0C" w:rsidTr="00997A0C">
        <w:trPr>
          <w:trHeight w:val="139"/>
        </w:trPr>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311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8,818.1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0.90016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0.92233 </w:t>
            </w:r>
          </w:p>
        </w:tc>
      </w:tr>
      <w:tr w:rsidR="00997A0C" w:rsidRPr="00997A0C" w:rsidTr="00997A0C">
        <w:trPr>
          <w:trHeight w:val="139"/>
        </w:trPr>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4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311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12,641.6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0.92673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0.93938 </w:t>
            </w:r>
          </w:p>
        </w:tc>
      </w:tr>
      <w:tr w:rsidR="00997A0C" w:rsidRPr="00997A0C" w:rsidTr="00997A0C">
        <w:trPr>
          <w:trHeight w:val="139"/>
        </w:trPr>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5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311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17,290.0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0.94452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0.95207 </w:t>
            </w:r>
          </w:p>
        </w:tc>
      </w:tr>
      <w:tr w:rsidR="00997A0C" w:rsidRPr="00997A0C" w:rsidTr="00997A0C">
        <w:trPr>
          <w:trHeight w:val="139"/>
        </w:trPr>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6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312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23,990.9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0.95852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0.96291 </w:t>
            </w:r>
          </w:p>
        </w:tc>
      </w:tr>
      <w:tr w:rsidR="00997A0C" w:rsidRPr="00997A0C" w:rsidTr="00997A0C">
        <w:trPr>
          <w:trHeight w:val="139"/>
        </w:trPr>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7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311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33,769.2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0.96954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0.97198 </w:t>
            </w:r>
          </w:p>
        </w:tc>
      </w:tr>
      <w:tr w:rsidR="00997A0C" w:rsidRPr="00997A0C" w:rsidTr="00997A0C">
        <w:trPr>
          <w:trHeight w:val="139"/>
        </w:trPr>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8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311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53,202.2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0.97994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0.98104 </w:t>
            </w:r>
          </w:p>
        </w:tc>
      </w:tr>
      <w:tr w:rsidR="00997A0C" w:rsidRPr="00997A0C" w:rsidTr="00997A0C">
        <w:trPr>
          <w:trHeight w:val="139"/>
        </w:trPr>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9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311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103,763.5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0.98887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0.98923 </w:t>
            </w:r>
          </w:p>
        </w:tc>
      </w:tr>
      <w:tr w:rsidR="00997A0C" w:rsidRPr="00997A0C" w:rsidTr="00997A0C">
        <w:trPr>
          <w:trHeight w:val="139"/>
        </w:trPr>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10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311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500,107.3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0.99630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0.99635 </w:t>
            </w:r>
          </w:p>
        </w:tc>
      </w:tr>
      <w:tr w:rsidR="00997A0C" w:rsidRPr="00997A0C" w:rsidTr="00997A0C">
        <w:trPr>
          <w:trHeight w:val="139"/>
        </w:trPr>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Overall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3,112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76,111.5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0.97886 </w:t>
            </w:r>
          </w:p>
        </w:tc>
        <w:tc>
          <w:tcPr>
            <w:tcW w:w="1915" w:type="dxa"/>
          </w:tcPr>
          <w:p w:rsidR="00997A0C" w:rsidRPr="00997A0C" w:rsidRDefault="00997A0C" w:rsidP="00997A0C">
            <w:pPr>
              <w:autoSpaceDE w:val="0"/>
              <w:autoSpaceDN w:val="0"/>
              <w:adjustRightInd w:val="0"/>
              <w:rPr>
                <w:rFonts w:ascii="Calibri" w:hAnsi="Calibri" w:cs="Calibri"/>
                <w:color w:val="0000FF"/>
              </w:rPr>
            </w:pPr>
            <w:r w:rsidRPr="00997A0C">
              <w:rPr>
                <w:rFonts w:ascii="Calibri" w:hAnsi="Calibri" w:cs="Calibri"/>
                <w:color w:val="0000FF"/>
              </w:rPr>
              <w:t xml:space="preserve">0.98927 </w:t>
            </w:r>
          </w:p>
        </w:tc>
      </w:tr>
    </w:tbl>
    <w:p w:rsidR="00997A0C" w:rsidRDefault="00997A0C" w:rsidP="008C54A9">
      <w:pPr>
        <w:autoSpaceDE w:val="0"/>
        <w:autoSpaceDN w:val="0"/>
        <w:adjustRightInd w:val="0"/>
        <w:spacing w:after="0" w:line="240" w:lineRule="auto"/>
        <w:rPr>
          <w:color w:val="0000FF"/>
        </w:rPr>
      </w:pPr>
      <w:r>
        <w:rPr>
          <w:color w:val="0000FF"/>
        </w:rPr>
        <w:t>Source: HCUP State Inpatient Databases (SID). Healthcare Cost and Utilization Project (HCUP). 2011. Agency for Healthcare Research and Quality, Rockville, MD. www.hcup-us.ahrq.gov/sidoverview.jsp. (AHRQ QI Software Version 4.5)</w:t>
      </w:r>
    </w:p>
    <w:p w:rsidR="00997A0C" w:rsidRDefault="00997A0C" w:rsidP="008C54A9">
      <w:pPr>
        <w:autoSpaceDE w:val="0"/>
        <w:autoSpaceDN w:val="0"/>
        <w:adjustRightInd w:val="0"/>
        <w:spacing w:after="0" w:line="240" w:lineRule="auto"/>
        <w:rPr>
          <w:rFonts w:cstheme="minorHAnsi"/>
          <w:bCs/>
        </w:rPr>
      </w:pPr>
    </w:p>
    <w:p w:rsidR="00B94D55" w:rsidRDefault="00B94D55" w:rsidP="008C54A9">
      <w:pPr>
        <w:autoSpaceDE w:val="0"/>
        <w:autoSpaceDN w:val="0"/>
        <w:adjustRightInd w:val="0"/>
        <w:spacing w:after="0" w:line="240" w:lineRule="auto"/>
        <w:rPr>
          <w:color w:val="1F497D" w:themeColor="text2"/>
        </w:rPr>
      </w:pPr>
      <w:r>
        <w:rPr>
          <w:color w:val="1F497D" w:themeColor="text2"/>
        </w:rPr>
        <w:t>We evaluated the signal-to-noise ratio across deciles of county population size.  The overall reliability of the risk adjusted measure is high.  More than 80% of counties had signal-to-noise ratios that exceeded a threshold reliability of 0.80.   Reliability was lower in counties with smaller populations.  The observed signal-to-noise ratios were below 0.80 in counties with populations less than about 2,300 persons.  This finding implies that when rates are smoothed, the rates for counties with smaller populations will be shifted more toward the overall (national) population rate.</w:t>
      </w:r>
    </w:p>
    <w:p w:rsidR="00B94D55" w:rsidRPr="00A25024" w:rsidRDefault="00B94D55" w:rsidP="008C54A9">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997A0C" w:rsidRPr="00A25024" w:rsidRDefault="00997A0C" w:rsidP="00DB3627">
      <w:pPr>
        <w:autoSpaceDE w:val="0"/>
        <w:autoSpaceDN w:val="0"/>
        <w:adjustRightInd w:val="0"/>
        <w:spacing w:after="0" w:line="240" w:lineRule="auto"/>
        <w:rPr>
          <w:rFonts w:cstheme="minorHAnsi"/>
          <w:bCs/>
        </w:rPr>
      </w:pPr>
      <w:r>
        <w:rPr>
          <w:color w:val="0000FF"/>
        </w:rPr>
        <w:t>Overall the risk-adjusted rate is strongly reliable. Based on a norm of a signal-to-noise ratio of 0.80, 80% of areas exceed the norm. Reliability is less than the norm in areas with population less than approximately 2,300 persons, meaning that the performance score is reliability adjusted closer to the shrinkage target in those areas.</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6B47C0"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997A0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6B47C0"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997A0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833325" w:rsidRDefault="00092566" w:rsidP="00DB3627">
      <w:pPr>
        <w:autoSpaceDE w:val="0"/>
        <w:autoSpaceDN w:val="0"/>
        <w:adjustRightInd w:val="0"/>
        <w:spacing w:after="0" w:line="240" w:lineRule="auto"/>
        <w:rPr>
          <w:rFonts w:cstheme="minorHAnsi"/>
          <w:bCs/>
        </w:rPr>
      </w:pPr>
      <w:r w:rsidRPr="003D2D5A">
        <w:rPr>
          <w:rFonts w:cstheme="minorHAnsi"/>
          <w:b/>
          <w:bCs/>
        </w:rPr>
        <w:t>2b2.</w:t>
      </w:r>
      <w:r w:rsidR="007757CE" w:rsidRPr="003D2D5A">
        <w:rPr>
          <w:rFonts w:cstheme="minorHAnsi"/>
          <w:b/>
          <w:bCs/>
        </w:rPr>
        <w:t xml:space="preserve">2. For each level </w:t>
      </w:r>
      <w:r w:rsidR="008F7E67" w:rsidRPr="003D2D5A">
        <w:rPr>
          <w:rFonts w:cstheme="minorHAnsi"/>
          <w:b/>
          <w:bCs/>
        </w:rPr>
        <w:t xml:space="preserve">of testing </w:t>
      </w:r>
      <w:r w:rsidR="007757CE" w:rsidRPr="003D2D5A">
        <w:rPr>
          <w:rFonts w:cstheme="minorHAnsi"/>
          <w:b/>
          <w:bCs/>
        </w:rPr>
        <w:t>checked above, describe the method of validity testing and what it tests</w:t>
      </w:r>
      <w:r w:rsidR="00833325" w:rsidRPr="003D2D5A">
        <w:rPr>
          <w:rFonts w:cstheme="minorHAnsi"/>
          <w:bCs/>
        </w:rPr>
        <w:t xml:space="preserve"> (</w:t>
      </w:r>
      <w:r w:rsidR="007757CE" w:rsidRPr="003D2D5A">
        <w:rPr>
          <w:rFonts w:cstheme="minorHAnsi"/>
          <w:bCs/>
          <w:i/>
        </w:rPr>
        <w:t>describe the steps―</w:t>
      </w:r>
      <w:r w:rsidR="00696262" w:rsidRPr="003D2D5A">
        <w:rPr>
          <w:rFonts w:cstheme="minorHAnsi"/>
          <w:bCs/>
          <w:i/>
        </w:rPr>
        <w:t xml:space="preserve">do </w:t>
      </w:r>
      <w:r w:rsidR="00A25024" w:rsidRPr="003D2D5A">
        <w:rPr>
          <w:rFonts w:cstheme="minorHAnsi"/>
          <w:bCs/>
          <w:i/>
        </w:rPr>
        <w:t xml:space="preserve">not just name a method; what was </w:t>
      </w:r>
      <w:r w:rsidR="00696262" w:rsidRPr="003D2D5A">
        <w:rPr>
          <w:rFonts w:cstheme="minorHAnsi"/>
          <w:bCs/>
          <w:i/>
        </w:rPr>
        <w:t>tested, e.g., accuracy of data elements</w:t>
      </w:r>
      <w:r w:rsidR="00696262" w:rsidRPr="00A25024">
        <w:rPr>
          <w:rFonts w:cstheme="minorHAnsi"/>
          <w:bCs/>
          <w:i/>
        </w:rPr>
        <w:t xml:space="preserve"> </w:t>
      </w:r>
      <w:r w:rsidR="00696262" w:rsidRPr="00A25024">
        <w:rPr>
          <w:rFonts w:cstheme="minorHAnsi"/>
          <w:bCs/>
          <w:i/>
        </w:rPr>
        <w:lastRenderedPageBreak/>
        <w:t>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3A2473" w:rsidRPr="003A2473" w:rsidRDefault="003A2473" w:rsidP="00DB3627">
      <w:pPr>
        <w:autoSpaceDE w:val="0"/>
        <w:autoSpaceDN w:val="0"/>
        <w:adjustRightInd w:val="0"/>
        <w:spacing w:after="0" w:line="240" w:lineRule="auto"/>
        <w:rPr>
          <w:rFonts w:cstheme="minorHAnsi"/>
          <w:b/>
          <w:bCs/>
        </w:rPr>
      </w:pPr>
      <w:r w:rsidRPr="003A2473">
        <w:rPr>
          <w:rFonts w:cstheme="minorHAnsi"/>
          <w:b/>
          <w:bCs/>
        </w:rPr>
        <w:t>Temporal trends of the complexity of numerator cases</w:t>
      </w:r>
    </w:p>
    <w:p w:rsidR="003A2473" w:rsidRDefault="003A2473" w:rsidP="00DB3627">
      <w:pPr>
        <w:autoSpaceDE w:val="0"/>
        <w:autoSpaceDN w:val="0"/>
        <w:adjustRightInd w:val="0"/>
        <w:spacing w:after="0" w:line="240" w:lineRule="auto"/>
        <w:rPr>
          <w:rFonts w:cstheme="minorHAnsi"/>
          <w:bCs/>
        </w:rPr>
      </w:pPr>
    </w:p>
    <w:p w:rsidR="003A2473" w:rsidRPr="00A25024" w:rsidRDefault="003A2473" w:rsidP="00DB3627">
      <w:pPr>
        <w:autoSpaceDE w:val="0"/>
        <w:autoSpaceDN w:val="0"/>
        <w:adjustRightInd w:val="0"/>
        <w:spacing w:after="0" w:line="240" w:lineRule="auto"/>
        <w:rPr>
          <w:rFonts w:cstheme="minorHAnsi"/>
          <w:bCs/>
        </w:rPr>
      </w:pPr>
      <w:r>
        <w:rPr>
          <w:rFonts w:cstheme="minorHAnsi"/>
          <w:bCs/>
        </w:rPr>
        <w:t>We examined the complexity of the numerator cases from 2008 – 2012 using three metrics: 1) the percent of discharges with comorbiditi</w:t>
      </w:r>
      <w:r w:rsidR="00A45770">
        <w:rPr>
          <w:rFonts w:cstheme="minorHAnsi"/>
          <w:bCs/>
        </w:rPr>
        <w:t>es can increase the risk of dehydration, 2) the mean number of comorbidities as defined by the AHRQ Comorbidity Index and 3) the mean age in years</w:t>
      </w:r>
      <w:r>
        <w:rPr>
          <w:rFonts w:cstheme="minorHAnsi"/>
          <w:bCs/>
        </w:rPr>
        <w:t>. The purpose of this analysis is to determine whether</w:t>
      </w:r>
      <w:r w:rsidR="00A45770">
        <w:rPr>
          <w:rFonts w:cstheme="minorHAnsi"/>
          <w:bCs/>
        </w:rPr>
        <w:t xml:space="preserve"> as rates of dehydration hospitalizations have decreased over time, the complexity of the remaining numerator cases has increased over time. </w:t>
      </w:r>
      <w:r w:rsidR="002D008E">
        <w:rPr>
          <w:rFonts w:cstheme="minorHAnsi"/>
          <w:bCs/>
        </w:rPr>
        <w:t>Each of the three complexity metrics was calculate</w:t>
      </w:r>
      <w:r w:rsidR="00181BBE">
        <w:rPr>
          <w:rFonts w:cstheme="minorHAnsi"/>
          <w:bCs/>
        </w:rPr>
        <w:t>d</w:t>
      </w:r>
      <w:r w:rsidR="002D008E">
        <w:rPr>
          <w:rFonts w:cstheme="minorHAnsi"/>
          <w:bCs/>
        </w:rPr>
        <w:t xml:space="preserve"> for each county in the SID; the distribution of the metrics across all counties is provided in Table 5.</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2D008E" w:rsidRPr="002D008E" w:rsidRDefault="002D008E" w:rsidP="00092566">
      <w:pPr>
        <w:autoSpaceDE w:val="0"/>
        <w:autoSpaceDN w:val="0"/>
        <w:adjustRightInd w:val="0"/>
        <w:spacing w:after="0" w:line="240" w:lineRule="auto"/>
        <w:rPr>
          <w:rFonts w:cstheme="minorHAnsi"/>
          <w:b/>
          <w:bCs/>
        </w:rPr>
      </w:pPr>
      <w:proofErr w:type="gramStart"/>
      <w:r w:rsidRPr="002D008E">
        <w:rPr>
          <w:rFonts w:cstheme="minorHAnsi"/>
          <w:b/>
          <w:bCs/>
        </w:rPr>
        <w:t>Table 5.</w:t>
      </w:r>
      <w:proofErr w:type="gramEnd"/>
      <w:r w:rsidRPr="002D008E">
        <w:rPr>
          <w:rFonts w:cstheme="minorHAnsi"/>
          <w:b/>
          <w:bCs/>
        </w:rPr>
        <w:t xml:space="preserve"> Temporal trends in numerator complexity</w:t>
      </w:r>
      <w:r w:rsidR="003434CF">
        <w:rPr>
          <w:rFonts w:cstheme="minorHAnsi"/>
          <w:b/>
          <w:bCs/>
        </w:rPr>
        <w:t xml:space="preserve"> (PQI 10) </w:t>
      </w:r>
    </w:p>
    <w:tbl>
      <w:tblPr>
        <w:tblStyle w:val="TableGrid"/>
        <w:tblW w:w="5000" w:type="pct"/>
        <w:tblLayout w:type="fixed"/>
        <w:tblLook w:val="04A0" w:firstRow="1" w:lastRow="0" w:firstColumn="1" w:lastColumn="0" w:noHBand="0" w:noVBand="1"/>
      </w:tblPr>
      <w:tblGrid>
        <w:gridCol w:w="1729"/>
        <w:gridCol w:w="803"/>
        <w:gridCol w:w="810"/>
        <w:gridCol w:w="802"/>
        <w:gridCol w:w="806"/>
        <w:gridCol w:w="802"/>
        <w:gridCol w:w="806"/>
        <w:gridCol w:w="802"/>
        <w:gridCol w:w="714"/>
        <w:gridCol w:w="747"/>
        <w:gridCol w:w="755"/>
      </w:tblGrid>
      <w:tr w:rsidR="003A2473" w:rsidRPr="00EC6FE0" w:rsidTr="003434CF">
        <w:trPr>
          <w:trHeight w:val="288"/>
        </w:trPr>
        <w:tc>
          <w:tcPr>
            <w:tcW w:w="902" w:type="pct"/>
            <w:vMerge w:val="restart"/>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r w:rsidRPr="00EC6FE0">
              <w:rPr>
                <w:rFonts w:eastAsia="Times New Roman" w:cs="Times New Roman"/>
                <w:color w:val="000000"/>
                <w:sz w:val="20"/>
                <w:szCs w:val="20"/>
              </w:rPr>
              <w:t> </w:t>
            </w:r>
          </w:p>
        </w:tc>
        <w:tc>
          <w:tcPr>
            <w:tcW w:w="842" w:type="pct"/>
            <w:gridSpan w:val="2"/>
            <w:shd w:val="clear" w:color="auto" w:fill="BFBFBF" w:themeFill="background1" w:themeFillShade="BF"/>
            <w:noWrap/>
            <w:hideMark/>
          </w:tcPr>
          <w:p w:rsidR="003A2473" w:rsidRPr="00EC6FE0" w:rsidRDefault="003A2473" w:rsidP="003A2473">
            <w:pPr>
              <w:jc w:val="center"/>
              <w:rPr>
                <w:rFonts w:eastAsia="Times New Roman" w:cs="Times New Roman"/>
                <w:color w:val="000000"/>
                <w:sz w:val="20"/>
                <w:szCs w:val="20"/>
              </w:rPr>
            </w:pPr>
            <w:r w:rsidRPr="00EC6FE0">
              <w:rPr>
                <w:rFonts w:eastAsia="Times New Roman" w:cs="Times New Roman"/>
                <w:color w:val="000000"/>
                <w:sz w:val="20"/>
                <w:szCs w:val="20"/>
              </w:rPr>
              <w:t>2008</w:t>
            </w:r>
          </w:p>
        </w:tc>
        <w:tc>
          <w:tcPr>
            <w:tcW w:w="840" w:type="pct"/>
            <w:gridSpan w:val="2"/>
            <w:shd w:val="clear" w:color="auto" w:fill="BFBFBF" w:themeFill="background1" w:themeFillShade="BF"/>
            <w:noWrap/>
            <w:hideMark/>
          </w:tcPr>
          <w:p w:rsidR="003A2473" w:rsidRPr="00EC6FE0" w:rsidRDefault="003A2473" w:rsidP="003A2473">
            <w:pPr>
              <w:jc w:val="center"/>
              <w:rPr>
                <w:rFonts w:eastAsia="Times New Roman" w:cs="Times New Roman"/>
                <w:color w:val="000000"/>
                <w:sz w:val="20"/>
                <w:szCs w:val="20"/>
              </w:rPr>
            </w:pPr>
            <w:r w:rsidRPr="00EC6FE0">
              <w:rPr>
                <w:rFonts w:eastAsia="Times New Roman" w:cs="Times New Roman"/>
                <w:color w:val="000000"/>
                <w:sz w:val="20"/>
                <w:szCs w:val="20"/>
              </w:rPr>
              <w:t>2009</w:t>
            </w:r>
          </w:p>
        </w:tc>
        <w:tc>
          <w:tcPr>
            <w:tcW w:w="840" w:type="pct"/>
            <w:gridSpan w:val="2"/>
            <w:shd w:val="clear" w:color="auto" w:fill="BFBFBF" w:themeFill="background1" w:themeFillShade="BF"/>
            <w:noWrap/>
            <w:hideMark/>
          </w:tcPr>
          <w:p w:rsidR="003A2473" w:rsidRPr="00EC6FE0" w:rsidRDefault="003A2473" w:rsidP="003A2473">
            <w:pPr>
              <w:jc w:val="center"/>
              <w:rPr>
                <w:rFonts w:eastAsia="Times New Roman" w:cs="Times New Roman"/>
                <w:color w:val="000000"/>
                <w:sz w:val="20"/>
                <w:szCs w:val="20"/>
              </w:rPr>
            </w:pPr>
            <w:r w:rsidRPr="00EC6FE0">
              <w:rPr>
                <w:rFonts w:eastAsia="Times New Roman" w:cs="Times New Roman"/>
                <w:color w:val="000000"/>
                <w:sz w:val="20"/>
                <w:szCs w:val="20"/>
              </w:rPr>
              <w:t>2010</w:t>
            </w:r>
          </w:p>
        </w:tc>
        <w:tc>
          <w:tcPr>
            <w:tcW w:w="792" w:type="pct"/>
            <w:gridSpan w:val="2"/>
            <w:shd w:val="clear" w:color="auto" w:fill="BFBFBF" w:themeFill="background1" w:themeFillShade="BF"/>
            <w:noWrap/>
            <w:hideMark/>
          </w:tcPr>
          <w:p w:rsidR="003A2473" w:rsidRPr="00EC6FE0" w:rsidRDefault="003A2473" w:rsidP="003A2473">
            <w:pPr>
              <w:jc w:val="center"/>
              <w:rPr>
                <w:rFonts w:eastAsia="Times New Roman" w:cs="Times New Roman"/>
                <w:color w:val="000000"/>
                <w:sz w:val="20"/>
                <w:szCs w:val="20"/>
              </w:rPr>
            </w:pPr>
            <w:r w:rsidRPr="00EC6FE0">
              <w:rPr>
                <w:rFonts w:eastAsia="Times New Roman" w:cs="Times New Roman"/>
                <w:color w:val="000000"/>
                <w:sz w:val="20"/>
                <w:szCs w:val="20"/>
              </w:rPr>
              <w:t>2011</w:t>
            </w:r>
          </w:p>
        </w:tc>
        <w:tc>
          <w:tcPr>
            <w:tcW w:w="785" w:type="pct"/>
            <w:gridSpan w:val="2"/>
            <w:shd w:val="clear" w:color="auto" w:fill="BFBFBF" w:themeFill="background1" w:themeFillShade="BF"/>
            <w:noWrap/>
            <w:hideMark/>
          </w:tcPr>
          <w:p w:rsidR="003A2473" w:rsidRPr="00EC6FE0" w:rsidRDefault="003A2473" w:rsidP="003A2473">
            <w:pPr>
              <w:jc w:val="center"/>
              <w:rPr>
                <w:rFonts w:eastAsia="Times New Roman" w:cs="Times New Roman"/>
                <w:color w:val="000000"/>
                <w:sz w:val="20"/>
                <w:szCs w:val="20"/>
              </w:rPr>
            </w:pPr>
            <w:r w:rsidRPr="00EC6FE0">
              <w:rPr>
                <w:rFonts w:eastAsia="Times New Roman" w:cs="Times New Roman"/>
                <w:color w:val="000000"/>
                <w:sz w:val="20"/>
                <w:szCs w:val="20"/>
              </w:rPr>
              <w:t>2012</w:t>
            </w:r>
          </w:p>
        </w:tc>
      </w:tr>
      <w:tr w:rsidR="003A2473" w:rsidRPr="00EC6FE0" w:rsidTr="003434CF">
        <w:trPr>
          <w:trHeight w:val="288"/>
        </w:trPr>
        <w:tc>
          <w:tcPr>
            <w:tcW w:w="902" w:type="pct"/>
            <w:vMerge/>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p>
        </w:tc>
        <w:tc>
          <w:tcPr>
            <w:tcW w:w="419" w:type="pct"/>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r w:rsidRPr="00EC6FE0">
              <w:rPr>
                <w:rFonts w:eastAsia="Times New Roman" w:cs="Times New Roman"/>
                <w:color w:val="000000"/>
                <w:sz w:val="20"/>
                <w:szCs w:val="20"/>
              </w:rPr>
              <w:t>Mean</w:t>
            </w:r>
          </w:p>
        </w:tc>
        <w:tc>
          <w:tcPr>
            <w:tcW w:w="423" w:type="pct"/>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r w:rsidRPr="00EC6FE0">
              <w:rPr>
                <w:rFonts w:eastAsia="Times New Roman" w:cs="Times New Roman"/>
                <w:color w:val="000000"/>
                <w:sz w:val="20"/>
                <w:szCs w:val="20"/>
              </w:rPr>
              <w:t>SD</w:t>
            </w:r>
          </w:p>
        </w:tc>
        <w:tc>
          <w:tcPr>
            <w:tcW w:w="419" w:type="pct"/>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r w:rsidRPr="00EC6FE0">
              <w:rPr>
                <w:rFonts w:eastAsia="Times New Roman" w:cs="Times New Roman"/>
                <w:color w:val="000000"/>
                <w:sz w:val="20"/>
                <w:szCs w:val="20"/>
              </w:rPr>
              <w:t>Mean</w:t>
            </w:r>
          </w:p>
        </w:tc>
        <w:tc>
          <w:tcPr>
            <w:tcW w:w="421" w:type="pct"/>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r w:rsidRPr="00EC6FE0">
              <w:rPr>
                <w:rFonts w:eastAsia="Times New Roman" w:cs="Times New Roman"/>
                <w:color w:val="000000"/>
                <w:sz w:val="20"/>
                <w:szCs w:val="20"/>
              </w:rPr>
              <w:t>SD</w:t>
            </w:r>
          </w:p>
        </w:tc>
        <w:tc>
          <w:tcPr>
            <w:tcW w:w="419" w:type="pct"/>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r w:rsidRPr="00EC6FE0">
              <w:rPr>
                <w:rFonts w:eastAsia="Times New Roman" w:cs="Times New Roman"/>
                <w:color w:val="000000"/>
                <w:sz w:val="20"/>
                <w:szCs w:val="20"/>
              </w:rPr>
              <w:t>Mean</w:t>
            </w:r>
          </w:p>
        </w:tc>
        <w:tc>
          <w:tcPr>
            <w:tcW w:w="421" w:type="pct"/>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r w:rsidRPr="00EC6FE0">
              <w:rPr>
                <w:rFonts w:eastAsia="Times New Roman" w:cs="Times New Roman"/>
                <w:color w:val="000000"/>
                <w:sz w:val="20"/>
                <w:szCs w:val="20"/>
              </w:rPr>
              <w:t>SD</w:t>
            </w:r>
          </w:p>
        </w:tc>
        <w:tc>
          <w:tcPr>
            <w:tcW w:w="419" w:type="pct"/>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r w:rsidRPr="00EC6FE0">
              <w:rPr>
                <w:rFonts w:eastAsia="Times New Roman" w:cs="Times New Roman"/>
                <w:color w:val="000000"/>
                <w:sz w:val="20"/>
                <w:szCs w:val="20"/>
              </w:rPr>
              <w:t>Mean</w:t>
            </w:r>
          </w:p>
        </w:tc>
        <w:tc>
          <w:tcPr>
            <w:tcW w:w="373" w:type="pct"/>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r w:rsidRPr="00EC6FE0">
              <w:rPr>
                <w:rFonts w:eastAsia="Times New Roman" w:cs="Times New Roman"/>
                <w:color w:val="000000"/>
                <w:sz w:val="20"/>
                <w:szCs w:val="20"/>
              </w:rPr>
              <w:t>SD</w:t>
            </w:r>
          </w:p>
        </w:tc>
        <w:tc>
          <w:tcPr>
            <w:tcW w:w="390" w:type="pct"/>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r w:rsidRPr="00EC6FE0">
              <w:rPr>
                <w:rFonts w:eastAsia="Times New Roman" w:cs="Times New Roman"/>
                <w:color w:val="000000"/>
                <w:sz w:val="20"/>
                <w:szCs w:val="20"/>
              </w:rPr>
              <w:t>Mean</w:t>
            </w:r>
          </w:p>
        </w:tc>
        <w:tc>
          <w:tcPr>
            <w:tcW w:w="395" w:type="pct"/>
            <w:shd w:val="clear" w:color="auto" w:fill="BFBFBF" w:themeFill="background1" w:themeFillShade="BF"/>
            <w:noWrap/>
            <w:hideMark/>
          </w:tcPr>
          <w:p w:rsidR="003A2473" w:rsidRPr="00EC6FE0" w:rsidRDefault="003A2473" w:rsidP="00EC6FE0">
            <w:pPr>
              <w:rPr>
                <w:rFonts w:eastAsia="Times New Roman" w:cs="Times New Roman"/>
                <w:color w:val="000000"/>
                <w:sz w:val="20"/>
                <w:szCs w:val="20"/>
              </w:rPr>
            </w:pPr>
            <w:r w:rsidRPr="00EC6FE0">
              <w:rPr>
                <w:rFonts w:eastAsia="Times New Roman" w:cs="Times New Roman"/>
                <w:color w:val="000000"/>
                <w:sz w:val="20"/>
                <w:szCs w:val="20"/>
              </w:rPr>
              <w:t>SD</w:t>
            </w:r>
          </w:p>
        </w:tc>
      </w:tr>
      <w:tr w:rsidR="00EC6FE0" w:rsidRPr="00EC6FE0" w:rsidTr="003A2473">
        <w:trPr>
          <w:trHeight w:val="288"/>
        </w:trPr>
        <w:tc>
          <w:tcPr>
            <w:tcW w:w="5000" w:type="pct"/>
            <w:gridSpan w:val="11"/>
            <w:shd w:val="clear" w:color="auto" w:fill="D9D9D9" w:themeFill="background1" w:themeFillShade="D9"/>
            <w:noWrap/>
          </w:tcPr>
          <w:p w:rsidR="00EC6FE0" w:rsidRPr="002D008E" w:rsidRDefault="00EC6FE0" w:rsidP="00EC6FE0">
            <w:pPr>
              <w:rPr>
                <w:rFonts w:eastAsia="Times New Roman" w:cs="Times New Roman"/>
                <w:color w:val="000000"/>
                <w:sz w:val="20"/>
                <w:szCs w:val="20"/>
                <w:vertAlign w:val="superscript"/>
              </w:rPr>
            </w:pPr>
            <w:r w:rsidRPr="00EC6FE0">
              <w:rPr>
                <w:rFonts w:eastAsia="Times New Roman" w:cs="Times New Roman"/>
                <w:color w:val="000000"/>
                <w:sz w:val="20"/>
                <w:szCs w:val="20"/>
              </w:rPr>
              <w:t>Percent of discharges with comorbidity</w:t>
            </w:r>
            <w:r w:rsidR="002D008E">
              <w:rPr>
                <w:rFonts w:eastAsia="Times New Roman" w:cs="Times New Roman"/>
                <w:color w:val="000000"/>
                <w:sz w:val="20"/>
                <w:szCs w:val="20"/>
                <w:vertAlign w:val="superscript"/>
              </w:rPr>
              <w:t>1</w:t>
            </w:r>
          </w:p>
        </w:tc>
      </w:tr>
      <w:tr w:rsidR="003A2473" w:rsidRPr="00EC6FE0" w:rsidTr="003434CF">
        <w:trPr>
          <w:trHeight w:val="288"/>
        </w:trPr>
        <w:tc>
          <w:tcPr>
            <w:tcW w:w="902" w:type="pct"/>
            <w:noWrap/>
            <w:hideMark/>
          </w:tcPr>
          <w:p w:rsidR="00EC6FE0" w:rsidRPr="00EC6FE0" w:rsidRDefault="00EC6FE0" w:rsidP="00EC6FE0">
            <w:pPr>
              <w:rPr>
                <w:rFonts w:eastAsia="Times New Roman" w:cs="Times New Roman"/>
                <w:color w:val="000000"/>
                <w:sz w:val="20"/>
                <w:szCs w:val="20"/>
              </w:rPr>
            </w:pPr>
            <w:r w:rsidRPr="00EC6FE0">
              <w:rPr>
                <w:rFonts w:eastAsia="Times New Roman" w:cs="Times New Roman"/>
                <w:color w:val="000000"/>
                <w:sz w:val="20"/>
                <w:szCs w:val="20"/>
              </w:rPr>
              <w:t>Heart Failure</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11.8%</w:t>
            </w:r>
          </w:p>
        </w:tc>
        <w:tc>
          <w:tcPr>
            <w:tcW w:w="423"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8.9%</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11.7%</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9.6%</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11.8%</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10.0%</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12.2%</w:t>
            </w:r>
          </w:p>
        </w:tc>
        <w:tc>
          <w:tcPr>
            <w:tcW w:w="373" w:type="pct"/>
            <w:hideMark/>
          </w:tcPr>
          <w:p w:rsidR="00EC6FE0" w:rsidRPr="00EC6FE0" w:rsidRDefault="00EC6FE0" w:rsidP="00EC6FE0">
            <w:pPr>
              <w:jc w:val="center"/>
              <w:rPr>
                <w:rFonts w:eastAsia="Times New Roman" w:cs="Times New Roman"/>
                <w:color w:val="000000"/>
                <w:sz w:val="20"/>
                <w:szCs w:val="20"/>
              </w:rPr>
            </w:pPr>
            <w:r w:rsidRPr="00EC6FE0">
              <w:rPr>
                <w:rFonts w:eastAsia="Times New Roman" w:cs="Times New Roman"/>
                <w:color w:val="000000"/>
                <w:sz w:val="20"/>
                <w:szCs w:val="20"/>
              </w:rPr>
              <w:t>10.9%</w:t>
            </w:r>
          </w:p>
        </w:tc>
        <w:tc>
          <w:tcPr>
            <w:tcW w:w="390"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12.1%</w:t>
            </w:r>
          </w:p>
        </w:tc>
        <w:tc>
          <w:tcPr>
            <w:tcW w:w="395"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10.4%</w:t>
            </w:r>
          </w:p>
        </w:tc>
      </w:tr>
      <w:tr w:rsidR="003A2473" w:rsidRPr="00EC6FE0" w:rsidTr="003434CF">
        <w:trPr>
          <w:trHeight w:val="288"/>
        </w:trPr>
        <w:tc>
          <w:tcPr>
            <w:tcW w:w="902" w:type="pct"/>
            <w:noWrap/>
            <w:hideMark/>
          </w:tcPr>
          <w:p w:rsidR="00EC6FE0" w:rsidRPr="00EC6FE0" w:rsidRDefault="00EC6FE0" w:rsidP="00EC6FE0">
            <w:pPr>
              <w:rPr>
                <w:rFonts w:eastAsia="Times New Roman" w:cs="Times New Roman"/>
                <w:color w:val="000000"/>
                <w:sz w:val="20"/>
                <w:szCs w:val="20"/>
              </w:rPr>
            </w:pPr>
            <w:r w:rsidRPr="00EC6FE0">
              <w:rPr>
                <w:rFonts w:eastAsia="Times New Roman" w:cs="Times New Roman"/>
                <w:color w:val="000000"/>
                <w:sz w:val="20"/>
                <w:szCs w:val="20"/>
              </w:rPr>
              <w:t>Diabetes</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26.1%</w:t>
            </w:r>
          </w:p>
        </w:tc>
        <w:tc>
          <w:tcPr>
            <w:tcW w:w="423"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12.7%</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26.5%</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13.6%</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27.1%</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13.6%</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28.3%</w:t>
            </w:r>
          </w:p>
        </w:tc>
        <w:tc>
          <w:tcPr>
            <w:tcW w:w="373" w:type="pct"/>
            <w:hideMark/>
          </w:tcPr>
          <w:p w:rsidR="00EC6FE0" w:rsidRPr="00EC6FE0" w:rsidRDefault="00EC6FE0" w:rsidP="00EC6FE0">
            <w:pPr>
              <w:jc w:val="center"/>
              <w:rPr>
                <w:rFonts w:eastAsia="Times New Roman" w:cs="Times New Roman"/>
                <w:color w:val="000000"/>
                <w:sz w:val="20"/>
                <w:szCs w:val="20"/>
              </w:rPr>
            </w:pPr>
            <w:r w:rsidRPr="00EC6FE0">
              <w:rPr>
                <w:rFonts w:eastAsia="Times New Roman" w:cs="Times New Roman"/>
                <w:color w:val="000000"/>
                <w:sz w:val="20"/>
                <w:szCs w:val="20"/>
              </w:rPr>
              <w:t>14.7%</w:t>
            </w:r>
          </w:p>
        </w:tc>
        <w:tc>
          <w:tcPr>
            <w:tcW w:w="390"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28.4%</w:t>
            </w:r>
          </w:p>
        </w:tc>
        <w:tc>
          <w:tcPr>
            <w:tcW w:w="395"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14.8%</w:t>
            </w:r>
          </w:p>
        </w:tc>
      </w:tr>
      <w:tr w:rsidR="003A2473" w:rsidRPr="00EC6FE0" w:rsidTr="003434CF">
        <w:trPr>
          <w:trHeight w:val="288"/>
        </w:trPr>
        <w:tc>
          <w:tcPr>
            <w:tcW w:w="902" w:type="pct"/>
            <w:noWrap/>
            <w:hideMark/>
          </w:tcPr>
          <w:p w:rsidR="00EC6FE0" w:rsidRPr="00EC6FE0" w:rsidRDefault="00EC6FE0" w:rsidP="00EC6FE0">
            <w:pPr>
              <w:rPr>
                <w:rFonts w:eastAsia="Times New Roman" w:cs="Times New Roman"/>
                <w:color w:val="000000"/>
                <w:sz w:val="20"/>
                <w:szCs w:val="20"/>
              </w:rPr>
            </w:pPr>
            <w:r w:rsidRPr="00EC6FE0">
              <w:rPr>
                <w:rFonts w:eastAsia="Times New Roman" w:cs="Times New Roman"/>
                <w:color w:val="000000"/>
                <w:sz w:val="20"/>
                <w:szCs w:val="20"/>
              </w:rPr>
              <w:t xml:space="preserve">Renal Failure </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3.2%</w:t>
            </w:r>
          </w:p>
        </w:tc>
        <w:tc>
          <w:tcPr>
            <w:tcW w:w="423"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5.9%</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3.3%</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6.3%</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3.4%</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5.6%</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2.9%</w:t>
            </w:r>
          </w:p>
        </w:tc>
        <w:tc>
          <w:tcPr>
            <w:tcW w:w="373" w:type="pct"/>
            <w:hideMark/>
          </w:tcPr>
          <w:p w:rsidR="00EC6FE0" w:rsidRPr="00EC6FE0" w:rsidRDefault="00EC6FE0" w:rsidP="00EC6FE0">
            <w:pPr>
              <w:jc w:val="center"/>
              <w:rPr>
                <w:rFonts w:eastAsia="Times New Roman" w:cs="Times New Roman"/>
                <w:color w:val="000000"/>
                <w:sz w:val="20"/>
                <w:szCs w:val="20"/>
              </w:rPr>
            </w:pPr>
            <w:r w:rsidRPr="00EC6FE0">
              <w:rPr>
                <w:rFonts w:eastAsia="Times New Roman" w:cs="Times New Roman"/>
                <w:color w:val="000000"/>
                <w:sz w:val="20"/>
                <w:szCs w:val="20"/>
              </w:rPr>
              <w:t>5.3%</w:t>
            </w:r>
          </w:p>
        </w:tc>
        <w:tc>
          <w:tcPr>
            <w:tcW w:w="390"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2.8%</w:t>
            </w:r>
          </w:p>
        </w:tc>
        <w:tc>
          <w:tcPr>
            <w:tcW w:w="395"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5.4%</w:t>
            </w:r>
          </w:p>
        </w:tc>
      </w:tr>
      <w:tr w:rsidR="003A2473" w:rsidRPr="00EC6FE0" w:rsidTr="003434CF">
        <w:trPr>
          <w:trHeight w:val="288"/>
        </w:trPr>
        <w:tc>
          <w:tcPr>
            <w:tcW w:w="902" w:type="pct"/>
            <w:noWrap/>
            <w:hideMark/>
          </w:tcPr>
          <w:p w:rsidR="00EC6FE0" w:rsidRPr="00EC6FE0" w:rsidRDefault="00EC6FE0" w:rsidP="00EC6FE0">
            <w:pPr>
              <w:rPr>
                <w:rFonts w:eastAsia="Times New Roman" w:cs="Times New Roman"/>
                <w:color w:val="000000"/>
                <w:sz w:val="20"/>
                <w:szCs w:val="20"/>
              </w:rPr>
            </w:pPr>
            <w:r w:rsidRPr="00EC6FE0">
              <w:rPr>
                <w:rFonts w:eastAsia="Times New Roman" w:cs="Times New Roman"/>
                <w:color w:val="000000"/>
                <w:sz w:val="20"/>
                <w:szCs w:val="20"/>
              </w:rPr>
              <w:t>Cancer</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13.4%</w:t>
            </w:r>
          </w:p>
        </w:tc>
        <w:tc>
          <w:tcPr>
            <w:tcW w:w="423"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10.7%</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13.7%</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11.1%</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13.7%</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11.9%</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13.8%</w:t>
            </w:r>
          </w:p>
        </w:tc>
        <w:tc>
          <w:tcPr>
            <w:tcW w:w="373" w:type="pct"/>
            <w:hideMark/>
          </w:tcPr>
          <w:p w:rsidR="00EC6FE0" w:rsidRPr="00EC6FE0" w:rsidRDefault="00EC6FE0" w:rsidP="00EC6FE0">
            <w:pPr>
              <w:jc w:val="center"/>
              <w:rPr>
                <w:rFonts w:eastAsia="Times New Roman" w:cs="Times New Roman"/>
                <w:color w:val="000000"/>
                <w:sz w:val="20"/>
                <w:szCs w:val="20"/>
              </w:rPr>
            </w:pPr>
            <w:r w:rsidRPr="00EC6FE0">
              <w:rPr>
                <w:rFonts w:eastAsia="Times New Roman" w:cs="Times New Roman"/>
                <w:color w:val="000000"/>
                <w:sz w:val="20"/>
                <w:szCs w:val="20"/>
              </w:rPr>
              <w:t>11.4%</w:t>
            </w:r>
          </w:p>
        </w:tc>
        <w:tc>
          <w:tcPr>
            <w:tcW w:w="390"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13.9%</w:t>
            </w:r>
          </w:p>
        </w:tc>
        <w:tc>
          <w:tcPr>
            <w:tcW w:w="395"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13.0%</w:t>
            </w:r>
          </w:p>
        </w:tc>
      </w:tr>
      <w:tr w:rsidR="00EC6FE0" w:rsidRPr="00EC6FE0" w:rsidTr="003A2473">
        <w:trPr>
          <w:trHeight w:val="288"/>
        </w:trPr>
        <w:tc>
          <w:tcPr>
            <w:tcW w:w="5000" w:type="pct"/>
            <w:gridSpan w:val="11"/>
            <w:shd w:val="clear" w:color="auto" w:fill="D9D9D9" w:themeFill="background1" w:themeFillShade="D9"/>
            <w:noWrap/>
            <w:hideMark/>
          </w:tcPr>
          <w:p w:rsidR="00EC6FE0" w:rsidRPr="00EC6FE0" w:rsidRDefault="00EC6FE0" w:rsidP="00EC6FE0">
            <w:pPr>
              <w:rPr>
                <w:rFonts w:eastAsia="Times New Roman" w:cs="Times New Roman"/>
                <w:color w:val="000000"/>
                <w:sz w:val="20"/>
                <w:szCs w:val="20"/>
                <w:vertAlign w:val="superscript"/>
              </w:rPr>
            </w:pPr>
            <w:r w:rsidRPr="00EC6FE0">
              <w:rPr>
                <w:rFonts w:eastAsia="Times New Roman" w:cs="Times New Roman"/>
                <w:color w:val="000000"/>
                <w:sz w:val="20"/>
                <w:szCs w:val="20"/>
              </w:rPr>
              <w:t>Mean number comorbidities</w:t>
            </w:r>
            <w:r w:rsidR="002D008E">
              <w:rPr>
                <w:rFonts w:eastAsia="Times New Roman" w:cs="Times New Roman"/>
                <w:color w:val="000000"/>
                <w:sz w:val="20"/>
                <w:szCs w:val="20"/>
                <w:vertAlign w:val="superscript"/>
              </w:rPr>
              <w:t>1</w:t>
            </w:r>
          </w:p>
        </w:tc>
      </w:tr>
      <w:tr w:rsidR="003A2473" w:rsidRPr="00EC6FE0" w:rsidTr="003434CF">
        <w:trPr>
          <w:trHeight w:val="288"/>
        </w:trPr>
        <w:tc>
          <w:tcPr>
            <w:tcW w:w="902" w:type="pct"/>
            <w:noWrap/>
            <w:hideMark/>
          </w:tcPr>
          <w:p w:rsidR="00EC6FE0" w:rsidRPr="00EC6FE0" w:rsidRDefault="00EC6FE0" w:rsidP="00EC6FE0">
            <w:pPr>
              <w:rPr>
                <w:rFonts w:eastAsia="Times New Roman" w:cs="Times New Roman"/>
                <w:color w:val="000000"/>
                <w:sz w:val="20"/>
                <w:szCs w:val="20"/>
              </w:rPr>
            </w:pPr>
            <w:r w:rsidRPr="00EC6FE0">
              <w:rPr>
                <w:rFonts w:eastAsia="Times New Roman" w:cs="Times New Roman"/>
                <w:color w:val="000000"/>
                <w:sz w:val="20"/>
                <w:szCs w:val="20"/>
              </w:rPr>
              <w:t>Medical comorbidities</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1.63</w:t>
            </w:r>
          </w:p>
        </w:tc>
        <w:tc>
          <w:tcPr>
            <w:tcW w:w="423"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6.1</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1.69</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6.5</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1.72</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6.1</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1.78</w:t>
            </w:r>
          </w:p>
        </w:tc>
        <w:tc>
          <w:tcPr>
            <w:tcW w:w="373" w:type="pct"/>
            <w:hideMark/>
          </w:tcPr>
          <w:p w:rsidR="00EC6FE0" w:rsidRPr="00EC6FE0" w:rsidRDefault="00EC6FE0" w:rsidP="00EC6FE0">
            <w:pPr>
              <w:jc w:val="center"/>
              <w:rPr>
                <w:rFonts w:eastAsia="Times New Roman" w:cs="Times New Roman"/>
                <w:color w:val="000000"/>
                <w:sz w:val="20"/>
                <w:szCs w:val="20"/>
              </w:rPr>
            </w:pPr>
            <w:r w:rsidRPr="00EC6FE0">
              <w:rPr>
                <w:rFonts w:eastAsia="Times New Roman" w:cs="Times New Roman"/>
                <w:color w:val="000000"/>
                <w:sz w:val="20"/>
                <w:szCs w:val="20"/>
              </w:rPr>
              <w:t>6.3</w:t>
            </w:r>
          </w:p>
        </w:tc>
        <w:tc>
          <w:tcPr>
            <w:tcW w:w="390"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1.81</w:t>
            </w:r>
          </w:p>
        </w:tc>
        <w:tc>
          <w:tcPr>
            <w:tcW w:w="395"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6.3</w:t>
            </w:r>
          </w:p>
        </w:tc>
      </w:tr>
      <w:tr w:rsidR="003A2473" w:rsidRPr="00EC6FE0" w:rsidTr="003434CF">
        <w:trPr>
          <w:trHeight w:val="288"/>
        </w:trPr>
        <w:tc>
          <w:tcPr>
            <w:tcW w:w="902" w:type="pct"/>
            <w:noWrap/>
            <w:hideMark/>
          </w:tcPr>
          <w:p w:rsidR="00EC6FE0" w:rsidRPr="00EC6FE0" w:rsidRDefault="00EC6FE0" w:rsidP="00EC6FE0">
            <w:pPr>
              <w:rPr>
                <w:rFonts w:eastAsia="Times New Roman" w:cs="Times New Roman"/>
                <w:color w:val="000000"/>
                <w:sz w:val="20"/>
                <w:szCs w:val="20"/>
              </w:rPr>
            </w:pPr>
            <w:r w:rsidRPr="00EC6FE0">
              <w:rPr>
                <w:rFonts w:eastAsia="Times New Roman" w:cs="Times New Roman"/>
                <w:color w:val="000000"/>
                <w:sz w:val="20"/>
                <w:szCs w:val="20"/>
              </w:rPr>
              <w:t>Behavioral health comorbidities</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0.21</w:t>
            </w:r>
          </w:p>
        </w:tc>
        <w:tc>
          <w:tcPr>
            <w:tcW w:w="423"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0.42</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0.22</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0.44</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0.23</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0.43</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0.24</w:t>
            </w:r>
          </w:p>
        </w:tc>
        <w:tc>
          <w:tcPr>
            <w:tcW w:w="373" w:type="pct"/>
            <w:hideMark/>
          </w:tcPr>
          <w:p w:rsidR="00EC6FE0" w:rsidRPr="00EC6FE0" w:rsidRDefault="00EC6FE0" w:rsidP="00EC6FE0">
            <w:pPr>
              <w:jc w:val="center"/>
              <w:rPr>
                <w:rFonts w:eastAsia="Times New Roman" w:cs="Times New Roman"/>
                <w:color w:val="000000"/>
                <w:sz w:val="20"/>
                <w:szCs w:val="20"/>
              </w:rPr>
            </w:pPr>
            <w:r w:rsidRPr="00EC6FE0">
              <w:rPr>
                <w:rFonts w:eastAsia="Times New Roman" w:cs="Times New Roman"/>
                <w:color w:val="000000"/>
                <w:sz w:val="20"/>
                <w:szCs w:val="20"/>
              </w:rPr>
              <w:t>0.46</w:t>
            </w:r>
          </w:p>
        </w:tc>
        <w:tc>
          <w:tcPr>
            <w:tcW w:w="390"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0.25</w:t>
            </w:r>
          </w:p>
        </w:tc>
        <w:tc>
          <w:tcPr>
            <w:tcW w:w="395"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0.48</w:t>
            </w:r>
          </w:p>
        </w:tc>
      </w:tr>
      <w:tr w:rsidR="002D008E" w:rsidRPr="00EC6FE0" w:rsidTr="002D008E">
        <w:trPr>
          <w:trHeight w:val="288"/>
        </w:trPr>
        <w:tc>
          <w:tcPr>
            <w:tcW w:w="5000" w:type="pct"/>
            <w:gridSpan w:val="11"/>
            <w:shd w:val="clear" w:color="auto" w:fill="D9D9D9" w:themeFill="background1" w:themeFillShade="D9"/>
            <w:noWrap/>
          </w:tcPr>
          <w:p w:rsidR="002D008E" w:rsidRPr="00EC6FE0" w:rsidRDefault="002D008E" w:rsidP="002D008E">
            <w:pPr>
              <w:rPr>
                <w:rFonts w:eastAsia="Times New Roman" w:cs="Times New Roman"/>
                <w:color w:val="000000"/>
                <w:sz w:val="20"/>
                <w:szCs w:val="20"/>
              </w:rPr>
            </w:pPr>
            <w:r>
              <w:rPr>
                <w:rFonts w:eastAsia="Times New Roman" w:cs="Times New Roman"/>
                <w:color w:val="000000"/>
                <w:sz w:val="20"/>
                <w:szCs w:val="20"/>
              </w:rPr>
              <w:t>Mean age in years</w:t>
            </w:r>
          </w:p>
        </w:tc>
      </w:tr>
      <w:tr w:rsidR="003A2473" w:rsidRPr="00EC6FE0" w:rsidTr="003434CF">
        <w:trPr>
          <w:trHeight w:val="288"/>
        </w:trPr>
        <w:tc>
          <w:tcPr>
            <w:tcW w:w="902" w:type="pct"/>
            <w:noWrap/>
            <w:hideMark/>
          </w:tcPr>
          <w:p w:rsidR="00EC6FE0" w:rsidRPr="00EC6FE0" w:rsidRDefault="00EC6FE0" w:rsidP="00EC6FE0">
            <w:pPr>
              <w:rPr>
                <w:rFonts w:eastAsia="Times New Roman" w:cs="Times New Roman"/>
                <w:color w:val="000000"/>
                <w:sz w:val="20"/>
                <w:szCs w:val="20"/>
              </w:rPr>
            </w:pPr>
            <w:r w:rsidRPr="00EC6FE0">
              <w:rPr>
                <w:rFonts w:eastAsia="Times New Roman" w:cs="Times New Roman"/>
                <w:color w:val="000000"/>
                <w:sz w:val="20"/>
                <w:szCs w:val="20"/>
              </w:rPr>
              <w:t>Mean age in years</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67.3</w:t>
            </w:r>
          </w:p>
        </w:tc>
        <w:tc>
          <w:tcPr>
            <w:tcW w:w="423"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0.13</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66.8</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0.14</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66.7</w:t>
            </w:r>
          </w:p>
        </w:tc>
        <w:tc>
          <w:tcPr>
            <w:tcW w:w="421"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0.16</w:t>
            </w:r>
          </w:p>
        </w:tc>
        <w:tc>
          <w:tcPr>
            <w:tcW w:w="419"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67.1</w:t>
            </w:r>
          </w:p>
        </w:tc>
        <w:tc>
          <w:tcPr>
            <w:tcW w:w="373" w:type="pct"/>
            <w:hideMark/>
          </w:tcPr>
          <w:p w:rsidR="00EC6FE0" w:rsidRPr="00EC6FE0" w:rsidRDefault="00EC6FE0" w:rsidP="00EC6FE0">
            <w:pPr>
              <w:jc w:val="center"/>
              <w:rPr>
                <w:rFonts w:eastAsia="Times New Roman" w:cs="Times New Roman"/>
                <w:color w:val="000000"/>
                <w:sz w:val="20"/>
                <w:szCs w:val="20"/>
              </w:rPr>
            </w:pPr>
            <w:r w:rsidRPr="00EC6FE0">
              <w:rPr>
                <w:rFonts w:eastAsia="Times New Roman" w:cs="Times New Roman"/>
                <w:color w:val="000000"/>
                <w:sz w:val="20"/>
                <w:szCs w:val="20"/>
              </w:rPr>
              <w:t>0.16</w:t>
            </w:r>
          </w:p>
        </w:tc>
        <w:tc>
          <w:tcPr>
            <w:tcW w:w="390"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66.9</w:t>
            </w:r>
          </w:p>
        </w:tc>
        <w:tc>
          <w:tcPr>
            <w:tcW w:w="395" w:type="pct"/>
            <w:noWrap/>
            <w:hideMark/>
          </w:tcPr>
          <w:p w:rsidR="00EC6FE0" w:rsidRPr="00EC6FE0" w:rsidRDefault="00EC6FE0" w:rsidP="00EC6FE0">
            <w:pPr>
              <w:jc w:val="right"/>
              <w:rPr>
                <w:rFonts w:eastAsia="Times New Roman" w:cs="Times New Roman"/>
                <w:color w:val="000000"/>
                <w:sz w:val="20"/>
                <w:szCs w:val="20"/>
              </w:rPr>
            </w:pPr>
            <w:r w:rsidRPr="00EC6FE0">
              <w:rPr>
                <w:rFonts w:eastAsia="Times New Roman" w:cs="Times New Roman"/>
                <w:color w:val="000000"/>
                <w:sz w:val="20"/>
                <w:szCs w:val="20"/>
              </w:rPr>
              <w:t>0.17</w:t>
            </w:r>
          </w:p>
        </w:tc>
      </w:tr>
    </w:tbl>
    <w:p w:rsidR="003434CF" w:rsidRDefault="003434CF" w:rsidP="00092566">
      <w:pPr>
        <w:autoSpaceDE w:val="0"/>
        <w:autoSpaceDN w:val="0"/>
        <w:adjustRightInd w:val="0"/>
        <w:spacing w:after="0" w:line="240" w:lineRule="auto"/>
        <w:rPr>
          <w:rFonts w:cstheme="minorHAnsi"/>
          <w:bCs/>
          <w:sz w:val="18"/>
          <w:szCs w:val="18"/>
          <w:vertAlign w:val="superscript"/>
        </w:rPr>
      </w:pPr>
      <w:r w:rsidRPr="00437D4B">
        <w:rPr>
          <w:color w:val="0000FF"/>
          <w:sz w:val="18"/>
          <w:szCs w:val="18"/>
        </w:rPr>
        <w:t xml:space="preserve">Source: HCUP State Inpatient Databases (SID). Healthcare Cost and </w:t>
      </w:r>
      <w:r>
        <w:rPr>
          <w:color w:val="0000FF"/>
          <w:sz w:val="18"/>
          <w:szCs w:val="18"/>
        </w:rPr>
        <w:t xml:space="preserve">Utilization Project (HCUP). </w:t>
      </w:r>
      <w:proofErr w:type="gramStart"/>
      <w:r>
        <w:rPr>
          <w:color w:val="0000FF"/>
          <w:sz w:val="18"/>
          <w:szCs w:val="18"/>
        </w:rPr>
        <w:t>2008-2012</w:t>
      </w:r>
      <w:r w:rsidRPr="00437D4B">
        <w:rPr>
          <w:color w:val="0000FF"/>
          <w:sz w:val="18"/>
          <w:szCs w:val="18"/>
        </w:rPr>
        <w:t>.</w:t>
      </w:r>
      <w:proofErr w:type="gramEnd"/>
    </w:p>
    <w:p w:rsidR="00EC6FE0" w:rsidRDefault="00A45770" w:rsidP="00092566">
      <w:pPr>
        <w:autoSpaceDE w:val="0"/>
        <w:autoSpaceDN w:val="0"/>
        <w:adjustRightInd w:val="0"/>
        <w:spacing w:after="0" w:line="240" w:lineRule="auto"/>
        <w:rPr>
          <w:rFonts w:cstheme="minorHAnsi"/>
          <w:bCs/>
          <w:sz w:val="18"/>
          <w:szCs w:val="18"/>
        </w:rPr>
      </w:pPr>
      <w:r w:rsidRPr="00A45770">
        <w:rPr>
          <w:rFonts w:cstheme="minorHAnsi"/>
          <w:bCs/>
          <w:sz w:val="18"/>
          <w:szCs w:val="18"/>
          <w:vertAlign w:val="superscript"/>
        </w:rPr>
        <w:t>1</w:t>
      </w:r>
      <w:r w:rsidRPr="00A45770">
        <w:rPr>
          <w:rFonts w:cstheme="minorHAnsi"/>
          <w:bCs/>
          <w:sz w:val="18"/>
          <w:szCs w:val="18"/>
        </w:rPr>
        <w:t>AHRQ</w:t>
      </w:r>
      <w:r w:rsidR="00D303B3">
        <w:rPr>
          <w:rFonts w:cstheme="minorHAnsi"/>
          <w:bCs/>
          <w:sz w:val="18"/>
          <w:szCs w:val="18"/>
        </w:rPr>
        <w:t xml:space="preserve"> Comorbidity Index, version 3.7</w:t>
      </w:r>
      <w:r w:rsidRPr="00A45770">
        <w:rPr>
          <w:rFonts w:cstheme="minorHAnsi"/>
          <w:bCs/>
          <w:sz w:val="18"/>
          <w:szCs w:val="18"/>
        </w:rPr>
        <w:t xml:space="preserve">. </w:t>
      </w:r>
      <w:r w:rsidR="00D303B3">
        <w:rPr>
          <w:rFonts w:cstheme="minorHAnsi"/>
          <w:bCs/>
          <w:sz w:val="18"/>
          <w:szCs w:val="18"/>
        </w:rPr>
        <w:t xml:space="preserve">Available at </w:t>
      </w:r>
      <w:hyperlink r:id="rId16" w:history="1">
        <w:r w:rsidR="00D303B3" w:rsidRPr="002150FB">
          <w:rPr>
            <w:rStyle w:val="Hyperlink"/>
            <w:rFonts w:cstheme="minorHAnsi"/>
            <w:bCs/>
            <w:sz w:val="18"/>
            <w:szCs w:val="18"/>
          </w:rPr>
          <w:t>http://www.hcup-us.ahrq.gov/toolssoftware/comorbidity/comorbidity.jsp</w:t>
        </w:r>
      </w:hyperlink>
      <w:r w:rsidR="00D303B3">
        <w:rPr>
          <w:rFonts w:cstheme="minorHAnsi"/>
          <w:bCs/>
          <w:sz w:val="18"/>
          <w:szCs w:val="18"/>
        </w:rPr>
        <w:t xml:space="preserve"> </w:t>
      </w:r>
      <w:r w:rsidRPr="00A45770">
        <w:rPr>
          <w:rFonts w:cstheme="minorHAnsi"/>
          <w:bCs/>
          <w:sz w:val="18"/>
          <w:szCs w:val="18"/>
        </w:rPr>
        <w:t xml:space="preserve">Medical comorbidities included: heart failure, </w:t>
      </w:r>
      <w:proofErr w:type="spellStart"/>
      <w:r w:rsidRPr="00A45770">
        <w:rPr>
          <w:rFonts w:cstheme="minorHAnsi"/>
          <w:bCs/>
          <w:sz w:val="18"/>
          <w:szCs w:val="18"/>
        </w:rPr>
        <w:t>valvular</w:t>
      </w:r>
      <w:proofErr w:type="spellEnd"/>
      <w:r w:rsidRPr="00A45770">
        <w:rPr>
          <w:rFonts w:cstheme="minorHAnsi"/>
          <w:bCs/>
          <w:sz w:val="18"/>
          <w:szCs w:val="18"/>
        </w:rPr>
        <w:t xml:space="preserve"> disease, pulmonary circulation disease, hypertension, paralysis, other neurological disorders, chronic pulmonary disease, diabetes without complications, diabetes with chronic complications, hypothyroidism, renal failure, liver, chronic peptic ulcer disease, HIV/AIDS, lymphoma, metastatic cancer, solid tumor, rheumatoid arthritis/collagen vascular diseases, coagulation deficiency. Behavioral health comorbidities included: alcohol abuse, drug abuse, psychoses, depression. </w:t>
      </w:r>
    </w:p>
    <w:p w:rsidR="00A45770" w:rsidRPr="00A45770" w:rsidRDefault="00A45770" w:rsidP="00092566">
      <w:pPr>
        <w:autoSpaceDE w:val="0"/>
        <w:autoSpaceDN w:val="0"/>
        <w:adjustRightInd w:val="0"/>
        <w:spacing w:after="0" w:line="240" w:lineRule="auto"/>
        <w:rPr>
          <w:rFonts w:cstheme="minorHAnsi"/>
          <w:bCs/>
          <w:sz w:val="18"/>
          <w:szCs w:val="18"/>
        </w:rPr>
      </w:pPr>
    </w:p>
    <w:p w:rsidR="00B94D5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B94D55" w:rsidRDefault="00B94D55" w:rsidP="00DB3627">
      <w:pPr>
        <w:autoSpaceDE w:val="0"/>
        <w:autoSpaceDN w:val="0"/>
        <w:adjustRightInd w:val="0"/>
        <w:spacing w:after="0" w:line="240" w:lineRule="auto"/>
        <w:rPr>
          <w:rFonts w:cstheme="minorHAnsi"/>
          <w:bCs/>
        </w:rPr>
      </w:pPr>
    </w:p>
    <w:p w:rsidR="002D008E" w:rsidRDefault="002D008E" w:rsidP="00DB3627">
      <w:pPr>
        <w:autoSpaceDE w:val="0"/>
        <w:autoSpaceDN w:val="0"/>
        <w:adjustRightInd w:val="0"/>
        <w:spacing w:after="0" w:line="240" w:lineRule="auto"/>
        <w:rPr>
          <w:rFonts w:cstheme="minorHAnsi"/>
          <w:bCs/>
        </w:rPr>
      </w:pPr>
      <w:r>
        <w:rPr>
          <w:rFonts w:cstheme="minorHAnsi"/>
          <w:bCs/>
        </w:rPr>
        <w:t xml:space="preserve">From 2008-2012, there was less than 10% change in the percent of cases with all comorbidities known to have higher risk for dehydration except renal failure which demonstrated a 10% decrease. However, the mean number of comorbidities </w:t>
      </w:r>
      <w:r w:rsidR="009222B6">
        <w:rPr>
          <w:rFonts w:cstheme="minorHAnsi"/>
          <w:bCs/>
        </w:rPr>
        <w:t xml:space="preserve">across counties </w:t>
      </w:r>
      <w:r>
        <w:rPr>
          <w:rFonts w:cstheme="minorHAnsi"/>
          <w:bCs/>
        </w:rPr>
        <w:t xml:space="preserve">increased by 11%. The </w:t>
      </w:r>
      <w:r w:rsidR="009222B6">
        <w:rPr>
          <w:rFonts w:cstheme="minorHAnsi"/>
          <w:bCs/>
        </w:rPr>
        <w:t xml:space="preserve">number of numerator observations with a behavioral health comorbidity increased by 22% but the total number remained low (mean of 0.21 in 2008 compared to 0.25 in 2012). Mean age remained unchanged. From this, we conclude that there is only modest evidence of increasing complexity in the numerator population </w:t>
      </w:r>
      <w:r w:rsidR="009222B6">
        <w:rPr>
          <w:rFonts w:cstheme="minorHAnsi"/>
          <w:bCs/>
        </w:rPr>
        <w:lastRenderedPageBreak/>
        <w:t xml:space="preserve">during the period of decrease, suggesting that the decrease does not simply reflect the shifting of non-complex patients from hospital care to other settings. </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997A0C">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3D2D5A">
        <w:rPr>
          <w:rFonts w:cstheme="minorHAnsi"/>
          <w:b/>
          <w:bCs/>
          <w:i/>
        </w:rPr>
        <w:t xml:space="preserve">skip </w:t>
      </w:r>
      <w:r w:rsidR="008A4C13" w:rsidRPr="003D2D5A">
        <w:rPr>
          <w:rFonts w:cstheme="minorHAnsi"/>
          <w:b/>
          <w:bCs/>
          <w:i/>
        </w:rPr>
        <w:t xml:space="preserve">to </w:t>
      </w:r>
      <w:r w:rsidR="00BE592D" w:rsidRPr="003D2D5A">
        <w:rPr>
          <w:rFonts w:cstheme="minorHAnsi"/>
          <w:b/>
          <w:bCs/>
          <w:i/>
        </w:rPr>
        <w:t xml:space="preserve">section </w:t>
      </w:r>
      <w:hyperlink w:anchor="section2b4" w:history="1">
        <w:r w:rsidR="00483E94" w:rsidRPr="003D2D5A">
          <w:rPr>
            <w:rStyle w:val="Hyperlink"/>
            <w:rFonts w:cstheme="minorHAnsi"/>
            <w:b/>
            <w:bCs/>
            <w:i/>
          </w:rPr>
          <w:t>2b</w:t>
        </w:r>
        <w:r w:rsidR="00AC1D8E" w:rsidRPr="003D2D5A">
          <w:rPr>
            <w:rStyle w:val="Hyperlink"/>
            <w:rFonts w:cstheme="minorHAnsi"/>
            <w:b/>
            <w:bCs/>
            <w:i/>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997A0C" w:rsidRPr="00997A0C">
        <w:rPr>
          <w:rFonts w:cstheme="minorHAnsi"/>
          <w:bCs/>
          <w:color w:val="3333CC"/>
        </w:rPr>
        <w:t>Not applicable</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997A0C" w:rsidRPr="00997A0C">
        <w:rPr>
          <w:rFonts w:cstheme="minorHAnsi"/>
          <w:bCs/>
          <w:color w:val="3333CC"/>
        </w:rPr>
        <w:t>Not applicable</w:t>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997A0C" w:rsidRPr="00997A0C">
        <w:rPr>
          <w:rFonts w:cstheme="minorHAnsi"/>
          <w:bCs/>
          <w:color w:val="3333CC"/>
        </w:rPr>
        <w:t>Not applicable</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3D2D5A">
        <w:rPr>
          <w:rFonts w:cstheme="minorHAnsi"/>
          <w:b/>
          <w:bCs/>
          <w:i/>
        </w:rPr>
        <w:t>If not an intermediate or health outcome</w:t>
      </w:r>
      <w:r w:rsidR="00127C06" w:rsidRPr="003D2D5A">
        <w:rPr>
          <w:rFonts w:cstheme="minorHAnsi"/>
          <w:b/>
          <w:bCs/>
          <w:i/>
        </w:rPr>
        <w:t>,</w:t>
      </w:r>
      <w:r w:rsidR="00AC1D8E" w:rsidRPr="003D2D5A">
        <w:rPr>
          <w:rFonts w:cstheme="minorHAnsi"/>
          <w:b/>
          <w:bCs/>
          <w:i/>
        </w:rPr>
        <w:t xml:space="preserve"> </w:t>
      </w:r>
      <w:r w:rsidR="00127C06" w:rsidRPr="003D2D5A">
        <w:rPr>
          <w:rFonts w:cstheme="minorHAnsi"/>
          <w:b/>
          <w:bCs/>
          <w:i/>
        </w:rPr>
        <w:t xml:space="preserve">or PRO-PM, </w:t>
      </w:r>
      <w:r w:rsidR="00AC1D8E" w:rsidRPr="003D2D5A">
        <w:rPr>
          <w:rFonts w:cstheme="minorHAnsi"/>
          <w:b/>
          <w:bCs/>
          <w:i/>
        </w:rPr>
        <w:t xml:space="preserve">or resource use measure, </w:t>
      </w:r>
      <w:r w:rsidR="00BE592D" w:rsidRPr="003D2D5A">
        <w:rPr>
          <w:rFonts w:cstheme="minorHAnsi"/>
          <w:b/>
          <w:bCs/>
          <w:i/>
        </w:rPr>
        <w:t xml:space="preserve">skip to section </w:t>
      </w:r>
      <w:hyperlink w:anchor="section2b5" w:history="1">
        <w:r w:rsidR="00BE592D" w:rsidRPr="003D2D5A">
          <w:rPr>
            <w:rStyle w:val="Hyperlink"/>
            <w:rFonts w:cstheme="minorHAnsi"/>
            <w:b/>
            <w:bCs/>
            <w:i/>
          </w:rPr>
          <w:t>2b5</w:t>
        </w:r>
      </w:hyperlink>
      <w:r w:rsidR="00BE592D" w:rsidRPr="003D2D5A">
        <w:rPr>
          <w:rFonts w:cstheme="minorHAnsi"/>
          <w:b/>
          <w:bCs/>
          <w:i/>
        </w:rPr>
        <w:t>.</w:t>
      </w:r>
    </w:p>
    <w:p w:rsidR="008871A9" w:rsidRDefault="008871A9" w:rsidP="00092566">
      <w:pPr>
        <w:autoSpaceDE w:val="0"/>
        <w:autoSpaceDN w:val="0"/>
        <w:adjustRightInd w:val="0"/>
        <w:spacing w:after="0" w:line="240" w:lineRule="auto"/>
        <w:rPr>
          <w:rFonts w:cstheme="minorHAnsi"/>
          <w:b/>
          <w:bCs/>
        </w:rPr>
      </w:pPr>
    </w:p>
    <w:p w:rsidR="00997A0C" w:rsidRDefault="00997A0C"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6B47C0"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6B47C0"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997A0C">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997A0C">
            <w:rPr>
              <w:rStyle w:val="Style4"/>
              <w:u w:val="none"/>
            </w:rPr>
            <w:t>27</w:t>
          </w:r>
        </w:sdtContent>
      </w:sdt>
      <w:r w:rsidR="00E562C0" w:rsidRPr="006F22A5">
        <w:rPr>
          <w:rStyle w:val="Style4"/>
          <w:u w:val="none"/>
        </w:rPr>
        <w:t xml:space="preserve"> </w:t>
      </w:r>
      <w:r w:rsidR="00743E46" w:rsidRPr="005232D6">
        <w:rPr>
          <w:rFonts w:cstheme="minorHAnsi"/>
          <w:b/>
          <w:bCs/>
        </w:rPr>
        <w:t>risk factors</w:t>
      </w:r>
    </w:p>
    <w:p w:rsidR="00743E46" w:rsidRPr="005232D6" w:rsidRDefault="006B47C0"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6B47C0"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997A0C" w:rsidRDefault="00743E46" w:rsidP="00092566">
      <w:pPr>
        <w:autoSpaceDE w:val="0"/>
        <w:autoSpaceDN w:val="0"/>
        <w:adjustRightInd w:val="0"/>
        <w:spacing w:after="0" w:line="240" w:lineRule="auto"/>
        <w:rPr>
          <w:rFonts w:cstheme="minorHAnsi"/>
          <w:bCs/>
          <w:color w:val="3333CC"/>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997A0C" w:rsidRPr="00997A0C">
        <w:rPr>
          <w:rFonts w:cstheme="minorHAnsi"/>
          <w:bCs/>
          <w:color w:val="3333CC"/>
        </w:rPr>
        <w:t>Not applicable</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997A0C" w:rsidRDefault="00092566" w:rsidP="00001D73">
      <w:pPr>
        <w:autoSpaceDE w:val="0"/>
        <w:autoSpaceDN w:val="0"/>
        <w:adjustRightInd w:val="0"/>
        <w:spacing w:after="0" w:line="240" w:lineRule="auto"/>
        <w:rPr>
          <w:color w:val="0000FF"/>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92566" w:rsidRDefault="00997A0C" w:rsidP="00001D73">
      <w:pPr>
        <w:autoSpaceDE w:val="0"/>
        <w:autoSpaceDN w:val="0"/>
        <w:adjustRightInd w:val="0"/>
        <w:spacing w:after="0" w:line="240" w:lineRule="auto"/>
        <w:rPr>
          <w:rFonts w:cstheme="minorHAnsi"/>
          <w:bCs/>
        </w:rPr>
      </w:pPr>
      <w:r>
        <w:rPr>
          <w:color w:val="0000FF"/>
        </w:rPr>
        <w:t xml:space="preserve">For the area level </w:t>
      </w:r>
      <w:r w:rsidR="00CC2593">
        <w:rPr>
          <w:color w:val="0000FF"/>
        </w:rPr>
        <w:t xml:space="preserve">indicators, the models use the following covariates: </w:t>
      </w:r>
      <w:r>
        <w:rPr>
          <w:color w:val="0000FF"/>
        </w:rPr>
        <w:t>gender</w:t>
      </w:r>
      <w:r w:rsidR="00CC2593">
        <w:rPr>
          <w:color w:val="0000FF"/>
        </w:rPr>
        <w:t xml:space="preserve"> (male, female), age in 5-year age groups and</w:t>
      </w:r>
      <w:r>
        <w:rPr>
          <w:color w:val="0000FF"/>
        </w:rPr>
        <w:t xml:space="preserve"> an interaction with gender * age. </w:t>
      </w:r>
      <w:r w:rsidR="00CC2593">
        <w:rPr>
          <w:color w:val="0000FF"/>
        </w:rPr>
        <w:t>This is the default model and all risk adjusted data presented here are based on the default model</w:t>
      </w:r>
      <w:r>
        <w:rPr>
          <w:color w:val="0000FF"/>
        </w:rPr>
        <w:t>.</w:t>
      </w:r>
      <w:r w:rsidR="00CC2593">
        <w:rPr>
          <w:color w:val="0000FF"/>
        </w:rPr>
        <w:t xml:space="preserve"> An optional risk adjustment model is available in the software, which also accounts for the percent of the population under the federal poverty level (data not shown). </w:t>
      </w:r>
    </w:p>
    <w:p w:rsidR="00001D73" w:rsidRPr="00001D73" w:rsidRDefault="00001D73" w:rsidP="00001D73">
      <w:pPr>
        <w:autoSpaceDE w:val="0"/>
        <w:autoSpaceDN w:val="0"/>
        <w:adjustRightInd w:val="0"/>
        <w:spacing w:after="0" w:line="240" w:lineRule="auto"/>
        <w:rPr>
          <w:rFonts w:cstheme="minorHAnsi"/>
          <w:bCs/>
        </w:rPr>
      </w:pPr>
    </w:p>
    <w:p w:rsidR="00997A0C" w:rsidRPr="00997A0C" w:rsidRDefault="00092566" w:rsidP="00997A0C">
      <w:pPr>
        <w:pStyle w:val="Default"/>
        <w:rPr>
          <w:rFonts w:ascii="Calibri" w:eastAsiaTheme="minorEastAsia" w:hAnsi="Calibri" w:cs="Calibri"/>
          <w:color w:val="0000FF"/>
          <w:sz w:val="22"/>
          <w:szCs w:val="22"/>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r w:rsidR="00997A0C" w:rsidRPr="00997A0C">
        <w:rPr>
          <w:rFonts w:ascii="Calibri" w:eastAsiaTheme="minorEastAsia" w:hAnsi="Calibri" w:cs="Calibri"/>
          <w:color w:val="0000FF"/>
          <w:sz w:val="22"/>
          <w:szCs w:val="22"/>
        </w:rPr>
        <w:t xml:space="preserve">The process to select risk factors is described in the AHRQ QI Empirical Methods report. The results of the analyses are provided in the PQI Parameter Estimates document. Both documents are found on the AHRQ QI website (www.qualityindicators.ahrq.gov) and provided in the excel spreadsheet provided with submission. </w:t>
      </w:r>
      <w:r w:rsidR="00937839">
        <w:rPr>
          <w:rFonts w:ascii="Calibri" w:eastAsiaTheme="minorEastAsia" w:hAnsi="Calibri" w:cs="Calibri"/>
          <w:color w:val="0000FF"/>
          <w:sz w:val="22"/>
          <w:szCs w:val="22"/>
        </w:rPr>
        <w:t xml:space="preserve">The parameter estimates are derived from the reference population. </w:t>
      </w:r>
    </w:p>
    <w:p w:rsidR="00997A0C" w:rsidRDefault="00997A0C" w:rsidP="00997A0C">
      <w:pPr>
        <w:autoSpaceDE w:val="0"/>
        <w:autoSpaceDN w:val="0"/>
        <w:adjustRightInd w:val="0"/>
        <w:spacing w:after="0" w:line="240" w:lineRule="auto"/>
        <w:rPr>
          <w:rFonts w:ascii="Calibri" w:hAnsi="Calibri" w:cs="Calibri"/>
          <w:color w:val="3131FF"/>
        </w:rPr>
      </w:pPr>
    </w:p>
    <w:p w:rsidR="00997A0C" w:rsidRPr="00997A0C" w:rsidRDefault="00997A0C" w:rsidP="00997A0C">
      <w:pPr>
        <w:autoSpaceDE w:val="0"/>
        <w:autoSpaceDN w:val="0"/>
        <w:adjustRightInd w:val="0"/>
        <w:spacing w:after="0" w:line="240" w:lineRule="auto"/>
        <w:rPr>
          <w:rFonts w:ascii="Calibri" w:hAnsi="Calibri" w:cs="Calibri"/>
          <w:color w:val="3131FF"/>
        </w:rPr>
      </w:pPr>
      <w:r w:rsidRPr="00997A0C">
        <w:rPr>
          <w:rFonts w:ascii="Calibri" w:hAnsi="Calibri" w:cs="Calibri"/>
          <w:color w:val="3131FF"/>
        </w:rPr>
        <w:t xml:space="preserve">For the PQIs, </w:t>
      </w:r>
      <w:r w:rsidR="00937839">
        <w:rPr>
          <w:rFonts w:ascii="Calibri" w:hAnsi="Calibri" w:cs="Calibri"/>
          <w:color w:val="3131FF"/>
        </w:rPr>
        <w:t>risk adjustment is based on the age and gender mix of the population in the measured county. Age and gender is termed the “default risk adjustment model” in this documentation to distinguish this model from the alternative model which also accounts for poverty</w:t>
      </w:r>
      <w:r w:rsidRPr="00997A0C">
        <w:rPr>
          <w:rFonts w:ascii="Calibri" w:hAnsi="Calibri" w:cs="Calibri"/>
          <w:color w:val="3131FF"/>
        </w:rPr>
        <w:t xml:space="preserve">. </w:t>
      </w:r>
    </w:p>
    <w:p w:rsidR="00997A0C" w:rsidRDefault="00997A0C" w:rsidP="00997A0C">
      <w:pPr>
        <w:autoSpaceDE w:val="0"/>
        <w:autoSpaceDN w:val="0"/>
        <w:adjustRightInd w:val="0"/>
        <w:spacing w:after="0" w:line="240" w:lineRule="auto"/>
        <w:rPr>
          <w:rFonts w:ascii="Calibri" w:hAnsi="Calibri" w:cs="Calibri"/>
          <w:color w:val="3131FF"/>
        </w:rPr>
      </w:pPr>
    </w:p>
    <w:p w:rsidR="00092566" w:rsidRPr="00937839" w:rsidRDefault="00997A0C" w:rsidP="00997A0C">
      <w:pPr>
        <w:autoSpaceDE w:val="0"/>
        <w:autoSpaceDN w:val="0"/>
        <w:adjustRightInd w:val="0"/>
        <w:spacing w:after="0" w:line="240" w:lineRule="auto"/>
        <w:rPr>
          <w:rFonts w:cstheme="minorHAnsi"/>
          <w:b/>
          <w:bCs/>
          <w:sz w:val="20"/>
          <w:szCs w:val="20"/>
        </w:rPr>
      </w:pPr>
      <w:proofErr w:type="gramStart"/>
      <w:r w:rsidRPr="00997A0C">
        <w:rPr>
          <w:rFonts w:ascii="Calibri" w:hAnsi="Calibri" w:cs="Calibri"/>
          <w:color w:val="3131FF"/>
        </w:rPr>
        <w:t xml:space="preserve">Risk Adjustment </w:t>
      </w:r>
      <w:r w:rsidR="00937839">
        <w:rPr>
          <w:rFonts w:ascii="Calibri" w:hAnsi="Calibri" w:cs="Calibri"/>
          <w:color w:val="3131FF"/>
        </w:rPr>
        <w:t>parameters and c</w:t>
      </w:r>
      <w:r w:rsidRPr="00997A0C">
        <w:rPr>
          <w:rFonts w:ascii="Calibri" w:hAnsi="Calibri" w:cs="Calibri"/>
          <w:color w:val="3131FF"/>
        </w:rPr>
        <w:t xml:space="preserve">oefficients as presented in </w:t>
      </w:r>
      <w:r w:rsidR="00937839">
        <w:rPr>
          <w:rFonts w:ascii="Calibri" w:hAnsi="Calibri" w:cs="Calibri"/>
          <w:color w:val="3131FF"/>
        </w:rPr>
        <w:t>Table 6.</w:t>
      </w:r>
      <w:proofErr w:type="gramEnd"/>
      <w:r w:rsidR="00937839">
        <w:rPr>
          <w:rFonts w:ascii="Calibri" w:hAnsi="Calibri" w:cs="Calibri"/>
          <w:color w:val="3131FF"/>
        </w:rPr>
        <w:t xml:space="preserve"> The coefficients are also available in </w:t>
      </w:r>
      <w:r w:rsidRPr="00997A0C">
        <w:rPr>
          <w:rFonts w:ascii="Calibri" w:hAnsi="Calibri" w:cs="Calibri"/>
          <w:color w:val="3131FF"/>
        </w:rPr>
        <w:t xml:space="preserve">the </w:t>
      </w:r>
      <w:r w:rsidRPr="00997A0C">
        <w:rPr>
          <w:rFonts w:ascii="Calibri" w:hAnsi="Calibri" w:cs="Calibri"/>
          <w:i/>
          <w:iCs/>
          <w:color w:val="3131FF"/>
        </w:rPr>
        <w:t xml:space="preserve">PQI Parameter Estimates </w:t>
      </w:r>
      <w:r w:rsidRPr="00997A0C">
        <w:rPr>
          <w:rFonts w:ascii="Calibri" w:hAnsi="Calibri" w:cs="Calibri"/>
          <w:color w:val="3131FF"/>
        </w:rPr>
        <w:t xml:space="preserve">document (pages 12-13) posted at: </w:t>
      </w:r>
      <w:hyperlink r:id="rId17" w:history="1">
        <w:r w:rsidR="00937839" w:rsidRPr="00937839">
          <w:rPr>
            <w:rStyle w:val="Hyperlink"/>
            <w:rFonts w:ascii="Calibri" w:hAnsi="Calibri" w:cs="Calibri"/>
            <w:sz w:val="20"/>
            <w:szCs w:val="20"/>
          </w:rPr>
          <w:t>http://www.qualityindicators.ahrq.gov/Downloads/Modules/PQI/V45/Parameter_Estimates_PQI_45.pdf</w:t>
        </w:r>
      </w:hyperlink>
      <w:r w:rsidR="00937839" w:rsidRPr="00937839">
        <w:rPr>
          <w:rFonts w:ascii="Calibri" w:hAnsi="Calibri" w:cs="Calibri"/>
          <w:color w:val="0000FF"/>
          <w:sz w:val="20"/>
          <w:szCs w:val="20"/>
        </w:rPr>
        <w:t xml:space="preserve">. </w:t>
      </w:r>
    </w:p>
    <w:p w:rsidR="00001D73" w:rsidRDefault="00001D73" w:rsidP="00001D73">
      <w:pPr>
        <w:autoSpaceDE w:val="0"/>
        <w:autoSpaceDN w:val="0"/>
        <w:adjustRightInd w:val="0"/>
        <w:spacing w:after="0" w:line="240" w:lineRule="auto"/>
        <w:rPr>
          <w:rFonts w:cstheme="minorHAnsi"/>
          <w:b/>
          <w:bCs/>
        </w:rPr>
      </w:pPr>
    </w:p>
    <w:p w:rsidR="006D3C82" w:rsidRDefault="006D3C82" w:rsidP="006D3C82">
      <w:pPr>
        <w:spacing w:before="29" w:after="0" w:line="271" w:lineRule="exact"/>
        <w:ind w:left="140" w:right="-20"/>
        <w:rPr>
          <w:rFonts w:ascii="Times New Roman" w:eastAsia="Times New Roman" w:hAnsi="Times New Roman" w:cs="Times New Roman"/>
          <w:sz w:val="24"/>
          <w:szCs w:val="24"/>
        </w:rPr>
      </w:pPr>
      <w:proofErr w:type="gramStart"/>
      <w:r>
        <w:rPr>
          <w:rFonts w:ascii="Times New Roman" w:eastAsia="Times New Roman" w:hAnsi="Times New Roman" w:cs="Times New Roman"/>
          <w:b/>
          <w:bCs/>
          <w:spacing w:val="1"/>
          <w:position w:val="-1"/>
          <w:sz w:val="24"/>
          <w:szCs w:val="24"/>
        </w:rPr>
        <w:t>T</w:t>
      </w:r>
      <w:r>
        <w:rPr>
          <w:rFonts w:ascii="Times New Roman" w:eastAsia="Times New Roman" w:hAnsi="Times New Roman" w:cs="Times New Roman"/>
          <w:b/>
          <w:bCs/>
          <w:position w:val="-1"/>
          <w:sz w:val="24"/>
          <w:szCs w:val="24"/>
        </w:rPr>
        <w:t>a</w:t>
      </w:r>
      <w:r>
        <w:rPr>
          <w:rFonts w:ascii="Times New Roman" w:eastAsia="Times New Roman" w:hAnsi="Times New Roman" w:cs="Times New Roman"/>
          <w:b/>
          <w:bCs/>
          <w:spacing w:val="1"/>
          <w:position w:val="-1"/>
          <w:sz w:val="24"/>
          <w:szCs w:val="24"/>
        </w:rPr>
        <w:t>bl</w:t>
      </w:r>
      <w:r>
        <w:rPr>
          <w:rFonts w:ascii="Times New Roman" w:eastAsia="Times New Roman" w:hAnsi="Times New Roman" w:cs="Times New Roman"/>
          <w:b/>
          <w:bCs/>
          <w:position w:val="-1"/>
          <w:sz w:val="24"/>
          <w:szCs w:val="24"/>
        </w:rPr>
        <w:t>e</w:t>
      </w:r>
      <w:r>
        <w:rPr>
          <w:rFonts w:ascii="Times New Roman" w:eastAsia="Times New Roman" w:hAnsi="Times New Roman" w:cs="Times New Roman"/>
          <w:b/>
          <w:bCs/>
          <w:spacing w:val="-4"/>
          <w:position w:val="-1"/>
          <w:sz w:val="24"/>
          <w:szCs w:val="24"/>
        </w:rPr>
        <w:t xml:space="preserve"> </w:t>
      </w:r>
      <w:r>
        <w:rPr>
          <w:rFonts w:ascii="Times New Roman" w:eastAsia="Times New Roman" w:hAnsi="Times New Roman" w:cs="Times New Roman"/>
          <w:b/>
          <w:bCs/>
          <w:position w:val="-1"/>
          <w:sz w:val="24"/>
          <w:szCs w:val="24"/>
        </w:rPr>
        <w:t>6.</w:t>
      </w:r>
      <w:proofErr w:type="gramEnd"/>
      <w:r>
        <w:rPr>
          <w:rFonts w:ascii="Times New Roman" w:eastAsia="Times New Roman" w:hAnsi="Times New Roman" w:cs="Times New Roman"/>
          <w:b/>
          <w:bCs/>
          <w:position w:val="-1"/>
          <w:sz w:val="24"/>
          <w:szCs w:val="24"/>
        </w:rPr>
        <w:t xml:space="preserve"> </w:t>
      </w:r>
      <w:r>
        <w:rPr>
          <w:rFonts w:ascii="Times New Roman" w:eastAsia="Times New Roman" w:hAnsi="Times New Roman" w:cs="Times New Roman"/>
          <w:b/>
          <w:bCs/>
          <w:spacing w:val="-1"/>
          <w:position w:val="-1"/>
          <w:sz w:val="24"/>
          <w:szCs w:val="24"/>
        </w:rPr>
        <w:t>R</w:t>
      </w:r>
      <w:r>
        <w:rPr>
          <w:rFonts w:ascii="Times New Roman" w:eastAsia="Times New Roman" w:hAnsi="Times New Roman" w:cs="Times New Roman"/>
          <w:b/>
          <w:bCs/>
          <w:spacing w:val="1"/>
          <w:position w:val="-1"/>
          <w:sz w:val="24"/>
          <w:szCs w:val="24"/>
        </w:rPr>
        <w:t>i</w:t>
      </w:r>
      <w:r>
        <w:rPr>
          <w:rFonts w:ascii="Times New Roman" w:eastAsia="Times New Roman" w:hAnsi="Times New Roman" w:cs="Times New Roman"/>
          <w:b/>
          <w:bCs/>
          <w:position w:val="-1"/>
          <w:sz w:val="24"/>
          <w:szCs w:val="24"/>
        </w:rPr>
        <w:t xml:space="preserve">sk </w:t>
      </w:r>
      <w:r>
        <w:rPr>
          <w:rFonts w:ascii="Times New Roman" w:eastAsia="Times New Roman" w:hAnsi="Times New Roman" w:cs="Times New Roman"/>
          <w:b/>
          <w:bCs/>
          <w:spacing w:val="-1"/>
          <w:position w:val="-1"/>
          <w:sz w:val="24"/>
          <w:szCs w:val="24"/>
        </w:rPr>
        <w:t>A</w:t>
      </w:r>
      <w:r>
        <w:rPr>
          <w:rFonts w:ascii="Times New Roman" w:eastAsia="Times New Roman" w:hAnsi="Times New Roman" w:cs="Times New Roman"/>
          <w:b/>
          <w:bCs/>
          <w:spacing w:val="1"/>
          <w:position w:val="-1"/>
          <w:sz w:val="24"/>
          <w:szCs w:val="24"/>
        </w:rPr>
        <w:t>d</w:t>
      </w:r>
      <w:r>
        <w:rPr>
          <w:rFonts w:ascii="Times New Roman" w:eastAsia="Times New Roman" w:hAnsi="Times New Roman" w:cs="Times New Roman"/>
          <w:b/>
          <w:bCs/>
          <w:spacing w:val="-1"/>
          <w:position w:val="-1"/>
          <w:sz w:val="24"/>
          <w:szCs w:val="24"/>
        </w:rPr>
        <w:t>j</w:t>
      </w:r>
      <w:r>
        <w:rPr>
          <w:rFonts w:ascii="Times New Roman" w:eastAsia="Times New Roman" w:hAnsi="Times New Roman" w:cs="Times New Roman"/>
          <w:b/>
          <w:bCs/>
          <w:spacing w:val="1"/>
          <w:position w:val="-1"/>
          <w:sz w:val="24"/>
          <w:szCs w:val="24"/>
        </w:rPr>
        <w:t>u</w:t>
      </w:r>
      <w:r>
        <w:rPr>
          <w:rFonts w:ascii="Times New Roman" w:eastAsia="Times New Roman" w:hAnsi="Times New Roman" w:cs="Times New Roman"/>
          <w:b/>
          <w:bCs/>
          <w:position w:val="-1"/>
          <w:sz w:val="24"/>
          <w:szCs w:val="24"/>
        </w:rPr>
        <w:t>s</w:t>
      </w:r>
      <w:r>
        <w:rPr>
          <w:rFonts w:ascii="Times New Roman" w:eastAsia="Times New Roman" w:hAnsi="Times New Roman" w:cs="Times New Roman"/>
          <w:b/>
          <w:bCs/>
          <w:spacing w:val="-1"/>
          <w:position w:val="-1"/>
          <w:sz w:val="24"/>
          <w:szCs w:val="24"/>
        </w:rPr>
        <w:t>t</w:t>
      </w:r>
      <w:r>
        <w:rPr>
          <w:rFonts w:ascii="Times New Roman" w:eastAsia="Times New Roman" w:hAnsi="Times New Roman" w:cs="Times New Roman"/>
          <w:b/>
          <w:bCs/>
          <w:spacing w:val="-3"/>
          <w:position w:val="-1"/>
          <w:sz w:val="24"/>
          <w:szCs w:val="24"/>
        </w:rPr>
        <w:t>m</w:t>
      </w:r>
      <w:r>
        <w:rPr>
          <w:rFonts w:ascii="Times New Roman" w:eastAsia="Times New Roman" w:hAnsi="Times New Roman" w:cs="Times New Roman"/>
          <w:b/>
          <w:bCs/>
          <w:spacing w:val="1"/>
          <w:position w:val="-1"/>
          <w:sz w:val="24"/>
          <w:szCs w:val="24"/>
        </w:rPr>
        <w:t>en</w:t>
      </w:r>
      <w:r>
        <w:rPr>
          <w:rFonts w:ascii="Times New Roman" w:eastAsia="Times New Roman" w:hAnsi="Times New Roman" w:cs="Times New Roman"/>
          <w:b/>
          <w:bCs/>
          <w:position w:val="-1"/>
          <w:sz w:val="24"/>
          <w:szCs w:val="24"/>
        </w:rPr>
        <w:t>t</w:t>
      </w:r>
      <w:r>
        <w:rPr>
          <w:rFonts w:ascii="Times New Roman" w:eastAsia="Times New Roman" w:hAnsi="Times New Roman" w:cs="Times New Roman"/>
          <w:b/>
          <w:bCs/>
          <w:spacing w:val="-2"/>
          <w:position w:val="-1"/>
          <w:sz w:val="24"/>
          <w:szCs w:val="24"/>
        </w:rPr>
        <w:t xml:space="preserve"> </w:t>
      </w:r>
      <w:r>
        <w:rPr>
          <w:rFonts w:ascii="Times New Roman" w:eastAsia="Times New Roman" w:hAnsi="Times New Roman" w:cs="Times New Roman"/>
          <w:b/>
          <w:bCs/>
          <w:spacing w:val="-1"/>
          <w:position w:val="-1"/>
          <w:sz w:val="24"/>
          <w:szCs w:val="24"/>
        </w:rPr>
        <w:t>C</w:t>
      </w:r>
      <w:r>
        <w:rPr>
          <w:rFonts w:ascii="Times New Roman" w:eastAsia="Times New Roman" w:hAnsi="Times New Roman" w:cs="Times New Roman"/>
          <w:b/>
          <w:bCs/>
          <w:position w:val="-1"/>
          <w:sz w:val="24"/>
          <w:szCs w:val="24"/>
        </w:rPr>
        <w:t>o</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spacing w:val="2"/>
          <w:position w:val="-1"/>
          <w:sz w:val="24"/>
          <w:szCs w:val="24"/>
        </w:rPr>
        <w:t>ff</w:t>
      </w:r>
      <w:r>
        <w:rPr>
          <w:rFonts w:ascii="Times New Roman" w:eastAsia="Times New Roman" w:hAnsi="Times New Roman" w:cs="Times New Roman"/>
          <w:b/>
          <w:bCs/>
          <w:spacing w:val="1"/>
          <w:position w:val="-1"/>
          <w:sz w:val="24"/>
          <w:szCs w:val="24"/>
        </w:rPr>
        <w:t>i</w:t>
      </w:r>
      <w:r>
        <w:rPr>
          <w:rFonts w:ascii="Times New Roman" w:eastAsia="Times New Roman" w:hAnsi="Times New Roman" w:cs="Times New Roman"/>
          <w:b/>
          <w:bCs/>
          <w:spacing w:val="-1"/>
          <w:position w:val="-1"/>
          <w:sz w:val="24"/>
          <w:szCs w:val="24"/>
        </w:rPr>
        <w:t>c</w:t>
      </w:r>
      <w:r>
        <w:rPr>
          <w:rFonts w:ascii="Times New Roman" w:eastAsia="Times New Roman" w:hAnsi="Times New Roman" w:cs="Times New Roman"/>
          <w:b/>
          <w:bCs/>
          <w:spacing w:val="1"/>
          <w:position w:val="-1"/>
          <w:sz w:val="24"/>
          <w:szCs w:val="24"/>
        </w:rPr>
        <w:t>i</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spacing w:val="1"/>
          <w:position w:val="-1"/>
          <w:sz w:val="24"/>
          <w:szCs w:val="24"/>
        </w:rPr>
        <w:t>n</w:t>
      </w:r>
      <w:r>
        <w:rPr>
          <w:rFonts w:ascii="Times New Roman" w:eastAsia="Times New Roman" w:hAnsi="Times New Roman" w:cs="Times New Roman"/>
          <w:b/>
          <w:bCs/>
          <w:spacing w:val="-1"/>
          <w:position w:val="-1"/>
          <w:sz w:val="24"/>
          <w:szCs w:val="24"/>
        </w:rPr>
        <w:t>t</w:t>
      </w:r>
      <w:r>
        <w:rPr>
          <w:rFonts w:ascii="Times New Roman" w:eastAsia="Times New Roman" w:hAnsi="Times New Roman" w:cs="Times New Roman"/>
          <w:b/>
          <w:bCs/>
          <w:position w:val="-1"/>
          <w:sz w:val="24"/>
          <w:szCs w:val="24"/>
        </w:rPr>
        <w:t>s</w:t>
      </w:r>
      <w:r>
        <w:rPr>
          <w:rFonts w:ascii="Times New Roman" w:eastAsia="Times New Roman" w:hAnsi="Times New Roman" w:cs="Times New Roman"/>
          <w:b/>
          <w:bCs/>
          <w:spacing w:val="-6"/>
          <w:position w:val="-1"/>
          <w:sz w:val="24"/>
          <w:szCs w:val="24"/>
        </w:rPr>
        <w:t xml:space="preserve"> </w:t>
      </w:r>
      <w:r>
        <w:rPr>
          <w:rFonts w:ascii="Times New Roman" w:eastAsia="Times New Roman" w:hAnsi="Times New Roman" w:cs="Times New Roman"/>
          <w:b/>
          <w:bCs/>
          <w:spacing w:val="2"/>
          <w:position w:val="-1"/>
          <w:sz w:val="24"/>
          <w:szCs w:val="24"/>
        </w:rPr>
        <w:t>f</w:t>
      </w:r>
      <w:r>
        <w:rPr>
          <w:rFonts w:ascii="Times New Roman" w:eastAsia="Times New Roman" w:hAnsi="Times New Roman" w:cs="Times New Roman"/>
          <w:b/>
          <w:bCs/>
          <w:position w:val="-1"/>
          <w:sz w:val="24"/>
          <w:szCs w:val="24"/>
        </w:rPr>
        <w:t>or</w:t>
      </w:r>
      <w:r>
        <w:rPr>
          <w:rFonts w:ascii="Times New Roman" w:eastAsia="Times New Roman" w:hAnsi="Times New Roman" w:cs="Times New Roman"/>
          <w:b/>
          <w:bCs/>
          <w:spacing w:val="-3"/>
          <w:position w:val="-1"/>
          <w:sz w:val="24"/>
          <w:szCs w:val="24"/>
        </w:rPr>
        <w:t xml:space="preserve"> P</w:t>
      </w:r>
      <w:r>
        <w:rPr>
          <w:rFonts w:ascii="Times New Roman" w:eastAsia="Times New Roman" w:hAnsi="Times New Roman" w:cs="Times New Roman"/>
          <w:b/>
          <w:bCs/>
          <w:spacing w:val="1"/>
          <w:position w:val="-1"/>
          <w:sz w:val="24"/>
          <w:szCs w:val="24"/>
        </w:rPr>
        <w:t>Q</w:t>
      </w:r>
      <w:r>
        <w:rPr>
          <w:rFonts w:ascii="Times New Roman" w:eastAsia="Times New Roman" w:hAnsi="Times New Roman" w:cs="Times New Roman"/>
          <w:b/>
          <w:bCs/>
          <w:position w:val="-1"/>
          <w:sz w:val="24"/>
          <w:szCs w:val="24"/>
        </w:rPr>
        <w:t>I</w:t>
      </w:r>
      <w:r>
        <w:rPr>
          <w:rFonts w:ascii="Times New Roman" w:eastAsia="Times New Roman" w:hAnsi="Times New Roman" w:cs="Times New Roman"/>
          <w:b/>
          <w:bCs/>
          <w:spacing w:val="-3"/>
          <w:position w:val="-1"/>
          <w:sz w:val="24"/>
          <w:szCs w:val="24"/>
        </w:rPr>
        <w:t xml:space="preserve"> </w:t>
      </w:r>
      <w:r>
        <w:rPr>
          <w:rFonts w:ascii="Times New Roman" w:eastAsia="Times New Roman" w:hAnsi="Times New Roman" w:cs="Times New Roman"/>
          <w:b/>
          <w:bCs/>
          <w:position w:val="-1"/>
          <w:sz w:val="24"/>
          <w:szCs w:val="24"/>
        </w:rPr>
        <w:t xml:space="preserve">#10 </w:t>
      </w:r>
      <w:r>
        <w:rPr>
          <w:rFonts w:ascii="Times New Roman" w:eastAsia="Times New Roman" w:hAnsi="Times New Roman" w:cs="Times New Roman"/>
          <w:b/>
          <w:bCs/>
          <w:spacing w:val="-1"/>
          <w:position w:val="-1"/>
          <w:sz w:val="24"/>
          <w:szCs w:val="24"/>
        </w:rPr>
        <w:t>De</w:t>
      </w:r>
      <w:r>
        <w:rPr>
          <w:rFonts w:ascii="Times New Roman" w:eastAsia="Times New Roman" w:hAnsi="Times New Roman" w:cs="Times New Roman"/>
          <w:b/>
          <w:bCs/>
          <w:spacing w:val="1"/>
          <w:position w:val="-1"/>
          <w:sz w:val="24"/>
          <w:szCs w:val="24"/>
        </w:rPr>
        <w:t>h</w:t>
      </w:r>
      <w:r>
        <w:rPr>
          <w:rFonts w:ascii="Times New Roman" w:eastAsia="Times New Roman" w:hAnsi="Times New Roman" w:cs="Times New Roman"/>
          <w:b/>
          <w:bCs/>
          <w:position w:val="-1"/>
          <w:sz w:val="24"/>
          <w:szCs w:val="24"/>
        </w:rPr>
        <w:t>y</w:t>
      </w:r>
      <w:r>
        <w:rPr>
          <w:rFonts w:ascii="Times New Roman" w:eastAsia="Times New Roman" w:hAnsi="Times New Roman" w:cs="Times New Roman"/>
          <w:b/>
          <w:bCs/>
          <w:spacing w:val="1"/>
          <w:position w:val="-1"/>
          <w:sz w:val="24"/>
          <w:szCs w:val="24"/>
        </w:rPr>
        <w:t>d</w:t>
      </w:r>
      <w:r>
        <w:rPr>
          <w:rFonts w:ascii="Times New Roman" w:eastAsia="Times New Roman" w:hAnsi="Times New Roman" w:cs="Times New Roman"/>
          <w:b/>
          <w:bCs/>
          <w:spacing w:val="-1"/>
          <w:position w:val="-1"/>
          <w:sz w:val="24"/>
          <w:szCs w:val="24"/>
        </w:rPr>
        <w:t>r</w:t>
      </w:r>
      <w:r>
        <w:rPr>
          <w:rFonts w:ascii="Times New Roman" w:eastAsia="Times New Roman" w:hAnsi="Times New Roman" w:cs="Times New Roman"/>
          <w:b/>
          <w:bCs/>
          <w:position w:val="-1"/>
          <w:sz w:val="24"/>
          <w:szCs w:val="24"/>
        </w:rPr>
        <w:t>a</w:t>
      </w:r>
      <w:r>
        <w:rPr>
          <w:rFonts w:ascii="Times New Roman" w:eastAsia="Times New Roman" w:hAnsi="Times New Roman" w:cs="Times New Roman"/>
          <w:b/>
          <w:bCs/>
          <w:spacing w:val="-1"/>
          <w:position w:val="-1"/>
          <w:sz w:val="24"/>
          <w:szCs w:val="24"/>
        </w:rPr>
        <w:t>t</w:t>
      </w:r>
      <w:r>
        <w:rPr>
          <w:rFonts w:ascii="Times New Roman" w:eastAsia="Times New Roman" w:hAnsi="Times New Roman" w:cs="Times New Roman"/>
          <w:b/>
          <w:bCs/>
          <w:spacing w:val="1"/>
          <w:position w:val="-1"/>
          <w:sz w:val="24"/>
          <w:szCs w:val="24"/>
        </w:rPr>
        <w:t>i</w:t>
      </w:r>
      <w:r>
        <w:rPr>
          <w:rFonts w:ascii="Times New Roman" w:eastAsia="Times New Roman" w:hAnsi="Times New Roman" w:cs="Times New Roman"/>
          <w:b/>
          <w:bCs/>
          <w:position w:val="-1"/>
          <w:sz w:val="24"/>
          <w:szCs w:val="24"/>
        </w:rPr>
        <w:t>on</w:t>
      </w:r>
      <w:r>
        <w:rPr>
          <w:rFonts w:ascii="Times New Roman" w:eastAsia="Times New Roman" w:hAnsi="Times New Roman" w:cs="Times New Roman"/>
          <w:b/>
          <w:bCs/>
          <w:spacing w:val="-2"/>
          <w:position w:val="-1"/>
          <w:sz w:val="24"/>
          <w:szCs w:val="24"/>
        </w:rPr>
        <w:t xml:space="preserve"> </w:t>
      </w:r>
      <w:r>
        <w:rPr>
          <w:rFonts w:ascii="Times New Roman" w:eastAsia="Times New Roman" w:hAnsi="Times New Roman" w:cs="Times New Roman"/>
          <w:b/>
          <w:bCs/>
          <w:spacing w:val="-1"/>
          <w:position w:val="-1"/>
          <w:sz w:val="24"/>
          <w:szCs w:val="24"/>
        </w:rPr>
        <w:t>A</w:t>
      </w:r>
      <w:r>
        <w:rPr>
          <w:rFonts w:ascii="Times New Roman" w:eastAsia="Times New Roman" w:hAnsi="Times New Roman" w:cs="Times New Roman"/>
          <w:b/>
          <w:bCs/>
          <w:spacing w:val="1"/>
          <w:position w:val="-1"/>
          <w:sz w:val="24"/>
          <w:szCs w:val="24"/>
        </w:rPr>
        <w:t>d</w:t>
      </w:r>
      <w:r>
        <w:rPr>
          <w:rFonts w:ascii="Times New Roman" w:eastAsia="Times New Roman" w:hAnsi="Times New Roman" w:cs="Times New Roman"/>
          <w:b/>
          <w:bCs/>
          <w:spacing w:val="-3"/>
          <w:position w:val="-1"/>
          <w:sz w:val="24"/>
          <w:szCs w:val="24"/>
        </w:rPr>
        <w:t>m</w:t>
      </w:r>
      <w:r>
        <w:rPr>
          <w:rFonts w:ascii="Times New Roman" w:eastAsia="Times New Roman" w:hAnsi="Times New Roman" w:cs="Times New Roman"/>
          <w:b/>
          <w:bCs/>
          <w:spacing w:val="1"/>
          <w:position w:val="-1"/>
          <w:sz w:val="24"/>
          <w:szCs w:val="24"/>
        </w:rPr>
        <w:t>i</w:t>
      </w:r>
      <w:r>
        <w:rPr>
          <w:rFonts w:ascii="Times New Roman" w:eastAsia="Times New Roman" w:hAnsi="Times New Roman" w:cs="Times New Roman"/>
          <w:b/>
          <w:bCs/>
          <w:spacing w:val="3"/>
          <w:position w:val="-1"/>
          <w:sz w:val="24"/>
          <w:szCs w:val="24"/>
        </w:rPr>
        <w:t>s</w:t>
      </w:r>
      <w:r>
        <w:rPr>
          <w:rFonts w:ascii="Times New Roman" w:eastAsia="Times New Roman" w:hAnsi="Times New Roman" w:cs="Times New Roman"/>
          <w:b/>
          <w:bCs/>
          <w:position w:val="-1"/>
          <w:sz w:val="24"/>
          <w:szCs w:val="24"/>
        </w:rPr>
        <w:t>s</w:t>
      </w:r>
      <w:r>
        <w:rPr>
          <w:rFonts w:ascii="Times New Roman" w:eastAsia="Times New Roman" w:hAnsi="Times New Roman" w:cs="Times New Roman"/>
          <w:b/>
          <w:bCs/>
          <w:spacing w:val="1"/>
          <w:position w:val="-1"/>
          <w:sz w:val="24"/>
          <w:szCs w:val="24"/>
        </w:rPr>
        <w:t>i</w:t>
      </w:r>
      <w:r>
        <w:rPr>
          <w:rFonts w:ascii="Times New Roman" w:eastAsia="Times New Roman" w:hAnsi="Times New Roman" w:cs="Times New Roman"/>
          <w:b/>
          <w:bCs/>
          <w:position w:val="-1"/>
          <w:sz w:val="24"/>
          <w:szCs w:val="24"/>
        </w:rPr>
        <w:t xml:space="preserve">on </w:t>
      </w:r>
      <w:r>
        <w:rPr>
          <w:rFonts w:ascii="Times New Roman" w:eastAsia="Times New Roman" w:hAnsi="Times New Roman" w:cs="Times New Roman"/>
          <w:b/>
          <w:bCs/>
          <w:spacing w:val="-1"/>
          <w:position w:val="-1"/>
          <w:sz w:val="24"/>
          <w:szCs w:val="24"/>
        </w:rPr>
        <w:t>R</w:t>
      </w:r>
      <w:r>
        <w:rPr>
          <w:rFonts w:ascii="Times New Roman" w:eastAsia="Times New Roman" w:hAnsi="Times New Roman" w:cs="Times New Roman"/>
          <w:b/>
          <w:bCs/>
          <w:position w:val="-1"/>
          <w:sz w:val="24"/>
          <w:szCs w:val="24"/>
        </w:rPr>
        <w:t>a</w:t>
      </w:r>
      <w:r>
        <w:rPr>
          <w:rFonts w:ascii="Times New Roman" w:eastAsia="Times New Roman" w:hAnsi="Times New Roman" w:cs="Times New Roman"/>
          <w:b/>
          <w:bCs/>
          <w:spacing w:val="-1"/>
          <w:position w:val="-1"/>
          <w:sz w:val="24"/>
          <w:szCs w:val="24"/>
        </w:rPr>
        <w:t>t</w:t>
      </w:r>
      <w:r>
        <w:rPr>
          <w:rFonts w:ascii="Times New Roman" w:eastAsia="Times New Roman" w:hAnsi="Times New Roman" w:cs="Times New Roman"/>
          <w:b/>
          <w:bCs/>
          <w:position w:val="-1"/>
          <w:sz w:val="24"/>
          <w:szCs w:val="24"/>
        </w:rPr>
        <w:t>e</w:t>
      </w:r>
    </w:p>
    <w:tbl>
      <w:tblPr>
        <w:tblW w:w="9720" w:type="dxa"/>
        <w:tblInd w:w="10" w:type="dxa"/>
        <w:tblLayout w:type="fixed"/>
        <w:tblCellMar>
          <w:left w:w="0" w:type="dxa"/>
          <w:right w:w="0" w:type="dxa"/>
        </w:tblCellMar>
        <w:tblLook w:val="01E0" w:firstRow="1" w:lastRow="1" w:firstColumn="1" w:lastColumn="1" w:noHBand="0" w:noVBand="0"/>
      </w:tblPr>
      <w:tblGrid>
        <w:gridCol w:w="1421"/>
        <w:gridCol w:w="1737"/>
        <w:gridCol w:w="360"/>
        <w:gridCol w:w="1143"/>
        <w:gridCol w:w="1530"/>
        <w:gridCol w:w="1710"/>
        <w:gridCol w:w="1819"/>
      </w:tblGrid>
      <w:tr w:rsidR="006D3C82" w:rsidRPr="00D22BD3" w:rsidTr="006D3C82">
        <w:trPr>
          <w:trHeight w:val="21"/>
        </w:trPr>
        <w:tc>
          <w:tcPr>
            <w:tcW w:w="1421" w:type="dxa"/>
            <w:tcBorders>
              <w:top w:val="single" w:sz="8" w:space="0" w:color="000000"/>
              <w:left w:val="single" w:sz="8" w:space="0" w:color="000000"/>
              <w:bottom w:val="single" w:sz="8" w:space="0" w:color="000000"/>
              <w:right w:val="single" w:sz="8" w:space="0" w:color="000000"/>
            </w:tcBorders>
            <w:shd w:val="clear" w:color="auto" w:fill="365F91"/>
          </w:tcPr>
          <w:p w:rsidR="006D3C82" w:rsidRPr="00D22BD3" w:rsidRDefault="006D3C82" w:rsidP="00181BBE">
            <w:pPr>
              <w:spacing w:before="18" w:after="0" w:line="240" w:lineRule="auto"/>
              <w:ind w:left="97" w:right="-20"/>
              <w:rPr>
                <w:rFonts w:ascii="Times New Roman" w:eastAsia="Times New Roman" w:hAnsi="Times New Roman" w:cs="Times New Roman"/>
                <w:sz w:val="20"/>
                <w:szCs w:val="20"/>
              </w:rPr>
            </w:pPr>
            <w:r w:rsidRPr="00D22BD3">
              <w:rPr>
                <w:rFonts w:ascii="Times New Roman" w:eastAsia="Times New Roman" w:hAnsi="Times New Roman" w:cs="Times New Roman"/>
                <w:b/>
                <w:bCs/>
                <w:color w:val="FFFFFF"/>
                <w:spacing w:val="1"/>
                <w:sz w:val="20"/>
                <w:szCs w:val="20"/>
              </w:rPr>
              <w:t>P</w:t>
            </w:r>
            <w:r w:rsidRPr="00D22BD3">
              <w:rPr>
                <w:rFonts w:ascii="Times New Roman" w:eastAsia="Times New Roman" w:hAnsi="Times New Roman" w:cs="Times New Roman"/>
                <w:b/>
                <w:bCs/>
                <w:color w:val="FFFFFF"/>
                <w:sz w:val="20"/>
                <w:szCs w:val="20"/>
              </w:rPr>
              <w:t>ARA</w:t>
            </w:r>
            <w:r w:rsidRPr="00D22BD3">
              <w:rPr>
                <w:rFonts w:ascii="Times New Roman" w:eastAsia="Times New Roman" w:hAnsi="Times New Roman" w:cs="Times New Roman"/>
                <w:b/>
                <w:bCs/>
                <w:color w:val="FFFFFF"/>
                <w:spacing w:val="4"/>
                <w:sz w:val="20"/>
                <w:szCs w:val="20"/>
              </w:rPr>
              <w:t>M</w:t>
            </w:r>
            <w:r w:rsidRPr="00D22BD3">
              <w:rPr>
                <w:rFonts w:ascii="Times New Roman" w:eastAsia="Times New Roman" w:hAnsi="Times New Roman" w:cs="Times New Roman"/>
                <w:b/>
                <w:bCs/>
                <w:color w:val="FFFFFF"/>
                <w:spacing w:val="-1"/>
                <w:sz w:val="20"/>
                <w:szCs w:val="20"/>
              </w:rPr>
              <w:t>ETER</w:t>
            </w:r>
          </w:p>
        </w:tc>
        <w:tc>
          <w:tcPr>
            <w:tcW w:w="1737" w:type="dxa"/>
            <w:tcBorders>
              <w:top w:val="single" w:sz="8" w:space="0" w:color="000000"/>
              <w:left w:val="single" w:sz="8" w:space="0" w:color="000000"/>
              <w:bottom w:val="single" w:sz="8" w:space="0" w:color="000000"/>
              <w:right w:val="single" w:sz="8" w:space="0" w:color="000000"/>
            </w:tcBorders>
            <w:shd w:val="clear" w:color="auto" w:fill="365F91"/>
          </w:tcPr>
          <w:p w:rsidR="006D3C82" w:rsidRPr="00D22BD3" w:rsidRDefault="006D3C82" w:rsidP="00181BBE">
            <w:pPr>
              <w:spacing w:before="18" w:after="0" w:line="240" w:lineRule="auto"/>
              <w:ind w:left="462" w:right="-20"/>
              <w:rPr>
                <w:rFonts w:ascii="Times New Roman" w:eastAsia="Times New Roman" w:hAnsi="Times New Roman" w:cs="Times New Roman"/>
                <w:sz w:val="20"/>
                <w:szCs w:val="20"/>
              </w:rPr>
            </w:pPr>
            <w:r w:rsidRPr="00D22BD3">
              <w:rPr>
                <w:rFonts w:ascii="Times New Roman" w:eastAsia="Times New Roman" w:hAnsi="Times New Roman" w:cs="Times New Roman"/>
                <w:b/>
                <w:bCs/>
                <w:color w:val="FFFFFF"/>
                <w:spacing w:val="-1"/>
                <w:sz w:val="20"/>
                <w:szCs w:val="20"/>
              </w:rPr>
              <w:t>L</w:t>
            </w:r>
            <w:r w:rsidRPr="00D22BD3">
              <w:rPr>
                <w:rFonts w:ascii="Times New Roman" w:eastAsia="Times New Roman" w:hAnsi="Times New Roman" w:cs="Times New Roman"/>
                <w:b/>
                <w:bCs/>
                <w:color w:val="FFFFFF"/>
                <w:sz w:val="20"/>
                <w:szCs w:val="20"/>
              </w:rPr>
              <w:t>A</w:t>
            </w:r>
            <w:r w:rsidRPr="00D22BD3">
              <w:rPr>
                <w:rFonts w:ascii="Times New Roman" w:eastAsia="Times New Roman" w:hAnsi="Times New Roman" w:cs="Times New Roman"/>
                <w:b/>
                <w:bCs/>
                <w:color w:val="FFFFFF"/>
                <w:spacing w:val="2"/>
                <w:sz w:val="20"/>
                <w:szCs w:val="20"/>
              </w:rPr>
              <w:t>BEL</w:t>
            </w:r>
          </w:p>
        </w:tc>
        <w:tc>
          <w:tcPr>
            <w:tcW w:w="360" w:type="dxa"/>
            <w:tcBorders>
              <w:top w:val="single" w:sz="8" w:space="0" w:color="000000"/>
              <w:left w:val="single" w:sz="8" w:space="0" w:color="000000"/>
              <w:bottom w:val="single" w:sz="8" w:space="0" w:color="000000"/>
              <w:right w:val="single" w:sz="8" w:space="0" w:color="000000"/>
            </w:tcBorders>
            <w:shd w:val="clear" w:color="auto" w:fill="365F91"/>
          </w:tcPr>
          <w:p w:rsidR="006D3C82" w:rsidRPr="00D22BD3" w:rsidRDefault="006D3C82" w:rsidP="00181BBE">
            <w:pPr>
              <w:spacing w:before="18" w:after="0" w:line="240" w:lineRule="auto"/>
              <w:ind w:left="35" w:right="-20"/>
              <w:rPr>
                <w:rFonts w:ascii="Times New Roman" w:eastAsia="Times New Roman" w:hAnsi="Times New Roman" w:cs="Times New Roman"/>
                <w:sz w:val="20"/>
                <w:szCs w:val="20"/>
              </w:rPr>
            </w:pPr>
            <w:r w:rsidRPr="00D22BD3">
              <w:rPr>
                <w:rFonts w:ascii="Times New Roman" w:eastAsia="Times New Roman" w:hAnsi="Times New Roman" w:cs="Times New Roman"/>
                <w:b/>
                <w:bCs/>
                <w:color w:val="FFFFFF"/>
                <w:sz w:val="20"/>
                <w:szCs w:val="20"/>
              </w:rPr>
              <w:t>DF</w:t>
            </w:r>
          </w:p>
        </w:tc>
        <w:tc>
          <w:tcPr>
            <w:tcW w:w="1143" w:type="dxa"/>
            <w:tcBorders>
              <w:top w:val="single" w:sz="8" w:space="0" w:color="000000"/>
              <w:left w:val="single" w:sz="8" w:space="0" w:color="000000"/>
              <w:bottom w:val="single" w:sz="8" w:space="0" w:color="000000"/>
              <w:right w:val="single" w:sz="8" w:space="0" w:color="000000"/>
            </w:tcBorders>
            <w:shd w:val="clear" w:color="auto" w:fill="365F91"/>
          </w:tcPr>
          <w:p w:rsidR="006D3C82" w:rsidRPr="00D22BD3" w:rsidRDefault="006D3C82" w:rsidP="00181BBE">
            <w:pPr>
              <w:spacing w:before="18" w:after="0" w:line="240" w:lineRule="auto"/>
              <w:ind w:left="85" w:right="-20"/>
              <w:rPr>
                <w:rFonts w:ascii="Times New Roman" w:eastAsia="Times New Roman" w:hAnsi="Times New Roman" w:cs="Times New Roman"/>
                <w:sz w:val="20"/>
                <w:szCs w:val="20"/>
              </w:rPr>
            </w:pPr>
            <w:r w:rsidRPr="00D22BD3">
              <w:rPr>
                <w:rFonts w:ascii="Times New Roman" w:eastAsia="Times New Roman" w:hAnsi="Times New Roman" w:cs="Times New Roman"/>
                <w:b/>
                <w:bCs/>
                <w:color w:val="FFFFFF"/>
                <w:spacing w:val="-1"/>
                <w:sz w:val="20"/>
                <w:szCs w:val="20"/>
              </w:rPr>
              <w:t>E</w:t>
            </w:r>
            <w:r w:rsidRPr="00D22BD3">
              <w:rPr>
                <w:rFonts w:ascii="Times New Roman" w:eastAsia="Times New Roman" w:hAnsi="Times New Roman" w:cs="Times New Roman"/>
                <w:b/>
                <w:bCs/>
                <w:color w:val="FFFFFF"/>
                <w:spacing w:val="2"/>
                <w:sz w:val="20"/>
                <w:szCs w:val="20"/>
              </w:rPr>
              <w:t>S</w:t>
            </w:r>
            <w:r w:rsidRPr="00D22BD3">
              <w:rPr>
                <w:rFonts w:ascii="Times New Roman" w:eastAsia="Times New Roman" w:hAnsi="Times New Roman" w:cs="Times New Roman"/>
                <w:b/>
                <w:bCs/>
                <w:color w:val="FFFFFF"/>
                <w:spacing w:val="-1"/>
                <w:sz w:val="20"/>
                <w:szCs w:val="20"/>
              </w:rPr>
              <w:t>TI</w:t>
            </w:r>
            <w:r w:rsidRPr="00D22BD3">
              <w:rPr>
                <w:rFonts w:ascii="Times New Roman" w:eastAsia="Times New Roman" w:hAnsi="Times New Roman" w:cs="Times New Roman"/>
                <w:b/>
                <w:bCs/>
                <w:color w:val="FFFFFF"/>
                <w:spacing w:val="4"/>
                <w:sz w:val="20"/>
                <w:szCs w:val="20"/>
              </w:rPr>
              <w:t>M</w:t>
            </w:r>
            <w:r w:rsidRPr="00D22BD3">
              <w:rPr>
                <w:rFonts w:ascii="Times New Roman" w:eastAsia="Times New Roman" w:hAnsi="Times New Roman" w:cs="Times New Roman"/>
                <w:b/>
                <w:bCs/>
                <w:color w:val="FFFFFF"/>
                <w:sz w:val="20"/>
                <w:szCs w:val="20"/>
              </w:rPr>
              <w:t>A</w:t>
            </w:r>
            <w:r w:rsidRPr="00D22BD3">
              <w:rPr>
                <w:rFonts w:ascii="Times New Roman" w:eastAsia="Times New Roman" w:hAnsi="Times New Roman" w:cs="Times New Roman"/>
                <w:b/>
                <w:bCs/>
                <w:color w:val="FFFFFF"/>
                <w:spacing w:val="-1"/>
                <w:sz w:val="20"/>
                <w:szCs w:val="20"/>
              </w:rPr>
              <w:t>TE</w:t>
            </w:r>
          </w:p>
        </w:tc>
        <w:tc>
          <w:tcPr>
            <w:tcW w:w="1530" w:type="dxa"/>
            <w:tcBorders>
              <w:top w:val="single" w:sz="8" w:space="0" w:color="000000"/>
              <w:left w:val="single" w:sz="8" w:space="0" w:color="000000"/>
              <w:bottom w:val="single" w:sz="8" w:space="0" w:color="000000"/>
              <w:right w:val="single" w:sz="8" w:space="0" w:color="000000"/>
            </w:tcBorders>
            <w:shd w:val="clear" w:color="auto" w:fill="365F91"/>
          </w:tcPr>
          <w:p w:rsidR="006D3C82" w:rsidRPr="00D22BD3" w:rsidRDefault="006D3C82" w:rsidP="00181BBE">
            <w:pPr>
              <w:spacing w:before="18" w:after="0" w:line="240" w:lineRule="auto"/>
              <w:ind w:left="136" w:right="-20"/>
              <w:rPr>
                <w:rFonts w:ascii="Times New Roman" w:eastAsia="Times New Roman" w:hAnsi="Times New Roman" w:cs="Times New Roman"/>
                <w:sz w:val="20"/>
                <w:szCs w:val="20"/>
              </w:rPr>
            </w:pPr>
            <w:r w:rsidRPr="00D22BD3">
              <w:rPr>
                <w:rFonts w:ascii="Times New Roman" w:eastAsia="Times New Roman" w:hAnsi="Times New Roman" w:cs="Times New Roman"/>
                <w:b/>
                <w:bCs/>
                <w:color w:val="FFFFFF"/>
                <w:sz w:val="20"/>
                <w:szCs w:val="20"/>
              </w:rPr>
              <w:t>S</w:t>
            </w:r>
            <w:r w:rsidRPr="00D22BD3">
              <w:rPr>
                <w:rFonts w:ascii="Times New Roman" w:eastAsia="Times New Roman" w:hAnsi="Times New Roman" w:cs="Times New Roman"/>
                <w:b/>
                <w:bCs/>
                <w:color w:val="FFFFFF"/>
                <w:spacing w:val="-1"/>
                <w:sz w:val="20"/>
                <w:szCs w:val="20"/>
              </w:rPr>
              <w:t>T</w:t>
            </w:r>
            <w:r w:rsidRPr="00D22BD3">
              <w:rPr>
                <w:rFonts w:ascii="Times New Roman" w:eastAsia="Times New Roman" w:hAnsi="Times New Roman" w:cs="Times New Roman"/>
                <w:b/>
                <w:bCs/>
                <w:color w:val="FFFFFF"/>
                <w:sz w:val="20"/>
                <w:szCs w:val="20"/>
              </w:rPr>
              <w:t>AN</w:t>
            </w:r>
            <w:r w:rsidRPr="00D22BD3">
              <w:rPr>
                <w:rFonts w:ascii="Times New Roman" w:eastAsia="Times New Roman" w:hAnsi="Times New Roman" w:cs="Times New Roman"/>
                <w:b/>
                <w:bCs/>
                <w:color w:val="FFFFFF"/>
                <w:spacing w:val="2"/>
                <w:sz w:val="20"/>
                <w:szCs w:val="20"/>
              </w:rPr>
              <w:t>D</w:t>
            </w:r>
            <w:r w:rsidRPr="00D22BD3">
              <w:rPr>
                <w:rFonts w:ascii="Times New Roman" w:eastAsia="Times New Roman" w:hAnsi="Times New Roman" w:cs="Times New Roman"/>
                <w:b/>
                <w:bCs/>
                <w:color w:val="FFFFFF"/>
                <w:sz w:val="20"/>
                <w:szCs w:val="20"/>
              </w:rPr>
              <w:t>ARD</w:t>
            </w:r>
            <w:r w:rsidRPr="00D22BD3">
              <w:rPr>
                <w:rFonts w:ascii="Times New Roman" w:eastAsia="Times New Roman" w:hAnsi="Times New Roman" w:cs="Times New Roman"/>
                <w:b/>
                <w:bCs/>
                <w:color w:val="FFFFFF"/>
                <w:spacing w:val="-11"/>
                <w:sz w:val="20"/>
                <w:szCs w:val="20"/>
              </w:rPr>
              <w:t xml:space="preserve"> </w:t>
            </w:r>
            <w:r w:rsidRPr="00D22BD3">
              <w:rPr>
                <w:rFonts w:ascii="Times New Roman" w:eastAsia="Times New Roman" w:hAnsi="Times New Roman" w:cs="Times New Roman"/>
                <w:b/>
                <w:bCs/>
                <w:color w:val="FFFFFF"/>
                <w:spacing w:val="2"/>
                <w:sz w:val="20"/>
                <w:szCs w:val="20"/>
              </w:rPr>
              <w:t>E</w:t>
            </w:r>
            <w:r w:rsidRPr="00D22BD3">
              <w:rPr>
                <w:rFonts w:ascii="Times New Roman" w:eastAsia="Times New Roman" w:hAnsi="Times New Roman" w:cs="Times New Roman"/>
                <w:b/>
                <w:bCs/>
                <w:color w:val="FFFFFF"/>
                <w:sz w:val="20"/>
                <w:szCs w:val="20"/>
              </w:rPr>
              <w:t>RR</w:t>
            </w:r>
            <w:r w:rsidRPr="00D22BD3">
              <w:rPr>
                <w:rFonts w:ascii="Times New Roman" w:eastAsia="Times New Roman" w:hAnsi="Times New Roman" w:cs="Times New Roman"/>
                <w:b/>
                <w:bCs/>
                <w:color w:val="FFFFFF"/>
                <w:spacing w:val="1"/>
                <w:sz w:val="20"/>
                <w:szCs w:val="20"/>
              </w:rPr>
              <w:t>O</w:t>
            </w:r>
            <w:r w:rsidRPr="00D22BD3">
              <w:rPr>
                <w:rFonts w:ascii="Times New Roman" w:eastAsia="Times New Roman" w:hAnsi="Times New Roman" w:cs="Times New Roman"/>
                <w:b/>
                <w:bCs/>
                <w:color w:val="FFFFFF"/>
                <w:sz w:val="20"/>
                <w:szCs w:val="20"/>
              </w:rPr>
              <w:t>R</w:t>
            </w:r>
          </w:p>
        </w:tc>
        <w:tc>
          <w:tcPr>
            <w:tcW w:w="1710" w:type="dxa"/>
            <w:tcBorders>
              <w:top w:val="single" w:sz="8" w:space="0" w:color="000000"/>
              <w:left w:val="single" w:sz="8" w:space="0" w:color="000000"/>
              <w:bottom w:val="single" w:sz="8" w:space="0" w:color="000000"/>
              <w:right w:val="single" w:sz="8" w:space="0" w:color="000000"/>
            </w:tcBorders>
            <w:shd w:val="clear" w:color="auto" w:fill="365F91"/>
          </w:tcPr>
          <w:p w:rsidR="006D3C82" w:rsidRPr="00D22BD3" w:rsidRDefault="006D3C82" w:rsidP="00181BBE">
            <w:pPr>
              <w:spacing w:before="18" w:after="0" w:line="240" w:lineRule="auto"/>
              <w:ind w:left="138" w:right="-20"/>
              <w:rPr>
                <w:rFonts w:ascii="Times New Roman" w:eastAsia="Times New Roman" w:hAnsi="Times New Roman" w:cs="Times New Roman"/>
                <w:sz w:val="20"/>
                <w:szCs w:val="20"/>
              </w:rPr>
            </w:pPr>
            <w:r w:rsidRPr="00D22BD3">
              <w:rPr>
                <w:rFonts w:ascii="Times New Roman" w:eastAsia="Times New Roman" w:hAnsi="Times New Roman" w:cs="Times New Roman"/>
                <w:b/>
                <w:bCs/>
                <w:color w:val="FFFFFF"/>
                <w:sz w:val="20"/>
                <w:szCs w:val="20"/>
              </w:rPr>
              <w:t>WA</w:t>
            </w:r>
            <w:r w:rsidRPr="00D22BD3">
              <w:rPr>
                <w:rFonts w:ascii="Times New Roman" w:eastAsia="Times New Roman" w:hAnsi="Times New Roman" w:cs="Times New Roman"/>
                <w:b/>
                <w:bCs/>
                <w:color w:val="FFFFFF"/>
                <w:spacing w:val="-1"/>
                <w:sz w:val="20"/>
                <w:szCs w:val="20"/>
              </w:rPr>
              <w:t>L</w:t>
            </w:r>
            <w:r w:rsidRPr="00D22BD3">
              <w:rPr>
                <w:rFonts w:ascii="Times New Roman" w:eastAsia="Times New Roman" w:hAnsi="Times New Roman" w:cs="Times New Roman"/>
                <w:b/>
                <w:bCs/>
                <w:color w:val="FFFFFF"/>
                <w:sz w:val="20"/>
                <w:szCs w:val="20"/>
              </w:rPr>
              <w:t>D</w:t>
            </w:r>
            <w:r w:rsidRPr="00D22BD3">
              <w:rPr>
                <w:rFonts w:ascii="Times New Roman" w:eastAsia="Times New Roman" w:hAnsi="Times New Roman" w:cs="Times New Roman"/>
                <w:b/>
                <w:bCs/>
                <w:color w:val="FFFFFF"/>
                <w:spacing w:val="-5"/>
                <w:sz w:val="20"/>
                <w:szCs w:val="20"/>
              </w:rPr>
              <w:t xml:space="preserve"> </w:t>
            </w:r>
            <w:r w:rsidRPr="00D22BD3">
              <w:rPr>
                <w:rFonts w:ascii="Times New Roman" w:eastAsia="Times New Roman" w:hAnsi="Times New Roman" w:cs="Times New Roman"/>
                <w:b/>
                <w:bCs/>
                <w:color w:val="FFFFFF"/>
                <w:sz w:val="20"/>
                <w:szCs w:val="20"/>
              </w:rPr>
              <w:t>C</w:t>
            </w:r>
            <w:r w:rsidRPr="00D22BD3">
              <w:rPr>
                <w:rFonts w:ascii="Times New Roman" w:eastAsia="Times New Roman" w:hAnsi="Times New Roman" w:cs="Times New Roman"/>
                <w:b/>
                <w:bCs/>
                <w:color w:val="FFFFFF"/>
                <w:spacing w:val="3"/>
                <w:sz w:val="20"/>
                <w:szCs w:val="20"/>
              </w:rPr>
              <w:t>H</w:t>
            </w:r>
            <w:r w:rsidRPr="00D22BD3">
              <w:rPr>
                <w:rFonts w:ascii="Times New Roman" w:eastAsia="Times New Roman" w:hAnsi="Times New Roman" w:cs="Times New Roman"/>
                <w:b/>
                <w:bCs/>
                <w:color w:val="FFFFFF"/>
                <w:spacing w:val="-1"/>
                <w:sz w:val="20"/>
                <w:szCs w:val="20"/>
              </w:rPr>
              <w:t>I</w:t>
            </w:r>
            <w:r w:rsidRPr="00D22BD3">
              <w:rPr>
                <w:rFonts w:ascii="Times New Roman" w:eastAsia="Times New Roman" w:hAnsi="Times New Roman" w:cs="Times New Roman"/>
                <w:b/>
                <w:bCs/>
                <w:color w:val="FFFFFF"/>
                <w:spacing w:val="1"/>
                <w:sz w:val="20"/>
                <w:szCs w:val="20"/>
              </w:rPr>
              <w:t>-</w:t>
            </w:r>
            <w:r w:rsidRPr="00D22BD3">
              <w:rPr>
                <w:rFonts w:ascii="Times New Roman" w:eastAsia="Times New Roman" w:hAnsi="Times New Roman" w:cs="Times New Roman"/>
                <w:b/>
                <w:bCs/>
                <w:color w:val="FFFFFF"/>
                <w:spacing w:val="2"/>
                <w:sz w:val="20"/>
                <w:szCs w:val="20"/>
              </w:rPr>
              <w:t>S</w:t>
            </w:r>
            <w:r w:rsidRPr="00D22BD3">
              <w:rPr>
                <w:rFonts w:ascii="Times New Roman" w:eastAsia="Times New Roman" w:hAnsi="Times New Roman" w:cs="Times New Roman"/>
                <w:b/>
                <w:bCs/>
                <w:color w:val="FFFFFF"/>
                <w:spacing w:val="-1"/>
                <w:sz w:val="20"/>
                <w:szCs w:val="20"/>
              </w:rPr>
              <w:t>Q</w:t>
            </w:r>
            <w:r w:rsidRPr="00D22BD3">
              <w:rPr>
                <w:rFonts w:ascii="Times New Roman" w:eastAsia="Times New Roman" w:hAnsi="Times New Roman" w:cs="Times New Roman"/>
                <w:b/>
                <w:bCs/>
                <w:color w:val="FFFFFF"/>
                <w:sz w:val="20"/>
                <w:szCs w:val="20"/>
              </w:rPr>
              <w:t>UA</w:t>
            </w:r>
            <w:r w:rsidRPr="00D22BD3">
              <w:rPr>
                <w:rFonts w:ascii="Times New Roman" w:eastAsia="Times New Roman" w:hAnsi="Times New Roman" w:cs="Times New Roman"/>
                <w:b/>
                <w:bCs/>
                <w:color w:val="FFFFFF"/>
                <w:spacing w:val="2"/>
                <w:sz w:val="20"/>
                <w:szCs w:val="20"/>
              </w:rPr>
              <w:t>R</w:t>
            </w:r>
            <w:r w:rsidRPr="00D22BD3">
              <w:rPr>
                <w:rFonts w:ascii="Times New Roman" w:eastAsia="Times New Roman" w:hAnsi="Times New Roman" w:cs="Times New Roman"/>
                <w:b/>
                <w:bCs/>
                <w:color w:val="FFFFFF"/>
                <w:sz w:val="20"/>
                <w:szCs w:val="20"/>
              </w:rPr>
              <w:t>E</w:t>
            </w:r>
          </w:p>
        </w:tc>
        <w:tc>
          <w:tcPr>
            <w:tcW w:w="1819" w:type="dxa"/>
            <w:tcBorders>
              <w:top w:val="single" w:sz="8" w:space="0" w:color="000000"/>
              <w:left w:val="single" w:sz="8" w:space="0" w:color="000000"/>
              <w:bottom w:val="single" w:sz="8" w:space="0" w:color="000000"/>
              <w:right w:val="single" w:sz="8" w:space="0" w:color="000000"/>
            </w:tcBorders>
            <w:shd w:val="clear" w:color="auto" w:fill="365F91"/>
          </w:tcPr>
          <w:p w:rsidR="006D3C82" w:rsidRPr="00D22BD3" w:rsidRDefault="006D3C82" w:rsidP="00181BBE">
            <w:pPr>
              <w:spacing w:before="18" w:after="0" w:line="240" w:lineRule="auto"/>
              <w:ind w:left="138" w:right="-20"/>
              <w:rPr>
                <w:rFonts w:ascii="Times New Roman" w:eastAsia="Times New Roman" w:hAnsi="Times New Roman" w:cs="Times New Roman"/>
                <w:sz w:val="20"/>
                <w:szCs w:val="20"/>
              </w:rPr>
            </w:pPr>
            <w:r w:rsidRPr="00D22BD3">
              <w:rPr>
                <w:rFonts w:ascii="Times New Roman" w:eastAsia="Times New Roman" w:hAnsi="Times New Roman" w:cs="Times New Roman"/>
                <w:b/>
                <w:bCs/>
                <w:color w:val="FFFFFF"/>
                <w:spacing w:val="1"/>
                <w:sz w:val="20"/>
                <w:szCs w:val="20"/>
              </w:rPr>
              <w:t>P</w:t>
            </w:r>
            <w:r w:rsidRPr="00D22BD3">
              <w:rPr>
                <w:rFonts w:ascii="Times New Roman" w:eastAsia="Times New Roman" w:hAnsi="Times New Roman" w:cs="Times New Roman"/>
                <w:b/>
                <w:bCs/>
                <w:color w:val="FFFFFF"/>
                <w:sz w:val="20"/>
                <w:szCs w:val="20"/>
              </w:rPr>
              <w:t>R</w:t>
            </w:r>
            <w:r w:rsidRPr="00D22BD3">
              <w:rPr>
                <w:rFonts w:ascii="Times New Roman" w:eastAsia="Times New Roman" w:hAnsi="Times New Roman" w:cs="Times New Roman"/>
                <w:b/>
                <w:bCs/>
                <w:color w:val="FFFFFF"/>
                <w:spacing w:val="-2"/>
                <w:sz w:val="20"/>
                <w:szCs w:val="20"/>
              </w:rPr>
              <w:t xml:space="preserve"> </w:t>
            </w:r>
            <w:r w:rsidRPr="00D22BD3">
              <w:rPr>
                <w:rFonts w:ascii="Times New Roman" w:eastAsia="Times New Roman" w:hAnsi="Times New Roman" w:cs="Times New Roman"/>
                <w:b/>
                <w:bCs/>
                <w:color w:val="FFFFFF"/>
                <w:sz w:val="20"/>
                <w:szCs w:val="20"/>
              </w:rPr>
              <w:t>&gt;</w:t>
            </w:r>
            <w:r w:rsidRPr="00D22BD3">
              <w:rPr>
                <w:rFonts w:ascii="Times New Roman" w:eastAsia="Times New Roman" w:hAnsi="Times New Roman" w:cs="Times New Roman"/>
                <w:b/>
                <w:bCs/>
                <w:color w:val="FFFFFF"/>
                <w:spacing w:val="-1"/>
                <w:sz w:val="20"/>
                <w:szCs w:val="20"/>
              </w:rPr>
              <w:t xml:space="preserve"> </w:t>
            </w:r>
            <w:r w:rsidRPr="00D22BD3">
              <w:rPr>
                <w:rFonts w:ascii="Times New Roman" w:eastAsia="Times New Roman" w:hAnsi="Times New Roman" w:cs="Times New Roman"/>
                <w:b/>
                <w:bCs/>
                <w:color w:val="FFFFFF"/>
                <w:sz w:val="20"/>
                <w:szCs w:val="20"/>
              </w:rPr>
              <w:t>C</w:t>
            </w:r>
            <w:r w:rsidRPr="00D22BD3">
              <w:rPr>
                <w:rFonts w:ascii="Times New Roman" w:eastAsia="Times New Roman" w:hAnsi="Times New Roman" w:cs="Times New Roman"/>
                <w:b/>
                <w:bCs/>
                <w:color w:val="FFFFFF"/>
                <w:spacing w:val="1"/>
                <w:sz w:val="20"/>
                <w:szCs w:val="20"/>
              </w:rPr>
              <w:t>H</w:t>
            </w:r>
            <w:r w:rsidRPr="00D22BD3">
              <w:rPr>
                <w:rFonts w:ascii="Times New Roman" w:eastAsia="Times New Roman" w:hAnsi="Times New Roman" w:cs="Times New Roman"/>
                <w:b/>
                <w:bCs/>
                <w:color w:val="FFFFFF"/>
                <w:spacing w:val="-1"/>
                <w:sz w:val="20"/>
                <w:szCs w:val="20"/>
              </w:rPr>
              <w:t>I</w:t>
            </w:r>
            <w:r w:rsidRPr="00D22BD3">
              <w:rPr>
                <w:rFonts w:ascii="Times New Roman" w:eastAsia="Times New Roman" w:hAnsi="Times New Roman" w:cs="Times New Roman"/>
                <w:b/>
                <w:bCs/>
                <w:color w:val="FFFFFF"/>
                <w:spacing w:val="1"/>
                <w:sz w:val="20"/>
                <w:szCs w:val="20"/>
              </w:rPr>
              <w:t>-</w:t>
            </w:r>
            <w:r w:rsidRPr="00D22BD3">
              <w:rPr>
                <w:rFonts w:ascii="Times New Roman" w:eastAsia="Times New Roman" w:hAnsi="Times New Roman" w:cs="Times New Roman"/>
                <w:b/>
                <w:bCs/>
                <w:color w:val="FFFFFF"/>
                <w:spacing w:val="2"/>
                <w:sz w:val="20"/>
                <w:szCs w:val="20"/>
              </w:rPr>
              <w:t>S</w:t>
            </w:r>
            <w:r w:rsidRPr="00D22BD3">
              <w:rPr>
                <w:rFonts w:ascii="Times New Roman" w:eastAsia="Times New Roman" w:hAnsi="Times New Roman" w:cs="Times New Roman"/>
                <w:b/>
                <w:bCs/>
                <w:color w:val="FFFFFF"/>
                <w:spacing w:val="-1"/>
                <w:sz w:val="20"/>
                <w:szCs w:val="20"/>
              </w:rPr>
              <w:t>Q</w:t>
            </w:r>
            <w:r w:rsidRPr="00D22BD3">
              <w:rPr>
                <w:rFonts w:ascii="Times New Roman" w:eastAsia="Times New Roman" w:hAnsi="Times New Roman" w:cs="Times New Roman"/>
                <w:b/>
                <w:bCs/>
                <w:color w:val="FFFFFF"/>
                <w:sz w:val="20"/>
                <w:szCs w:val="20"/>
              </w:rPr>
              <w:t>UA</w:t>
            </w:r>
            <w:r w:rsidRPr="00D22BD3">
              <w:rPr>
                <w:rFonts w:ascii="Times New Roman" w:eastAsia="Times New Roman" w:hAnsi="Times New Roman" w:cs="Times New Roman"/>
                <w:b/>
                <w:bCs/>
                <w:color w:val="FFFFFF"/>
                <w:spacing w:val="2"/>
                <w:sz w:val="20"/>
                <w:szCs w:val="20"/>
              </w:rPr>
              <w:t>R</w:t>
            </w:r>
            <w:r w:rsidRPr="00D22BD3">
              <w:rPr>
                <w:rFonts w:ascii="Times New Roman" w:eastAsia="Times New Roman" w:hAnsi="Times New Roman" w:cs="Times New Roman"/>
                <w:b/>
                <w:bCs/>
                <w:color w:val="FFFFFF"/>
                <w:sz w:val="20"/>
                <w:szCs w:val="20"/>
              </w:rPr>
              <w:t>E</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INTERCEPT</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-4.6880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0.0079</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347064.2</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SEX</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0.0309</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0.0096</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10.24</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 xml:space="preserve">   0.0014</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AGE5</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18-24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-3.6190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0.0183</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39157.76</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AGE6</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25-29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-3.4880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0.0202</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29699.20</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AGE7</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30-34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-3.4080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0.0201</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28870.56</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AGE8</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35-39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-3.2620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0.0189</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29728.11</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AGE9</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40-44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-3.0650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0.0172</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31775.15</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AGE10</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45-49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-2.7740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0.0150</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34199.01</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AGE11</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50-54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-2.4910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0.0137</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33059.47</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AGE12</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55-59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-2.2310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0.0132</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28727.89</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AGE13</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60-64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-1.9870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0.0128</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23989.69</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AGE14</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65-69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-1.6200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0.0127</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16333.08</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AGE15</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70-74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-1.2800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0.0126</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10300.12</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AGE16</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75-79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-0.9050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0.0123</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5404.61</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AGE17</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Male, Age 80-84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-0.5240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0.0121</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1869.06</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AGE5</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18-24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0.1514</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0.0245</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38.15</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AGE6</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25-29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0.1473</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0.0271</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29.48</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AGE7</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30-34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0.2257</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0.0264</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73.21</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AGE8</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35-39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0.2560</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0.0246</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107.91</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AGE9</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40-44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0.2575</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0.0223</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133.15</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AGE10</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45-49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0.2162</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0.0194</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123.61</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AGE11</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50-54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0.1582</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0.0178</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78.94</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AGE12</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55-59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0.1354</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0.0170</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63.05</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AGE13</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60-64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0.1525</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0.0165</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85.38</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AGE14</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65-69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0.1201</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0.0163</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54.39</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AGE15</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70-74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0.1311</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0.0161</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66.62</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AGE16</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75-79</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0.1137</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0.0155</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53.72</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r w:rsidR="006D3C82" w:rsidRPr="00015BE8" w:rsidTr="006D3C82">
        <w:trPr>
          <w:trHeight w:hRule="exact" w:val="288"/>
        </w:trPr>
        <w:tc>
          <w:tcPr>
            <w:tcW w:w="1421"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AGE17</w:t>
            </w:r>
          </w:p>
        </w:tc>
        <w:tc>
          <w:tcPr>
            <w:tcW w:w="1737"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rPr>
                <w:rFonts w:ascii="Times New Roman" w:hAnsi="Times New Roman" w:cs="Times New Roman"/>
                <w:sz w:val="20"/>
                <w:szCs w:val="20"/>
              </w:rPr>
            </w:pPr>
            <w:r w:rsidRPr="00015BE8">
              <w:rPr>
                <w:rFonts w:ascii="Times New Roman" w:hAnsi="Times New Roman" w:cs="Times New Roman"/>
                <w:sz w:val="20"/>
                <w:szCs w:val="20"/>
              </w:rPr>
              <w:t>Female, Age 80-84</w:t>
            </w:r>
          </w:p>
        </w:tc>
        <w:tc>
          <w:tcPr>
            <w:tcW w:w="36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1</w:t>
            </w:r>
          </w:p>
        </w:tc>
        <w:tc>
          <w:tcPr>
            <w:tcW w:w="1143"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0.0944</w:t>
            </w:r>
          </w:p>
        </w:tc>
        <w:tc>
          <w:tcPr>
            <w:tcW w:w="153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0.0150</w:t>
            </w:r>
          </w:p>
        </w:tc>
        <w:tc>
          <w:tcPr>
            <w:tcW w:w="1710"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39.39</w:t>
            </w:r>
          </w:p>
        </w:tc>
        <w:tc>
          <w:tcPr>
            <w:tcW w:w="1819" w:type="dxa"/>
            <w:tcBorders>
              <w:top w:val="single" w:sz="8" w:space="0" w:color="000000"/>
              <w:left w:val="single" w:sz="8" w:space="0" w:color="000000"/>
              <w:bottom w:val="single" w:sz="8" w:space="0" w:color="000000"/>
              <w:right w:val="single" w:sz="8" w:space="0" w:color="000000"/>
            </w:tcBorders>
          </w:tcPr>
          <w:p w:rsidR="006D3C82" w:rsidRPr="00015BE8" w:rsidRDefault="006D3C82" w:rsidP="00181BBE">
            <w:pPr>
              <w:jc w:val="right"/>
              <w:rPr>
                <w:rFonts w:ascii="Times New Roman" w:hAnsi="Times New Roman" w:cs="Times New Roman"/>
                <w:sz w:val="20"/>
                <w:szCs w:val="20"/>
              </w:rPr>
            </w:pPr>
            <w:r w:rsidRPr="00015BE8">
              <w:rPr>
                <w:rFonts w:ascii="Times New Roman" w:hAnsi="Times New Roman" w:cs="Times New Roman"/>
                <w:sz w:val="20"/>
                <w:szCs w:val="20"/>
              </w:rPr>
              <w:t>&lt; 0.0001</w:t>
            </w:r>
          </w:p>
        </w:tc>
      </w:tr>
    </w:tbl>
    <w:p w:rsidR="006D3C82" w:rsidRDefault="006D3C82" w:rsidP="00001D73">
      <w:pPr>
        <w:autoSpaceDE w:val="0"/>
        <w:autoSpaceDN w:val="0"/>
        <w:adjustRightInd w:val="0"/>
        <w:spacing w:after="0" w:line="240" w:lineRule="auto"/>
        <w:rPr>
          <w:rFonts w:cstheme="minorHAnsi"/>
          <w:b/>
          <w:bCs/>
        </w:rPr>
      </w:pPr>
    </w:p>
    <w:p w:rsidR="00997A0C" w:rsidRDefault="00997A0C" w:rsidP="00001D73">
      <w:pPr>
        <w:autoSpaceDE w:val="0"/>
        <w:autoSpaceDN w:val="0"/>
        <w:adjustRightInd w:val="0"/>
        <w:spacing w:after="0" w:line="240" w:lineRule="auto"/>
        <w:rPr>
          <w:rFonts w:cstheme="minorHAnsi"/>
          <w:b/>
          <w:bCs/>
        </w:rPr>
      </w:pPr>
    </w:p>
    <w:p w:rsidR="00997A0C" w:rsidRPr="00001D73" w:rsidRDefault="00997A0C"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997A0C" w:rsidRPr="00B94D55" w:rsidRDefault="00997A0C" w:rsidP="00997A0C">
      <w:pPr>
        <w:rPr>
          <w:color w:val="365F91" w:themeColor="accent1" w:themeShade="BF"/>
        </w:rPr>
      </w:pPr>
      <w:r w:rsidRPr="00F557D0">
        <w:rPr>
          <w:color w:val="1F497D" w:themeColor="text2"/>
        </w:rPr>
        <w:t>This analysis evaluates how strongly the risk adjustment model is associated with the event of interest (i.e. hospitalization f</w:t>
      </w:r>
      <w:r w:rsidRPr="00B94D55">
        <w:rPr>
          <w:color w:val="365F91" w:themeColor="accent1" w:themeShade="BF"/>
        </w:rPr>
        <w:t>or dehydration).  The measure of discrimination, how well the risk adjustment model distinguishes events from non-events, is the c-statistic.   The c-statistic is computed by assigning each observation a predicted probability of the outcome from the risk-adjustment model based on the value of the observations covariates (age and sex).  Two copies of the dataset are sorted, first from highest to lowest predicted probability and second from lowest to highest predicted probability. This creates a set of pairs of observations. Pairs that consist of one event and one non-event (discordant pairs) are kept and concordant pairs are discarded. The c-statistic is a measure of the proportion of discordant pairs of observations for which the observation with the event had a higher predicted probability from the risk-adjustment model than the non-event. We did not employ common “goodness of fit” tests because these tests tend to not be informative with large samples.</w:t>
      </w:r>
    </w:p>
    <w:p w:rsidR="00997A0C" w:rsidRPr="00B94D55" w:rsidRDefault="00997A0C" w:rsidP="00997A0C">
      <w:pPr>
        <w:autoSpaceDE w:val="0"/>
        <w:autoSpaceDN w:val="0"/>
        <w:adjustRightInd w:val="0"/>
        <w:spacing w:after="0" w:line="240" w:lineRule="auto"/>
        <w:rPr>
          <w:rFonts w:cstheme="minorHAnsi"/>
          <w:bCs/>
          <w:color w:val="365F91" w:themeColor="accent1" w:themeShade="BF"/>
        </w:rPr>
      </w:pPr>
      <w:r w:rsidRPr="00B94D55">
        <w:rPr>
          <w:color w:val="365F91" w:themeColor="accent1" w:themeShade="BF"/>
        </w:rPr>
        <w:t>We also evaluated the calibration of the risk adjustment model by evaluating how closely observed and predicted rates compare across deciles of the predicted rate.  This analysis splits the sample into deciles based on predicted rates, and then compares these rates with the observed rates for the population in each decile. A well calibrated model, or one that does not over or under-estimate risk, will have comparable observed and predicted rates across the risk spectrum.</w:t>
      </w:r>
      <w:r w:rsidRPr="00B94D55">
        <w:rPr>
          <w:rFonts w:cstheme="minorHAnsi"/>
          <w:bCs/>
          <w:color w:val="365F91" w:themeColor="accent1" w:themeShade="BF"/>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3D2D5A">
        <w:rPr>
          <w:rFonts w:cstheme="minorHAnsi"/>
          <w:b/>
          <w:bCs/>
          <w:i/>
        </w:rPr>
        <w:t>If</w:t>
      </w:r>
      <w:r w:rsidR="00743E46" w:rsidRPr="003D2D5A">
        <w:rPr>
          <w:rFonts w:cstheme="minorHAnsi"/>
          <w:b/>
          <w:bCs/>
          <w:i/>
        </w:rPr>
        <w:t xml:space="preserve"> stratified, skip to </w:t>
      </w:r>
      <w:hyperlink w:anchor="question2b49" w:history="1">
        <w:r w:rsidR="00743E46" w:rsidRPr="003D2D5A">
          <w:rPr>
            <w:rStyle w:val="Hyperlink"/>
            <w:rFonts w:cstheme="minorHAnsi"/>
            <w:b/>
            <w:bCs/>
            <w:i/>
          </w:rPr>
          <w:t>2b4.9</w:t>
        </w:r>
      </w:hyperlink>
    </w:p>
    <w:p w:rsidR="00743E46" w:rsidRDefault="00743E46"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color w:val="0000FF"/>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997A0C">
        <w:rPr>
          <w:color w:val="0000FF"/>
        </w:rPr>
        <w:t xml:space="preserve">See 2b4.8 </w:t>
      </w:r>
      <w:r w:rsidR="006D3C82">
        <w:rPr>
          <w:color w:val="0000FF"/>
        </w:rPr>
        <w:t>(Table 7</w:t>
      </w:r>
      <w:r w:rsidR="00997A0C">
        <w:rPr>
          <w:color w:val="0000FF"/>
        </w:rPr>
        <w:t>)</w:t>
      </w:r>
    </w:p>
    <w:p w:rsidR="00997A0C" w:rsidRPr="00001D73" w:rsidRDefault="00997A0C"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6D3C82">
        <w:rPr>
          <w:color w:val="0000FF"/>
        </w:rPr>
        <w:t>See 2b4.8 (Table 7</w:t>
      </w:r>
      <w:r w:rsidR="00997A0C">
        <w:rPr>
          <w:color w:val="0000FF"/>
        </w:rPr>
        <w:t>)</w:t>
      </w:r>
    </w:p>
    <w:p w:rsidR="00997A0C" w:rsidRDefault="00997A0C" w:rsidP="00092566">
      <w:pPr>
        <w:autoSpaceDE w:val="0"/>
        <w:autoSpaceDN w:val="0"/>
        <w:adjustRightInd w:val="0"/>
        <w:spacing w:after="0" w:line="240" w:lineRule="auto"/>
        <w:rPr>
          <w:rFonts w:cstheme="minorHAnsi"/>
          <w:b/>
          <w:bCs/>
        </w:rPr>
      </w:pPr>
    </w:p>
    <w:p w:rsidR="00127B7F" w:rsidRDefault="00743E46" w:rsidP="00092566">
      <w:pPr>
        <w:autoSpaceDE w:val="0"/>
        <w:autoSpaceDN w:val="0"/>
        <w:adjustRightInd w:val="0"/>
        <w:spacing w:after="0" w:line="240" w:lineRule="auto"/>
        <w:rPr>
          <w:color w:val="0000FF"/>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rsidR="00127B7F" w:rsidRDefault="006D3C82" w:rsidP="00092566">
      <w:pPr>
        <w:autoSpaceDE w:val="0"/>
        <w:autoSpaceDN w:val="0"/>
        <w:adjustRightInd w:val="0"/>
        <w:spacing w:after="0" w:line="240" w:lineRule="auto"/>
        <w:rPr>
          <w:rFonts w:cstheme="minorHAnsi"/>
          <w:b/>
        </w:rPr>
      </w:pPr>
      <w:proofErr w:type="gramStart"/>
      <w:r>
        <w:rPr>
          <w:color w:val="0000FF"/>
        </w:rPr>
        <w:t>Table 7</w:t>
      </w:r>
      <w:r w:rsidR="00127B7F">
        <w:rPr>
          <w:color w:val="0000FF"/>
        </w:rPr>
        <w:t>.</w:t>
      </w:r>
      <w:proofErr w:type="gramEnd"/>
      <w:r w:rsidR="00127B7F">
        <w:rPr>
          <w:color w:val="0000FF"/>
        </w:rPr>
        <w:t xml:space="preserve"> Model Discrimination and Calibration</w:t>
      </w:r>
    </w:p>
    <w:tbl>
      <w:tblPr>
        <w:tblStyle w:val="TableGrid"/>
        <w:tblW w:w="9584" w:type="dxa"/>
        <w:tblLayout w:type="fixed"/>
        <w:tblLook w:val="0000" w:firstRow="0" w:lastRow="0" w:firstColumn="0" w:lastColumn="0" w:noHBand="0" w:noVBand="0"/>
      </w:tblPr>
      <w:tblGrid>
        <w:gridCol w:w="2396"/>
        <w:gridCol w:w="2396"/>
        <w:gridCol w:w="2396"/>
        <w:gridCol w:w="2396"/>
      </w:tblGrid>
      <w:tr w:rsidR="00127B7F" w:rsidRPr="00127B7F" w:rsidTr="00127B7F">
        <w:trPr>
          <w:trHeight w:val="249"/>
        </w:trPr>
        <w:tc>
          <w:tcPr>
            <w:tcW w:w="2396" w:type="dxa"/>
            <w:shd w:val="clear" w:color="auto" w:fill="D9D9D9" w:themeFill="background1" w:themeFillShade="D9"/>
          </w:tcPr>
          <w:p w:rsidR="00127B7F" w:rsidRPr="00127B7F" w:rsidRDefault="00127B7F" w:rsidP="00127B7F">
            <w:pPr>
              <w:autoSpaceDE w:val="0"/>
              <w:autoSpaceDN w:val="0"/>
              <w:adjustRightInd w:val="0"/>
              <w:rPr>
                <w:rFonts w:ascii="Calibri" w:hAnsi="Calibri" w:cs="Calibri"/>
                <w:color w:val="000000"/>
                <w:sz w:val="20"/>
                <w:szCs w:val="20"/>
              </w:rPr>
            </w:pPr>
            <w:r w:rsidRPr="00127B7F">
              <w:rPr>
                <w:rFonts w:ascii="Calibri" w:hAnsi="Calibri" w:cs="Calibri"/>
                <w:b/>
                <w:bCs/>
                <w:color w:val="0000FF"/>
                <w:sz w:val="20"/>
                <w:szCs w:val="20"/>
              </w:rPr>
              <w:t xml:space="preserve">Predicted </w:t>
            </w:r>
          </w:p>
          <w:p w:rsidR="00127B7F" w:rsidRPr="00127B7F" w:rsidRDefault="00127B7F" w:rsidP="00127B7F">
            <w:pPr>
              <w:autoSpaceDE w:val="0"/>
              <w:autoSpaceDN w:val="0"/>
              <w:adjustRightInd w:val="0"/>
              <w:rPr>
                <w:rFonts w:ascii="Calibri" w:hAnsi="Calibri" w:cs="Calibri"/>
                <w:color w:val="000000"/>
                <w:sz w:val="20"/>
                <w:szCs w:val="20"/>
              </w:rPr>
            </w:pPr>
            <w:r w:rsidRPr="00127B7F">
              <w:rPr>
                <w:rFonts w:ascii="Calibri" w:hAnsi="Calibri" w:cs="Calibri"/>
                <w:b/>
                <w:bCs/>
                <w:color w:val="0000FF"/>
                <w:sz w:val="20"/>
                <w:szCs w:val="20"/>
              </w:rPr>
              <w:t xml:space="preserve">Rate Decile </w:t>
            </w:r>
          </w:p>
        </w:tc>
        <w:tc>
          <w:tcPr>
            <w:tcW w:w="2396" w:type="dxa"/>
            <w:shd w:val="clear" w:color="auto" w:fill="D9D9D9" w:themeFill="background1" w:themeFillShade="D9"/>
          </w:tcPr>
          <w:p w:rsidR="00127B7F" w:rsidRPr="00127B7F" w:rsidRDefault="00127B7F" w:rsidP="00127B7F">
            <w:pPr>
              <w:autoSpaceDE w:val="0"/>
              <w:autoSpaceDN w:val="0"/>
              <w:adjustRightInd w:val="0"/>
              <w:rPr>
                <w:rFonts w:ascii="Calibri" w:hAnsi="Calibri" w:cs="Calibri"/>
                <w:color w:val="000000"/>
                <w:sz w:val="20"/>
                <w:szCs w:val="20"/>
              </w:rPr>
            </w:pPr>
            <w:r w:rsidRPr="00127B7F">
              <w:rPr>
                <w:rFonts w:ascii="Calibri" w:hAnsi="Calibri" w:cs="Calibri"/>
                <w:b/>
                <w:bCs/>
                <w:color w:val="0000FF"/>
                <w:sz w:val="20"/>
                <w:szCs w:val="20"/>
              </w:rPr>
              <w:t xml:space="preserve">Number of Persons </w:t>
            </w:r>
          </w:p>
          <w:p w:rsidR="00127B7F" w:rsidRPr="00127B7F" w:rsidRDefault="00127B7F" w:rsidP="00127B7F">
            <w:pPr>
              <w:autoSpaceDE w:val="0"/>
              <w:autoSpaceDN w:val="0"/>
              <w:adjustRightInd w:val="0"/>
              <w:rPr>
                <w:rFonts w:ascii="Calibri" w:hAnsi="Calibri" w:cs="Calibri"/>
                <w:color w:val="000000"/>
                <w:sz w:val="20"/>
                <w:szCs w:val="20"/>
              </w:rPr>
            </w:pPr>
            <w:r w:rsidRPr="00127B7F">
              <w:rPr>
                <w:rFonts w:ascii="Calibri" w:hAnsi="Calibri" w:cs="Calibri"/>
                <w:b/>
                <w:bCs/>
                <w:color w:val="0000FF"/>
                <w:sz w:val="20"/>
                <w:szCs w:val="20"/>
              </w:rPr>
              <w:t xml:space="preserve">per Decile </w:t>
            </w:r>
          </w:p>
        </w:tc>
        <w:tc>
          <w:tcPr>
            <w:tcW w:w="2396" w:type="dxa"/>
            <w:shd w:val="clear" w:color="auto" w:fill="D9D9D9" w:themeFill="background1" w:themeFillShade="D9"/>
          </w:tcPr>
          <w:p w:rsidR="00127B7F" w:rsidRPr="00127B7F" w:rsidRDefault="00127B7F" w:rsidP="00127B7F">
            <w:pPr>
              <w:autoSpaceDE w:val="0"/>
              <w:autoSpaceDN w:val="0"/>
              <w:adjustRightInd w:val="0"/>
              <w:rPr>
                <w:rFonts w:ascii="Calibri" w:hAnsi="Calibri" w:cs="Calibri"/>
                <w:color w:val="000000"/>
                <w:sz w:val="20"/>
                <w:szCs w:val="20"/>
              </w:rPr>
            </w:pPr>
            <w:r w:rsidRPr="00127B7F">
              <w:rPr>
                <w:rFonts w:ascii="Calibri" w:hAnsi="Calibri" w:cs="Calibri"/>
                <w:b/>
                <w:bCs/>
                <w:color w:val="0000FF"/>
                <w:sz w:val="20"/>
                <w:szCs w:val="20"/>
              </w:rPr>
              <w:t xml:space="preserve">Predicted </w:t>
            </w:r>
          </w:p>
          <w:p w:rsidR="00127B7F" w:rsidRPr="00127B7F" w:rsidRDefault="00127B7F" w:rsidP="00127B7F">
            <w:pPr>
              <w:autoSpaceDE w:val="0"/>
              <w:autoSpaceDN w:val="0"/>
              <w:adjustRightInd w:val="0"/>
              <w:rPr>
                <w:rFonts w:ascii="Calibri" w:hAnsi="Calibri" w:cs="Calibri"/>
                <w:color w:val="000000"/>
                <w:sz w:val="20"/>
                <w:szCs w:val="20"/>
              </w:rPr>
            </w:pPr>
            <w:r w:rsidRPr="00127B7F">
              <w:rPr>
                <w:rFonts w:ascii="Calibri" w:hAnsi="Calibri" w:cs="Calibri"/>
                <w:b/>
                <w:bCs/>
                <w:color w:val="0000FF"/>
                <w:sz w:val="20"/>
                <w:szCs w:val="20"/>
              </w:rPr>
              <w:t xml:space="preserve">Rate </w:t>
            </w:r>
          </w:p>
        </w:tc>
        <w:tc>
          <w:tcPr>
            <w:tcW w:w="2396" w:type="dxa"/>
            <w:shd w:val="clear" w:color="auto" w:fill="D9D9D9" w:themeFill="background1" w:themeFillShade="D9"/>
          </w:tcPr>
          <w:p w:rsidR="00127B7F" w:rsidRPr="00127B7F" w:rsidRDefault="00127B7F" w:rsidP="00127B7F">
            <w:pPr>
              <w:autoSpaceDE w:val="0"/>
              <w:autoSpaceDN w:val="0"/>
              <w:adjustRightInd w:val="0"/>
              <w:rPr>
                <w:rFonts w:ascii="Calibri" w:hAnsi="Calibri" w:cs="Calibri"/>
                <w:color w:val="000000"/>
                <w:sz w:val="20"/>
                <w:szCs w:val="20"/>
              </w:rPr>
            </w:pPr>
            <w:r w:rsidRPr="00127B7F">
              <w:rPr>
                <w:rFonts w:ascii="Calibri" w:hAnsi="Calibri" w:cs="Calibri"/>
                <w:b/>
                <w:bCs/>
                <w:color w:val="0000FF"/>
                <w:sz w:val="20"/>
                <w:szCs w:val="20"/>
              </w:rPr>
              <w:t xml:space="preserve">Observed </w:t>
            </w:r>
          </w:p>
          <w:p w:rsidR="00127B7F" w:rsidRPr="00127B7F" w:rsidRDefault="00127B7F" w:rsidP="00127B7F">
            <w:pPr>
              <w:autoSpaceDE w:val="0"/>
              <w:autoSpaceDN w:val="0"/>
              <w:adjustRightInd w:val="0"/>
              <w:rPr>
                <w:rFonts w:ascii="Calibri" w:hAnsi="Calibri" w:cs="Calibri"/>
                <w:color w:val="000000"/>
                <w:sz w:val="20"/>
                <w:szCs w:val="20"/>
              </w:rPr>
            </w:pPr>
            <w:r w:rsidRPr="00127B7F">
              <w:rPr>
                <w:rFonts w:ascii="Calibri" w:hAnsi="Calibri" w:cs="Calibri"/>
                <w:b/>
                <w:bCs/>
                <w:color w:val="0000FF"/>
                <w:sz w:val="20"/>
                <w:szCs w:val="20"/>
              </w:rPr>
              <w:t xml:space="preserve">Rate </w:t>
            </w:r>
          </w:p>
        </w:tc>
      </w:tr>
      <w:tr w:rsidR="00127B7F" w:rsidRPr="00127B7F" w:rsidTr="00127B7F">
        <w:trPr>
          <w:trHeight w:val="127"/>
        </w:trPr>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1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23,738,689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0.000345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0.000358 </w:t>
            </w:r>
          </w:p>
        </w:tc>
      </w:tr>
      <w:tr w:rsidR="00127B7F" w:rsidRPr="00127B7F" w:rsidTr="00127B7F">
        <w:trPr>
          <w:trHeight w:val="127"/>
        </w:trPr>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2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23,738,625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0.000403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0.000429 </w:t>
            </w:r>
          </w:p>
        </w:tc>
      </w:tr>
      <w:tr w:rsidR="00127B7F" w:rsidRPr="00127B7F" w:rsidTr="00127B7F">
        <w:trPr>
          <w:trHeight w:val="127"/>
        </w:trPr>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3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23,848,478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0.000491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0.000504 </w:t>
            </w:r>
          </w:p>
        </w:tc>
      </w:tr>
      <w:tr w:rsidR="00127B7F" w:rsidRPr="00127B7F" w:rsidTr="00127B7F">
        <w:trPr>
          <w:trHeight w:val="127"/>
        </w:trPr>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4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23,630,107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0.000559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0.000606 </w:t>
            </w:r>
          </w:p>
        </w:tc>
      </w:tr>
      <w:tr w:rsidR="00127B7F" w:rsidRPr="00127B7F" w:rsidTr="00127B7F">
        <w:trPr>
          <w:trHeight w:val="127"/>
        </w:trPr>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5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23,739,077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0.000567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0.000597 </w:t>
            </w:r>
          </w:p>
        </w:tc>
      </w:tr>
      <w:tr w:rsidR="00127B7F" w:rsidRPr="00127B7F" w:rsidTr="00127B7F">
        <w:trPr>
          <w:trHeight w:val="127"/>
        </w:trPr>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6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23,741,848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0.000625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0.000651 </w:t>
            </w:r>
          </w:p>
        </w:tc>
      </w:tr>
      <w:tr w:rsidR="00127B7F" w:rsidRPr="00127B7F" w:rsidTr="00127B7F">
        <w:trPr>
          <w:trHeight w:val="127"/>
        </w:trPr>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lastRenderedPageBreak/>
              <w:t xml:space="preserve">7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23,734,511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0.000707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0.000757 </w:t>
            </w:r>
          </w:p>
        </w:tc>
      </w:tr>
      <w:tr w:rsidR="00127B7F" w:rsidRPr="00127B7F" w:rsidTr="00127B7F">
        <w:trPr>
          <w:trHeight w:val="127"/>
        </w:trPr>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8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23,749,085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0.000752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0.000789 </w:t>
            </w:r>
          </w:p>
        </w:tc>
      </w:tr>
      <w:tr w:rsidR="00127B7F" w:rsidRPr="00127B7F" w:rsidTr="00127B7F">
        <w:trPr>
          <w:trHeight w:val="127"/>
        </w:trPr>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9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23,735,780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0.000791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0.000794 </w:t>
            </w:r>
          </w:p>
        </w:tc>
      </w:tr>
      <w:tr w:rsidR="00127B7F" w:rsidRPr="00127B7F" w:rsidTr="00127B7F">
        <w:trPr>
          <w:trHeight w:val="127"/>
        </w:trPr>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10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23,730,269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0.000955 </w:t>
            </w:r>
          </w:p>
        </w:tc>
        <w:tc>
          <w:tcPr>
            <w:tcW w:w="2396" w:type="dxa"/>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0.000987 </w:t>
            </w:r>
          </w:p>
        </w:tc>
      </w:tr>
      <w:tr w:rsidR="00127B7F" w:rsidRPr="00127B7F" w:rsidTr="00127B7F">
        <w:trPr>
          <w:trHeight w:val="127"/>
        </w:trPr>
        <w:tc>
          <w:tcPr>
            <w:tcW w:w="4792" w:type="dxa"/>
            <w:gridSpan w:val="2"/>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C-statistic </w:t>
            </w:r>
          </w:p>
        </w:tc>
        <w:tc>
          <w:tcPr>
            <w:tcW w:w="4792" w:type="dxa"/>
            <w:gridSpan w:val="2"/>
          </w:tcPr>
          <w:p w:rsidR="00127B7F" w:rsidRPr="00127B7F" w:rsidRDefault="00127B7F" w:rsidP="00127B7F">
            <w:pPr>
              <w:autoSpaceDE w:val="0"/>
              <w:autoSpaceDN w:val="0"/>
              <w:adjustRightInd w:val="0"/>
              <w:rPr>
                <w:rFonts w:ascii="Calibri" w:hAnsi="Calibri" w:cs="Calibri"/>
                <w:color w:val="0000FF"/>
                <w:sz w:val="20"/>
                <w:szCs w:val="20"/>
              </w:rPr>
            </w:pPr>
            <w:r w:rsidRPr="00127B7F">
              <w:rPr>
                <w:rFonts w:ascii="Calibri" w:hAnsi="Calibri" w:cs="Calibri"/>
                <w:color w:val="0000FF"/>
                <w:sz w:val="20"/>
                <w:szCs w:val="20"/>
              </w:rPr>
              <w:t xml:space="preserve">0.709 </w:t>
            </w:r>
          </w:p>
        </w:tc>
      </w:tr>
    </w:tbl>
    <w:p w:rsidR="00743E46" w:rsidRDefault="00127B7F" w:rsidP="00092566">
      <w:pPr>
        <w:autoSpaceDE w:val="0"/>
        <w:autoSpaceDN w:val="0"/>
        <w:adjustRightInd w:val="0"/>
        <w:spacing w:after="0" w:line="240" w:lineRule="auto"/>
        <w:rPr>
          <w:color w:val="0000FF"/>
          <w:sz w:val="20"/>
          <w:szCs w:val="20"/>
        </w:rPr>
      </w:pPr>
      <w:r>
        <w:rPr>
          <w:color w:val="0000FF"/>
          <w:sz w:val="20"/>
          <w:szCs w:val="20"/>
        </w:rPr>
        <w:t>Source: HCUP State Inpatient Databases (SID). Healthcare Cost and Utilization Project (HCUP). 2011. Agency for Healthcare Research and Quality, Rockville, MD. www.hcup-us.ahrq.gov/sidoverview.jsp. (AHRQ QI Software Version 4.5)</w:t>
      </w:r>
    </w:p>
    <w:p w:rsidR="00127B7F" w:rsidRDefault="00127B7F" w:rsidP="00092566">
      <w:pPr>
        <w:autoSpaceDE w:val="0"/>
        <w:autoSpaceDN w:val="0"/>
        <w:adjustRightInd w:val="0"/>
        <w:spacing w:after="0" w:line="240" w:lineRule="auto"/>
        <w:rPr>
          <w:rFonts w:cstheme="minorHAnsi"/>
          <w:b/>
        </w:rPr>
      </w:pP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127B7F" w:rsidRDefault="00127B7F" w:rsidP="00127B7F">
      <w:pPr>
        <w:rPr>
          <w:rFonts w:cstheme="minorHAnsi"/>
          <w:bCs/>
        </w:rPr>
      </w:pPr>
      <w:r>
        <w:rPr>
          <w:color w:val="0000FF"/>
        </w:rPr>
        <w:t>Not applicable</w:t>
      </w: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B94D55" w:rsidRPr="00127B7F" w:rsidRDefault="00B94D55" w:rsidP="00B94D55">
      <w:pPr>
        <w:rPr>
          <w:color w:val="3333CC"/>
        </w:rPr>
      </w:pPr>
      <w:r w:rsidRPr="00127B7F">
        <w:rPr>
          <w:color w:val="3333CC"/>
        </w:rPr>
        <w:t>The model has moderate discrimination bas</w:t>
      </w:r>
      <w:r w:rsidR="006D3C82">
        <w:rPr>
          <w:color w:val="3333CC"/>
        </w:rPr>
        <w:t>ed on a norm c-statistic of 0.71</w:t>
      </w:r>
      <w:r w:rsidRPr="00127B7F">
        <w:rPr>
          <w:color w:val="3333CC"/>
        </w:rPr>
        <w:t xml:space="preserve"> and moderate calibration.</w:t>
      </w:r>
    </w:p>
    <w:p w:rsidR="00092566" w:rsidRPr="00127B7F" w:rsidRDefault="00092566" w:rsidP="00092566">
      <w:pPr>
        <w:spacing w:after="0" w:line="240" w:lineRule="auto"/>
        <w:rPr>
          <w:rFonts w:cstheme="minorHAnsi"/>
          <w:color w:val="3333CC"/>
        </w:rPr>
      </w:pPr>
    </w:p>
    <w:p w:rsidR="00021170" w:rsidRPr="009B1A15" w:rsidRDefault="009B1A15" w:rsidP="009B1A15">
      <w:pPr>
        <w:spacing w:after="0" w:line="240" w:lineRule="auto"/>
        <w:rPr>
          <w:rFonts w:cstheme="minorHAnsi"/>
        </w:rPr>
      </w:pPr>
      <w:r w:rsidRPr="00127B7F">
        <w:rPr>
          <w:rFonts w:cstheme="minorHAnsi"/>
          <w:b/>
        </w:rPr>
        <w:t>2b4.11.</w:t>
      </w:r>
      <w:r w:rsidRPr="00127B7F">
        <w:rPr>
          <w:rFonts w:cstheme="minorHAnsi"/>
        </w:rPr>
        <w:t xml:space="preserve"> </w:t>
      </w:r>
      <w:r w:rsidR="00092566" w:rsidRPr="00127B7F">
        <w:rPr>
          <w:rFonts w:cstheme="minorHAnsi"/>
          <w:b/>
        </w:rPr>
        <w:t>Optional</w:t>
      </w:r>
      <w:r w:rsidRPr="00127B7F">
        <w:rPr>
          <w:rFonts w:cstheme="minorHAnsi"/>
          <w:b/>
        </w:rPr>
        <w:t xml:space="preserve"> Additional Testing</w:t>
      </w:r>
      <w:r w:rsidR="004756E1" w:rsidRPr="00127B7F">
        <w:rPr>
          <w:rFonts w:cstheme="minorHAnsi"/>
          <w:b/>
        </w:rPr>
        <w:t xml:space="preserve"> for Risk Adjustment</w:t>
      </w:r>
      <w:r w:rsidR="00092566" w:rsidRPr="00127B7F">
        <w:rPr>
          <w:rFonts w:cstheme="minorHAnsi"/>
          <w:b/>
        </w:rPr>
        <w:t xml:space="preserve"> </w:t>
      </w:r>
      <w:r w:rsidR="00092566" w:rsidRPr="00127B7F">
        <w:rPr>
          <w:rFonts w:cstheme="minorHAnsi"/>
        </w:rPr>
        <w:t>(</w:t>
      </w:r>
      <w:r w:rsidR="00092566" w:rsidRPr="00127B7F">
        <w:rPr>
          <w:rFonts w:cstheme="minorHAnsi"/>
          <w:i/>
          <w:u w:val="single"/>
        </w:rPr>
        <w:t>not r</w:t>
      </w:r>
      <w:r w:rsidR="00092566" w:rsidRPr="00A25024">
        <w:rPr>
          <w:rFonts w:cstheme="minorHAnsi"/>
          <w:i/>
          <w:u w:val="single"/>
        </w:rPr>
        <w:t>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127B7F" w:rsidP="00D61410">
      <w:pPr>
        <w:autoSpaceDE w:val="0"/>
        <w:autoSpaceDN w:val="0"/>
        <w:adjustRightInd w:val="0"/>
        <w:spacing w:after="0" w:line="240" w:lineRule="auto"/>
        <w:rPr>
          <w:rFonts w:cstheme="minorHAnsi"/>
          <w:b/>
          <w:bCs/>
        </w:rPr>
      </w:pPr>
      <w:r>
        <w:rPr>
          <w:color w:val="0000FF"/>
        </w:rPr>
        <w:t>Not applicable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D61410" w:rsidRDefault="00B94D55" w:rsidP="00D61410">
      <w:pPr>
        <w:autoSpaceDE w:val="0"/>
        <w:autoSpaceDN w:val="0"/>
        <w:adjustRightInd w:val="0"/>
        <w:spacing w:after="0" w:line="240" w:lineRule="auto"/>
        <w:rPr>
          <w:color w:val="1F497D" w:themeColor="text2"/>
        </w:rPr>
      </w:pPr>
      <w:r>
        <w:rPr>
          <w:color w:val="1F497D" w:themeColor="text2"/>
        </w:rPr>
        <w:t xml:space="preserve">An indicator relies on historical data to predict future performance of a county. This analysis assesses the stability of rates over time and assesses the probability that an area is higher or lower than a benchmark or threshold. The analysis is reported by decile demonstrating performance across counties of various sizes.  </w:t>
      </w:r>
      <w:r w:rsidRPr="00F557D0">
        <w:rPr>
          <w:color w:val="1F497D" w:themeColor="text2"/>
        </w:rPr>
        <w:t>Each county is assumed to have an underlying distribution of smoothed rates that follows a Gamma distribution.  The parameters of a Gamma distribution are shape and scale.  For each county the shape is calculated as ((smoothed rate</w:t>
      </w:r>
      <w:proofErr w:type="gramStart"/>
      <w:r w:rsidRPr="00F557D0">
        <w:rPr>
          <w:color w:val="1F497D" w:themeColor="text2"/>
        </w:rPr>
        <w:t>)</w:t>
      </w:r>
      <w:r w:rsidRPr="00F557D0">
        <w:rPr>
          <w:color w:val="1F497D" w:themeColor="text2"/>
          <w:vertAlign w:val="superscript"/>
        </w:rPr>
        <w:t>2</w:t>
      </w:r>
      <w:proofErr w:type="gramEnd"/>
      <w:r w:rsidRPr="00F557D0">
        <w:rPr>
          <w:color w:val="1F497D" w:themeColor="text2"/>
          <w:vertAlign w:val="subscript"/>
        </w:rPr>
        <w:t xml:space="preserve"> </w:t>
      </w:r>
      <w:r w:rsidRPr="00F557D0">
        <w:rPr>
          <w:color w:val="1F497D" w:themeColor="text2"/>
        </w:rPr>
        <w:t>/ smoothed rate variance), and the scale is calculated as (smoothed rate variance / smoothed rate).  The smoothed rate variance (aka posterior variance) is calculated as the signal variance – (reliability weight * signal variance).   The reliability weight is calculated as (signal variance / (signal variance + noise variance)).  Counties are ranked by size and grouped into 10 equal categories of size (deciles).  Two rates from the reference population at the 20</w:t>
      </w:r>
      <w:r w:rsidRPr="00F557D0">
        <w:rPr>
          <w:color w:val="1F497D" w:themeColor="text2"/>
          <w:vertAlign w:val="superscript"/>
        </w:rPr>
        <w:t>th</w:t>
      </w:r>
      <w:r w:rsidRPr="00F557D0">
        <w:rPr>
          <w:color w:val="1F497D" w:themeColor="text2"/>
        </w:rPr>
        <w:t xml:space="preserve"> and 80</w:t>
      </w:r>
      <w:r w:rsidRPr="00F557D0">
        <w:rPr>
          <w:color w:val="1F497D" w:themeColor="text2"/>
          <w:vertAlign w:val="superscript"/>
        </w:rPr>
        <w:t>th</w:t>
      </w:r>
      <w:r w:rsidRPr="00F557D0">
        <w:rPr>
          <w:color w:val="1F497D" w:themeColor="text2"/>
        </w:rPr>
        <w:t xml:space="preserve"> percentile (termed Benchmark and Threshold) are compared to the Gamma distribution of the smoothed rates for each county to determine if the county rate is better or worse than the Benchmark and Threshold rates with 95% probability.   We report the proportion of counties in each decile above and below the Benchmark and Threshold rates.</w:t>
      </w:r>
    </w:p>
    <w:p w:rsidR="00B94D55" w:rsidRPr="00A25024" w:rsidRDefault="00B94D55"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lastRenderedPageBreak/>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D61410" w:rsidRDefault="006D3C82" w:rsidP="00D61410">
      <w:pPr>
        <w:autoSpaceDE w:val="0"/>
        <w:autoSpaceDN w:val="0"/>
        <w:adjustRightInd w:val="0"/>
        <w:spacing w:after="0" w:line="240" w:lineRule="auto"/>
        <w:rPr>
          <w:color w:val="0000FF"/>
        </w:rPr>
      </w:pPr>
      <w:proofErr w:type="gramStart"/>
      <w:r>
        <w:rPr>
          <w:color w:val="0000FF"/>
        </w:rPr>
        <w:t>Table 8</w:t>
      </w:r>
      <w:r w:rsidR="00127B7F">
        <w:rPr>
          <w:color w:val="0000FF"/>
        </w:rPr>
        <w:t>.</w:t>
      </w:r>
      <w:proofErr w:type="gramEnd"/>
      <w:r w:rsidR="00127B7F">
        <w:rPr>
          <w:color w:val="0000FF"/>
        </w:rPr>
        <w:t xml:space="preserve"> Performance Categories by County (Area) Size Decile</w:t>
      </w:r>
    </w:p>
    <w:tbl>
      <w:tblPr>
        <w:tblStyle w:val="TableGrid"/>
        <w:tblW w:w="9585" w:type="dxa"/>
        <w:tblLayout w:type="fixed"/>
        <w:tblLook w:val="0000" w:firstRow="0" w:lastRow="0" w:firstColumn="0" w:lastColumn="0" w:noHBand="0" w:noVBand="0"/>
      </w:tblPr>
      <w:tblGrid>
        <w:gridCol w:w="1369"/>
        <w:gridCol w:w="1369"/>
        <w:gridCol w:w="1369"/>
        <w:gridCol w:w="685"/>
        <w:gridCol w:w="684"/>
        <w:gridCol w:w="1369"/>
        <w:gridCol w:w="1369"/>
        <w:gridCol w:w="1371"/>
      </w:tblGrid>
      <w:tr w:rsidR="00127B7F" w:rsidRPr="00127B7F" w:rsidTr="00127B7F">
        <w:trPr>
          <w:trHeight w:val="140"/>
        </w:trPr>
        <w:tc>
          <w:tcPr>
            <w:tcW w:w="4792" w:type="dxa"/>
            <w:gridSpan w:val="4"/>
            <w:tcBorders>
              <w:top w:val="nil"/>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00"/>
              </w:rPr>
            </w:pPr>
          </w:p>
        </w:tc>
        <w:tc>
          <w:tcPr>
            <w:tcW w:w="4793" w:type="dxa"/>
            <w:gridSpan w:val="4"/>
            <w:tcBorders>
              <w:top w:val="nil"/>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00"/>
              </w:rPr>
            </w:pPr>
          </w:p>
        </w:tc>
      </w:tr>
      <w:tr w:rsidR="00127B7F" w:rsidRPr="00127B7F" w:rsidTr="00127B7F">
        <w:trPr>
          <w:trHeight w:val="305"/>
        </w:trPr>
        <w:tc>
          <w:tcPr>
            <w:tcW w:w="1369" w:type="dxa"/>
            <w:tcBorders>
              <w:top w:val="single" w:sz="4" w:space="0" w:color="auto"/>
              <w:left w:val="nil"/>
              <w:bottom w:val="single" w:sz="4" w:space="0" w:color="auto"/>
              <w:right w:val="nil"/>
            </w:tcBorders>
            <w:shd w:val="clear" w:color="auto" w:fill="D9D9D9" w:themeFill="background1" w:themeFillShade="D9"/>
          </w:tcPr>
          <w:p w:rsidR="00127B7F" w:rsidRPr="00127B7F" w:rsidRDefault="00127B7F" w:rsidP="00127B7F">
            <w:pPr>
              <w:autoSpaceDE w:val="0"/>
              <w:autoSpaceDN w:val="0"/>
              <w:adjustRightInd w:val="0"/>
              <w:rPr>
                <w:rFonts w:ascii="Calibri" w:hAnsi="Calibri" w:cs="Calibri"/>
                <w:b/>
                <w:bCs/>
                <w:color w:val="0000FF"/>
              </w:rPr>
            </w:pPr>
          </w:p>
        </w:tc>
        <w:tc>
          <w:tcPr>
            <w:tcW w:w="1369" w:type="dxa"/>
            <w:tcBorders>
              <w:top w:val="single" w:sz="4" w:space="0" w:color="auto"/>
              <w:left w:val="nil"/>
              <w:bottom w:val="single" w:sz="4" w:space="0" w:color="auto"/>
              <w:right w:val="nil"/>
            </w:tcBorders>
            <w:shd w:val="clear" w:color="auto" w:fill="D9D9D9" w:themeFill="background1" w:themeFillShade="D9"/>
          </w:tcPr>
          <w:p w:rsidR="00127B7F" w:rsidRPr="00127B7F" w:rsidRDefault="00127B7F" w:rsidP="00127B7F">
            <w:pPr>
              <w:autoSpaceDE w:val="0"/>
              <w:autoSpaceDN w:val="0"/>
              <w:adjustRightInd w:val="0"/>
              <w:rPr>
                <w:rFonts w:ascii="Calibri" w:hAnsi="Calibri" w:cs="Calibri"/>
                <w:b/>
                <w:bCs/>
                <w:color w:val="0000FF"/>
              </w:rPr>
            </w:pPr>
          </w:p>
        </w:tc>
        <w:tc>
          <w:tcPr>
            <w:tcW w:w="1369" w:type="dxa"/>
            <w:tcBorders>
              <w:top w:val="single" w:sz="4" w:space="0" w:color="auto"/>
              <w:left w:val="nil"/>
              <w:bottom w:val="single" w:sz="4" w:space="0" w:color="auto"/>
              <w:right w:val="nil"/>
            </w:tcBorders>
            <w:shd w:val="clear" w:color="auto" w:fill="D9D9D9" w:themeFill="background1" w:themeFillShade="D9"/>
          </w:tcPr>
          <w:p w:rsidR="00127B7F" w:rsidRPr="00127B7F" w:rsidRDefault="00127B7F" w:rsidP="00127B7F">
            <w:pPr>
              <w:autoSpaceDE w:val="0"/>
              <w:autoSpaceDN w:val="0"/>
              <w:adjustRightInd w:val="0"/>
              <w:rPr>
                <w:rFonts w:ascii="Calibri" w:hAnsi="Calibri" w:cs="Calibri"/>
                <w:b/>
                <w:bCs/>
                <w:color w:val="0000FF"/>
              </w:rPr>
            </w:pPr>
          </w:p>
        </w:tc>
        <w:tc>
          <w:tcPr>
            <w:tcW w:w="2738" w:type="dxa"/>
            <w:gridSpan w:val="3"/>
            <w:tcBorders>
              <w:top w:val="single" w:sz="4" w:space="0" w:color="auto"/>
              <w:left w:val="nil"/>
              <w:bottom w:val="single" w:sz="4" w:space="0" w:color="auto"/>
              <w:right w:val="nil"/>
            </w:tcBorders>
            <w:shd w:val="clear" w:color="auto" w:fill="D9D9D9" w:themeFill="background1" w:themeFillShade="D9"/>
          </w:tcPr>
          <w:p w:rsidR="00127B7F" w:rsidRPr="00127B7F" w:rsidRDefault="00127B7F" w:rsidP="00127B7F">
            <w:pPr>
              <w:autoSpaceDE w:val="0"/>
              <w:autoSpaceDN w:val="0"/>
              <w:adjustRightInd w:val="0"/>
              <w:jc w:val="center"/>
              <w:rPr>
                <w:rFonts w:ascii="Calibri" w:hAnsi="Calibri" w:cs="Calibri"/>
                <w:b/>
                <w:bCs/>
                <w:color w:val="0000FF"/>
              </w:rPr>
            </w:pPr>
            <w:r w:rsidRPr="00127B7F">
              <w:rPr>
                <w:rFonts w:ascii="Calibri" w:hAnsi="Calibri" w:cs="Calibri"/>
                <w:b/>
                <w:bCs/>
                <w:color w:val="0000FF"/>
              </w:rPr>
              <w:t>Benchmark</w:t>
            </w:r>
          </w:p>
        </w:tc>
        <w:tc>
          <w:tcPr>
            <w:tcW w:w="2740" w:type="dxa"/>
            <w:gridSpan w:val="2"/>
            <w:tcBorders>
              <w:top w:val="single" w:sz="4" w:space="0" w:color="auto"/>
              <w:left w:val="nil"/>
              <w:bottom w:val="single" w:sz="4" w:space="0" w:color="auto"/>
              <w:right w:val="nil"/>
            </w:tcBorders>
            <w:shd w:val="clear" w:color="auto" w:fill="D9D9D9" w:themeFill="background1" w:themeFillShade="D9"/>
          </w:tcPr>
          <w:p w:rsidR="00127B7F" w:rsidRPr="00127B7F" w:rsidRDefault="00127B7F" w:rsidP="00127B7F">
            <w:pPr>
              <w:autoSpaceDE w:val="0"/>
              <w:autoSpaceDN w:val="0"/>
              <w:adjustRightInd w:val="0"/>
              <w:jc w:val="center"/>
              <w:rPr>
                <w:rFonts w:ascii="Calibri" w:hAnsi="Calibri" w:cs="Calibri"/>
                <w:b/>
                <w:bCs/>
                <w:color w:val="0000FF"/>
              </w:rPr>
            </w:pPr>
            <w:r w:rsidRPr="00127B7F">
              <w:rPr>
                <w:rFonts w:ascii="Calibri" w:hAnsi="Calibri" w:cs="Calibri"/>
                <w:b/>
                <w:bCs/>
                <w:color w:val="0000FF"/>
              </w:rPr>
              <w:t>Threshold</w:t>
            </w:r>
          </w:p>
        </w:tc>
      </w:tr>
      <w:tr w:rsidR="00127B7F" w:rsidRPr="00127B7F" w:rsidTr="00127B7F">
        <w:trPr>
          <w:trHeight w:val="543"/>
        </w:trPr>
        <w:tc>
          <w:tcPr>
            <w:tcW w:w="1369" w:type="dxa"/>
            <w:tcBorders>
              <w:top w:val="single" w:sz="4" w:space="0" w:color="auto"/>
              <w:left w:val="nil"/>
              <w:bottom w:val="single" w:sz="4" w:space="0" w:color="auto"/>
              <w:right w:val="nil"/>
            </w:tcBorders>
            <w:shd w:val="clear" w:color="auto" w:fill="D9D9D9" w:themeFill="background1" w:themeFillShade="D9"/>
            <w:vAlign w:val="bottom"/>
          </w:tcPr>
          <w:p w:rsidR="00127B7F" w:rsidRPr="00127B7F" w:rsidRDefault="00127B7F" w:rsidP="00127B7F">
            <w:pPr>
              <w:autoSpaceDE w:val="0"/>
              <w:autoSpaceDN w:val="0"/>
              <w:adjustRightInd w:val="0"/>
              <w:rPr>
                <w:rFonts w:ascii="Calibri" w:hAnsi="Calibri" w:cs="Calibri"/>
                <w:color w:val="000000"/>
              </w:rPr>
            </w:pPr>
            <w:r w:rsidRPr="00127B7F">
              <w:rPr>
                <w:rFonts w:ascii="Calibri" w:hAnsi="Calibri" w:cs="Calibri"/>
                <w:b/>
                <w:bCs/>
                <w:color w:val="0000FF"/>
              </w:rPr>
              <w:t xml:space="preserve">Size Decile </w:t>
            </w:r>
          </w:p>
        </w:tc>
        <w:tc>
          <w:tcPr>
            <w:tcW w:w="1369" w:type="dxa"/>
            <w:tcBorders>
              <w:top w:val="single" w:sz="4" w:space="0" w:color="auto"/>
              <w:left w:val="nil"/>
              <w:bottom w:val="single" w:sz="4" w:space="0" w:color="auto"/>
              <w:right w:val="nil"/>
            </w:tcBorders>
            <w:shd w:val="clear" w:color="auto" w:fill="D9D9D9" w:themeFill="background1" w:themeFillShade="D9"/>
            <w:vAlign w:val="bottom"/>
          </w:tcPr>
          <w:p w:rsidR="00127B7F" w:rsidRPr="00127B7F" w:rsidRDefault="00127B7F" w:rsidP="00127B7F">
            <w:pPr>
              <w:autoSpaceDE w:val="0"/>
              <w:autoSpaceDN w:val="0"/>
              <w:adjustRightInd w:val="0"/>
              <w:rPr>
                <w:rFonts w:ascii="Calibri" w:hAnsi="Calibri" w:cs="Calibri"/>
                <w:color w:val="000000"/>
              </w:rPr>
            </w:pPr>
            <w:r w:rsidRPr="00127B7F">
              <w:rPr>
                <w:rFonts w:ascii="Calibri" w:hAnsi="Calibri" w:cs="Calibri"/>
                <w:b/>
                <w:bCs/>
                <w:color w:val="0000FF"/>
              </w:rPr>
              <w:t xml:space="preserve">Number </w:t>
            </w:r>
          </w:p>
          <w:p w:rsidR="00127B7F" w:rsidRPr="00127B7F" w:rsidRDefault="00127B7F" w:rsidP="00127B7F">
            <w:pPr>
              <w:autoSpaceDE w:val="0"/>
              <w:autoSpaceDN w:val="0"/>
              <w:adjustRightInd w:val="0"/>
              <w:rPr>
                <w:rFonts w:ascii="Calibri" w:hAnsi="Calibri" w:cs="Calibri"/>
                <w:color w:val="000000"/>
              </w:rPr>
            </w:pPr>
            <w:r w:rsidRPr="00127B7F">
              <w:rPr>
                <w:rFonts w:ascii="Calibri" w:hAnsi="Calibri" w:cs="Calibri"/>
                <w:b/>
                <w:bCs/>
                <w:color w:val="0000FF"/>
              </w:rPr>
              <w:t xml:space="preserve">of Counties (Areas) </w:t>
            </w:r>
          </w:p>
        </w:tc>
        <w:tc>
          <w:tcPr>
            <w:tcW w:w="1369" w:type="dxa"/>
            <w:tcBorders>
              <w:top w:val="single" w:sz="4" w:space="0" w:color="auto"/>
              <w:left w:val="nil"/>
              <w:bottom w:val="single" w:sz="4" w:space="0" w:color="auto"/>
              <w:right w:val="nil"/>
            </w:tcBorders>
            <w:shd w:val="clear" w:color="auto" w:fill="D9D9D9" w:themeFill="background1" w:themeFillShade="D9"/>
            <w:vAlign w:val="bottom"/>
          </w:tcPr>
          <w:p w:rsidR="00127B7F" w:rsidRPr="00127B7F" w:rsidRDefault="00127B7F" w:rsidP="00127B7F">
            <w:pPr>
              <w:autoSpaceDE w:val="0"/>
              <w:autoSpaceDN w:val="0"/>
              <w:adjustRightInd w:val="0"/>
              <w:rPr>
                <w:rFonts w:ascii="Calibri" w:hAnsi="Calibri" w:cs="Calibri"/>
                <w:color w:val="000000"/>
              </w:rPr>
            </w:pPr>
            <w:r w:rsidRPr="00127B7F">
              <w:rPr>
                <w:rFonts w:ascii="Calibri" w:hAnsi="Calibri" w:cs="Calibri"/>
                <w:b/>
                <w:bCs/>
                <w:color w:val="0000FF"/>
              </w:rPr>
              <w:t xml:space="preserve">Ave. </w:t>
            </w:r>
            <w:r>
              <w:rPr>
                <w:rFonts w:ascii="Calibri" w:hAnsi="Calibri" w:cs="Calibri"/>
                <w:b/>
                <w:bCs/>
                <w:color w:val="0000FF"/>
              </w:rPr>
              <w:t>#</w:t>
            </w:r>
            <w:r w:rsidRPr="00127B7F">
              <w:rPr>
                <w:rFonts w:ascii="Calibri" w:hAnsi="Calibri" w:cs="Calibri"/>
                <w:b/>
                <w:bCs/>
                <w:color w:val="0000FF"/>
              </w:rPr>
              <w:t xml:space="preserve"> of </w:t>
            </w:r>
          </w:p>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b/>
                <w:bCs/>
                <w:color w:val="0000FF"/>
              </w:rPr>
              <w:t xml:space="preserve">persons per County (Area) </w:t>
            </w:r>
          </w:p>
          <w:p w:rsidR="00127B7F" w:rsidRPr="00127B7F" w:rsidRDefault="00127B7F" w:rsidP="00127B7F">
            <w:pPr>
              <w:autoSpaceDE w:val="0"/>
              <w:autoSpaceDN w:val="0"/>
              <w:adjustRightInd w:val="0"/>
              <w:rPr>
                <w:rFonts w:ascii="Calibri" w:hAnsi="Calibri" w:cs="Calibri"/>
                <w:color w:val="000000"/>
              </w:rPr>
            </w:pPr>
            <w:r w:rsidRPr="00127B7F">
              <w:rPr>
                <w:rFonts w:ascii="Calibri" w:hAnsi="Calibri" w:cs="Calibri"/>
                <w:b/>
                <w:bCs/>
                <w:color w:val="0000FF"/>
              </w:rPr>
              <w:t xml:space="preserve">in Decile </w:t>
            </w:r>
          </w:p>
        </w:tc>
        <w:tc>
          <w:tcPr>
            <w:tcW w:w="1369" w:type="dxa"/>
            <w:gridSpan w:val="2"/>
            <w:tcBorders>
              <w:top w:val="single" w:sz="4" w:space="0" w:color="auto"/>
              <w:left w:val="nil"/>
              <w:bottom w:val="single" w:sz="4" w:space="0" w:color="auto"/>
              <w:right w:val="nil"/>
            </w:tcBorders>
            <w:shd w:val="clear" w:color="auto" w:fill="D9D9D9" w:themeFill="background1" w:themeFillShade="D9"/>
            <w:vAlign w:val="bottom"/>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b/>
                <w:bCs/>
                <w:color w:val="0000FF"/>
              </w:rPr>
              <w:t xml:space="preserve">Proportion </w:t>
            </w:r>
          </w:p>
          <w:p w:rsidR="00127B7F" w:rsidRPr="00127B7F" w:rsidRDefault="00127B7F" w:rsidP="00127B7F">
            <w:pPr>
              <w:autoSpaceDE w:val="0"/>
              <w:autoSpaceDN w:val="0"/>
              <w:adjustRightInd w:val="0"/>
              <w:rPr>
                <w:rFonts w:ascii="Calibri" w:hAnsi="Calibri" w:cs="Calibri"/>
                <w:color w:val="000000"/>
              </w:rPr>
            </w:pPr>
            <w:r w:rsidRPr="00127B7F">
              <w:rPr>
                <w:rFonts w:ascii="Calibri" w:hAnsi="Calibri" w:cs="Calibri"/>
                <w:b/>
                <w:bCs/>
                <w:color w:val="0000FF"/>
              </w:rPr>
              <w:t xml:space="preserve">Better </w:t>
            </w:r>
          </w:p>
        </w:tc>
        <w:tc>
          <w:tcPr>
            <w:tcW w:w="1369" w:type="dxa"/>
            <w:tcBorders>
              <w:top w:val="single" w:sz="4" w:space="0" w:color="auto"/>
              <w:left w:val="nil"/>
              <w:bottom w:val="single" w:sz="4" w:space="0" w:color="auto"/>
              <w:right w:val="nil"/>
            </w:tcBorders>
            <w:shd w:val="clear" w:color="auto" w:fill="D9D9D9" w:themeFill="background1" w:themeFillShade="D9"/>
            <w:vAlign w:val="bottom"/>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b/>
                <w:bCs/>
                <w:color w:val="0000FF"/>
              </w:rPr>
              <w:t xml:space="preserve">Proportion </w:t>
            </w:r>
          </w:p>
          <w:p w:rsidR="00127B7F" w:rsidRPr="00127B7F" w:rsidRDefault="00127B7F" w:rsidP="00127B7F">
            <w:pPr>
              <w:autoSpaceDE w:val="0"/>
              <w:autoSpaceDN w:val="0"/>
              <w:adjustRightInd w:val="0"/>
              <w:rPr>
                <w:rFonts w:ascii="Calibri" w:hAnsi="Calibri" w:cs="Calibri"/>
                <w:color w:val="000000"/>
              </w:rPr>
            </w:pPr>
            <w:r w:rsidRPr="00127B7F">
              <w:rPr>
                <w:rFonts w:ascii="Calibri" w:hAnsi="Calibri" w:cs="Calibri"/>
                <w:b/>
                <w:bCs/>
                <w:color w:val="0000FF"/>
              </w:rPr>
              <w:t xml:space="preserve">Worse </w:t>
            </w:r>
          </w:p>
        </w:tc>
        <w:tc>
          <w:tcPr>
            <w:tcW w:w="1369" w:type="dxa"/>
            <w:tcBorders>
              <w:top w:val="single" w:sz="4" w:space="0" w:color="auto"/>
              <w:left w:val="nil"/>
              <w:bottom w:val="single" w:sz="4" w:space="0" w:color="auto"/>
              <w:right w:val="nil"/>
            </w:tcBorders>
            <w:shd w:val="clear" w:color="auto" w:fill="D9D9D9" w:themeFill="background1" w:themeFillShade="D9"/>
            <w:vAlign w:val="bottom"/>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b/>
                <w:bCs/>
                <w:color w:val="0000FF"/>
              </w:rPr>
              <w:t xml:space="preserve">Proportion </w:t>
            </w:r>
          </w:p>
          <w:p w:rsidR="00127B7F" w:rsidRPr="00127B7F" w:rsidRDefault="00127B7F" w:rsidP="00127B7F">
            <w:pPr>
              <w:autoSpaceDE w:val="0"/>
              <w:autoSpaceDN w:val="0"/>
              <w:adjustRightInd w:val="0"/>
              <w:rPr>
                <w:rFonts w:ascii="Calibri" w:hAnsi="Calibri" w:cs="Calibri"/>
                <w:color w:val="000000"/>
              </w:rPr>
            </w:pPr>
            <w:r w:rsidRPr="00127B7F">
              <w:rPr>
                <w:rFonts w:ascii="Calibri" w:hAnsi="Calibri" w:cs="Calibri"/>
                <w:b/>
                <w:bCs/>
                <w:color w:val="0000FF"/>
              </w:rPr>
              <w:t xml:space="preserve">Better </w:t>
            </w:r>
          </w:p>
        </w:tc>
        <w:tc>
          <w:tcPr>
            <w:tcW w:w="1371" w:type="dxa"/>
            <w:tcBorders>
              <w:top w:val="single" w:sz="4" w:space="0" w:color="auto"/>
              <w:left w:val="nil"/>
              <w:bottom w:val="single" w:sz="4" w:space="0" w:color="auto"/>
              <w:right w:val="nil"/>
            </w:tcBorders>
            <w:shd w:val="clear" w:color="auto" w:fill="D9D9D9" w:themeFill="background1" w:themeFillShade="D9"/>
            <w:vAlign w:val="bottom"/>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b/>
                <w:bCs/>
                <w:color w:val="0000FF"/>
              </w:rPr>
              <w:t xml:space="preserve">Proportion </w:t>
            </w:r>
          </w:p>
          <w:p w:rsidR="00127B7F" w:rsidRPr="00127B7F" w:rsidRDefault="00127B7F" w:rsidP="00127B7F">
            <w:pPr>
              <w:autoSpaceDE w:val="0"/>
              <w:autoSpaceDN w:val="0"/>
              <w:adjustRightInd w:val="0"/>
              <w:rPr>
                <w:rFonts w:ascii="Calibri" w:hAnsi="Calibri" w:cs="Calibri"/>
                <w:color w:val="000000"/>
              </w:rPr>
            </w:pPr>
            <w:r w:rsidRPr="00127B7F">
              <w:rPr>
                <w:rFonts w:ascii="Calibri" w:hAnsi="Calibri" w:cs="Calibri"/>
                <w:b/>
                <w:bCs/>
                <w:color w:val="0000FF"/>
              </w:rPr>
              <w:t xml:space="preserve">Worse </w:t>
            </w:r>
          </w:p>
        </w:tc>
      </w:tr>
      <w:tr w:rsidR="00127B7F" w:rsidRPr="00127B7F" w:rsidTr="00127B7F">
        <w:trPr>
          <w:trHeight w:val="139"/>
        </w:trPr>
        <w:tc>
          <w:tcPr>
            <w:tcW w:w="1369" w:type="dxa"/>
            <w:tcBorders>
              <w:top w:val="single" w:sz="4" w:space="0" w:color="auto"/>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1 </w:t>
            </w:r>
          </w:p>
        </w:tc>
        <w:tc>
          <w:tcPr>
            <w:tcW w:w="1369" w:type="dxa"/>
            <w:tcBorders>
              <w:top w:val="single" w:sz="4" w:space="0" w:color="auto"/>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312 </w:t>
            </w:r>
          </w:p>
        </w:tc>
        <w:tc>
          <w:tcPr>
            <w:tcW w:w="1369" w:type="dxa"/>
            <w:tcBorders>
              <w:top w:val="single" w:sz="4" w:space="0" w:color="auto"/>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2,278.9 </w:t>
            </w:r>
          </w:p>
        </w:tc>
        <w:tc>
          <w:tcPr>
            <w:tcW w:w="1369" w:type="dxa"/>
            <w:gridSpan w:val="2"/>
            <w:tcBorders>
              <w:top w:val="single" w:sz="4" w:space="0" w:color="auto"/>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0.02885 </w:t>
            </w:r>
          </w:p>
        </w:tc>
        <w:tc>
          <w:tcPr>
            <w:tcW w:w="1369" w:type="dxa"/>
            <w:tcBorders>
              <w:top w:val="single" w:sz="4" w:space="0" w:color="auto"/>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0.51923 </w:t>
            </w:r>
          </w:p>
        </w:tc>
        <w:tc>
          <w:tcPr>
            <w:tcW w:w="1369" w:type="dxa"/>
            <w:tcBorders>
              <w:top w:val="single" w:sz="4" w:space="0" w:color="auto"/>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0.56731 </w:t>
            </w:r>
          </w:p>
        </w:tc>
        <w:tc>
          <w:tcPr>
            <w:tcW w:w="1371" w:type="dxa"/>
            <w:tcBorders>
              <w:top w:val="single" w:sz="4" w:space="0" w:color="auto"/>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0.16346 </w:t>
            </w:r>
          </w:p>
        </w:tc>
      </w:tr>
      <w:tr w:rsidR="00127B7F" w:rsidRPr="00127B7F" w:rsidTr="00127B7F">
        <w:trPr>
          <w:trHeight w:val="139"/>
        </w:trPr>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2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311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5,658.6 </w:t>
            </w:r>
          </w:p>
        </w:tc>
        <w:tc>
          <w:tcPr>
            <w:tcW w:w="1369" w:type="dxa"/>
            <w:gridSpan w:val="2"/>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0.07074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0.64630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0.52090 </w:t>
            </w:r>
          </w:p>
        </w:tc>
        <w:tc>
          <w:tcPr>
            <w:tcW w:w="1371"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0.20900 </w:t>
            </w:r>
          </w:p>
        </w:tc>
      </w:tr>
      <w:tr w:rsidR="00127B7F" w:rsidRPr="00127B7F" w:rsidTr="00127B7F">
        <w:trPr>
          <w:trHeight w:val="139"/>
        </w:trPr>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311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8,818.1 </w:t>
            </w:r>
          </w:p>
        </w:tc>
        <w:tc>
          <w:tcPr>
            <w:tcW w:w="1369" w:type="dxa"/>
            <w:gridSpan w:val="2"/>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0.08039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0.66881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0.56270 </w:t>
            </w:r>
          </w:p>
        </w:tc>
        <w:tc>
          <w:tcPr>
            <w:tcW w:w="1371"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0.24116 </w:t>
            </w:r>
          </w:p>
        </w:tc>
      </w:tr>
      <w:tr w:rsidR="00127B7F" w:rsidRPr="00127B7F" w:rsidTr="00127B7F">
        <w:trPr>
          <w:trHeight w:val="139"/>
        </w:trPr>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4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311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12,641.6 </w:t>
            </w:r>
          </w:p>
        </w:tc>
        <w:tc>
          <w:tcPr>
            <w:tcW w:w="1369" w:type="dxa"/>
            <w:gridSpan w:val="2"/>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0.07396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0.71383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0.58521 </w:t>
            </w:r>
          </w:p>
        </w:tc>
        <w:tc>
          <w:tcPr>
            <w:tcW w:w="1371"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0.21543 </w:t>
            </w:r>
          </w:p>
        </w:tc>
      </w:tr>
      <w:tr w:rsidR="00127B7F" w:rsidRPr="00127B7F" w:rsidTr="00127B7F">
        <w:trPr>
          <w:trHeight w:val="139"/>
        </w:trPr>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5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311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17,290.0 </w:t>
            </w:r>
          </w:p>
        </w:tc>
        <w:tc>
          <w:tcPr>
            <w:tcW w:w="1369" w:type="dxa"/>
            <w:gridSpan w:val="2"/>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0.08360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0.73955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0.58842 </w:t>
            </w:r>
          </w:p>
        </w:tc>
        <w:tc>
          <w:tcPr>
            <w:tcW w:w="1371"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0.22830 </w:t>
            </w:r>
          </w:p>
        </w:tc>
      </w:tr>
      <w:tr w:rsidR="00127B7F" w:rsidRPr="00127B7F" w:rsidTr="00127B7F">
        <w:trPr>
          <w:trHeight w:val="139"/>
        </w:trPr>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6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312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23,990.9 </w:t>
            </w:r>
          </w:p>
        </w:tc>
        <w:tc>
          <w:tcPr>
            <w:tcW w:w="1369" w:type="dxa"/>
            <w:gridSpan w:val="2"/>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0.06090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0.76282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0.60256 </w:t>
            </w:r>
          </w:p>
        </w:tc>
        <w:tc>
          <w:tcPr>
            <w:tcW w:w="1371"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0.23397 </w:t>
            </w:r>
          </w:p>
        </w:tc>
      </w:tr>
      <w:tr w:rsidR="00127B7F" w:rsidRPr="00127B7F" w:rsidTr="00127B7F">
        <w:trPr>
          <w:trHeight w:val="139"/>
        </w:trPr>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7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311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33,769.2 </w:t>
            </w:r>
          </w:p>
        </w:tc>
        <w:tc>
          <w:tcPr>
            <w:tcW w:w="1369" w:type="dxa"/>
            <w:gridSpan w:val="2"/>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0.07717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0.74277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0.72347 </w:t>
            </w:r>
          </w:p>
        </w:tc>
        <w:tc>
          <w:tcPr>
            <w:tcW w:w="1371"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0.14469 </w:t>
            </w:r>
          </w:p>
        </w:tc>
      </w:tr>
      <w:tr w:rsidR="00127B7F" w:rsidRPr="00127B7F" w:rsidTr="00127B7F">
        <w:trPr>
          <w:trHeight w:val="139"/>
        </w:trPr>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8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311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53,202.2 </w:t>
            </w:r>
          </w:p>
        </w:tc>
        <w:tc>
          <w:tcPr>
            <w:tcW w:w="1369" w:type="dxa"/>
            <w:gridSpan w:val="2"/>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0.08682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0.79100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0.70096 </w:t>
            </w:r>
          </w:p>
        </w:tc>
        <w:tc>
          <w:tcPr>
            <w:tcW w:w="1371"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0.16720 </w:t>
            </w:r>
          </w:p>
        </w:tc>
      </w:tr>
      <w:tr w:rsidR="00127B7F" w:rsidRPr="00127B7F" w:rsidTr="00127B7F">
        <w:trPr>
          <w:trHeight w:val="139"/>
        </w:trPr>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9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311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103,763.5 </w:t>
            </w:r>
          </w:p>
        </w:tc>
        <w:tc>
          <w:tcPr>
            <w:tcW w:w="1369" w:type="dxa"/>
            <w:gridSpan w:val="2"/>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0.09646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0.78135 </w:t>
            </w:r>
          </w:p>
        </w:tc>
        <w:tc>
          <w:tcPr>
            <w:tcW w:w="1369"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0.80064 </w:t>
            </w:r>
          </w:p>
        </w:tc>
        <w:tc>
          <w:tcPr>
            <w:tcW w:w="1371" w:type="dxa"/>
            <w:tcBorders>
              <w:top w:val="nil"/>
              <w:left w:val="nil"/>
              <w:bottom w:val="nil"/>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0.12540 </w:t>
            </w:r>
          </w:p>
        </w:tc>
      </w:tr>
      <w:tr w:rsidR="00127B7F" w:rsidRPr="00127B7F" w:rsidTr="00127B7F">
        <w:trPr>
          <w:trHeight w:val="139"/>
        </w:trPr>
        <w:tc>
          <w:tcPr>
            <w:tcW w:w="1369" w:type="dxa"/>
            <w:tcBorders>
              <w:top w:val="nil"/>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10 </w:t>
            </w:r>
          </w:p>
        </w:tc>
        <w:tc>
          <w:tcPr>
            <w:tcW w:w="1369" w:type="dxa"/>
            <w:tcBorders>
              <w:top w:val="nil"/>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311 </w:t>
            </w:r>
          </w:p>
        </w:tc>
        <w:tc>
          <w:tcPr>
            <w:tcW w:w="1369" w:type="dxa"/>
            <w:tcBorders>
              <w:top w:val="nil"/>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500,107.3 </w:t>
            </w:r>
          </w:p>
        </w:tc>
        <w:tc>
          <w:tcPr>
            <w:tcW w:w="1369" w:type="dxa"/>
            <w:gridSpan w:val="2"/>
            <w:tcBorders>
              <w:top w:val="nil"/>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0.08682 </w:t>
            </w:r>
          </w:p>
        </w:tc>
        <w:tc>
          <w:tcPr>
            <w:tcW w:w="1369" w:type="dxa"/>
            <w:tcBorders>
              <w:top w:val="nil"/>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0.81994 </w:t>
            </w:r>
          </w:p>
        </w:tc>
        <w:tc>
          <w:tcPr>
            <w:tcW w:w="1369" w:type="dxa"/>
            <w:tcBorders>
              <w:top w:val="nil"/>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0.91961 </w:t>
            </w:r>
          </w:p>
        </w:tc>
        <w:tc>
          <w:tcPr>
            <w:tcW w:w="1371" w:type="dxa"/>
            <w:tcBorders>
              <w:top w:val="nil"/>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 xml:space="preserve">0.05466 </w:t>
            </w:r>
          </w:p>
        </w:tc>
      </w:tr>
      <w:tr w:rsidR="00127B7F" w:rsidRPr="00127B7F" w:rsidTr="00127B7F">
        <w:trPr>
          <w:trHeight w:val="139"/>
        </w:trPr>
        <w:tc>
          <w:tcPr>
            <w:tcW w:w="1369" w:type="dxa"/>
            <w:tcBorders>
              <w:top w:val="single" w:sz="4" w:space="0" w:color="auto"/>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Pr>
                <w:rFonts w:ascii="Calibri" w:hAnsi="Calibri" w:cs="Calibri"/>
                <w:color w:val="0000FF"/>
              </w:rPr>
              <w:t>All</w:t>
            </w:r>
          </w:p>
        </w:tc>
        <w:tc>
          <w:tcPr>
            <w:tcW w:w="1369" w:type="dxa"/>
            <w:tcBorders>
              <w:top w:val="single" w:sz="4" w:space="0" w:color="auto"/>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3,112</w:t>
            </w:r>
          </w:p>
        </w:tc>
        <w:tc>
          <w:tcPr>
            <w:tcW w:w="1369" w:type="dxa"/>
            <w:tcBorders>
              <w:top w:val="single" w:sz="4" w:space="0" w:color="auto"/>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76,111.5</w:t>
            </w:r>
          </w:p>
        </w:tc>
        <w:tc>
          <w:tcPr>
            <w:tcW w:w="1369" w:type="dxa"/>
            <w:gridSpan w:val="2"/>
            <w:tcBorders>
              <w:top w:val="single" w:sz="4" w:space="0" w:color="auto"/>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0.07455</w:t>
            </w:r>
          </w:p>
        </w:tc>
        <w:tc>
          <w:tcPr>
            <w:tcW w:w="1369" w:type="dxa"/>
            <w:tcBorders>
              <w:top w:val="single" w:sz="4" w:space="0" w:color="auto"/>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0.71851</w:t>
            </w:r>
          </w:p>
        </w:tc>
        <w:tc>
          <w:tcPr>
            <w:tcW w:w="1369" w:type="dxa"/>
            <w:tcBorders>
              <w:top w:val="single" w:sz="4" w:space="0" w:color="auto"/>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0.65713</w:t>
            </w:r>
          </w:p>
        </w:tc>
        <w:tc>
          <w:tcPr>
            <w:tcW w:w="1371" w:type="dxa"/>
            <w:tcBorders>
              <w:top w:val="single" w:sz="4" w:space="0" w:color="auto"/>
              <w:left w:val="nil"/>
              <w:bottom w:val="single" w:sz="4" w:space="0" w:color="auto"/>
              <w:right w:val="nil"/>
            </w:tcBorders>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0.17834</w:t>
            </w:r>
          </w:p>
        </w:tc>
      </w:tr>
      <w:tr w:rsidR="00127B7F" w:rsidRPr="00127B7F" w:rsidTr="00127B7F">
        <w:trPr>
          <w:trHeight w:val="139"/>
        </w:trPr>
        <w:tc>
          <w:tcPr>
            <w:tcW w:w="1369" w:type="dxa"/>
            <w:tcBorders>
              <w:top w:val="single" w:sz="4" w:space="0" w:color="auto"/>
              <w:left w:val="nil"/>
              <w:bottom w:val="single" w:sz="4" w:space="0" w:color="auto"/>
              <w:right w:val="nil"/>
            </w:tcBorders>
            <w:vAlign w:val="bottom"/>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Patient weighted</w:t>
            </w:r>
          </w:p>
        </w:tc>
        <w:tc>
          <w:tcPr>
            <w:tcW w:w="1369" w:type="dxa"/>
            <w:tcBorders>
              <w:top w:val="single" w:sz="4" w:space="0" w:color="auto"/>
              <w:left w:val="nil"/>
              <w:bottom w:val="single" w:sz="4" w:space="0" w:color="auto"/>
              <w:right w:val="nil"/>
            </w:tcBorders>
            <w:vAlign w:val="bottom"/>
          </w:tcPr>
          <w:p w:rsidR="00127B7F" w:rsidRPr="00127B7F" w:rsidRDefault="00127B7F" w:rsidP="00127B7F">
            <w:pPr>
              <w:autoSpaceDE w:val="0"/>
              <w:autoSpaceDN w:val="0"/>
              <w:adjustRightInd w:val="0"/>
              <w:rPr>
                <w:rFonts w:ascii="Calibri" w:hAnsi="Calibri" w:cs="Calibri"/>
                <w:color w:val="0000FF"/>
              </w:rPr>
            </w:pPr>
          </w:p>
        </w:tc>
        <w:tc>
          <w:tcPr>
            <w:tcW w:w="1369" w:type="dxa"/>
            <w:tcBorders>
              <w:top w:val="single" w:sz="4" w:space="0" w:color="auto"/>
              <w:left w:val="nil"/>
              <w:bottom w:val="single" w:sz="4" w:space="0" w:color="auto"/>
              <w:right w:val="nil"/>
            </w:tcBorders>
            <w:vAlign w:val="bottom"/>
          </w:tcPr>
          <w:p w:rsidR="00127B7F" w:rsidRPr="00127B7F" w:rsidRDefault="00127B7F" w:rsidP="00127B7F">
            <w:pPr>
              <w:autoSpaceDE w:val="0"/>
              <w:autoSpaceDN w:val="0"/>
              <w:adjustRightInd w:val="0"/>
              <w:rPr>
                <w:rFonts w:ascii="Calibri" w:hAnsi="Calibri" w:cs="Calibri"/>
                <w:color w:val="0000FF"/>
              </w:rPr>
            </w:pPr>
          </w:p>
        </w:tc>
        <w:tc>
          <w:tcPr>
            <w:tcW w:w="1369" w:type="dxa"/>
            <w:gridSpan w:val="2"/>
            <w:tcBorders>
              <w:top w:val="single" w:sz="4" w:space="0" w:color="auto"/>
              <w:left w:val="nil"/>
              <w:bottom w:val="single" w:sz="4" w:space="0" w:color="auto"/>
              <w:right w:val="nil"/>
            </w:tcBorders>
            <w:vAlign w:val="bottom"/>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0.07315</w:t>
            </w:r>
          </w:p>
        </w:tc>
        <w:tc>
          <w:tcPr>
            <w:tcW w:w="1369" w:type="dxa"/>
            <w:tcBorders>
              <w:top w:val="single" w:sz="4" w:space="0" w:color="auto"/>
              <w:left w:val="nil"/>
              <w:bottom w:val="single" w:sz="4" w:space="0" w:color="auto"/>
              <w:right w:val="nil"/>
            </w:tcBorders>
            <w:vAlign w:val="bottom"/>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0.81809</w:t>
            </w:r>
          </w:p>
        </w:tc>
        <w:tc>
          <w:tcPr>
            <w:tcW w:w="1369" w:type="dxa"/>
            <w:tcBorders>
              <w:top w:val="single" w:sz="4" w:space="0" w:color="auto"/>
              <w:left w:val="nil"/>
              <w:bottom w:val="single" w:sz="4" w:space="0" w:color="auto"/>
              <w:right w:val="nil"/>
            </w:tcBorders>
            <w:vAlign w:val="bottom"/>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0.86298</w:t>
            </w:r>
          </w:p>
        </w:tc>
        <w:tc>
          <w:tcPr>
            <w:tcW w:w="1371" w:type="dxa"/>
            <w:tcBorders>
              <w:top w:val="single" w:sz="4" w:space="0" w:color="auto"/>
              <w:left w:val="nil"/>
              <w:bottom w:val="single" w:sz="4" w:space="0" w:color="auto"/>
              <w:right w:val="nil"/>
            </w:tcBorders>
            <w:vAlign w:val="bottom"/>
          </w:tcPr>
          <w:p w:rsidR="00127B7F" w:rsidRPr="00127B7F" w:rsidRDefault="00127B7F" w:rsidP="00127B7F">
            <w:pPr>
              <w:autoSpaceDE w:val="0"/>
              <w:autoSpaceDN w:val="0"/>
              <w:adjustRightInd w:val="0"/>
              <w:rPr>
                <w:rFonts w:ascii="Calibri" w:hAnsi="Calibri" w:cs="Calibri"/>
                <w:color w:val="0000FF"/>
              </w:rPr>
            </w:pPr>
            <w:r w:rsidRPr="00127B7F">
              <w:rPr>
                <w:rFonts w:ascii="Calibri" w:hAnsi="Calibri" w:cs="Calibri"/>
                <w:color w:val="0000FF"/>
              </w:rPr>
              <w:t>0.08164</w:t>
            </w:r>
          </w:p>
        </w:tc>
      </w:tr>
    </w:tbl>
    <w:p w:rsidR="00127B7F" w:rsidRDefault="00127B7F" w:rsidP="00D61410">
      <w:pPr>
        <w:autoSpaceDE w:val="0"/>
        <w:autoSpaceDN w:val="0"/>
        <w:adjustRightInd w:val="0"/>
        <w:spacing w:after="0" w:line="240" w:lineRule="auto"/>
        <w:rPr>
          <w:color w:val="0000FF"/>
        </w:rPr>
      </w:pPr>
      <w:r>
        <w:rPr>
          <w:color w:val="0000FF"/>
        </w:rPr>
        <w:t>Source: HCUP State Inpatient Databases (SID). Healthcare Cost and Utilization Project (HCUP). 2011. Agency for Healthcare Research and Quality, Rockville, MD. www.hcup-us.ahrq.gov/sidoverview.jsp. (AHRQ QI Software Version 4.5)</w:t>
      </w:r>
    </w:p>
    <w:p w:rsidR="00127B7F" w:rsidRPr="00927027" w:rsidRDefault="00127B7F"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B94D55" w:rsidRPr="00A25024" w:rsidRDefault="00B94D55" w:rsidP="00D61410">
      <w:pPr>
        <w:autoSpaceDE w:val="0"/>
        <w:autoSpaceDN w:val="0"/>
        <w:adjustRightInd w:val="0"/>
        <w:spacing w:after="0" w:line="240" w:lineRule="auto"/>
        <w:rPr>
          <w:rFonts w:cstheme="minorHAnsi"/>
          <w:bCs/>
        </w:rPr>
      </w:pPr>
      <w:r w:rsidRPr="00F557D0">
        <w:rPr>
          <w:color w:val="1F497D" w:themeColor="text2"/>
        </w:rPr>
        <w:t>When examining the performance of the measure across deciles of county population size, we observed that counties with large populations were not more likely to be identified as better than the Benchmark compared to counties with small populations.  In contrast, counties with large populations were less likely to fall below the Threshold than counties with smaller populations.</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3D2D5A">
        <w:rPr>
          <w:rFonts w:cstheme="minorHAnsi"/>
          <w:b/>
          <w:bCs/>
          <w:i/>
        </w:rPr>
        <w:t xml:space="preserve">If only one set of specifications, this section can be </w:t>
      </w:r>
      <w:r w:rsidR="00BE592D" w:rsidRPr="003D2D5A">
        <w:rPr>
          <w:rFonts w:cstheme="minorHAnsi"/>
          <w:b/>
          <w:bCs/>
          <w:i/>
        </w:rPr>
        <w:t>skipped.</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D34814" w:rsidRPr="00127B7F" w:rsidRDefault="00E1508F" w:rsidP="00D34814">
      <w:pPr>
        <w:rPr>
          <w:rFonts w:cstheme="minorHAnsi"/>
          <w:bCs/>
        </w:rPr>
      </w:pPr>
      <w:r>
        <w:rPr>
          <w:rFonts w:cstheme="minorHAnsi"/>
          <w:b/>
          <w:bCs/>
        </w:rPr>
        <w:lastRenderedPageBreak/>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F06B5" w:rsidRPr="00A25024">
        <w:rPr>
          <w:rFonts w:cstheme="minorHAnsi"/>
          <w:bCs/>
        </w:rPr>
        <w:t>)</w:t>
      </w:r>
      <w:proofErr w:type="gramEnd"/>
      <w:r w:rsidR="000F06B5" w:rsidRPr="00A25024">
        <w:rPr>
          <w:rFonts w:cstheme="minorHAnsi"/>
          <w:bCs/>
        </w:rPr>
        <w:br/>
      </w:r>
      <w:r w:rsidR="00D34814">
        <w:rPr>
          <w:color w:val="0000FF"/>
        </w:rPr>
        <w:t>Not applicable</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D34814" w:rsidRPr="00127B7F" w:rsidRDefault="00E1508F" w:rsidP="00D34814">
      <w:pPr>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D34814">
        <w:rPr>
          <w:color w:val="0000FF"/>
        </w:rPr>
        <w:t>Not applicable</w:t>
      </w:r>
    </w:p>
    <w:p w:rsidR="00A35F8F" w:rsidRDefault="00A35F8F" w:rsidP="00E1508F">
      <w:pPr>
        <w:autoSpaceDE w:val="0"/>
        <w:autoSpaceDN w:val="0"/>
        <w:adjustRightInd w:val="0"/>
        <w:spacing w:after="0" w:line="240" w:lineRule="auto"/>
        <w:rPr>
          <w:rFonts w:cstheme="minorHAnsi"/>
          <w:bCs/>
        </w:rPr>
      </w:pPr>
    </w:p>
    <w:p w:rsidR="00E1508F" w:rsidRPr="00E1508F" w:rsidRDefault="00E1508F" w:rsidP="00E1508F">
      <w:pPr>
        <w:autoSpaceDE w:val="0"/>
        <w:autoSpaceDN w:val="0"/>
        <w:adjustRightInd w:val="0"/>
        <w:spacing w:after="0" w:line="240" w:lineRule="auto"/>
        <w:rPr>
          <w:rFonts w:cstheme="minorHAnsi"/>
          <w:bCs/>
        </w:rPr>
      </w:pPr>
    </w:p>
    <w:p w:rsidR="00D34814" w:rsidRPr="00127B7F" w:rsidRDefault="00E1508F" w:rsidP="00D34814">
      <w:pPr>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D34814">
        <w:rPr>
          <w:color w:val="0000FF"/>
        </w:rPr>
        <w:t>Not applicable</w:t>
      </w:r>
    </w:p>
    <w:p w:rsidR="0079180E" w:rsidRDefault="0079180E" w:rsidP="00DB3627">
      <w:pPr>
        <w:autoSpaceDE w:val="0"/>
        <w:autoSpaceDN w:val="0"/>
        <w:adjustRightInd w:val="0"/>
        <w:spacing w:after="0" w:line="240" w:lineRule="auto"/>
        <w:rPr>
          <w:rFonts w:cstheme="minorHAnsi"/>
          <w:bCs/>
        </w:rPr>
      </w:pP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D34814" w:rsidRPr="00127B7F" w:rsidRDefault="008F7E67" w:rsidP="00D34814">
      <w:pPr>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proofErr w:type="gramStart"/>
      <w:r w:rsidRPr="00A25024">
        <w:rPr>
          <w:rFonts w:cstheme="minorHAnsi"/>
          <w:bCs/>
        </w:rPr>
        <w:t>)</w:t>
      </w:r>
      <w:proofErr w:type="gramEnd"/>
      <w:r w:rsidRPr="00A25024">
        <w:rPr>
          <w:rFonts w:cstheme="minorHAnsi"/>
          <w:bCs/>
        </w:rPr>
        <w:br/>
      </w:r>
      <w:r w:rsidR="00D34814">
        <w:rPr>
          <w:color w:val="0000FF"/>
        </w:rPr>
        <w:t>Not applicable</w:t>
      </w:r>
    </w:p>
    <w:p w:rsidR="008F7E67" w:rsidRPr="00A25024" w:rsidRDefault="008F7E67" w:rsidP="008F7E67">
      <w:pPr>
        <w:autoSpaceDE w:val="0"/>
        <w:autoSpaceDN w:val="0"/>
        <w:adjustRightInd w:val="0"/>
        <w:spacing w:after="0" w:line="240" w:lineRule="auto"/>
        <w:rPr>
          <w:rFonts w:cstheme="minorHAnsi"/>
          <w:bCs/>
        </w:rPr>
      </w:pPr>
      <w:r w:rsidRPr="00A25024">
        <w:rPr>
          <w:rFonts w:cstheme="minorHAnsi"/>
          <w:bCs/>
        </w:rP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D34814" w:rsidRPr="00127B7F" w:rsidRDefault="008F7E67" w:rsidP="00D34814">
      <w:pPr>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sidR="00D34814">
        <w:rPr>
          <w:color w:val="0000FF"/>
        </w:rPr>
        <w:t>Not applicable</w:t>
      </w:r>
    </w:p>
    <w:p w:rsidR="008F7E67" w:rsidRDefault="008F7E67" w:rsidP="008F7E67">
      <w:pPr>
        <w:autoSpaceDE w:val="0"/>
        <w:autoSpaceDN w:val="0"/>
        <w:adjustRightInd w:val="0"/>
        <w:spacing w:after="0" w:line="240" w:lineRule="auto"/>
        <w:rPr>
          <w:rFonts w:cstheme="minorHAnsi"/>
          <w:bCs/>
        </w:rPr>
      </w:pP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D34814" w:rsidRPr="00127B7F" w:rsidRDefault="00D34814" w:rsidP="00D34814">
      <w:pPr>
        <w:rPr>
          <w:rFonts w:cstheme="minorHAnsi"/>
          <w:bCs/>
        </w:rPr>
      </w:pPr>
      <w:r>
        <w:rPr>
          <w:color w:val="0000FF"/>
        </w:rPr>
        <w:t>Not applicable</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BBE" w:rsidRDefault="00181BBE" w:rsidP="005C73CA">
      <w:pPr>
        <w:spacing w:after="0" w:line="240" w:lineRule="auto"/>
      </w:pPr>
      <w:r>
        <w:separator/>
      </w:r>
    </w:p>
  </w:endnote>
  <w:endnote w:type="continuationSeparator" w:id="0">
    <w:p w:rsidR="00181BBE" w:rsidRDefault="00181BBE"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BBE" w:rsidRDefault="00181BBE">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6B47C0">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BBE" w:rsidRDefault="00181BBE" w:rsidP="005C73CA">
      <w:pPr>
        <w:spacing w:after="0" w:line="240" w:lineRule="auto"/>
      </w:pPr>
      <w:r>
        <w:separator/>
      </w:r>
    </w:p>
  </w:footnote>
  <w:footnote w:type="continuationSeparator" w:id="0">
    <w:p w:rsidR="00181BBE" w:rsidRDefault="00181BBE"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BBE" w:rsidRPr="00105D8B" w:rsidRDefault="00181BBE"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B7F"/>
    <w:rsid w:val="00127C06"/>
    <w:rsid w:val="00145149"/>
    <w:rsid w:val="00145D4F"/>
    <w:rsid w:val="0014773C"/>
    <w:rsid w:val="0017696D"/>
    <w:rsid w:val="00181BBE"/>
    <w:rsid w:val="001848FC"/>
    <w:rsid w:val="001969C5"/>
    <w:rsid w:val="001A6CDD"/>
    <w:rsid w:val="001C12EE"/>
    <w:rsid w:val="001C7B02"/>
    <w:rsid w:val="001E4DD4"/>
    <w:rsid w:val="001E69DC"/>
    <w:rsid w:val="001F169D"/>
    <w:rsid w:val="001F1DA1"/>
    <w:rsid w:val="001F6F93"/>
    <w:rsid w:val="001F7A20"/>
    <w:rsid w:val="00207D29"/>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008E"/>
    <w:rsid w:val="002D417D"/>
    <w:rsid w:val="002D5E5D"/>
    <w:rsid w:val="002E78A0"/>
    <w:rsid w:val="002F2687"/>
    <w:rsid w:val="002F48E1"/>
    <w:rsid w:val="002F4F3B"/>
    <w:rsid w:val="003059EB"/>
    <w:rsid w:val="003116AC"/>
    <w:rsid w:val="00315567"/>
    <w:rsid w:val="00330144"/>
    <w:rsid w:val="003434CF"/>
    <w:rsid w:val="00346245"/>
    <w:rsid w:val="00356267"/>
    <w:rsid w:val="00356BAD"/>
    <w:rsid w:val="003605B4"/>
    <w:rsid w:val="003627AC"/>
    <w:rsid w:val="00366914"/>
    <w:rsid w:val="00372FE3"/>
    <w:rsid w:val="003755CB"/>
    <w:rsid w:val="00383F85"/>
    <w:rsid w:val="003A2473"/>
    <w:rsid w:val="003A306C"/>
    <w:rsid w:val="003A7DE7"/>
    <w:rsid w:val="003B1006"/>
    <w:rsid w:val="003C2759"/>
    <w:rsid w:val="003C5F11"/>
    <w:rsid w:val="003D2D5A"/>
    <w:rsid w:val="003D5E0C"/>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166B"/>
    <w:rsid w:val="00612866"/>
    <w:rsid w:val="00616EB5"/>
    <w:rsid w:val="006269D4"/>
    <w:rsid w:val="006327D8"/>
    <w:rsid w:val="0064070A"/>
    <w:rsid w:val="00643A01"/>
    <w:rsid w:val="006574D2"/>
    <w:rsid w:val="006676D4"/>
    <w:rsid w:val="00675535"/>
    <w:rsid w:val="00681359"/>
    <w:rsid w:val="00696262"/>
    <w:rsid w:val="006B47C0"/>
    <w:rsid w:val="006C3A4F"/>
    <w:rsid w:val="006C4845"/>
    <w:rsid w:val="006D3C82"/>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22B6"/>
    <w:rsid w:val="00927027"/>
    <w:rsid w:val="009344BA"/>
    <w:rsid w:val="00937839"/>
    <w:rsid w:val="00947F78"/>
    <w:rsid w:val="00953234"/>
    <w:rsid w:val="00961EAF"/>
    <w:rsid w:val="0096278F"/>
    <w:rsid w:val="009726E1"/>
    <w:rsid w:val="00977591"/>
    <w:rsid w:val="00980E75"/>
    <w:rsid w:val="00994BE0"/>
    <w:rsid w:val="00997A0C"/>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45770"/>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94D55"/>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C2593"/>
    <w:rsid w:val="00CD0F66"/>
    <w:rsid w:val="00CD364B"/>
    <w:rsid w:val="00CE23B8"/>
    <w:rsid w:val="00CE50D7"/>
    <w:rsid w:val="00D00344"/>
    <w:rsid w:val="00D1754D"/>
    <w:rsid w:val="00D2223F"/>
    <w:rsid w:val="00D274A4"/>
    <w:rsid w:val="00D277AF"/>
    <w:rsid w:val="00D303B3"/>
    <w:rsid w:val="00D31163"/>
    <w:rsid w:val="00D320B1"/>
    <w:rsid w:val="00D33AFD"/>
    <w:rsid w:val="00D34814"/>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6FE0"/>
    <w:rsid w:val="00EC79DE"/>
    <w:rsid w:val="00ED4ACE"/>
    <w:rsid w:val="00EE4D35"/>
    <w:rsid w:val="00EF2DA7"/>
    <w:rsid w:val="00F435AA"/>
    <w:rsid w:val="00F5738A"/>
    <w:rsid w:val="00F612D4"/>
    <w:rsid w:val="00F77F1D"/>
    <w:rsid w:val="00F87CCB"/>
    <w:rsid w:val="00FA48C7"/>
    <w:rsid w:val="00FB73C1"/>
    <w:rsid w:val="00FF234B"/>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rsid w:val="00FF234B"/>
    <w:pPr>
      <w:autoSpaceDE w:val="0"/>
      <w:autoSpaceDN w:val="0"/>
      <w:adjustRightInd w:val="0"/>
      <w:spacing w:after="0" w:line="240" w:lineRule="auto"/>
    </w:pPr>
    <w:rPr>
      <w:rFonts w:ascii="Times New Roman" w:eastAsiaTheme="minorHAns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rsid w:val="00FF234B"/>
    <w:pPr>
      <w:autoSpaceDE w:val="0"/>
      <w:autoSpaceDN w:val="0"/>
      <w:adjustRightInd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786922765">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indicators.ahrq.gov/Downloads/Software/SAS/V45/AHRQ%20QI%20Population%20File%20V4.5.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hcup-us.ahrq.gov" TargetMode="External"/><Relationship Id="rId17" Type="http://schemas.openxmlformats.org/officeDocument/2006/relationships/hyperlink" Target="http://www.qualityindicators.ahrq.gov/Downloads/Modules/PQI/V45/Parameter_Estimates_PQI_45.pdf" TargetMode="External"/><Relationship Id="rId2" Type="http://schemas.openxmlformats.org/officeDocument/2006/relationships/customXml" Target="../customXml/item2.xml"/><Relationship Id="rId16" Type="http://schemas.openxmlformats.org/officeDocument/2006/relationships/hyperlink" Target="http://www.hcup-us.ahrq.gov/toolssoftware/comorbidity/comorbidity.js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qualityforum.org/Measuring_Performance/Submitting_Standards.aspx" TargetMode="External"/><Relationship Id="rId5" Type="http://schemas.openxmlformats.org/officeDocument/2006/relationships/styles" Target="styles.xml"/><Relationship Id="rId15" Type="http://schemas.openxmlformats.org/officeDocument/2006/relationships/hyperlink" Target="http://www.hcup-us.ahrq.gov/sidoverview.jsp"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census.gov/popest/"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494CE4"/>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034B0"/>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F60693-590D-4624-B1CF-5A2BD14ED9C5}">
  <ds:schemaRefs>
    <ds:schemaRef ds:uri="http://schemas.microsoft.com/sharepoint/v3/contenttype/forms"/>
  </ds:schemaRefs>
</ds:datastoreItem>
</file>

<file path=customXml/itemProps2.xml><?xml version="1.0" encoding="utf-8"?>
<ds:datastoreItem xmlns:ds="http://schemas.openxmlformats.org/officeDocument/2006/customXml" ds:itemID="{C28A57F0-1026-42DA-ABF9-A39CD784C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BB2DF5-3BEE-48E2-8237-4578E6579BF1}">
  <ds:schemaRefs>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 ds:uri="http://www.w3.org/XML/1998/namespace"/>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6127</Words>
  <Characters>34928</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40974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Ellen Schultz</cp:lastModifiedBy>
  <cp:revision>3</cp:revision>
  <dcterms:created xsi:type="dcterms:W3CDTF">2015-02-04T17:50:00Z</dcterms:created>
  <dcterms:modified xsi:type="dcterms:W3CDTF">2015-02-04T17:51:00Z</dcterms:modified>
</cp:coreProperties>
</file>