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363492" w:rsidRDefault="007C1887" w:rsidP="001A196B">
      <w:pPr>
        <w:jc w:val="center"/>
        <w:rPr>
          <w:b/>
          <w:noProof/>
        </w:rPr>
      </w:pPr>
      <w:r w:rsidRPr="00363492">
        <w:rPr>
          <w:b/>
          <w:smallCaps/>
          <w:noProof/>
        </w:rPr>
        <w:t>N</w:t>
      </w:r>
      <w:r w:rsidR="002F20A7" w:rsidRPr="00363492">
        <w:rPr>
          <w:b/>
          <w:smallCaps/>
          <w:noProof/>
        </w:rPr>
        <w:t>ational Quality Forum</w:t>
      </w:r>
      <w:r w:rsidR="002F20A7" w:rsidRPr="00363492">
        <w:rPr>
          <w:b/>
          <w:noProof/>
        </w:rPr>
        <w:t>—</w:t>
      </w:r>
      <w:r w:rsidR="00496AF8" w:rsidRPr="00363492">
        <w:rPr>
          <w:b/>
          <w:noProof/>
        </w:rPr>
        <w:t>Evidence (</w:t>
      </w:r>
      <w:r w:rsidR="00BE2295" w:rsidRPr="00363492">
        <w:rPr>
          <w:b/>
          <w:noProof/>
        </w:rPr>
        <w:t>subcrite</w:t>
      </w:r>
      <w:r w:rsidR="00617390" w:rsidRPr="00363492">
        <w:rPr>
          <w:b/>
          <w:noProof/>
        </w:rPr>
        <w:t>r</w:t>
      </w:r>
      <w:r w:rsidR="00BE2295" w:rsidRPr="00363492">
        <w:rPr>
          <w:b/>
          <w:noProof/>
        </w:rPr>
        <w:t>io</w:t>
      </w:r>
      <w:bookmarkStart w:id="0" w:name="_GoBack"/>
      <w:bookmarkEnd w:id="0"/>
      <w:r w:rsidR="00BE2295" w:rsidRPr="00363492">
        <w:rPr>
          <w:b/>
          <w:noProof/>
        </w:rPr>
        <w:t xml:space="preserve">n </w:t>
      </w:r>
      <w:r w:rsidR="00496AF8" w:rsidRPr="00363492">
        <w:rPr>
          <w:b/>
          <w:noProof/>
        </w:rPr>
        <w:t>1</w:t>
      </w:r>
      <w:r w:rsidR="00B117D0" w:rsidRPr="00363492">
        <w:rPr>
          <w:b/>
          <w:noProof/>
        </w:rPr>
        <w:t>a</w:t>
      </w:r>
      <w:r w:rsidR="00496AF8" w:rsidRPr="00363492">
        <w:rPr>
          <w:b/>
          <w:noProof/>
        </w:rPr>
        <w:t>)</w:t>
      </w:r>
      <w:r w:rsidR="002717C7" w:rsidRPr="00363492">
        <w:rPr>
          <w:b/>
          <w:noProof/>
        </w:rPr>
        <w:t xml:space="preserve"> </w:t>
      </w:r>
    </w:p>
    <w:p w:rsidR="00496AF8" w:rsidRPr="00363492" w:rsidRDefault="00496AF8" w:rsidP="002E2177">
      <w:pPr>
        <w:ind w:left="0" w:firstLine="0"/>
        <w:rPr>
          <w:noProof/>
        </w:rPr>
      </w:pPr>
    </w:p>
    <w:p w:rsidR="00496AF8" w:rsidRPr="00363492" w:rsidRDefault="00496AF8" w:rsidP="002E2177">
      <w:pPr>
        <w:ind w:left="0" w:firstLine="0"/>
        <w:rPr>
          <w:noProof/>
        </w:rPr>
      </w:pPr>
      <w:r w:rsidRPr="00363492">
        <w:rPr>
          <w:b/>
          <w:noProof/>
        </w:rPr>
        <w:t>Measure Title</w:t>
      </w:r>
      <w:r w:rsidRPr="00363492">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A7FF8" w:rsidRPr="00363492">
            <w:rPr>
              <w:rStyle w:val="Style1"/>
            </w:rPr>
            <w:t>OAF-</w:t>
          </w:r>
          <w:proofErr w:type="gramStart"/>
          <w:r w:rsidR="009A7FF8" w:rsidRPr="00363492">
            <w:rPr>
              <w:rStyle w:val="Style1"/>
            </w:rPr>
            <w:t>01  Laboratory</w:t>
          </w:r>
          <w:proofErr w:type="gramEnd"/>
          <w:r w:rsidR="009A7FF8" w:rsidRPr="00363492">
            <w:rPr>
              <w:rStyle w:val="Style1"/>
            </w:rPr>
            <w:t xml:space="preserve"> Investigation </w:t>
          </w:r>
          <w:r w:rsidR="0077399D" w:rsidRPr="00363492">
            <w:rPr>
              <w:rStyle w:val="Style1"/>
            </w:rPr>
            <w:t>for Secondary Causes of Fracture</w:t>
          </w:r>
        </w:sdtContent>
      </w:sdt>
    </w:p>
    <w:p w:rsidR="00E97E59" w:rsidRPr="00363492" w:rsidRDefault="00E97E59" w:rsidP="002E2177">
      <w:pPr>
        <w:ind w:left="0" w:firstLine="0"/>
        <w:rPr>
          <w:b/>
          <w:noProof/>
        </w:rPr>
      </w:pPr>
      <w:r w:rsidRPr="00363492">
        <w:rPr>
          <w:i/>
          <w:noProof/>
          <w:color w:val="FF0000"/>
        </w:rPr>
        <w:t xml:space="preserve"> </w:t>
      </w:r>
      <w:r w:rsidR="00024526" w:rsidRPr="00363492">
        <w:rPr>
          <w:b/>
          <w:noProof/>
        </w:rPr>
        <w:t xml:space="preserve">IF </w:t>
      </w:r>
      <w:r w:rsidR="00176E60" w:rsidRPr="00363492">
        <w:rPr>
          <w:b/>
          <w:noProof/>
        </w:rPr>
        <w:t xml:space="preserve">the measure is </w:t>
      </w:r>
      <w:r w:rsidR="00024526" w:rsidRPr="00363492">
        <w:rPr>
          <w:b/>
          <w:noProof/>
        </w:rPr>
        <w:t xml:space="preserve">a component in </w:t>
      </w:r>
      <w:r w:rsidR="00176E60" w:rsidRPr="00363492">
        <w:rPr>
          <w:b/>
          <w:noProof/>
        </w:rPr>
        <w:t>a composite performance measure, provide the</w:t>
      </w:r>
      <w:r w:rsidR="008B652E" w:rsidRPr="00363492">
        <w:rPr>
          <w:b/>
          <w:noProof/>
        </w:rPr>
        <w:t xml:space="preserve"> </w:t>
      </w:r>
      <w:r w:rsidR="00114848" w:rsidRPr="00363492">
        <w:rPr>
          <w:b/>
          <w:noProof/>
        </w:rPr>
        <w:t>title of the</w:t>
      </w:r>
      <w:r w:rsidR="00114848" w:rsidRPr="00363492">
        <w:rPr>
          <w:b/>
          <w:noProof/>
          <w:color w:val="FF0000"/>
        </w:rPr>
        <w:t xml:space="preserve"> </w:t>
      </w:r>
      <w:r w:rsidRPr="00363492">
        <w:rPr>
          <w:b/>
          <w:noProof/>
        </w:rPr>
        <w:t>Compo</w:t>
      </w:r>
      <w:r w:rsidR="00736E0F" w:rsidRPr="00363492">
        <w:rPr>
          <w:b/>
          <w:noProof/>
        </w:rPr>
        <w:t>site</w:t>
      </w:r>
      <w:r w:rsidRPr="00363492">
        <w:rPr>
          <w:b/>
          <w:noProof/>
        </w:rPr>
        <w:t xml:space="preserve"> Measure </w:t>
      </w:r>
      <w:r w:rsidR="00114848" w:rsidRPr="00363492">
        <w:rPr>
          <w:b/>
          <w:noProof/>
        </w:rPr>
        <w:t>here</w:t>
      </w:r>
      <w:r w:rsidRPr="00363492">
        <w:rPr>
          <w:b/>
          <w:noProof/>
        </w:rPr>
        <w:t>:</w:t>
      </w:r>
      <w:r w:rsidRPr="00363492">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63492">
            <w:rPr>
              <w:rStyle w:val="PlaceholderText"/>
              <w:rFonts w:cstheme="minorHAnsi"/>
              <w:color w:val="A6A6A6" w:themeColor="background1" w:themeShade="A6"/>
            </w:rPr>
            <w:t xml:space="preserve">Click here to enter </w:t>
          </w:r>
          <w:r w:rsidR="008B652E" w:rsidRPr="00363492">
            <w:rPr>
              <w:rStyle w:val="PlaceholderText"/>
              <w:rFonts w:cstheme="minorHAnsi"/>
              <w:color w:val="A6A6A6" w:themeColor="background1" w:themeShade="A6"/>
            </w:rPr>
            <w:t xml:space="preserve">composite </w:t>
          </w:r>
          <w:r w:rsidRPr="00363492">
            <w:rPr>
              <w:rStyle w:val="PlaceholderText"/>
              <w:rFonts w:cstheme="minorHAnsi"/>
              <w:color w:val="A6A6A6" w:themeColor="background1" w:themeShade="A6"/>
            </w:rPr>
            <w:t>measure title</w:t>
          </w:r>
        </w:sdtContent>
      </w:sdt>
    </w:p>
    <w:p w:rsidR="00114848" w:rsidRPr="00363492" w:rsidRDefault="00114848" w:rsidP="002E2177">
      <w:pPr>
        <w:ind w:left="0" w:firstLine="0"/>
        <w:rPr>
          <w:b/>
          <w:noProof/>
        </w:rPr>
      </w:pPr>
    </w:p>
    <w:p w:rsidR="00496AF8" w:rsidRPr="00363492" w:rsidRDefault="00496AF8" w:rsidP="002E2177">
      <w:pPr>
        <w:ind w:left="0" w:firstLine="0"/>
        <w:rPr>
          <w:rStyle w:val="Style2"/>
        </w:rPr>
      </w:pPr>
      <w:r w:rsidRPr="00363492">
        <w:rPr>
          <w:b/>
          <w:noProof/>
        </w:rPr>
        <w:t>Date of Submission</w:t>
      </w:r>
      <w:r w:rsidRPr="00363492">
        <w:rPr>
          <w:noProof/>
        </w:rPr>
        <w:t xml:space="preserve">:  </w:t>
      </w:r>
      <w:sdt>
        <w:sdtPr>
          <w:rPr>
            <w:rStyle w:val="Style2"/>
          </w:rPr>
          <w:id w:val="-1689821638"/>
          <w:placeholder>
            <w:docPart w:val="6A100845774148B09AFD987423307E3B"/>
          </w:placeholder>
          <w:date w:fullDate="2013-12-06T00:00:00Z">
            <w:dateFormat w:val="M/d/yyyy"/>
            <w:lid w:val="en-US"/>
            <w:storeMappedDataAs w:val="dateTime"/>
            <w:calendar w:val="gregorian"/>
          </w:date>
        </w:sdtPr>
        <w:sdtEndPr>
          <w:rPr>
            <w:rStyle w:val="DefaultParagraphFont"/>
            <w:noProof/>
            <w:color w:val="auto"/>
            <w:u w:val="none"/>
          </w:rPr>
        </w:sdtEndPr>
        <w:sdtContent>
          <w:r w:rsidR="00B510B0" w:rsidRPr="00363492">
            <w:rPr>
              <w:rStyle w:val="Style2"/>
            </w:rPr>
            <w:t>12/6/2013</w:t>
          </w:r>
        </w:sdtContent>
      </w:sdt>
    </w:p>
    <w:p w:rsidR="00176E60" w:rsidRPr="00363492" w:rsidRDefault="00176E60" w:rsidP="002E2177">
      <w:pPr>
        <w:ind w:left="0" w:firstLine="0"/>
        <w:rPr>
          <w:rStyle w:val="Style2"/>
        </w:rPr>
      </w:pPr>
    </w:p>
    <w:tbl>
      <w:tblPr>
        <w:tblStyle w:val="TableGrid"/>
        <w:tblW w:w="5500" w:type="pct"/>
        <w:jc w:val="center"/>
        <w:tblLook w:val="04A0"/>
      </w:tblPr>
      <w:tblGrid>
        <w:gridCol w:w="10534"/>
      </w:tblGrid>
      <w:tr w:rsidR="00496AF8" w:rsidRPr="00363492" w:rsidTr="00176E60">
        <w:trPr>
          <w:jc w:val="center"/>
        </w:trPr>
        <w:tc>
          <w:tcPr>
            <w:tcW w:w="9576" w:type="dxa"/>
          </w:tcPr>
          <w:p w:rsidR="00114848" w:rsidRPr="00363492" w:rsidRDefault="00114848" w:rsidP="00114848">
            <w:pPr>
              <w:pStyle w:val="CommentText"/>
              <w:ind w:left="0" w:firstLine="0"/>
              <w:rPr>
                <w:b/>
                <w:i/>
                <w:sz w:val="22"/>
                <w:szCs w:val="22"/>
              </w:rPr>
            </w:pPr>
            <w:r w:rsidRPr="00363492">
              <w:rPr>
                <w:rFonts w:cstheme="minorHAnsi"/>
                <w:b/>
                <w:noProof/>
                <w:sz w:val="22"/>
                <w:szCs w:val="22"/>
              </w:rPr>
              <w:t>Instructions</w:t>
            </w:r>
          </w:p>
          <w:p w:rsidR="00024526" w:rsidRPr="00363492" w:rsidRDefault="00024526" w:rsidP="00024526">
            <w:pPr>
              <w:pStyle w:val="CommentText"/>
              <w:numPr>
                <w:ilvl w:val="0"/>
                <w:numId w:val="5"/>
              </w:numPr>
              <w:rPr>
                <w:i/>
                <w:sz w:val="22"/>
                <w:szCs w:val="22"/>
              </w:rPr>
            </w:pPr>
            <w:r w:rsidRPr="00363492">
              <w:rPr>
                <w:i/>
                <w:sz w:val="22"/>
                <w:szCs w:val="22"/>
              </w:rPr>
              <w:t xml:space="preserve">For composite performance measures:  </w:t>
            </w:r>
          </w:p>
          <w:p w:rsidR="00024526" w:rsidRPr="00363492" w:rsidRDefault="00024526" w:rsidP="00A421D4">
            <w:pPr>
              <w:pStyle w:val="CommentText"/>
              <w:numPr>
                <w:ilvl w:val="1"/>
                <w:numId w:val="5"/>
              </w:numPr>
              <w:ind w:left="792"/>
              <w:rPr>
                <w:i/>
                <w:sz w:val="22"/>
                <w:szCs w:val="22"/>
              </w:rPr>
            </w:pPr>
            <w:r w:rsidRPr="00363492">
              <w:rPr>
                <w:i/>
                <w:sz w:val="22"/>
                <w:szCs w:val="22"/>
              </w:rPr>
              <w:t xml:space="preserve"> A separate evidence form is required for each component measure unless several components were studied together.</w:t>
            </w:r>
          </w:p>
          <w:p w:rsidR="00024526" w:rsidRPr="00363492" w:rsidRDefault="00024526" w:rsidP="00A421D4">
            <w:pPr>
              <w:pStyle w:val="CommentText"/>
              <w:numPr>
                <w:ilvl w:val="1"/>
                <w:numId w:val="5"/>
              </w:numPr>
              <w:ind w:left="792"/>
              <w:rPr>
                <w:i/>
                <w:sz w:val="22"/>
                <w:szCs w:val="22"/>
              </w:rPr>
            </w:pPr>
            <w:r w:rsidRPr="00363492">
              <w:rPr>
                <w:i/>
                <w:sz w:val="22"/>
                <w:szCs w:val="22"/>
              </w:rPr>
              <w:t xml:space="preserve"> If a component measure is submitted as an individual performance measure, attach the evidence form to the individual measure submission.</w:t>
            </w:r>
          </w:p>
          <w:p w:rsidR="002F20A7" w:rsidRPr="00363492" w:rsidRDefault="002F20A7" w:rsidP="00024526">
            <w:pPr>
              <w:pStyle w:val="ListParagraph"/>
              <w:numPr>
                <w:ilvl w:val="0"/>
                <w:numId w:val="5"/>
              </w:numPr>
              <w:spacing w:after="0" w:line="240" w:lineRule="auto"/>
            </w:pPr>
            <w:r w:rsidRPr="00363492">
              <w:t xml:space="preserve">Respond to </w:t>
            </w:r>
            <w:r w:rsidR="00440687" w:rsidRPr="00363492">
              <w:rPr>
                <w:u w:val="single"/>
              </w:rPr>
              <w:t>all</w:t>
            </w:r>
            <w:r w:rsidR="00440687" w:rsidRPr="00363492">
              <w:t xml:space="preserve"> </w:t>
            </w:r>
            <w:r w:rsidRPr="00363492">
              <w:t xml:space="preserve">questions </w:t>
            </w:r>
            <w:r w:rsidR="00440687" w:rsidRPr="00363492">
              <w:t xml:space="preserve">as instructed </w:t>
            </w:r>
            <w:r w:rsidRPr="00363492">
              <w:t>with answers imm</w:t>
            </w:r>
            <w:r w:rsidR="000A0810" w:rsidRPr="00363492">
              <w:t>ediately following the question</w:t>
            </w:r>
            <w:r w:rsidRPr="00363492">
              <w:t>.</w:t>
            </w:r>
            <w:r w:rsidR="008B652E" w:rsidRPr="00363492">
              <w:t xml:space="preserve"> All information needed to demonstrate meeting the </w:t>
            </w:r>
            <w:r w:rsidR="008B652E" w:rsidRPr="00363492">
              <w:rPr>
                <w:rFonts w:cstheme="minorHAnsi"/>
              </w:rPr>
              <w:t xml:space="preserve">evidence </w:t>
            </w:r>
            <w:r w:rsidR="00A13867" w:rsidRPr="00363492">
              <w:rPr>
                <w:rFonts w:cstheme="minorHAnsi"/>
              </w:rPr>
              <w:t>sub</w:t>
            </w:r>
            <w:r w:rsidR="008B652E" w:rsidRPr="00363492">
              <w:rPr>
                <w:rFonts w:cstheme="minorHAnsi"/>
              </w:rPr>
              <w:t>criterion (1a)</w:t>
            </w:r>
            <w:r w:rsidR="008B652E" w:rsidRPr="00363492">
              <w:t xml:space="preserve"> must be in this form.  An appendix of </w:t>
            </w:r>
            <w:r w:rsidR="008B652E" w:rsidRPr="00363492">
              <w:rPr>
                <w:i/>
              </w:rPr>
              <w:t>supplemental</w:t>
            </w:r>
            <w:r w:rsidR="008B652E" w:rsidRPr="00363492">
              <w:t xml:space="preserve"> materials may be submitted, but there is no guarantee it will be reviewed.</w:t>
            </w:r>
          </w:p>
          <w:p w:rsidR="0015535B" w:rsidRPr="00363492" w:rsidRDefault="0015535B" w:rsidP="00024526">
            <w:pPr>
              <w:pStyle w:val="ListParagraph"/>
              <w:numPr>
                <w:ilvl w:val="0"/>
                <w:numId w:val="5"/>
              </w:numPr>
              <w:spacing w:after="0" w:line="240" w:lineRule="auto"/>
            </w:pPr>
            <w:r w:rsidRPr="00363492">
              <w:t>If yo</w:t>
            </w:r>
            <w:r w:rsidR="008B652E" w:rsidRPr="00363492">
              <w:t>u are unable to check a</w:t>
            </w:r>
            <w:r w:rsidR="00114848" w:rsidRPr="00363492">
              <w:t xml:space="preserve"> box, please highlight or </w:t>
            </w:r>
            <w:r w:rsidRPr="00363492">
              <w:t>shade the box for your response.</w:t>
            </w:r>
          </w:p>
          <w:p w:rsidR="00496AF8" w:rsidRPr="00363492" w:rsidRDefault="002F20A7" w:rsidP="008B652E">
            <w:pPr>
              <w:pStyle w:val="ListParagraph"/>
              <w:numPr>
                <w:ilvl w:val="0"/>
                <w:numId w:val="5"/>
              </w:numPr>
              <w:spacing w:after="0" w:line="240" w:lineRule="auto"/>
            </w:pPr>
            <w:r w:rsidRPr="00363492">
              <w:t xml:space="preserve">Maximum of </w:t>
            </w:r>
            <w:r w:rsidR="00235ADC" w:rsidRPr="00363492">
              <w:t>10</w:t>
            </w:r>
            <w:r w:rsidR="00A421D4" w:rsidRPr="00363492">
              <w:t xml:space="preserve"> pages (</w:t>
            </w:r>
            <w:r w:rsidR="00114848" w:rsidRPr="00363492">
              <w:rPr>
                <w:i/>
              </w:rPr>
              <w:t>incudes questions/instructions</w:t>
            </w:r>
            <w:r w:rsidRPr="00363492">
              <w:t>; minimum font size 11 pt</w:t>
            </w:r>
            <w:r w:rsidR="00114848" w:rsidRPr="00363492">
              <w:t>; do not change margins).</w:t>
            </w:r>
            <w:r w:rsidR="0088371C" w:rsidRPr="00363492">
              <w:t xml:space="preserve"> </w:t>
            </w:r>
            <w:r w:rsidR="009E37BD" w:rsidRPr="00363492">
              <w:rPr>
                <w:b/>
                <w:i/>
              </w:rPr>
              <w:t xml:space="preserve">Contact </w:t>
            </w:r>
            <w:r w:rsidR="008B652E" w:rsidRPr="00363492">
              <w:rPr>
                <w:b/>
                <w:i/>
              </w:rPr>
              <w:t xml:space="preserve">NQF </w:t>
            </w:r>
            <w:r w:rsidR="0014347E" w:rsidRPr="00363492">
              <w:rPr>
                <w:b/>
                <w:i/>
              </w:rPr>
              <w:t>staff if more pages are needed</w:t>
            </w:r>
            <w:r w:rsidR="009E37BD" w:rsidRPr="00363492">
              <w:rPr>
                <w:b/>
                <w:i/>
              </w:rPr>
              <w:t>.</w:t>
            </w:r>
          </w:p>
          <w:p w:rsidR="00496AF8" w:rsidRPr="00363492" w:rsidRDefault="00457E46" w:rsidP="0014347E">
            <w:pPr>
              <w:pStyle w:val="ListParagraph"/>
              <w:numPr>
                <w:ilvl w:val="0"/>
                <w:numId w:val="5"/>
              </w:numPr>
              <w:spacing w:after="0" w:line="240" w:lineRule="auto"/>
              <w:rPr>
                <w:u w:val="single"/>
              </w:rPr>
            </w:pPr>
            <w:r w:rsidRPr="00363492">
              <w:t xml:space="preserve">Contact NQF staff regarding questions. Check for resources at </w:t>
            </w:r>
            <w:hyperlink r:id="rId8" w:history="1">
              <w:r w:rsidRPr="00363492">
                <w:rPr>
                  <w:rStyle w:val="Hyperlink"/>
                </w:rPr>
                <w:t>Submitting Standards webpage</w:t>
              </w:r>
            </w:hyperlink>
            <w:r w:rsidRPr="00363492">
              <w:t>.</w:t>
            </w:r>
          </w:p>
        </w:tc>
      </w:tr>
    </w:tbl>
    <w:p w:rsidR="00176E60" w:rsidRPr="00363492" w:rsidRDefault="00176E60" w:rsidP="00765156">
      <w:pPr>
        <w:ind w:left="0" w:firstLine="0"/>
      </w:pPr>
    </w:p>
    <w:tbl>
      <w:tblPr>
        <w:tblStyle w:val="TableGrid"/>
        <w:tblW w:w="5500" w:type="pct"/>
        <w:jc w:val="center"/>
        <w:tblLook w:val="04A0"/>
      </w:tblPr>
      <w:tblGrid>
        <w:gridCol w:w="10534"/>
      </w:tblGrid>
      <w:tr w:rsidR="00176E60" w:rsidRPr="00363492" w:rsidTr="00176E60">
        <w:trPr>
          <w:jc w:val="center"/>
        </w:trPr>
        <w:tc>
          <w:tcPr>
            <w:tcW w:w="9576" w:type="dxa"/>
          </w:tcPr>
          <w:p w:rsidR="008B652E" w:rsidRPr="00363492" w:rsidRDefault="007573F0" w:rsidP="008B652E">
            <w:pPr>
              <w:ind w:left="0" w:firstLine="0"/>
            </w:pPr>
            <w:r w:rsidRPr="00363492">
              <w:rPr>
                <w:b/>
                <w:bCs/>
                <w:u w:val="single"/>
              </w:rPr>
              <w:t>Note</w:t>
            </w:r>
            <w:r w:rsidRPr="00363492">
              <w:rPr>
                <w:b/>
                <w:bCs/>
              </w:rPr>
              <w:t xml:space="preserve">: </w:t>
            </w:r>
            <w:r w:rsidR="008B652E" w:rsidRPr="00363492">
              <w:rPr>
                <w:b/>
                <w:bCs/>
              </w:rPr>
              <w:t>The information provided in this form is intended to aid the Steering Committee and other stakeholders in understanding to what degree the evidence for this measure meets NQF’s evaluation criteria.</w:t>
            </w:r>
          </w:p>
          <w:p w:rsidR="008B652E" w:rsidRPr="00363492" w:rsidRDefault="008B652E" w:rsidP="00176E60">
            <w:pPr>
              <w:rPr>
                <w:b/>
                <w:bCs/>
              </w:rPr>
            </w:pPr>
          </w:p>
          <w:p w:rsidR="00176E60" w:rsidRPr="00363492" w:rsidRDefault="008B652E" w:rsidP="00176E60">
            <w:r w:rsidRPr="00363492">
              <w:rPr>
                <w:b/>
                <w:bCs/>
              </w:rPr>
              <w:t xml:space="preserve">Subcriterion </w:t>
            </w:r>
            <w:r w:rsidR="00176E60" w:rsidRPr="00363492">
              <w:rPr>
                <w:b/>
                <w:bCs/>
              </w:rPr>
              <w:t>1a.</w:t>
            </w:r>
            <w:r w:rsidR="00176E60" w:rsidRPr="00363492">
              <w:t xml:space="preserve"> </w:t>
            </w:r>
            <w:r w:rsidR="00176E60" w:rsidRPr="00363492">
              <w:rPr>
                <w:b/>
              </w:rPr>
              <w:t>Evidence to Support the Measure Focus</w:t>
            </w:r>
          </w:p>
          <w:p w:rsidR="00176E60" w:rsidRPr="00363492" w:rsidRDefault="00176E60" w:rsidP="00176E60">
            <w:r w:rsidRPr="00363492">
              <w:t xml:space="preserve">The measure focus is a health outcome or is evidence-based, demonstrated as follows: </w:t>
            </w:r>
          </w:p>
          <w:p w:rsidR="00176E60" w:rsidRPr="00363492" w:rsidRDefault="00176E60" w:rsidP="00176E60">
            <w:pPr>
              <w:numPr>
                <w:ilvl w:val="0"/>
                <w:numId w:val="7"/>
              </w:numPr>
              <w:ind w:left="0" w:firstLine="0"/>
            </w:pPr>
            <w:r w:rsidRPr="00363492">
              <w:rPr>
                <w:u w:val="single"/>
              </w:rPr>
              <w:t>Health outcome</w:t>
            </w:r>
            <w:proofErr w:type="gramStart"/>
            <w:r w:rsidRPr="00363492">
              <w:t>:</w:t>
            </w:r>
            <w:proofErr w:type="gramEnd"/>
            <w:r w:rsidR="00262A46" w:rsidRPr="00363492">
              <w:fldChar w:fldCharType="begin"/>
            </w:r>
            <w:r w:rsidR="00E81ADE" w:rsidRPr="00363492">
              <w:instrText>HYPERLINK \l "Note3"</w:instrText>
            </w:r>
            <w:r w:rsidR="00262A46" w:rsidRPr="00363492">
              <w:fldChar w:fldCharType="separate"/>
            </w:r>
            <w:r w:rsidRPr="00363492">
              <w:rPr>
                <w:rStyle w:val="Hyperlink"/>
                <w:b/>
                <w:vertAlign w:val="superscript"/>
              </w:rPr>
              <w:t>3</w:t>
            </w:r>
            <w:r w:rsidR="00262A46" w:rsidRPr="00363492">
              <w:fldChar w:fldCharType="end"/>
            </w:r>
            <w:r w:rsidRPr="00363492">
              <w:t xml:space="preserve"> a rationale supports the relationship of the health outcome to processes or structures of care.</w:t>
            </w:r>
          </w:p>
          <w:p w:rsidR="00176E60" w:rsidRPr="00363492" w:rsidRDefault="00176E60" w:rsidP="00176E60">
            <w:pPr>
              <w:numPr>
                <w:ilvl w:val="0"/>
                <w:numId w:val="7"/>
              </w:numPr>
            </w:pPr>
            <w:r w:rsidRPr="00363492">
              <w:rPr>
                <w:u w:val="single"/>
              </w:rPr>
              <w:t>Intermediate clinical outcome</w:t>
            </w:r>
            <w:r w:rsidRPr="00363492">
              <w:t xml:space="preserve">, </w:t>
            </w:r>
            <w:r w:rsidRPr="00363492">
              <w:rPr>
                <w:u w:val="single"/>
              </w:rPr>
              <w:t>Process</w:t>
            </w:r>
            <w:proofErr w:type="gramStart"/>
            <w:r w:rsidRPr="00363492">
              <w:t>,</w:t>
            </w:r>
            <w:proofErr w:type="gramEnd"/>
            <w:r w:rsidR="00262A46" w:rsidRPr="00363492">
              <w:fldChar w:fldCharType="begin"/>
            </w:r>
            <w:r w:rsidR="00E81ADE" w:rsidRPr="00363492">
              <w:instrText>HYPERLINK \l "Note4"</w:instrText>
            </w:r>
            <w:r w:rsidR="00262A46" w:rsidRPr="00363492">
              <w:fldChar w:fldCharType="separate"/>
            </w:r>
            <w:r w:rsidRPr="00363492">
              <w:rPr>
                <w:rStyle w:val="Hyperlink"/>
                <w:b/>
                <w:vertAlign w:val="superscript"/>
              </w:rPr>
              <w:t>4</w:t>
            </w:r>
            <w:r w:rsidR="00262A46" w:rsidRPr="00363492">
              <w:fldChar w:fldCharType="end"/>
            </w:r>
            <w:r w:rsidRPr="00363492">
              <w:t xml:space="preserve"> or </w:t>
            </w:r>
            <w:r w:rsidRPr="00363492">
              <w:rPr>
                <w:u w:val="single"/>
              </w:rPr>
              <w:t>Structure</w:t>
            </w:r>
            <w:r w:rsidRPr="00363492">
              <w:t>: a systematic assessment and grading of the quantity, quality, and consistency of the body of evidence</w:t>
            </w:r>
            <w:hyperlink w:anchor="Note5" w:history="1">
              <w:r w:rsidRPr="00363492">
                <w:rPr>
                  <w:rStyle w:val="Hyperlink"/>
                  <w:b/>
                  <w:vertAlign w:val="superscript"/>
                </w:rPr>
                <w:t>5</w:t>
              </w:r>
            </w:hyperlink>
            <w:r w:rsidRPr="00363492">
              <w:rPr>
                <w:b/>
                <w:vertAlign w:val="superscript"/>
              </w:rPr>
              <w:t xml:space="preserve"> </w:t>
            </w:r>
            <w:r w:rsidRPr="00363492">
              <w:rPr>
                <w:bCs/>
              </w:rPr>
              <w:t>that the measure focus leads to a desired health outcome.</w:t>
            </w:r>
          </w:p>
          <w:p w:rsidR="00176E60" w:rsidRPr="00363492" w:rsidRDefault="00176E60" w:rsidP="00176E60">
            <w:pPr>
              <w:pStyle w:val="ListParagraph"/>
              <w:numPr>
                <w:ilvl w:val="0"/>
                <w:numId w:val="8"/>
              </w:numPr>
              <w:autoSpaceDE w:val="0"/>
              <w:autoSpaceDN w:val="0"/>
              <w:adjustRightInd w:val="0"/>
              <w:spacing w:after="0" w:line="240" w:lineRule="auto"/>
              <w:rPr>
                <w:b/>
                <w:bCs/>
                <w:iCs/>
              </w:rPr>
            </w:pPr>
            <w:r w:rsidRPr="00363492">
              <w:rPr>
                <w:u w:val="single"/>
              </w:rPr>
              <w:t>Patient experience with care</w:t>
            </w:r>
            <w:r w:rsidRPr="00363492">
              <w:t>: evidence that the measured aspects of care are those valued by patients and for which the patient is the best and/or only source of information OR that patient experience with care is correlated with desired outcomes.</w:t>
            </w:r>
          </w:p>
          <w:p w:rsidR="00176E60" w:rsidRPr="00363492" w:rsidRDefault="00176E60" w:rsidP="00176E60">
            <w:pPr>
              <w:pStyle w:val="ListParagraph"/>
              <w:numPr>
                <w:ilvl w:val="0"/>
                <w:numId w:val="8"/>
              </w:numPr>
              <w:autoSpaceDE w:val="0"/>
              <w:autoSpaceDN w:val="0"/>
              <w:adjustRightInd w:val="0"/>
              <w:spacing w:after="0" w:line="240" w:lineRule="auto"/>
              <w:rPr>
                <w:b/>
                <w:bCs/>
                <w:iCs/>
              </w:rPr>
            </w:pPr>
            <w:r w:rsidRPr="00363492">
              <w:rPr>
                <w:u w:val="single"/>
              </w:rPr>
              <w:t>Efficiency</w:t>
            </w:r>
            <w:proofErr w:type="gramStart"/>
            <w:r w:rsidRPr="00363492">
              <w:t>:</w:t>
            </w:r>
            <w:proofErr w:type="gramEnd"/>
            <w:r w:rsidR="00262A46" w:rsidRPr="00363492">
              <w:fldChar w:fldCharType="begin"/>
            </w:r>
            <w:r w:rsidR="00E81ADE" w:rsidRPr="00363492">
              <w:instrText>HYPERLINK \l "Note6"</w:instrText>
            </w:r>
            <w:r w:rsidR="00262A46" w:rsidRPr="00363492">
              <w:fldChar w:fldCharType="separate"/>
            </w:r>
            <w:r w:rsidRPr="00363492">
              <w:rPr>
                <w:rStyle w:val="Hyperlink"/>
                <w:b/>
                <w:vertAlign w:val="superscript"/>
              </w:rPr>
              <w:t>6</w:t>
            </w:r>
            <w:r w:rsidR="00262A46" w:rsidRPr="00363492">
              <w:fldChar w:fldCharType="end"/>
            </w:r>
            <w:r w:rsidRPr="00363492">
              <w:t xml:space="preserve"> evidence for the quality component as noted above.</w:t>
            </w:r>
          </w:p>
          <w:p w:rsidR="00176E60" w:rsidRPr="00363492" w:rsidRDefault="00176E60" w:rsidP="00176E60">
            <w:pPr>
              <w:autoSpaceDE w:val="0"/>
              <w:autoSpaceDN w:val="0"/>
              <w:adjustRightInd w:val="0"/>
              <w:rPr>
                <w:b/>
                <w:bCs/>
                <w:iCs/>
              </w:rPr>
            </w:pPr>
            <w:r w:rsidRPr="00363492">
              <w:rPr>
                <w:b/>
                <w:bCs/>
                <w:iCs/>
              </w:rPr>
              <w:t>Notes</w:t>
            </w:r>
          </w:p>
          <w:p w:rsidR="00176E60" w:rsidRPr="00363492" w:rsidRDefault="00176E60" w:rsidP="00176E60">
            <w:pPr>
              <w:pStyle w:val="FootnoteText"/>
              <w:rPr>
                <w:rFonts w:asciiTheme="minorHAnsi" w:hAnsiTheme="minorHAnsi"/>
                <w:sz w:val="22"/>
                <w:szCs w:val="22"/>
              </w:rPr>
            </w:pPr>
            <w:bookmarkStart w:id="1" w:name="Note2"/>
            <w:bookmarkStart w:id="2" w:name="Note3"/>
            <w:bookmarkEnd w:id="1"/>
            <w:bookmarkEnd w:id="2"/>
            <w:r w:rsidRPr="00363492">
              <w:rPr>
                <w:rFonts w:asciiTheme="minorHAnsi" w:hAnsiTheme="minorHAnsi" w:cs="BookAntiqua"/>
                <w:b/>
                <w:sz w:val="22"/>
                <w:szCs w:val="22"/>
              </w:rPr>
              <w:t>3.</w:t>
            </w:r>
            <w:r w:rsidRPr="00363492">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363492" w:rsidRDefault="00176E60" w:rsidP="00176E60">
            <w:pPr>
              <w:pStyle w:val="FootnoteText"/>
              <w:rPr>
                <w:rFonts w:asciiTheme="minorHAnsi" w:hAnsiTheme="minorHAnsi"/>
                <w:sz w:val="22"/>
                <w:szCs w:val="22"/>
              </w:rPr>
            </w:pPr>
            <w:bookmarkStart w:id="3" w:name="Note4"/>
            <w:bookmarkEnd w:id="3"/>
            <w:r w:rsidRPr="00363492">
              <w:rPr>
                <w:rFonts w:asciiTheme="minorHAnsi" w:hAnsiTheme="minorHAnsi" w:cs="BookAntiqua"/>
                <w:b/>
                <w:sz w:val="22"/>
                <w:szCs w:val="22"/>
              </w:rPr>
              <w:t>4.</w:t>
            </w:r>
            <w:r w:rsidRPr="00363492">
              <w:rPr>
                <w:rFonts w:asciiTheme="minorHAnsi" w:hAnsiTheme="minorHAnsi" w:cs="BookAntiqua"/>
                <w:sz w:val="22"/>
                <w:szCs w:val="22"/>
              </w:rPr>
              <w:t xml:space="preserve"> </w:t>
            </w:r>
            <w:r w:rsidRPr="00363492">
              <w:rPr>
                <w:rFonts w:asciiTheme="minorHAnsi" w:hAnsiTheme="minorHAnsi"/>
                <w:sz w:val="22"/>
                <w:szCs w:val="22"/>
              </w:rPr>
              <w:t xml:space="preserve">Clinical care processes typically include multiple steps: assess </w:t>
            </w:r>
            <w:r w:rsidRPr="00363492">
              <w:rPr>
                <w:rFonts w:asciiTheme="minorHAnsi" w:hAnsiTheme="minorHAnsi"/>
                <w:sz w:val="22"/>
                <w:szCs w:val="22"/>
              </w:rPr>
              <w:sym w:font="Symbol" w:char="F0AE"/>
            </w:r>
            <w:r w:rsidRPr="00363492">
              <w:rPr>
                <w:rFonts w:asciiTheme="minorHAnsi" w:hAnsiTheme="minorHAnsi"/>
                <w:sz w:val="22"/>
                <w:szCs w:val="22"/>
              </w:rPr>
              <w:t xml:space="preserve"> identify problem/potential problem </w:t>
            </w:r>
            <w:r w:rsidRPr="00363492">
              <w:rPr>
                <w:rFonts w:asciiTheme="minorHAnsi" w:hAnsiTheme="minorHAnsi"/>
                <w:sz w:val="22"/>
                <w:szCs w:val="22"/>
              </w:rPr>
              <w:sym w:font="Symbol" w:char="F0AE"/>
            </w:r>
            <w:r w:rsidRPr="00363492">
              <w:rPr>
                <w:rFonts w:asciiTheme="minorHAnsi" w:hAnsiTheme="minorHAnsi"/>
                <w:sz w:val="22"/>
                <w:szCs w:val="22"/>
              </w:rPr>
              <w:t xml:space="preserve"> choose/plan intervention (with patient input) </w:t>
            </w:r>
            <w:r w:rsidRPr="00363492">
              <w:rPr>
                <w:rFonts w:asciiTheme="minorHAnsi" w:hAnsiTheme="minorHAnsi"/>
                <w:sz w:val="22"/>
                <w:szCs w:val="22"/>
              </w:rPr>
              <w:sym w:font="Symbol" w:char="F0AE"/>
            </w:r>
            <w:r w:rsidRPr="00363492">
              <w:rPr>
                <w:rFonts w:asciiTheme="minorHAnsi" w:hAnsiTheme="minorHAnsi"/>
                <w:sz w:val="22"/>
                <w:szCs w:val="22"/>
              </w:rPr>
              <w:t xml:space="preserve"> provide intervention </w:t>
            </w:r>
            <w:r w:rsidRPr="00363492">
              <w:rPr>
                <w:rFonts w:asciiTheme="minorHAnsi" w:hAnsiTheme="minorHAnsi"/>
                <w:sz w:val="22"/>
                <w:szCs w:val="22"/>
              </w:rPr>
              <w:sym w:font="Symbol" w:char="F0AE"/>
            </w:r>
            <w:r w:rsidRPr="00363492">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363492" w:rsidRDefault="00176E60" w:rsidP="00176E60">
            <w:pPr>
              <w:pStyle w:val="FootnoteText"/>
              <w:rPr>
                <w:rFonts w:asciiTheme="minorHAnsi" w:hAnsiTheme="minorHAnsi"/>
                <w:sz w:val="22"/>
                <w:szCs w:val="22"/>
              </w:rPr>
            </w:pPr>
            <w:bookmarkStart w:id="4" w:name="Note5"/>
            <w:bookmarkEnd w:id="4"/>
            <w:r w:rsidRPr="00363492">
              <w:rPr>
                <w:rFonts w:asciiTheme="minorHAnsi" w:hAnsiTheme="minorHAnsi" w:cs="BookAntiqua"/>
                <w:b/>
                <w:sz w:val="22"/>
                <w:szCs w:val="22"/>
              </w:rPr>
              <w:t>5.</w:t>
            </w:r>
            <w:r w:rsidRPr="00363492">
              <w:rPr>
                <w:rFonts w:asciiTheme="minorHAnsi" w:hAnsiTheme="minorHAnsi"/>
                <w:sz w:val="22"/>
                <w:szCs w:val="22"/>
              </w:rPr>
              <w:t xml:space="preserve"> The preferred systems for grading the evidence are the U.S. Preventive Services Task Force (USPSTF) </w:t>
            </w:r>
            <w:hyperlink r:id="rId9" w:history="1">
              <w:r w:rsidRPr="00363492">
                <w:rPr>
                  <w:rStyle w:val="Hyperlink"/>
                  <w:rFonts w:asciiTheme="minorHAnsi" w:hAnsiTheme="minorHAnsi"/>
                  <w:sz w:val="22"/>
                  <w:szCs w:val="22"/>
                </w:rPr>
                <w:t>grading definitions</w:t>
              </w:r>
            </w:hyperlink>
            <w:r w:rsidRPr="00363492">
              <w:rPr>
                <w:rFonts w:asciiTheme="minorHAnsi" w:hAnsiTheme="minorHAnsi"/>
                <w:sz w:val="22"/>
                <w:szCs w:val="22"/>
              </w:rPr>
              <w:t xml:space="preserve"> and </w:t>
            </w:r>
            <w:hyperlink r:id="rId10" w:history="1">
              <w:r w:rsidRPr="00363492">
                <w:rPr>
                  <w:rStyle w:val="Hyperlink"/>
                  <w:rFonts w:asciiTheme="minorHAnsi" w:hAnsiTheme="minorHAnsi"/>
                  <w:sz w:val="22"/>
                  <w:szCs w:val="22"/>
                </w:rPr>
                <w:t>methods</w:t>
              </w:r>
            </w:hyperlink>
            <w:r w:rsidRPr="00363492">
              <w:rPr>
                <w:rFonts w:asciiTheme="minorHAnsi" w:hAnsiTheme="minorHAnsi"/>
                <w:sz w:val="22"/>
                <w:szCs w:val="22"/>
              </w:rPr>
              <w:t xml:space="preserve">, or Grading of Recommendations, Assessment, Development and Evaluation </w:t>
            </w:r>
            <w:hyperlink r:id="rId11" w:history="1">
              <w:r w:rsidRPr="00363492">
                <w:rPr>
                  <w:rStyle w:val="Hyperlink"/>
                  <w:rFonts w:asciiTheme="minorHAnsi" w:hAnsiTheme="minorHAnsi"/>
                  <w:sz w:val="22"/>
                  <w:szCs w:val="22"/>
                </w:rPr>
                <w:t>(GRADE) guidelines</w:t>
              </w:r>
            </w:hyperlink>
            <w:r w:rsidRPr="00363492">
              <w:rPr>
                <w:rFonts w:asciiTheme="minorHAnsi" w:hAnsiTheme="minorHAnsi"/>
                <w:sz w:val="22"/>
                <w:szCs w:val="22"/>
              </w:rPr>
              <w:t xml:space="preserve">.   </w:t>
            </w:r>
          </w:p>
          <w:p w:rsidR="00176E60" w:rsidRPr="00363492" w:rsidRDefault="00176E60" w:rsidP="00176E60">
            <w:pPr>
              <w:ind w:left="90" w:hanging="90"/>
            </w:pPr>
            <w:bookmarkStart w:id="5" w:name="Note6"/>
            <w:bookmarkEnd w:id="5"/>
            <w:r w:rsidRPr="00363492">
              <w:rPr>
                <w:rFonts w:cs="BookAntiqua"/>
                <w:b/>
              </w:rPr>
              <w:t xml:space="preserve">6. </w:t>
            </w:r>
            <w:r w:rsidRPr="00363492">
              <w:rPr>
                <w:rFonts w:cs="BookAntiqua"/>
              </w:rPr>
              <w:t xml:space="preserve">Measures of efficiency combine the concepts of resource use </w:t>
            </w:r>
            <w:r w:rsidRPr="00363492">
              <w:rPr>
                <w:rFonts w:cs="BookAntiqua"/>
                <w:u w:val="single"/>
              </w:rPr>
              <w:t>and</w:t>
            </w:r>
            <w:r w:rsidRPr="00363492">
              <w:rPr>
                <w:rFonts w:cs="BookAntiqua"/>
              </w:rPr>
              <w:t xml:space="preserve"> quality </w:t>
            </w:r>
            <w:r w:rsidRPr="00363492">
              <w:t xml:space="preserve">(NQF’s </w:t>
            </w:r>
            <w:hyperlink r:id="rId12" w:history="1">
              <w:r w:rsidRPr="00363492">
                <w:rPr>
                  <w:rStyle w:val="Hyperlink"/>
                </w:rPr>
                <w:t>Measurement Framework: Evaluating Efficiency Across Episodes of Care</w:t>
              </w:r>
            </w:hyperlink>
            <w:r w:rsidRPr="00363492">
              <w:t xml:space="preserve">; </w:t>
            </w:r>
            <w:hyperlink r:id="rId13" w:history="1">
              <w:r w:rsidRPr="00363492">
                <w:rPr>
                  <w:rStyle w:val="Hyperlink"/>
                </w:rPr>
                <w:t>AQA Principles of Efficiency Measures</w:t>
              </w:r>
            </w:hyperlink>
            <w:r w:rsidRPr="00363492">
              <w:t>).</w:t>
            </w:r>
          </w:p>
        </w:tc>
      </w:tr>
    </w:tbl>
    <w:p w:rsidR="00496AF8" w:rsidRPr="00363492" w:rsidRDefault="00496AF8" w:rsidP="002E2177">
      <w:pPr>
        <w:ind w:left="0" w:firstLine="0"/>
        <w:rPr>
          <w:bCs/>
          <w:i/>
          <w:color w:val="FF0000"/>
        </w:rPr>
      </w:pPr>
      <w:r w:rsidRPr="00363492">
        <w:rPr>
          <w:b/>
          <w:bCs/>
          <w:color w:val="0000FF"/>
        </w:rPr>
        <w:lastRenderedPageBreak/>
        <w:t>1</w:t>
      </w:r>
      <w:r w:rsidR="00773485" w:rsidRPr="00363492">
        <w:rPr>
          <w:b/>
          <w:bCs/>
          <w:color w:val="0000FF"/>
        </w:rPr>
        <w:t>a</w:t>
      </w:r>
      <w:r w:rsidRPr="00363492">
        <w:rPr>
          <w:b/>
          <w:bCs/>
          <w:color w:val="0000FF"/>
        </w:rPr>
        <w:t>.1.</w:t>
      </w:r>
      <w:r w:rsidRPr="00363492">
        <w:rPr>
          <w:b/>
          <w:bCs/>
        </w:rPr>
        <w:t>This is a measure of</w:t>
      </w:r>
      <w:r w:rsidRPr="00363492">
        <w:rPr>
          <w:bCs/>
        </w:rPr>
        <w:t>:</w:t>
      </w:r>
    </w:p>
    <w:p w:rsidR="00496AF8" w:rsidRPr="00363492" w:rsidRDefault="00E41417" w:rsidP="00015986">
      <w:pPr>
        <w:ind w:left="432" w:hanging="432"/>
        <w:rPr>
          <w:rFonts w:cs="Calibri"/>
          <w:bCs/>
        </w:rPr>
      </w:pPr>
      <w:r w:rsidRPr="00363492">
        <w:rPr>
          <w:rFonts w:cs="Calibri"/>
          <w:bCs/>
        </w:rPr>
        <w:t>O</w:t>
      </w:r>
      <w:r w:rsidR="00496AF8" w:rsidRPr="00363492">
        <w:rPr>
          <w:rFonts w:cs="Calibri"/>
          <w:bCs/>
        </w:rPr>
        <w:t>utcome</w:t>
      </w:r>
    </w:p>
    <w:p w:rsidR="00496AF8" w:rsidRPr="00363492" w:rsidRDefault="00262A46" w:rsidP="005857F8">
      <w:pPr>
        <w:ind w:left="720" w:hanging="432"/>
        <w:rPr>
          <w:bCs/>
        </w:rPr>
      </w:pPr>
      <w:sdt>
        <w:sdtPr>
          <w:rPr>
            <w:bCs/>
            <w:color w:val="0000FF"/>
          </w:rPr>
          <w:id w:val="1077707841"/>
        </w:sdtPr>
        <w:sdtContent>
          <w:r w:rsidR="0015535B" w:rsidRPr="00363492">
            <w:rPr>
              <w:rFonts w:eastAsia="MS Gothic" w:hAnsi="MS Gothic"/>
              <w:bCs/>
              <w:color w:val="0000FF"/>
            </w:rPr>
            <w:t>☐</w:t>
          </w:r>
        </w:sdtContent>
      </w:sdt>
      <w:r w:rsidR="0015535B" w:rsidRPr="00363492">
        <w:rPr>
          <w:bCs/>
          <w:color w:val="0000FF"/>
        </w:rPr>
        <w:t xml:space="preserve"> </w:t>
      </w:r>
      <w:r w:rsidR="00E41417" w:rsidRPr="00363492">
        <w:rPr>
          <w:bCs/>
        </w:rPr>
        <w:t>H</w:t>
      </w:r>
      <w:r w:rsidR="00BE6373" w:rsidRPr="00363492">
        <w:rPr>
          <w:bCs/>
        </w:rPr>
        <w:t>ealth outc</w:t>
      </w:r>
      <w:r w:rsidR="00496AF8" w:rsidRPr="00363492">
        <w:rPr>
          <w:bCs/>
        </w:rPr>
        <w:t>ome</w:t>
      </w:r>
      <w:r w:rsidR="00B117D0" w:rsidRPr="00363492">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63492">
            <w:rPr>
              <w:color w:val="A6A6A6" w:themeColor="background1" w:themeShade="A6"/>
            </w:rPr>
            <w:t>Click here to n</w:t>
          </w:r>
          <w:r w:rsidR="00496AF8" w:rsidRPr="00363492">
            <w:rPr>
              <w:rStyle w:val="PlaceholderText"/>
              <w:rFonts w:cstheme="minorHAnsi"/>
              <w:color w:val="A6A6A6" w:themeColor="background1" w:themeShade="A6"/>
            </w:rPr>
            <w:t>ame the health outcome</w:t>
          </w:r>
        </w:sdtContent>
      </w:sdt>
    </w:p>
    <w:p w:rsidR="00B117D0" w:rsidRPr="00363492" w:rsidRDefault="005857F8" w:rsidP="005857F8">
      <w:pPr>
        <w:ind w:left="720" w:firstLine="0"/>
        <w:rPr>
          <w:rFonts w:eastAsia="MS Gothic" w:cs="MS Gothic"/>
          <w:bCs/>
          <w:i/>
          <w:color w:val="0000FF"/>
        </w:rPr>
      </w:pPr>
      <w:r w:rsidRPr="00363492">
        <w:rPr>
          <w:bCs/>
          <w:i/>
        </w:rPr>
        <w:t>Health outcome includes p</w:t>
      </w:r>
      <w:r w:rsidR="00B117D0" w:rsidRPr="00363492">
        <w:rPr>
          <w:bCs/>
          <w:i/>
        </w:rPr>
        <w:t>atient-reported outcome</w:t>
      </w:r>
      <w:r w:rsidRPr="00363492">
        <w:rPr>
          <w:bCs/>
          <w:i/>
        </w:rPr>
        <w:t>s</w:t>
      </w:r>
      <w:r w:rsidR="00B117D0" w:rsidRPr="00363492">
        <w:rPr>
          <w:bCs/>
          <w:i/>
        </w:rPr>
        <w:t xml:space="preserve"> (PRO</w:t>
      </w:r>
      <w:r w:rsidRPr="00363492">
        <w:rPr>
          <w:bCs/>
          <w:i/>
        </w:rPr>
        <w:t>, i.e., HRQoL/functional status, symptom/burden, experience with care, health-related behaviors)</w:t>
      </w:r>
    </w:p>
    <w:p w:rsidR="00496AF8" w:rsidRPr="00363492" w:rsidRDefault="00262A46" w:rsidP="005857F8">
      <w:pPr>
        <w:ind w:left="720" w:hanging="432"/>
        <w:rPr>
          <w:bCs/>
        </w:rPr>
      </w:pPr>
      <w:sdt>
        <w:sdtPr>
          <w:rPr>
            <w:bCs/>
            <w:color w:val="0000FF"/>
          </w:rPr>
          <w:id w:val="1309518776"/>
        </w:sdtPr>
        <w:sdtContent>
          <w:r w:rsidR="0015535B" w:rsidRPr="00363492">
            <w:rPr>
              <w:rFonts w:eastAsia="MS Gothic" w:hAnsi="MS Gothic"/>
              <w:bCs/>
              <w:color w:val="0000FF"/>
            </w:rPr>
            <w:t>☐</w:t>
          </w:r>
        </w:sdtContent>
      </w:sdt>
      <w:r w:rsidR="0015535B" w:rsidRPr="00363492">
        <w:rPr>
          <w:bCs/>
        </w:rPr>
        <w:t xml:space="preserve"> </w:t>
      </w:r>
      <w:r w:rsidR="00E41417" w:rsidRPr="00363492">
        <w:rPr>
          <w:bCs/>
        </w:rPr>
        <w:t>I</w:t>
      </w:r>
      <w:r w:rsidR="00496AF8" w:rsidRPr="00363492">
        <w:rPr>
          <w:bCs/>
        </w:rPr>
        <w:t xml:space="preserve">ntermediate clinical outcome:  </w:t>
      </w:r>
      <w:sdt>
        <w:sdtPr>
          <w:rPr>
            <w:rStyle w:val="Style2"/>
            <w:rFonts w:cstheme="minorHAnsi"/>
          </w:rPr>
          <w:id w:val="322628782"/>
          <w:showingPlcHdr/>
        </w:sdtPr>
        <w:sdtEndPr>
          <w:rPr>
            <w:rStyle w:val="DefaultParagraphFont"/>
            <w:rFonts w:cstheme="minorBidi"/>
            <w:bCs/>
            <w:color w:val="auto"/>
            <w:u w:val="none"/>
          </w:rPr>
        </w:sdtEndPr>
        <w:sdtContent>
          <w:r w:rsidR="00496AF8" w:rsidRPr="00363492">
            <w:rPr>
              <w:rStyle w:val="PlaceholderText"/>
              <w:rFonts w:cstheme="minorHAnsi"/>
              <w:color w:val="A6A6A6" w:themeColor="background1" w:themeShade="A6"/>
            </w:rPr>
            <w:t>Click here to name the intermediate outcome</w:t>
          </w:r>
        </w:sdtContent>
      </w:sdt>
    </w:p>
    <w:p w:rsidR="00496AF8" w:rsidRPr="00363492" w:rsidRDefault="00262A46" w:rsidP="00015986">
      <w:pPr>
        <w:ind w:left="432" w:hanging="432"/>
        <w:rPr>
          <w:bCs/>
        </w:rPr>
      </w:pPr>
      <w:sdt>
        <w:sdtPr>
          <w:rPr>
            <w:bCs/>
            <w:color w:val="0000FF"/>
          </w:rPr>
          <w:id w:val="-1535727686"/>
        </w:sdtPr>
        <w:sdtContent>
          <w:r w:rsidR="00566A29">
            <w:rPr>
              <w:bCs/>
              <w:color w:val="0000FF"/>
              <w:highlight w:val="yellow"/>
            </w:rPr>
            <w:t>X</w:t>
          </w:r>
          <w:r w:rsidR="0015535B" w:rsidRPr="00566A29">
            <w:rPr>
              <w:rFonts w:eastAsia="MS Gothic" w:hAnsi="MS Gothic"/>
              <w:bCs/>
              <w:color w:val="0000FF"/>
              <w:highlight w:val="yellow"/>
            </w:rPr>
            <w:t>☐</w:t>
          </w:r>
        </w:sdtContent>
      </w:sdt>
      <w:r w:rsidR="0015535B" w:rsidRPr="00363492">
        <w:rPr>
          <w:bCs/>
        </w:rPr>
        <w:t xml:space="preserve"> </w:t>
      </w:r>
      <w:r w:rsidR="00E41417" w:rsidRPr="00363492">
        <w:rPr>
          <w:bCs/>
        </w:rPr>
        <w:t>P</w:t>
      </w:r>
      <w:r w:rsidR="00496AF8" w:rsidRPr="00363492">
        <w:rPr>
          <w:bCs/>
        </w:rPr>
        <w:t xml:space="preserve">rocess: </w:t>
      </w:r>
      <w:r w:rsidR="0077399D" w:rsidRPr="00363492">
        <w:rPr>
          <w:bCs/>
        </w:rPr>
        <w:t xml:space="preserve"> </w:t>
      </w:r>
      <w:r w:rsidR="00496AF8" w:rsidRPr="00363492">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C620C4" w:rsidRPr="00363492">
            <w:rPr>
              <w:rStyle w:val="Style2"/>
              <w:rFonts w:cstheme="minorHAnsi"/>
            </w:rPr>
            <w:t xml:space="preserve">Laboratory Assessment for </w:t>
          </w:r>
          <w:r w:rsidR="00B303F0" w:rsidRPr="00363492">
            <w:rPr>
              <w:rStyle w:val="Style2"/>
              <w:rFonts w:cstheme="minorHAnsi"/>
            </w:rPr>
            <w:t>Se</w:t>
          </w:r>
          <w:r w:rsidR="00C620C4" w:rsidRPr="00363492">
            <w:rPr>
              <w:rStyle w:val="Style2"/>
              <w:rFonts w:cstheme="minorHAnsi"/>
            </w:rPr>
            <w:t xml:space="preserve">condary Causes of </w:t>
          </w:r>
          <w:r w:rsidR="0077399D" w:rsidRPr="00363492">
            <w:rPr>
              <w:rStyle w:val="Style2"/>
              <w:rFonts w:cstheme="minorHAnsi"/>
            </w:rPr>
            <w:t>Fracture</w:t>
          </w:r>
        </w:sdtContent>
      </w:sdt>
    </w:p>
    <w:p w:rsidR="00496AF8" w:rsidRPr="00363492" w:rsidRDefault="00262A46" w:rsidP="00015986">
      <w:pPr>
        <w:ind w:left="432" w:hanging="432"/>
        <w:rPr>
          <w:bCs/>
        </w:rPr>
      </w:pPr>
      <w:sdt>
        <w:sdtPr>
          <w:rPr>
            <w:bCs/>
            <w:color w:val="0000FF"/>
            <w:u w:val="single"/>
          </w:rPr>
          <w:id w:val="1676770628"/>
        </w:sdtPr>
        <w:sdtContent>
          <w:r w:rsidR="0015535B" w:rsidRPr="00363492">
            <w:rPr>
              <w:rFonts w:eastAsia="MS Gothic" w:hAnsi="MS Gothic"/>
              <w:bCs/>
              <w:color w:val="0000FF"/>
            </w:rPr>
            <w:t>☐</w:t>
          </w:r>
        </w:sdtContent>
      </w:sdt>
      <w:r w:rsidR="0015535B" w:rsidRPr="00363492">
        <w:rPr>
          <w:bCs/>
        </w:rPr>
        <w:t xml:space="preserve"> </w:t>
      </w:r>
      <w:r w:rsidR="00E41417" w:rsidRPr="00363492">
        <w:rPr>
          <w:bCs/>
        </w:rPr>
        <w:t>S</w:t>
      </w:r>
      <w:r w:rsidR="00496AF8" w:rsidRPr="00363492">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63492">
            <w:rPr>
              <w:rStyle w:val="PlaceholderText"/>
              <w:rFonts w:cstheme="minorHAnsi"/>
              <w:color w:val="A6A6A6" w:themeColor="background1" w:themeShade="A6"/>
            </w:rPr>
            <w:t>Click here to name the structure</w:t>
          </w:r>
        </w:sdtContent>
      </w:sdt>
    </w:p>
    <w:p w:rsidR="00C620C4" w:rsidRPr="00363492" w:rsidRDefault="00C620C4" w:rsidP="002E2177">
      <w:pPr>
        <w:ind w:left="0" w:firstLine="0"/>
        <w:rPr>
          <w:rFonts w:cs="Arial"/>
        </w:rPr>
      </w:pPr>
    </w:p>
    <w:p w:rsidR="0032759E" w:rsidRPr="00363492" w:rsidRDefault="0032759E" w:rsidP="0032759E">
      <w:pPr>
        <w:ind w:left="0" w:firstLine="0"/>
        <w:rPr>
          <w:bCs/>
          <w:i/>
        </w:rPr>
      </w:pPr>
      <w:r w:rsidRPr="00363492">
        <w:rPr>
          <w:b/>
          <w:bCs/>
        </w:rPr>
        <w:t xml:space="preserve">HEALTH OUTCOME PERFORMANCE </w:t>
      </w:r>
      <w:proofErr w:type="gramStart"/>
      <w:r w:rsidRPr="00363492">
        <w:rPr>
          <w:b/>
          <w:bCs/>
        </w:rPr>
        <w:t xml:space="preserve">MEASURE </w:t>
      </w:r>
      <w:r w:rsidRPr="00363492">
        <w:rPr>
          <w:bCs/>
        </w:rPr>
        <w:t xml:space="preserve"> </w:t>
      </w:r>
      <w:r w:rsidRPr="00363492">
        <w:rPr>
          <w:bCs/>
          <w:i/>
          <w:highlight w:val="green"/>
        </w:rPr>
        <w:t>If</w:t>
      </w:r>
      <w:proofErr w:type="gramEnd"/>
      <w:r w:rsidRPr="00363492">
        <w:rPr>
          <w:bCs/>
          <w:i/>
          <w:highlight w:val="green"/>
        </w:rPr>
        <w:t xml:space="preserve"> not a health outcome, skip to </w:t>
      </w:r>
      <w:hyperlink w:anchor="Section1a3" w:history="1">
        <w:r w:rsidRPr="00363492">
          <w:rPr>
            <w:rStyle w:val="Hyperlink"/>
            <w:bCs/>
            <w:i/>
            <w:highlight w:val="green"/>
          </w:rPr>
          <w:t>1a.3</w:t>
        </w:r>
      </w:hyperlink>
    </w:p>
    <w:p w:rsidR="0032759E" w:rsidRPr="00363492" w:rsidRDefault="0032759E" w:rsidP="0032759E">
      <w:pPr>
        <w:ind w:left="432" w:hanging="432"/>
        <w:rPr>
          <w:iCs/>
        </w:rPr>
      </w:pPr>
      <w:r w:rsidRPr="00363492">
        <w:rPr>
          <w:b/>
          <w:bCs/>
          <w:color w:val="0000FF"/>
        </w:rPr>
        <w:t>1a.2.</w:t>
      </w:r>
      <w:r w:rsidRPr="00363492">
        <w:rPr>
          <w:bCs/>
        </w:rPr>
        <w:t xml:space="preserve"> </w:t>
      </w:r>
      <w:proofErr w:type="gramStart"/>
      <w:r w:rsidRPr="00363492">
        <w:rPr>
          <w:b/>
          <w:iCs/>
        </w:rPr>
        <w:t>Briefly</w:t>
      </w:r>
      <w:proofErr w:type="gramEnd"/>
      <w:r w:rsidRPr="00363492">
        <w:rPr>
          <w:b/>
          <w:iCs/>
        </w:rPr>
        <w:t xml:space="preserve"> state or diagram the linkage between the health outcome (or PRO) and the healthcare structures, processes, interventions, or services that influence it.</w:t>
      </w:r>
    </w:p>
    <w:p w:rsidR="0032759E" w:rsidRPr="00363492" w:rsidRDefault="0032759E" w:rsidP="0032759E">
      <w:pPr>
        <w:ind w:left="432" w:hanging="432"/>
        <w:rPr>
          <w:color w:val="0000FF"/>
        </w:rPr>
      </w:pPr>
    </w:p>
    <w:p w:rsidR="0032759E" w:rsidRPr="00363492" w:rsidRDefault="0032759E" w:rsidP="00C05033">
      <w:pPr>
        <w:ind w:left="432" w:hanging="432"/>
        <w:rPr>
          <w:iCs/>
        </w:rPr>
      </w:pPr>
      <w:r w:rsidRPr="00363492">
        <w:rPr>
          <w:b/>
          <w:color w:val="0000FF"/>
        </w:rPr>
        <w:t>1a.2.1.</w:t>
      </w:r>
      <w:r w:rsidRPr="00363492">
        <w:rPr>
          <w:iCs/>
        </w:rPr>
        <w:t xml:space="preserve"> </w:t>
      </w:r>
      <w:r w:rsidRPr="00363492">
        <w:rPr>
          <w:b/>
          <w:iCs/>
        </w:rPr>
        <w:t>State the rationale supporting the relationship between the health outcome (</w:t>
      </w:r>
      <w:proofErr w:type="gramStart"/>
      <w:r w:rsidRPr="00363492">
        <w:rPr>
          <w:b/>
          <w:iCs/>
        </w:rPr>
        <w:t>or</w:t>
      </w:r>
      <w:proofErr w:type="gramEnd"/>
      <w:r w:rsidRPr="00363492">
        <w:rPr>
          <w:b/>
          <w:iCs/>
        </w:rPr>
        <w:t xml:space="preserve"> PRO) and at least one healthcare structure, process, intervention, or service</w:t>
      </w:r>
      <w:r w:rsidRPr="00363492">
        <w:rPr>
          <w:iCs/>
        </w:rPr>
        <w:t>.</w:t>
      </w:r>
    </w:p>
    <w:p w:rsidR="0032759E" w:rsidRPr="00363492" w:rsidRDefault="0032759E" w:rsidP="0032759E">
      <w:pPr>
        <w:ind w:left="0" w:firstLine="0"/>
        <w:rPr>
          <w:i/>
          <w:iCs/>
        </w:rPr>
      </w:pPr>
      <w:r w:rsidRPr="00363492">
        <w:rPr>
          <w:i/>
          <w:iCs/>
          <w:highlight w:val="green"/>
          <w:u w:val="single"/>
        </w:rPr>
        <w:t>Note</w:t>
      </w:r>
      <w:r w:rsidRPr="00363492">
        <w:rPr>
          <w:i/>
          <w:iCs/>
          <w:highlight w:val="green"/>
        </w:rPr>
        <w:t xml:space="preserve">:  For health outcome performance measures, no further information is required; however, you may provide evidence for any of the structures, processes, interventions, or service identified above. </w:t>
      </w:r>
    </w:p>
    <w:p w:rsidR="0032759E" w:rsidRPr="00363492" w:rsidRDefault="0032759E" w:rsidP="0032759E">
      <w:pPr>
        <w:ind w:left="0" w:firstLine="0"/>
        <w:rPr>
          <w:b/>
          <w:iCs/>
          <w:caps/>
        </w:rPr>
      </w:pPr>
    </w:p>
    <w:p w:rsidR="0032759E" w:rsidRPr="00363492" w:rsidRDefault="0032759E" w:rsidP="0032759E">
      <w:pPr>
        <w:ind w:left="0" w:firstLine="0"/>
        <w:rPr>
          <w:b/>
          <w:iCs/>
        </w:rPr>
      </w:pPr>
      <w:r w:rsidRPr="00363492">
        <w:rPr>
          <w:b/>
          <w:iCs/>
          <w:caps/>
        </w:rPr>
        <w:t>intermediate outcome, PROCESS, or STRUCTURE PERFORMANCE measure</w:t>
      </w:r>
      <w:r w:rsidRPr="00363492">
        <w:rPr>
          <w:b/>
          <w:iCs/>
        </w:rPr>
        <w:t xml:space="preserve"> </w:t>
      </w:r>
    </w:p>
    <w:p w:rsidR="0032759E" w:rsidRPr="00363492" w:rsidRDefault="0032759E" w:rsidP="0032759E">
      <w:pPr>
        <w:ind w:left="0" w:firstLine="0"/>
        <w:rPr>
          <w:i/>
          <w:iCs/>
        </w:rPr>
      </w:pPr>
      <w:bookmarkStart w:id="6" w:name="Section1a3"/>
      <w:bookmarkEnd w:id="6"/>
      <w:proofErr w:type="gramStart"/>
      <w:r w:rsidRPr="00363492">
        <w:rPr>
          <w:b/>
          <w:iCs/>
          <w:color w:val="0000FF"/>
        </w:rPr>
        <w:t>1a.3.</w:t>
      </w:r>
      <w:r w:rsidRPr="00363492">
        <w:rPr>
          <w:i/>
          <w:iCs/>
          <w:color w:val="0000FF"/>
        </w:rPr>
        <w:t xml:space="preserve"> </w:t>
      </w:r>
      <w:r w:rsidRPr="00363492">
        <w:rPr>
          <w:b/>
          <w:iCs/>
        </w:rPr>
        <w:t>Briefly state or diagram the linkages between structure, process, intermediate outcome, and health outcomes</w:t>
      </w:r>
      <w:r w:rsidRPr="00363492">
        <w:rPr>
          <w:iCs/>
        </w:rPr>
        <w:t>.</w:t>
      </w:r>
      <w:proofErr w:type="gramEnd"/>
      <w:r w:rsidRPr="00363492">
        <w:rPr>
          <w:iCs/>
        </w:rPr>
        <w:t xml:space="preserve"> Include all the steps between the measure focus and the health outcome.</w:t>
      </w:r>
      <w:r w:rsidRPr="00363492">
        <w:rPr>
          <w:i/>
          <w:iCs/>
        </w:rPr>
        <w:t xml:space="preserve"> </w:t>
      </w:r>
    </w:p>
    <w:p w:rsidR="0032759E" w:rsidRPr="00363492" w:rsidRDefault="0032759E" w:rsidP="002E2177">
      <w:pPr>
        <w:ind w:left="0" w:firstLine="0"/>
        <w:rPr>
          <w:rFonts w:cs="Arial"/>
        </w:rPr>
      </w:pPr>
      <w:r w:rsidRPr="00363492">
        <w:rPr>
          <w:rFonts w:cs="Arial"/>
        </w:rPr>
        <w:t>The process of laboratory assessment following fragility fracture for secondary causes of low bone mass will reveal or rule out any secondary disease process or condition causing the low bone mass.  Once corrected, future fractures and the attendant hospitalization, costs, and morbidity will be prevented.</w:t>
      </w:r>
      <w:r w:rsidR="009E7C97" w:rsidRPr="00363492">
        <w:rPr>
          <w:rFonts w:cs="Arial"/>
        </w:rPr>
        <w:t xml:space="preserve">  Fragility fracture </w:t>
      </w:r>
      <w:r w:rsidR="009E7C97" w:rsidRPr="00363492">
        <w:rPr>
          <w:rFonts w:cs="Arial"/>
        </w:rPr>
        <w:sym w:font="Wingdings 3" w:char="F022"/>
      </w:r>
      <w:r w:rsidR="009E7C97" w:rsidRPr="00363492">
        <w:rPr>
          <w:rFonts w:cs="Arial"/>
        </w:rPr>
        <w:t xml:space="preserve"> laboratory assessment </w:t>
      </w:r>
      <w:r w:rsidR="009E7C97" w:rsidRPr="00363492">
        <w:rPr>
          <w:rFonts w:cs="Arial"/>
        </w:rPr>
        <w:sym w:font="Wingdings 3" w:char="F022"/>
      </w:r>
      <w:r w:rsidR="009E7C97" w:rsidRPr="00363492">
        <w:rPr>
          <w:rFonts w:cs="Arial"/>
        </w:rPr>
        <w:t xml:space="preserve"> determination of secondary condition causing fracture (osteoporosis) </w:t>
      </w:r>
      <w:r w:rsidR="009E7C97" w:rsidRPr="00363492">
        <w:rPr>
          <w:rFonts w:cs="Arial"/>
        </w:rPr>
        <w:sym w:font="Wingdings 3" w:char="F022"/>
      </w:r>
      <w:r w:rsidR="009E7C97" w:rsidRPr="00363492">
        <w:rPr>
          <w:rFonts w:cs="Arial"/>
        </w:rPr>
        <w:t xml:space="preserve"> correction of cause </w:t>
      </w:r>
      <w:r w:rsidR="009E7C97" w:rsidRPr="00363492">
        <w:rPr>
          <w:rFonts w:cs="Arial"/>
        </w:rPr>
        <w:sym w:font="Wingdings 3" w:char="F022"/>
      </w:r>
      <w:r w:rsidR="009E7C97" w:rsidRPr="00363492">
        <w:rPr>
          <w:rFonts w:cs="Arial"/>
        </w:rPr>
        <w:t xml:space="preserve"> decreased morbidity</w:t>
      </w:r>
      <w:r w:rsidR="00B51031" w:rsidRPr="00363492">
        <w:rPr>
          <w:rFonts w:cs="Arial"/>
        </w:rPr>
        <w:t xml:space="preserve"> and decreased readmissions for fracture</w:t>
      </w:r>
      <w:r w:rsidR="00555633" w:rsidRPr="00363492">
        <w:rPr>
          <w:rFonts w:cs="Arial"/>
        </w:rPr>
        <w:t xml:space="preserve"> resulting in better patient outcomes</w:t>
      </w:r>
    </w:p>
    <w:p w:rsidR="0055559D" w:rsidRPr="00363492" w:rsidRDefault="00FD4D82" w:rsidP="002E2177">
      <w:pPr>
        <w:ind w:left="0" w:firstLine="0"/>
        <w:rPr>
          <w:b/>
        </w:rPr>
      </w:pPr>
      <w:r w:rsidRPr="00363492">
        <w:rPr>
          <w:b/>
          <w:color w:val="0000FF"/>
        </w:rPr>
        <w:t>1</w:t>
      </w:r>
      <w:r w:rsidR="00773485" w:rsidRPr="00363492">
        <w:rPr>
          <w:b/>
          <w:color w:val="0000FF"/>
        </w:rPr>
        <w:t>a</w:t>
      </w:r>
      <w:r w:rsidRPr="00363492">
        <w:rPr>
          <w:b/>
          <w:color w:val="0000FF"/>
        </w:rPr>
        <w:t>.</w:t>
      </w:r>
      <w:r w:rsidR="0094689F" w:rsidRPr="00363492">
        <w:rPr>
          <w:b/>
          <w:color w:val="0000FF"/>
        </w:rPr>
        <w:t>3.</w:t>
      </w:r>
      <w:r w:rsidR="002B06BD" w:rsidRPr="00363492">
        <w:rPr>
          <w:b/>
          <w:color w:val="0000FF"/>
        </w:rPr>
        <w:t>1</w:t>
      </w:r>
      <w:r w:rsidR="001B38BF" w:rsidRPr="00363492">
        <w:rPr>
          <w:b/>
          <w:color w:val="0000FF"/>
        </w:rPr>
        <w:t>.</w:t>
      </w:r>
      <w:r w:rsidRPr="00363492">
        <w:rPr>
          <w:color w:val="0000FF"/>
        </w:rPr>
        <w:t xml:space="preserve"> </w:t>
      </w:r>
      <w:proofErr w:type="gramStart"/>
      <w:r w:rsidRPr="00363492">
        <w:rPr>
          <w:b/>
        </w:rPr>
        <w:t>What</w:t>
      </w:r>
      <w:proofErr w:type="gramEnd"/>
      <w:r w:rsidRPr="00363492">
        <w:rPr>
          <w:b/>
        </w:rPr>
        <w:t xml:space="preserve"> is the source of</w:t>
      </w:r>
      <w:r w:rsidR="00030F43" w:rsidRPr="00363492">
        <w:rPr>
          <w:b/>
        </w:rPr>
        <w:t xml:space="preserve"> the</w:t>
      </w:r>
      <w:r w:rsidRPr="00363492">
        <w:rPr>
          <w:b/>
        </w:rPr>
        <w:t xml:space="preserve"> </w:t>
      </w:r>
      <w:r w:rsidR="007573F0" w:rsidRPr="00363492">
        <w:rPr>
          <w:b/>
          <w:u w:val="single"/>
        </w:rPr>
        <w:t xml:space="preserve">systematic review of the body of </w:t>
      </w:r>
      <w:r w:rsidRPr="00363492">
        <w:rPr>
          <w:b/>
          <w:u w:val="single"/>
        </w:rPr>
        <w:t>evi</w:t>
      </w:r>
      <w:r w:rsidR="00201FF9" w:rsidRPr="00363492">
        <w:rPr>
          <w:b/>
          <w:u w:val="single"/>
        </w:rPr>
        <w:t>dence</w:t>
      </w:r>
      <w:r w:rsidR="00201FF9" w:rsidRPr="00363492">
        <w:rPr>
          <w:b/>
        </w:rPr>
        <w:t xml:space="preserve"> that </w:t>
      </w:r>
      <w:r w:rsidR="00BA579E" w:rsidRPr="00363492">
        <w:rPr>
          <w:b/>
        </w:rPr>
        <w:t xml:space="preserve">supports </w:t>
      </w:r>
      <w:r w:rsidR="007C1887" w:rsidRPr="00363492">
        <w:rPr>
          <w:b/>
        </w:rPr>
        <w:t xml:space="preserve">the </w:t>
      </w:r>
      <w:r w:rsidR="00BA579E" w:rsidRPr="00363492">
        <w:rPr>
          <w:b/>
        </w:rPr>
        <w:t>performance measure</w:t>
      </w:r>
      <w:r w:rsidRPr="00363492">
        <w:rPr>
          <w:b/>
        </w:rPr>
        <w:t>?</w:t>
      </w:r>
    </w:p>
    <w:p w:rsidR="00FD4D82" w:rsidRPr="00363492" w:rsidRDefault="00262A46" w:rsidP="002E2177">
      <w:pPr>
        <w:ind w:left="0" w:firstLine="0"/>
      </w:pPr>
      <w:sdt>
        <w:sdtPr>
          <w:rPr>
            <w:bCs/>
            <w:color w:val="0000FF"/>
          </w:rPr>
          <w:id w:val="-468508862"/>
        </w:sdtPr>
        <w:sdtContent>
          <w:r w:rsidR="00175BA6" w:rsidRPr="00566A29">
            <w:rPr>
              <w:bCs/>
              <w:color w:val="0000FF"/>
              <w:highlight w:val="yellow"/>
            </w:rPr>
            <w:t>X</w:t>
          </w:r>
          <w:r w:rsidR="0015535B" w:rsidRPr="00566A29">
            <w:rPr>
              <w:rFonts w:eastAsia="MS Gothic" w:hAnsi="MS Gothic"/>
              <w:bCs/>
              <w:color w:val="0000FF"/>
              <w:highlight w:val="yellow"/>
            </w:rPr>
            <w:t>☐</w:t>
          </w:r>
          <w:r w:rsidR="00175BA6" w:rsidRPr="00363492">
            <w:rPr>
              <w:rFonts w:eastAsia="MS Gothic"/>
              <w:bCs/>
              <w:color w:val="0000FF"/>
            </w:rPr>
            <w:t xml:space="preserve"> </w:t>
          </w:r>
        </w:sdtContent>
      </w:sdt>
      <w:r w:rsidR="001B38BF" w:rsidRPr="00363492">
        <w:t xml:space="preserve"> Clinical Practice </w:t>
      </w:r>
      <w:r w:rsidR="00AA5587" w:rsidRPr="00363492">
        <w:t>G</w:t>
      </w:r>
      <w:r w:rsidR="001B38BF" w:rsidRPr="00363492">
        <w:t>uideline</w:t>
      </w:r>
      <w:r w:rsidR="00E746A2" w:rsidRPr="00363492">
        <w:t xml:space="preserve"> recommendation</w:t>
      </w:r>
      <w:r w:rsidR="001B38BF" w:rsidRPr="00363492">
        <w:t xml:space="preserve"> – </w:t>
      </w:r>
      <w:r w:rsidR="00FD4D82" w:rsidRPr="00363492">
        <w:rPr>
          <w:b/>
          <w:i/>
        </w:rPr>
        <w:t>complete section</w:t>
      </w:r>
      <w:r w:rsidR="00CF0AB1" w:rsidRPr="00363492">
        <w:rPr>
          <w:b/>
          <w:i/>
        </w:rPr>
        <w:t>s</w:t>
      </w:r>
      <w:r w:rsidR="00FD4D82" w:rsidRPr="00363492">
        <w:rPr>
          <w:b/>
          <w:i/>
        </w:rPr>
        <w:t xml:space="preserve"> </w:t>
      </w:r>
      <w:hyperlink w:anchor="Section1a4" w:history="1">
        <w:r w:rsidR="00FD4D82" w:rsidRPr="00363492">
          <w:rPr>
            <w:rStyle w:val="Hyperlink"/>
            <w:b/>
            <w:i/>
          </w:rPr>
          <w:t>1</w:t>
        </w:r>
        <w:r w:rsidR="00773485" w:rsidRPr="00363492">
          <w:rPr>
            <w:rStyle w:val="Hyperlink"/>
            <w:b/>
            <w:i/>
          </w:rPr>
          <w:t>a</w:t>
        </w:r>
        <w:r w:rsidR="00701CC3" w:rsidRPr="00363492">
          <w:rPr>
            <w:rStyle w:val="Hyperlink"/>
            <w:b/>
            <w:i/>
          </w:rPr>
          <w:t>.</w:t>
        </w:r>
        <w:r w:rsidR="00AA5587" w:rsidRPr="00363492">
          <w:rPr>
            <w:rStyle w:val="Hyperlink"/>
            <w:b/>
            <w:i/>
          </w:rPr>
          <w:t>4</w:t>
        </w:r>
      </w:hyperlink>
      <w:r w:rsidR="00CB06C9" w:rsidRPr="00363492">
        <w:rPr>
          <w:b/>
          <w:i/>
        </w:rPr>
        <w:t>,</w:t>
      </w:r>
      <w:r w:rsidR="00773485" w:rsidRPr="00363492">
        <w:rPr>
          <w:b/>
          <w:i/>
        </w:rPr>
        <w:t xml:space="preserve"> and </w:t>
      </w:r>
      <w:hyperlink w:anchor="Section1a7" w:history="1">
        <w:r w:rsidR="00773485" w:rsidRPr="00363492">
          <w:rPr>
            <w:rStyle w:val="Hyperlink"/>
            <w:b/>
            <w:i/>
          </w:rPr>
          <w:t>1a.7</w:t>
        </w:r>
      </w:hyperlink>
      <w:r w:rsidR="001B38BF" w:rsidRPr="00363492">
        <w:t xml:space="preserve"> </w:t>
      </w:r>
    </w:p>
    <w:p w:rsidR="00FD4D82" w:rsidRPr="00363492" w:rsidRDefault="00262A46" w:rsidP="002E2177">
      <w:pPr>
        <w:ind w:left="0" w:firstLine="0"/>
        <w:rPr>
          <w:b/>
          <w:i/>
        </w:rPr>
      </w:pPr>
      <w:sdt>
        <w:sdtPr>
          <w:rPr>
            <w:bCs/>
            <w:color w:val="0000FF"/>
          </w:rPr>
          <w:id w:val="-411317169"/>
        </w:sdtPr>
        <w:sdtContent>
          <w:r w:rsidR="00175BA6" w:rsidRPr="00566A29">
            <w:rPr>
              <w:bCs/>
              <w:color w:val="0000FF"/>
              <w:highlight w:val="yellow"/>
            </w:rPr>
            <w:t>X</w:t>
          </w:r>
          <w:r w:rsidR="0015535B" w:rsidRPr="00566A29">
            <w:rPr>
              <w:rFonts w:eastAsia="MS Gothic" w:hAnsi="MS Gothic"/>
              <w:bCs/>
              <w:color w:val="0000FF"/>
              <w:highlight w:val="yellow"/>
            </w:rPr>
            <w:t>☐</w:t>
          </w:r>
          <w:r w:rsidR="00C620C4" w:rsidRPr="00363492">
            <w:rPr>
              <w:rFonts w:eastAsia="MS Gothic"/>
              <w:bCs/>
              <w:color w:val="0000FF"/>
            </w:rPr>
            <w:t xml:space="preserve">  </w:t>
          </w:r>
        </w:sdtContent>
      </w:sdt>
      <w:r w:rsidR="00FD4D82" w:rsidRPr="00363492">
        <w:t xml:space="preserve"> US Preventive Services Task Force Recommendation </w:t>
      </w:r>
      <w:r w:rsidR="001B38BF" w:rsidRPr="00363492">
        <w:t xml:space="preserve">– </w:t>
      </w:r>
      <w:r w:rsidR="00FD4D82" w:rsidRPr="00363492">
        <w:rPr>
          <w:b/>
          <w:i/>
        </w:rPr>
        <w:t>complete section</w:t>
      </w:r>
      <w:r w:rsidR="00CF0AB1" w:rsidRPr="00363492">
        <w:rPr>
          <w:b/>
          <w:i/>
        </w:rPr>
        <w:t>s</w:t>
      </w:r>
      <w:r w:rsidR="00FD4D82" w:rsidRPr="00363492">
        <w:rPr>
          <w:b/>
          <w:i/>
        </w:rPr>
        <w:t xml:space="preserve"> </w:t>
      </w:r>
      <w:hyperlink w:anchor="Section1a5" w:history="1">
        <w:r w:rsidR="00FD4D82" w:rsidRPr="00363492">
          <w:rPr>
            <w:rStyle w:val="Hyperlink"/>
            <w:b/>
            <w:i/>
          </w:rPr>
          <w:t>1</w:t>
        </w:r>
        <w:r w:rsidR="00773485" w:rsidRPr="00363492">
          <w:rPr>
            <w:rStyle w:val="Hyperlink"/>
            <w:b/>
            <w:i/>
          </w:rPr>
          <w:t>a</w:t>
        </w:r>
        <w:r w:rsidR="00FD4D82" w:rsidRPr="00363492">
          <w:rPr>
            <w:rStyle w:val="Hyperlink"/>
            <w:b/>
            <w:i/>
          </w:rPr>
          <w:t>.5</w:t>
        </w:r>
      </w:hyperlink>
      <w:r w:rsidR="007C1887" w:rsidRPr="00363492">
        <w:rPr>
          <w:b/>
          <w:i/>
        </w:rPr>
        <w:t xml:space="preserve"> and </w:t>
      </w:r>
      <w:hyperlink w:anchor="Section1a7" w:history="1">
        <w:r w:rsidR="00CF772F" w:rsidRPr="00363492">
          <w:rPr>
            <w:rStyle w:val="Hyperlink"/>
            <w:b/>
            <w:i/>
          </w:rPr>
          <w:t>1a.7</w:t>
        </w:r>
      </w:hyperlink>
    </w:p>
    <w:p w:rsidR="007573F0" w:rsidRPr="00363492" w:rsidRDefault="00262A46" w:rsidP="002E2177">
      <w:pPr>
        <w:ind w:left="0" w:firstLine="0"/>
      </w:pPr>
      <w:sdt>
        <w:sdtPr>
          <w:rPr>
            <w:bCs/>
            <w:color w:val="0000FF"/>
            <w:u w:val="single"/>
          </w:rPr>
          <w:id w:val="1199589694"/>
        </w:sdtPr>
        <w:sdtContent>
          <w:r w:rsidR="007573F0" w:rsidRPr="00363492">
            <w:rPr>
              <w:rFonts w:eastAsia="MS Gothic" w:hAnsi="MS Gothic"/>
              <w:bCs/>
              <w:color w:val="0000FF"/>
            </w:rPr>
            <w:t>☐</w:t>
          </w:r>
        </w:sdtContent>
      </w:sdt>
      <w:r w:rsidR="007573F0" w:rsidRPr="00363492">
        <w:t xml:space="preserve"> </w:t>
      </w:r>
      <w:r w:rsidR="00B51031" w:rsidRPr="00363492">
        <w:t xml:space="preserve">        </w:t>
      </w:r>
      <w:proofErr w:type="gramStart"/>
      <w:r w:rsidR="007573F0" w:rsidRPr="00363492">
        <w:t>Other</w:t>
      </w:r>
      <w:proofErr w:type="gramEnd"/>
      <w:r w:rsidR="007573F0" w:rsidRPr="00363492">
        <w:t xml:space="preserve"> systematic review and grading of the body of evidence (</w:t>
      </w:r>
      <w:r w:rsidR="007573F0" w:rsidRPr="00363492">
        <w:rPr>
          <w:i/>
        </w:rPr>
        <w:t>e.g., Cochrane Collaboration, AHRQ Evidence Practice Center</w:t>
      </w:r>
      <w:r w:rsidR="007573F0" w:rsidRPr="00363492">
        <w:t xml:space="preserve">) – </w:t>
      </w:r>
      <w:r w:rsidR="007573F0" w:rsidRPr="00363492">
        <w:rPr>
          <w:b/>
          <w:i/>
        </w:rPr>
        <w:t xml:space="preserve">complete sections </w:t>
      </w:r>
      <w:hyperlink w:anchor="Section1a6" w:history="1">
        <w:r w:rsidR="007573F0" w:rsidRPr="00363492">
          <w:rPr>
            <w:rStyle w:val="Hyperlink"/>
            <w:b/>
            <w:i/>
          </w:rPr>
          <w:t>1a.6</w:t>
        </w:r>
      </w:hyperlink>
      <w:r w:rsidR="007573F0" w:rsidRPr="00363492">
        <w:rPr>
          <w:b/>
          <w:i/>
        </w:rPr>
        <w:t xml:space="preserve"> and </w:t>
      </w:r>
      <w:hyperlink w:anchor="Section1a7" w:history="1">
        <w:r w:rsidR="00CF772F" w:rsidRPr="00363492">
          <w:rPr>
            <w:rStyle w:val="Hyperlink"/>
            <w:b/>
            <w:i/>
          </w:rPr>
          <w:t>1a.7</w:t>
        </w:r>
      </w:hyperlink>
    </w:p>
    <w:p w:rsidR="00FD4D82" w:rsidRPr="00363492" w:rsidRDefault="00262A46" w:rsidP="002E2177">
      <w:pPr>
        <w:ind w:left="0" w:firstLine="0"/>
      </w:pPr>
      <w:sdt>
        <w:sdtPr>
          <w:rPr>
            <w:bCs/>
            <w:color w:val="0000FF"/>
            <w:u w:val="single"/>
          </w:rPr>
          <w:id w:val="302275832"/>
        </w:sdtPr>
        <w:sdtContent>
          <w:r w:rsidR="00175BA6" w:rsidRPr="00566A29">
            <w:rPr>
              <w:bCs/>
              <w:color w:val="0000FF"/>
              <w:highlight w:val="yellow"/>
            </w:rPr>
            <w:t>X</w:t>
          </w:r>
          <w:r w:rsidR="0015535B" w:rsidRPr="00566A29">
            <w:rPr>
              <w:rFonts w:eastAsia="MS Gothic" w:hAnsi="MS Gothic"/>
              <w:bCs/>
              <w:color w:val="0000FF"/>
              <w:highlight w:val="yellow"/>
            </w:rPr>
            <w:t>☐</w:t>
          </w:r>
          <w:r w:rsidR="00B93691" w:rsidRPr="00363492">
            <w:rPr>
              <w:rFonts w:eastAsia="MS Gothic"/>
              <w:bCs/>
              <w:color w:val="0000FF"/>
            </w:rPr>
            <w:t xml:space="preserve"> </w:t>
          </w:r>
        </w:sdtContent>
      </w:sdt>
      <w:r w:rsidR="00FD4D82" w:rsidRPr="00363492">
        <w:t xml:space="preserve"> Other </w:t>
      </w:r>
      <w:r w:rsidR="001B38BF" w:rsidRPr="00363492">
        <w:t xml:space="preserve">– </w:t>
      </w:r>
      <w:r w:rsidR="00FD4D82" w:rsidRPr="00363492">
        <w:rPr>
          <w:b/>
          <w:i/>
        </w:rPr>
        <w:t xml:space="preserve">complete section </w:t>
      </w:r>
      <w:hyperlink w:anchor="Section1a8" w:history="1">
        <w:r w:rsidR="00FD4D82" w:rsidRPr="00363492">
          <w:rPr>
            <w:rStyle w:val="Hyperlink"/>
            <w:b/>
            <w:i/>
          </w:rPr>
          <w:t>1</w:t>
        </w:r>
        <w:r w:rsidR="00773485" w:rsidRPr="00363492">
          <w:rPr>
            <w:rStyle w:val="Hyperlink"/>
            <w:b/>
            <w:i/>
          </w:rPr>
          <w:t>a</w:t>
        </w:r>
        <w:r w:rsidR="00FD4D82" w:rsidRPr="00363492">
          <w:rPr>
            <w:rStyle w:val="Hyperlink"/>
            <w:b/>
            <w:i/>
          </w:rPr>
          <w:t>.</w:t>
        </w:r>
        <w:r w:rsidR="00773485" w:rsidRPr="00363492">
          <w:rPr>
            <w:rStyle w:val="Hyperlink"/>
            <w:b/>
            <w:i/>
          </w:rPr>
          <w:t>8</w:t>
        </w:r>
      </w:hyperlink>
    </w:p>
    <w:p w:rsidR="00201FF9" w:rsidRPr="00363492" w:rsidRDefault="00201FF9" w:rsidP="002E2177">
      <w:pPr>
        <w:ind w:left="0" w:firstLine="0"/>
        <w:rPr>
          <w:i/>
        </w:rPr>
      </w:pPr>
      <w:r w:rsidRPr="00363492">
        <w:rPr>
          <w:i/>
          <w:highlight w:val="green"/>
        </w:rPr>
        <w:t xml:space="preserve">Please complete the sections indicated </w:t>
      </w:r>
      <w:r w:rsidR="00030F43" w:rsidRPr="00363492">
        <w:rPr>
          <w:i/>
          <w:highlight w:val="green"/>
        </w:rPr>
        <w:t xml:space="preserve">above </w:t>
      </w:r>
      <w:r w:rsidRPr="00363492">
        <w:rPr>
          <w:i/>
          <w:highlight w:val="green"/>
        </w:rPr>
        <w:t xml:space="preserve">for the source of evidence. You may skip the </w:t>
      </w:r>
      <w:r w:rsidR="00030F43" w:rsidRPr="00363492">
        <w:rPr>
          <w:i/>
          <w:highlight w:val="green"/>
        </w:rPr>
        <w:t>section</w:t>
      </w:r>
      <w:r w:rsidRPr="00363492">
        <w:rPr>
          <w:i/>
          <w:highlight w:val="green"/>
        </w:rPr>
        <w:t>s that do not apply.</w:t>
      </w:r>
    </w:p>
    <w:p w:rsidR="00201FF9" w:rsidRPr="00363492" w:rsidRDefault="00201FF9" w:rsidP="002E2177">
      <w:pPr>
        <w:ind w:left="0" w:firstLine="0"/>
        <w:rPr>
          <w:b/>
          <w:color w:val="0070C0"/>
        </w:rPr>
      </w:pPr>
    </w:p>
    <w:p w:rsidR="009B5BEA" w:rsidRPr="00363492" w:rsidRDefault="00FD4D82" w:rsidP="002E2177">
      <w:pPr>
        <w:ind w:left="0" w:firstLine="0"/>
        <w:rPr>
          <w:b/>
        </w:rPr>
      </w:pPr>
      <w:bookmarkStart w:id="7" w:name="Section1a4"/>
      <w:bookmarkEnd w:id="7"/>
      <w:r w:rsidRPr="00363492">
        <w:rPr>
          <w:b/>
          <w:color w:val="0000FF"/>
        </w:rPr>
        <w:t>1</w:t>
      </w:r>
      <w:r w:rsidR="00773485" w:rsidRPr="00363492">
        <w:rPr>
          <w:b/>
          <w:color w:val="0000FF"/>
        </w:rPr>
        <w:t>a</w:t>
      </w:r>
      <w:r w:rsidRPr="00363492">
        <w:rPr>
          <w:b/>
          <w:color w:val="0000FF"/>
        </w:rPr>
        <w:t>.4</w:t>
      </w:r>
      <w:r w:rsidR="00201FF9" w:rsidRPr="00363492">
        <w:rPr>
          <w:b/>
          <w:color w:val="0000FF"/>
        </w:rPr>
        <w:t>.</w:t>
      </w:r>
      <w:r w:rsidRPr="00363492">
        <w:rPr>
          <w:b/>
          <w:color w:val="0070C0"/>
        </w:rPr>
        <w:t xml:space="preserve"> </w:t>
      </w:r>
      <w:r w:rsidR="0055559D" w:rsidRPr="00363492">
        <w:rPr>
          <w:b/>
        </w:rPr>
        <w:t>CLINICAL PRACTICE GUIDELINE</w:t>
      </w:r>
      <w:r w:rsidR="00E746A2" w:rsidRPr="00363492">
        <w:rPr>
          <w:b/>
        </w:rPr>
        <w:t xml:space="preserve"> RECOMMENDATION</w:t>
      </w:r>
    </w:p>
    <w:p w:rsidR="007E37A5" w:rsidRPr="00363492" w:rsidRDefault="008B51D9" w:rsidP="002E2177">
      <w:pPr>
        <w:ind w:left="0" w:firstLine="0"/>
      </w:pPr>
      <w:r w:rsidRPr="00363492">
        <w:rPr>
          <w:b/>
          <w:color w:val="0000FF"/>
        </w:rPr>
        <w:t>1</w:t>
      </w:r>
      <w:r w:rsidR="00773485" w:rsidRPr="00363492">
        <w:rPr>
          <w:b/>
          <w:color w:val="0000FF"/>
        </w:rPr>
        <w:t>a</w:t>
      </w:r>
      <w:r w:rsidRPr="00363492">
        <w:rPr>
          <w:b/>
          <w:color w:val="0000FF"/>
        </w:rPr>
        <w:t>.</w:t>
      </w:r>
      <w:r w:rsidR="00B058A6" w:rsidRPr="00363492">
        <w:rPr>
          <w:b/>
          <w:color w:val="0000FF"/>
        </w:rPr>
        <w:t>4</w:t>
      </w:r>
      <w:r w:rsidRPr="00363492">
        <w:rPr>
          <w:b/>
          <w:color w:val="0000FF"/>
        </w:rPr>
        <w:t>.1.</w:t>
      </w:r>
      <w:r w:rsidRPr="00363492">
        <w:t xml:space="preserve"> </w:t>
      </w:r>
      <w:r w:rsidR="00496AF8" w:rsidRPr="00363492">
        <w:rPr>
          <w:b/>
        </w:rPr>
        <w:t>Guideline citation</w:t>
      </w:r>
      <w:r w:rsidR="002F20A7" w:rsidRPr="00363492">
        <w:t xml:space="preserve"> </w:t>
      </w:r>
      <w:r w:rsidR="006709EB" w:rsidRPr="00363492">
        <w:t>(</w:t>
      </w:r>
      <w:r w:rsidR="006709EB" w:rsidRPr="00363492">
        <w:rPr>
          <w:i/>
        </w:rPr>
        <w:t>including date</w:t>
      </w:r>
      <w:r w:rsidR="006709EB" w:rsidRPr="00363492">
        <w:t>)</w:t>
      </w:r>
      <w:r w:rsidR="00265702" w:rsidRPr="00363492">
        <w:t xml:space="preserve"> and </w:t>
      </w:r>
      <w:r w:rsidR="00265702" w:rsidRPr="00363492">
        <w:rPr>
          <w:b/>
        </w:rPr>
        <w:t>URL for guideline</w:t>
      </w:r>
      <w:r w:rsidR="00265702" w:rsidRPr="00363492">
        <w:t xml:space="preserve"> (</w:t>
      </w:r>
      <w:r w:rsidR="00265702" w:rsidRPr="00363492">
        <w:rPr>
          <w:i/>
        </w:rPr>
        <w:t>if available online</w:t>
      </w:r>
      <w:r w:rsidR="00265702" w:rsidRPr="00363492">
        <w:t>):</w:t>
      </w:r>
    </w:p>
    <w:p w:rsidR="00D53405" w:rsidRPr="00363492" w:rsidRDefault="009C16E9" w:rsidP="002E2177">
      <w:pPr>
        <w:ind w:left="0" w:firstLine="0"/>
        <w:rPr>
          <w:rFonts w:cs="Arial"/>
          <w:bCs/>
          <w:color w:val="333333"/>
        </w:rPr>
      </w:pPr>
      <w:proofErr w:type="gramStart"/>
      <w:r w:rsidRPr="00363492">
        <w:rPr>
          <w:rFonts w:cs="Arial"/>
          <w:bCs/>
          <w:color w:val="333333"/>
        </w:rPr>
        <w:t>American Association of Clinical Endocrinologists medical guidelines for clinical practice for the diagnosis and treatment of postmenopausal osteoporosis.</w:t>
      </w:r>
      <w:proofErr w:type="gramEnd"/>
    </w:p>
    <w:p w:rsidR="009C16E9" w:rsidRPr="00363492" w:rsidRDefault="009C16E9" w:rsidP="002E2177">
      <w:pPr>
        <w:ind w:left="0" w:firstLine="0"/>
        <w:rPr>
          <w:rFonts w:cs="Arial"/>
          <w:bCs/>
          <w:color w:val="333333"/>
        </w:rPr>
      </w:pPr>
    </w:p>
    <w:p w:rsidR="009C16E9" w:rsidRPr="00363492" w:rsidRDefault="009C16E9" w:rsidP="002E2177">
      <w:pPr>
        <w:ind w:left="0" w:firstLine="0"/>
        <w:rPr>
          <w:rFonts w:cs="Arial"/>
        </w:rPr>
      </w:pPr>
      <w:r w:rsidRPr="00363492">
        <w:rPr>
          <w:rFonts w:cs="Arial"/>
        </w:rPr>
        <w:t xml:space="preserve">Watts NB, Bilezikian JP, Camacho PM, Greenspan SL, Harris ST, Hodgson SF, Kleerekoper M, Luckey MM, McClung MR, Pollack RP, Petak SM, AACE Osteoporosis Task Force. </w:t>
      </w:r>
      <w:proofErr w:type="gramStart"/>
      <w:r w:rsidRPr="00363492">
        <w:rPr>
          <w:rFonts w:cs="Arial"/>
        </w:rPr>
        <w:t>American Association of Clinical Endocrinologists medical guidelines for clinical practice for the diagnosis and treatment of postmenopausal osteoporosis.</w:t>
      </w:r>
      <w:proofErr w:type="gramEnd"/>
      <w:r w:rsidRPr="00363492">
        <w:rPr>
          <w:rFonts w:cs="Arial"/>
        </w:rPr>
        <w:t xml:space="preserve"> Endocr Pract. 2010 Nov-Dec</w:t>
      </w:r>
      <w:proofErr w:type="gramStart"/>
      <w:r w:rsidRPr="00363492">
        <w:rPr>
          <w:rFonts w:cs="Arial"/>
        </w:rPr>
        <w:t>;16</w:t>
      </w:r>
      <w:proofErr w:type="gramEnd"/>
      <w:r w:rsidRPr="00363492">
        <w:rPr>
          <w:rFonts w:cs="Arial"/>
        </w:rPr>
        <w:t>(Suppl 3):1-37. [209 references</w:t>
      </w:r>
      <w:r w:rsidR="009A7FF8" w:rsidRPr="00363492">
        <w:rPr>
          <w:rFonts w:cs="Arial"/>
        </w:rPr>
        <w:t>)</w:t>
      </w:r>
    </w:p>
    <w:p w:rsidR="009C16E9" w:rsidRPr="00363492" w:rsidRDefault="009C16E9" w:rsidP="002E2177">
      <w:pPr>
        <w:ind w:left="0" w:firstLine="0"/>
        <w:rPr>
          <w:rFonts w:cs="Arial"/>
        </w:rPr>
      </w:pPr>
    </w:p>
    <w:p w:rsidR="006F4B7F" w:rsidRPr="00363492" w:rsidRDefault="00262A46" w:rsidP="002E2177">
      <w:pPr>
        <w:ind w:left="0" w:firstLine="0"/>
        <w:rPr>
          <w:rFonts w:cs="Arial"/>
        </w:rPr>
      </w:pPr>
      <w:hyperlink r:id="rId14" w:history="1">
        <w:r w:rsidR="009C16E9" w:rsidRPr="00363492">
          <w:rPr>
            <w:rStyle w:val="Hyperlink"/>
            <w:rFonts w:cs="Arial"/>
          </w:rPr>
          <w:t>http://www.guideline.gov/content.aspx?id=34968&amp;search=osteoporosis</w:t>
        </w:r>
      </w:hyperlink>
    </w:p>
    <w:p w:rsidR="009C16E9" w:rsidRPr="00363492" w:rsidRDefault="009C16E9" w:rsidP="002E2177">
      <w:pPr>
        <w:ind w:left="0" w:firstLine="0"/>
        <w:rPr>
          <w:rFonts w:cs="Arial"/>
        </w:rPr>
      </w:pPr>
    </w:p>
    <w:p w:rsidR="00D14F0B" w:rsidRPr="00363492" w:rsidRDefault="008B51D9" w:rsidP="002E2177">
      <w:pPr>
        <w:ind w:left="0" w:firstLine="0"/>
      </w:pPr>
      <w:r w:rsidRPr="00363492">
        <w:rPr>
          <w:b/>
          <w:color w:val="0000FF"/>
        </w:rPr>
        <w:t>1</w:t>
      </w:r>
      <w:r w:rsidR="00773485" w:rsidRPr="00363492">
        <w:rPr>
          <w:b/>
          <w:color w:val="0000FF"/>
        </w:rPr>
        <w:t>a</w:t>
      </w:r>
      <w:r w:rsidRPr="00363492">
        <w:rPr>
          <w:b/>
          <w:color w:val="0000FF"/>
        </w:rPr>
        <w:t>.</w:t>
      </w:r>
      <w:r w:rsidR="00B058A6" w:rsidRPr="00363492">
        <w:rPr>
          <w:b/>
          <w:color w:val="0000FF"/>
        </w:rPr>
        <w:t>4</w:t>
      </w:r>
      <w:r w:rsidR="00265702" w:rsidRPr="00363492">
        <w:rPr>
          <w:b/>
          <w:color w:val="0000FF"/>
        </w:rPr>
        <w:t>.2</w:t>
      </w:r>
      <w:r w:rsidRPr="00363492">
        <w:rPr>
          <w:b/>
          <w:color w:val="0000FF"/>
        </w:rPr>
        <w:t>.</w:t>
      </w:r>
      <w:r w:rsidRPr="00363492">
        <w:t xml:space="preserve"> </w:t>
      </w:r>
      <w:r w:rsidR="00496AF8" w:rsidRPr="00363492">
        <w:rPr>
          <w:b/>
        </w:rPr>
        <w:t>Identify</w:t>
      </w:r>
      <w:r w:rsidR="00A44FF0" w:rsidRPr="00363492">
        <w:rPr>
          <w:b/>
        </w:rPr>
        <w:t xml:space="preserve"> </w:t>
      </w:r>
      <w:r w:rsidR="00C54E40" w:rsidRPr="00363492">
        <w:rPr>
          <w:b/>
        </w:rPr>
        <w:t>g</w:t>
      </w:r>
      <w:r w:rsidR="00496AF8" w:rsidRPr="00363492">
        <w:rPr>
          <w:b/>
        </w:rPr>
        <w:t xml:space="preserve">uideline </w:t>
      </w:r>
      <w:r w:rsidR="00E746A2" w:rsidRPr="00363492">
        <w:rPr>
          <w:b/>
        </w:rPr>
        <w:t xml:space="preserve">recommendation </w:t>
      </w:r>
      <w:r w:rsidR="00496AF8" w:rsidRPr="00363492">
        <w:rPr>
          <w:b/>
        </w:rPr>
        <w:t>number and/or page number</w:t>
      </w:r>
      <w:r w:rsidR="00265702" w:rsidRPr="00363492">
        <w:t xml:space="preserve"> and </w:t>
      </w:r>
      <w:r w:rsidR="00C54E40" w:rsidRPr="00363492">
        <w:rPr>
          <w:b/>
        </w:rPr>
        <w:t>q</w:t>
      </w:r>
      <w:r w:rsidR="00265702" w:rsidRPr="00363492">
        <w:rPr>
          <w:b/>
        </w:rPr>
        <w:t>uote verbatim, the specific guideline recommendation</w:t>
      </w:r>
      <w:r w:rsidR="00FC32D3" w:rsidRPr="00363492">
        <w:t>.</w:t>
      </w:r>
    </w:p>
    <w:p w:rsidR="009C16E9" w:rsidRPr="00363492" w:rsidRDefault="009C16E9" w:rsidP="002E2177">
      <w:pPr>
        <w:ind w:left="0" w:firstLine="0"/>
        <w:rPr>
          <w:rFonts w:cs="Arial"/>
          <w:color w:val="FF0000"/>
        </w:rPr>
      </w:pPr>
    </w:p>
    <w:p w:rsidR="009C16E9" w:rsidRPr="00363492" w:rsidRDefault="009C16E9" w:rsidP="002E2177">
      <w:pPr>
        <w:ind w:left="0" w:firstLine="0"/>
        <w:rPr>
          <w:rFonts w:cs="Arial"/>
        </w:rPr>
      </w:pPr>
      <w:r w:rsidRPr="00363492">
        <w:rPr>
          <w:rFonts w:cs="Arial"/>
        </w:rPr>
        <w:t>(BEL = Best Evidence Level)</w:t>
      </w:r>
    </w:p>
    <w:p w:rsidR="00496AF8" w:rsidRPr="00363492" w:rsidRDefault="009C16E9" w:rsidP="002E2177">
      <w:pPr>
        <w:ind w:left="0" w:firstLine="0"/>
        <w:rPr>
          <w:rFonts w:cs="Arial"/>
        </w:rPr>
      </w:pPr>
      <w:r w:rsidRPr="00363492">
        <w:rPr>
          <w:rFonts w:cs="Arial"/>
          <w:b/>
          <w:bCs/>
        </w:rPr>
        <w:t>R2.</w:t>
      </w:r>
      <w:r w:rsidRPr="00363492">
        <w:rPr>
          <w:rFonts w:cs="Arial"/>
        </w:rPr>
        <w:t xml:space="preserve"> Maintain adequate vitamin D intake; supplement vitamin D, if needed, to maintain serum levels of 25-hydroxyvitamin D [25(OH</w:t>
      </w:r>
      <w:proofErr w:type="gramStart"/>
      <w:r w:rsidRPr="00363492">
        <w:rPr>
          <w:rFonts w:cs="Arial"/>
        </w:rPr>
        <w:t>)D</w:t>
      </w:r>
      <w:proofErr w:type="gramEnd"/>
      <w:r w:rsidRPr="00363492">
        <w:rPr>
          <w:rFonts w:cs="Arial"/>
        </w:rPr>
        <w:t>] between 30 and 60 ng/mL (</w:t>
      </w:r>
      <w:r w:rsidRPr="00363492">
        <w:rPr>
          <w:rFonts w:cs="Arial"/>
          <w:b/>
          <w:bCs/>
        </w:rPr>
        <w:t>Grade A; BEL 1</w:t>
      </w:r>
      <w:r w:rsidRPr="00363492">
        <w:rPr>
          <w:rFonts w:cs="Arial"/>
        </w:rPr>
        <w:t>).</w:t>
      </w:r>
    </w:p>
    <w:p w:rsidR="009C16E9" w:rsidRPr="00363492" w:rsidRDefault="009C16E9" w:rsidP="002E2177">
      <w:pPr>
        <w:ind w:left="0" w:firstLine="0"/>
        <w:rPr>
          <w:rFonts w:cs="Arial"/>
        </w:rPr>
      </w:pPr>
    </w:p>
    <w:p w:rsidR="009C16E9" w:rsidRPr="00363492" w:rsidRDefault="009C16E9" w:rsidP="002E2177">
      <w:pPr>
        <w:ind w:left="0" w:firstLine="0"/>
        <w:rPr>
          <w:rFonts w:cs="Arial"/>
        </w:rPr>
      </w:pPr>
      <w:r w:rsidRPr="00363492">
        <w:rPr>
          <w:rFonts w:cs="Arial"/>
          <w:b/>
          <w:bCs/>
        </w:rPr>
        <w:t>R10.</w:t>
      </w:r>
      <w:r w:rsidRPr="00363492">
        <w:rPr>
          <w:rFonts w:cs="Arial"/>
        </w:rPr>
        <w:t xml:space="preserve"> Take measures to reduce the risk of falling (</w:t>
      </w:r>
      <w:r w:rsidRPr="00363492">
        <w:rPr>
          <w:rFonts w:cs="Arial"/>
          <w:b/>
          <w:bCs/>
        </w:rPr>
        <w:t>Grade B; BEL 2</w:t>
      </w:r>
      <w:r w:rsidRPr="00363492">
        <w:rPr>
          <w:rFonts w:cs="Arial"/>
        </w:rPr>
        <w:t>).</w:t>
      </w:r>
    </w:p>
    <w:p w:rsidR="009C16E9" w:rsidRPr="00363492" w:rsidRDefault="009C16E9" w:rsidP="002E2177">
      <w:pPr>
        <w:ind w:left="0" w:firstLine="0"/>
        <w:rPr>
          <w:rFonts w:cs="Arial"/>
        </w:rPr>
      </w:pPr>
    </w:p>
    <w:p w:rsidR="009C16E9" w:rsidRPr="00363492" w:rsidRDefault="009C16E9" w:rsidP="002E2177">
      <w:pPr>
        <w:ind w:left="0" w:firstLine="0"/>
        <w:rPr>
          <w:rFonts w:cs="Arial"/>
        </w:rPr>
      </w:pPr>
      <w:r w:rsidRPr="00363492">
        <w:rPr>
          <w:rFonts w:cs="Arial"/>
          <w:b/>
          <w:bCs/>
        </w:rPr>
        <w:t>R16.</w:t>
      </w:r>
      <w:r w:rsidRPr="00363492">
        <w:rPr>
          <w:rFonts w:cs="Arial"/>
        </w:rPr>
        <w:t xml:space="preserve"> Osteoporosis is defined as the presence of a fracture of the hip or spine (see section 4.4.2 in the original guideline document) (in the absence of other bone conditions) (</w:t>
      </w:r>
      <w:r w:rsidRPr="00363492">
        <w:rPr>
          <w:rFonts w:cs="Arial"/>
          <w:b/>
          <w:bCs/>
        </w:rPr>
        <w:t>Grade B; BEL 3</w:t>
      </w:r>
      <w:r w:rsidRPr="00363492">
        <w:rPr>
          <w:rFonts w:cs="Arial"/>
        </w:rPr>
        <w:t>).</w:t>
      </w:r>
    </w:p>
    <w:p w:rsidR="009C16E9" w:rsidRPr="00363492" w:rsidRDefault="009C16E9" w:rsidP="002E2177">
      <w:pPr>
        <w:ind w:left="0" w:firstLine="0"/>
        <w:rPr>
          <w:rFonts w:cs="Arial"/>
        </w:rPr>
      </w:pPr>
    </w:p>
    <w:p w:rsidR="009C16E9" w:rsidRPr="00363492" w:rsidRDefault="009C16E9" w:rsidP="002E2177">
      <w:pPr>
        <w:ind w:left="0" w:firstLine="0"/>
        <w:rPr>
          <w:rFonts w:cs="Arial"/>
        </w:rPr>
      </w:pPr>
      <w:r w:rsidRPr="00363492">
        <w:rPr>
          <w:rFonts w:cs="Arial"/>
          <w:b/>
          <w:bCs/>
        </w:rPr>
        <w:t>R17.</w:t>
      </w:r>
      <w:r w:rsidRPr="00363492">
        <w:rPr>
          <w:rFonts w:cs="Arial"/>
        </w:rPr>
        <w:t xml:space="preserve"> Evaluate for secondary osteoporosis (</w:t>
      </w:r>
      <w:r w:rsidRPr="00363492">
        <w:rPr>
          <w:rFonts w:cs="Arial"/>
          <w:b/>
          <w:bCs/>
        </w:rPr>
        <w:t>Grade B; BEL 2</w:t>
      </w:r>
      <w:r w:rsidRPr="00363492">
        <w:rPr>
          <w:rFonts w:cs="Arial"/>
        </w:rPr>
        <w:t>).</w:t>
      </w:r>
    </w:p>
    <w:p w:rsidR="00496AF8" w:rsidRPr="00363492" w:rsidRDefault="00496AF8" w:rsidP="002E2177">
      <w:pPr>
        <w:ind w:left="0" w:firstLine="0"/>
      </w:pPr>
    </w:p>
    <w:p w:rsidR="008A45F3" w:rsidRPr="00363492" w:rsidRDefault="00B058A6" w:rsidP="00265702">
      <w:pPr>
        <w:ind w:left="0" w:firstLine="0"/>
      </w:pPr>
      <w:r w:rsidRPr="00363492">
        <w:rPr>
          <w:b/>
          <w:color w:val="0000FF"/>
        </w:rPr>
        <w:t>1</w:t>
      </w:r>
      <w:r w:rsidR="00773485" w:rsidRPr="00363492">
        <w:rPr>
          <w:b/>
          <w:color w:val="0000FF"/>
        </w:rPr>
        <w:t>a</w:t>
      </w:r>
      <w:r w:rsidRPr="00363492">
        <w:rPr>
          <w:b/>
          <w:color w:val="0000FF"/>
        </w:rPr>
        <w:t>.4</w:t>
      </w:r>
      <w:r w:rsidR="00265702" w:rsidRPr="00363492">
        <w:rPr>
          <w:b/>
          <w:color w:val="0000FF"/>
        </w:rPr>
        <w:t>.3</w:t>
      </w:r>
      <w:r w:rsidR="008B51D9" w:rsidRPr="00363492">
        <w:rPr>
          <w:b/>
          <w:color w:val="0000FF"/>
        </w:rPr>
        <w:t>.</w:t>
      </w:r>
      <w:r w:rsidR="008B51D9" w:rsidRPr="00363492">
        <w:rPr>
          <w:bCs/>
        </w:rPr>
        <w:t xml:space="preserve"> </w:t>
      </w:r>
      <w:r w:rsidR="00496AF8" w:rsidRPr="00363492">
        <w:rPr>
          <w:b/>
        </w:rPr>
        <w:t xml:space="preserve">Grade assigned to the </w:t>
      </w:r>
      <w:r w:rsidR="00736AEC" w:rsidRPr="00363492">
        <w:rPr>
          <w:b/>
        </w:rPr>
        <w:t xml:space="preserve">quoted </w:t>
      </w:r>
      <w:r w:rsidR="00496AF8" w:rsidRPr="00363492">
        <w:rPr>
          <w:b/>
        </w:rPr>
        <w:t xml:space="preserve">recommendation </w:t>
      </w:r>
      <w:r w:rsidR="00496AF8" w:rsidRPr="00363492">
        <w:rPr>
          <w:b/>
          <w:u w:val="single"/>
        </w:rPr>
        <w:t>with definition</w:t>
      </w:r>
      <w:r w:rsidR="00496AF8" w:rsidRPr="00363492">
        <w:rPr>
          <w:b/>
        </w:rPr>
        <w:t xml:space="preserve"> of the grade</w:t>
      </w:r>
      <w:r w:rsidR="00FC32D3" w:rsidRPr="00363492">
        <w:rPr>
          <w:b/>
        </w:rPr>
        <w:t>:</w:t>
      </w:r>
      <w:r w:rsidR="008A45F3" w:rsidRPr="00363492">
        <w:t xml:space="preserve"> </w:t>
      </w:r>
      <w:r w:rsidR="00496AF8" w:rsidRPr="00363492">
        <w:t xml:space="preserve"> </w:t>
      </w:r>
    </w:p>
    <w:p w:rsidR="009C16E9" w:rsidRPr="00363492" w:rsidRDefault="009C16E9" w:rsidP="00265702">
      <w:pPr>
        <w:ind w:left="0" w:firstLine="0"/>
      </w:pPr>
      <w:r w:rsidRPr="00363492">
        <w:t>Grade assigned appears above in 1a.4.2 for each recommendation.  Definition of grade is:</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265"/>
        <w:gridCol w:w="7363"/>
      </w:tblGrid>
      <w:tr w:rsidR="009C16E9" w:rsidRPr="00363492" w:rsidTr="009C3EBC">
        <w:trPr>
          <w:trHeight w:val="688"/>
          <w:tblHeade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9C16E9">
            <w:pPr>
              <w:spacing w:line="384" w:lineRule="auto"/>
              <w:ind w:left="0" w:firstLine="0"/>
              <w:jc w:val="center"/>
              <w:rPr>
                <w:rFonts w:eastAsia="Times New Roman" w:cs="Arial"/>
                <w:b/>
                <w:bCs/>
                <w:color w:val="333333"/>
              </w:rPr>
            </w:pPr>
            <w:r w:rsidRPr="00363492">
              <w:rPr>
                <w:rFonts w:eastAsia="Times New Roman" w:cs="Arial"/>
                <w:b/>
                <w:bCs/>
                <w:color w:val="333333"/>
              </w:rPr>
              <w:t>Recommendation Grade</w:t>
            </w:r>
          </w:p>
        </w:tc>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9C16E9">
            <w:pPr>
              <w:spacing w:line="384" w:lineRule="auto"/>
              <w:ind w:left="0" w:firstLine="0"/>
              <w:jc w:val="center"/>
              <w:rPr>
                <w:rFonts w:eastAsia="Times New Roman" w:cs="Arial"/>
                <w:b/>
                <w:bCs/>
                <w:color w:val="333333"/>
              </w:rPr>
            </w:pPr>
            <w:r w:rsidRPr="00363492">
              <w:rPr>
                <w:rFonts w:eastAsia="Times New Roman" w:cs="Arial"/>
                <w:b/>
                <w:bCs/>
                <w:color w:val="333333"/>
              </w:rPr>
              <w:t>Description</w:t>
            </w:r>
          </w:p>
        </w:tc>
      </w:tr>
      <w:tr w:rsidR="009C16E9" w:rsidRPr="00363492" w:rsidTr="00215296">
        <w:trPr>
          <w:trHeight w:val="1400"/>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9C16E9">
            <w:pPr>
              <w:spacing w:line="384" w:lineRule="auto"/>
              <w:ind w:left="0" w:firstLine="0"/>
              <w:jc w:val="center"/>
              <w:rPr>
                <w:rFonts w:eastAsia="Times New Roman" w:cs="Arial"/>
                <w:b/>
                <w:bCs/>
                <w:color w:val="333333"/>
              </w:rPr>
            </w:pPr>
            <w:r w:rsidRPr="00363492">
              <w:rPr>
                <w:rFonts w:eastAsia="Times New Roman" w:cs="Arial"/>
                <w:b/>
                <w:bCs/>
                <w:color w:val="333333"/>
              </w:rPr>
              <w:t>A</w:t>
            </w:r>
          </w:p>
        </w:tc>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0D721B">
            <w:pPr>
              <w:pStyle w:val="NoSpacing"/>
              <w:rPr>
                <w:rFonts w:cs="Arial"/>
              </w:rPr>
            </w:pPr>
            <w:r w:rsidRPr="00363492">
              <w:rPr>
                <w:rFonts w:cs="Arial"/>
              </w:rPr>
              <w:t>Homogeneous evidence from multiple well-designed randomized controlled trials with sufficient statistical power</w:t>
            </w:r>
          </w:p>
          <w:p w:rsidR="009C16E9" w:rsidRPr="00363492" w:rsidRDefault="009C16E9" w:rsidP="000D721B">
            <w:pPr>
              <w:pStyle w:val="NoSpacing"/>
              <w:rPr>
                <w:rFonts w:cs="Arial"/>
              </w:rPr>
            </w:pPr>
            <w:r w:rsidRPr="00363492">
              <w:rPr>
                <w:rFonts w:cs="Arial"/>
              </w:rPr>
              <w:t>Homogeneous evidence from multiple well-designed cohort controlled trials with sufficient statistical power</w:t>
            </w:r>
          </w:p>
          <w:p w:rsidR="009C16E9" w:rsidRPr="00363492" w:rsidRDefault="009C16E9" w:rsidP="000D721B">
            <w:pPr>
              <w:pStyle w:val="NoSpacing"/>
              <w:rPr>
                <w:rFonts w:cs="Arial"/>
              </w:rPr>
            </w:pPr>
            <w:r w:rsidRPr="00363492">
              <w:rPr>
                <w:rFonts w:cs="Arial"/>
              </w:rPr>
              <w:t>≥1 conclusive level 1 publications demonstrating benefit &gt;&gt; risk</w:t>
            </w:r>
          </w:p>
        </w:tc>
      </w:tr>
      <w:tr w:rsidR="009C16E9" w:rsidRPr="00363492" w:rsidTr="009C16E9">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9C16E9">
            <w:pPr>
              <w:spacing w:line="384" w:lineRule="auto"/>
              <w:ind w:left="0" w:firstLine="0"/>
              <w:jc w:val="center"/>
              <w:rPr>
                <w:rFonts w:eastAsia="Times New Roman" w:cs="Arial"/>
                <w:b/>
                <w:bCs/>
                <w:color w:val="333333"/>
              </w:rPr>
            </w:pPr>
            <w:r w:rsidRPr="00363492">
              <w:rPr>
                <w:rFonts w:eastAsia="Times New Roman" w:cs="Arial"/>
                <w:b/>
                <w:bCs/>
                <w:color w:val="333333"/>
              </w:rPr>
              <w:t>B</w:t>
            </w:r>
          </w:p>
        </w:tc>
        <w:tc>
          <w:tcPr>
            <w:tcW w:w="0" w:type="auto"/>
            <w:tcBorders>
              <w:top w:val="outset" w:sz="6" w:space="0" w:color="auto"/>
              <w:left w:val="outset" w:sz="6" w:space="0" w:color="auto"/>
              <w:bottom w:val="outset" w:sz="6" w:space="0" w:color="auto"/>
              <w:right w:val="outset" w:sz="6" w:space="0" w:color="auto"/>
            </w:tcBorders>
            <w:hideMark/>
          </w:tcPr>
          <w:p w:rsidR="009C16E9" w:rsidRPr="00363492" w:rsidRDefault="009C16E9" w:rsidP="000D721B">
            <w:pPr>
              <w:pStyle w:val="NoSpacing"/>
              <w:rPr>
                <w:rFonts w:cs="Arial"/>
              </w:rPr>
            </w:pPr>
            <w:r w:rsidRPr="00363492">
              <w:rPr>
                <w:rFonts w:cs="Arial"/>
              </w:rPr>
              <w:t>Evidence from at least 1 large well-designed clinical trial, cohort or case-controlled analytic study, or meta-analysis</w:t>
            </w:r>
          </w:p>
          <w:p w:rsidR="009C16E9" w:rsidRPr="00363492" w:rsidRDefault="009C16E9" w:rsidP="000D721B">
            <w:pPr>
              <w:pStyle w:val="NoSpacing"/>
              <w:rPr>
                <w:rFonts w:cs="Arial"/>
              </w:rPr>
            </w:pPr>
            <w:r w:rsidRPr="00363492">
              <w:rPr>
                <w:rFonts w:cs="Arial"/>
              </w:rPr>
              <w:t>No conclusive level 1 publication; ≥1 conclusive level 2 publications demonstrating benefit &gt;&gt; risk</w:t>
            </w:r>
          </w:p>
        </w:tc>
      </w:tr>
    </w:tbl>
    <w:p w:rsidR="008A45F3" w:rsidRPr="00363492" w:rsidRDefault="008A45F3" w:rsidP="00265702">
      <w:pPr>
        <w:ind w:left="0" w:firstLine="0"/>
      </w:pPr>
    </w:p>
    <w:p w:rsidR="00265702" w:rsidRPr="00363492" w:rsidRDefault="00965FF6" w:rsidP="00265702">
      <w:pPr>
        <w:ind w:left="0" w:firstLine="0"/>
      </w:pPr>
      <w:r w:rsidRPr="00363492">
        <w:rPr>
          <w:b/>
          <w:color w:val="0000FF"/>
        </w:rPr>
        <w:t>1a.4.4.</w:t>
      </w:r>
      <w:r w:rsidRPr="00363492">
        <w:rPr>
          <w:b/>
          <w:color w:val="17365D" w:themeColor="text2" w:themeShade="BF"/>
        </w:rPr>
        <w:t xml:space="preserve"> </w:t>
      </w:r>
      <w:proofErr w:type="gramStart"/>
      <w:r w:rsidR="00C54E40" w:rsidRPr="00363492">
        <w:rPr>
          <w:b/>
        </w:rPr>
        <w:t>Provide</w:t>
      </w:r>
      <w:proofErr w:type="gramEnd"/>
      <w:r w:rsidR="00C54E40" w:rsidRPr="00363492">
        <w:rPr>
          <w:b/>
        </w:rPr>
        <w:t xml:space="preserve"> all other grades and associated definitions for recommendation</w:t>
      </w:r>
      <w:r w:rsidR="00205857" w:rsidRPr="00363492">
        <w:rPr>
          <w:b/>
        </w:rPr>
        <w:t>s</w:t>
      </w:r>
      <w:r w:rsidR="00C54E40" w:rsidRPr="00363492">
        <w:rPr>
          <w:b/>
        </w:rPr>
        <w:t xml:space="preserve"> in the grading system.</w:t>
      </w:r>
      <w:r w:rsidR="00FC32D3" w:rsidRPr="00363492">
        <w:rPr>
          <w:b/>
        </w:rPr>
        <w:t xml:space="preserve"> </w:t>
      </w:r>
      <w:r w:rsidR="007573F0" w:rsidRPr="00363492">
        <w:rPr>
          <w:b/>
        </w:rPr>
        <w:t xml:space="preserve"> </w:t>
      </w:r>
      <w:r w:rsidR="007573F0" w:rsidRPr="00363492">
        <w:t>(</w:t>
      </w:r>
      <w:r w:rsidR="008A45F3" w:rsidRPr="00363492">
        <w:rPr>
          <w:i/>
        </w:rPr>
        <w:t xml:space="preserve">Note: </w:t>
      </w:r>
      <w:r w:rsidR="00352B52" w:rsidRPr="00363492">
        <w:rPr>
          <w:i/>
        </w:rPr>
        <w:t xml:space="preserve">If separate </w:t>
      </w:r>
      <w:r w:rsidRPr="00363492">
        <w:rPr>
          <w:i/>
        </w:rPr>
        <w:t>g</w:t>
      </w:r>
      <w:r w:rsidR="00352B52" w:rsidRPr="00363492">
        <w:rPr>
          <w:i/>
        </w:rPr>
        <w:t xml:space="preserve">rades </w:t>
      </w:r>
      <w:r w:rsidR="00030F43" w:rsidRPr="00363492">
        <w:rPr>
          <w:i/>
        </w:rPr>
        <w:t xml:space="preserve">for the </w:t>
      </w:r>
      <w:r w:rsidR="00352B52" w:rsidRPr="00363492">
        <w:rPr>
          <w:i/>
        </w:rPr>
        <w:t xml:space="preserve">strength of the </w:t>
      </w:r>
      <w:r w:rsidR="00030F43" w:rsidRPr="00363492">
        <w:rPr>
          <w:i/>
        </w:rPr>
        <w:t>evidence</w:t>
      </w:r>
      <w:r w:rsidR="00352B52" w:rsidRPr="00363492">
        <w:rPr>
          <w:i/>
        </w:rPr>
        <w:t xml:space="preserve">, report </w:t>
      </w:r>
      <w:r w:rsidR="00205857" w:rsidRPr="00363492">
        <w:rPr>
          <w:i/>
        </w:rPr>
        <w:t xml:space="preserve">them </w:t>
      </w:r>
      <w:r w:rsidR="00030F43" w:rsidRPr="00363492">
        <w:rPr>
          <w:i/>
        </w:rPr>
        <w:t>in section 1a.7.</w:t>
      </w:r>
      <w:r w:rsidR="00030F43" w:rsidRPr="00363492">
        <w:t>)</w:t>
      </w:r>
      <w:r w:rsidRPr="00363492">
        <w:t xml:space="preserve"> </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564"/>
        <w:gridCol w:w="7064"/>
      </w:tblGrid>
      <w:tr w:rsidR="009C3EBC" w:rsidRPr="00363492" w:rsidTr="00556443">
        <w:trPr>
          <w:tblCellSpacing w:w="22" w:type="dxa"/>
        </w:trPr>
        <w:tc>
          <w:tcPr>
            <w:tcW w:w="2498" w:type="dxa"/>
            <w:tcBorders>
              <w:top w:val="outset" w:sz="6" w:space="0" w:color="auto"/>
              <w:left w:val="outset" w:sz="6" w:space="0" w:color="auto"/>
              <w:bottom w:val="outset" w:sz="6" w:space="0" w:color="auto"/>
              <w:right w:val="outset" w:sz="6" w:space="0" w:color="auto"/>
            </w:tcBorders>
            <w:hideMark/>
          </w:tcPr>
          <w:p w:rsidR="009C3EBC" w:rsidRPr="00363492" w:rsidRDefault="009C3EBC" w:rsidP="009C3EBC">
            <w:pPr>
              <w:spacing w:line="384" w:lineRule="auto"/>
              <w:ind w:left="0" w:firstLine="0"/>
              <w:jc w:val="center"/>
              <w:rPr>
                <w:rFonts w:eastAsia="Times New Roman" w:cs="Arial"/>
                <w:b/>
                <w:bCs/>
                <w:color w:val="333333"/>
              </w:rPr>
            </w:pPr>
            <w:r w:rsidRPr="00363492">
              <w:rPr>
                <w:rFonts w:eastAsia="Times New Roman" w:cs="Arial"/>
                <w:b/>
                <w:bCs/>
                <w:color w:val="333333"/>
              </w:rPr>
              <w:t>C</w:t>
            </w:r>
          </w:p>
        </w:tc>
        <w:tc>
          <w:tcPr>
            <w:tcW w:w="6998" w:type="dxa"/>
            <w:tcBorders>
              <w:top w:val="outset" w:sz="6" w:space="0" w:color="auto"/>
              <w:left w:val="outset" w:sz="6" w:space="0" w:color="auto"/>
              <w:bottom w:val="outset" w:sz="6" w:space="0" w:color="auto"/>
              <w:right w:val="outset" w:sz="6" w:space="0" w:color="auto"/>
            </w:tcBorders>
            <w:hideMark/>
          </w:tcPr>
          <w:p w:rsidR="009C3EBC" w:rsidRPr="00363492" w:rsidRDefault="009C3EBC" w:rsidP="000D721B">
            <w:pPr>
              <w:pStyle w:val="NoSpacing"/>
              <w:rPr>
                <w:rFonts w:cs="Arial"/>
              </w:rPr>
            </w:pPr>
            <w:r w:rsidRPr="00363492">
              <w:rPr>
                <w:rFonts w:cs="Arial"/>
              </w:rPr>
              <w:t>Evidence based on clinical experience, descriptive studies, or expert consensus opinion</w:t>
            </w:r>
          </w:p>
          <w:p w:rsidR="009C3EBC" w:rsidRPr="00363492" w:rsidRDefault="009C3EBC" w:rsidP="000D721B">
            <w:pPr>
              <w:pStyle w:val="NoSpacing"/>
              <w:rPr>
                <w:rFonts w:cs="Arial"/>
              </w:rPr>
            </w:pPr>
            <w:r w:rsidRPr="00363492">
              <w:rPr>
                <w:rFonts w:cs="Arial"/>
              </w:rPr>
              <w:t>No conclusive level 1 or 2 publications; ≥1 conclusive level 3 publications demonstrating benefit &gt;&gt; risk</w:t>
            </w:r>
          </w:p>
          <w:p w:rsidR="009C3EBC" w:rsidRPr="00363492" w:rsidRDefault="009C3EBC" w:rsidP="000D721B">
            <w:pPr>
              <w:pStyle w:val="NoSpacing"/>
            </w:pPr>
            <w:r w:rsidRPr="00363492">
              <w:rPr>
                <w:rFonts w:cs="Arial"/>
              </w:rPr>
              <w:t>No conclusive risk at all and no conclusive benefit demonstrated by evidence</w:t>
            </w:r>
          </w:p>
        </w:tc>
      </w:tr>
      <w:tr w:rsidR="009C3EBC" w:rsidRPr="00363492" w:rsidTr="00556443">
        <w:trPr>
          <w:tblCellSpacing w:w="22" w:type="dxa"/>
        </w:trPr>
        <w:tc>
          <w:tcPr>
            <w:tcW w:w="2498" w:type="dxa"/>
            <w:tcBorders>
              <w:top w:val="outset" w:sz="6" w:space="0" w:color="auto"/>
              <w:left w:val="outset" w:sz="6" w:space="0" w:color="auto"/>
              <w:bottom w:val="outset" w:sz="6" w:space="0" w:color="auto"/>
              <w:right w:val="outset" w:sz="6" w:space="0" w:color="auto"/>
            </w:tcBorders>
            <w:hideMark/>
          </w:tcPr>
          <w:p w:rsidR="009C3EBC" w:rsidRPr="00363492" w:rsidRDefault="00556443" w:rsidP="000D721B">
            <w:pPr>
              <w:pStyle w:val="NoSpacing"/>
              <w:rPr>
                <w:rFonts w:cs="Arial"/>
              </w:rPr>
            </w:pPr>
            <w:r w:rsidRPr="00363492">
              <w:rPr>
                <w:rFonts w:cs="Arial"/>
              </w:rPr>
              <w:t xml:space="preserve">                  </w:t>
            </w:r>
            <w:r w:rsidR="009C3EBC" w:rsidRPr="00363492">
              <w:rPr>
                <w:rFonts w:cs="Arial"/>
              </w:rPr>
              <w:t>D</w:t>
            </w:r>
          </w:p>
        </w:tc>
        <w:tc>
          <w:tcPr>
            <w:tcW w:w="6998" w:type="dxa"/>
            <w:tcBorders>
              <w:top w:val="outset" w:sz="6" w:space="0" w:color="auto"/>
              <w:left w:val="outset" w:sz="6" w:space="0" w:color="auto"/>
              <w:bottom w:val="outset" w:sz="6" w:space="0" w:color="auto"/>
              <w:right w:val="outset" w:sz="6" w:space="0" w:color="auto"/>
            </w:tcBorders>
            <w:hideMark/>
          </w:tcPr>
          <w:p w:rsidR="000D721B" w:rsidRPr="00363492" w:rsidRDefault="009C3EBC" w:rsidP="000D721B">
            <w:pPr>
              <w:pStyle w:val="NoSpacing"/>
              <w:rPr>
                <w:rFonts w:cs="Arial"/>
              </w:rPr>
            </w:pPr>
            <w:r w:rsidRPr="00363492">
              <w:rPr>
                <w:rFonts w:cs="Arial"/>
              </w:rPr>
              <w:t>Not rated</w:t>
            </w:r>
          </w:p>
          <w:p w:rsidR="009C3EBC" w:rsidRPr="00363492" w:rsidRDefault="009C3EBC" w:rsidP="000D721B">
            <w:pPr>
              <w:pStyle w:val="NoSpacing"/>
              <w:rPr>
                <w:rFonts w:cs="Arial"/>
              </w:rPr>
            </w:pPr>
            <w:r w:rsidRPr="00363492">
              <w:rPr>
                <w:rFonts w:cs="Arial"/>
              </w:rPr>
              <w:t>No conclusive level 1, 2, or 3 publication demonstrating benefit &gt;&gt; risk</w:t>
            </w:r>
          </w:p>
          <w:p w:rsidR="009C3EBC" w:rsidRPr="00363492" w:rsidRDefault="009C3EBC" w:rsidP="000D721B">
            <w:pPr>
              <w:pStyle w:val="NoSpacing"/>
              <w:rPr>
                <w:rFonts w:cs="Arial"/>
              </w:rPr>
            </w:pPr>
            <w:r w:rsidRPr="00363492">
              <w:rPr>
                <w:rFonts w:cs="Arial"/>
              </w:rPr>
              <w:t>Conclusive level 1, 2, or 3 publication demonstrating risk &gt;&gt; benefit</w:t>
            </w:r>
          </w:p>
        </w:tc>
      </w:tr>
    </w:tbl>
    <w:p w:rsidR="00850C35" w:rsidRPr="00363492" w:rsidRDefault="00850C35" w:rsidP="00265702">
      <w:pPr>
        <w:ind w:left="0" w:firstLine="0"/>
        <w:rPr>
          <w:b/>
        </w:rPr>
      </w:pPr>
    </w:p>
    <w:p w:rsidR="00A12762" w:rsidRPr="00363492" w:rsidRDefault="00776F6D" w:rsidP="002E2177">
      <w:pPr>
        <w:ind w:left="432" w:hanging="432"/>
        <w:rPr>
          <w:b/>
        </w:rPr>
      </w:pPr>
      <w:r w:rsidRPr="00363492">
        <w:rPr>
          <w:b/>
          <w:color w:val="0000FF"/>
        </w:rPr>
        <w:lastRenderedPageBreak/>
        <w:t>1a.4.5</w:t>
      </w:r>
      <w:r w:rsidR="00A12762" w:rsidRPr="00363492">
        <w:rPr>
          <w:b/>
          <w:color w:val="0000FF"/>
        </w:rPr>
        <w:t>.</w:t>
      </w:r>
      <w:r w:rsidR="00A12762" w:rsidRPr="00363492">
        <w:rPr>
          <w:b/>
          <w:color w:val="17365D" w:themeColor="text2" w:themeShade="BF"/>
        </w:rPr>
        <w:t xml:space="preserve"> </w:t>
      </w:r>
      <w:r w:rsidR="00030F43" w:rsidRPr="00363492">
        <w:rPr>
          <w:b/>
        </w:rPr>
        <w:t xml:space="preserve">Citation and </w:t>
      </w:r>
      <w:r w:rsidR="00A12762" w:rsidRPr="00363492">
        <w:rPr>
          <w:b/>
        </w:rPr>
        <w:t>URL for methodology for grading</w:t>
      </w:r>
      <w:r w:rsidR="00965FF6" w:rsidRPr="00363492">
        <w:rPr>
          <w:b/>
        </w:rPr>
        <w:t xml:space="preserve"> recommendati</w:t>
      </w:r>
      <w:r w:rsidRPr="00363492">
        <w:rPr>
          <w:b/>
        </w:rPr>
        <w:t>o</w:t>
      </w:r>
      <w:r w:rsidR="00965FF6" w:rsidRPr="00363492">
        <w:rPr>
          <w:b/>
        </w:rPr>
        <w:t>ns</w:t>
      </w:r>
      <w:r w:rsidR="00A12762" w:rsidRPr="00363492">
        <w:rPr>
          <w:b/>
        </w:rPr>
        <w:t xml:space="preserve"> </w:t>
      </w:r>
      <w:r w:rsidR="00A12762" w:rsidRPr="00363492">
        <w:t>(</w:t>
      </w:r>
      <w:r w:rsidR="00A12762" w:rsidRPr="00363492">
        <w:rPr>
          <w:i/>
        </w:rPr>
        <w:t xml:space="preserve">if </w:t>
      </w:r>
      <w:r w:rsidR="00AD79C8" w:rsidRPr="00363492">
        <w:rPr>
          <w:i/>
        </w:rPr>
        <w:t>different from 1a.4.</w:t>
      </w:r>
      <w:r w:rsidR="00030F43" w:rsidRPr="00363492">
        <w:rPr>
          <w:i/>
        </w:rPr>
        <w:t>1</w:t>
      </w:r>
      <w:r w:rsidR="00A12762" w:rsidRPr="00363492">
        <w:t>)</w:t>
      </w:r>
      <w:r w:rsidRPr="00363492">
        <w:rPr>
          <w:b/>
        </w:rPr>
        <w:t>:</w:t>
      </w:r>
    </w:p>
    <w:p w:rsidR="00736AEC" w:rsidRPr="00363492" w:rsidRDefault="00736AEC" w:rsidP="002E2177">
      <w:pPr>
        <w:ind w:left="432" w:hanging="432"/>
        <w:rPr>
          <w:color w:val="0000FF"/>
        </w:rPr>
      </w:pPr>
    </w:p>
    <w:p w:rsidR="00736AEC" w:rsidRPr="00363492" w:rsidRDefault="00736AEC" w:rsidP="002E2177">
      <w:pPr>
        <w:ind w:left="432" w:hanging="432"/>
        <w:rPr>
          <w:b/>
        </w:rPr>
      </w:pPr>
      <w:r w:rsidRPr="00363492">
        <w:rPr>
          <w:b/>
          <w:color w:val="0000FF"/>
        </w:rPr>
        <w:t>1</w:t>
      </w:r>
      <w:r w:rsidR="00773485" w:rsidRPr="00363492">
        <w:rPr>
          <w:b/>
          <w:color w:val="0000FF"/>
        </w:rPr>
        <w:t>a</w:t>
      </w:r>
      <w:r w:rsidRPr="00363492">
        <w:rPr>
          <w:b/>
          <w:color w:val="0000FF"/>
        </w:rPr>
        <w:t>.4.</w:t>
      </w:r>
      <w:r w:rsidR="00776F6D" w:rsidRPr="00363492">
        <w:rPr>
          <w:b/>
          <w:color w:val="0000FF"/>
        </w:rPr>
        <w:t>6</w:t>
      </w:r>
      <w:r w:rsidR="00CB06C9" w:rsidRPr="00363492">
        <w:rPr>
          <w:b/>
        </w:rPr>
        <w:t>.</w:t>
      </w:r>
      <w:r w:rsidRPr="00363492">
        <w:rPr>
          <w:b/>
        </w:rPr>
        <w:t xml:space="preserve"> </w:t>
      </w:r>
      <w:r w:rsidR="00162036" w:rsidRPr="00363492">
        <w:rPr>
          <w:b/>
        </w:rPr>
        <w:t>If guideline is evidence-based (rather than expert opinion), a</w:t>
      </w:r>
      <w:r w:rsidRPr="00363492">
        <w:rPr>
          <w:b/>
        </w:rPr>
        <w:t xml:space="preserve">re the details of </w:t>
      </w:r>
      <w:r w:rsidR="00162036" w:rsidRPr="00363492">
        <w:rPr>
          <w:b/>
        </w:rPr>
        <w:t xml:space="preserve">the </w:t>
      </w:r>
      <w:r w:rsidRPr="00363492">
        <w:rPr>
          <w:b/>
        </w:rPr>
        <w:t>quantity, quality, and consistency of the body of evidence available</w:t>
      </w:r>
      <w:r w:rsidR="00162036" w:rsidRPr="00363492">
        <w:rPr>
          <w:b/>
        </w:rPr>
        <w:t xml:space="preserve"> (e.g., evidence tables)</w:t>
      </w:r>
      <w:r w:rsidRPr="00363492">
        <w:rPr>
          <w:b/>
        </w:rPr>
        <w:t>?</w:t>
      </w:r>
    </w:p>
    <w:p w:rsidR="00FC32D3" w:rsidRPr="00363492" w:rsidRDefault="00262A46" w:rsidP="00FC32D3">
      <w:pPr>
        <w:ind w:left="720" w:hanging="432"/>
        <w:rPr>
          <w:b/>
        </w:rPr>
      </w:pPr>
      <w:sdt>
        <w:sdtPr>
          <w:rPr>
            <w:bCs/>
            <w:color w:val="0000FF"/>
          </w:rPr>
          <w:id w:val="-1346319738"/>
        </w:sdtPr>
        <w:sdtContent>
          <w:r w:rsidR="00B303F0" w:rsidRPr="00566A29">
            <w:rPr>
              <w:bCs/>
              <w:color w:val="0000FF"/>
              <w:highlight w:val="yellow"/>
            </w:rPr>
            <w:t xml:space="preserve">X </w:t>
          </w:r>
          <w:r w:rsidR="00FC32D3" w:rsidRPr="00566A29">
            <w:rPr>
              <w:rFonts w:eastAsia="MS Gothic" w:hAnsi="MS Gothic"/>
              <w:bCs/>
              <w:color w:val="0000FF"/>
              <w:highlight w:val="yellow"/>
            </w:rPr>
            <w:t>☐</w:t>
          </w:r>
        </w:sdtContent>
      </w:sdt>
      <w:r w:rsidR="00FC32D3" w:rsidRPr="00363492">
        <w:rPr>
          <w:b/>
        </w:rPr>
        <w:t xml:space="preserve"> </w:t>
      </w:r>
      <w:r w:rsidR="00FC32D3" w:rsidRPr="00363492">
        <w:t>Yes</w:t>
      </w:r>
      <w:r w:rsidR="00FC32D3" w:rsidRPr="00363492">
        <w:rPr>
          <w:b/>
        </w:rPr>
        <w:t xml:space="preserve"> </w:t>
      </w:r>
      <w:r w:rsidR="00FC32D3" w:rsidRPr="00363492">
        <w:rPr>
          <w:rFonts w:cstheme="minorHAnsi"/>
          <w:b/>
          <w:highlight w:val="green"/>
        </w:rPr>
        <w:t>→</w:t>
      </w:r>
      <w:r w:rsidR="00FC32D3" w:rsidRPr="00363492">
        <w:rPr>
          <w:b/>
          <w:highlight w:val="green"/>
        </w:rPr>
        <w:t xml:space="preserve"> </w:t>
      </w:r>
      <w:r w:rsidR="00FC32D3" w:rsidRPr="00363492">
        <w:rPr>
          <w:b/>
          <w:i/>
          <w:highlight w:val="green"/>
        </w:rPr>
        <w:t xml:space="preserve">complete section </w:t>
      </w:r>
      <w:hyperlink w:anchor="Section1a7" w:history="1">
        <w:r w:rsidR="00FC32D3" w:rsidRPr="00363492">
          <w:rPr>
            <w:rStyle w:val="Hyperlink"/>
            <w:b/>
            <w:i/>
            <w:highlight w:val="green"/>
          </w:rPr>
          <w:t>1a.7</w:t>
        </w:r>
      </w:hyperlink>
    </w:p>
    <w:p w:rsidR="00EE5AF6" w:rsidRPr="00C05033" w:rsidRDefault="00262A46" w:rsidP="00C05033">
      <w:pPr>
        <w:ind w:left="1008" w:hanging="720"/>
      </w:pPr>
      <w:sdt>
        <w:sdtPr>
          <w:rPr>
            <w:bCs/>
            <w:color w:val="0000FF"/>
            <w:u w:val="single"/>
          </w:rPr>
          <w:id w:val="777454248"/>
        </w:sdtPr>
        <w:sdtContent>
          <w:r w:rsidR="00FC32D3" w:rsidRPr="00363492">
            <w:rPr>
              <w:rFonts w:eastAsia="MS Gothic" w:hAnsi="MS Gothic"/>
              <w:bCs/>
              <w:color w:val="0000FF"/>
            </w:rPr>
            <w:t>☐</w:t>
          </w:r>
        </w:sdtContent>
      </w:sdt>
      <w:r w:rsidR="00736AEC" w:rsidRPr="00363492">
        <w:rPr>
          <w:b/>
        </w:rPr>
        <w:t xml:space="preserve"> </w:t>
      </w:r>
      <w:proofErr w:type="gramStart"/>
      <w:r w:rsidR="00736AEC" w:rsidRPr="00363492">
        <w:t>No</w:t>
      </w:r>
      <w:r w:rsidR="00307FA5" w:rsidRPr="00363492">
        <w:t xml:space="preserve">  </w:t>
      </w:r>
      <w:r w:rsidR="007C1887" w:rsidRPr="00363492">
        <w:rPr>
          <w:rFonts w:cstheme="minorHAnsi"/>
          <w:b/>
          <w:highlight w:val="green"/>
        </w:rPr>
        <w:t>→</w:t>
      </w:r>
      <w:proofErr w:type="gramEnd"/>
      <w:r w:rsidR="0087564A" w:rsidRPr="00363492">
        <w:rPr>
          <w:rFonts w:cstheme="minorHAnsi"/>
          <w:b/>
          <w:highlight w:val="green"/>
        </w:rPr>
        <w:t xml:space="preserve"> </w:t>
      </w:r>
      <w:r w:rsidR="0087564A" w:rsidRPr="00363492">
        <w:rPr>
          <w:rStyle w:val="Hyperlink"/>
          <w:b/>
          <w:i/>
          <w:color w:val="auto"/>
          <w:highlight w:val="green"/>
          <w:u w:val="none"/>
        </w:rPr>
        <w:t>report on another systematic review</w:t>
      </w:r>
      <w:r w:rsidR="00701CC3" w:rsidRPr="00363492">
        <w:rPr>
          <w:rStyle w:val="Hyperlink"/>
          <w:b/>
          <w:i/>
          <w:color w:val="auto"/>
          <w:highlight w:val="green"/>
          <w:u w:val="none"/>
        </w:rPr>
        <w:t xml:space="preserve"> of the evidence</w:t>
      </w:r>
      <w:r w:rsidR="0087564A" w:rsidRPr="00363492">
        <w:rPr>
          <w:rStyle w:val="Hyperlink"/>
          <w:b/>
          <w:i/>
          <w:color w:val="auto"/>
          <w:highlight w:val="green"/>
          <w:u w:val="none"/>
        </w:rPr>
        <w:t xml:space="preserve"> in</w:t>
      </w:r>
      <w:r w:rsidR="0098657F" w:rsidRPr="00363492">
        <w:rPr>
          <w:rStyle w:val="Hyperlink"/>
          <w:b/>
          <w:i/>
          <w:color w:val="auto"/>
          <w:highlight w:val="green"/>
          <w:u w:val="none"/>
        </w:rPr>
        <w:t xml:space="preserve"> sections</w:t>
      </w:r>
      <w:r w:rsidR="0087564A" w:rsidRPr="00363492">
        <w:rPr>
          <w:rStyle w:val="Hyperlink"/>
          <w:b/>
          <w:i/>
          <w:color w:val="auto"/>
          <w:highlight w:val="green"/>
          <w:u w:val="none"/>
        </w:rPr>
        <w:t xml:space="preserve"> </w:t>
      </w:r>
      <w:hyperlink w:anchor="Section1a6" w:history="1">
        <w:r w:rsidR="0087564A" w:rsidRPr="00363492">
          <w:rPr>
            <w:rStyle w:val="Hyperlink"/>
            <w:b/>
            <w:i/>
            <w:highlight w:val="green"/>
          </w:rPr>
          <w:t>1a.6</w:t>
        </w:r>
      </w:hyperlink>
      <w:r w:rsidR="0087564A" w:rsidRPr="00363492">
        <w:rPr>
          <w:rStyle w:val="Hyperlink"/>
          <w:b/>
          <w:i/>
          <w:color w:val="auto"/>
          <w:highlight w:val="green"/>
          <w:u w:val="none"/>
        </w:rPr>
        <w:t xml:space="preserve"> and </w:t>
      </w:r>
      <w:hyperlink w:anchor="Section1a7" w:history="1">
        <w:r w:rsidR="0087564A" w:rsidRPr="00363492">
          <w:rPr>
            <w:rStyle w:val="Hyperlink"/>
            <w:b/>
            <w:i/>
            <w:highlight w:val="green"/>
          </w:rPr>
          <w:t>1a.7</w:t>
        </w:r>
      </w:hyperlink>
      <w:r w:rsidR="00701CC3" w:rsidRPr="00363492">
        <w:rPr>
          <w:rStyle w:val="Hyperlink"/>
          <w:b/>
          <w:i/>
          <w:color w:val="auto"/>
          <w:highlight w:val="green"/>
          <w:u w:val="none"/>
        </w:rPr>
        <w:t>;</w:t>
      </w:r>
      <w:r w:rsidR="0087564A" w:rsidRPr="00363492">
        <w:rPr>
          <w:rStyle w:val="Hyperlink"/>
          <w:b/>
          <w:i/>
          <w:color w:val="auto"/>
          <w:highlight w:val="green"/>
          <w:u w:val="none"/>
        </w:rPr>
        <w:t xml:space="preserve"> </w:t>
      </w:r>
      <w:r w:rsidR="00B74629" w:rsidRPr="00363492">
        <w:rPr>
          <w:rStyle w:val="Hyperlink"/>
          <w:b/>
          <w:i/>
          <w:color w:val="auto"/>
          <w:highlight w:val="green"/>
          <w:u w:val="none"/>
        </w:rPr>
        <w:t xml:space="preserve">if </w:t>
      </w:r>
      <w:r w:rsidR="00063601" w:rsidRPr="00363492">
        <w:rPr>
          <w:rStyle w:val="Hyperlink"/>
          <w:b/>
          <w:i/>
          <w:color w:val="auto"/>
          <w:highlight w:val="green"/>
          <w:u w:val="none"/>
        </w:rPr>
        <w:t xml:space="preserve">another review </w:t>
      </w:r>
      <w:r w:rsidR="00B74629" w:rsidRPr="00363492">
        <w:rPr>
          <w:rStyle w:val="Hyperlink"/>
          <w:b/>
          <w:i/>
          <w:color w:val="auto"/>
          <w:highlight w:val="green"/>
          <w:u w:val="none"/>
        </w:rPr>
        <w:t xml:space="preserve">does not exist, </w:t>
      </w:r>
      <w:r w:rsidR="00923295" w:rsidRPr="00363492">
        <w:rPr>
          <w:rFonts w:cstheme="minorHAnsi"/>
          <w:b/>
          <w:i/>
          <w:highlight w:val="green"/>
        </w:rPr>
        <w:t xml:space="preserve">provide what is known </w:t>
      </w:r>
      <w:r w:rsidR="00701CC3" w:rsidRPr="00363492">
        <w:rPr>
          <w:rFonts w:cstheme="minorHAnsi"/>
          <w:b/>
          <w:i/>
          <w:highlight w:val="green"/>
        </w:rPr>
        <w:t xml:space="preserve">from the guideline review of evidence </w:t>
      </w:r>
      <w:r w:rsidR="00923295" w:rsidRPr="00363492">
        <w:rPr>
          <w:rFonts w:cstheme="minorHAnsi"/>
          <w:b/>
          <w:i/>
          <w:highlight w:val="green"/>
        </w:rPr>
        <w:t xml:space="preserve">in </w:t>
      </w:r>
      <w:hyperlink w:anchor="Section1a7" w:history="1">
        <w:r w:rsidR="009477D6" w:rsidRPr="00363492">
          <w:rPr>
            <w:rStyle w:val="Hyperlink"/>
            <w:b/>
            <w:i/>
            <w:highlight w:val="green"/>
          </w:rPr>
          <w:t>1a.7</w:t>
        </w:r>
      </w:hyperlink>
    </w:p>
    <w:p w:rsidR="00EE5AF6" w:rsidRPr="00363492" w:rsidRDefault="00EE5AF6" w:rsidP="00307FA5">
      <w:pPr>
        <w:ind w:left="0" w:firstLine="0"/>
        <w:rPr>
          <w:color w:val="0000FF"/>
        </w:rPr>
      </w:pPr>
      <w:bookmarkStart w:id="8" w:name="Section1a5"/>
      <w:bookmarkEnd w:id="8"/>
      <w:r w:rsidRPr="00363492">
        <w:rPr>
          <w:b/>
          <w:color w:val="0000FF"/>
        </w:rPr>
        <w:t>1</w:t>
      </w:r>
      <w:r w:rsidR="00773485" w:rsidRPr="00363492">
        <w:rPr>
          <w:b/>
          <w:color w:val="0000FF"/>
        </w:rPr>
        <w:t>a</w:t>
      </w:r>
      <w:r w:rsidRPr="00363492">
        <w:rPr>
          <w:b/>
          <w:color w:val="0000FF"/>
        </w:rPr>
        <w:t>.5</w:t>
      </w:r>
      <w:r w:rsidR="00201FF9" w:rsidRPr="00363492">
        <w:rPr>
          <w:b/>
          <w:color w:val="0000FF"/>
        </w:rPr>
        <w:t>.</w:t>
      </w:r>
      <w:r w:rsidRPr="00363492">
        <w:rPr>
          <w:color w:val="0000FF"/>
        </w:rPr>
        <w:t xml:space="preserve"> </w:t>
      </w:r>
      <w:r w:rsidRPr="00363492">
        <w:rPr>
          <w:b/>
        </w:rPr>
        <w:t>U</w:t>
      </w:r>
      <w:r w:rsidR="0094689F" w:rsidRPr="00363492">
        <w:rPr>
          <w:b/>
        </w:rPr>
        <w:t>NITED STATES</w:t>
      </w:r>
      <w:r w:rsidRPr="00363492">
        <w:rPr>
          <w:b/>
        </w:rPr>
        <w:t xml:space="preserve"> PREVENTIVE SERVICES TASK FORCE RECOMMENDATION</w:t>
      </w:r>
    </w:p>
    <w:p w:rsidR="00307FA5" w:rsidRPr="00363492" w:rsidRDefault="00307FA5" w:rsidP="00307FA5">
      <w:pPr>
        <w:ind w:left="0" w:firstLine="0"/>
      </w:pPr>
      <w:r w:rsidRPr="00363492">
        <w:rPr>
          <w:b/>
          <w:color w:val="0000FF"/>
        </w:rPr>
        <w:t>1</w:t>
      </w:r>
      <w:r w:rsidR="009E37BD" w:rsidRPr="00363492">
        <w:rPr>
          <w:b/>
          <w:color w:val="0000FF"/>
        </w:rPr>
        <w:t>a</w:t>
      </w:r>
      <w:r w:rsidRPr="00363492">
        <w:rPr>
          <w:b/>
          <w:color w:val="0000FF"/>
        </w:rPr>
        <w:t>.5.1.</w:t>
      </w:r>
      <w:r w:rsidRPr="00363492">
        <w:t xml:space="preserve"> </w:t>
      </w:r>
      <w:r w:rsidR="00E746A2" w:rsidRPr="00363492">
        <w:rPr>
          <w:b/>
        </w:rPr>
        <w:t>Recommendation</w:t>
      </w:r>
      <w:r w:rsidRPr="00363492">
        <w:rPr>
          <w:b/>
        </w:rPr>
        <w:t xml:space="preserve"> citation</w:t>
      </w:r>
      <w:r w:rsidRPr="00363492">
        <w:t xml:space="preserve"> (</w:t>
      </w:r>
      <w:r w:rsidRPr="00363492">
        <w:rPr>
          <w:i/>
        </w:rPr>
        <w:t>including date</w:t>
      </w:r>
      <w:r w:rsidRPr="00363492">
        <w:t>)</w:t>
      </w:r>
      <w:r w:rsidR="00EA79C9" w:rsidRPr="00363492">
        <w:t xml:space="preserve"> and </w:t>
      </w:r>
      <w:r w:rsidR="00EA79C9" w:rsidRPr="00363492">
        <w:rPr>
          <w:b/>
        </w:rPr>
        <w:t>URL for recommendation</w:t>
      </w:r>
      <w:r w:rsidR="00EA79C9" w:rsidRPr="00363492">
        <w:t xml:space="preserve"> (</w:t>
      </w:r>
      <w:r w:rsidR="00EA79C9" w:rsidRPr="00363492">
        <w:rPr>
          <w:i/>
        </w:rPr>
        <w:t>if available online</w:t>
      </w:r>
      <w:r w:rsidR="00EA79C9" w:rsidRPr="00363492">
        <w:t xml:space="preserve">): </w:t>
      </w:r>
      <w:r w:rsidRPr="00363492">
        <w:t xml:space="preserve"> </w:t>
      </w:r>
    </w:p>
    <w:p w:rsidR="0087796D" w:rsidRPr="00363492" w:rsidRDefault="0087796D" w:rsidP="00307FA5">
      <w:pPr>
        <w:ind w:left="0" w:firstLine="0"/>
      </w:pPr>
    </w:p>
    <w:p w:rsidR="0087796D" w:rsidRPr="00363492" w:rsidRDefault="0087796D" w:rsidP="0087796D">
      <w:pPr>
        <w:ind w:left="0" w:firstLine="0"/>
        <w:rPr>
          <w:rFonts w:cs="Arial"/>
          <w:b/>
          <w:bCs/>
        </w:rPr>
      </w:pPr>
      <w:bookmarkStart w:id="9" w:name="h1"/>
      <w:bookmarkEnd w:id="9"/>
      <w:r w:rsidRPr="00363492">
        <w:rPr>
          <w:rFonts w:cs="Arial"/>
          <w:b/>
          <w:bCs/>
        </w:rPr>
        <w:t xml:space="preserve">Prevention of </w:t>
      </w:r>
      <w:proofErr w:type="gramStart"/>
      <w:r w:rsidRPr="00363492">
        <w:rPr>
          <w:rFonts w:cs="Arial"/>
          <w:b/>
          <w:bCs/>
        </w:rPr>
        <w:t>Falls</w:t>
      </w:r>
      <w:proofErr w:type="gramEnd"/>
      <w:r w:rsidRPr="00363492">
        <w:rPr>
          <w:rFonts w:cs="Arial"/>
          <w:b/>
          <w:bCs/>
        </w:rPr>
        <w:t xml:space="preserve"> in Community-Dwelling Older Adults</w:t>
      </w:r>
    </w:p>
    <w:p w:rsidR="0087796D" w:rsidRPr="00363492" w:rsidRDefault="0087796D" w:rsidP="0087796D">
      <w:pPr>
        <w:ind w:left="0" w:firstLine="0"/>
        <w:rPr>
          <w:rFonts w:cs="Arial"/>
          <w:b/>
          <w:bCs/>
        </w:rPr>
      </w:pPr>
      <w:r w:rsidRPr="00363492">
        <w:rPr>
          <w:rFonts w:cs="Arial"/>
          <w:b/>
          <w:bCs/>
        </w:rPr>
        <w:t>U.S. Preventive Services Task Force Recommendation Statement</w:t>
      </w:r>
    </w:p>
    <w:p w:rsidR="0087796D" w:rsidRPr="00363492" w:rsidRDefault="0087796D" w:rsidP="0087796D">
      <w:pPr>
        <w:ind w:left="0" w:firstLine="0"/>
        <w:rPr>
          <w:rFonts w:cs="Arial"/>
        </w:rPr>
      </w:pPr>
      <w:r w:rsidRPr="00363492">
        <w:rPr>
          <w:rFonts w:cs="Arial"/>
        </w:rPr>
        <w:t xml:space="preserve">Release Date: May 2012 </w:t>
      </w:r>
    </w:p>
    <w:p w:rsidR="00307FA5" w:rsidRPr="00363492" w:rsidRDefault="00307FA5" w:rsidP="00307FA5">
      <w:pPr>
        <w:ind w:left="0" w:firstLine="0"/>
        <w:rPr>
          <w:rFonts w:cs="Arial"/>
        </w:rPr>
      </w:pPr>
    </w:p>
    <w:p w:rsidR="00307FA5" w:rsidRPr="00363492" w:rsidRDefault="00262A46" w:rsidP="00307FA5">
      <w:pPr>
        <w:ind w:left="0" w:firstLine="0"/>
      </w:pPr>
      <w:hyperlink r:id="rId15" w:history="1">
        <w:r w:rsidR="0087796D" w:rsidRPr="00363492">
          <w:rPr>
            <w:rStyle w:val="Hyperlink"/>
          </w:rPr>
          <w:t>http://www.uspreventiveservicestaskforce.org/uspstf11/fallsprevention/fallsprevrs.htm</w:t>
        </w:r>
      </w:hyperlink>
    </w:p>
    <w:p w:rsidR="0087796D" w:rsidRPr="00363492" w:rsidRDefault="0087796D" w:rsidP="00307FA5">
      <w:pPr>
        <w:ind w:left="0" w:firstLine="0"/>
      </w:pPr>
    </w:p>
    <w:p w:rsidR="00307FA5" w:rsidRPr="00363492" w:rsidRDefault="00307FA5" w:rsidP="00307FA5">
      <w:pPr>
        <w:ind w:left="0" w:firstLine="0"/>
        <w:rPr>
          <w:color w:val="FF0000"/>
        </w:rPr>
      </w:pPr>
      <w:r w:rsidRPr="00363492">
        <w:rPr>
          <w:b/>
          <w:color w:val="0000FF"/>
        </w:rPr>
        <w:t>1</w:t>
      </w:r>
      <w:r w:rsidR="009E37BD" w:rsidRPr="00363492">
        <w:rPr>
          <w:b/>
          <w:color w:val="0000FF"/>
        </w:rPr>
        <w:t>a</w:t>
      </w:r>
      <w:r w:rsidR="00EA79C9" w:rsidRPr="00363492">
        <w:rPr>
          <w:b/>
          <w:color w:val="0000FF"/>
        </w:rPr>
        <w:t>.5.2</w:t>
      </w:r>
      <w:r w:rsidRPr="00363492">
        <w:rPr>
          <w:b/>
          <w:color w:val="0000FF"/>
        </w:rPr>
        <w:t>.</w:t>
      </w:r>
      <w:r w:rsidRPr="00363492">
        <w:t xml:space="preserve"> </w:t>
      </w:r>
      <w:r w:rsidRPr="00363492">
        <w:rPr>
          <w:b/>
        </w:rPr>
        <w:t xml:space="preserve">Identify </w:t>
      </w:r>
      <w:r w:rsidR="00EE5AF6" w:rsidRPr="00363492">
        <w:rPr>
          <w:b/>
        </w:rPr>
        <w:t>recommendation</w:t>
      </w:r>
      <w:r w:rsidRPr="00363492">
        <w:rPr>
          <w:b/>
        </w:rPr>
        <w:t xml:space="preserve"> number and/or page number</w:t>
      </w:r>
      <w:r w:rsidRPr="00363492">
        <w:t xml:space="preserve"> </w:t>
      </w:r>
      <w:r w:rsidR="00EA79C9" w:rsidRPr="00363492">
        <w:t xml:space="preserve">and </w:t>
      </w:r>
      <w:r w:rsidR="00C54E40" w:rsidRPr="00363492">
        <w:rPr>
          <w:b/>
        </w:rPr>
        <w:t>q</w:t>
      </w:r>
      <w:r w:rsidR="00EA79C9" w:rsidRPr="00363492">
        <w:rPr>
          <w:b/>
        </w:rPr>
        <w:t>uote verbatim, the specific recommendation</w:t>
      </w:r>
      <w:r w:rsidR="00C54E40" w:rsidRPr="00363492">
        <w:t>.</w:t>
      </w:r>
    </w:p>
    <w:p w:rsidR="00307FA5" w:rsidRPr="00363492" w:rsidRDefault="00307FA5" w:rsidP="00307FA5">
      <w:pPr>
        <w:ind w:left="0" w:firstLine="0"/>
      </w:pPr>
    </w:p>
    <w:p w:rsidR="0087796D" w:rsidRPr="00363492" w:rsidRDefault="0087796D" w:rsidP="00307FA5">
      <w:pPr>
        <w:ind w:left="0" w:firstLine="0"/>
        <w:rPr>
          <w:rFonts w:cs="Arial"/>
        </w:rPr>
      </w:pPr>
      <w:r w:rsidRPr="00363492">
        <w:rPr>
          <w:rFonts w:cs="Arial"/>
        </w:rPr>
        <w:t>The USPSTF recommends exercise or physical therapy and vitamin D supplementation to prevent falls in community-dwelling adults aged 65 years or older who are at increased risk for falls (</w:t>
      </w:r>
      <w:hyperlink r:id="rId16" w:anchor="brec" w:history="1">
        <w:r w:rsidRPr="00363492">
          <w:rPr>
            <w:rStyle w:val="Hyperlink"/>
            <w:rFonts w:cs="Arial"/>
          </w:rPr>
          <w:t>B Recommendation</w:t>
        </w:r>
      </w:hyperlink>
      <w:r w:rsidRPr="00363492">
        <w:rPr>
          <w:rFonts w:cs="Arial"/>
        </w:rPr>
        <w:t>).</w:t>
      </w:r>
    </w:p>
    <w:p w:rsidR="0087796D" w:rsidRPr="00363492" w:rsidRDefault="0087796D" w:rsidP="00307FA5">
      <w:pPr>
        <w:ind w:left="0" w:firstLine="0"/>
        <w:rPr>
          <w:rFonts w:cs="Arial"/>
        </w:rPr>
      </w:pPr>
    </w:p>
    <w:p w:rsidR="0087796D" w:rsidRPr="00363492" w:rsidRDefault="0087796D" w:rsidP="00307FA5">
      <w:pPr>
        <w:ind w:left="0" w:firstLine="0"/>
        <w:rPr>
          <w:rFonts w:cs="Arial"/>
        </w:rPr>
      </w:pPr>
      <w:r w:rsidRPr="00363492">
        <w:rPr>
          <w:rFonts w:cs="Arial"/>
        </w:rPr>
        <w:t>Recommendation is not numbered; there are no page numbers.</w:t>
      </w:r>
    </w:p>
    <w:p w:rsidR="00307FA5" w:rsidRPr="00363492" w:rsidRDefault="00307FA5" w:rsidP="00307FA5">
      <w:pPr>
        <w:ind w:left="0" w:firstLine="0"/>
        <w:rPr>
          <w:rFonts w:cs="Arial"/>
        </w:rPr>
      </w:pPr>
    </w:p>
    <w:p w:rsidR="008A45F3" w:rsidRPr="00363492" w:rsidRDefault="00307FA5" w:rsidP="00307FA5">
      <w:pPr>
        <w:ind w:left="0" w:firstLine="0"/>
      </w:pPr>
      <w:r w:rsidRPr="00363492">
        <w:rPr>
          <w:b/>
          <w:color w:val="0000FF"/>
        </w:rPr>
        <w:t>1</w:t>
      </w:r>
      <w:r w:rsidR="009E37BD" w:rsidRPr="00363492">
        <w:rPr>
          <w:b/>
          <w:color w:val="0000FF"/>
        </w:rPr>
        <w:t>a</w:t>
      </w:r>
      <w:r w:rsidR="00EA79C9" w:rsidRPr="00363492">
        <w:rPr>
          <w:b/>
          <w:color w:val="0000FF"/>
        </w:rPr>
        <w:t>.5.3</w:t>
      </w:r>
      <w:r w:rsidRPr="00363492">
        <w:rPr>
          <w:b/>
          <w:color w:val="0000FF"/>
        </w:rPr>
        <w:t>.</w:t>
      </w:r>
      <w:r w:rsidRPr="00363492">
        <w:rPr>
          <w:bCs/>
        </w:rPr>
        <w:t xml:space="preserve"> </w:t>
      </w:r>
      <w:r w:rsidRPr="00363492">
        <w:rPr>
          <w:b/>
        </w:rPr>
        <w:t xml:space="preserve">Grade assigned to the quoted recommendation </w:t>
      </w:r>
      <w:r w:rsidRPr="00363492">
        <w:rPr>
          <w:b/>
          <w:u w:val="single"/>
        </w:rPr>
        <w:t>with definition</w:t>
      </w:r>
      <w:r w:rsidRPr="00363492">
        <w:rPr>
          <w:b/>
        </w:rPr>
        <w:t xml:space="preserve"> of the grade</w:t>
      </w:r>
      <w:r w:rsidR="00776F6D" w:rsidRPr="00363492">
        <w:t>:</w:t>
      </w:r>
    </w:p>
    <w:p w:rsidR="0087796D" w:rsidRPr="00363492" w:rsidRDefault="0087796D" w:rsidP="00307FA5">
      <w:pPr>
        <w:ind w:left="0" w:firstLine="0"/>
        <w:rPr>
          <w:color w:val="FF0000"/>
        </w:rPr>
      </w:pPr>
    </w:p>
    <w:p w:rsidR="0087796D" w:rsidRPr="00363492" w:rsidRDefault="0087796D" w:rsidP="00307FA5">
      <w:pPr>
        <w:ind w:left="0" w:firstLine="0"/>
        <w:rPr>
          <w:color w:val="FF0000"/>
        </w:rPr>
      </w:pPr>
      <w:r w:rsidRPr="00363492">
        <w:rPr>
          <w:rFonts w:cs="Arial"/>
        </w:rPr>
        <w:t>Grade B -</w:t>
      </w:r>
      <w:r w:rsidRPr="00363492">
        <w:rPr>
          <w:color w:val="FF0000"/>
        </w:rPr>
        <w:t xml:space="preserve"> </w:t>
      </w:r>
      <w:r w:rsidRPr="00363492">
        <w:rPr>
          <w:rFonts w:cs="Arial"/>
        </w:rPr>
        <w:t>The USPSTF recommends the service. There is high certainty that the net benefit is moderate or there is moderate certainty that the net benefit is moderate to substantial.</w:t>
      </w:r>
    </w:p>
    <w:p w:rsidR="008A45F3" w:rsidRPr="00363492" w:rsidRDefault="008A45F3" w:rsidP="00307FA5">
      <w:pPr>
        <w:ind w:left="0" w:firstLine="0"/>
      </w:pPr>
    </w:p>
    <w:p w:rsidR="00307FA5" w:rsidRPr="00363492" w:rsidRDefault="008A45F3" w:rsidP="00307FA5">
      <w:pPr>
        <w:ind w:left="0" w:firstLine="0"/>
      </w:pPr>
      <w:r w:rsidRPr="00363492">
        <w:rPr>
          <w:b/>
          <w:color w:val="0000FF"/>
        </w:rPr>
        <w:t xml:space="preserve">1a.5.4. </w:t>
      </w:r>
      <w:proofErr w:type="gramStart"/>
      <w:r w:rsidR="00C54E40" w:rsidRPr="00363492">
        <w:rPr>
          <w:b/>
        </w:rPr>
        <w:t>Provide</w:t>
      </w:r>
      <w:proofErr w:type="gramEnd"/>
      <w:r w:rsidR="00C54E40" w:rsidRPr="00363492">
        <w:rPr>
          <w:b/>
        </w:rPr>
        <w:t xml:space="preserve"> all other grades and associated definitions for recommendation</w:t>
      </w:r>
      <w:r w:rsidR="00205857" w:rsidRPr="00363492">
        <w:rPr>
          <w:b/>
        </w:rPr>
        <w:t>s</w:t>
      </w:r>
      <w:r w:rsidR="00C54E40" w:rsidRPr="00363492">
        <w:rPr>
          <w:b/>
        </w:rPr>
        <w:t xml:space="preserve"> in the grading system.</w:t>
      </w:r>
      <w:r w:rsidRPr="00363492">
        <w:rPr>
          <w:b/>
        </w:rPr>
        <w:t xml:space="preserve"> </w:t>
      </w:r>
      <w:r w:rsidRPr="00363492">
        <w:t>(</w:t>
      </w:r>
      <w:r w:rsidRPr="00363492">
        <w:rPr>
          <w:i/>
        </w:rPr>
        <w:t>Note: the</w:t>
      </w:r>
      <w:r w:rsidRPr="00363492">
        <w:t xml:space="preserve"> </w:t>
      </w:r>
      <w:r w:rsidRPr="00363492">
        <w:rPr>
          <w:i/>
        </w:rPr>
        <w:t>grading system for the evidence should be reported in section 1a.7.</w:t>
      </w:r>
      <w:r w:rsidR="00095EC9" w:rsidRPr="00363492">
        <w:t>)</w:t>
      </w:r>
    </w:p>
    <w:tbl>
      <w:tblPr>
        <w:tblW w:w="4574"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282"/>
        <w:gridCol w:w="7250"/>
        <w:gridCol w:w="95"/>
        <w:gridCol w:w="45"/>
      </w:tblGrid>
      <w:tr w:rsidR="0087796D" w:rsidRPr="00363492" w:rsidTr="0087796D">
        <w:trPr>
          <w:gridAfter w:val="2"/>
          <w:wAfter w:w="81" w:type="pct"/>
          <w:tblCellSpacing w:w="0" w:type="dxa"/>
        </w:trPr>
        <w:tc>
          <w:tcPr>
            <w:tcW w:w="739"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b/>
                <w:bCs/>
              </w:rPr>
            </w:pPr>
            <w:r w:rsidRPr="00363492">
              <w:rPr>
                <w:rFonts w:eastAsia="Times New Roman" w:cs="Arial"/>
                <w:b/>
                <w:bCs/>
              </w:rPr>
              <w:t>Grade</w:t>
            </w:r>
          </w:p>
        </w:tc>
        <w:tc>
          <w:tcPr>
            <w:tcW w:w="4180"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b/>
                <w:bCs/>
              </w:rPr>
            </w:pPr>
            <w:r w:rsidRPr="00363492">
              <w:rPr>
                <w:rFonts w:eastAsia="Times New Roman" w:cs="Arial"/>
                <w:b/>
                <w:bCs/>
              </w:rPr>
              <w:t>Definition</w:t>
            </w:r>
          </w:p>
        </w:tc>
      </w:tr>
      <w:tr w:rsidR="0087796D" w:rsidRPr="00363492" w:rsidTr="0087796D">
        <w:trPr>
          <w:gridAfter w:val="2"/>
          <w:wAfter w:w="81" w:type="pct"/>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rPr>
            </w:pPr>
            <w:bookmarkStart w:id="10" w:name="arec"/>
            <w:bookmarkEnd w:id="10"/>
            <w:r w:rsidRPr="00363492">
              <w:rPr>
                <w:rFonts w:eastAsia="Times New Roman" w:cs="Arial"/>
                <w:b/>
                <w:bCs/>
              </w:rPr>
              <w:t>A</w:t>
            </w:r>
          </w:p>
        </w:tc>
        <w:tc>
          <w:tcPr>
            <w:tcW w:w="4180"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rPr>
                <w:rFonts w:eastAsia="Times New Roman" w:cs="Arial"/>
              </w:rPr>
            </w:pPr>
            <w:r w:rsidRPr="00363492">
              <w:rPr>
                <w:rFonts w:eastAsia="Times New Roman" w:cs="Arial"/>
              </w:rPr>
              <w:t>The USPSTF recommends the service. There is high certainty that the net benefit is substantial.</w:t>
            </w:r>
          </w:p>
        </w:tc>
      </w:tr>
      <w:tr w:rsidR="0087796D" w:rsidRPr="00363492" w:rsidTr="0087796D">
        <w:trPr>
          <w:trHeight w:val="498"/>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rPr>
            </w:pPr>
            <w:bookmarkStart w:id="11" w:name="brec"/>
            <w:bookmarkEnd w:id="11"/>
            <w:r w:rsidRPr="00363492">
              <w:rPr>
                <w:rFonts w:eastAsia="Times New Roman" w:cs="Arial"/>
                <w:b/>
                <w:bCs/>
              </w:rPr>
              <w:t>C</w:t>
            </w:r>
          </w:p>
        </w:tc>
        <w:tc>
          <w:tcPr>
            <w:tcW w:w="4180"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rPr>
                <w:rFonts w:eastAsia="Times New Roman" w:cs="Arial"/>
              </w:rPr>
            </w:pPr>
            <w:r w:rsidRPr="00363492">
              <w:rPr>
                <w:rFonts w:eastAsia="Times New Roman" w:cs="Arial"/>
                <w:i/>
                <w:iCs/>
              </w:rPr>
              <w:t xml:space="preserve">Note: The following statement is undergoing revision. </w:t>
            </w:r>
            <w:r w:rsidRPr="00363492">
              <w:rPr>
                <w:rFonts w:eastAsia="Times New Roman" w:cs="Arial"/>
              </w:rPr>
              <w:br/>
              <w:t>Clinicians may provide this service to selected patients depending on individual circumstances. However, for most individuals without signs or symptoms there is likely to be only a small benefit from this service.</w:t>
            </w:r>
          </w:p>
        </w:tc>
        <w:tc>
          <w:tcPr>
            <w:tcW w:w="81" w:type="pct"/>
            <w:gridSpan w:val="2"/>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rPr>
                <w:rFonts w:eastAsia="Times New Roman" w:cs="Arial"/>
              </w:rPr>
            </w:pPr>
          </w:p>
        </w:tc>
      </w:tr>
      <w:tr w:rsidR="0087796D" w:rsidRPr="00363492" w:rsidTr="0087796D">
        <w:trPr>
          <w:gridAfter w:val="2"/>
          <w:wAfter w:w="81" w:type="pct"/>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rPr>
            </w:pPr>
            <w:bookmarkStart w:id="12" w:name="crec"/>
            <w:bookmarkStart w:id="13" w:name="drec"/>
            <w:bookmarkEnd w:id="12"/>
            <w:bookmarkEnd w:id="13"/>
            <w:r w:rsidRPr="00363492">
              <w:rPr>
                <w:rFonts w:eastAsia="Times New Roman" w:cs="Arial"/>
                <w:b/>
                <w:bCs/>
              </w:rPr>
              <w:t>D</w:t>
            </w:r>
          </w:p>
        </w:tc>
        <w:tc>
          <w:tcPr>
            <w:tcW w:w="4180"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rPr>
                <w:rFonts w:eastAsia="Times New Roman" w:cs="Arial"/>
              </w:rPr>
            </w:pPr>
            <w:r w:rsidRPr="00363492">
              <w:rPr>
                <w:rFonts w:eastAsia="Times New Roman" w:cs="Arial"/>
              </w:rPr>
              <w:t>The USPSTF recommends against the service. There is moderate or high certainty that the service has no net benefit or that the harms outweigh the benefits.</w:t>
            </w:r>
          </w:p>
        </w:tc>
      </w:tr>
      <w:tr w:rsidR="0087796D" w:rsidRPr="00363492" w:rsidTr="0087796D">
        <w:trPr>
          <w:gridAfter w:val="1"/>
          <w:wAfter w:w="26" w:type="pct"/>
          <w:tblCellSpacing w:w="0" w:type="dxa"/>
        </w:trPr>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jc w:val="center"/>
              <w:rPr>
                <w:rFonts w:eastAsia="Times New Roman" w:cs="Arial"/>
              </w:rPr>
            </w:pPr>
            <w:bookmarkStart w:id="14" w:name="irec"/>
            <w:bookmarkEnd w:id="14"/>
            <w:r w:rsidRPr="00363492">
              <w:rPr>
                <w:rFonts w:eastAsia="Times New Roman" w:cs="Arial"/>
                <w:b/>
                <w:bCs/>
              </w:rPr>
              <w:t>I Statement</w:t>
            </w:r>
          </w:p>
        </w:tc>
        <w:tc>
          <w:tcPr>
            <w:tcW w:w="4180"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87796D" w:rsidRPr="00363492" w:rsidRDefault="0087796D" w:rsidP="0087796D">
            <w:pPr>
              <w:ind w:left="0" w:firstLine="0"/>
              <w:rPr>
                <w:rFonts w:eastAsia="Times New Roman" w:cs="Arial"/>
              </w:rPr>
            </w:pPr>
            <w:r w:rsidRPr="00363492">
              <w:rPr>
                <w:rFonts w:eastAsia="Times New Roman" w:cs="Arial"/>
              </w:rPr>
              <w:t xml:space="preserve">The USPSTF concludes that the current evidence is insufficient to assess the balance of benefits and harms of the service. Evidence is lacking, of poor quality, or conflicting, and the balance of benefits and harms cannot be </w:t>
            </w:r>
            <w:r w:rsidRPr="00363492">
              <w:rPr>
                <w:rFonts w:eastAsia="Times New Roman" w:cs="Arial"/>
              </w:rPr>
              <w:lastRenderedPageBreak/>
              <w:t>determined.</w:t>
            </w:r>
          </w:p>
        </w:tc>
        <w:tc>
          <w:tcPr>
            <w:tcW w:w="55" w:type="pct"/>
            <w:hideMark/>
          </w:tcPr>
          <w:p w:rsidR="0087796D" w:rsidRPr="00363492" w:rsidRDefault="0087796D" w:rsidP="0087796D">
            <w:pPr>
              <w:ind w:left="0" w:firstLine="0"/>
              <w:rPr>
                <w:rFonts w:eastAsia="Times New Roman" w:cs="Times New Roman"/>
              </w:rPr>
            </w:pPr>
          </w:p>
        </w:tc>
      </w:tr>
    </w:tbl>
    <w:p w:rsidR="00307FA5" w:rsidRPr="00363492" w:rsidRDefault="00307FA5" w:rsidP="00307FA5">
      <w:pPr>
        <w:ind w:left="0" w:firstLine="0"/>
        <w:rPr>
          <w:b/>
          <w:color w:val="0000FF"/>
        </w:rPr>
      </w:pPr>
    </w:p>
    <w:p w:rsidR="00A12762" w:rsidRPr="00363492" w:rsidRDefault="008A45F3" w:rsidP="00307FA5">
      <w:pPr>
        <w:ind w:left="432" w:hanging="432"/>
        <w:rPr>
          <w:b/>
        </w:rPr>
      </w:pPr>
      <w:r w:rsidRPr="00363492">
        <w:rPr>
          <w:b/>
          <w:color w:val="0000FF"/>
        </w:rPr>
        <w:t>1a.5.5</w:t>
      </w:r>
      <w:r w:rsidR="00A12762" w:rsidRPr="00363492">
        <w:rPr>
          <w:b/>
          <w:color w:val="0000FF"/>
        </w:rPr>
        <w:t>.</w:t>
      </w:r>
      <w:r w:rsidR="00A12762" w:rsidRPr="00363492">
        <w:rPr>
          <w:b/>
        </w:rPr>
        <w:t xml:space="preserve"> </w:t>
      </w:r>
      <w:r w:rsidRPr="00363492">
        <w:rPr>
          <w:b/>
        </w:rPr>
        <w:t xml:space="preserve">Citation and </w:t>
      </w:r>
      <w:r w:rsidR="00A12762" w:rsidRPr="00363492">
        <w:rPr>
          <w:b/>
        </w:rPr>
        <w:t>URL for methodology for grading</w:t>
      </w:r>
      <w:r w:rsidRPr="00363492">
        <w:rPr>
          <w:b/>
        </w:rPr>
        <w:t xml:space="preserve"> recommendations</w:t>
      </w:r>
      <w:r w:rsidR="00AD79C8" w:rsidRPr="00363492">
        <w:rPr>
          <w:b/>
        </w:rPr>
        <w:t xml:space="preserve"> </w:t>
      </w:r>
      <w:r w:rsidR="00AD79C8" w:rsidRPr="00363492">
        <w:t>(</w:t>
      </w:r>
      <w:r w:rsidR="00AD79C8" w:rsidRPr="00363492">
        <w:rPr>
          <w:i/>
        </w:rPr>
        <w:t xml:space="preserve">if </w:t>
      </w:r>
      <w:r w:rsidRPr="00363492">
        <w:rPr>
          <w:i/>
        </w:rPr>
        <w:t>different from 1a.5.1</w:t>
      </w:r>
      <w:r w:rsidR="00AD79C8" w:rsidRPr="00363492">
        <w:t>)</w:t>
      </w:r>
      <w:r w:rsidR="00A12762" w:rsidRPr="00363492">
        <w:rPr>
          <w:b/>
        </w:rPr>
        <w:t>:</w:t>
      </w:r>
    </w:p>
    <w:p w:rsidR="00736AEC" w:rsidRPr="00363492" w:rsidRDefault="00736AEC" w:rsidP="002E2177">
      <w:pPr>
        <w:ind w:left="432" w:hanging="432"/>
        <w:rPr>
          <w:b/>
        </w:rPr>
      </w:pPr>
    </w:p>
    <w:p w:rsidR="0087796D" w:rsidRPr="00363492" w:rsidRDefault="0087796D" w:rsidP="002E2177">
      <w:pPr>
        <w:ind w:left="432" w:hanging="432"/>
        <w:rPr>
          <w:rFonts w:cs="Arial"/>
        </w:rPr>
      </w:pPr>
      <w:r w:rsidRPr="00363492">
        <w:rPr>
          <w:rFonts w:cs="Arial"/>
        </w:rPr>
        <w:t>http://www.uspreventiveservicestaskforce.org/uspstf/gradespost.htm#brec</w:t>
      </w:r>
    </w:p>
    <w:p w:rsidR="0087796D" w:rsidRPr="00363492" w:rsidRDefault="0087796D" w:rsidP="002E2177">
      <w:pPr>
        <w:ind w:left="432" w:hanging="432"/>
        <w:rPr>
          <w:b/>
        </w:rPr>
      </w:pPr>
    </w:p>
    <w:p w:rsidR="00EE5AF6" w:rsidRPr="00363492" w:rsidRDefault="00923295" w:rsidP="002E2177">
      <w:pPr>
        <w:ind w:left="432" w:hanging="432"/>
        <w:rPr>
          <w:i/>
        </w:rPr>
      </w:pPr>
      <w:r w:rsidRPr="00363492">
        <w:rPr>
          <w:b/>
          <w:i/>
          <w:highlight w:val="green"/>
        </w:rPr>
        <w:t xml:space="preserve">Complete section </w:t>
      </w:r>
      <w:hyperlink w:anchor="Section1a7" w:history="1">
        <w:r w:rsidR="009477D6" w:rsidRPr="00363492">
          <w:rPr>
            <w:rStyle w:val="Hyperlink"/>
            <w:b/>
            <w:i/>
            <w:highlight w:val="green"/>
          </w:rPr>
          <w:t>1a.7</w:t>
        </w:r>
      </w:hyperlink>
    </w:p>
    <w:p w:rsidR="00EE5AF6" w:rsidRPr="00363492" w:rsidRDefault="00EE5AF6" w:rsidP="002E2177">
      <w:pPr>
        <w:ind w:left="432" w:hanging="432"/>
        <w:rPr>
          <w:b/>
          <w:color w:val="0000FF"/>
        </w:rPr>
      </w:pPr>
    </w:p>
    <w:p w:rsidR="00EE5AF6" w:rsidRPr="00363492" w:rsidRDefault="00EE5AF6" w:rsidP="002E2177">
      <w:pPr>
        <w:ind w:left="432" w:hanging="432"/>
      </w:pPr>
      <w:bookmarkStart w:id="15" w:name="Section1a6"/>
      <w:bookmarkEnd w:id="15"/>
      <w:r w:rsidRPr="00363492">
        <w:rPr>
          <w:b/>
          <w:color w:val="0000FF"/>
        </w:rPr>
        <w:t>1</w:t>
      </w:r>
      <w:r w:rsidR="009E37BD" w:rsidRPr="00363492">
        <w:rPr>
          <w:b/>
          <w:color w:val="0000FF"/>
        </w:rPr>
        <w:t>a</w:t>
      </w:r>
      <w:r w:rsidRPr="00363492">
        <w:rPr>
          <w:b/>
          <w:color w:val="0000FF"/>
        </w:rPr>
        <w:t>.6</w:t>
      </w:r>
      <w:r w:rsidR="00CB06C9" w:rsidRPr="00363492">
        <w:rPr>
          <w:b/>
          <w:color w:val="0000FF"/>
        </w:rPr>
        <w:t>.</w:t>
      </w:r>
      <w:r w:rsidRPr="00363492">
        <w:rPr>
          <w:b/>
          <w:color w:val="0000FF"/>
        </w:rPr>
        <w:t xml:space="preserve"> </w:t>
      </w:r>
      <w:r w:rsidR="0039609A" w:rsidRPr="00363492">
        <w:rPr>
          <w:b/>
        </w:rPr>
        <w:t xml:space="preserve">OTHER </w:t>
      </w:r>
      <w:r w:rsidRPr="00363492">
        <w:rPr>
          <w:b/>
        </w:rPr>
        <w:t>SYSTEMATIC REVIEW OF THE BODY OF EVIDENCE</w:t>
      </w:r>
    </w:p>
    <w:p w:rsidR="00EA79C9" w:rsidRPr="00363492" w:rsidRDefault="00EE5AF6" w:rsidP="00EA79C9">
      <w:pPr>
        <w:ind w:left="0" w:firstLine="0"/>
      </w:pPr>
      <w:r w:rsidRPr="00363492">
        <w:rPr>
          <w:b/>
          <w:color w:val="0000FF"/>
        </w:rPr>
        <w:t>1</w:t>
      </w:r>
      <w:r w:rsidR="009E37BD" w:rsidRPr="00363492">
        <w:rPr>
          <w:b/>
          <w:color w:val="0000FF"/>
        </w:rPr>
        <w:t>a</w:t>
      </w:r>
      <w:r w:rsidRPr="00363492">
        <w:rPr>
          <w:b/>
          <w:color w:val="0000FF"/>
        </w:rPr>
        <w:t>.6.1.</w:t>
      </w:r>
      <w:r w:rsidRPr="00363492">
        <w:t xml:space="preserve"> </w:t>
      </w:r>
      <w:r w:rsidRPr="00363492">
        <w:rPr>
          <w:b/>
        </w:rPr>
        <w:t>Citation</w:t>
      </w:r>
      <w:r w:rsidRPr="00363492">
        <w:t xml:space="preserve"> (</w:t>
      </w:r>
      <w:r w:rsidRPr="00363492">
        <w:rPr>
          <w:i/>
        </w:rPr>
        <w:t>including date</w:t>
      </w:r>
      <w:r w:rsidRPr="00363492">
        <w:t>)</w:t>
      </w:r>
      <w:r w:rsidR="00EA79C9" w:rsidRPr="00363492">
        <w:t xml:space="preserve"> and </w:t>
      </w:r>
      <w:r w:rsidR="00EA79C9" w:rsidRPr="00363492">
        <w:rPr>
          <w:b/>
        </w:rPr>
        <w:t>URL</w:t>
      </w:r>
      <w:r w:rsidR="00EA79C9" w:rsidRPr="00363492">
        <w:t xml:space="preserve"> (</w:t>
      </w:r>
      <w:r w:rsidR="00EA79C9" w:rsidRPr="00363492">
        <w:rPr>
          <w:i/>
        </w:rPr>
        <w:t>if available online</w:t>
      </w:r>
      <w:r w:rsidR="00EA79C9" w:rsidRPr="00363492">
        <w:t xml:space="preserve">): </w:t>
      </w:r>
    </w:p>
    <w:p w:rsidR="00EE5AF6" w:rsidRPr="00C05033" w:rsidRDefault="00EE5AF6" w:rsidP="00EE5AF6">
      <w:pPr>
        <w:ind w:left="0" w:firstLine="0"/>
      </w:pPr>
      <w:r w:rsidRPr="00363492">
        <w:t xml:space="preserve"> </w:t>
      </w:r>
    </w:p>
    <w:p w:rsidR="00EE5AF6" w:rsidRPr="00363492" w:rsidRDefault="00EE5AF6" w:rsidP="00EE5AF6">
      <w:pPr>
        <w:ind w:left="0" w:firstLine="0"/>
      </w:pPr>
      <w:r w:rsidRPr="00363492">
        <w:rPr>
          <w:b/>
          <w:color w:val="0000FF"/>
        </w:rPr>
        <w:t>1</w:t>
      </w:r>
      <w:r w:rsidR="009E37BD" w:rsidRPr="00363492">
        <w:rPr>
          <w:b/>
          <w:color w:val="0000FF"/>
        </w:rPr>
        <w:t>a</w:t>
      </w:r>
      <w:r w:rsidR="00EA79C9" w:rsidRPr="00363492">
        <w:rPr>
          <w:b/>
          <w:color w:val="0000FF"/>
        </w:rPr>
        <w:t>.6.2</w:t>
      </w:r>
      <w:r w:rsidRPr="00363492">
        <w:rPr>
          <w:b/>
        </w:rPr>
        <w:t>.</w:t>
      </w:r>
      <w:r w:rsidRPr="00363492">
        <w:t xml:space="preserve"> </w:t>
      </w:r>
      <w:r w:rsidR="00030F43" w:rsidRPr="00363492">
        <w:rPr>
          <w:b/>
        </w:rPr>
        <w:t>Citation and</w:t>
      </w:r>
      <w:r w:rsidR="00030F43" w:rsidRPr="00363492">
        <w:t xml:space="preserve"> </w:t>
      </w:r>
      <w:r w:rsidR="00C84623" w:rsidRPr="00363492">
        <w:rPr>
          <w:b/>
        </w:rPr>
        <w:t xml:space="preserve">URL for methodology for evidence review and grading </w:t>
      </w:r>
      <w:r w:rsidR="00C84623" w:rsidRPr="00363492">
        <w:t>(</w:t>
      </w:r>
      <w:r w:rsidR="00C84623" w:rsidRPr="00363492">
        <w:rPr>
          <w:i/>
        </w:rPr>
        <w:t xml:space="preserve">if </w:t>
      </w:r>
      <w:r w:rsidR="00030F43" w:rsidRPr="00363492">
        <w:rPr>
          <w:i/>
        </w:rPr>
        <w:t>different from 1a.6.1</w:t>
      </w:r>
      <w:r w:rsidR="00C84623" w:rsidRPr="00363492">
        <w:t>)</w:t>
      </w:r>
      <w:r w:rsidR="00C84623" w:rsidRPr="00363492">
        <w:rPr>
          <w:b/>
        </w:rPr>
        <w:t>:</w:t>
      </w:r>
    </w:p>
    <w:p w:rsidR="005D0FDB" w:rsidRPr="00363492" w:rsidRDefault="005D0FDB" w:rsidP="00EE5AF6">
      <w:pPr>
        <w:ind w:left="0" w:firstLine="0"/>
      </w:pPr>
    </w:p>
    <w:p w:rsidR="00C84623" w:rsidRPr="00363492" w:rsidRDefault="00C84623" w:rsidP="00EE5AF6">
      <w:pPr>
        <w:ind w:left="0" w:firstLine="0"/>
      </w:pPr>
      <w:r w:rsidRPr="00363492">
        <w:rPr>
          <w:b/>
          <w:i/>
          <w:highlight w:val="green"/>
        </w:rPr>
        <w:t xml:space="preserve">Complete section </w:t>
      </w:r>
      <w:hyperlink w:anchor="Section1a7" w:history="1">
        <w:r w:rsidRPr="00363492">
          <w:rPr>
            <w:rStyle w:val="Hyperlink"/>
            <w:b/>
            <w:i/>
            <w:highlight w:val="green"/>
          </w:rPr>
          <w:t>1a.7</w:t>
        </w:r>
      </w:hyperlink>
    </w:p>
    <w:p w:rsidR="00C84623" w:rsidRPr="00363492" w:rsidRDefault="00C84623" w:rsidP="00EE5AF6">
      <w:pPr>
        <w:ind w:left="0" w:firstLine="0"/>
        <w:rPr>
          <w:b/>
          <w:color w:val="0000FF"/>
        </w:rPr>
      </w:pPr>
    </w:p>
    <w:p w:rsidR="00C84623" w:rsidRPr="00363492" w:rsidRDefault="00C84623" w:rsidP="00EE5AF6">
      <w:pPr>
        <w:ind w:left="0" w:firstLine="0"/>
      </w:pPr>
      <w:r w:rsidRPr="00363492" w:rsidDel="005D0FDB">
        <w:rPr>
          <w:b/>
          <w:color w:val="0000FF"/>
        </w:rPr>
        <w:t xml:space="preserve">1a.7. </w:t>
      </w:r>
      <w:r w:rsidRPr="00363492" w:rsidDel="005D0FDB">
        <w:rPr>
          <w:b/>
        </w:rPr>
        <w:t xml:space="preserve">FINDINGS FROM SYSTEMATIC REVIEW OF BODY OF THE EVIDENCE </w:t>
      </w:r>
      <w:r w:rsidRPr="00363492" w:rsidDel="005D0FDB">
        <w:rPr>
          <w:b/>
          <w:caps/>
          <w:noProof/>
        </w:rPr>
        <w:t>supporting the measure</w:t>
      </w:r>
    </w:p>
    <w:p w:rsidR="00EE5AF6" w:rsidRPr="00363492" w:rsidRDefault="00EE5AF6" w:rsidP="00EE5AF6">
      <w:pPr>
        <w:ind w:left="0" w:firstLine="0"/>
      </w:pPr>
      <w:r w:rsidRPr="00363492">
        <w:rPr>
          <w:b/>
          <w:color w:val="0000FF"/>
        </w:rPr>
        <w:t>1</w:t>
      </w:r>
      <w:r w:rsidR="009E37BD" w:rsidRPr="00363492">
        <w:rPr>
          <w:b/>
          <w:color w:val="0000FF"/>
        </w:rPr>
        <w:t>a</w:t>
      </w:r>
      <w:r w:rsidRPr="00363492">
        <w:rPr>
          <w:b/>
          <w:color w:val="0000FF"/>
        </w:rPr>
        <w:t>.</w:t>
      </w:r>
      <w:r w:rsidR="00C84623" w:rsidRPr="00363492">
        <w:rPr>
          <w:b/>
          <w:color w:val="0000FF"/>
        </w:rPr>
        <w:t>7.1</w:t>
      </w:r>
      <w:r w:rsidRPr="00363492">
        <w:rPr>
          <w:b/>
          <w:color w:val="0000FF"/>
        </w:rPr>
        <w:t>.</w:t>
      </w:r>
      <w:r w:rsidRPr="00363492">
        <w:rPr>
          <w:bCs/>
        </w:rPr>
        <w:t xml:space="preserve"> </w:t>
      </w:r>
      <w:r w:rsidRPr="00363492">
        <w:rPr>
          <w:b/>
        </w:rPr>
        <w:t>What was the specific structure, treatment, intervention, service, or intermediate outcome addressed in the evidence review?</w:t>
      </w:r>
      <w:r w:rsidRPr="00363492">
        <w:t xml:space="preserve"> </w:t>
      </w:r>
    </w:p>
    <w:p w:rsidR="00EE5AF6" w:rsidRPr="00363492" w:rsidRDefault="00AF3AC2" w:rsidP="00EE5AF6">
      <w:pPr>
        <w:ind w:left="0" w:firstLine="0"/>
        <w:rPr>
          <w:rFonts w:cs="Arial"/>
        </w:rPr>
      </w:pPr>
      <w:r w:rsidRPr="00363492">
        <w:rPr>
          <w:rFonts w:cs="Arial"/>
        </w:rPr>
        <w:t>R2    Vitamin D intake and supplementation</w:t>
      </w:r>
    </w:p>
    <w:p w:rsidR="00AF3AC2" w:rsidRPr="00363492" w:rsidRDefault="00AF3AC2" w:rsidP="00EE5AF6">
      <w:pPr>
        <w:ind w:left="0" w:firstLine="0"/>
        <w:rPr>
          <w:rFonts w:cs="Arial"/>
        </w:rPr>
      </w:pPr>
      <w:r w:rsidRPr="00363492">
        <w:rPr>
          <w:rFonts w:cs="Arial"/>
        </w:rPr>
        <w:t>R10   Reduction of fall risk for fracture prevention</w:t>
      </w:r>
    </w:p>
    <w:p w:rsidR="00AF3AC2" w:rsidRPr="00363492" w:rsidRDefault="00AF3AC2" w:rsidP="00EE5AF6">
      <w:pPr>
        <w:ind w:left="0" w:firstLine="0"/>
        <w:rPr>
          <w:rFonts w:cs="Arial"/>
        </w:rPr>
      </w:pPr>
      <w:r w:rsidRPr="00363492">
        <w:rPr>
          <w:rFonts w:cs="Arial"/>
        </w:rPr>
        <w:t>R17   Evaluation for secondary causes of osteoporosis</w:t>
      </w:r>
    </w:p>
    <w:p w:rsidR="00095EC9" w:rsidRPr="00363492" w:rsidRDefault="00EE5AF6" w:rsidP="00EA79C9">
      <w:pPr>
        <w:ind w:left="0" w:firstLine="0"/>
      </w:pPr>
      <w:r w:rsidRPr="00363492">
        <w:rPr>
          <w:b/>
          <w:color w:val="0000FF"/>
        </w:rPr>
        <w:t>1</w:t>
      </w:r>
      <w:r w:rsidR="009E37BD" w:rsidRPr="00363492">
        <w:rPr>
          <w:b/>
          <w:color w:val="0000FF"/>
        </w:rPr>
        <w:t>a</w:t>
      </w:r>
      <w:r w:rsidRPr="00363492">
        <w:rPr>
          <w:b/>
          <w:color w:val="0000FF"/>
        </w:rPr>
        <w:t>.</w:t>
      </w:r>
      <w:r w:rsidR="00C84623" w:rsidRPr="00363492">
        <w:rPr>
          <w:b/>
          <w:color w:val="0000FF"/>
        </w:rPr>
        <w:t>7.2</w:t>
      </w:r>
      <w:r w:rsidRPr="00363492">
        <w:rPr>
          <w:b/>
          <w:color w:val="0000FF"/>
        </w:rPr>
        <w:t>.</w:t>
      </w:r>
      <w:r w:rsidRPr="00363492">
        <w:rPr>
          <w:bCs/>
        </w:rPr>
        <w:t xml:space="preserve"> </w:t>
      </w:r>
      <w:r w:rsidRPr="00363492">
        <w:rPr>
          <w:b/>
        </w:rPr>
        <w:t xml:space="preserve">Grade assigned </w:t>
      </w:r>
      <w:r w:rsidR="00E746A2" w:rsidRPr="00363492">
        <w:rPr>
          <w:b/>
        </w:rPr>
        <w:t xml:space="preserve">for the quality of </w:t>
      </w:r>
      <w:r w:rsidRPr="00363492">
        <w:rPr>
          <w:b/>
        </w:rPr>
        <w:t xml:space="preserve">the quoted evidence </w:t>
      </w:r>
      <w:r w:rsidRPr="00363492">
        <w:rPr>
          <w:b/>
          <w:u w:val="single"/>
        </w:rPr>
        <w:t>with definition</w:t>
      </w:r>
      <w:r w:rsidRPr="00363492">
        <w:rPr>
          <w:b/>
        </w:rPr>
        <w:t xml:space="preserve"> of the grade</w:t>
      </w:r>
      <w:r w:rsidRPr="00363492">
        <w:t xml:space="preserve">: </w:t>
      </w:r>
    </w:p>
    <w:p w:rsidR="00AF3AC2" w:rsidRPr="00363492" w:rsidRDefault="00AF3AC2" w:rsidP="00AF3AC2">
      <w:pPr>
        <w:ind w:left="0" w:firstLine="0"/>
        <w:rPr>
          <w:rFonts w:cs="Arial"/>
        </w:rPr>
      </w:pPr>
      <w:r w:rsidRPr="00363492">
        <w:rPr>
          <w:rFonts w:cs="Arial"/>
        </w:rPr>
        <w:t>R2    Vitamin D intake and supplementation – Evidence Level 1</w:t>
      </w:r>
    </w:p>
    <w:p w:rsidR="00AF3AC2" w:rsidRPr="00363492" w:rsidRDefault="00AF3AC2" w:rsidP="00AF3AC2">
      <w:pPr>
        <w:ind w:left="0" w:firstLine="0"/>
        <w:rPr>
          <w:rFonts w:cs="Arial"/>
        </w:rPr>
      </w:pPr>
      <w:r w:rsidRPr="00363492">
        <w:rPr>
          <w:rFonts w:cs="Arial"/>
        </w:rPr>
        <w:t>R10   Reduction of fall risk for fracture prevention – Evidence Level 2</w:t>
      </w:r>
    </w:p>
    <w:p w:rsidR="00AF3AC2" w:rsidRPr="00363492" w:rsidRDefault="00AF3AC2" w:rsidP="00AF3AC2">
      <w:pPr>
        <w:ind w:left="0" w:firstLine="0"/>
        <w:rPr>
          <w:rFonts w:cs="Arial"/>
        </w:rPr>
      </w:pPr>
      <w:r w:rsidRPr="00363492">
        <w:rPr>
          <w:rFonts w:cs="Arial"/>
        </w:rPr>
        <w:t xml:space="preserve">R17   Evaluation for secondary causes of osteoporosis – Evidence level </w:t>
      </w:r>
      <w:r w:rsidR="009E02EE" w:rsidRPr="00363492">
        <w:rPr>
          <w:rFonts w:cs="Arial"/>
        </w:rPr>
        <w:t>2</w:t>
      </w:r>
    </w:p>
    <w:p w:rsidR="00AF3AC2" w:rsidRPr="00363492" w:rsidRDefault="00AF3AC2" w:rsidP="00AF3AC2">
      <w:pPr>
        <w:ind w:left="0" w:firstLine="0"/>
        <w:rPr>
          <w:rFonts w:cs="Arial"/>
        </w:rPr>
      </w:pPr>
    </w:p>
    <w:p w:rsidR="00AF3AC2" w:rsidRPr="00363492" w:rsidRDefault="00AF3AC2" w:rsidP="00AF3AC2">
      <w:pPr>
        <w:ind w:left="0" w:firstLine="0"/>
        <w:rPr>
          <w:rFonts w:cs="Arial"/>
        </w:rPr>
      </w:pPr>
      <w:r w:rsidRPr="00363492">
        <w:rPr>
          <w:rFonts w:cs="Arial"/>
          <w:b/>
          <w:bCs/>
        </w:rPr>
        <w:t>2010 American Association of Clinical Endocrinologists Criteria for Rating of Published Evidence*</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88"/>
        <w:gridCol w:w="6445"/>
      </w:tblGrid>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b/>
                <w:bCs/>
              </w:rPr>
            </w:pPr>
            <w:r w:rsidRPr="00363492">
              <w:rPr>
                <w:rFonts w:cs="Arial"/>
                <w:b/>
                <w:bCs/>
              </w:rPr>
              <w:t>Numerical Descriptor</w:t>
            </w:r>
            <w:r w:rsidRPr="00363492">
              <w:rPr>
                <w:rFonts w:cs="Arial"/>
                <w:b/>
                <w:bCs/>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b/>
                <w:bCs/>
              </w:rPr>
            </w:pPr>
            <w:r w:rsidRPr="00363492">
              <w:rPr>
                <w:rFonts w:cs="Arial"/>
                <w:b/>
                <w:bCs/>
              </w:rPr>
              <w:t>Semantic Descriptor</w:t>
            </w:r>
            <w:r w:rsidRPr="00363492">
              <w:rPr>
                <w:rFonts w:cs="Arial"/>
                <w:b/>
                <w:bCs/>
              </w:rPr>
              <w:br/>
              <w:t>(reference methods)</w:t>
            </w:r>
          </w:p>
        </w:tc>
      </w:tr>
      <w:tr w:rsidR="00AF3AC2" w:rsidRPr="00363492" w:rsidTr="00AF416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Meta-analysis of randomized controlled trials</w:t>
            </w:r>
          </w:p>
        </w:tc>
      </w:tr>
      <w:tr w:rsidR="00AF3AC2" w:rsidRPr="00363492" w:rsidTr="00AF416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Randomized controlled trial</w:t>
            </w:r>
          </w:p>
        </w:tc>
      </w:tr>
      <w:tr w:rsidR="00AF3AC2" w:rsidRPr="00363492" w:rsidTr="00AF416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Meta-analysis of nonrandomized prospective or case-controlled trials</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Nonrandomized controlled trial</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Prospective cohort study</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Retrospective case-control study</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3</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Cross-sectional study</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3</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Surveillance study (registries, surveys, epidemiologic study)</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3</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Consecutive case series</w:t>
            </w:r>
          </w:p>
        </w:tc>
      </w:tr>
      <w:tr w:rsidR="00AF3AC2" w:rsidRPr="00363492" w:rsidTr="00AF3AC2">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lastRenderedPageBreak/>
              <w:t>3</w:t>
            </w:r>
          </w:p>
        </w:tc>
        <w:tc>
          <w:tcPr>
            <w:tcW w:w="0" w:type="auto"/>
            <w:tcBorders>
              <w:top w:val="outset" w:sz="6" w:space="0" w:color="auto"/>
              <w:left w:val="outset" w:sz="6" w:space="0" w:color="auto"/>
              <w:bottom w:val="outset" w:sz="6" w:space="0" w:color="auto"/>
              <w:right w:val="outset" w:sz="6" w:space="0" w:color="auto"/>
            </w:tcBorders>
            <w:hideMark/>
          </w:tcPr>
          <w:p w:rsidR="00AF3AC2" w:rsidRPr="00363492" w:rsidRDefault="00AF3AC2" w:rsidP="00AF3AC2">
            <w:pPr>
              <w:ind w:left="0" w:firstLine="0"/>
              <w:rPr>
                <w:rFonts w:cs="Arial"/>
              </w:rPr>
            </w:pPr>
            <w:r w:rsidRPr="00363492">
              <w:rPr>
                <w:rFonts w:cs="Arial"/>
              </w:rPr>
              <w:t>Single case reports</w:t>
            </w:r>
          </w:p>
        </w:tc>
      </w:tr>
    </w:tbl>
    <w:p w:rsidR="00AF3AC2" w:rsidRPr="00363492" w:rsidRDefault="00AF3AC2" w:rsidP="00EA79C9">
      <w:pPr>
        <w:ind w:left="0" w:firstLine="0"/>
      </w:pPr>
    </w:p>
    <w:p w:rsidR="00EA79C9" w:rsidRPr="00363492" w:rsidRDefault="00095EC9" w:rsidP="00EA79C9">
      <w:pPr>
        <w:ind w:left="0" w:firstLine="0"/>
      </w:pPr>
      <w:r w:rsidRPr="00363492">
        <w:rPr>
          <w:b/>
          <w:noProof/>
          <w:color w:val="0000FF"/>
        </w:rPr>
        <w:t xml:space="preserve">1a.7.3. </w:t>
      </w:r>
      <w:proofErr w:type="gramStart"/>
      <w:r w:rsidR="00EA79C9" w:rsidRPr="00363492">
        <w:rPr>
          <w:b/>
        </w:rPr>
        <w:t>Provide</w:t>
      </w:r>
      <w:proofErr w:type="gramEnd"/>
      <w:r w:rsidR="00EA79C9" w:rsidRPr="00363492">
        <w:rPr>
          <w:b/>
        </w:rPr>
        <w:t xml:space="preserve"> all </w:t>
      </w:r>
      <w:r w:rsidR="00205857" w:rsidRPr="00363492">
        <w:rPr>
          <w:b/>
        </w:rPr>
        <w:t xml:space="preserve">other </w:t>
      </w:r>
      <w:r w:rsidR="00EA79C9" w:rsidRPr="00363492">
        <w:rPr>
          <w:b/>
        </w:rPr>
        <w:t xml:space="preserve">grades and associated definitions for strength of the evidence in the </w:t>
      </w:r>
      <w:r w:rsidR="00C54E40" w:rsidRPr="00363492">
        <w:rPr>
          <w:b/>
        </w:rPr>
        <w:t xml:space="preserve">grading system. </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44"/>
        <w:gridCol w:w="44"/>
        <w:gridCol w:w="4783"/>
        <w:gridCol w:w="66"/>
      </w:tblGrid>
      <w:tr w:rsidR="00676494" w:rsidRPr="00363492" w:rsidTr="00676494">
        <w:trPr>
          <w:gridAfter w:val="1"/>
          <w:tblCellSpacing w:w="22" w:type="dxa"/>
        </w:trPr>
        <w:tc>
          <w:tcPr>
            <w:tcW w:w="0" w:type="auto"/>
            <w:gridSpan w:val="2"/>
            <w:tcBorders>
              <w:top w:val="outset" w:sz="6" w:space="0" w:color="auto"/>
              <w:left w:val="outset" w:sz="6" w:space="0" w:color="auto"/>
              <w:bottom w:val="outset" w:sz="6" w:space="0" w:color="auto"/>
              <w:right w:val="outset" w:sz="6" w:space="0" w:color="auto"/>
            </w:tcBorders>
            <w:hideMark/>
          </w:tcPr>
          <w:p w:rsidR="00676494" w:rsidRPr="00363492" w:rsidRDefault="00676494" w:rsidP="00676494">
            <w:pPr>
              <w:spacing w:line="384" w:lineRule="auto"/>
              <w:ind w:left="0" w:firstLine="0"/>
              <w:jc w:val="center"/>
              <w:rPr>
                <w:rFonts w:eastAsia="Times New Roman" w:cs="Arial"/>
                <w:b/>
                <w:bCs/>
                <w:color w:val="333333"/>
              </w:rPr>
            </w:pPr>
            <w:r w:rsidRPr="00363492">
              <w:rPr>
                <w:rFonts w:eastAsia="Times New Roman" w:cs="Arial"/>
                <w:b/>
                <w:bCs/>
                <w:color w:val="333333"/>
              </w:rPr>
              <w:t>Numerical Descriptor</w:t>
            </w:r>
            <w:r w:rsidRPr="00363492">
              <w:rPr>
                <w:rFonts w:eastAsia="Times New Roman" w:cs="Arial"/>
                <w:b/>
                <w:bCs/>
                <w:color w:val="333333"/>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676494" w:rsidRPr="00363492" w:rsidRDefault="00676494" w:rsidP="00676494">
            <w:pPr>
              <w:spacing w:line="384" w:lineRule="auto"/>
              <w:ind w:left="0" w:firstLine="0"/>
              <w:jc w:val="center"/>
              <w:rPr>
                <w:rFonts w:eastAsia="Times New Roman" w:cs="Arial"/>
                <w:b/>
                <w:bCs/>
                <w:color w:val="333333"/>
              </w:rPr>
            </w:pPr>
            <w:r w:rsidRPr="00363492">
              <w:rPr>
                <w:rFonts w:eastAsia="Times New Roman" w:cs="Arial"/>
                <w:b/>
                <w:bCs/>
                <w:color w:val="333333"/>
              </w:rPr>
              <w:t>Semantic Descriptor</w:t>
            </w:r>
            <w:r w:rsidRPr="00363492">
              <w:rPr>
                <w:rFonts w:eastAsia="Times New Roman" w:cs="Arial"/>
                <w:b/>
                <w:bCs/>
                <w:color w:val="333333"/>
              </w:rPr>
              <w:br/>
              <w:t>(reference methods)</w:t>
            </w:r>
          </w:p>
        </w:tc>
      </w:tr>
      <w:tr w:rsidR="00676494" w:rsidRPr="00363492" w:rsidTr="0067649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676494" w:rsidRPr="00363492" w:rsidRDefault="00676494" w:rsidP="00676494">
            <w:pPr>
              <w:spacing w:line="384" w:lineRule="auto"/>
              <w:ind w:left="0" w:firstLine="0"/>
              <w:jc w:val="center"/>
              <w:rPr>
                <w:rFonts w:eastAsia="Times New Roman" w:cs="Arial"/>
                <w:color w:val="333333"/>
              </w:rPr>
            </w:pPr>
            <w:r w:rsidRPr="00363492">
              <w:rPr>
                <w:rFonts w:eastAsia="Times New Roman" w:cs="Arial"/>
                <w:color w:val="333333"/>
              </w:rPr>
              <w:t>4</w:t>
            </w:r>
          </w:p>
        </w:tc>
        <w:tc>
          <w:tcPr>
            <w:tcW w:w="0" w:type="auto"/>
            <w:gridSpan w:val="3"/>
            <w:tcBorders>
              <w:top w:val="outset" w:sz="6" w:space="0" w:color="auto"/>
              <w:left w:val="outset" w:sz="6" w:space="0" w:color="auto"/>
              <w:bottom w:val="outset" w:sz="6" w:space="0" w:color="auto"/>
              <w:right w:val="outset" w:sz="6" w:space="0" w:color="auto"/>
            </w:tcBorders>
            <w:hideMark/>
          </w:tcPr>
          <w:p w:rsidR="00676494" w:rsidRPr="00363492" w:rsidRDefault="00676494" w:rsidP="00676494">
            <w:pPr>
              <w:spacing w:line="384" w:lineRule="auto"/>
              <w:ind w:left="0" w:firstLine="0"/>
              <w:rPr>
                <w:rFonts w:eastAsia="Times New Roman" w:cs="Arial"/>
                <w:color w:val="333333"/>
              </w:rPr>
            </w:pPr>
            <w:r w:rsidRPr="00363492">
              <w:rPr>
                <w:rFonts w:eastAsia="Times New Roman" w:cs="Arial"/>
                <w:color w:val="333333"/>
              </w:rPr>
              <w:t>No evidence (theory, opinion, consensus, or review)</w:t>
            </w:r>
          </w:p>
        </w:tc>
      </w:tr>
    </w:tbl>
    <w:p w:rsidR="00A12762" w:rsidRPr="00C05033" w:rsidRDefault="00676494" w:rsidP="00C05033">
      <w:pPr>
        <w:spacing w:before="150" w:line="336" w:lineRule="auto"/>
        <w:rPr>
          <w:rFonts w:eastAsia="Times New Roman" w:cs="Arial"/>
          <w:color w:val="333333"/>
        </w:rPr>
      </w:pPr>
      <w:r w:rsidRPr="00363492">
        <w:rPr>
          <w:rFonts w:eastAsia="Times New Roman" w:cs="Arial"/>
          <w:color w:val="333333"/>
        </w:rPr>
        <w:t>*1 = strong evidence; 2 = intermediate evidence; 3 = weak evidence; 4 = no evidence.</w:t>
      </w:r>
    </w:p>
    <w:p w:rsidR="00496AF8" w:rsidRPr="00363492" w:rsidRDefault="00496AF8" w:rsidP="002E2177">
      <w:pPr>
        <w:ind w:left="432" w:hanging="432"/>
        <w:rPr>
          <w:rFonts w:cs="Arial"/>
        </w:rPr>
      </w:pPr>
      <w:bookmarkStart w:id="16" w:name="Section1a7"/>
      <w:bookmarkEnd w:id="16"/>
      <w:r w:rsidRPr="00363492">
        <w:rPr>
          <w:b/>
          <w:noProof/>
          <w:color w:val="0000FF"/>
        </w:rPr>
        <w:t>1</w:t>
      </w:r>
      <w:r w:rsidR="00837121" w:rsidRPr="00363492">
        <w:rPr>
          <w:b/>
          <w:noProof/>
          <w:color w:val="0000FF"/>
        </w:rPr>
        <w:t>a</w:t>
      </w:r>
      <w:r w:rsidRPr="00363492">
        <w:rPr>
          <w:b/>
          <w:noProof/>
          <w:color w:val="0000FF"/>
        </w:rPr>
        <w:t>.</w:t>
      </w:r>
      <w:r w:rsidR="00EE5AF6" w:rsidRPr="00363492">
        <w:rPr>
          <w:b/>
          <w:noProof/>
          <w:color w:val="0000FF"/>
        </w:rPr>
        <w:t>7.</w:t>
      </w:r>
      <w:r w:rsidR="00095EC9" w:rsidRPr="00363492">
        <w:rPr>
          <w:b/>
          <w:noProof/>
          <w:color w:val="0000FF"/>
        </w:rPr>
        <w:t>4</w:t>
      </w:r>
      <w:r w:rsidR="00DA7FA2" w:rsidRPr="00363492">
        <w:rPr>
          <w:b/>
          <w:noProof/>
          <w:color w:val="0000FF"/>
        </w:rPr>
        <w:t>.</w:t>
      </w:r>
      <w:r w:rsidRPr="00363492">
        <w:rPr>
          <w:noProof/>
        </w:rPr>
        <w:t xml:space="preserve"> </w:t>
      </w:r>
      <w:r w:rsidRPr="00363492">
        <w:rPr>
          <w:b/>
          <w:noProof/>
        </w:rPr>
        <w:t>What is the time period covered by the body of evidence? (</w:t>
      </w:r>
      <w:r w:rsidRPr="00363492">
        <w:rPr>
          <w:b/>
          <w:i/>
          <w:noProof/>
        </w:rPr>
        <w:t>provide the date range, e.g., 1990-2010</w:t>
      </w:r>
      <w:r w:rsidRPr="00363492">
        <w:rPr>
          <w:b/>
          <w:noProof/>
        </w:rPr>
        <w:t xml:space="preserve">).  </w:t>
      </w:r>
      <w:r w:rsidRPr="00363492">
        <w:rPr>
          <w:b/>
        </w:rPr>
        <w:t>Date range</w:t>
      </w:r>
      <w:r w:rsidRPr="00363492">
        <w:t xml:space="preserve">:  </w:t>
      </w:r>
      <w:sdt>
        <w:sdtPr>
          <w:rPr>
            <w:rStyle w:val="Style2"/>
            <w:rFonts w:cs="Arial"/>
          </w:rPr>
          <w:id w:val="-1666395719"/>
        </w:sdtPr>
        <w:sdtEndPr>
          <w:rPr>
            <w:rStyle w:val="DefaultParagraphFont"/>
            <w:color w:val="auto"/>
            <w:u w:val="none"/>
          </w:rPr>
        </w:sdtEndPr>
        <w:sdtContent>
          <w:r w:rsidR="00AF3AC2" w:rsidRPr="00363492">
            <w:rPr>
              <w:rStyle w:val="Style2"/>
              <w:rFonts w:cs="Arial"/>
            </w:rPr>
            <w:t>2003 - 2010</w:t>
          </w:r>
        </w:sdtContent>
      </w:sdt>
    </w:p>
    <w:p w:rsidR="0039020B" w:rsidRPr="00363492" w:rsidRDefault="0039020B" w:rsidP="002E2177">
      <w:pPr>
        <w:ind w:left="0" w:firstLine="0"/>
        <w:rPr>
          <w:b/>
          <w:noProof/>
        </w:rPr>
      </w:pPr>
    </w:p>
    <w:p w:rsidR="00496AF8" w:rsidRPr="00363492" w:rsidRDefault="00C5180E" w:rsidP="002E2177">
      <w:pPr>
        <w:ind w:left="0" w:firstLine="0"/>
        <w:rPr>
          <w:b/>
        </w:rPr>
      </w:pPr>
      <w:r w:rsidRPr="00363492">
        <w:rPr>
          <w:b/>
          <w:noProof/>
        </w:rPr>
        <w:t>QUANTITY AND QUALITY OF BODY OF EVIDENCE</w:t>
      </w:r>
    </w:p>
    <w:p w:rsidR="009B5BEA" w:rsidRPr="00363492" w:rsidRDefault="001B772D" w:rsidP="002E2177">
      <w:pPr>
        <w:ind w:left="432" w:hanging="432"/>
      </w:pPr>
      <w:r w:rsidRPr="00363492">
        <w:rPr>
          <w:b/>
          <w:noProof/>
          <w:color w:val="0000FF"/>
        </w:rPr>
        <w:t>1</w:t>
      </w:r>
      <w:r w:rsidR="00837121" w:rsidRPr="00363492">
        <w:rPr>
          <w:b/>
          <w:noProof/>
          <w:color w:val="0000FF"/>
        </w:rPr>
        <w:t>a</w:t>
      </w:r>
      <w:r w:rsidRPr="00363492">
        <w:rPr>
          <w:b/>
          <w:noProof/>
          <w:color w:val="0000FF"/>
        </w:rPr>
        <w:t>.</w:t>
      </w:r>
      <w:r w:rsidR="00EE5AF6" w:rsidRPr="00363492">
        <w:rPr>
          <w:b/>
          <w:noProof/>
          <w:color w:val="0000FF"/>
        </w:rPr>
        <w:t>7.</w:t>
      </w:r>
      <w:r w:rsidR="00095EC9" w:rsidRPr="00363492">
        <w:rPr>
          <w:b/>
          <w:noProof/>
          <w:color w:val="0000FF"/>
        </w:rPr>
        <w:t>5</w:t>
      </w:r>
      <w:r w:rsidRPr="00363492">
        <w:rPr>
          <w:b/>
          <w:noProof/>
          <w:color w:val="0000FF"/>
        </w:rPr>
        <w:t>.</w:t>
      </w:r>
      <w:r w:rsidRPr="00363492">
        <w:rPr>
          <w:i/>
          <w:noProof/>
          <w:color w:val="0000FF"/>
        </w:rPr>
        <w:t xml:space="preserve"> </w:t>
      </w:r>
      <w:r w:rsidR="00496AF8" w:rsidRPr="00363492">
        <w:rPr>
          <w:b/>
          <w:noProof/>
        </w:rPr>
        <w:t>How many and what type of study designs are in</w:t>
      </w:r>
      <w:r w:rsidR="006F760B" w:rsidRPr="00363492">
        <w:rPr>
          <w:b/>
          <w:noProof/>
        </w:rPr>
        <w:t>c</w:t>
      </w:r>
      <w:r w:rsidR="00496AF8" w:rsidRPr="00363492">
        <w:rPr>
          <w:b/>
          <w:noProof/>
        </w:rPr>
        <w:t>luded in the body of evidence</w:t>
      </w:r>
      <w:r w:rsidR="00496AF8" w:rsidRPr="00363492">
        <w:rPr>
          <w:noProof/>
        </w:rPr>
        <w:t>? (</w:t>
      </w:r>
      <w:r w:rsidR="00496AF8" w:rsidRPr="00363492">
        <w:rPr>
          <w:i/>
          <w:noProof/>
        </w:rPr>
        <w:t>e.g., 3 randomized controlled trials and 1 observational study</w:t>
      </w:r>
      <w:r w:rsidR="00496AF8" w:rsidRPr="00363492">
        <w:rPr>
          <w:noProof/>
        </w:rPr>
        <w:t>)</w:t>
      </w:r>
      <w:r w:rsidR="009E37BD" w:rsidRPr="00363492">
        <w:rPr>
          <w:noProof/>
        </w:rPr>
        <w:t xml:space="preserve"> </w:t>
      </w:r>
    </w:p>
    <w:p w:rsidR="00AF4164" w:rsidRPr="00363492" w:rsidRDefault="00AF4164" w:rsidP="00AF4164">
      <w:pPr>
        <w:ind w:left="0" w:firstLine="0"/>
        <w:rPr>
          <w:rFonts w:cs="Arial"/>
        </w:rPr>
      </w:pPr>
      <w:r w:rsidRPr="00363492">
        <w:rPr>
          <w:rFonts w:cs="Arial"/>
        </w:rPr>
        <w:t>R2    Vitamin D intake and supplementation:</w:t>
      </w:r>
    </w:p>
    <w:p w:rsidR="00AF4164" w:rsidRPr="00363492" w:rsidRDefault="00AD0C75" w:rsidP="009E02EE">
      <w:pPr>
        <w:ind w:left="720" w:firstLine="0"/>
        <w:rPr>
          <w:rFonts w:cs="Arial"/>
        </w:rPr>
      </w:pPr>
      <w:r w:rsidRPr="00363492">
        <w:rPr>
          <w:rFonts w:cs="Arial"/>
        </w:rPr>
        <w:t>3</w:t>
      </w:r>
      <w:r w:rsidR="00AF4164" w:rsidRPr="00363492">
        <w:rPr>
          <w:rFonts w:cs="Arial"/>
        </w:rPr>
        <w:t xml:space="preserve"> </w:t>
      </w:r>
      <w:r w:rsidR="00007DBA" w:rsidRPr="00363492">
        <w:rPr>
          <w:rFonts w:cs="Arial"/>
        </w:rPr>
        <w:t>–</w:t>
      </w:r>
      <w:r w:rsidR="00AF4164" w:rsidRPr="00363492">
        <w:rPr>
          <w:rFonts w:cs="Arial"/>
        </w:rPr>
        <w:t xml:space="preserve"> </w:t>
      </w:r>
      <w:r w:rsidR="00007DBA" w:rsidRPr="00363492">
        <w:rPr>
          <w:rFonts w:cs="Arial"/>
        </w:rPr>
        <w:t>Both m</w:t>
      </w:r>
      <w:r w:rsidR="00AF4164" w:rsidRPr="00363492">
        <w:rPr>
          <w:rFonts w:cs="Arial"/>
        </w:rPr>
        <w:t>eta-analyses of randomized controlled trials and randomized control trials</w:t>
      </w:r>
      <w:r w:rsidR="009E02EE" w:rsidRPr="00363492">
        <w:rPr>
          <w:rFonts w:cs="Arial"/>
        </w:rPr>
        <w:t xml:space="preserve"> (Level 1)</w:t>
      </w:r>
    </w:p>
    <w:p w:rsidR="00AF4164" w:rsidRPr="00363492" w:rsidRDefault="00AD0C75" w:rsidP="00AF4164">
      <w:pPr>
        <w:ind w:left="720" w:firstLine="0"/>
      </w:pPr>
      <w:r w:rsidRPr="00363492">
        <w:rPr>
          <w:rFonts w:cs="Arial"/>
        </w:rPr>
        <w:t xml:space="preserve">7 </w:t>
      </w:r>
      <w:r w:rsidR="00AF4164" w:rsidRPr="00363492">
        <w:rPr>
          <w:rFonts w:cs="Arial"/>
        </w:rPr>
        <w:t>-</w:t>
      </w:r>
      <w:r w:rsidR="00AF4164" w:rsidRPr="00363492">
        <w:t xml:space="preserve"> </w:t>
      </w:r>
      <w:r w:rsidR="00AF4164" w:rsidRPr="00363492">
        <w:rPr>
          <w:rFonts w:cs="Arial"/>
        </w:rPr>
        <w:t>Meta-analyses of nonrandomized prospective or case-controlled trials, prospective cohort studies, nonrandomized controlled trials</w:t>
      </w:r>
      <w:r w:rsidR="009E02EE" w:rsidRPr="00363492">
        <w:rPr>
          <w:rFonts w:cs="Arial"/>
        </w:rPr>
        <w:t xml:space="preserve"> (Level 2)</w:t>
      </w:r>
    </w:p>
    <w:p w:rsidR="00AF4164" w:rsidRPr="00363492" w:rsidRDefault="00AD0C75" w:rsidP="00AF4164">
      <w:pPr>
        <w:ind w:left="720" w:firstLine="0"/>
      </w:pPr>
      <w:r w:rsidRPr="00363492">
        <w:rPr>
          <w:rFonts w:cs="Arial"/>
        </w:rPr>
        <w:t>1</w:t>
      </w:r>
      <w:r w:rsidR="00AF4164" w:rsidRPr="00363492">
        <w:rPr>
          <w:rFonts w:cs="Arial"/>
        </w:rPr>
        <w:t xml:space="preserve"> - Cross-sectional studies, surveillance studies (registries, surveys, epidemiologic study), consecutive case series, single case reports</w:t>
      </w:r>
      <w:r w:rsidR="009E02EE" w:rsidRPr="00363492">
        <w:rPr>
          <w:rFonts w:cs="Arial"/>
        </w:rPr>
        <w:t xml:space="preserve"> (Level 3)</w:t>
      </w:r>
    </w:p>
    <w:p w:rsidR="00496AF8" w:rsidRPr="00363492" w:rsidRDefault="00AF4164" w:rsidP="002E2177">
      <w:pPr>
        <w:ind w:left="0" w:firstLine="0"/>
        <w:rPr>
          <w:rFonts w:cs="Arial"/>
        </w:rPr>
      </w:pPr>
      <w:r w:rsidRPr="00363492">
        <w:tab/>
      </w:r>
      <w:r w:rsidR="00AD0C75" w:rsidRPr="00363492">
        <w:rPr>
          <w:rFonts w:cs="Arial"/>
        </w:rPr>
        <w:t>1</w:t>
      </w:r>
      <w:r w:rsidRPr="00363492">
        <w:rPr>
          <w:rFonts w:cs="Arial"/>
        </w:rPr>
        <w:t xml:space="preserve"> – No evidence (theory, opinion, consensus, or review)</w:t>
      </w:r>
      <w:r w:rsidR="009E02EE" w:rsidRPr="00363492">
        <w:rPr>
          <w:rFonts w:cs="Arial"/>
        </w:rPr>
        <w:t xml:space="preserve"> (Level 4)</w:t>
      </w:r>
    </w:p>
    <w:p w:rsidR="009E02EE" w:rsidRPr="00363492" w:rsidRDefault="009E02EE" w:rsidP="009E02EE">
      <w:pPr>
        <w:ind w:left="0" w:firstLine="0"/>
        <w:rPr>
          <w:rFonts w:cs="Arial"/>
        </w:rPr>
      </w:pPr>
      <w:r w:rsidRPr="00363492">
        <w:rPr>
          <w:rFonts w:cs="Arial"/>
        </w:rPr>
        <w:t>R10   Reduction of fall risk for fracture prevention:</w:t>
      </w:r>
    </w:p>
    <w:p w:rsidR="009E02EE" w:rsidRPr="00363492" w:rsidRDefault="00AD0C75" w:rsidP="009E02EE">
      <w:pPr>
        <w:ind w:left="720" w:firstLine="0"/>
        <w:rPr>
          <w:rFonts w:cs="Arial"/>
        </w:rPr>
      </w:pPr>
      <w:r w:rsidRPr="00363492">
        <w:rPr>
          <w:rFonts w:cs="Arial"/>
        </w:rPr>
        <w:t>2</w:t>
      </w:r>
      <w:r w:rsidR="009E02EE" w:rsidRPr="00363492">
        <w:rPr>
          <w:rFonts w:cs="Arial"/>
        </w:rPr>
        <w:t xml:space="preserve"> - Meta-analyses of randomized controlled trials and randomized control trials (Level 1)</w:t>
      </w:r>
    </w:p>
    <w:p w:rsidR="00AD0C75" w:rsidRPr="00363492" w:rsidRDefault="00AD0C75" w:rsidP="00AD0C75">
      <w:pPr>
        <w:ind w:left="720" w:firstLine="0"/>
      </w:pPr>
      <w:r w:rsidRPr="00363492">
        <w:rPr>
          <w:rFonts w:cs="Arial"/>
        </w:rPr>
        <w:t>3 - Meta-analyses of nonrandomized prospective or case-controlled trials, prospective cohort studies, nonrandomized controlled trials (Level 2)</w:t>
      </w:r>
    </w:p>
    <w:p w:rsidR="009E02EE" w:rsidRPr="00363492" w:rsidRDefault="00AD0C75" w:rsidP="009E02EE">
      <w:pPr>
        <w:ind w:left="720" w:firstLine="0"/>
      </w:pPr>
      <w:r w:rsidRPr="00363492">
        <w:rPr>
          <w:rFonts w:cs="Arial"/>
        </w:rPr>
        <w:t>1</w:t>
      </w:r>
      <w:r w:rsidR="009E02EE" w:rsidRPr="00363492">
        <w:t xml:space="preserve"> - </w:t>
      </w:r>
      <w:r w:rsidR="009E02EE" w:rsidRPr="00363492">
        <w:rPr>
          <w:rFonts w:cs="Arial"/>
        </w:rPr>
        <w:t>Cross-sectional studies, surveillance studies (registries, surveys, epidemiologic study), consecutive case series, single case reports (Level 3)</w:t>
      </w:r>
    </w:p>
    <w:p w:rsidR="009E02EE" w:rsidRPr="00363492" w:rsidRDefault="009E02EE" w:rsidP="009E02EE">
      <w:pPr>
        <w:ind w:left="0" w:firstLine="0"/>
        <w:rPr>
          <w:rFonts w:cs="Arial"/>
        </w:rPr>
      </w:pPr>
      <w:r w:rsidRPr="00363492">
        <w:rPr>
          <w:rFonts w:cs="Arial"/>
        </w:rPr>
        <w:t>R17   Evaluation for secondary causes of osteoporosis – Evidence level 2</w:t>
      </w:r>
    </w:p>
    <w:p w:rsidR="009E02EE" w:rsidRPr="00363492" w:rsidRDefault="00AD0C75" w:rsidP="009E02EE">
      <w:pPr>
        <w:ind w:left="720" w:firstLine="0"/>
      </w:pPr>
      <w:r w:rsidRPr="00363492">
        <w:rPr>
          <w:rFonts w:cs="Arial"/>
        </w:rPr>
        <w:t>1</w:t>
      </w:r>
      <w:r w:rsidR="009E02EE" w:rsidRPr="00363492">
        <w:rPr>
          <w:rFonts w:cs="Arial"/>
        </w:rPr>
        <w:t xml:space="preserve"> - Meta-analyses of nonrandomized prospective or case-controlled trials, prospective cohort studies, nonrandomized controlled trials (Level 2)</w:t>
      </w:r>
    </w:p>
    <w:p w:rsidR="009E02EE" w:rsidRPr="00363492" w:rsidRDefault="009E02EE" w:rsidP="009E02EE">
      <w:pPr>
        <w:ind w:left="0" w:firstLine="0"/>
        <w:rPr>
          <w:rFonts w:cs="Arial"/>
        </w:rPr>
      </w:pPr>
      <w:r w:rsidRPr="00363492">
        <w:rPr>
          <w:rFonts w:cs="Arial"/>
        </w:rPr>
        <w:tab/>
      </w:r>
      <w:r w:rsidR="00AD0C75" w:rsidRPr="00363492">
        <w:rPr>
          <w:rFonts w:cs="Arial"/>
        </w:rPr>
        <w:t>1</w:t>
      </w:r>
      <w:r w:rsidRPr="00363492">
        <w:rPr>
          <w:rFonts w:cs="Arial"/>
        </w:rPr>
        <w:t xml:space="preserve"> - No evidence (theory, opinion, consensus, or review) (Level 4)</w:t>
      </w:r>
    </w:p>
    <w:p w:rsidR="00D70171" w:rsidRPr="00363492" w:rsidRDefault="00D70171" w:rsidP="002E2177">
      <w:pPr>
        <w:ind w:left="0" w:firstLine="0"/>
      </w:pPr>
    </w:p>
    <w:p w:rsidR="00496AF8" w:rsidRPr="00363492" w:rsidRDefault="001B772D" w:rsidP="002E2177">
      <w:pPr>
        <w:ind w:left="432" w:hanging="432"/>
        <w:rPr>
          <w:iCs/>
        </w:rPr>
      </w:pPr>
      <w:r w:rsidRPr="00363492">
        <w:rPr>
          <w:b/>
          <w:color w:val="0000FF"/>
        </w:rPr>
        <w:t>1</w:t>
      </w:r>
      <w:r w:rsidR="00837121" w:rsidRPr="00363492">
        <w:rPr>
          <w:b/>
          <w:color w:val="0000FF"/>
        </w:rPr>
        <w:t>a</w:t>
      </w:r>
      <w:r w:rsidRPr="00363492">
        <w:rPr>
          <w:b/>
          <w:color w:val="0000FF"/>
        </w:rPr>
        <w:t>.</w:t>
      </w:r>
      <w:r w:rsidR="00EE5AF6" w:rsidRPr="00363492">
        <w:rPr>
          <w:b/>
          <w:color w:val="0000FF"/>
        </w:rPr>
        <w:t>7.</w:t>
      </w:r>
      <w:r w:rsidR="00095EC9" w:rsidRPr="00363492">
        <w:rPr>
          <w:b/>
          <w:color w:val="0000FF"/>
        </w:rPr>
        <w:t>6</w:t>
      </w:r>
      <w:r w:rsidRPr="00363492">
        <w:rPr>
          <w:b/>
          <w:color w:val="0000FF"/>
        </w:rPr>
        <w:t>.</w:t>
      </w:r>
      <w:r w:rsidRPr="00363492">
        <w:t xml:space="preserve"> </w:t>
      </w:r>
      <w:proofErr w:type="gramStart"/>
      <w:r w:rsidR="00496AF8" w:rsidRPr="00363492">
        <w:rPr>
          <w:b/>
        </w:rPr>
        <w:t>What</w:t>
      </w:r>
      <w:proofErr w:type="gramEnd"/>
      <w:r w:rsidR="00496AF8" w:rsidRPr="00363492">
        <w:rPr>
          <w:b/>
        </w:rPr>
        <w:t xml:space="preserve"> is the overall quality of evidence </w:t>
      </w:r>
      <w:r w:rsidR="00496AF8" w:rsidRPr="00363492">
        <w:rPr>
          <w:b/>
          <w:u w:val="single"/>
        </w:rPr>
        <w:t>across studies</w:t>
      </w:r>
      <w:r w:rsidR="00496AF8" w:rsidRPr="00363492">
        <w:rPr>
          <w:b/>
        </w:rPr>
        <w:t xml:space="preserve"> in the body of evidence</w:t>
      </w:r>
      <w:r w:rsidR="00496AF8" w:rsidRPr="00363492">
        <w:t>? (</w:t>
      </w:r>
      <w:proofErr w:type="gramStart"/>
      <w:r w:rsidR="006709EB" w:rsidRPr="00363492">
        <w:rPr>
          <w:i/>
        </w:rPr>
        <w:t>discuss</w:t>
      </w:r>
      <w:proofErr w:type="gramEnd"/>
      <w:r w:rsidR="006709EB" w:rsidRPr="00363492">
        <w:rPr>
          <w:i/>
        </w:rPr>
        <w:t xml:space="preserve"> the </w:t>
      </w:r>
      <w:r w:rsidR="00496AF8" w:rsidRPr="00363492">
        <w:rPr>
          <w:i/>
        </w:rPr>
        <w:t xml:space="preserve">certainty or confidence in the estimates of effect </w:t>
      </w:r>
      <w:r w:rsidR="0039609A" w:rsidRPr="00363492">
        <w:rPr>
          <w:i/>
        </w:rPr>
        <w:t xml:space="preserve">particularly in relation </w:t>
      </w:r>
      <w:r w:rsidR="00496AF8" w:rsidRPr="00363492">
        <w:rPr>
          <w:i/>
        </w:rPr>
        <w:t>to study factor</w:t>
      </w:r>
      <w:r w:rsidR="000160E6" w:rsidRPr="00363492">
        <w:rPr>
          <w:i/>
        </w:rPr>
        <w:t xml:space="preserve">s such as design flaws, </w:t>
      </w:r>
      <w:r w:rsidR="00E57BE2" w:rsidRPr="00363492">
        <w:rPr>
          <w:i/>
        </w:rPr>
        <w:t xml:space="preserve">imprecision due to </w:t>
      </w:r>
      <w:r w:rsidR="000160E6" w:rsidRPr="00363492">
        <w:rPr>
          <w:i/>
        </w:rPr>
        <w:t xml:space="preserve">small numbers, indirectness </w:t>
      </w:r>
      <w:r w:rsidR="00E57BE2" w:rsidRPr="00363492">
        <w:rPr>
          <w:i/>
        </w:rPr>
        <w:t xml:space="preserve">of studies </w:t>
      </w:r>
      <w:r w:rsidR="000160E6" w:rsidRPr="00363492">
        <w:rPr>
          <w:i/>
        </w:rPr>
        <w:t>to the measure focus or target population</w:t>
      </w:r>
      <w:r w:rsidR="00496AF8" w:rsidRPr="00363492">
        <w:rPr>
          <w:iCs/>
        </w:rPr>
        <w:t>)</w:t>
      </w:r>
      <w:r w:rsidR="000D649E" w:rsidRPr="00363492">
        <w:rPr>
          <w:iCs/>
        </w:rPr>
        <w:t xml:space="preserve">  </w:t>
      </w:r>
    </w:p>
    <w:p w:rsidR="0077399D" w:rsidRPr="00363492" w:rsidRDefault="009A1598" w:rsidP="009A1598">
      <w:pPr>
        <w:ind w:left="720" w:firstLine="0"/>
        <w:rPr>
          <w:rFonts w:cs="Arial"/>
        </w:rPr>
      </w:pPr>
      <w:r w:rsidRPr="00363492">
        <w:rPr>
          <w:rFonts w:cs="Arial"/>
        </w:rPr>
        <w:t xml:space="preserve">There was no statement of the overall quality of evidence in guideline documents, but it appears to be Level </w:t>
      </w:r>
      <w:r w:rsidR="0077399D" w:rsidRPr="00363492">
        <w:rPr>
          <w:rFonts w:cs="Arial"/>
        </w:rPr>
        <w:t>2</w:t>
      </w:r>
      <w:r w:rsidRPr="00363492">
        <w:rPr>
          <w:rFonts w:cs="Arial"/>
        </w:rPr>
        <w:t xml:space="preserve"> - </w:t>
      </w:r>
      <w:r w:rsidR="0077399D" w:rsidRPr="00363492">
        <w:rPr>
          <w:rFonts w:cs="Arial"/>
        </w:rPr>
        <w:t>Meta-analyses of nonrandomized prospective or case-controlled trials, prospective cohort studies, nonrandomized controlled trials</w:t>
      </w:r>
      <w:r w:rsidRPr="00363492">
        <w:rPr>
          <w:rFonts w:cs="Arial"/>
        </w:rPr>
        <w:t xml:space="preserve"> </w:t>
      </w:r>
      <w:proofErr w:type="gramStart"/>
      <w:r w:rsidR="0077399D" w:rsidRPr="00363492">
        <w:rPr>
          <w:rFonts w:cs="Arial"/>
        </w:rPr>
        <w:t>There</w:t>
      </w:r>
      <w:proofErr w:type="gramEnd"/>
      <w:r w:rsidR="0077399D" w:rsidRPr="00363492">
        <w:rPr>
          <w:rFonts w:cs="Arial"/>
        </w:rPr>
        <w:t xml:space="preserve"> were </w:t>
      </w:r>
      <w:r w:rsidR="00AD0C75" w:rsidRPr="00363492">
        <w:rPr>
          <w:rFonts w:cs="Arial"/>
        </w:rPr>
        <w:t>eleven</w:t>
      </w:r>
      <w:r w:rsidR="0077399D" w:rsidRPr="00363492">
        <w:rPr>
          <w:rFonts w:cs="Arial"/>
        </w:rPr>
        <w:t xml:space="preserve"> Level 2 studies evaluated for the 3 recommendations.</w:t>
      </w:r>
    </w:p>
    <w:p w:rsidR="00500A28" w:rsidRPr="00363492" w:rsidRDefault="0077399D" w:rsidP="009A1598">
      <w:pPr>
        <w:ind w:left="720" w:firstLine="0"/>
        <w:rPr>
          <w:rFonts w:cs="Arial"/>
        </w:rPr>
      </w:pPr>
      <w:r w:rsidRPr="00363492">
        <w:rPr>
          <w:rFonts w:cs="Arial"/>
        </w:rPr>
        <w:t xml:space="preserve"> </w:t>
      </w:r>
    </w:p>
    <w:p w:rsidR="00496AF8" w:rsidRPr="00363492" w:rsidRDefault="00500A28" w:rsidP="00500A28">
      <w:pPr>
        <w:ind w:left="720" w:firstLine="0"/>
      </w:pPr>
      <w:r w:rsidRPr="00363492">
        <w:rPr>
          <w:rFonts w:cs="Arial"/>
        </w:rPr>
        <w:lastRenderedPageBreak/>
        <w:t>Factors considered in analysis were premise correctness, allocation concealment (randomization), selection bias, appropriate blinding, using surrogate end-points, sample size, and null hypothesis vs. Bayesian statistics.  The estimated effect of these factors was not stated in guideline documents – only that they were considered.</w:t>
      </w:r>
    </w:p>
    <w:p w:rsidR="00D14F0B" w:rsidRPr="00363492" w:rsidRDefault="00D14F0B" w:rsidP="002E2177">
      <w:pPr>
        <w:ind w:left="0" w:firstLine="0"/>
      </w:pPr>
    </w:p>
    <w:p w:rsidR="00496AF8" w:rsidRPr="00363492" w:rsidRDefault="00C5180E" w:rsidP="002E2177">
      <w:pPr>
        <w:ind w:left="0" w:firstLine="0"/>
        <w:rPr>
          <w:b/>
        </w:rPr>
      </w:pPr>
      <w:r w:rsidRPr="00363492">
        <w:rPr>
          <w:b/>
        </w:rPr>
        <w:t>ESTIMATES OF BENEFIT AND CONSISTENCY ACROSS STUDIES IN BODY OF EVIDENCE</w:t>
      </w:r>
    </w:p>
    <w:p w:rsidR="00496AF8" w:rsidRPr="00363492" w:rsidRDefault="001B772D" w:rsidP="002E2177">
      <w:pPr>
        <w:ind w:left="432" w:hanging="432"/>
      </w:pPr>
      <w:r w:rsidRPr="00363492">
        <w:rPr>
          <w:b/>
          <w:color w:val="0000FF"/>
        </w:rPr>
        <w:t>1</w:t>
      </w:r>
      <w:r w:rsidR="00837121" w:rsidRPr="00363492">
        <w:rPr>
          <w:b/>
          <w:color w:val="0000FF"/>
        </w:rPr>
        <w:t>a</w:t>
      </w:r>
      <w:r w:rsidRPr="00363492">
        <w:rPr>
          <w:b/>
          <w:color w:val="0000FF"/>
        </w:rPr>
        <w:t>.</w:t>
      </w:r>
      <w:r w:rsidR="00EE5AF6" w:rsidRPr="00363492">
        <w:rPr>
          <w:b/>
          <w:color w:val="0000FF"/>
        </w:rPr>
        <w:t>7.</w:t>
      </w:r>
      <w:r w:rsidR="00095EC9" w:rsidRPr="00363492">
        <w:rPr>
          <w:b/>
          <w:color w:val="0000FF"/>
        </w:rPr>
        <w:t>7</w:t>
      </w:r>
      <w:r w:rsidRPr="00363492">
        <w:rPr>
          <w:b/>
          <w:color w:val="0000FF"/>
        </w:rPr>
        <w:t>.</w:t>
      </w:r>
      <w:r w:rsidRPr="00363492">
        <w:t xml:space="preserve"> </w:t>
      </w:r>
      <w:proofErr w:type="gramStart"/>
      <w:r w:rsidR="00496AF8" w:rsidRPr="00363492">
        <w:rPr>
          <w:b/>
        </w:rPr>
        <w:t>What</w:t>
      </w:r>
      <w:proofErr w:type="gramEnd"/>
      <w:r w:rsidR="00496AF8" w:rsidRPr="00363492">
        <w:rPr>
          <w:b/>
        </w:rPr>
        <w:t xml:space="preserve"> are </w:t>
      </w:r>
      <w:r w:rsidR="007D5DC6" w:rsidRPr="00363492">
        <w:rPr>
          <w:b/>
        </w:rPr>
        <w:t>the estimates</w:t>
      </w:r>
      <w:r w:rsidR="00496AF8" w:rsidRPr="00363492">
        <w:rPr>
          <w:b/>
        </w:rPr>
        <w:t xml:space="preserve"> of benefit—magnitude and direction of effect on outcome</w:t>
      </w:r>
      <w:r w:rsidR="00734949" w:rsidRPr="00363492">
        <w:rPr>
          <w:b/>
        </w:rPr>
        <w:t>(s)</w:t>
      </w:r>
      <w:r w:rsidR="00496AF8" w:rsidRPr="00363492">
        <w:rPr>
          <w:b/>
        </w:rPr>
        <w:t xml:space="preserve"> </w:t>
      </w:r>
      <w:r w:rsidR="00496AF8" w:rsidRPr="00363492">
        <w:rPr>
          <w:b/>
          <w:u w:val="single"/>
        </w:rPr>
        <w:t>across studies</w:t>
      </w:r>
      <w:r w:rsidR="00496AF8" w:rsidRPr="00363492">
        <w:rPr>
          <w:b/>
        </w:rPr>
        <w:t xml:space="preserve"> in the body of evidence</w:t>
      </w:r>
      <w:r w:rsidR="00496AF8" w:rsidRPr="00363492">
        <w:t>?</w:t>
      </w:r>
      <w:r w:rsidR="002A6777" w:rsidRPr="00363492">
        <w:t xml:space="preserve"> (</w:t>
      </w:r>
      <w:r w:rsidR="002A6777" w:rsidRPr="00363492">
        <w:rPr>
          <w:i/>
        </w:rPr>
        <w:t xml:space="preserve">e.g., </w:t>
      </w:r>
      <w:r w:rsidR="000160E6" w:rsidRPr="00363492">
        <w:rPr>
          <w:i/>
        </w:rPr>
        <w:t xml:space="preserve">ranges of percentages or odds ratios for </w:t>
      </w:r>
      <w:r w:rsidR="0068184A" w:rsidRPr="00363492">
        <w:rPr>
          <w:i/>
        </w:rPr>
        <w:t xml:space="preserve">improvement/ </w:t>
      </w:r>
      <w:r w:rsidR="007D5DC6" w:rsidRPr="00363492">
        <w:rPr>
          <w:i/>
        </w:rPr>
        <w:t>decline across</w:t>
      </w:r>
      <w:r w:rsidR="005B0D18" w:rsidRPr="00363492">
        <w:rPr>
          <w:i/>
        </w:rPr>
        <w:t xml:space="preserve"> studies, </w:t>
      </w:r>
      <w:r w:rsidR="0068184A" w:rsidRPr="00363492">
        <w:rPr>
          <w:i/>
        </w:rPr>
        <w:t>results of meta-analysis, and statistical significance</w:t>
      </w:r>
      <w:r w:rsidR="005B0D18" w:rsidRPr="00363492">
        <w:t>)</w:t>
      </w:r>
      <w:r w:rsidR="000D649E" w:rsidRPr="00363492">
        <w:t xml:space="preserve">  </w:t>
      </w:r>
    </w:p>
    <w:p w:rsidR="00496AF8" w:rsidRPr="00363492" w:rsidRDefault="00500A28" w:rsidP="002E2177">
      <w:pPr>
        <w:ind w:left="0" w:firstLine="0"/>
      </w:pPr>
      <w:proofErr w:type="gramStart"/>
      <w:r w:rsidRPr="00363492">
        <w:rPr>
          <w:rFonts w:cs="Arial"/>
        </w:rPr>
        <w:t>Unstated in guideline documents</w:t>
      </w:r>
      <w:r w:rsidRPr="00363492">
        <w:t>.</w:t>
      </w:r>
      <w:proofErr w:type="gramEnd"/>
    </w:p>
    <w:p w:rsidR="009B5BEA" w:rsidRPr="00363492" w:rsidRDefault="009B5BEA" w:rsidP="002E2177">
      <w:pPr>
        <w:ind w:left="0" w:firstLine="0"/>
      </w:pPr>
    </w:p>
    <w:p w:rsidR="00496AF8" w:rsidRPr="00363492" w:rsidRDefault="001B772D" w:rsidP="002E2177">
      <w:pPr>
        <w:ind w:left="0" w:firstLine="0"/>
      </w:pPr>
      <w:r w:rsidRPr="00363492">
        <w:rPr>
          <w:b/>
          <w:color w:val="0000FF"/>
        </w:rPr>
        <w:t>1</w:t>
      </w:r>
      <w:r w:rsidR="00837121" w:rsidRPr="00363492">
        <w:rPr>
          <w:b/>
          <w:color w:val="0000FF"/>
        </w:rPr>
        <w:t>a</w:t>
      </w:r>
      <w:r w:rsidRPr="00363492">
        <w:rPr>
          <w:b/>
          <w:color w:val="0000FF"/>
        </w:rPr>
        <w:t>.</w:t>
      </w:r>
      <w:r w:rsidR="00EE5AF6" w:rsidRPr="00363492">
        <w:rPr>
          <w:b/>
          <w:color w:val="0000FF"/>
        </w:rPr>
        <w:t>7.</w:t>
      </w:r>
      <w:r w:rsidR="00095EC9" w:rsidRPr="00363492">
        <w:rPr>
          <w:b/>
          <w:color w:val="0000FF"/>
        </w:rPr>
        <w:t>8</w:t>
      </w:r>
      <w:r w:rsidRPr="00363492">
        <w:rPr>
          <w:b/>
          <w:color w:val="0000FF"/>
        </w:rPr>
        <w:t>.</w:t>
      </w:r>
      <w:r w:rsidRPr="00363492">
        <w:t xml:space="preserve"> </w:t>
      </w:r>
      <w:proofErr w:type="gramStart"/>
      <w:r w:rsidR="00496AF8" w:rsidRPr="00363492">
        <w:rPr>
          <w:b/>
        </w:rPr>
        <w:t>What</w:t>
      </w:r>
      <w:proofErr w:type="gramEnd"/>
      <w:r w:rsidR="00496AF8" w:rsidRPr="00363492">
        <w:rPr>
          <w:b/>
        </w:rPr>
        <w:t xml:space="preserve"> harms were studied and how do they affect the net benefit</w:t>
      </w:r>
      <w:r w:rsidR="00EE1F87" w:rsidRPr="00363492" w:rsidDel="00EE1F87">
        <w:rPr>
          <w:b/>
        </w:rPr>
        <w:t xml:space="preserve"> </w:t>
      </w:r>
      <w:r w:rsidR="00EE1F87" w:rsidRPr="00363492">
        <w:rPr>
          <w:b/>
        </w:rPr>
        <w:t>(</w:t>
      </w:r>
      <w:r w:rsidR="00496AF8" w:rsidRPr="00363492">
        <w:rPr>
          <w:b/>
        </w:rPr>
        <w:t>benefits over harms</w:t>
      </w:r>
      <w:r w:rsidR="00EE1F87" w:rsidRPr="00363492">
        <w:rPr>
          <w:b/>
        </w:rPr>
        <w:t>)</w:t>
      </w:r>
      <w:r w:rsidR="00496AF8" w:rsidRPr="00363492">
        <w:rPr>
          <w:b/>
        </w:rPr>
        <w:t>?</w:t>
      </w:r>
      <w:r w:rsidR="00D14F0B" w:rsidRPr="00363492">
        <w:t xml:space="preserve"> </w:t>
      </w:r>
    </w:p>
    <w:p w:rsidR="00496AF8" w:rsidRPr="00363492" w:rsidRDefault="00500A28" w:rsidP="008C74FE">
      <w:pPr>
        <w:pStyle w:val="NoSpacing"/>
        <w:ind w:left="0" w:firstLine="0"/>
        <w:rPr>
          <w:rFonts w:cs="Arial"/>
        </w:rPr>
      </w:pPr>
      <w:r w:rsidRPr="00363492">
        <w:rPr>
          <w:rFonts w:cs="Arial"/>
        </w:rPr>
        <w:t>Treatment failure and resultant fracture was acknowledged as a possible harm; however, it was felt that more bone loss and earlier fracture would have occurred without treatment, so that the benefit outweighed the harm in the opinion of the guideline authors.</w:t>
      </w:r>
    </w:p>
    <w:p w:rsidR="00496AF8" w:rsidRPr="00363492" w:rsidRDefault="00496AF8" w:rsidP="008C74FE">
      <w:pPr>
        <w:pStyle w:val="NoSpacing"/>
        <w:ind w:left="0" w:firstLine="0"/>
        <w:rPr>
          <w:rFonts w:cs="Arial"/>
        </w:rPr>
      </w:pPr>
    </w:p>
    <w:p w:rsidR="00496AF8" w:rsidRPr="00363492" w:rsidRDefault="00C5180E" w:rsidP="002E2177">
      <w:pPr>
        <w:ind w:left="0" w:firstLine="0"/>
        <w:rPr>
          <w:b/>
          <w:noProof/>
        </w:rPr>
      </w:pPr>
      <w:r w:rsidRPr="00363492">
        <w:rPr>
          <w:b/>
          <w:noProof/>
        </w:rPr>
        <w:t>UPDATE TO THE SYSTEMATIC REVIEW(S) OF THE BODY OF EVIDENCE</w:t>
      </w:r>
    </w:p>
    <w:p w:rsidR="00496AF8" w:rsidRPr="00363492" w:rsidRDefault="001B772D" w:rsidP="002E2177">
      <w:pPr>
        <w:ind w:left="432" w:hanging="432"/>
      </w:pPr>
      <w:r w:rsidRPr="00363492">
        <w:rPr>
          <w:b/>
          <w:noProof/>
          <w:color w:val="0000FF"/>
        </w:rPr>
        <w:t>1</w:t>
      </w:r>
      <w:r w:rsidR="00837121" w:rsidRPr="00363492">
        <w:rPr>
          <w:b/>
          <w:noProof/>
          <w:color w:val="0000FF"/>
        </w:rPr>
        <w:t>a</w:t>
      </w:r>
      <w:r w:rsidRPr="00363492">
        <w:rPr>
          <w:b/>
          <w:noProof/>
          <w:color w:val="0000FF"/>
        </w:rPr>
        <w:t>.</w:t>
      </w:r>
      <w:r w:rsidR="00773485" w:rsidRPr="00363492">
        <w:rPr>
          <w:b/>
          <w:noProof/>
          <w:color w:val="0000FF"/>
        </w:rPr>
        <w:t>7.</w:t>
      </w:r>
      <w:r w:rsidR="00C84623" w:rsidRPr="00363492">
        <w:rPr>
          <w:b/>
          <w:noProof/>
          <w:color w:val="0000FF"/>
        </w:rPr>
        <w:t>9</w:t>
      </w:r>
      <w:r w:rsidRPr="00363492">
        <w:rPr>
          <w:b/>
          <w:noProof/>
          <w:color w:val="0000FF"/>
        </w:rPr>
        <w:t>.</w:t>
      </w:r>
      <w:r w:rsidRPr="00363492">
        <w:rPr>
          <w:noProof/>
        </w:rPr>
        <w:t xml:space="preserve"> </w:t>
      </w:r>
      <w:r w:rsidR="00837121" w:rsidRPr="00363492">
        <w:rPr>
          <w:b/>
          <w:noProof/>
        </w:rPr>
        <w:t xml:space="preserve">If </w:t>
      </w:r>
      <w:r w:rsidR="00496AF8" w:rsidRPr="00363492">
        <w:rPr>
          <w:b/>
          <w:noProof/>
        </w:rPr>
        <w:t>new studies have been conducted</w:t>
      </w:r>
      <w:r w:rsidR="00837121" w:rsidRPr="00363492">
        <w:rPr>
          <w:b/>
          <w:noProof/>
        </w:rPr>
        <w:t xml:space="preserve"> since the systematic review </w:t>
      </w:r>
      <w:r w:rsidR="00496AF8" w:rsidRPr="00363492">
        <w:rPr>
          <w:b/>
          <w:noProof/>
        </w:rPr>
        <w:t>of the body of evidence</w:t>
      </w:r>
      <w:r w:rsidR="0094689F" w:rsidRPr="00363492">
        <w:rPr>
          <w:b/>
          <w:noProof/>
        </w:rPr>
        <w:t xml:space="preserve">, provide for </w:t>
      </w:r>
      <w:r w:rsidR="00496AF8" w:rsidRPr="00363492">
        <w:rPr>
          <w:b/>
          <w:noProof/>
          <w:u w:val="single"/>
        </w:rPr>
        <w:t>each</w:t>
      </w:r>
      <w:r w:rsidR="00496AF8" w:rsidRPr="00363492">
        <w:rPr>
          <w:b/>
          <w:noProof/>
        </w:rPr>
        <w:t xml:space="preserve"> </w:t>
      </w:r>
      <w:r w:rsidR="002875E9" w:rsidRPr="00363492">
        <w:rPr>
          <w:b/>
          <w:noProof/>
        </w:rPr>
        <w:t xml:space="preserve">new </w:t>
      </w:r>
      <w:r w:rsidR="0094689F" w:rsidRPr="00363492">
        <w:rPr>
          <w:b/>
          <w:noProof/>
        </w:rPr>
        <w:t>study</w:t>
      </w:r>
      <w:r w:rsidR="00496AF8" w:rsidRPr="00363492">
        <w:rPr>
          <w:b/>
          <w:noProof/>
        </w:rPr>
        <w:t xml:space="preserve">: </w:t>
      </w:r>
      <w:r w:rsidR="006709EB" w:rsidRPr="00363492">
        <w:rPr>
          <w:b/>
          <w:noProof/>
        </w:rPr>
        <w:t>1</w:t>
      </w:r>
      <w:r w:rsidR="00496AF8" w:rsidRPr="00363492">
        <w:rPr>
          <w:b/>
          <w:noProof/>
        </w:rPr>
        <w:t>) citation, 2) description, 3) results, 4) impact on conclusions of systematic review</w:t>
      </w:r>
      <w:r w:rsidR="00496AF8" w:rsidRPr="00363492">
        <w:rPr>
          <w:noProof/>
        </w:rPr>
        <w:t>.</w:t>
      </w:r>
      <w:r w:rsidR="000D649E" w:rsidRPr="00363492">
        <w:rPr>
          <w:noProof/>
        </w:rPr>
        <w:t xml:space="preserve">  </w:t>
      </w:r>
    </w:p>
    <w:p w:rsidR="00837121" w:rsidRPr="00363492" w:rsidRDefault="00B303F0" w:rsidP="002E2177">
      <w:pPr>
        <w:ind w:left="0" w:firstLine="0"/>
        <w:rPr>
          <w:rFonts w:cs="Arial"/>
        </w:rPr>
      </w:pPr>
      <w:r w:rsidRPr="00363492">
        <w:rPr>
          <w:rFonts w:cs="Arial"/>
        </w:rPr>
        <w:t>None</w:t>
      </w:r>
    </w:p>
    <w:p w:rsidR="0094689F" w:rsidRPr="00363492" w:rsidRDefault="0094689F" w:rsidP="002E2177">
      <w:pPr>
        <w:ind w:left="0" w:firstLine="0"/>
        <w:rPr>
          <w:b/>
          <w:color w:val="0070C0"/>
        </w:rPr>
      </w:pPr>
    </w:p>
    <w:p w:rsidR="00837121" w:rsidRPr="00363492" w:rsidRDefault="00837121" w:rsidP="002E2177">
      <w:pPr>
        <w:ind w:left="0" w:firstLine="0"/>
        <w:rPr>
          <w:b/>
        </w:rPr>
      </w:pPr>
      <w:bookmarkStart w:id="17" w:name="Section1a8"/>
      <w:bookmarkEnd w:id="17"/>
      <w:r w:rsidRPr="00363492">
        <w:rPr>
          <w:b/>
          <w:color w:val="0000FF"/>
        </w:rPr>
        <w:t xml:space="preserve">1a.8 </w:t>
      </w:r>
      <w:r w:rsidRPr="00363492">
        <w:rPr>
          <w:b/>
        </w:rPr>
        <w:t>OTHER SOURCE OF EVIDENCE</w:t>
      </w:r>
    </w:p>
    <w:p w:rsidR="00837121" w:rsidRPr="00363492" w:rsidRDefault="00837121" w:rsidP="002E2177">
      <w:pPr>
        <w:ind w:left="0" w:firstLine="0"/>
        <w:rPr>
          <w:i/>
        </w:rPr>
      </w:pPr>
      <w:r w:rsidRPr="00363492">
        <w:rPr>
          <w:i/>
        </w:rPr>
        <w:t xml:space="preserve">If source of evidence is </w:t>
      </w:r>
      <w:r w:rsidR="002B06BD" w:rsidRPr="00363492">
        <w:rPr>
          <w:i/>
        </w:rPr>
        <w:t xml:space="preserve">NOT </w:t>
      </w:r>
      <w:r w:rsidRPr="00363492">
        <w:rPr>
          <w:i/>
        </w:rPr>
        <w:t xml:space="preserve">from a clinical practice guideline, USPSTF, or systematic review, please describe the evidence on which you are basing </w:t>
      </w:r>
      <w:r w:rsidR="00EE1F87" w:rsidRPr="00363492">
        <w:rPr>
          <w:i/>
        </w:rPr>
        <w:t xml:space="preserve">the </w:t>
      </w:r>
      <w:r w:rsidRPr="00363492">
        <w:rPr>
          <w:i/>
        </w:rPr>
        <w:t>performance measure.</w:t>
      </w:r>
    </w:p>
    <w:p w:rsidR="00837121" w:rsidRPr="00363492" w:rsidRDefault="00837121" w:rsidP="002E2177">
      <w:pPr>
        <w:ind w:left="0" w:firstLine="0"/>
      </w:pPr>
    </w:p>
    <w:p w:rsidR="00837121" w:rsidRPr="00363492" w:rsidRDefault="00837121" w:rsidP="002E2177">
      <w:pPr>
        <w:ind w:left="0" w:firstLine="0"/>
        <w:rPr>
          <w:color w:val="FF0000"/>
        </w:rPr>
      </w:pPr>
      <w:r w:rsidRPr="00363492">
        <w:rPr>
          <w:b/>
          <w:color w:val="0000FF"/>
        </w:rPr>
        <w:t>1a.8.1</w:t>
      </w:r>
      <w:r w:rsidRPr="00363492">
        <w:rPr>
          <w:color w:val="0070C0"/>
        </w:rPr>
        <w:t xml:space="preserve"> </w:t>
      </w:r>
      <w:proofErr w:type="gramStart"/>
      <w:r w:rsidRPr="00363492">
        <w:rPr>
          <w:b/>
        </w:rPr>
        <w:t>What</w:t>
      </w:r>
      <w:proofErr w:type="gramEnd"/>
      <w:r w:rsidRPr="00363492">
        <w:rPr>
          <w:b/>
        </w:rPr>
        <w:t xml:space="preserve"> process was used to identify the evidence?</w:t>
      </w:r>
    </w:p>
    <w:p w:rsidR="00837121" w:rsidRPr="00363492" w:rsidRDefault="00837121" w:rsidP="002E2177">
      <w:pPr>
        <w:ind w:left="0" w:firstLine="0"/>
        <w:rPr>
          <w:rFonts w:cs="Arial"/>
        </w:rPr>
      </w:pPr>
    </w:p>
    <w:p w:rsidR="009A5C4C" w:rsidRPr="00363492" w:rsidRDefault="009A5C4C" w:rsidP="002E2177">
      <w:pPr>
        <w:ind w:left="0" w:firstLine="0"/>
        <w:rPr>
          <w:rFonts w:cs="Arial"/>
        </w:rPr>
      </w:pPr>
      <w:r w:rsidRPr="00363492">
        <w:rPr>
          <w:rFonts w:cs="Arial"/>
        </w:rPr>
        <w:t xml:space="preserve">A fulsome literature search of Medline, PubMed, Cinhal, </w:t>
      </w:r>
      <w:r w:rsidR="00AD0C75" w:rsidRPr="00363492">
        <w:rPr>
          <w:rFonts w:cs="Arial"/>
        </w:rPr>
        <w:t xml:space="preserve">Medline, </w:t>
      </w:r>
      <w:r w:rsidRPr="00363492">
        <w:rPr>
          <w:rFonts w:cs="Arial"/>
        </w:rPr>
        <w:t xml:space="preserve">Cochrane </w:t>
      </w:r>
      <w:r w:rsidR="00FD308B" w:rsidRPr="00363492">
        <w:rPr>
          <w:rFonts w:cs="Arial"/>
        </w:rPr>
        <w:t>R</w:t>
      </w:r>
      <w:r w:rsidRPr="00363492">
        <w:rPr>
          <w:rFonts w:cs="Arial"/>
        </w:rPr>
        <w:t>eviews</w:t>
      </w:r>
      <w:r w:rsidR="00FD308B" w:rsidRPr="00363492">
        <w:rPr>
          <w:rFonts w:cs="Arial"/>
        </w:rPr>
        <w:t xml:space="preserve">, </w:t>
      </w:r>
      <w:r w:rsidRPr="00363492">
        <w:rPr>
          <w:rFonts w:cs="Arial"/>
        </w:rPr>
        <w:t>The National Guideline Clearinghouse, The National Quality Measure Clearinghouse, Clinical Trials.gov, and other sources was conducted</w:t>
      </w:r>
      <w:r w:rsidR="00FD308B" w:rsidRPr="00363492">
        <w:rPr>
          <w:rFonts w:cs="Arial"/>
        </w:rPr>
        <w:t xml:space="preserve"> in July 2007, inclusive of publications from 2000 through 2007. This search was repeated in August 2013, inclusive of publications from 2008 through 2013</w:t>
      </w:r>
      <w:r w:rsidRPr="00363492">
        <w:rPr>
          <w:rFonts w:cs="Arial"/>
        </w:rPr>
        <w:t>.  888 references were identified</w:t>
      </w:r>
      <w:r w:rsidR="0077399D" w:rsidRPr="00363492">
        <w:rPr>
          <w:rFonts w:cs="Arial"/>
        </w:rPr>
        <w:t xml:space="preserve"> in this second review</w:t>
      </w:r>
      <w:r w:rsidRPr="00363492">
        <w:rPr>
          <w:rFonts w:cs="Arial"/>
        </w:rPr>
        <w:t xml:space="preserve">.  These 888 references were </w:t>
      </w:r>
      <w:r w:rsidR="004750C6" w:rsidRPr="00363492">
        <w:rPr>
          <w:rFonts w:cs="Arial"/>
        </w:rPr>
        <w:t xml:space="preserve">further </w:t>
      </w:r>
      <w:proofErr w:type="gramStart"/>
      <w:r w:rsidRPr="00363492">
        <w:rPr>
          <w:rFonts w:cs="Arial"/>
        </w:rPr>
        <w:t>narrowed  to</w:t>
      </w:r>
      <w:proofErr w:type="gramEnd"/>
      <w:r w:rsidRPr="00363492">
        <w:rPr>
          <w:rFonts w:cs="Arial"/>
        </w:rPr>
        <w:t xml:space="preserve"> 58 germane references. A secondary targeted search of references in </w:t>
      </w:r>
      <w:r w:rsidR="004750C6" w:rsidRPr="00363492">
        <w:rPr>
          <w:rFonts w:cs="Arial"/>
        </w:rPr>
        <w:t>these</w:t>
      </w:r>
      <w:r w:rsidRPr="00363492">
        <w:rPr>
          <w:rFonts w:cs="Arial"/>
        </w:rPr>
        <w:t xml:space="preserve"> publications so identified was also conducted, resulting in an additional 36 references.</w:t>
      </w:r>
    </w:p>
    <w:p w:rsidR="009A5C4C" w:rsidRPr="00363492" w:rsidRDefault="009A5C4C" w:rsidP="002E2177">
      <w:pPr>
        <w:ind w:left="0" w:firstLine="0"/>
        <w:rPr>
          <w:rFonts w:cs="Arial"/>
        </w:rPr>
      </w:pPr>
    </w:p>
    <w:p w:rsidR="009A5C4C" w:rsidRPr="00363492" w:rsidRDefault="009A5C4C" w:rsidP="002E2177">
      <w:pPr>
        <w:ind w:left="0" w:firstLine="0"/>
        <w:rPr>
          <w:rFonts w:cs="Arial"/>
        </w:rPr>
      </w:pPr>
      <w:r w:rsidRPr="00363492">
        <w:rPr>
          <w:rFonts w:cs="Arial"/>
        </w:rPr>
        <w:t xml:space="preserve">References included were </w:t>
      </w:r>
      <w:r w:rsidR="00FD308B" w:rsidRPr="00363492">
        <w:rPr>
          <w:rFonts w:cs="Arial"/>
        </w:rPr>
        <w:t>evidence-based guidelines, meta-analyses, The Surgeon General’s 2004 report, randomized control trials, cohort studies, consecutive case series, and other well-referenced publications.</w:t>
      </w:r>
    </w:p>
    <w:p w:rsidR="00FD308B" w:rsidRPr="00363492" w:rsidRDefault="00FD308B" w:rsidP="002E2177">
      <w:pPr>
        <w:ind w:left="0" w:firstLine="0"/>
        <w:rPr>
          <w:rFonts w:cs="Arial"/>
        </w:rPr>
      </w:pPr>
    </w:p>
    <w:p w:rsidR="00837121" w:rsidRPr="00363492" w:rsidRDefault="00837121" w:rsidP="002E2177">
      <w:pPr>
        <w:ind w:left="0" w:firstLine="0"/>
        <w:rPr>
          <w:b/>
          <w:color w:val="FF0000"/>
        </w:rPr>
      </w:pPr>
      <w:r w:rsidRPr="00363492">
        <w:rPr>
          <w:b/>
          <w:color w:val="0000FF"/>
        </w:rPr>
        <w:t>1a.8.2.</w:t>
      </w:r>
      <w:r w:rsidRPr="00363492">
        <w:rPr>
          <w:color w:val="0070C0"/>
        </w:rPr>
        <w:t xml:space="preserve"> </w:t>
      </w:r>
      <w:r w:rsidR="006C7F30" w:rsidRPr="00363492">
        <w:rPr>
          <w:b/>
        </w:rPr>
        <w:t>Provide the citation</w:t>
      </w:r>
      <w:r w:rsidR="009E6B86" w:rsidRPr="00363492">
        <w:rPr>
          <w:b/>
        </w:rPr>
        <w:t xml:space="preserve"> </w:t>
      </w:r>
      <w:r w:rsidR="006C7F30" w:rsidRPr="00363492">
        <w:rPr>
          <w:b/>
        </w:rPr>
        <w:t>and summary for each piece of evidence.</w:t>
      </w:r>
    </w:p>
    <w:p w:rsidR="00FD308B" w:rsidRPr="00363492" w:rsidRDefault="00FD308B" w:rsidP="002E2177">
      <w:pPr>
        <w:ind w:left="0" w:firstLine="0"/>
        <w:rPr>
          <w:b/>
          <w:color w:val="FF0000"/>
        </w:rPr>
      </w:pPr>
    </w:p>
    <w:p w:rsidR="00FD308B" w:rsidRPr="00363492" w:rsidRDefault="00FD308B" w:rsidP="00215296">
      <w:pPr>
        <w:ind w:left="0" w:firstLine="0"/>
        <w:rPr>
          <w:rFonts w:cs="Arial"/>
        </w:rPr>
      </w:pPr>
      <w:proofErr w:type="gramStart"/>
      <w:r w:rsidRPr="00363492">
        <w:rPr>
          <w:rFonts w:cs="Arial"/>
        </w:rPr>
        <w:t>American Association of Clinical Endocrinologists.</w:t>
      </w:r>
      <w:proofErr w:type="gramEnd"/>
      <w:r w:rsidRPr="00363492">
        <w:rPr>
          <w:rFonts w:cs="Arial"/>
        </w:rPr>
        <w:t xml:space="preserve"> Medical guidelines for clinical practice for the diagnosis and treatment of postmenopausal osteoporosis: Endocr Pract. 2010 Nov-Dec</w:t>
      </w:r>
      <w:proofErr w:type="gramStart"/>
      <w:r w:rsidRPr="00363492">
        <w:rPr>
          <w:rFonts w:cs="Arial"/>
        </w:rPr>
        <w:t>;16</w:t>
      </w:r>
      <w:proofErr w:type="gramEnd"/>
      <w:r w:rsidR="00AD0C75" w:rsidRPr="00363492">
        <w:rPr>
          <w:rFonts w:cs="Arial"/>
        </w:rPr>
        <w:t xml:space="preserve"> </w:t>
      </w:r>
      <w:r w:rsidRPr="00363492">
        <w:rPr>
          <w:rFonts w:cs="Arial"/>
        </w:rPr>
        <w:t>(Suppl 3):1-37. [209 references]</w:t>
      </w:r>
    </w:p>
    <w:p w:rsidR="003C19AC" w:rsidRPr="00363492" w:rsidRDefault="003C19AC" w:rsidP="00215296">
      <w:pPr>
        <w:pStyle w:val="NoSpacing"/>
        <w:ind w:left="0" w:firstLine="0"/>
        <w:rPr>
          <w:rFonts w:cs="Arial"/>
        </w:rPr>
      </w:pPr>
      <w:r w:rsidRPr="00363492">
        <w:rPr>
          <w:rFonts w:cs="Arial"/>
          <w:i/>
        </w:rPr>
        <w:t>Summary:</w:t>
      </w:r>
      <w:r w:rsidRPr="00363492">
        <w:rPr>
          <w:rFonts w:cs="Arial"/>
        </w:rPr>
        <w:t xml:space="preserve">  This guideline publication presents evidence-based information about the diagnosis, evaluation, and treatment of postmenopausal osteoporosis.  It is an update of the 2001 guideline.  Among other recommendations, it recommends a basic laboratory panel of tests to evaluate patients </w:t>
      </w:r>
      <w:r w:rsidRPr="00363492">
        <w:rPr>
          <w:rFonts w:cs="Arial"/>
        </w:rPr>
        <w:lastRenderedPageBreak/>
        <w:t>for secondary causes of osteoporosis</w:t>
      </w:r>
      <w:r w:rsidR="00FD5F14" w:rsidRPr="00363492">
        <w:rPr>
          <w:rFonts w:cs="Arial"/>
        </w:rPr>
        <w:t xml:space="preserve">, DXA scanning to establish a diagnosis of osteoporosis or osteopenia and for follow-up monitoring, use of various medications for low bone mass, </w:t>
      </w:r>
      <w:r w:rsidRPr="00363492">
        <w:rPr>
          <w:rFonts w:cs="Arial"/>
        </w:rPr>
        <w:t>and Vitamin D supplementation for deficiency; osteoporosis is defined as a fracture of the hip or vertebra, in addition to DXA result definitions.</w:t>
      </w:r>
    </w:p>
    <w:p w:rsidR="00FD308B" w:rsidRPr="00363492" w:rsidRDefault="00FD308B" w:rsidP="00215296">
      <w:pPr>
        <w:ind w:left="0" w:firstLine="0"/>
        <w:rPr>
          <w:rFonts w:cs="Arial"/>
          <w:b/>
          <w:bCs/>
        </w:rPr>
      </w:pPr>
    </w:p>
    <w:p w:rsidR="00FD308B" w:rsidRPr="00363492" w:rsidRDefault="00FD308B" w:rsidP="00215296">
      <w:pPr>
        <w:ind w:left="0" w:firstLine="0"/>
        <w:rPr>
          <w:rFonts w:cs="Arial"/>
        </w:rPr>
      </w:pPr>
      <w:proofErr w:type="gramStart"/>
      <w:r w:rsidRPr="00363492">
        <w:rPr>
          <w:rFonts w:cs="Arial"/>
        </w:rPr>
        <w:t>Andrade SE, Majumdar SR, Chan KA, Buist DS, et al.</w:t>
      </w:r>
      <w:proofErr w:type="gramEnd"/>
      <w:r w:rsidRPr="00363492">
        <w:rPr>
          <w:rFonts w:cs="Arial"/>
        </w:rPr>
        <w:t xml:space="preserve">  Low Frequency of Treatment of Osteoporosis </w:t>
      </w:r>
      <w:proofErr w:type="gramStart"/>
      <w:r w:rsidRPr="00363492">
        <w:rPr>
          <w:rFonts w:cs="Arial"/>
        </w:rPr>
        <w:t>Among</w:t>
      </w:r>
      <w:proofErr w:type="gramEnd"/>
      <w:r w:rsidRPr="00363492">
        <w:rPr>
          <w:rFonts w:cs="Arial"/>
        </w:rPr>
        <w:t xml:space="preserve"> Postmenopausal Women Following a Fracture.  Arch Int Med; Vol 163, Sep 22, 2003.</w:t>
      </w:r>
    </w:p>
    <w:p w:rsidR="00FD5F14" w:rsidRPr="00363492" w:rsidRDefault="00FD5F14" w:rsidP="00215296">
      <w:pPr>
        <w:pStyle w:val="NoSpacing"/>
        <w:ind w:left="0" w:firstLine="0"/>
        <w:rPr>
          <w:rFonts w:cs="Arial"/>
        </w:rPr>
      </w:pPr>
      <w:r w:rsidRPr="00363492">
        <w:rPr>
          <w:rFonts w:cs="Arial"/>
          <w:i/>
        </w:rPr>
        <w:t>Summary:</w:t>
      </w:r>
      <w:r w:rsidRPr="00363492">
        <w:rPr>
          <w:rFonts w:cs="Arial"/>
        </w:rPr>
        <w:t xml:space="preserve"> A retrospective review of the databases of 7 health maintenance organizations was conducted to evaluate the use of drugs recommended for secondary prevention of osteoporotic fracture among women 60 and older with a fracture of the hip, wrist, spine or vertebra. 3492 patients were evaluated for use of FDA-approved pharmacotherapy within 1 year of fracture.  Women with fracture of the vertebra were treated twice as often as women with fracture of the wrist or hip (44% vs. 22% and 21%, respectively).</w:t>
      </w:r>
      <w:r w:rsidR="000972F5" w:rsidRPr="00363492">
        <w:rPr>
          <w:rFonts w:cs="Arial"/>
        </w:rPr>
        <w:t xml:space="preserve">  Interventions to improve the detection and treatment of osteoporosis are warranted.</w:t>
      </w:r>
    </w:p>
    <w:p w:rsidR="00FD308B" w:rsidRPr="00363492" w:rsidRDefault="00FD308B" w:rsidP="00215296">
      <w:pPr>
        <w:ind w:left="0" w:firstLine="0"/>
        <w:rPr>
          <w:rFonts w:cs="Arial"/>
        </w:rPr>
      </w:pPr>
    </w:p>
    <w:p w:rsidR="00FD308B" w:rsidRPr="00363492" w:rsidRDefault="00FD308B" w:rsidP="00215296">
      <w:pPr>
        <w:ind w:left="0" w:firstLine="0"/>
        <w:rPr>
          <w:rFonts w:cs="Arial"/>
        </w:rPr>
      </w:pPr>
      <w:proofErr w:type="gramStart"/>
      <w:r w:rsidRPr="00363492">
        <w:rPr>
          <w:rFonts w:cs="Arial"/>
        </w:rPr>
        <w:t>Colon-Emeric, C, Kuchibhatia M, Pieper C, Hawkes W et al.</w:t>
      </w:r>
      <w:proofErr w:type="gramEnd"/>
      <w:r w:rsidRPr="00363492">
        <w:rPr>
          <w:rFonts w:cs="Arial"/>
        </w:rPr>
        <w:t xml:space="preserve">  The contribution of hip fracture to risk of subsequent fractures: data from two longitudinal studies.  </w:t>
      </w:r>
      <w:proofErr w:type="gramStart"/>
      <w:r w:rsidRPr="00363492">
        <w:rPr>
          <w:rFonts w:cs="Arial"/>
        </w:rPr>
        <w:t>Osteoporosis Int (2003) 14: 879-883.</w:t>
      </w:r>
      <w:proofErr w:type="gramEnd"/>
    </w:p>
    <w:p w:rsidR="00C30662" w:rsidRPr="00363492" w:rsidRDefault="00C30662" w:rsidP="00215296">
      <w:pPr>
        <w:ind w:left="0" w:firstLine="0"/>
        <w:rPr>
          <w:rFonts w:cs="Arial"/>
        </w:rPr>
      </w:pPr>
      <w:r w:rsidRPr="00363492">
        <w:rPr>
          <w:rFonts w:cs="Arial"/>
          <w:i/>
        </w:rPr>
        <w:t>Summary:</w:t>
      </w:r>
      <w:r w:rsidR="00645C3C" w:rsidRPr="00363492">
        <w:rPr>
          <w:rFonts w:cs="Arial"/>
        </w:rPr>
        <w:t xml:space="preserve">  This article is an analysis of data from 2 large cohort studies</w:t>
      </w:r>
      <w:r w:rsidR="00D30735" w:rsidRPr="00363492">
        <w:rPr>
          <w:rFonts w:cs="Arial"/>
        </w:rPr>
        <w:t xml:space="preserve"> (the Baltimore Hip Studies and the Established Populations for Epidemiologic Studies of the Elderly, EPESE)</w:t>
      </w:r>
      <w:r w:rsidR="00645C3C" w:rsidRPr="00363492">
        <w:rPr>
          <w:rFonts w:cs="Arial"/>
        </w:rPr>
        <w:t xml:space="preserve"> to assess the risk of future fracture after hip fracture.</w:t>
      </w:r>
      <w:r w:rsidR="00D30735" w:rsidRPr="00363492">
        <w:rPr>
          <w:rFonts w:cs="Arial"/>
        </w:rPr>
        <w:t xml:space="preserve">  After adjustment for other known fracture risk factors, the risk increase after hip fracture was 1.6 for both men and women; unadjusted rates were 2.52.  This increased risk for fracture persisted over time (the study evaluated 10 years after hip fracture). </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 xml:space="preserve">Dawson-Hughes B.  </w:t>
      </w:r>
      <w:proofErr w:type="gramStart"/>
      <w:r w:rsidRPr="00363492">
        <w:rPr>
          <w:rFonts w:cs="Arial"/>
        </w:rPr>
        <w:t>Serum 25-hydroxyvitamin D and functional outcomes in the elderly.</w:t>
      </w:r>
      <w:proofErr w:type="gramEnd"/>
      <w:r w:rsidRPr="00363492">
        <w:rPr>
          <w:rFonts w:cs="Arial"/>
        </w:rPr>
        <w:t xml:space="preserve">  Am J Clin Nutr 2008:88(suppl): 537S-</w:t>
      </w:r>
      <w:proofErr w:type="gramStart"/>
      <w:r w:rsidRPr="00363492">
        <w:rPr>
          <w:rFonts w:cs="Arial"/>
        </w:rPr>
        <w:t>40S.</w:t>
      </w:r>
      <w:proofErr w:type="gramEnd"/>
      <w:r w:rsidRPr="00363492">
        <w:rPr>
          <w:rFonts w:cs="Arial"/>
        </w:rPr>
        <w:t xml:space="preserve"> </w:t>
      </w:r>
    </w:p>
    <w:p w:rsidR="006A6192" w:rsidRPr="00363492" w:rsidRDefault="006A6192" w:rsidP="00215296">
      <w:pPr>
        <w:pStyle w:val="NoSpacing"/>
        <w:ind w:left="0" w:firstLine="0"/>
        <w:rPr>
          <w:rFonts w:cs="Arial"/>
        </w:rPr>
      </w:pPr>
      <w:r w:rsidRPr="00363492">
        <w:rPr>
          <w:rFonts w:cs="Arial"/>
          <w:i/>
        </w:rPr>
        <w:t>Summary:</w:t>
      </w:r>
      <w:r w:rsidRPr="00363492">
        <w:rPr>
          <w:rFonts w:cs="Arial"/>
        </w:rPr>
        <w:t xml:space="preserve">  Article reporting on key evidence that treatment with Vitamin D has measurable benefits to the musculoskeletal system in the elderly.  Target levels are described </w:t>
      </w:r>
      <w:proofErr w:type="gramStart"/>
      <w:r w:rsidRPr="00363492">
        <w:rPr>
          <w:rFonts w:cs="Arial"/>
        </w:rPr>
        <w:t>as above 65 ng/ml,</w:t>
      </w:r>
      <w:proofErr w:type="gramEnd"/>
      <w:r w:rsidRPr="00363492">
        <w:rPr>
          <w:rFonts w:cs="Arial"/>
        </w:rPr>
        <w:t xml:space="preserve"> while 30% of persons living in lower latitudes are estimated to have insufficiency. Conclusion is that Vitamin D improves muscle function and reduces the risk of falling.</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Dell RM, Greene D, Anderson D, Williams K.  Osteoporosis Disease Management: What Every Orthopedic Surgeon Should Know.  J Bone Joint Surg Am. 2009:91 Suppl 6: 79-86.</w:t>
      </w:r>
    </w:p>
    <w:p w:rsidR="00CE555C" w:rsidRPr="00363492" w:rsidRDefault="00CE555C" w:rsidP="00215296">
      <w:pPr>
        <w:pStyle w:val="NoSpacing"/>
        <w:rPr>
          <w:rFonts w:cs="Arial"/>
        </w:rPr>
      </w:pPr>
      <w:r w:rsidRPr="00363492">
        <w:rPr>
          <w:rFonts w:cs="Arial"/>
          <w:i/>
        </w:rPr>
        <w:t>Summary:</w:t>
      </w:r>
      <w:r w:rsidRPr="00363492">
        <w:rPr>
          <w:rFonts w:cs="Arial"/>
        </w:rPr>
        <w:t xml:space="preserve"> Overview of osteoporosis prevalence, pathophysiology, </w:t>
      </w:r>
      <w:proofErr w:type="gramStart"/>
      <w:r w:rsidRPr="00363492">
        <w:rPr>
          <w:rFonts w:cs="Arial"/>
        </w:rPr>
        <w:t>laboratory</w:t>
      </w:r>
      <w:proofErr w:type="gramEnd"/>
      <w:r w:rsidRPr="00363492">
        <w:rPr>
          <w:rFonts w:cs="Arial"/>
        </w:rPr>
        <w:t xml:space="preserve"> tests for routine</w:t>
      </w:r>
    </w:p>
    <w:p w:rsidR="00CE555C" w:rsidRPr="00363492" w:rsidRDefault="00CE555C" w:rsidP="00215296">
      <w:pPr>
        <w:pStyle w:val="NoSpacing"/>
        <w:ind w:left="0" w:firstLine="0"/>
        <w:rPr>
          <w:rFonts w:cs="Arial"/>
        </w:rPr>
      </w:pPr>
      <w:proofErr w:type="gramStart"/>
      <w:r w:rsidRPr="00363492">
        <w:rPr>
          <w:rFonts w:cs="Arial"/>
        </w:rPr>
        <w:t>evaluation</w:t>
      </w:r>
      <w:proofErr w:type="gramEnd"/>
      <w:r w:rsidRPr="00363492">
        <w:rPr>
          <w:rFonts w:cs="Arial"/>
        </w:rPr>
        <w:t>, and treatment.</w:t>
      </w:r>
      <w:r w:rsidR="00CB46D2" w:rsidRPr="00363492">
        <w:rPr>
          <w:rFonts w:cs="Arial"/>
          <w:color w:val="444444"/>
        </w:rPr>
        <w:t xml:space="preserve"> </w:t>
      </w:r>
    </w:p>
    <w:p w:rsidR="00FD308B" w:rsidRPr="00363492" w:rsidRDefault="00FD308B" w:rsidP="00215296">
      <w:pPr>
        <w:ind w:left="0" w:firstLine="0"/>
        <w:rPr>
          <w:rFonts w:cs="Arial"/>
          <w:bCs/>
        </w:rPr>
      </w:pPr>
    </w:p>
    <w:p w:rsidR="00F00111" w:rsidRPr="00363492" w:rsidRDefault="00BC1ABE" w:rsidP="00215296">
      <w:pPr>
        <w:ind w:left="0" w:firstLine="0"/>
        <w:rPr>
          <w:rFonts w:cs="Arial"/>
          <w:bCs/>
        </w:rPr>
      </w:pPr>
      <w:proofErr w:type="gramStart"/>
      <w:r w:rsidRPr="00363492">
        <w:rPr>
          <w:rFonts w:cs="Arial"/>
          <w:bCs/>
        </w:rPr>
        <w:t>Deutschmann HA, Weger M, Weger W, Kotanko P, et al.</w:t>
      </w:r>
      <w:proofErr w:type="gramEnd"/>
      <w:r w:rsidRPr="00363492">
        <w:rPr>
          <w:rFonts w:cs="Arial"/>
          <w:bCs/>
        </w:rPr>
        <w:t xml:space="preserve">  Search for occult secondary osteoporosis: impact of identified possible rsik factors on bone mineral density.  Journal of Internal Medicine 252: 389-397.  </w:t>
      </w:r>
    </w:p>
    <w:p w:rsidR="00BC1ABE" w:rsidRPr="00363492" w:rsidRDefault="00F00111" w:rsidP="00215296">
      <w:pPr>
        <w:ind w:left="0" w:firstLine="0"/>
        <w:rPr>
          <w:rFonts w:cs="Arial"/>
          <w:bCs/>
        </w:rPr>
      </w:pPr>
      <w:r w:rsidRPr="00363492">
        <w:rPr>
          <w:rFonts w:cs="Arial"/>
          <w:bCs/>
          <w:i/>
        </w:rPr>
        <w:t>Summary:</w:t>
      </w:r>
      <w:r w:rsidRPr="00363492">
        <w:rPr>
          <w:rFonts w:cs="Arial"/>
          <w:bCs/>
        </w:rPr>
        <w:t xml:space="preserve">  </w:t>
      </w:r>
      <w:r w:rsidR="00BC1ABE" w:rsidRPr="00363492">
        <w:rPr>
          <w:rFonts w:cs="Arial"/>
          <w:bCs/>
        </w:rPr>
        <w:t xml:space="preserve">377 subjects with osteoporosis or nontraumatic lumbar vertebral fracture were investigated to determine whether diagnostic tests can identify possible risk factors for secondary osteoporosis and the impact of the risk factors on bone density.  In 241 of the 337 patients </w:t>
      </w:r>
      <w:r w:rsidRPr="00363492">
        <w:rPr>
          <w:rFonts w:cs="Arial"/>
          <w:bCs/>
        </w:rPr>
        <w:t xml:space="preserve">(64%), </w:t>
      </w:r>
      <w:r w:rsidR="00BC1ABE" w:rsidRPr="00363492">
        <w:rPr>
          <w:rFonts w:cs="Arial"/>
          <w:bCs/>
        </w:rPr>
        <w:t xml:space="preserve">one or more risk factors were revealed, and the number of risk factors in each patient was directly related to disease severity.  </w:t>
      </w:r>
    </w:p>
    <w:p w:rsidR="00BF0B07" w:rsidRPr="00363492" w:rsidRDefault="00BF0B07" w:rsidP="00215296">
      <w:pPr>
        <w:ind w:left="0" w:firstLine="0"/>
        <w:rPr>
          <w:rFonts w:cs="Arial"/>
          <w:bCs/>
        </w:rPr>
      </w:pPr>
    </w:p>
    <w:p w:rsidR="00FD308B" w:rsidRPr="00363492" w:rsidRDefault="00FD308B" w:rsidP="00215296">
      <w:pPr>
        <w:ind w:left="0" w:firstLine="0"/>
        <w:rPr>
          <w:rFonts w:cs="Arial"/>
        </w:rPr>
      </w:pPr>
      <w:r w:rsidRPr="00363492">
        <w:rPr>
          <w:rFonts w:cs="Arial"/>
        </w:rPr>
        <w:t xml:space="preserve">Edwards BJ, Koval K, Bunta AD, Genuario K, et al.  </w:t>
      </w:r>
      <w:proofErr w:type="gramStart"/>
      <w:r w:rsidRPr="00363492">
        <w:rPr>
          <w:rFonts w:cs="Arial"/>
        </w:rPr>
        <w:t>Addressing Secondary Prevention of Osteoporosis in Fracture Care:  Follow-up to “Own the Bone”.</w:t>
      </w:r>
      <w:proofErr w:type="gramEnd"/>
      <w:r w:rsidRPr="00363492">
        <w:rPr>
          <w:rFonts w:cs="Arial"/>
        </w:rPr>
        <w:t xml:space="preserve">  J Bone Joint Surg Am. </w:t>
      </w:r>
      <w:proofErr w:type="gramStart"/>
      <w:r w:rsidRPr="00363492">
        <w:rPr>
          <w:rFonts w:cs="Arial"/>
        </w:rPr>
        <w:t>2011:93:e87(</w:t>
      </w:r>
      <w:proofErr w:type="gramEnd"/>
      <w:r w:rsidRPr="00363492">
        <w:rPr>
          <w:rFonts w:cs="Arial"/>
        </w:rPr>
        <w:t>1-7).</w:t>
      </w:r>
    </w:p>
    <w:p w:rsidR="008B5FBB" w:rsidRPr="00363492" w:rsidRDefault="008B5FBB" w:rsidP="00215296">
      <w:pPr>
        <w:ind w:left="0" w:firstLine="0"/>
        <w:rPr>
          <w:rFonts w:cs="Arial"/>
        </w:rPr>
      </w:pPr>
      <w:r w:rsidRPr="00363492">
        <w:rPr>
          <w:rFonts w:cs="Arial"/>
          <w:i/>
        </w:rPr>
        <w:t>Summary:</w:t>
      </w:r>
      <w:r w:rsidRPr="00363492">
        <w:rPr>
          <w:rFonts w:cs="Arial"/>
        </w:rPr>
        <w:t xml:space="preserve">  Report of a prospective cohort study examining the effectiveness of two modes of intervention for inpatients with fragility fracture – immediate intervention, including initiation of pharmacotherapy while hospitalized, and delayed intervention by notification of the PCP after discharge </w:t>
      </w:r>
      <w:r w:rsidRPr="00363492">
        <w:rPr>
          <w:rFonts w:cs="Arial"/>
        </w:rPr>
        <w:lastRenderedPageBreak/>
        <w:t xml:space="preserve">that the patient should be evaluated or treated for osteoporosis.  Immediate initiation of osteoporosis care resulted in a higher rate of treatment (67%) vs. a 30% treatment rate in the delayed care group. </w:t>
      </w:r>
      <w:r w:rsidR="000425D4" w:rsidRPr="00363492">
        <w:rPr>
          <w:rFonts w:cs="Arial"/>
        </w:rPr>
        <w:t>Treatment rates prior to any intervention were 0%.</w:t>
      </w:r>
    </w:p>
    <w:p w:rsidR="00FD308B" w:rsidRPr="00363492" w:rsidRDefault="00FD308B" w:rsidP="00215296">
      <w:pPr>
        <w:ind w:left="0" w:firstLine="0"/>
        <w:rPr>
          <w:rFonts w:cs="Arial"/>
        </w:rPr>
      </w:pPr>
    </w:p>
    <w:p w:rsidR="00FD308B" w:rsidRPr="00363492" w:rsidRDefault="00FD308B" w:rsidP="00215296">
      <w:pPr>
        <w:ind w:left="0" w:firstLine="0"/>
        <w:rPr>
          <w:rFonts w:cs="Arial"/>
        </w:rPr>
      </w:pPr>
      <w:proofErr w:type="gramStart"/>
      <w:r w:rsidRPr="00363492">
        <w:rPr>
          <w:rFonts w:cs="Arial"/>
        </w:rPr>
        <w:t>Gabaroi DC, Peris P, Monegal A, Albaladejo C, et al.</w:t>
      </w:r>
      <w:proofErr w:type="gramEnd"/>
      <w:r w:rsidRPr="00363492">
        <w:rPr>
          <w:rFonts w:cs="Arial"/>
        </w:rPr>
        <w:t xml:space="preserve">  </w:t>
      </w:r>
      <w:proofErr w:type="gramStart"/>
      <w:r w:rsidRPr="00363492">
        <w:rPr>
          <w:rFonts w:cs="Arial"/>
        </w:rPr>
        <w:t>Searcxh for hidden secondary causes in postmenopausal women with osteoporosis.</w:t>
      </w:r>
      <w:proofErr w:type="gramEnd"/>
      <w:r w:rsidRPr="00363492">
        <w:rPr>
          <w:rFonts w:cs="Arial"/>
        </w:rPr>
        <w:t xml:space="preserve">  </w:t>
      </w:r>
      <w:proofErr w:type="gramStart"/>
      <w:r w:rsidRPr="00363492">
        <w:rPr>
          <w:rFonts w:cs="Arial"/>
        </w:rPr>
        <w:t>Menopause, Vol 17, No. 1, 2010.</w:t>
      </w:r>
      <w:proofErr w:type="gramEnd"/>
    </w:p>
    <w:p w:rsidR="000233D3" w:rsidRPr="00363492" w:rsidRDefault="000233D3" w:rsidP="00215296">
      <w:pPr>
        <w:ind w:left="0" w:firstLine="0"/>
        <w:rPr>
          <w:rFonts w:cs="Arial"/>
        </w:rPr>
      </w:pPr>
      <w:r w:rsidRPr="00363492">
        <w:rPr>
          <w:rFonts w:cs="Arial"/>
          <w:i/>
        </w:rPr>
        <w:t>Summary:</w:t>
      </w:r>
      <w:r w:rsidRPr="00363492">
        <w:rPr>
          <w:rFonts w:cs="Arial"/>
        </w:rPr>
        <w:t xml:space="preserve">  This is a report of a study to analyze the prevalence of conditions contributing to bone loss in postmenopausal women with osteoporosis and to evaluate the impact of these disorders on the severity of the disease.  </w:t>
      </w:r>
      <w:r w:rsidR="002F7AC7" w:rsidRPr="00363492">
        <w:rPr>
          <w:rFonts w:cs="Arial"/>
        </w:rPr>
        <w:t>As a group, 82% had low 25(OH</w:t>
      </w:r>
      <w:proofErr w:type="gramStart"/>
      <w:r w:rsidR="002F7AC7" w:rsidRPr="00363492">
        <w:rPr>
          <w:rFonts w:cs="Arial"/>
        </w:rPr>
        <w:t>)D</w:t>
      </w:r>
      <w:proofErr w:type="gramEnd"/>
      <w:r w:rsidR="002F7AC7" w:rsidRPr="00363492">
        <w:rPr>
          <w:rFonts w:cs="Arial"/>
        </w:rPr>
        <w:t xml:space="preserve"> levels (&lt;30 ng/ml), 35% had increased PTH levels, 20% had hypercalciuria, and 41% had urinary abnormalities.</w:t>
      </w:r>
    </w:p>
    <w:p w:rsidR="0049329B" w:rsidRPr="00363492" w:rsidRDefault="0049329B" w:rsidP="00215296">
      <w:pPr>
        <w:ind w:left="0" w:firstLine="0"/>
        <w:rPr>
          <w:rFonts w:cs="Arial"/>
        </w:rPr>
      </w:pPr>
    </w:p>
    <w:p w:rsidR="0049329B" w:rsidRPr="00363492" w:rsidRDefault="0049329B" w:rsidP="00215296">
      <w:pPr>
        <w:ind w:left="0" w:firstLine="0"/>
        <w:rPr>
          <w:rFonts w:cs="Arial"/>
        </w:rPr>
      </w:pPr>
      <w:r w:rsidRPr="00363492">
        <w:rPr>
          <w:rFonts w:cs="Arial"/>
        </w:rPr>
        <w:t xml:space="preserve">Hamdy, NAT.  Secondary Osteoporosis: Other Causes. </w:t>
      </w:r>
      <w:proofErr w:type="gramStart"/>
      <w:r w:rsidRPr="00363492">
        <w:rPr>
          <w:rFonts w:cs="Arial"/>
        </w:rPr>
        <w:t>Primer on the Metabolic Bone Diseases and Disorders of Mineral Metabolism, 2013.</w:t>
      </w:r>
      <w:proofErr w:type="gramEnd"/>
      <w:r w:rsidRPr="00363492">
        <w:rPr>
          <w:rFonts w:cs="Arial"/>
        </w:rPr>
        <w:t xml:space="preserve"> Ch 60: 489-494.</w:t>
      </w:r>
      <w:r w:rsidR="009C3EBC" w:rsidRPr="00363492">
        <w:rPr>
          <w:rFonts w:cs="Arial"/>
        </w:rPr>
        <w:t xml:space="preserve"> (60 references)</w:t>
      </w:r>
    </w:p>
    <w:p w:rsidR="0049329B" w:rsidRPr="00363492" w:rsidRDefault="0049329B" w:rsidP="00215296">
      <w:pPr>
        <w:pStyle w:val="NoSpacing"/>
        <w:ind w:left="0" w:firstLine="0"/>
        <w:rPr>
          <w:rFonts w:cs="Arial"/>
        </w:rPr>
      </w:pPr>
      <w:r w:rsidRPr="00363492">
        <w:rPr>
          <w:rFonts w:cs="Arial"/>
          <w:i/>
        </w:rPr>
        <w:t xml:space="preserve">Summary: </w:t>
      </w:r>
      <w:r w:rsidRPr="00363492">
        <w:rPr>
          <w:rFonts w:cs="Arial"/>
        </w:rPr>
        <w:t xml:space="preserve"> Review of secondary causes of osteoporosis, which are prevalent in two-thirds of men, more than half of premenopausal women, and one-fifth of postmenopausal women. </w:t>
      </w:r>
      <w:proofErr w:type="gramStart"/>
      <w:r w:rsidRPr="00363492">
        <w:rPr>
          <w:rFonts w:cs="Arial"/>
        </w:rPr>
        <w:t xml:space="preserve">Explores the pathophysiology of three common underlying causes – </w:t>
      </w:r>
      <w:r w:rsidR="009C3EBC" w:rsidRPr="00363492">
        <w:rPr>
          <w:rFonts w:cs="Arial"/>
        </w:rPr>
        <w:t xml:space="preserve">systemic </w:t>
      </w:r>
      <w:r w:rsidRPr="00363492">
        <w:rPr>
          <w:rFonts w:cs="Arial"/>
        </w:rPr>
        <w:t xml:space="preserve">inflammatory </w:t>
      </w:r>
      <w:r w:rsidR="009C3EBC" w:rsidRPr="00363492">
        <w:rPr>
          <w:rFonts w:cs="Arial"/>
        </w:rPr>
        <w:t>disorders</w:t>
      </w:r>
      <w:r w:rsidRPr="00363492">
        <w:rPr>
          <w:rFonts w:cs="Arial"/>
        </w:rPr>
        <w:t xml:space="preserve">, diabetes, and </w:t>
      </w:r>
      <w:r w:rsidR="009C3EBC" w:rsidRPr="00363492">
        <w:rPr>
          <w:rFonts w:cs="Arial"/>
        </w:rPr>
        <w:t>mastocytosis.</w:t>
      </w:r>
      <w:proofErr w:type="gramEnd"/>
      <w:r w:rsidR="009C3EBC" w:rsidRPr="00363492">
        <w:rPr>
          <w:rFonts w:cs="Arial"/>
        </w:rPr>
        <w:t xml:space="preserve">  Recommends a basic laboratory evaluation consisting of a CBC, biochemistry profile, 24 hour urine calcium excretion, and 25(OH</w:t>
      </w:r>
      <w:proofErr w:type="gramStart"/>
      <w:r w:rsidR="009C3EBC" w:rsidRPr="00363492">
        <w:rPr>
          <w:rFonts w:cs="Arial"/>
        </w:rPr>
        <w:t>)D</w:t>
      </w:r>
      <w:proofErr w:type="gramEnd"/>
      <w:r w:rsidR="009C3EBC" w:rsidRPr="00363492">
        <w:rPr>
          <w:rFonts w:cs="Arial"/>
        </w:rPr>
        <w:t xml:space="preserve"> for the majority of osteoporosis patients.</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Hanley DA, Cranney A, Jones G, Whiting SJ, et al.  Vitamin D in adult health and disease: a review and guideline statement from Osteoporosis Canada (summary).  CMAJ September 7, 2010: 182 (12).</w:t>
      </w:r>
    </w:p>
    <w:p w:rsidR="00CE555C" w:rsidRPr="00363492" w:rsidRDefault="00CE555C" w:rsidP="00215296">
      <w:pPr>
        <w:pStyle w:val="NoSpacing"/>
        <w:ind w:left="0" w:firstLine="0"/>
        <w:rPr>
          <w:rFonts w:cs="Arial"/>
        </w:rPr>
      </w:pPr>
      <w:r w:rsidRPr="00363492">
        <w:rPr>
          <w:rFonts w:cs="Arial"/>
          <w:i/>
        </w:rPr>
        <w:t>Summary:</w:t>
      </w:r>
      <w:r w:rsidRPr="00363492">
        <w:rPr>
          <w:rFonts w:cs="Arial"/>
        </w:rPr>
        <w:t xml:space="preserve">  Review of systematic reviews of the role of Vitamin</w:t>
      </w:r>
      <w:r w:rsidR="006A6192" w:rsidRPr="00363492">
        <w:rPr>
          <w:rFonts w:cs="Arial"/>
        </w:rPr>
        <w:t xml:space="preserve"> D in the management of osteoporosis; after screening, 16 systematic reviews of randomized control trials and observational studies remained   recommends supplementation with 800-1000IU daily for adults over 50 years of age to maintain optimum Vitamin D status. Deficiency is defined as a level below 25ng/</w:t>
      </w:r>
      <w:proofErr w:type="gramStart"/>
      <w:r w:rsidR="006A6192" w:rsidRPr="00363492">
        <w:rPr>
          <w:rFonts w:cs="Arial"/>
        </w:rPr>
        <w:t>ml  (</w:t>
      </w:r>
      <w:proofErr w:type="gramEnd"/>
      <w:r w:rsidR="006A6192" w:rsidRPr="00363492">
        <w:rPr>
          <w:rFonts w:cs="Arial"/>
        </w:rPr>
        <w:t>Level 3 evidence) and insufficiency as a level between 25 and 75 ng/ml. (Level 2 evidence).</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 xml:space="preserve">Johnell O, Kaufman J, Cummings S, Lane J, Bouxein M.  </w:t>
      </w:r>
      <w:proofErr w:type="gramStart"/>
      <w:r w:rsidRPr="00363492">
        <w:rPr>
          <w:rFonts w:cs="Arial"/>
        </w:rPr>
        <w:t>Recommendations for Car of the Osteoporotic Fracture Patient to reduce the Risk of Future Fracture.</w:t>
      </w:r>
      <w:proofErr w:type="gramEnd"/>
      <w:r w:rsidRPr="00363492">
        <w:rPr>
          <w:rFonts w:cs="Arial"/>
        </w:rPr>
        <w:t xml:space="preserve"> </w:t>
      </w:r>
      <w:proofErr w:type="gramStart"/>
      <w:r w:rsidRPr="00363492">
        <w:rPr>
          <w:rFonts w:cs="Arial"/>
        </w:rPr>
        <w:t>Developed  by</w:t>
      </w:r>
      <w:proofErr w:type="gramEnd"/>
      <w:r w:rsidRPr="00363492">
        <w:rPr>
          <w:rFonts w:cs="Arial"/>
        </w:rPr>
        <w:t xml:space="preserve"> the World Orthoped Osteoporosis Organization. </w:t>
      </w:r>
      <w:proofErr w:type="gramStart"/>
      <w:r w:rsidRPr="00363492">
        <w:rPr>
          <w:rFonts w:cs="Arial"/>
        </w:rPr>
        <w:t xml:space="preserve">Downloaded July 2, 2012 from </w:t>
      </w:r>
      <w:hyperlink r:id="rId17" w:history="1">
        <w:r w:rsidRPr="00363492">
          <w:rPr>
            <w:rStyle w:val="Hyperlink"/>
            <w:rFonts w:cs="Arial"/>
          </w:rPr>
          <w:t>www.boneandjointdecade.de/downloads</w:t>
        </w:r>
      </w:hyperlink>
      <w:r w:rsidRPr="00363492">
        <w:rPr>
          <w:rFonts w:cs="Arial"/>
        </w:rPr>
        <w:t>.</w:t>
      </w:r>
      <w:proofErr w:type="gramEnd"/>
    </w:p>
    <w:p w:rsidR="00FD308B" w:rsidRPr="00363492" w:rsidRDefault="00CE555C" w:rsidP="00215296">
      <w:pPr>
        <w:pStyle w:val="NoSpacing"/>
        <w:ind w:left="0" w:firstLine="0"/>
        <w:rPr>
          <w:rFonts w:cs="Arial"/>
        </w:rPr>
      </w:pPr>
      <w:r w:rsidRPr="00363492">
        <w:rPr>
          <w:rFonts w:cs="Arial"/>
          <w:i/>
        </w:rPr>
        <w:t xml:space="preserve">Summary:  </w:t>
      </w:r>
      <w:r w:rsidRPr="00363492">
        <w:rPr>
          <w:rFonts w:cs="Arial"/>
        </w:rPr>
        <w:t xml:space="preserve">Series of recommendations to orthopedic surgeons when treating fragility fracture patients, encouraging acting as a patient advocate to ensure that osteoporosis is addressed.  </w:t>
      </w:r>
      <w:proofErr w:type="gramStart"/>
      <w:r w:rsidRPr="00363492">
        <w:rPr>
          <w:rFonts w:cs="Arial"/>
        </w:rPr>
        <w:t>Includes recommendations for investigation for secondary causes of osteoporosis and over view of pharmacologic and non-pharmacologic interventions.</w:t>
      </w:r>
      <w:proofErr w:type="gramEnd"/>
    </w:p>
    <w:p w:rsidR="00F00111" w:rsidRPr="00363492" w:rsidRDefault="00F00111" w:rsidP="00215296">
      <w:pPr>
        <w:pStyle w:val="NoSpacing"/>
        <w:ind w:left="0" w:firstLine="0"/>
        <w:rPr>
          <w:rFonts w:cs="Arial"/>
        </w:rPr>
      </w:pPr>
    </w:p>
    <w:p w:rsidR="00F00111" w:rsidRPr="00363492" w:rsidRDefault="00F00111" w:rsidP="00215296">
      <w:pPr>
        <w:pStyle w:val="NoSpacing"/>
        <w:ind w:left="0" w:firstLine="0"/>
        <w:rPr>
          <w:rFonts w:cs="Arial"/>
        </w:rPr>
      </w:pPr>
      <w:r w:rsidRPr="00363492">
        <w:rPr>
          <w:rFonts w:cs="Arial"/>
        </w:rPr>
        <w:t>Johnson BH, Lucasey B, Robinson RG, Lukert BP.  Contributing Diagnoses in osteoporosis. Arch Int Med – Vol 149, May, 1989.</w:t>
      </w:r>
    </w:p>
    <w:p w:rsidR="00F00111" w:rsidRPr="00363492" w:rsidRDefault="00F00111" w:rsidP="00215296">
      <w:pPr>
        <w:pStyle w:val="NoSpacing"/>
        <w:ind w:left="0" w:firstLine="0"/>
        <w:rPr>
          <w:rFonts w:cs="Arial"/>
        </w:rPr>
      </w:pPr>
      <w:r w:rsidRPr="00363492">
        <w:rPr>
          <w:rFonts w:cs="Arial"/>
          <w:i/>
        </w:rPr>
        <w:t>Summary:</w:t>
      </w:r>
      <w:r w:rsidRPr="00363492">
        <w:rPr>
          <w:rFonts w:cs="Arial"/>
        </w:rPr>
        <w:t xml:space="preserve"> 300 consecutive osteoporosis patients who </w:t>
      </w:r>
      <w:r w:rsidR="00BF0B07" w:rsidRPr="00363492">
        <w:rPr>
          <w:rFonts w:cs="Arial"/>
        </w:rPr>
        <w:t>p</w:t>
      </w:r>
      <w:r w:rsidRPr="00363492">
        <w:rPr>
          <w:rFonts w:cs="Arial"/>
        </w:rPr>
        <w:t>resented to an osteoporosis clinic for evaluation were tested with laboratory tests that included CBC, thyroxine, urinary calcium and 25(OH) D levels;  83 (46%) were found to have contributing diagnoses.</w:t>
      </w:r>
    </w:p>
    <w:p w:rsidR="00CE555C" w:rsidRPr="00363492" w:rsidRDefault="00CE555C" w:rsidP="00215296">
      <w:pPr>
        <w:ind w:left="0" w:firstLine="0"/>
        <w:rPr>
          <w:rFonts w:cs="Arial"/>
        </w:rPr>
      </w:pPr>
    </w:p>
    <w:p w:rsidR="00FD308B" w:rsidRPr="00363492" w:rsidRDefault="00FD308B" w:rsidP="00215296">
      <w:pPr>
        <w:ind w:left="0" w:firstLine="0"/>
        <w:rPr>
          <w:rFonts w:cs="Arial"/>
        </w:rPr>
      </w:pPr>
      <w:r w:rsidRPr="00363492">
        <w:rPr>
          <w:rFonts w:cs="Arial"/>
        </w:rPr>
        <w:t xml:space="preserve">Klotzbuecher CM, Ross PD, Landsman PB, Abbott TA, Berger M.  Patients with Prior Fractures Have an Increased Risk of Future Fractures: A Summary of the Literature and Statistical Synthesis.  </w:t>
      </w:r>
      <w:proofErr w:type="gramStart"/>
      <w:r w:rsidRPr="00363492">
        <w:rPr>
          <w:rFonts w:cs="Arial"/>
        </w:rPr>
        <w:t>Journal of Bone and Mineral Research Vol 15, No.4, 2000.</w:t>
      </w:r>
      <w:proofErr w:type="gramEnd"/>
    </w:p>
    <w:p w:rsidR="00446498" w:rsidRPr="00363492" w:rsidRDefault="00446498" w:rsidP="00215296">
      <w:pPr>
        <w:ind w:left="0" w:firstLine="0"/>
        <w:rPr>
          <w:rFonts w:cs="Arial"/>
        </w:rPr>
      </w:pPr>
      <w:r w:rsidRPr="00363492">
        <w:rPr>
          <w:rFonts w:cs="Arial"/>
          <w:i/>
        </w:rPr>
        <w:t>Summary</w:t>
      </w:r>
      <w:r w:rsidRPr="00363492">
        <w:rPr>
          <w:rFonts w:cs="Arial"/>
        </w:rPr>
        <w:t>: A literature summary and statistical syntheses of the risk of future fracture given the occurrence of prior fracture.  Studies of peri- and postmenopausal women with prior fracture</w:t>
      </w:r>
      <w:r w:rsidR="000233D3" w:rsidRPr="00363492">
        <w:rPr>
          <w:rFonts w:cs="Arial"/>
        </w:rPr>
        <w:t xml:space="preserve"> demonstrated 2.0 times the risk of future fracture compared with women without prior fracture.  In other studies that included men and women of all ages, the risk was increased by 2.2 times.  Authors </w:t>
      </w:r>
      <w:r w:rsidR="000233D3" w:rsidRPr="00363492">
        <w:rPr>
          <w:rFonts w:cs="Arial"/>
        </w:rPr>
        <w:lastRenderedPageBreak/>
        <w:t xml:space="preserve">conclude that </w:t>
      </w:r>
      <w:proofErr w:type="gramStart"/>
      <w:r w:rsidR="000233D3" w:rsidRPr="00363492">
        <w:rPr>
          <w:rFonts w:cs="Arial"/>
        </w:rPr>
        <w:t>patients with a history of fracture at any site is</w:t>
      </w:r>
      <w:proofErr w:type="gramEnd"/>
      <w:r w:rsidR="000233D3" w:rsidRPr="00363492">
        <w:rPr>
          <w:rFonts w:cs="Arial"/>
        </w:rPr>
        <w:t xml:space="preserve"> an important risk factor for future fractures and they should receive further evaluation for osteoporosis and fracture risk. </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 xml:space="preserve">Majumdar, SR.  Recent Trends in Osteoporosis Treatment </w:t>
      </w:r>
      <w:proofErr w:type="gramStart"/>
      <w:r w:rsidRPr="00363492">
        <w:rPr>
          <w:rFonts w:cs="Arial"/>
        </w:rPr>
        <w:t>After</w:t>
      </w:r>
      <w:proofErr w:type="gramEnd"/>
      <w:r w:rsidRPr="00363492">
        <w:rPr>
          <w:rFonts w:cs="Arial"/>
        </w:rPr>
        <w:t xml:space="preserve"> Hip Fracture: Improving But Wholly Inadequate. (Editorial) The Journal of Rheumatology, February 2008.  Downloaded on July 2, 2012 at </w:t>
      </w:r>
      <w:hyperlink r:id="rId18" w:history="1">
        <w:r w:rsidRPr="00363492">
          <w:rPr>
            <w:rStyle w:val="Hyperlink"/>
            <w:rFonts w:cs="Arial"/>
          </w:rPr>
          <w:t xml:space="preserve">www.jrheum.com/subscribers/08/02/190.html </w:t>
        </w:r>
      </w:hyperlink>
    </w:p>
    <w:p w:rsidR="00645C3C" w:rsidRPr="00363492" w:rsidRDefault="00017599" w:rsidP="00215296">
      <w:pPr>
        <w:ind w:left="0" w:firstLine="0"/>
        <w:rPr>
          <w:rFonts w:cs="Arial"/>
        </w:rPr>
      </w:pPr>
      <w:r w:rsidRPr="00363492">
        <w:rPr>
          <w:rFonts w:cs="Arial"/>
          <w:i/>
        </w:rPr>
        <w:t>Summary:</w:t>
      </w:r>
      <w:r w:rsidRPr="00363492">
        <w:rPr>
          <w:rFonts w:cs="Arial"/>
        </w:rPr>
        <w:t xml:space="preserve">  Editorial relative to the stat of osteoporosis care following hip fracture.  80% of hip fracture patients have low bone mass, but only 10-20% </w:t>
      </w:r>
      <w:proofErr w:type="gramStart"/>
      <w:r w:rsidRPr="00363492">
        <w:rPr>
          <w:rFonts w:cs="Arial"/>
        </w:rPr>
        <w:t>receive</w:t>
      </w:r>
      <w:proofErr w:type="gramEnd"/>
      <w:r w:rsidRPr="00363492">
        <w:rPr>
          <w:rFonts w:cs="Arial"/>
        </w:rPr>
        <w:t xml:space="preserve"> care for osteoporosis</w:t>
      </w:r>
      <w:r w:rsidR="00645C3C" w:rsidRPr="00363492">
        <w:rPr>
          <w:rFonts w:cs="Arial"/>
        </w:rPr>
        <w:t>.  Highlighted is a report of a 10 year time-series in a population-based cohort of elderly hip fracture patients that illustrates the persistent care gap after fracture; while treatment rates improved over the course of 10 years from 7% treatment to 30%, a treatment rate of 50% would have been expected.   Outside of the study, treatment rates for the same time period were 4% in 1995 and 17% in 2004.  Barriers to treatment are discussed, and the positive effects of a case manager are described.</w:t>
      </w:r>
    </w:p>
    <w:p w:rsidR="00FD308B" w:rsidRPr="00363492" w:rsidRDefault="00017599" w:rsidP="00215296">
      <w:pPr>
        <w:ind w:left="0" w:firstLine="0"/>
        <w:rPr>
          <w:rFonts w:cs="Arial"/>
        </w:rPr>
      </w:pPr>
      <w:r w:rsidRPr="00363492">
        <w:rPr>
          <w:rFonts w:cs="Arial"/>
        </w:rPr>
        <w:t xml:space="preserve">  </w:t>
      </w:r>
    </w:p>
    <w:p w:rsidR="00FD308B" w:rsidRPr="00363492" w:rsidRDefault="00FD308B" w:rsidP="00215296">
      <w:pPr>
        <w:ind w:left="0" w:firstLine="0"/>
        <w:rPr>
          <w:rFonts w:cs="Arial"/>
          <w:bCs/>
        </w:rPr>
      </w:pPr>
      <w:r w:rsidRPr="00363492">
        <w:rPr>
          <w:rFonts w:cs="Arial"/>
          <w:bCs/>
        </w:rPr>
        <w:t xml:space="preserve">National Osteoporosis Foundation Releases New Data Detailing the Prevalence of Osteoporosis.  </w:t>
      </w:r>
      <w:proofErr w:type="gramStart"/>
      <w:r w:rsidRPr="00363492">
        <w:rPr>
          <w:rFonts w:cs="Arial"/>
          <w:bCs/>
        </w:rPr>
        <w:t>National Osteoporosis Foundation.</w:t>
      </w:r>
      <w:proofErr w:type="gramEnd"/>
      <w:r w:rsidRPr="00363492">
        <w:rPr>
          <w:rFonts w:cs="Arial"/>
          <w:bCs/>
        </w:rPr>
        <w:t xml:space="preserve">  </w:t>
      </w:r>
      <w:hyperlink r:id="rId19" w:history="1">
        <w:r w:rsidRPr="00363492">
          <w:rPr>
            <w:rStyle w:val="Hyperlink"/>
            <w:rFonts w:cs="Arial"/>
            <w:bCs/>
          </w:rPr>
          <w:t>www.nof.org</w:t>
        </w:r>
      </w:hyperlink>
      <w:r w:rsidRPr="00363492">
        <w:rPr>
          <w:rFonts w:cs="Arial"/>
          <w:bCs/>
        </w:rPr>
        <w:t xml:space="preserve">.  </w:t>
      </w:r>
      <w:proofErr w:type="gramStart"/>
      <w:r w:rsidRPr="00363492">
        <w:rPr>
          <w:rFonts w:cs="Arial"/>
          <w:bCs/>
        </w:rPr>
        <w:t>downloaded</w:t>
      </w:r>
      <w:proofErr w:type="gramEnd"/>
      <w:r w:rsidRPr="00363492">
        <w:rPr>
          <w:rFonts w:cs="Arial"/>
          <w:bCs/>
        </w:rPr>
        <w:t xml:space="preserve"> September 23, 2013.</w:t>
      </w:r>
    </w:p>
    <w:p w:rsidR="00C30662" w:rsidRPr="00363492" w:rsidRDefault="00C30662" w:rsidP="00215296">
      <w:pPr>
        <w:ind w:left="0" w:firstLine="0"/>
        <w:rPr>
          <w:rFonts w:cs="Arial"/>
          <w:bCs/>
        </w:rPr>
      </w:pPr>
      <w:r w:rsidRPr="00363492">
        <w:rPr>
          <w:rFonts w:cs="Arial"/>
          <w:bCs/>
          <w:i/>
        </w:rPr>
        <w:t>Summary:</w:t>
      </w:r>
      <w:r w:rsidRPr="00363492">
        <w:rPr>
          <w:rFonts w:cs="Arial"/>
          <w:bCs/>
        </w:rPr>
        <w:t xml:space="preserve">  A press release detailing the </w:t>
      </w:r>
      <w:r w:rsidR="000233D3" w:rsidRPr="00363492">
        <w:rPr>
          <w:rFonts w:cs="Arial"/>
          <w:bCs/>
        </w:rPr>
        <w:t xml:space="preserve">current </w:t>
      </w:r>
      <w:r w:rsidRPr="00363492">
        <w:rPr>
          <w:rFonts w:cs="Arial"/>
          <w:bCs/>
        </w:rPr>
        <w:t>prevalence of osteoporosis</w:t>
      </w:r>
      <w:r w:rsidR="000233D3" w:rsidRPr="00363492">
        <w:rPr>
          <w:rFonts w:cs="Arial"/>
          <w:bCs/>
        </w:rPr>
        <w:t xml:space="preserve"> and projected volume and expenditures in the future.</w:t>
      </w:r>
    </w:p>
    <w:p w:rsidR="00FD308B" w:rsidRPr="00363492" w:rsidRDefault="00FD308B" w:rsidP="00215296">
      <w:pPr>
        <w:ind w:left="0" w:firstLine="0"/>
        <w:rPr>
          <w:rFonts w:cs="Arial"/>
          <w:bCs/>
        </w:rPr>
      </w:pPr>
    </w:p>
    <w:p w:rsidR="00FD308B" w:rsidRPr="00363492" w:rsidRDefault="00FD308B" w:rsidP="00215296">
      <w:pPr>
        <w:ind w:left="0" w:firstLine="0"/>
        <w:rPr>
          <w:rFonts w:cs="Arial"/>
        </w:rPr>
      </w:pPr>
      <w:proofErr w:type="gramStart"/>
      <w:r w:rsidRPr="00363492">
        <w:rPr>
          <w:rFonts w:cs="Arial"/>
        </w:rPr>
        <w:t>Painter SE, Kleerekoper M, Camacho, PM.</w:t>
      </w:r>
      <w:proofErr w:type="gramEnd"/>
      <w:r w:rsidRPr="00363492">
        <w:rPr>
          <w:rFonts w:cs="Arial"/>
        </w:rPr>
        <w:t xml:space="preserve">  Secondary Osteoporosis: A Review of the Recent Evidence.  Endocrine Practice Vol 12 No.4 July/August 2006.</w:t>
      </w:r>
    </w:p>
    <w:p w:rsidR="000233D3" w:rsidRPr="00363492" w:rsidRDefault="000233D3" w:rsidP="00215296">
      <w:pPr>
        <w:ind w:left="0" w:firstLine="0"/>
        <w:rPr>
          <w:rFonts w:cs="Arial"/>
        </w:rPr>
      </w:pPr>
      <w:r w:rsidRPr="00363492">
        <w:rPr>
          <w:rFonts w:cs="Arial"/>
          <w:i/>
        </w:rPr>
        <w:t>Summary:</w:t>
      </w:r>
      <w:r w:rsidRPr="00363492">
        <w:rPr>
          <w:rFonts w:cs="Arial"/>
        </w:rPr>
        <w:t xml:space="preserve">  This article is a literature review of the many causes of osteoporosis that were published between 1990 and 2005 (15 years), focusing on literature between 2000 and 2005.  Findings were that secondary osteoporosis occurs in almost two-thirds of men, more than half of premenopausal and perimenopausal women, and in about one-fifth of postmenopausal women.  The causes of secondary osteoporosis are numerous, and heightened awareness of their possible existence is necessary to provide optimal care.</w:t>
      </w:r>
    </w:p>
    <w:p w:rsidR="00FD308B" w:rsidRPr="00363492" w:rsidRDefault="00FD308B" w:rsidP="00215296">
      <w:pPr>
        <w:ind w:left="0" w:firstLine="0"/>
        <w:rPr>
          <w:rFonts w:cs="Arial"/>
        </w:rPr>
      </w:pPr>
    </w:p>
    <w:p w:rsidR="00FD308B" w:rsidRPr="00363492" w:rsidRDefault="00FD308B" w:rsidP="00215296">
      <w:pPr>
        <w:ind w:left="0" w:firstLine="0"/>
        <w:rPr>
          <w:rFonts w:cs="Arial"/>
        </w:rPr>
      </w:pPr>
      <w:r w:rsidRPr="00363492">
        <w:rPr>
          <w:rFonts w:cs="Arial"/>
        </w:rPr>
        <w:t>Papaioannou A, Morin S, Cheug AM, Atkinson S, et al.  20120 clinical practice guidelines for the diagnosis and management of osteoporosis in Canada: summary. Can Med Assoc Journal, November 23, 2010; 182(17).</w:t>
      </w:r>
    </w:p>
    <w:p w:rsidR="00FD308B" w:rsidRPr="00363492" w:rsidRDefault="002F7AC7" w:rsidP="00215296">
      <w:pPr>
        <w:ind w:left="0" w:firstLine="0"/>
        <w:rPr>
          <w:rFonts w:cs="Arial"/>
        </w:rPr>
      </w:pPr>
      <w:r w:rsidRPr="00363492">
        <w:rPr>
          <w:rFonts w:cs="Arial"/>
          <w:i/>
        </w:rPr>
        <w:t>Summary:</w:t>
      </w:r>
      <w:r w:rsidRPr="00363492">
        <w:rPr>
          <w:rFonts w:cs="Arial"/>
        </w:rPr>
        <w:t xml:space="preserve">  This update of guidelines is formulated for both men and women over the age of 50.  The basis for the guidelines includes a literature review of 7 databases from January 1990 to December 2009, and included were Cochrane reviews, a MacLean review of 76 randomized trials and 24 meta-analyses, and 34 other papers. </w:t>
      </w:r>
      <w:r w:rsidR="00B47484" w:rsidRPr="00363492">
        <w:rPr>
          <w:rFonts w:cs="Arial"/>
        </w:rPr>
        <w:t>The guidelines state that for individuals with osteoporosis, only limited lab investigation is warranted initially, consisting of serum calcium, CBC, Creatinine, alkaline phosphatase, TSH, protein electrophoresis, and 25 (OH)D; that is sufficient to reveal any abnormalities indicative of the need for further testing for any of the myriad disorders than can result in osteoporosis.</w:t>
      </w:r>
      <w:r w:rsidR="009C35FA" w:rsidRPr="00363492">
        <w:rPr>
          <w:rFonts w:cs="Arial"/>
        </w:rPr>
        <w:t xml:space="preserve">  Vitamin D dosing for those deficient (&lt;30ng/ml) should be at the level of 800-1000 IU daily. </w:t>
      </w:r>
      <w:proofErr w:type="gramStart"/>
      <w:r w:rsidR="009C35FA" w:rsidRPr="00363492">
        <w:rPr>
          <w:rFonts w:cs="Arial"/>
        </w:rPr>
        <w:t>(71 references).</w:t>
      </w:r>
      <w:proofErr w:type="gramEnd"/>
    </w:p>
    <w:p w:rsidR="002F7AC7" w:rsidRPr="00363492" w:rsidRDefault="002F7AC7" w:rsidP="00215296">
      <w:pPr>
        <w:ind w:left="0" w:firstLine="0"/>
        <w:rPr>
          <w:rFonts w:cs="Arial"/>
        </w:rPr>
      </w:pPr>
    </w:p>
    <w:p w:rsidR="00FD308B" w:rsidRPr="00363492" w:rsidRDefault="00FD308B" w:rsidP="00215296">
      <w:pPr>
        <w:ind w:left="0" w:firstLine="0"/>
        <w:rPr>
          <w:rFonts w:cs="Arial"/>
        </w:rPr>
      </w:pPr>
      <w:r w:rsidRPr="00363492">
        <w:rPr>
          <w:rFonts w:cs="Arial"/>
        </w:rPr>
        <w:t xml:space="preserve">Pope R.  Multidisciplinary care for osteoporosis:  What the primary care physician needs to know.  Supplement to </w:t>
      </w:r>
      <w:proofErr w:type="gramStart"/>
      <w:r w:rsidRPr="00363492">
        <w:rPr>
          <w:rFonts w:cs="Arial"/>
        </w:rPr>
        <w:t>The</w:t>
      </w:r>
      <w:proofErr w:type="gramEnd"/>
      <w:r w:rsidRPr="00363492">
        <w:rPr>
          <w:rFonts w:cs="Arial"/>
        </w:rPr>
        <w:t xml:space="preserve"> Journal of </w:t>
      </w:r>
      <w:r w:rsidR="0001264A" w:rsidRPr="00363492">
        <w:rPr>
          <w:rFonts w:cs="Arial"/>
        </w:rPr>
        <w:t>F</w:t>
      </w:r>
      <w:r w:rsidRPr="00363492">
        <w:rPr>
          <w:rFonts w:cs="Arial"/>
        </w:rPr>
        <w:t>amily Practice July 2009, Vol 58, No. 7.</w:t>
      </w:r>
    </w:p>
    <w:p w:rsidR="00D30735" w:rsidRPr="00363492" w:rsidRDefault="00D30735" w:rsidP="00215296">
      <w:pPr>
        <w:ind w:left="0" w:firstLine="0"/>
        <w:rPr>
          <w:rFonts w:cs="Arial"/>
        </w:rPr>
      </w:pPr>
      <w:r w:rsidRPr="00363492">
        <w:rPr>
          <w:rFonts w:cs="Arial"/>
          <w:i/>
        </w:rPr>
        <w:t xml:space="preserve">Summary: </w:t>
      </w:r>
      <w:r w:rsidRPr="00363492">
        <w:rPr>
          <w:rFonts w:cs="Arial"/>
        </w:rPr>
        <w:t xml:space="preserve">This article reviews the role of the multidisciplinary care team in the prevention and management of osteoporosis and concludes that improved communication among </w:t>
      </w:r>
      <w:proofErr w:type="gramStart"/>
      <w:r w:rsidRPr="00363492">
        <w:rPr>
          <w:rFonts w:cs="Arial"/>
        </w:rPr>
        <w:t>providers  and</w:t>
      </w:r>
      <w:proofErr w:type="gramEnd"/>
      <w:r w:rsidRPr="00363492">
        <w:rPr>
          <w:rFonts w:cs="Arial"/>
        </w:rPr>
        <w:t xml:space="preserve"> continuity are needed.  Noted are the incidence of low bone mass among wrist fracture patients (70 to 80%), and a chart review of postmenopausal women hospitalized for a low-impact fracture showing that osteoporosis was not considered in 75% of these cases.</w:t>
      </w:r>
    </w:p>
    <w:p w:rsidR="00FD308B" w:rsidRPr="00363492" w:rsidRDefault="00FD308B" w:rsidP="00215296">
      <w:pPr>
        <w:ind w:left="0" w:firstLine="0"/>
        <w:rPr>
          <w:rFonts w:cs="Arial"/>
        </w:rPr>
      </w:pPr>
    </w:p>
    <w:p w:rsidR="00FD308B" w:rsidRPr="00363492" w:rsidRDefault="00FD308B" w:rsidP="00215296">
      <w:pPr>
        <w:ind w:left="0" w:firstLine="0"/>
        <w:rPr>
          <w:rFonts w:cs="Arial"/>
        </w:rPr>
      </w:pPr>
      <w:proofErr w:type="gramStart"/>
      <w:r w:rsidRPr="00363492">
        <w:rPr>
          <w:rFonts w:cs="Arial"/>
        </w:rPr>
        <w:t>The American College of Obstetricians and Gynecologists.</w:t>
      </w:r>
      <w:proofErr w:type="gramEnd"/>
      <w:r w:rsidRPr="00363492">
        <w:rPr>
          <w:rFonts w:cs="Arial"/>
        </w:rPr>
        <w:t xml:space="preserve"> </w:t>
      </w:r>
      <w:proofErr w:type="gramStart"/>
      <w:r w:rsidRPr="00363492">
        <w:rPr>
          <w:rFonts w:cs="Arial"/>
        </w:rPr>
        <w:t>Osteoporosis Practice Bulletin.</w:t>
      </w:r>
      <w:proofErr w:type="gramEnd"/>
      <w:r w:rsidRPr="00363492">
        <w:rPr>
          <w:rFonts w:cs="Arial"/>
        </w:rPr>
        <w:t xml:space="preserve">  Obstetrics and Gynecology Vol 120, No. 3, September 2012.</w:t>
      </w:r>
    </w:p>
    <w:p w:rsidR="00FD308B" w:rsidRPr="00363492" w:rsidRDefault="009C35FA" w:rsidP="00215296">
      <w:pPr>
        <w:ind w:left="0" w:firstLine="0"/>
        <w:rPr>
          <w:rFonts w:cs="Arial"/>
        </w:rPr>
      </w:pPr>
      <w:r w:rsidRPr="00363492">
        <w:rPr>
          <w:rFonts w:cs="Arial"/>
        </w:rPr>
        <w:t xml:space="preserve">Summary:  Recommended approaches that obstetricians/gynecologist should take in the approach to detection, management and treatment of osteoporosis.  Relevant highlights are that A) 72% of the 2005 $17 billion cost of caring for osteoporosis-related fractures is cost for care of hip fracture, and B) initial evaluation for secondary causes of osteoporosis should include CBC, metabolic profile, urinary calcium, 25(OH)D, and TSH. </w:t>
      </w:r>
      <w:proofErr w:type="gramStart"/>
      <w:r w:rsidRPr="00363492">
        <w:rPr>
          <w:rFonts w:cs="Arial"/>
        </w:rPr>
        <w:t>(78 references).</w:t>
      </w:r>
      <w:proofErr w:type="gramEnd"/>
    </w:p>
    <w:p w:rsidR="00FD308B" w:rsidRPr="00363492" w:rsidRDefault="00FD308B" w:rsidP="00215296">
      <w:pPr>
        <w:ind w:left="0" w:firstLine="0"/>
        <w:rPr>
          <w:rFonts w:cs="Arial"/>
        </w:rPr>
      </w:pPr>
    </w:p>
    <w:p w:rsidR="00FD308B" w:rsidRPr="00363492" w:rsidRDefault="00FD308B" w:rsidP="00215296">
      <w:pPr>
        <w:ind w:left="0" w:firstLine="0"/>
        <w:rPr>
          <w:rFonts w:cs="Arial"/>
        </w:rPr>
      </w:pPr>
      <w:proofErr w:type="gramStart"/>
      <w:r w:rsidRPr="00363492">
        <w:rPr>
          <w:rFonts w:cs="Arial"/>
        </w:rPr>
        <w:t>U.S.Department of Health and Human Services.</w:t>
      </w:r>
      <w:proofErr w:type="gramEnd"/>
      <w:r w:rsidRPr="00363492">
        <w:rPr>
          <w:rFonts w:cs="Arial"/>
        </w:rPr>
        <w:t xml:space="preserve">   </w:t>
      </w:r>
      <w:r w:rsidRPr="00363492">
        <w:rPr>
          <w:rFonts w:cs="Arial"/>
          <w:i/>
        </w:rPr>
        <w:t xml:space="preserve">Bone Health and Osteoporosis: A Report of the Surgeon General. </w:t>
      </w:r>
      <w:r w:rsidRPr="00363492">
        <w:rPr>
          <w:rFonts w:cs="Arial"/>
        </w:rPr>
        <w:t xml:space="preserve"> Rockville, MD.  </w:t>
      </w:r>
      <w:proofErr w:type="gramStart"/>
      <w:r w:rsidRPr="00363492">
        <w:rPr>
          <w:rFonts w:cs="Arial"/>
        </w:rPr>
        <w:t>U.S. Department of Health and Human Services.</w:t>
      </w:r>
      <w:proofErr w:type="gramEnd"/>
      <w:r w:rsidRPr="00363492">
        <w:rPr>
          <w:rFonts w:cs="Arial"/>
        </w:rPr>
        <w:t xml:space="preserve"> </w:t>
      </w:r>
      <w:proofErr w:type="gramStart"/>
      <w:r w:rsidRPr="00363492">
        <w:rPr>
          <w:rFonts w:cs="Arial"/>
        </w:rPr>
        <w:t>Office of the Surgeon General, 2004.</w:t>
      </w:r>
      <w:proofErr w:type="gramEnd"/>
    </w:p>
    <w:p w:rsidR="00BD45F2" w:rsidRPr="00363492" w:rsidRDefault="00BD45F2" w:rsidP="00215296">
      <w:pPr>
        <w:ind w:left="0" w:firstLine="0"/>
        <w:rPr>
          <w:rFonts w:cs="Arial"/>
        </w:rPr>
      </w:pPr>
      <w:r w:rsidRPr="00363492">
        <w:rPr>
          <w:rFonts w:cs="Arial"/>
        </w:rPr>
        <w:t xml:space="preserve">Summary:  Comprehensive review of effective diagnosis and management of osteoporosis Included is the recommendation that “all patients with low-trauma fractures should be evaluated for other bone diseases and secondary causes of bone loss. They should also be evaluated with respect to the need for additional preventive measures (calcium, vitamin D, exercise, fall prevention) and for drug therapy…”  </w:t>
      </w:r>
      <w:proofErr w:type="gramStart"/>
      <w:r w:rsidRPr="00363492">
        <w:rPr>
          <w:rFonts w:cs="Arial"/>
        </w:rPr>
        <w:t>(Chapter 9).</w:t>
      </w:r>
      <w:proofErr w:type="gramEnd"/>
      <w:r w:rsidRPr="00363492">
        <w:rPr>
          <w:rFonts w:cs="Arial"/>
        </w:rPr>
        <w:t xml:space="preserve">  Available at: http://www.surgeongeneral.gov/library/reports/bonehealth/chapter_9.html</w:t>
      </w:r>
    </w:p>
    <w:p w:rsidR="00FD308B" w:rsidRPr="00363492" w:rsidRDefault="00FD308B" w:rsidP="00215296">
      <w:pPr>
        <w:ind w:left="0" w:firstLine="0"/>
        <w:rPr>
          <w:rFonts w:cs="Arial"/>
        </w:rPr>
      </w:pPr>
    </w:p>
    <w:p w:rsidR="00FD308B" w:rsidRPr="00363492" w:rsidRDefault="00FD308B" w:rsidP="00215296">
      <w:pPr>
        <w:ind w:left="0" w:firstLine="0"/>
        <w:rPr>
          <w:rFonts w:cs="Arial"/>
        </w:rPr>
      </w:pPr>
      <w:proofErr w:type="gramStart"/>
      <w:r w:rsidRPr="00363492">
        <w:rPr>
          <w:rFonts w:cs="Arial"/>
          <w:bCs/>
        </w:rPr>
        <w:t>Warriner AH, Saag K.</w:t>
      </w:r>
      <w:proofErr w:type="gramEnd"/>
      <w:r w:rsidRPr="00363492">
        <w:rPr>
          <w:rFonts w:cs="Arial"/>
          <w:bCs/>
        </w:rPr>
        <w:t xml:space="preserve">  </w:t>
      </w:r>
      <w:proofErr w:type="gramStart"/>
      <w:r w:rsidRPr="00363492">
        <w:rPr>
          <w:rFonts w:cs="Arial"/>
          <w:bCs/>
        </w:rPr>
        <w:t>Osteoporosis Diagnosis and Medical Treatment.</w:t>
      </w:r>
      <w:proofErr w:type="gramEnd"/>
      <w:r w:rsidRPr="00363492">
        <w:rPr>
          <w:rFonts w:cs="Arial"/>
          <w:bCs/>
        </w:rPr>
        <w:t xml:space="preserve"> </w:t>
      </w:r>
      <w:r w:rsidRPr="00363492">
        <w:rPr>
          <w:rFonts w:cs="Arial"/>
        </w:rPr>
        <w:t>Orthop Clin N Am 44 (2013): 125-135.</w:t>
      </w:r>
    </w:p>
    <w:p w:rsidR="00C30662" w:rsidRPr="00363492" w:rsidRDefault="00C30662" w:rsidP="00215296">
      <w:pPr>
        <w:ind w:left="0" w:firstLine="0"/>
        <w:rPr>
          <w:rFonts w:cs="Arial"/>
        </w:rPr>
      </w:pPr>
      <w:r w:rsidRPr="00363492">
        <w:rPr>
          <w:rFonts w:cs="Arial"/>
          <w:i/>
        </w:rPr>
        <w:t>Summary:</w:t>
      </w:r>
      <w:r w:rsidRPr="00363492">
        <w:rPr>
          <w:rFonts w:cs="Arial"/>
        </w:rPr>
        <w:t xml:space="preserve">  Hip and vertebral fractures are 2 of the most common fracture sites related to osteopenia/osteoporosis and affect nearly 1 million Americans annually, at a cost (in 2005) of $19 billion 1.Osteoporosis can be diagnosed by measurement of bone mineral density or based on the history of a nontraumatic fracture. 2. Osteoporosis treatment should be considered for all people with a risk of future fracture; fracture risk assessment tools can assist in determining which patients will benefit from treatment. 3.  Benefits and potential risks of each of the several treatment options should be weighed for each patient. </w:t>
      </w:r>
    </w:p>
    <w:p w:rsidR="00FD308B" w:rsidRPr="00363492" w:rsidRDefault="00FD308B" w:rsidP="00215296">
      <w:pPr>
        <w:ind w:left="0" w:firstLine="0"/>
        <w:rPr>
          <w:rFonts w:cs="Arial"/>
        </w:rPr>
      </w:pPr>
    </w:p>
    <w:p w:rsidR="00FD308B" w:rsidRPr="00363492" w:rsidRDefault="00FD308B" w:rsidP="002E2177">
      <w:pPr>
        <w:ind w:left="0" w:firstLine="0"/>
      </w:pPr>
    </w:p>
    <w:sectPr w:rsidR="00FD308B" w:rsidRPr="00363492" w:rsidSect="008E70E8">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87D" w:rsidRDefault="001D687D" w:rsidP="007E37A5">
      <w:r>
        <w:separator/>
      </w:r>
    </w:p>
  </w:endnote>
  <w:endnote w:type="continuationSeparator" w:id="0">
    <w:p w:rsidR="001D687D" w:rsidRDefault="001D687D"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C75" w:rsidRDefault="00AD0C75">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21529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87D" w:rsidRDefault="001D687D" w:rsidP="007E37A5">
      <w:r>
        <w:separator/>
      </w:r>
    </w:p>
  </w:footnote>
  <w:footnote w:type="continuationSeparator" w:id="0">
    <w:p w:rsidR="001D687D" w:rsidRDefault="001D687D"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AD0C75" w:rsidRDefault="00AD0C75"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73729"/>
  </w:hdrShapeDefaults>
  <w:footnotePr>
    <w:footnote w:id="-1"/>
    <w:footnote w:id="0"/>
  </w:footnotePr>
  <w:endnotePr>
    <w:endnote w:id="-1"/>
    <w:endnote w:id="0"/>
  </w:endnotePr>
  <w:compat/>
  <w:rsids>
    <w:rsidRoot w:val="00496AF8"/>
    <w:rsid w:val="00007DBA"/>
    <w:rsid w:val="0001264A"/>
    <w:rsid w:val="00015986"/>
    <w:rsid w:val="000160E6"/>
    <w:rsid w:val="00017599"/>
    <w:rsid w:val="000233D3"/>
    <w:rsid w:val="00024526"/>
    <w:rsid w:val="00030F43"/>
    <w:rsid w:val="000425D4"/>
    <w:rsid w:val="00061CF3"/>
    <w:rsid w:val="00063601"/>
    <w:rsid w:val="00073079"/>
    <w:rsid w:val="0007593F"/>
    <w:rsid w:val="00095EC9"/>
    <w:rsid w:val="00096A37"/>
    <w:rsid w:val="000972F5"/>
    <w:rsid w:val="000A0810"/>
    <w:rsid w:val="000B627F"/>
    <w:rsid w:val="000D649E"/>
    <w:rsid w:val="000D6D06"/>
    <w:rsid w:val="000D721B"/>
    <w:rsid w:val="001134CA"/>
    <w:rsid w:val="00114848"/>
    <w:rsid w:val="00120934"/>
    <w:rsid w:val="00132070"/>
    <w:rsid w:val="00141875"/>
    <w:rsid w:val="0014347E"/>
    <w:rsid w:val="001551F6"/>
    <w:rsid w:val="0015535B"/>
    <w:rsid w:val="00162036"/>
    <w:rsid w:val="001632DD"/>
    <w:rsid w:val="00175BA6"/>
    <w:rsid w:val="00176E60"/>
    <w:rsid w:val="00194D9A"/>
    <w:rsid w:val="001A196B"/>
    <w:rsid w:val="001A6D05"/>
    <w:rsid w:val="001A7DF6"/>
    <w:rsid w:val="001B38BF"/>
    <w:rsid w:val="001B772D"/>
    <w:rsid w:val="001D5B5D"/>
    <w:rsid w:val="001D687D"/>
    <w:rsid w:val="00201FF9"/>
    <w:rsid w:val="00205857"/>
    <w:rsid w:val="002127E6"/>
    <w:rsid w:val="00215296"/>
    <w:rsid w:val="00235ADC"/>
    <w:rsid w:val="00262A46"/>
    <w:rsid w:val="00265702"/>
    <w:rsid w:val="002662B2"/>
    <w:rsid w:val="002717C7"/>
    <w:rsid w:val="002875E9"/>
    <w:rsid w:val="00287EB3"/>
    <w:rsid w:val="002A47BA"/>
    <w:rsid w:val="002A6777"/>
    <w:rsid w:val="002B06BD"/>
    <w:rsid w:val="002B22C1"/>
    <w:rsid w:val="002C0E48"/>
    <w:rsid w:val="002C50B1"/>
    <w:rsid w:val="002C6F04"/>
    <w:rsid w:val="002D41AE"/>
    <w:rsid w:val="002E2177"/>
    <w:rsid w:val="002E2E41"/>
    <w:rsid w:val="002E78CD"/>
    <w:rsid w:val="002F20A7"/>
    <w:rsid w:val="002F20CA"/>
    <w:rsid w:val="002F7AC7"/>
    <w:rsid w:val="00302B1D"/>
    <w:rsid w:val="00307FA5"/>
    <w:rsid w:val="00324D64"/>
    <w:rsid w:val="0032759E"/>
    <w:rsid w:val="00352B52"/>
    <w:rsid w:val="00355BD8"/>
    <w:rsid w:val="00363492"/>
    <w:rsid w:val="00363ECC"/>
    <w:rsid w:val="0039020B"/>
    <w:rsid w:val="00395263"/>
    <w:rsid w:val="003956E0"/>
    <w:rsid w:val="0039609A"/>
    <w:rsid w:val="00397500"/>
    <w:rsid w:val="003B65CE"/>
    <w:rsid w:val="003C19AC"/>
    <w:rsid w:val="003E039E"/>
    <w:rsid w:val="00422917"/>
    <w:rsid w:val="00440687"/>
    <w:rsid w:val="0044131D"/>
    <w:rsid w:val="00441ADA"/>
    <w:rsid w:val="00446498"/>
    <w:rsid w:val="00457E46"/>
    <w:rsid w:val="004744B0"/>
    <w:rsid w:val="004750C6"/>
    <w:rsid w:val="0049329B"/>
    <w:rsid w:val="00496AF8"/>
    <w:rsid w:val="00497B87"/>
    <w:rsid w:val="004A575D"/>
    <w:rsid w:val="004B65C6"/>
    <w:rsid w:val="004D1DC7"/>
    <w:rsid w:val="004E130C"/>
    <w:rsid w:val="00500A28"/>
    <w:rsid w:val="00500B0C"/>
    <w:rsid w:val="00516996"/>
    <w:rsid w:val="005264D9"/>
    <w:rsid w:val="00537150"/>
    <w:rsid w:val="00540984"/>
    <w:rsid w:val="00543851"/>
    <w:rsid w:val="0055559D"/>
    <w:rsid w:val="00555633"/>
    <w:rsid w:val="00556443"/>
    <w:rsid w:val="005569AE"/>
    <w:rsid w:val="00566A29"/>
    <w:rsid w:val="005857F8"/>
    <w:rsid w:val="005939BA"/>
    <w:rsid w:val="005B0D18"/>
    <w:rsid w:val="005B12C3"/>
    <w:rsid w:val="005B409D"/>
    <w:rsid w:val="005B76F8"/>
    <w:rsid w:val="005D0FDB"/>
    <w:rsid w:val="005D6D59"/>
    <w:rsid w:val="00617390"/>
    <w:rsid w:val="00623420"/>
    <w:rsid w:val="00631C7C"/>
    <w:rsid w:val="00634768"/>
    <w:rsid w:val="0063596F"/>
    <w:rsid w:val="00645C3C"/>
    <w:rsid w:val="006709EB"/>
    <w:rsid w:val="00672824"/>
    <w:rsid w:val="00676494"/>
    <w:rsid w:val="0068184A"/>
    <w:rsid w:val="006837D9"/>
    <w:rsid w:val="006A6192"/>
    <w:rsid w:val="006B5C33"/>
    <w:rsid w:val="006C7F30"/>
    <w:rsid w:val="006F4B7F"/>
    <w:rsid w:val="006F760B"/>
    <w:rsid w:val="00701CC3"/>
    <w:rsid w:val="00724801"/>
    <w:rsid w:val="00734949"/>
    <w:rsid w:val="00736AEC"/>
    <w:rsid w:val="00736E0F"/>
    <w:rsid w:val="007434FA"/>
    <w:rsid w:val="00745A96"/>
    <w:rsid w:val="007573F0"/>
    <w:rsid w:val="00765156"/>
    <w:rsid w:val="00767669"/>
    <w:rsid w:val="00773485"/>
    <w:rsid w:val="0077399D"/>
    <w:rsid w:val="00776E8F"/>
    <w:rsid w:val="00776F6D"/>
    <w:rsid w:val="007A55D7"/>
    <w:rsid w:val="007C0297"/>
    <w:rsid w:val="007C1887"/>
    <w:rsid w:val="007D5DC6"/>
    <w:rsid w:val="007E37A5"/>
    <w:rsid w:val="007F49D8"/>
    <w:rsid w:val="00805940"/>
    <w:rsid w:val="00837121"/>
    <w:rsid w:val="008471E5"/>
    <w:rsid w:val="00850A83"/>
    <w:rsid w:val="00850C35"/>
    <w:rsid w:val="00863E43"/>
    <w:rsid w:val="008647C3"/>
    <w:rsid w:val="00870987"/>
    <w:rsid w:val="0087564A"/>
    <w:rsid w:val="0087796D"/>
    <w:rsid w:val="00881160"/>
    <w:rsid w:val="0088371C"/>
    <w:rsid w:val="008A45F3"/>
    <w:rsid w:val="008B51D9"/>
    <w:rsid w:val="008B5FBB"/>
    <w:rsid w:val="008B652E"/>
    <w:rsid w:val="008C74FE"/>
    <w:rsid w:val="008E70E8"/>
    <w:rsid w:val="008F1DC6"/>
    <w:rsid w:val="00905C5B"/>
    <w:rsid w:val="00923295"/>
    <w:rsid w:val="00935265"/>
    <w:rsid w:val="0094689F"/>
    <w:rsid w:val="009477D6"/>
    <w:rsid w:val="0095310D"/>
    <w:rsid w:val="00953ED3"/>
    <w:rsid w:val="00954F32"/>
    <w:rsid w:val="00965FF6"/>
    <w:rsid w:val="00982046"/>
    <w:rsid w:val="009846D6"/>
    <w:rsid w:val="0098657F"/>
    <w:rsid w:val="009A1598"/>
    <w:rsid w:val="009A3236"/>
    <w:rsid w:val="009A5C4C"/>
    <w:rsid w:val="009A7FF8"/>
    <w:rsid w:val="009B312D"/>
    <w:rsid w:val="009B5A93"/>
    <w:rsid w:val="009B5BEA"/>
    <w:rsid w:val="009C16E9"/>
    <w:rsid w:val="009C35FA"/>
    <w:rsid w:val="009C3EBC"/>
    <w:rsid w:val="009E02EE"/>
    <w:rsid w:val="009E37BD"/>
    <w:rsid w:val="009E6B86"/>
    <w:rsid w:val="009E7C97"/>
    <w:rsid w:val="00A063C9"/>
    <w:rsid w:val="00A12762"/>
    <w:rsid w:val="00A13867"/>
    <w:rsid w:val="00A421D4"/>
    <w:rsid w:val="00A44FF0"/>
    <w:rsid w:val="00A50E55"/>
    <w:rsid w:val="00A71AE0"/>
    <w:rsid w:val="00A86444"/>
    <w:rsid w:val="00A90ECB"/>
    <w:rsid w:val="00A91A47"/>
    <w:rsid w:val="00A95D2B"/>
    <w:rsid w:val="00A96107"/>
    <w:rsid w:val="00AA5587"/>
    <w:rsid w:val="00AA74F7"/>
    <w:rsid w:val="00AD0C75"/>
    <w:rsid w:val="00AD79C8"/>
    <w:rsid w:val="00AE6CE0"/>
    <w:rsid w:val="00AF3AC2"/>
    <w:rsid w:val="00AF4164"/>
    <w:rsid w:val="00B04B14"/>
    <w:rsid w:val="00B058A6"/>
    <w:rsid w:val="00B117D0"/>
    <w:rsid w:val="00B13998"/>
    <w:rsid w:val="00B303F0"/>
    <w:rsid w:val="00B439DD"/>
    <w:rsid w:val="00B47484"/>
    <w:rsid w:val="00B51031"/>
    <w:rsid w:val="00B510B0"/>
    <w:rsid w:val="00B52E0F"/>
    <w:rsid w:val="00B74629"/>
    <w:rsid w:val="00B91F58"/>
    <w:rsid w:val="00B93691"/>
    <w:rsid w:val="00B97E49"/>
    <w:rsid w:val="00BA579E"/>
    <w:rsid w:val="00BC1ABE"/>
    <w:rsid w:val="00BD45F2"/>
    <w:rsid w:val="00BE2295"/>
    <w:rsid w:val="00BE6373"/>
    <w:rsid w:val="00BF0B07"/>
    <w:rsid w:val="00BF533A"/>
    <w:rsid w:val="00C05033"/>
    <w:rsid w:val="00C30662"/>
    <w:rsid w:val="00C46677"/>
    <w:rsid w:val="00C5180E"/>
    <w:rsid w:val="00C54E40"/>
    <w:rsid w:val="00C55F56"/>
    <w:rsid w:val="00C57BA4"/>
    <w:rsid w:val="00C620C4"/>
    <w:rsid w:val="00C70FD4"/>
    <w:rsid w:val="00C84623"/>
    <w:rsid w:val="00CB06C9"/>
    <w:rsid w:val="00CB271C"/>
    <w:rsid w:val="00CB46D2"/>
    <w:rsid w:val="00CE4F96"/>
    <w:rsid w:val="00CE555C"/>
    <w:rsid w:val="00CF0AB1"/>
    <w:rsid w:val="00CF4B9B"/>
    <w:rsid w:val="00CF55E6"/>
    <w:rsid w:val="00CF772F"/>
    <w:rsid w:val="00D048DB"/>
    <w:rsid w:val="00D14F0B"/>
    <w:rsid w:val="00D178CA"/>
    <w:rsid w:val="00D30735"/>
    <w:rsid w:val="00D3311C"/>
    <w:rsid w:val="00D53405"/>
    <w:rsid w:val="00D5457B"/>
    <w:rsid w:val="00D70171"/>
    <w:rsid w:val="00D72995"/>
    <w:rsid w:val="00DA2E8E"/>
    <w:rsid w:val="00DA7FA2"/>
    <w:rsid w:val="00DC2D8D"/>
    <w:rsid w:val="00DE50D8"/>
    <w:rsid w:val="00DF278A"/>
    <w:rsid w:val="00E1664B"/>
    <w:rsid w:val="00E30D12"/>
    <w:rsid w:val="00E35241"/>
    <w:rsid w:val="00E41417"/>
    <w:rsid w:val="00E57BE2"/>
    <w:rsid w:val="00E62A95"/>
    <w:rsid w:val="00E746A2"/>
    <w:rsid w:val="00E81ADE"/>
    <w:rsid w:val="00E90D06"/>
    <w:rsid w:val="00E97E59"/>
    <w:rsid w:val="00EA79C9"/>
    <w:rsid w:val="00EB66AC"/>
    <w:rsid w:val="00EE1F87"/>
    <w:rsid w:val="00EE3931"/>
    <w:rsid w:val="00EE3B55"/>
    <w:rsid w:val="00EE5AF6"/>
    <w:rsid w:val="00EF2CEF"/>
    <w:rsid w:val="00F00111"/>
    <w:rsid w:val="00F20406"/>
    <w:rsid w:val="00F20C3B"/>
    <w:rsid w:val="00F34B3E"/>
    <w:rsid w:val="00F431D8"/>
    <w:rsid w:val="00F67706"/>
    <w:rsid w:val="00F92D75"/>
    <w:rsid w:val="00F97327"/>
    <w:rsid w:val="00FA296F"/>
    <w:rsid w:val="00FA6BEC"/>
    <w:rsid w:val="00FA7323"/>
    <w:rsid w:val="00FC2402"/>
    <w:rsid w:val="00FC32D3"/>
    <w:rsid w:val="00FD308B"/>
    <w:rsid w:val="00FD4D82"/>
    <w:rsid w:val="00FD5F14"/>
    <w:rsid w:val="00FE5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fthighlight1">
    <w:name w:val="ft_highlight1"/>
    <w:basedOn w:val="DefaultParagraphFont"/>
    <w:rsid w:val="009C16E9"/>
    <w:rPr>
      <w:shd w:val="clear" w:color="auto" w:fill="FFFF99"/>
    </w:rPr>
  </w:style>
  <w:style w:type="paragraph" w:customStyle="1" w:styleId="note1">
    <w:name w:val="note1"/>
    <w:basedOn w:val="Normal"/>
    <w:rsid w:val="00676494"/>
    <w:pPr>
      <w:spacing w:before="150" w:after="150" w:line="336" w:lineRule="auto"/>
      <w:ind w:left="0" w:firstLine="0"/>
    </w:pPr>
    <w:rPr>
      <w:rFonts w:ascii="Times New Roman" w:eastAsia="Times New Roman" w:hAnsi="Times New Roman" w:cs="Times New Roman"/>
    </w:rPr>
  </w:style>
  <w:style w:type="paragraph" w:styleId="NoSpacing">
    <w:name w:val="No Spacing"/>
    <w:uiPriority w:val="1"/>
    <w:qFormat/>
    <w:rsid w:val="00B303F0"/>
  </w:style>
  <w:style w:type="character" w:styleId="Strong">
    <w:name w:val="Strong"/>
    <w:basedOn w:val="DefaultParagraphFont"/>
    <w:uiPriority w:val="22"/>
    <w:qFormat/>
    <w:rsid w:val="0087796D"/>
    <w:rPr>
      <w:b/>
      <w:bCs/>
    </w:rPr>
  </w:style>
  <w:style w:type="character" w:styleId="Emphasis">
    <w:name w:val="Emphasis"/>
    <w:basedOn w:val="DefaultParagraphFont"/>
    <w:uiPriority w:val="20"/>
    <w:qFormat/>
    <w:rsid w:val="008779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79522770">
      <w:bodyDiv w:val="1"/>
      <w:marLeft w:val="0"/>
      <w:marRight w:val="0"/>
      <w:marTop w:val="0"/>
      <w:marBottom w:val="0"/>
      <w:divBdr>
        <w:top w:val="none" w:sz="0" w:space="0" w:color="auto"/>
        <w:left w:val="none" w:sz="0" w:space="0" w:color="auto"/>
        <w:bottom w:val="none" w:sz="0" w:space="0" w:color="auto"/>
        <w:right w:val="none" w:sz="0" w:space="0" w:color="auto"/>
      </w:divBdr>
      <w:divsChild>
        <w:div w:id="1450974457">
          <w:marLeft w:val="0"/>
          <w:marRight w:val="0"/>
          <w:marTop w:val="0"/>
          <w:marBottom w:val="0"/>
          <w:divBdr>
            <w:top w:val="none" w:sz="0" w:space="0" w:color="auto"/>
            <w:left w:val="none" w:sz="0" w:space="0" w:color="auto"/>
            <w:bottom w:val="none" w:sz="0" w:space="0" w:color="auto"/>
            <w:right w:val="none" w:sz="0" w:space="0" w:color="auto"/>
          </w:divBdr>
          <w:divsChild>
            <w:div w:id="438452524">
              <w:marLeft w:val="0"/>
              <w:marRight w:val="0"/>
              <w:marTop w:val="0"/>
              <w:marBottom w:val="0"/>
              <w:divBdr>
                <w:top w:val="none" w:sz="0" w:space="0" w:color="auto"/>
                <w:left w:val="none" w:sz="0" w:space="0" w:color="auto"/>
                <w:bottom w:val="none" w:sz="0" w:space="0" w:color="auto"/>
                <w:right w:val="none" w:sz="0" w:space="0" w:color="auto"/>
              </w:divBdr>
              <w:divsChild>
                <w:div w:id="1398162230">
                  <w:marLeft w:val="0"/>
                  <w:marRight w:val="0"/>
                  <w:marTop w:val="0"/>
                  <w:marBottom w:val="0"/>
                  <w:divBdr>
                    <w:top w:val="single" w:sz="6" w:space="0" w:color="336666"/>
                    <w:left w:val="single" w:sz="6" w:space="0" w:color="336666"/>
                    <w:bottom w:val="single" w:sz="6" w:space="0" w:color="336666"/>
                    <w:right w:val="single" w:sz="6" w:space="0" w:color="336666"/>
                  </w:divBdr>
                  <w:divsChild>
                    <w:div w:id="918900960">
                      <w:marLeft w:val="0"/>
                      <w:marRight w:val="0"/>
                      <w:marTop w:val="0"/>
                      <w:marBottom w:val="0"/>
                      <w:divBdr>
                        <w:top w:val="none" w:sz="0" w:space="0" w:color="auto"/>
                        <w:left w:val="none" w:sz="0" w:space="0" w:color="auto"/>
                        <w:bottom w:val="none" w:sz="0" w:space="0" w:color="auto"/>
                        <w:right w:val="none" w:sz="0" w:space="0" w:color="auto"/>
                      </w:divBdr>
                      <w:divsChild>
                        <w:div w:id="2038461096">
                          <w:marLeft w:val="2175"/>
                          <w:marRight w:val="150"/>
                          <w:marTop w:val="0"/>
                          <w:marBottom w:val="0"/>
                          <w:divBdr>
                            <w:top w:val="single" w:sz="6" w:space="0" w:color="000066"/>
                            <w:left w:val="single" w:sz="6" w:space="0" w:color="000066"/>
                            <w:bottom w:val="single" w:sz="6" w:space="0" w:color="000066"/>
                            <w:right w:val="single" w:sz="6" w:space="0" w:color="000066"/>
                          </w:divBdr>
                          <w:divsChild>
                            <w:div w:id="1645621051">
                              <w:marLeft w:val="150"/>
                              <w:marRight w:val="150"/>
                              <w:marTop w:val="150"/>
                              <w:marBottom w:val="150"/>
                              <w:divBdr>
                                <w:top w:val="none" w:sz="0" w:space="0" w:color="auto"/>
                                <w:left w:val="none" w:sz="0" w:space="0" w:color="auto"/>
                                <w:bottom w:val="none" w:sz="0" w:space="0" w:color="auto"/>
                                <w:right w:val="none" w:sz="0" w:space="0" w:color="auto"/>
                              </w:divBdr>
                              <w:divsChild>
                                <w:div w:id="1354306951">
                                  <w:marLeft w:val="0"/>
                                  <w:marRight w:val="0"/>
                                  <w:marTop w:val="0"/>
                                  <w:marBottom w:val="0"/>
                                  <w:divBdr>
                                    <w:top w:val="none" w:sz="0" w:space="0" w:color="auto"/>
                                    <w:left w:val="none" w:sz="0" w:space="0" w:color="auto"/>
                                    <w:bottom w:val="none" w:sz="0" w:space="0" w:color="auto"/>
                                    <w:right w:val="none" w:sz="0" w:space="0" w:color="auto"/>
                                  </w:divBdr>
                                  <w:divsChild>
                                    <w:div w:id="1591042053">
                                      <w:marLeft w:val="0"/>
                                      <w:marRight w:val="0"/>
                                      <w:marTop w:val="0"/>
                                      <w:marBottom w:val="0"/>
                                      <w:divBdr>
                                        <w:top w:val="none" w:sz="0" w:space="0" w:color="auto"/>
                                        <w:left w:val="none" w:sz="0" w:space="0" w:color="auto"/>
                                        <w:bottom w:val="none" w:sz="0" w:space="0" w:color="auto"/>
                                        <w:right w:val="none" w:sz="0" w:space="0" w:color="auto"/>
                                      </w:divBdr>
                                      <w:divsChild>
                                        <w:div w:id="1370686477">
                                          <w:marLeft w:val="0"/>
                                          <w:marRight w:val="0"/>
                                          <w:marTop w:val="150"/>
                                          <w:marBottom w:val="75"/>
                                          <w:divBdr>
                                            <w:top w:val="none" w:sz="0" w:space="0" w:color="auto"/>
                                            <w:left w:val="none" w:sz="0" w:space="0" w:color="auto"/>
                                            <w:bottom w:val="none" w:sz="0" w:space="0" w:color="auto"/>
                                            <w:right w:val="none" w:sz="0" w:space="0" w:color="auto"/>
                                          </w:divBdr>
                                          <w:divsChild>
                                            <w:div w:id="212672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930357">
      <w:bodyDiv w:val="1"/>
      <w:marLeft w:val="75"/>
      <w:marRight w:val="75"/>
      <w:marTop w:val="75"/>
      <w:marBottom w:val="75"/>
      <w:divBdr>
        <w:top w:val="none" w:sz="0" w:space="0" w:color="auto"/>
        <w:left w:val="none" w:sz="0" w:space="0" w:color="auto"/>
        <w:bottom w:val="none" w:sz="0" w:space="0" w:color="auto"/>
        <w:right w:val="none" w:sz="0" w:space="0" w:color="auto"/>
      </w:divBdr>
      <w:divsChild>
        <w:div w:id="629868084">
          <w:marLeft w:val="120"/>
          <w:marRight w:val="0"/>
          <w:marTop w:val="0"/>
          <w:marBottom w:val="0"/>
          <w:divBdr>
            <w:top w:val="none" w:sz="0" w:space="0" w:color="auto"/>
            <w:left w:val="none" w:sz="0" w:space="0" w:color="auto"/>
            <w:bottom w:val="none" w:sz="0" w:space="0" w:color="auto"/>
            <w:right w:val="none" w:sz="0" w:space="0" w:color="auto"/>
          </w:divBdr>
          <w:divsChild>
            <w:div w:id="3513010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581377325">
      <w:bodyDiv w:val="1"/>
      <w:marLeft w:val="0"/>
      <w:marRight w:val="0"/>
      <w:marTop w:val="0"/>
      <w:marBottom w:val="0"/>
      <w:divBdr>
        <w:top w:val="none" w:sz="0" w:space="0" w:color="auto"/>
        <w:left w:val="none" w:sz="0" w:space="0" w:color="auto"/>
        <w:bottom w:val="none" w:sz="0" w:space="0" w:color="auto"/>
        <w:right w:val="none" w:sz="0" w:space="0" w:color="auto"/>
      </w:divBdr>
      <w:divsChild>
        <w:div w:id="797646170">
          <w:marLeft w:val="0"/>
          <w:marRight w:val="0"/>
          <w:marTop w:val="0"/>
          <w:marBottom w:val="0"/>
          <w:divBdr>
            <w:top w:val="none" w:sz="0" w:space="0" w:color="auto"/>
            <w:left w:val="none" w:sz="0" w:space="0" w:color="auto"/>
            <w:bottom w:val="none" w:sz="0" w:space="0" w:color="auto"/>
            <w:right w:val="none" w:sz="0" w:space="0" w:color="auto"/>
          </w:divBdr>
          <w:divsChild>
            <w:div w:id="2009284100">
              <w:marLeft w:val="0"/>
              <w:marRight w:val="0"/>
              <w:marTop w:val="0"/>
              <w:marBottom w:val="0"/>
              <w:divBdr>
                <w:top w:val="none" w:sz="0" w:space="0" w:color="auto"/>
                <w:left w:val="none" w:sz="0" w:space="0" w:color="auto"/>
                <w:bottom w:val="none" w:sz="0" w:space="0" w:color="auto"/>
                <w:right w:val="none" w:sz="0" w:space="0" w:color="auto"/>
              </w:divBdr>
              <w:divsChild>
                <w:div w:id="1901166067">
                  <w:marLeft w:val="0"/>
                  <w:marRight w:val="0"/>
                  <w:marTop w:val="0"/>
                  <w:marBottom w:val="0"/>
                  <w:divBdr>
                    <w:top w:val="single" w:sz="6" w:space="0" w:color="336666"/>
                    <w:left w:val="single" w:sz="6" w:space="0" w:color="336666"/>
                    <w:bottom w:val="single" w:sz="6" w:space="0" w:color="336666"/>
                    <w:right w:val="single" w:sz="6" w:space="0" w:color="336666"/>
                  </w:divBdr>
                  <w:divsChild>
                    <w:div w:id="160237778">
                      <w:marLeft w:val="0"/>
                      <w:marRight w:val="0"/>
                      <w:marTop w:val="0"/>
                      <w:marBottom w:val="0"/>
                      <w:divBdr>
                        <w:top w:val="none" w:sz="0" w:space="0" w:color="auto"/>
                        <w:left w:val="none" w:sz="0" w:space="0" w:color="auto"/>
                        <w:bottom w:val="none" w:sz="0" w:space="0" w:color="auto"/>
                        <w:right w:val="none" w:sz="0" w:space="0" w:color="auto"/>
                      </w:divBdr>
                      <w:divsChild>
                        <w:div w:id="639068614">
                          <w:marLeft w:val="2175"/>
                          <w:marRight w:val="150"/>
                          <w:marTop w:val="0"/>
                          <w:marBottom w:val="0"/>
                          <w:divBdr>
                            <w:top w:val="single" w:sz="6" w:space="0" w:color="000066"/>
                            <w:left w:val="single" w:sz="6" w:space="0" w:color="000066"/>
                            <w:bottom w:val="single" w:sz="6" w:space="0" w:color="000066"/>
                            <w:right w:val="single" w:sz="6" w:space="0" w:color="000066"/>
                          </w:divBdr>
                          <w:divsChild>
                            <w:div w:id="2055418858">
                              <w:marLeft w:val="150"/>
                              <w:marRight w:val="150"/>
                              <w:marTop w:val="150"/>
                              <w:marBottom w:val="150"/>
                              <w:divBdr>
                                <w:top w:val="none" w:sz="0" w:space="0" w:color="auto"/>
                                <w:left w:val="none" w:sz="0" w:space="0" w:color="auto"/>
                                <w:bottom w:val="none" w:sz="0" w:space="0" w:color="auto"/>
                                <w:right w:val="none" w:sz="0" w:space="0" w:color="auto"/>
                              </w:divBdr>
                              <w:divsChild>
                                <w:div w:id="1971008439">
                                  <w:marLeft w:val="0"/>
                                  <w:marRight w:val="0"/>
                                  <w:marTop w:val="0"/>
                                  <w:marBottom w:val="0"/>
                                  <w:divBdr>
                                    <w:top w:val="none" w:sz="0" w:space="0" w:color="auto"/>
                                    <w:left w:val="none" w:sz="0" w:space="0" w:color="auto"/>
                                    <w:bottom w:val="none" w:sz="0" w:space="0" w:color="auto"/>
                                    <w:right w:val="none" w:sz="0" w:space="0" w:color="auto"/>
                                  </w:divBdr>
                                  <w:divsChild>
                                    <w:div w:id="1582256503">
                                      <w:marLeft w:val="0"/>
                                      <w:marRight w:val="0"/>
                                      <w:marTop w:val="0"/>
                                      <w:marBottom w:val="0"/>
                                      <w:divBdr>
                                        <w:top w:val="none" w:sz="0" w:space="0" w:color="auto"/>
                                        <w:left w:val="none" w:sz="0" w:space="0" w:color="auto"/>
                                        <w:bottom w:val="none" w:sz="0" w:space="0" w:color="auto"/>
                                        <w:right w:val="none" w:sz="0" w:space="0" w:color="auto"/>
                                      </w:divBdr>
                                      <w:divsChild>
                                        <w:div w:id="340863698">
                                          <w:marLeft w:val="0"/>
                                          <w:marRight w:val="0"/>
                                          <w:marTop w:val="150"/>
                                          <w:marBottom w:val="75"/>
                                          <w:divBdr>
                                            <w:top w:val="none" w:sz="0" w:space="0" w:color="auto"/>
                                            <w:left w:val="none" w:sz="0" w:space="0" w:color="auto"/>
                                            <w:bottom w:val="none" w:sz="0" w:space="0" w:color="auto"/>
                                            <w:right w:val="none" w:sz="0" w:space="0" w:color="auto"/>
                                          </w:divBdr>
                                          <w:divsChild>
                                            <w:div w:id="129933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9173479">
      <w:bodyDiv w:val="1"/>
      <w:marLeft w:val="75"/>
      <w:marRight w:val="75"/>
      <w:marTop w:val="75"/>
      <w:marBottom w:val="75"/>
      <w:divBdr>
        <w:top w:val="none" w:sz="0" w:space="0" w:color="auto"/>
        <w:left w:val="none" w:sz="0" w:space="0" w:color="auto"/>
        <w:bottom w:val="none" w:sz="0" w:space="0" w:color="auto"/>
        <w:right w:val="none" w:sz="0" w:space="0" w:color="auto"/>
      </w:divBdr>
      <w:divsChild>
        <w:div w:id="294334452">
          <w:marLeft w:val="120"/>
          <w:marRight w:val="0"/>
          <w:marTop w:val="0"/>
          <w:marBottom w:val="0"/>
          <w:divBdr>
            <w:top w:val="none" w:sz="0" w:space="0" w:color="auto"/>
            <w:left w:val="none" w:sz="0" w:space="0" w:color="auto"/>
            <w:bottom w:val="none" w:sz="0" w:space="0" w:color="auto"/>
            <w:right w:val="none" w:sz="0" w:space="0" w:color="auto"/>
          </w:divBdr>
          <w:divsChild>
            <w:div w:id="51943858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57127619">
      <w:bodyDiv w:val="1"/>
      <w:marLeft w:val="75"/>
      <w:marRight w:val="75"/>
      <w:marTop w:val="75"/>
      <w:marBottom w:val="75"/>
      <w:divBdr>
        <w:top w:val="none" w:sz="0" w:space="0" w:color="auto"/>
        <w:left w:val="none" w:sz="0" w:space="0" w:color="auto"/>
        <w:bottom w:val="none" w:sz="0" w:space="0" w:color="auto"/>
        <w:right w:val="none" w:sz="0" w:space="0" w:color="auto"/>
      </w:divBdr>
      <w:divsChild>
        <w:div w:id="1289509792">
          <w:marLeft w:val="120"/>
          <w:marRight w:val="0"/>
          <w:marTop w:val="0"/>
          <w:marBottom w:val="0"/>
          <w:divBdr>
            <w:top w:val="none" w:sz="0" w:space="0" w:color="auto"/>
            <w:left w:val="none" w:sz="0" w:space="0" w:color="auto"/>
            <w:bottom w:val="none" w:sz="0" w:space="0" w:color="auto"/>
            <w:right w:val="none" w:sz="0" w:space="0" w:color="auto"/>
          </w:divBdr>
          <w:divsChild>
            <w:div w:id="49985597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248227500">
      <w:bodyDiv w:val="1"/>
      <w:marLeft w:val="0"/>
      <w:marRight w:val="0"/>
      <w:marTop w:val="0"/>
      <w:marBottom w:val="0"/>
      <w:divBdr>
        <w:top w:val="none" w:sz="0" w:space="0" w:color="auto"/>
        <w:left w:val="none" w:sz="0" w:space="0" w:color="auto"/>
        <w:bottom w:val="none" w:sz="0" w:space="0" w:color="auto"/>
        <w:right w:val="none" w:sz="0" w:space="0" w:color="auto"/>
      </w:divBdr>
      <w:divsChild>
        <w:div w:id="2139834331">
          <w:marLeft w:val="0"/>
          <w:marRight w:val="0"/>
          <w:marTop w:val="0"/>
          <w:marBottom w:val="0"/>
          <w:divBdr>
            <w:top w:val="none" w:sz="0" w:space="0" w:color="auto"/>
            <w:left w:val="none" w:sz="0" w:space="0" w:color="auto"/>
            <w:bottom w:val="none" w:sz="0" w:space="0" w:color="auto"/>
            <w:right w:val="none" w:sz="0" w:space="0" w:color="auto"/>
          </w:divBdr>
          <w:divsChild>
            <w:div w:id="1717000885">
              <w:marLeft w:val="0"/>
              <w:marRight w:val="0"/>
              <w:marTop w:val="0"/>
              <w:marBottom w:val="0"/>
              <w:divBdr>
                <w:top w:val="none" w:sz="0" w:space="0" w:color="auto"/>
                <w:left w:val="none" w:sz="0" w:space="0" w:color="auto"/>
                <w:bottom w:val="none" w:sz="0" w:space="0" w:color="auto"/>
                <w:right w:val="none" w:sz="0" w:space="0" w:color="auto"/>
              </w:divBdr>
              <w:divsChild>
                <w:div w:id="1153370092">
                  <w:marLeft w:val="0"/>
                  <w:marRight w:val="0"/>
                  <w:marTop w:val="0"/>
                  <w:marBottom w:val="0"/>
                  <w:divBdr>
                    <w:top w:val="single" w:sz="6" w:space="0" w:color="336666"/>
                    <w:left w:val="single" w:sz="6" w:space="0" w:color="336666"/>
                    <w:bottom w:val="single" w:sz="6" w:space="0" w:color="336666"/>
                    <w:right w:val="single" w:sz="6" w:space="0" w:color="336666"/>
                  </w:divBdr>
                  <w:divsChild>
                    <w:div w:id="1950772096">
                      <w:marLeft w:val="0"/>
                      <w:marRight w:val="0"/>
                      <w:marTop w:val="0"/>
                      <w:marBottom w:val="0"/>
                      <w:divBdr>
                        <w:top w:val="none" w:sz="0" w:space="0" w:color="auto"/>
                        <w:left w:val="none" w:sz="0" w:space="0" w:color="auto"/>
                        <w:bottom w:val="none" w:sz="0" w:space="0" w:color="auto"/>
                        <w:right w:val="none" w:sz="0" w:space="0" w:color="auto"/>
                      </w:divBdr>
                      <w:divsChild>
                        <w:div w:id="1087457418">
                          <w:marLeft w:val="2175"/>
                          <w:marRight w:val="150"/>
                          <w:marTop w:val="0"/>
                          <w:marBottom w:val="0"/>
                          <w:divBdr>
                            <w:top w:val="single" w:sz="6" w:space="0" w:color="000066"/>
                            <w:left w:val="single" w:sz="6" w:space="0" w:color="000066"/>
                            <w:bottom w:val="single" w:sz="6" w:space="0" w:color="000066"/>
                            <w:right w:val="single" w:sz="6" w:space="0" w:color="000066"/>
                          </w:divBdr>
                          <w:divsChild>
                            <w:div w:id="568418022">
                              <w:marLeft w:val="150"/>
                              <w:marRight w:val="150"/>
                              <w:marTop w:val="150"/>
                              <w:marBottom w:val="150"/>
                              <w:divBdr>
                                <w:top w:val="none" w:sz="0" w:space="0" w:color="auto"/>
                                <w:left w:val="none" w:sz="0" w:space="0" w:color="auto"/>
                                <w:bottom w:val="none" w:sz="0" w:space="0" w:color="auto"/>
                                <w:right w:val="none" w:sz="0" w:space="0" w:color="auto"/>
                              </w:divBdr>
                              <w:divsChild>
                                <w:div w:id="283853623">
                                  <w:marLeft w:val="0"/>
                                  <w:marRight w:val="0"/>
                                  <w:marTop w:val="0"/>
                                  <w:marBottom w:val="0"/>
                                  <w:divBdr>
                                    <w:top w:val="none" w:sz="0" w:space="0" w:color="auto"/>
                                    <w:left w:val="none" w:sz="0" w:space="0" w:color="auto"/>
                                    <w:bottom w:val="none" w:sz="0" w:space="0" w:color="auto"/>
                                    <w:right w:val="none" w:sz="0" w:space="0" w:color="auto"/>
                                  </w:divBdr>
                                  <w:divsChild>
                                    <w:div w:id="663553055">
                                      <w:marLeft w:val="0"/>
                                      <w:marRight w:val="0"/>
                                      <w:marTop w:val="0"/>
                                      <w:marBottom w:val="0"/>
                                      <w:divBdr>
                                        <w:top w:val="none" w:sz="0" w:space="0" w:color="auto"/>
                                        <w:left w:val="none" w:sz="0" w:space="0" w:color="auto"/>
                                        <w:bottom w:val="none" w:sz="0" w:space="0" w:color="auto"/>
                                        <w:right w:val="none" w:sz="0" w:space="0" w:color="auto"/>
                                      </w:divBdr>
                                      <w:divsChild>
                                        <w:div w:id="2005161781">
                                          <w:marLeft w:val="0"/>
                                          <w:marRight w:val="0"/>
                                          <w:marTop w:val="150"/>
                                          <w:marBottom w:val="75"/>
                                          <w:divBdr>
                                            <w:top w:val="none" w:sz="0" w:space="0" w:color="auto"/>
                                            <w:left w:val="none" w:sz="0" w:space="0" w:color="auto"/>
                                            <w:bottom w:val="none" w:sz="0" w:space="0" w:color="auto"/>
                                            <w:right w:val="none" w:sz="0" w:space="0" w:color="auto"/>
                                          </w:divBdr>
                                          <w:divsChild>
                                            <w:div w:id="42180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4753896">
      <w:bodyDiv w:val="1"/>
      <w:marLeft w:val="0"/>
      <w:marRight w:val="0"/>
      <w:marTop w:val="0"/>
      <w:marBottom w:val="0"/>
      <w:divBdr>
        <w:top w:val="none" w:sz="0" w:space="0" w:color="auto"/>
        <w:left w:val="none" w:sz="0" w:space="0" w:color="auto"/>
        <w:bottom w:val="none" w:sz="0" w:space="0" w:color="auto"/>
        <w:right w:val="none" w:sz="0" w:space="0" w:color="auto"/>
      </w:divBdr>
      <w:divsChild>
        <w:div w:id="1869902862">
          <w:marLeft w:val="0"/>
          <w:marRight w:val="0"/>
          <w:marTop w:val="0"/>
          <w:marBottom w:val="0"/>
          <w:divBdr>
            <w:top w:val="none" w:sz="0" w:space="0" w:color="auto"/>
            <w:left w:val="none" w:sz="0" w:space="0" w:color="auto"/>
            <w:bottom w:val="none" w:sz="0" w:space="0" w:color="auto"/>
            <w:right w:val="none" w:sz="0" w:space="0" w:color="auto"/>
          </w:divBdr>
          <w:divsChild>
            <w:div w:id="1013344106">
              <w:marLeft w:val="0"/>
              <w:marRight w:val="0"/>
              <w:marTop w:val="0"/>
              <w:marBottom w:val="0"/>
              <w:divBdr>
                <w:top w:val="none" w:sz="0" w:space="0" w:color="auto"/>
                <w:left w:val="none" w:sz="0" w:space="0" w:color="auto"/>
                <w:bottom w:val="none" w:sz="0" w:space="0" w:color="auto"/>
                <w:right w:val="none" w:sz="0" w:space="0" w:color="auto"/>
              </w:divBdr>
              <w:divsChild>
                <w:div w:id="950938115">
                  <w:marLeft w:val="0"/>
                  <w:marRight w:val="0"/>
                  <w:marTop w:val="0"/>
                  <w:marBottom w:val="0"/>
                  <w:divBdr>
                    <w:top w:val="single" w:sz="6" w:space="0" w:color="336666"/>
                    <w:left w:val="single" w:sz="6" w:space="0" w:color="336666"/>
                    <w:bottom w:val="single" w:sz="6" w:space="0" w:color="336666"/>
                    <w:right w:val="single" w:sz="6" w:space="0" w:color="336666"/>
                  </w:divBdr>
                  <w:divsChild>
                    <w:div w:id="1745645113">
                      <w:marLeft w:val="0"/>
                      <w:marRight w:val="0"/>
                      <w:marTop w:val="0"/>
                      <w:marBottom w:val="0"/>
                      <w:divBdr>
                        <w:top w:val="none" w:sz="0" w:space="0" w:color="auto"/>
                        <w:left w:val="none" w:sz="0" w:space="0" w:color="auto"/>
                        <w:bottom w:val="none" w:sz="0" w:space="0" w:color="auto"/>
                        <w:right w:val="none" w:sz="0" w:space="0" w:color="auto"/>
                      </w:divBdr>
                      <w:divsChild>
                        <w:div w:id="1943419147">
                          <w:marLeft w:val="2175"/>
                          <w:marRight w:val="150"/>
                          <w:marTop w:val="0"/>
                          <w:marBottom w:val="0"/>
                          <w:divBdr>
                            <w:top w:val="single" w:sz="6" w:space="0" w:color="000066"/>
                            <w:left w:val="single" w:sz="6" w:space="0" w:color="000066"/>
                            <w:bottom w:val="single" w:sz="6" w:space="0" w:color="000066"/>
                            <w:right w:val="single" w:sz="6" w:space="0" w:color="000066"/>
                          </w:divBdr>
                          <w:divsChild>
                            <w:div w:id="521011970">
                              <w:marLeft w:val="150"/>
                              <w:marRight w:val="150"/>
                              <w:marTop w:val="150"/>
                              <w:marBottom w:val="150"/>
                              <w:divBdr>
                                <w:top w:val="none" w:sz="0" w:space="0" w:color="auto"/>
                                <w:left w:val="none" w:sz="0" w:space="0" w:color="auto"/>
                                <w:bottom w:val="none" w:sz="0" w:space="0" w:color="auto"/>
                                <w:right w:val="none" w:sz="0" w:space="0" w:color="auto"/>
                              </w:divBdr>
                              <w:divsChild>
                                <w:div w:id="2016375690">
                                  <w:marLeft w:val="0"/>
                                  <w:marRight w:val="0"/>
                                  <w:marTop w:val="0"/>
                                  <w:marBottom w:val="0"/>
                                  <w:divBdr>
                                    <w:top w:val="none" w:sz="0" w:space="0" w:color="auto"/>
                                    <w:left w:val="none" w:sz="0" w:space="0" w:color="auto"/>
                                    <w:bottom w:val="none" w:sz="0" w:space="0" w:color="auto"/>
                                    <w:right w:val="none" w:sz="0" w:space="0" w:color="auto"/>
                                  </w:divBdr>
                                  <w:divsChild>
                                    <w:div w:id="1028261047">
                                      <w:marLeft w:val="0"/>
                                      <w:marRight w:val="0"/>
                                      <w:marTop w:val="0"/>
                                      <w:marBottom w:val="0"/>
                                      <w:divBdr>
                                        <w:top w:val="none" w:sz="0" w:space="0" w:color="auto"/>
                                        <w:left w:val="none" w:sz="0" w:space="0" w:color="auto"/>
                                        <w:bottom w:val="none" w:sz="0" w:space="0" w:color="auto"/>
                                        <w:right w:val="none" w:sz="0" w:space="0" w:color="auto"/>
                                      </w:divBdr>
                                      <w:divsChild>
                                        <w:div w:id="1467166134">
                                          <w:marLeft w:val="0"/>
                                          <w:marRight w:val="0"/>
                                          <w:marTop w:val="150"/>
                                          <w:marBottom w:val="75"/>
                                          <w:divBdr>
                                            <w:top w:val="none" w:sz="0" w:space="0" w:color="auto"/>
                                            <w:left w:val="none" w:sz="0" w:space="0" w:color="auto"/>
                                            <w:bottom w:val="none" w:sz="0" w:space="0" w:color="auto"/>
                                            <w:right w:val="none" w:sz="0" w:space="0" w:color="auto"/>
                                          </w:divBdr>
                                          <w:divsChild>
                                            <w:div w:id="51303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186076">
      <w:bodyDiv w:val="1"/>
      <w:marLeft w:val="0"/>
      <w:marRight w:val="0"/>
      <w:marTop w:val="0"/>
      <w:marBottom w:val="0"/>
      <w:divBdr>
        <w:top w:val="none" w:sz="0" w:space="0" w:color="auto"/>
        <w:left w:val="none" w:sz="0" w:space="0" w:color="auto"/>
        <w:bottom w:val="none" w:sz="0" w:space="0" w:color="auto"/>
        <w:right w:val="none" w:sz="0" w:space="0" w:color="auto"/>
      </w:divBdr>
      <w:divsChild>
        <w:div w:id="1310599724">
          <w:marLeft w:val="0"/>
          <w:marRight w:val="0"/>
          <w:marTop w:val="0"/>
          <w:marBottom w:val="0"/>
          <w:divBdr>
            <w:top w:val="none" w:sz="0" w:space="0" w:color="auto"/>
            <w:left w:val="none" w:sz="0" w:space="0" w:color="auto"/>
            <w:bottom w:val="none" w:sz="0" w:space="0" w:color="auto"/>
            <w:right w:val="none" w:sz="0" w:space="0" w:color="auto"/>
          </w:divBdr>
          <w:divsChild>
            <w:div w:id="699626599">
              <w:marLeft w:val="0"/>
              <w:marRight w:val="0"/>
              <w:marTop w:val="0"/>
              <w:marBottom w:val="0"/>
              <w:divBdr>
                <w:top w:val="none" w:sz="0" w:space="0" w:color="auto"/>
                <w:left w:val="none" w:sz="0" w:space="0" w:color="auto"/>
                <w:bottom w:val="none" w:sz="0" w:space="0" w:color="auto"/>
                <w:right w:val="none" w:sz="0" w:space="0" w:color="auto"/>
              </w:divBdr>
              <w:divsChild>
                <w:div w:id="1598095598">
                  <w:marLeft w:val="0"/>
                  <w:marRight w:val="0"/>
                  <w:marTop w:val="0"/>
                  <w:marBottom w:val="0"/>
                  <w:divBdr>
                    <w:top w:val="single" w:sz="6" w:space="0" w:color="336666"/>
                    <w:left w:val="single" w:sz="6" w:space="0" w:color="336666"/>
                    <w:bottom w:val="single" w:sz="6" w:space="0" w:color="336666"/>
                    <w:right w:val="single" w:sz="6" w:space="0" w:color="336666"/>
                  </w:divBdr>
                  <w:divsChild>
                    <w:div w:id="1342077566">
                      <w:marLeft w:val="0"/>
                      <w:marRight w:val="0"/>
                      <w:marTop w:val="0"/>
                      <w:marBottom w:val="0"/>
                      <w:divBdr>
                        <w:top w:val="none" w:sz="0" w:space="0" w:color="auto"/>
                        <w:left w:val="none" w:sz="0" w:space="0" w:color="auto"/>
                        <w:bottom w:val="none" w:sz="0" w:space="0" w:color="auto"/>
                        <w:right w:val="none" w:sz="0" w:space="0" w:color="auto"/>
                      </w:divBdr>
                      <w:divsChild>
                        <w:div w:id="1661691116">
                          <w:marLeft w:val="2175"/>
                          <w:marRight w:val="150"/>
                          <w:marTop w:val="0"/>
                          <w:marBottom w:val="0"/>
                          <w:divBdr>
                            <w:top w:val="single" w:sz="6" w:space="0" w:color="000066"/>
                            <w:left w:val="single" w:sz="6" w:space="0" w:color="000066"/>
                            <w:bottom w:val="single" w:sz="6" w:space="0" w:color="000066"/>
                            <w:right w:val="single" w:sz="6" w:space="0" w:color="000066"/>
                          </w:divBdr>
                          <w:divsChild>
                            <w:div w:id="1075515249">
                              <w:marLeft w:val="150"/>
                              <w:marRight w:val="150"/>
                              <w:marTop w:val="150"/>
                              <w:marBottom w:val="150"/>
                              <w:divBdr>
                                <w:top w:val="none" w:sz="0" w:space="0" w:color="auto"/>
                                <w:left w:val="none" w:sz="0" w:space="0" w:color="auto"/>
                                <w:bottom w:val="none" w:sz="0" w:space="0" w:color="auto"/>
                                <w:right w:val="none" w:sz="0" w:space="0" w:color="auto"/>
                              </w:divBdr>
                              <w:divsChild>
                                <w:div w:id="1236625647">
                                  <w:marLeft w:val="0"/>
                                  <w:marRight w:val="0"/>
                                  <w:marTop w:val="0"/>
                                  <w:marBottom w:val="0"/>
                                  <w:divBdr>
                                    <w:top w:val="none" w:sz="0" w:space="0" w:color="auto"/>
                                    <w:left w:val="none" w:sz="0" w:space="0" w:color="auto"/>
                                    <w:bottom w:val="none" w:sz="0" w:space="0" w:color="auto"/>
                                    <w:right w:val="none" w:sz="0" w:space="0" w:color="auto"/>
                                  </w:divBdr>
                                  <w:divsChild>
                                    <w:div w:id="585656589">
                                      <w:marLeft w:val="0"/>
                                      <w:marRight w:val="0"/>
                                      <w:marTop w:val="0"/>
                                      <w:marBottom w:val="0"/>
                                      <w:divBdr>
                                        <w:top w:val="none" w:sz="0" w:space="0" w:color="auto"/>
                                        <w:left w:val="none" w:sz="0" w:space="0" w:color="auto"/>
                                        <w:bottom w:val="none" w:sz="0" w:space="0" w:color="auto"/>
                                        <w:right w:val="none" w:sz="0" w:space="0" w:color="auto"/>
                                      </w:divBdr>
                                      <w:divsChild>
                                        <w:div w:id="1058239490">
                                          <w:marLeft w:val="0"/>
                                          <w:marRight w:val="0"/>
                                          <w:marTop w:val="150"/>
                                          <w:marBottom w:val="75"/>
                                          <w:divBdr>
                                            <w:top w:val="none" w:sz="0" w:space="0" w:color="auto"/>
                                            <w:left w:val="none" w:sz="0" w:space="0" w:color="auto"/>
                                            <w:bottom w:val="none" w:sz="0" w:space="0" w:color="auto"/>
                                            <w:right w:val="none" w:sz="0" w:space="0" w:color="auto"/>
                                          </w:divBdr>
                                          <w:divsChild>
                                            <w:div w:id="108903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019953">
      <w:bodyDiv w:val="1"/>
      <w:marLeft w:val="0"/>
      <w:marRight w:val="0"/>
      <w:marTop w:val="0"/>
      <w:marBottom w:val="0"/>
      <w:divBdr>
        <w:top w:val="none" w:sz="0" w:space="0" w:color="auto"/>
        <w:left w:val="none" w:sz="0" w:space="0" w:color="auto"/>
        <w:bottom w:val="none" w:sz="0" w:space="0" w:color="auto"/>
        <w:right w:val="none" w:sz="0" w:space="0" w:color="auto"/>
      </w:divBdr>
      <w:divsChild>
        <w:div w:id="388842817">
          <w:marLeft w:val="0"/>
          <w:marRight w:val="0"/>
          <w:marTop w:val="0"/>
          <w:marBottom w:val="0"/>
          <w:divBdr>
            <w:top w:val="none" w:sz="0" w:space="0" w:color="auto"/>
            <w:left w:val="none" w:sz="0" w:space="0" w:color="auto"/>
            <w:bottom w:val="none" w:sz="0" w:space="0" w:color="auto"/>
            <w:right w:val="none" w:sz="0" w:space="0" w:color="auto"/>
          </w:divBdr>
          <w:divsChild>
            <w:div w:id="692535201">
              <w:marLeft w:val="0"/>
              <w:marRight w:val="0"/>
              <w:marTop w:val="0"/>
              <w:marBottom w:val="0"/>
              <w:divBdr>
                <w:top w:val="none" w:sz="0" w:space="0" w:color="auto"/>
                <w:left w:val="none" w:sz="0" w:space="0" w:color="auto"/>
                <w:bottom w:val="none" w:sz="0" w:space="0" w:color="auto"/>
                <w:right w:val="none" w:sz="0" w:space="0" w:color="auto"/>
              </w:divBdr>
              <w:divsChild>
                <w:div w:id="1541891083">
                  <w:marLeft w:val="0"/>
                  <w:marRight w:val="0"/>
                  <w:marTop w:val="0"/>
                  <w:marBottom w:val="0"/>
                  <w:divBdr>
                    <w:top w:val="single" w:sz="6" w:space="0" w:color="336666"/>
                    <w:left w:val="single" w:sz="6" w:space="0" w:color="336666"/>
                    <w:bottom w:val="single" w:sz="6" w:space="0" w:color="336666"/>
                    <w:right w:val="single" w:sz="6" w:space="0" w:color="336666"/>
                  </w:divBdr>
                  <w:divsChild>
                    <w:div w:id="611596631">
                      <w:marLeft w:val="0"/>
                      <w:marRight w:val="0"/>
                      <w:marTop w:val="0"/>
                      <w:marBottom w:val="0"/>
                      <w:divBdr>
                        <w:top w:val="none" w:sz="0" w:space="0" w:color="auto"/>
                        <w:left w:val="none" w:sz="0" w:space="0" w:color="auto"/>
                        <w:bottom w:val="none" w:sz="0" w:space="0" w:color="auto"/>
                        <w:right w:val="none" w:sz="0" w:space="0" w:color="auto"/>
                      </w:divBdr>
                      <w:divsChild>
                        <w:div w:id="543060847">
                          <w:marLeft w:val="2175"/>
                          <w:marRight w:val="150"/>
                          <w:marTop w:val="0"/>
                          <w:marBottom w:val="0"/>
                          <w:divBdr>
                            <w:top w:val="single" w:sz="6" w:space="0" w:color="000066"/>
                            <w:left w:val="single" w:sz="6" w:space="0" w:color="000066"/>
                            <w:bottom w:val="single" w:sz="6" w:space="0" w:color="000066"/>
                            <w:right w:val="single" w:sz="6" w:space="0" w:color="000066"/>
                          </w:divBdr>
                          <w:divsChild>
                            <w:div w:id="1570655155">
                              <w:marLeft w:val="150"/>
                              <w:marRight w:val="150"/>
                              <w:marTop w:val="150"/>
                              <w:marBottom w:val="150"/>
                              <w:divBdr>
                                <w:top w:val="none" w:sz="0" w:space="0" w:color="auto"/>
                                <w:left w:val="none" w:sz="0" w:space="0" w:color="auto"/>
                                <w:bottom w:val="none" w:sz="0" w:space="0" w:color="auto"/>
                                <w:right w:val="none" w:sz="0" w:space="0" w:color="auto"/>
                              </w:divBdr>
                              <w:divsChild>
                                <w:div w:id="1707294897">
                                  <w:marLeft w:val="0"/>
                                  <w:marRight w:val="0"/>
                                  <w:marTop w:val="0"/>
                                  <w:marBottom w:val="0"/>
                                  <w:divBdr>
                                    <w:top w:val="none" w:sz="0" w:space="0" w:color="auto"/>
                                    <w:left w:val="none" w:sz="0" w:space="0" w:color="auto"/>
                                    <w:bottom w:val="none" w:sz="0" w:space="0" w:color="auto"/>
                                    <w:right w:val="none" w:sz="0" w:space="0" w:color="auto"/>
                                  </w:divBdr>
                                  <w:divsChild>
                                    <w:div w:id="262037266">
                                      <w:marLeft w:val="0"/>
                                      <w:marRight w:val="0"/>
                                      <w:marTop w:val="0"/>
                                      <w:marBottom w:val="0"/>
                                      <w:divBdr>
                                        <w:top w:val="none" w:sz="0" w:space="0" w:color="auto"/>
                                        <w:left w:val="none" w:sz="0" w:space="0" w:color="auto"/>
                                        <w:bottom w:val="none" w:sz="0" w:space="0" w:color="auto"/>
                                        <w:right w:val="none" w:sz="0" w:space="0" w:color="auto"/>
                                      </w:divBdr>
                                      <w:divsChild>
                                        <w:div w:id="466555465">
                                          <w:marLeft w:val="0"/>
                                          <w:marRight w:val="0"/>
                                          <w:marTop w:val="150"/>
                                          <w:marBottom w:val="75"/>
                                          <w:divBdr>
                                            <w:top w:val="none" w:sz="0" w:space="0" w:color="auto"/>
                                            <w:left w:val="none" w:sz="0" w:space="0" w:color="auto"/>
                                            <w:bottom w:val="none" w:sz="0" w:space="0" w:color="auto"/>
                                            <w:right w:val="none" w:sz="0" w:space="0" w:color="auto"/>
                                          </w:divBdr>
                                          <w:divsChild>
                                            <w:div w:id="105601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yperlink" Target="http://www.jrheum.com/subscribers/08/02/190.html%20%20on%20July%20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yperlink" Target="http://www.boneandjointdecade.de/downloads"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uspreventiveservicestaskforce.org/uspstf/gradespost.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spreventiveservicestaskforce.org/uspstf11/fallsprevention/fallsprevrs.htm" TargetMode="External"/><Relationship Id="rId23" Type="http://schemas.openxmlformats.org/officeDocument/2006/relationships/glossaryDocument" Target="glossary/document.xml"/><Relationship Id="rId10" Type="http://schemas.openxmlformats.org/officeDocument/2006/relationships/hyperlink" Target="http://www.uspreventiveservicestaskforce.org/methods.htm" TargetMode="External"/><Relationship Id="rId19" Type="http://schemas.openxmlformats.org/officeDocument/2006/relationships/hyperlink" Target="http://www.nof.org" TargetMode="Externa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guideline.gov/content.aspx?id=34968&amp;search=osteoporosi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30A1"/>
    <w:rsid w:val="00160241"/>
    <w:rsid w:val="00273CAC"/>
    <w:rsid w:val="002962CB"/>
    <w:rsid w:val="002E0D74"/>
    <w:rsid w:val="003A1E4B"/>
    <w:rsid w:val="003C1F7D"/>
    <w:rsid w:val="00455EB5"/>
    <w:rsid w:val="00460E6C"/>
    <w:rsid w:val="00461C1C"/>
    <w:rsid w:val="0048019F"/>
    <w:rsid w:val="00496444"/>
    <w:rsid w:val="004D158B"/>
    <w:rsid w:val="004E2027"/>
    <w:rsid w:val="005A37B7"/>
    <w:rsid w:val="00656F96"/>
    <w:rsid w:val="006C62F7"/>
    <w:rsid w:val="00741E1E"/>
    <w:rsid w:val="008F6A9B"/>
    <w:rsid w:val="009A2E21"/>
    <w:rsid w:val="009B3429"/>
    <w:rsid w:val="00A25D50"/>
    <w:rsid w:val="00AC2F59"/>
    <w:rsid w:val="00BA50FC"/>
    <w:rsid w:val="00C03643"/>
    <w:rsid w:val="00C2797F"/>
    <w:rsid w:val="00C80225"/>
    <w:rsid w:val="00D13ACB"/>
    <w:rsid w:val="00D228C9"/>
    <w:rsid w:val="00D31291"/>
    <w:rsid w:val="00D55C78"/>
    <w:rsid w:val="00DA6C4F"/>
    <w:rsid w:val="00DB5324"/>
    <w:rsid w:val="00DF4022"/>
    <w:rsid w:val="00E75C55"/>
    <w:rsid w:val="00E97654"/>
    <w:rsid w:val="00EA555A"/>
    <w:rsid w:val="00F113E0"/>
    <w:rsid w:val="00F87EB9"/>
    <w:rsid w:val="00FC3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CC328-2E70-4456-A369-A3D5CCB7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4921</Words>
  <Characters>28055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slotta</cp:lastModifiedBy>
  <cp:revision>9</cp:revision>
  <cp:lastPrinted>2013-11-25T16:19:00Z</cp:lastPrinted>
  <dcterms:created xsi:type="dcterms:W3CDTF">2013-11-25T16:33:00Z</dcterms:created>
  <dcterms:modified xsi:type="dcterms:W3CDTF">2013-12-06T13:54:00Z</dcterms:modified>
</cp:coreProperties>
</file>