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B8211C">
            <w:rPr>
              <w:rStyle w:val="Style1"/>
            </w:rPr>
            <w:t>00416</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B8211C">
            <w:rPr>
              <w:rFonts w:ascii="Trebuchet MS" w:hAnsi="Trebuchet MS"/>
              <w:color w:val="000000"/>
              <w:sz w:val="18"/>
              <w:szCs w:val="18"/>
              <w:lang w:val="en"/>
            </w:rPr>
            <w:t>Diabetic Foot &amp; Ankle Care, Ulcer Prevention – Evaluation of Footwear</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3-12-06T00:00:00Z">
            <w:dateFormat w:val="M/d/yyyy"/>
            <w:lid w:val="en-US"/>
            <w:storeMappedDataAs w:val="dateTime"/>
            <w:calendar w:val="gregorian"/>
          </w:date>
        </w:sdtPr>
        <w:sdtEndPr>
          <w:rPr>
            <w:rStyle w:val="DefaultParagraphFont"/>
            <w:noProof/>
            <w:color w:val="auto"/>
            <w:u w:val="none"/>
          </w:rPr>
        </w:sdtEndPr>
        <w:sdtContent>
          <w:r w:rsidR="00B8211C">
            <w:rPr>
              <w:rStyle w:val="Style2"/>
              <w:rFonts w:cstheme="minorHAnsi"/>
            </w:rPr>
            <w:t>12/6/2013</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28482E"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28482E"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28482E"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28482E"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Content>
                <w:r w:rsidR="00B8211C">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28482E"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28482E"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28482E"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Content>
                <w:r w:rsidR="00B8211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28482E"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Content>
                <w:r w:rsidR="00B8211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28482E"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28482E"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28482E"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28482E"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28482E"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Content>
                <w:r w:rsidR="00B8211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28482E"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Content>
                <w:r w:rsidR="00B8211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28482E"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28482E"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28482E"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28482E"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sz w:val="32"/>
            <w:szCs w:val="32"/>
          </w:rPr>
          <w:id w:val="950514773"/>
          <w:text/>
        </w:sdtPr>
        <w:sdtContent>
          <w:r w:rsidR="00B8211C" w:rsidRPr="00B8211C">
            <w:rPr>
              <w:sz w:val="32"/>
              <w:szCs w:val="32"/>
            </w:rPr>
            <w:t>January 1 – December 31, 2011</w:t>
          </w:r>
          <w:r w:rsidR="00B8211C">
            <w:rPr>
              <w:sz w:val="32"/>
              <w:szCs w:val="32"/>
            </w:rPr>
            <w:t xml:space="preserve"> and </w:t>
          </w:r>
          <w:r w:rsidR="00B8211C" w:rsidRPr="00060F8E">
            <w:rPr>
              <w:sz w:val="32"/>
              <w:szCs w:val="32"/>
            </w:rPr>
            <w:t>October 1, 2011 – May 1, 2012</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28482E"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Content>
                <w:r w:rsidR="00B8211C">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28482E"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Content>
                <w:r w:rsidR="00B8211C">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28482E"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28482E"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28482E"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28482E"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28482E"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28482E"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28482E"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28482E"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B8211C" w:rsidRPr="00B8211C" w:rsidRDefault="002B5016" w:rsidP="00B8211C">
      <w:pPr>
        <w:rPr>
          <w:rFonts w:ascii="Times New Roman" w:eastAsia="Calibri" w:hAnsi="Times New Roman" w:cs="Times New Roman"/>
          <w:sz w:val="24"/>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B8211C" w:rsidRPr="00B8211C">
        <w:rPr>
          <w:rFonts w:ascii="Times New Roman" w:eastAsia="Calibri" w:hAnsi="Times New Roman" w:cs="Times New Roman"/>
          <w:sz w:val="24"/>
        </w:rPr>
        <w:t>All three physician office sites participating in this measure testing project represented urban settings on the East Coast. The practices each had two or more physicians, with physicians actively involved with APMA.</w:t>
      </w:r>
    </w:p>
    <w:p w:rsidR="00B8211C" w:rsidRPr="00B8211C" w:rsidRDefault="00B8211C" w:rsidP="00B8211C">
      <w:pPr>
        <w:rPr>
          <w:rFonts w:ascii="Times New Roman" w:eastAsia="Calibri" w:hAnsi="Times New Roman" w:cs="Times New Roman"/>
          <w:sz w:val="24"/>
        </w:rPr>
      </w:pPr>
      <w:r w:rsidRPr="00B8211C">
        <w:rPr>
          <w:rFonts w:ascii="Times New Roman" w:eastAsia="Calibri" w:hAnsi="Times New Roman" w:cs="Times New Roman"/>
          <w:sz w:val="24"/>
        </w:rPr>
        <w:lastRenderedPageBreak/>
        <w:t>Two trained data abstractors performed on-site chart reviews the weeks of October 1 and November 5, 2012. Testing was performed on paper medical records at one physician office site and in the electronic health record (EHR) environment for two physician office sites. The case samples for chart reviews were randomly selected from eligible patients seen at two of the test sites between January 1 and December 31, 2011. Due to a change in the billing system, one test site requested a change in the chart sample timeframe to October 1, 2011 through May 1, 2012 to allow for accurate identification of eligible patients.</w:t>
      </w:r>
    </w:p>
    <w:tbl>
      <w:tblPr>
        <w:tblStyle w:val="TableGrid1"/>
        <w:tblW w:w="0" w:type="auto"/>
        <w:tblLook w:val="04A0" w:firstRow="1" w:lastRow="0" w:firstColumn="1" w:lastColumn="0" w:noHBand="0" w:noVBand="1"/>
      </w:tblPr>
      <w:tblGrid>
        <w:gridCol w:w="1562"/>
        <w:gridCol w:w="1696"/>
        <w:gridCol w:w="1590"/>
        <w:gridCol w:w="1575"/>
        <w:gridCol w:w="1566"/>
        <w:gridCol w:w="1587"/>
      </w:tblGrid>
      <w:tr w:rsidR="00B8211C" w:rsidRPr="00B8211C" w:rsidTr="0028482E">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Site Name</w:t>
            </w:r>
          </w:p>
        </w:tc>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Demographics</w:t>
            </w:r>
          </w:p>
        </w:tc>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Number of Physicians</w:t>
            </w:r>
          </w:p>
        </w:tc>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Number of Office Sites</w:t>
            </w:r>
          </w:p>
        </w:tc>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Data Source (EHR, Paper)</w:t>
            </w:r>
          </w:p>
        </w:tc>
        <w:tc>
          <w:tcPr>
            <w:tcW w:w="1611" w:type="dxa"/>
            <w:shd w:val="clear" w:color="auto" w:fill="D9D9D9" w:themeFill="background1" w:themeFillShade="D9"/>
          </w:tcPr>
          <w:p w:rsidR="00B8211C" w:rsidRPr="00B8211C" w:rsidRDefault="00B8211C" w:rsidP="00B8211C">
            <w:pPr>
              <w:autoSpaceDE w:val="0"/>
              <w:autoSpaceDN w:val="0"/>
              <w:adjustRightInd w:val="0"/>
              <w:jc w:val="center"/>
              <w:rPr>
                <w:rFonts w:ascii="Times New Roman" w:hAnsi="Times New Roman"/>
                <w:b/>
                <w:sz w:val="24"/>
              </w:rPr>
            </w:pPr>
            <w:r w:rsidRPr="00B8211C">
              <w:rPr>
                <w:rFonts w:ascii="Times New Roman" w:hAnsi="Times New Roman"/>
                <w:b/>
                <w:sz w:val="24"/>
              </w:rPr>
              <w:t>2011 PQRS Diabetic Foot Care Measures submitted</w:t>
            </w:r>
          </w:p>
        </w:tc>
      </w:tr>
      <w:tr w:rsidR="00B8211C" w:rsidRPr="00B8211C" w:rsidTr="0028482E">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Practice A</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Physician-owned, single specialty</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16</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12</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EHR</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2</w:t>
            </w:r>
          </w:p>
        </w:tc>
      </w:tr>
      <w:tr w:rsidR="00B8211C" w:rsidRPr="00B8211C" w:rsidTr="0028482E">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Practice B</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Physician-owned, multi-specialty</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9</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1</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Paper</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2</w:t>
            </w:r>
          </w:p>
        </w:tc>
      </w:tr>
      <w:tr w:rsidR="00B8211C" w:rsidRPr="00B8211C" w:rsidTr="0028482E">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Practice C</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Physician-owned, single specialty</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5</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5</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EHR</w:t>
            </w:r>
          </w:p>
        </w:tc>
        <w:tc>
          <w:tcPr>
            <w:tcW w:w="1611" w:type="dxa"/>
            <w:vAlign w:val="center"/>
          </w:tcPr>
          <w:p w:rsidR="00B8211C" w:rsidRPr="00B8211C" w:rsidRDefault="00B8211C" w:rsidP="00B8211C">
            <w:pPr>
              <w:autoSpaceDE w:val="0"/>
              <w:autoSpaceDN w:val="0"/>
              <w:adjustRightInd w:val="0"/>
              <w:jc w:val="center"/>
              <w:rPr>
                <w:rFonts w:ascii="Times New Roman" w:hAnsi="Times New Roman"/>
              </w:rPr>
            </w:pPr>
            <w:r w:rsidRPr="00B8211C">
              <w:rPr>
                <w:rFonts w:ascii="Times New Roman" w:hAnsi="Times New Roman"/>
              </w:rPr>
              <w:t>2</w:t>
            </w:r>
          </w:p>
        </w:tc>
      </w:tr>
    </w:tbl>
    <w:p w:rsidR="002E78A0" w:rsidRDefault="004348CC" w:rsidP="00DB3627">
      <w:pPr>
        <w:autoSpaceDE w:val="0"/>
        <w:autoSpaceDN w:val="0"/>
        <w:adjustRightInd w:val="0"/>
        <w:spacing w:after="0" w:line="240" w:lineRule="auto"/>
        <w:rPr>
          <w:rFonts w:cstheme="minorHAnsi"/>
          <w:bCs/>
        </w:rPr>
      </w:pPr>
      <w:r w:rsidRPr="00A25024">
        <w:rPr>
          <w:rFonts w:cstheme="minorHAnsi"/>
          <w:bCs/>
        </w:rPr>
        <w:br/>
      </w:r>
    </w:p>
    <w:p w:rsidR="002B5016" w:rsidRPr="00A25024" w:rsidRDefault="002B5016" w:rsidP="00DB3627">
      <w:pPr>
        <w:autoSpaceDE w:val="0"/>
        <w:autoSpaceDN w:val="0"/>
        <w:adjustRightInd w:val="0"/>
        <w:spacing w:after="0" w:line="240" w:lineRule="auto"/>
        <w:rPr>
          <w:rFonts w:cstheme="minorHAnsi"/>
          <w:bCs/>
        </w:rPr>
      </w:pPr>
    </w:p>
    <w:p w:rsidR="00B8211C" w:rsidRPr="00A25024"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tbl>
      <w:tblPr>
        <w:tblW w:w="5263"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871"/>
        <w:gridCol w:w="984"/>
        <w:gridCol w:w="962"/>
        <w:gridCol w:w="893"/>
        <w:gridCol w:w="895"/>
        <w:gridCol w:w="851"/>
        <w:gridCol w:w="1028"/>
        <w:gridCol w:w="891"/>
        <w:gridCol w:w="1258"/>
      </w:tblGrid>
      <w:tr w:rsidR="00B8211C" w:rsidRPr="00B8211C" w:rsidTr="0028482E">
        <w:trPr>
          <w:trHeight w:val="467"/>
        </w:trPr>
        <w:tc>
          <w:tcPr>
            <w:tcW w:w="5000" w:type="pct"/>
            <w:gridSpan w:val="10"/>
            <w:shd w:val="clear" w:color="auto" w:fill="D9D9D9"/>
            <w:vAlign w:val="center"/>
          </w:tcPr>
          <w:p w:rsidR="00B8211C" w:rsidRPr="00B8211C" w:rsidRDefault="00B8211C" w:rsidP="00B8211C">
            <w:pPr>
              <w:spacing w:after="0"/>
              <w:rPr>
                <w:rFonts w:ascii="Times New Roman" w:eastAsia="Calibri" w:hAnsi="Times New Roman" w:cs="Times New Roman"/>
                <w:b/>
                <w:iCs/>
                <w:sz w:val="24"/>
              </w:rPr>
            </w:pPr>
            <w:r w:rsidRPr="00B8211C">
              <w:rPr>
                <w:rFonts w:ascii="Times New Roman" w:eastAsia="Calibri" w:hAnsi="Times New Roman" w:cs="Times New Roman"/>
                <w:b/>
                <w:iCs/>
                <w:sz w:val="24"/>
              </w:rPr>
              <w:t xml:space="preserve">Assessment of Evaluation of Footwear </w:t>
            </w:r>
          </w:p>
        </w:tc>
      </w:tr>
      <w:tr w:rsidR="00B8211C" w:rsidRPr="00B8211C" w:rsidTr="0028482E">
        <w:tc>
          <w:tcPr>
            <w:tcW w:w="1638" w:type="pct"/>
            <w:gridSpan w:val="3"/>
          </w:tcPr>
          <w:p w:rsidR="00B8211C" w:rsidRPr="00B8211C" w:rsidRDefault="00B8211C" w:rsidP="00B8211C">
            <w:pPr>
              <w:spacing w:after="0" w:line="240" w:lineRule="auto"/>
              <w:jc w:val="center"/>
              <w:rPr>
                <w:rFonts w:ascii="Times New Roman" w:eastAsia="Calibri" w:hAnsi="Times New Roman" w:cs="Times New Roman"/>
                <w:b/>
                <w:sz w:val="24"/>
              </w:rPr>
            </w:pPr>
          </w:p>
        </w:tc>
        <w:tc>
          <w:tcPr>
            <w:tcW w:w="1786" w:type="pct"/>
            <w:gridSpan w:val="4"/>
          </w:tcPr>
          <w:p w:rsidR="00B8211C" w:rsidRPr="00B8211C" w:rsidRDefault="00B8211C" w:rsidP="00B8211C">
            <w:pPr>
              <w:spacing w:after="0" w:line="240" w:lineRule="auto"/>
              <w:jc w:val="center"/>
              <w:rPr>
                <w:rFonts w:ascii="Times New Roman" w:eastAsia="Calibri" w:hAnsi="Times New Roman" w:cs="Times New Roman"/>
                <w:b/>
                <w:sz w:val="24"/>
              </w:rPr>
            </w:pPr>
            <w:r w:rsidRPr="00B8211C">
              <w:rPr>
                <w:rFonts w:ascii="Times New Roman" w:eastAsia="Calibri" w:hAnsi="Times New Roman" w:cs="Times New Roman"/>
                <w:b/>
                <w:iCs/>
                <w:sz w:val="24"/>
              </w:rPr>
              <w:t>Agreement is displayed between PQRS and manual abstraction</w:t>
            </w:r>
            <w:r w:rsidRPr="00B8211C">
              <w:rPr>
                <w:rFonts w:ascii="Times New Roman" w:eastAsia="Calibri" w:hAnsi="Times New Roman" w:cs="Times New Roman"/>
                <w:b/>
                <w:iCs/>
                <w:sz w:val="18"/>
                <w:szCs w:val="18"/>
              </w:rPr>
              <w:t>*</w:t>
            </w:r>
          </w:p>
        </w:tc>
        <w:tc>
          <w:tcPr>
            <w:tcW w:w="1576" w:type="pct"/>
            <w:gridSpan w:val="3"/>
          </w:tcPr>
          <w:p w:rsidR="00B8211C" w:rsidRPr="00B8211C" w:rsidRDefault="00B8211C" w:rsidP="00B8211C">
            <w:pPr>
              <w:spacing w:after="0" w:line="240" w:lineRule="auto"/>
              <w:jc w:val="center"/>
              <w:rPr>
                <w:rFonts w:ascii="Times New Roman" w:eastAsia="Calibri" w:hAnsi="Times New Roman" w:cs="Times New Roman"/>
                <w:b/>
                <w:sz w:val="24"/>
              </w:rPr>
            </w:pPr>
          </w:p>
        </w:tc>
      </w:tr>
      <w:tr w:rsidR="00B8211C" w:rsidRPr="00B8211C" w:rsidTr="0028482E">
        <w:trPr>
          <w:trHeight w:val="476"/>
        </w:trPr>
        <w:tc>
          <w:tcPr>
            <w:tcW w:w="718" w:type="pct"/>
            <w:tcBorders>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N=286</w:t>
            </w:r>
          </w:p>
        </w:tc>
        <w:tc>
          <w:tcPr>
            <w:tcW w:w="432" w:type="pct"/>
            <w:tcBorders>
              <w:top w:val="double" w:sz="4" w:space="0" w:color="auto"/>
              <w:left w:val="double" w:sz="4" w:space="0" w:color="auto"/>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PQRS</w:t>
            </w:r>
          </w:p>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(n)</w:t>
            </w:r>
          </w:p>
        </w:tc>
        <w:tc>
          <w:tcPr>
            <w:tcW w:w="488" w:type="pct"/>
            <w:tcBorders>
              <w:top w:val="double" w:sz="4" w:space="0" w:color="auto"/>
              <w:left w:val="double" w:sz="4" w:space="0" w:color="auto"/>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Manual</w:t>
            </w:r>
          </w:p>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(n)</w:t>
            </w:r>
          </w:p>
        </w:tc>
        <w:tc>
          <w:tcPr>
            <w:tcW w:w="477" w:type="pct"/>
            <w:tcBorders>
              <w:lef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Yes/Yes****</w:t>
            </w:r>
          </w:p>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(P/M)</w:t>
            </w:r>
          </w:p>
        </w:tc>
        <w:tc>
          <w:tcPr>
            <w:tcW w:w="443" w:type="pct"/>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Yes/No</w:t>
            </w:r>
          </w:p>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(P/M)</w:t>
            </w:r>
          </w:p>
        </w:tc>
        <w:tc>
          <w:tcPr>
            <w:tcW w:w="444" w:type="pct"/>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No/Yes</w:t>
            </w:r>
          </w:p>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(P/M)</w:t>
            </w:r>
          </w:p>
        </w:tc>
        <w:tc>
          <w:tcPr>
            <w:tcW w:w="422" w:type="pct"/>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No/No</w:t>
            </w:r>
          </w:p>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(P/M)</w:t>
            </w:r>
          </w:p>
        </w:tc>
        <w:tc>
          <w:tcPr>
            <w:tcW w:w="510" w:type="pct"/>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Kappa** Rate</w:t>
            </w:r>
          </w:p>
        </w:tc>
        <w:tc>
          <w:tcPr>
            <w:tcW w:w="442" w:type="pct"/>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95% CI</w:t>
            </w:r>
          </w:p>
        </w:tc>
        <w:tc>
          <w:tcPr>
            <w:tcW w:w="624" w:type="pct"/>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Agreement</w:t>
            </w:r>
          </w:p>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rPr>
              <w:t>%</w:t>
            </w:r>
          </w:p>
        </w:tc>
      </w:tr>
      <w:tr w:rsidR="00B8211C" w:rsidRPr="00B8211C" w:rsidTr="0028482E">
        <w:trPr>
          <w:trHeight w:val="476"/>
        </w:trPr>
        <w:tc>
          <w:tcPr>
            <w:tcW w:w="718" w:type="pct"/>
            <w:tcBorders>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bCs/>
                <w:i/>
                <w:iCs/>
              </w:rPr>
              <w:t>Denominator</w:t>
            </w:r>
          </w:p>
        </w:tc>
        <w:tc>
          <w:tcPr>
            <w:tcW w:w="432" w:type="pct"/>
            <w:tcBorders>
              <w:top w:val="double" w:sz="4" w:space="0" w:color="auto"/>
              <w:left w:val="double" w:sz="4" w:space="0" w:color="auto"/>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286</w:t>
            </w:r>
          </w:p>
        </w:tc>
        <w:tc>
          <w:tcPr>
            <w:tcW w:w="488" w:type="pct"/>
            <w:tcBorders>
              <w:top w:val="double" w:sz="4" w:space="0" w:color="auto"/>
              <w:left w:val="double" w:sz="4" w:space="0" w:color="auto"/>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286</w:t>
            </w:r>
          </w:p>
        </w:tc>
        <w:tc>
          <w:tcPr>
            <w:tcW w:w="477" w:type="pct"/>
            <w:tcBorders>
              <w:lef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286</w:t>
            </w:r>
          </w:p>
        </w:tc>
        <w:tc>
          <w:tcPr>
            <w:tcW w:w="443" w:type="pct"/>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0</w:t>
            </w:r>
          </w:p>
        </w:tc>
        <w:tc>
          <w:tcPr>
            <w:tcW w:w="444" w:type="pct"/>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0</w:t>
            </w:r>
          </w:p>
        </w:tc>
        <w:tc>
          <w:tcPr>
            <w:tcW w:w="422" w:type="pct"/>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0</w:t>
            </w:r>
          </w:p>
        </w:tc>
        <w:tc>
          <w:tcPr>
            <w:tcW w:w="510" w:type="pct"/>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n/c***</w:t>
            </w:r>
          </w:p>
        </w:tc>
        <w:tc>
          <w:tcPr>
            <w:tcW w:w="442" w:type="pct"/>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rPr>
              <w:t>n/c***</w:t>
            </w:r>
          </w:p>
        </w:tc>
        <w:tc>
          <w:tcPr>
            <w:tcW w:w="624" w:type="pct"/>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100%</w:t>
            </w:r>
          </w:p>
        </w:tc>
      </w:tr>
      <w:tr w:rsidR="00B8211C" w:rsidRPr="00B8211C" w:rsidTr="0028482E">
        <w:trPr>
          <w:trHeight w:val="825"/>
        </w:trPr>
        <w:tc>
          <w:tcPr>
            <w:tcW w:w="718" w:type="pct"/>
            <w:tcBorders>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bCs/>
                <w:i/>
                <w:iCs/>
              </w:rPr>
              <w:t>Numerator</w:t>
            </w:r>
          </w:p>
        </w:tc>
        <w:tc>
          <w:tcPr>
            <w:tcW w:w="432" w:type="pct"/>
            <w:tcBorders>
              <w:top w:val="double" w:sz="4" w:space="0" w:color="auto"/>
              <w:left w:val="double" w:sz="4" w:space="0" w:color="auto"/>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278</w:t>
            </w:r>
          </w:p>
        </w:tc>
        <w:tc>
          <w:tcPr>
            <w:tcW w:w="488" w:type="pct"/>
            <w:tcBorders>
              <w:top w:val="double" w:sz="4" w:space="0" w:color="auto"/>
              <w:left w:val="double" w:sz="4" w:space="0" w:color="auto"/>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266</w:t>
            </w:r>
          </w:p>
        </w:tc>
        <w:tc>
          <w:tcPr>
            <w:tcW w:w="477" w:type="pct"/>
            <w:tcBorders>
              <w:lef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262</w:t>
            </w:r>
          </w:p>
        </w:tc>
        <w:tc>
          <w:tcPr>
            <w:tcW w:w="443" w:type="pct"/>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16</w:t>
            </w:r>
          </w:p>
        </w:tc>
        <w:tc>
          <w:tcPr>
            <w:tcW w:w="444" w:type="pct"/>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4</w:t>
            </w:r>
          </w:p>
        </w:tc>
        <w:tc>
          <w:tcPr>
            <w:tcW w:w="422" w:type="pct"/>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4</w:t>
            </w:r>
          </w:p>
        </w:tc>
        <w:tc>
          <w:tcPr>
            <w:tcW w:w="510" w:type="pct"/>
            <w:vAlign w:val="center"/>
          </w:tcPr>
          <w:p w:rsidR="00B8211C" w:rsidRPr="00B8211C" w:rsidRDefault="00B8211C" w:rsidP="00B8211C">
            <w:pPr>
              <w:jc w:val="center"/>
              <w:rPr>
                <w:rFonts w:ascii="Times New Roman" w:eastAsia="Calibri" w:hAnsi="Times New Roman" w:cs="Times New Roman"/>
                <w:color w:val="000000"/>
              </w:rPr>
            </w:pPr>
            <w:r w:rsidRPr="00B8211C">
              <w:rPr>
                <w:rFonts w:ascii="Times New Roman" w:eastAsia="Calibri" w:hAnsi="Times New Roman" w:cs="Times New Roman"/>
                <w:color w:val="000000"/>
              </w:rPr>
              <w:t>0.256</w:t>
            </w:r>
          </w:p>
        </w:tc>
        <w:tc>
          <w:tcPr>
            <w:tcW w:w="442" w:type="pct"/>
            <w:vAlign w:val="center"/>
          </w:tcPr>
          <w:p w:rsidR="00B8211C" w:rsidRPr="00B8211C" w:rsidRDefault="00B8211C" w:rsidP="00B8211C">
            <w:pPr>
              <w:jc w:val="center"/>
              <w:rPr>
                <w:rFonts w:ascii="Times New Roman" w:eastAsia="Calibri" w:hAnsi="Times New Roman" w:cs="Times New Roman"/>
                <w:color w:val="000000"/>
              </w:rPr>
            </w:pPr>
            <w:r w:rsidRPr="00B8211C">
              <w:rPr>
                <w:rFonts w:ascii="Times New Roman" w:eastAsia="Calibri" w:hAnsi="Times New Roman" w:cs="Times New Roman"/>
                <w:color w:val="000000"/>
              </w:rPr>
              <w:t>(0.036, 0.476)</w:t>
            </w:r>
          </w:p>
        </w:tc>
        <w:tc>
          <w:tcPr>
            <w:tcW w:w="624" w:type="pct"/>
            <w:vAlign w:val="center"/>
          </w:tcPr>
          <w:p w:rsidR="00B8211C" w:rsidRPr="00B8211C" w:rsidRDefault="00B8211C" w:rsidP="00B8211C">
            <w:pPr>
              <w:jc w:val="center"/>
              <w:rPr>
                <w:rFonts w:ascii="Times New Roman" w:eastAsia="Calibri" w:hAnsi="Times New Roman" w:cs="Times New Roman"/>
                <w:color w:val="000000"/>
              </w:rPr>
            </w:pPr>
            <w:r w:rsidRPr="00B8211C">
              <w:rPr>
                <w:rFonts w:ascii="Times New Roman" w:eastAsia="Calibri" w:hAnsi="Times New Roman" w:cs="Times New Roman"/>
                <w:color w:val="000000"/>
              </w:rPr>
              <w:t>93.0%</w:t>
            </w:r>
          </w:p>
        </w:tc>
      </w:tr>
      <w:tr w:rsidR="00B8211C" w:rsidRPr="00B8211C" w:rsidTr="0028482E">
        <w:trPr>
          <w:trHeight w:val="476"/>
        </w:trPr>
        <w:tc>
          <w:tcPr>
            <w:tcW w:w="718" w:type="pct"/>
            <w:tcBorders>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b/>
                <w:bCs/>
                <w:i/>
                <w:iCs/>
              </w:rPr>
            </w:pPr>
            <w:r w:rsidRPr="00B8211C">
              <w:rPr>
                <w:rFonts w:ascii="Times New Roman" w:eastAsia="Calibri" w:hAnsi="Times New Roman" w:cs="Times New Roman"/>
                <w:b/>
                <w:bCs/>
                <w:i/>
                <w:iCs/>
              </w:rPr>
              <w:t>Exceptions</w:t>
            </w:r>
          </w:p>
        </w:tc>
        <w:tc>
          <w:tcPr>
            <w:tcW w:w="432" w:type="pct"/>
            <w:tcBorders>
              <w:top w:val="double" w:sz="4" w:space="0" w:color="auto"/>
              <w:left w:val="double" w:sz="4" w:space="0" w:color="auto"/>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0</w:t>
            </w:r>
          </w:p>
        </w:tc>
        <w:tc>
          <w:tcPr>
            <w:tcW w:w="488" w:type="pct"/>
            <w:tcBorders>
              <w:top w:val="double" w:sz="4" w:space="0" w:color="auto"/>
              <w:left w:val="double" w:sz="4" w:space="0" w:color="auto"/>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0</w:t>
            </w:r>
          </w:p>
        </w:tc>
        <w:tc>
          <w:tcPr>
            <w:tcW w:w="477" w:type="pct"/>
            <w:tcBorders>
              <w:left w:val="double" w:sz="4" w:space="0" w:color="auto"/>
            </w:tcBorders>
            <w:shd w:val="clear" w:color="auto" w:fill="auto"/>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0</w:t>
            </w:r>
          </w:p>
        </w:tc>
        <w:tc>
          <w:tcPr>
            <w:tcW w:w="443" w:type="pct"/>
            <w:shd w:val="clear" w:color="auto" w:fill="auto"/>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0</w:t>
            </w:r>
          </w:p>
        </w:tc>
        <w:tc>
          <w:tcPr>
            <w:tcW w:w="444" w:type="pct"/>
            <w:shd w:val="clear" w:color="auto" w:fill="auto"/>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0</w:t>
            </w:r>
          </w:p>
        </w:tc>
        <w:tc>
          <w:tcPr>
            <w:tcW w:w="422" w:type="pct"/>
            <w:shd w:val="clear" w:color="auto" w:fill="auto"/>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0</w:t>
            </w:r>
          </w:p>
        </w:tc>
        <w:tc>
          <w:tcPr>
            <w:tcW w:w="510" w:type="pct"/>
            <w:shd w:val="clear" w:color="auto" w:fill="auto"/>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n/c***</w:t>
            </w:r>
          </w:p>
        </w:tc>
        <w:tc>
          <w:tcPr>
            <w:tcW w:w="442" w:type="pct"/>
            <w:shd w:val="clear" w:color="auto" w:fill="auto"/>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rPr>
              <w:t>n/c***</w:t>
            </w:r>
          </w:p>
        </w:tc>
        <w:tc>
          <w:tcPr>
            <w:tcW w:w="624" w:type="pct"/>
            <w:shd w:val="clear" w:color="auto" w:fill="auto"/>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100%</w:t>
            </w:r>
          </w:p>
        </w:tc>
      </w:tr>
      <w:tr w:rsidR="00B8211C" w:rsidRPr="00B8211C" w:rsidTr="0028482E">
        <w:trPr>
          <w:trHeight w:val="476"/>
        </w:trPr>
        <w:tc>
          <w:tcPr>
            <w:tcW w:w="718" w:type="pct"/>
            <w:tcBorders>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b/>
              </w:rPr>
            </w:pPr>
            <w:r w:rsidRPr="00B8211C">
              <w:rPr>
                <w:rFonts w:ascii="Times New Roman" w:eastAsia="Calibri" w:hAnsi="Times New Roman" w:cs="Times New Roman"/>
                <w:b/>
                <w:bCs/>
                <w:i/>
                <w:iCs/>
              </w:rPr>
              <w:t>Performance rate</w:t>
            </w:r>
          </w:p>
        </w:tc>
        <w:tc>
          <w:tcPr>
            <w:tcW w:w="432" w:type="pct"/>
            <w:tcBorders>
              <w:top w:val="double" w:sz="4" w:space="0" w:color="auto"/>
              <w:left w:val="double" w:sz="4" w:space="0" w:color="auto"/>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97.2%</w:t>
            </w:r>
          </w:p>
        </w:tc>
        <w:tc>
          <w:tcPr>
            <w:tcW w:w="488" w:type="pct"/>
            <w:tcBorders>
              <w:top w:val="double" w:sz="4" w:space="0" w:color="auto"/>
              <w:left w:val="double" w:sz="4" w:space="0" w:color="auto"/>
              <w:right w:val="double" w:sz="4" w:space="0" w:color="auto"/>
            </w:tcBorders>
            <w:vAlign w:val="center"/>
          </w:tcPr>
          <w:p w:rsidR="00B8211C" w:rsidRPr="00B8211C" w:rsidRDefault="00B8211C" w:rsidP="00B8211C">
            <w:pPr>
              <w:spacing w:after="0" w:line="240" w:lineRule="auto"/>
              <w:jc w:val="center"/>
              <w:rPr>
                <w:rFonts w:ascii="Times New Roman" w:eastAsia="Calibri" w:hAnsi="Times New Roman" w:cs="Times New Roman"/>
              </w:rPr>
            </w:pPr>
            <w:r w:rsidRPr="00B8211C">
              <w:rPr>
                <w:rFonts w:ascii="Times New Roman" w:eastAsia="Calibri" w:hAnsi="Times New Roman" w:cs="Times New Roman"/>
              </w:rPr>
              <w:t>93.0%</w:t>
            </w:r>
          </w:p>
        </w:tc>
        <w:tc>
          <w:tcPr>
            <w:tcW w:w="477" w:type="pct"/>
            <w:tcBorders>
              <w:left w:val="double" w:sz="4" w:space="0" w:color="auto"/>
            </w:tcBorders>
            <w:shd w:val="clear" w:color="auto" w:fill="D9D9D9"/>
            <w:vAlign w:val="center"/>
          </w:tcPr>
          <w:p w:rsidR="00B8211C" w:rsidRPr="00B8211C" w:rsidRDefault="00B8211C" w:rsidP="00B8211C">
            <w:pPr>
              <w:spacing w:after="0" w:line="240" w:lineRule="auto"/>
              <w:jc w:val="center"/>
              <w:rPr>
                <w:rFonts w:ascii="Times New Roman" w:eastAsia="Calibri" w:hAnsi="Times New Roman" w:cs="Times New Roman"/>
                <w:b/>
              </w:rPr>
            </w:pPr>
          </w:p>
        </w:tc>
        <w:tc>
          <w:tcPr>
            <w:tcW w:w="443" w:type="pct"/>
            <w:shd w:val="clear" w:color="auto" w:fill="D9D9D9"/>
            <w:vAlign w:val="center"/>
          </w:tcPr>
          <w:p w:rsidR="00B8211C" w:rsidRPr="00B8211C" w:rsidRDefault="00B8211C" w:rsidP="00B8211C">
            <w:pPr>
              <w:spacing w:after="0" w:line="240" w:lineRule="auto"/>
              <w:jc w:val="center"/>
              <w:rPr>
                <w:rFonts w:ascii="Times New Roman" w:eastAsia="Calibri" w:hAnsi="Times New Roman" w:cs="Times New Roman"/>
                <w:b/>
              </w:rPr>
            </w:pPr>
          </w:p>
        </w:tc>
        <w:tc>
          <w:tcPr>
            <w:tcW w:w="444" w:type="pct"/>
            <w:shd w:val="clear" w:color="auto" w:fill="D9D9D9"/>
            <w:vAlign w:val="center"/>
          </w:tcPr>
          <w:p w:rsidR="00B8211C" w:rsidRPr="00B8211C" w:rsidRDefault="00B8211C" w:rsidP="00B8211C">
            <w:pPr>
              <w:spacing w:after="0" w:line="240" w:lineRule="auto"/>
              <w:jc w:val="center"/>
              <w:rPr>
                <w:rFonts w:ascii="Times New Roman" w:eastAsia="Calibri" w:hAnsi="Times New Roman" w:cs="Times New Roman"/>
                <w:b/>
              </w:rPr>
            </w:pPr>
          </w:p>
        </w:tc>
        <w:tc>
          <w:tcPr>
            <w:tcW w:w="422" w:type="pct"/>
            <w:shd w:val="clear" w:color="auto" w:fill="D9D9D9"/>
            <w:vAlign w:val="center"/>
          </w:tcPr>
          <w:p w:rsidR="00B8211C" w:rsidRPr="00B8211C" w:rsidRDefault="00B8211C" w:rsidP="00B8211C">
            <w:pPr>
              <w:spacing w:after="0" w:line="240" w:lineRule="auto"/>
              <w:jc w:val="center"/>
              <w:rPr>
                <w:rFonts w:ascii="Times New Roman" w:eastAsia="Calibri" w:hAnsi="Times New Roman" w:cs="Times New Roman"/>
                <w:b/>
              </w:rPr>
            </w:pPr>
          </w:p>
        </w:tc>
        <w:tc>
          <w:tcPr>
            <w:tcW w:w="510" w:type="pct"/>
            <w:shd w:val="clear" w:color="auto" w:fill="D9D9D9"/>
            <w:vAlign w:val="center"/>
          </w:tcPr>
          <w:p w:rsidR="00B8211C" w:rsidRPr="00B8211C" w:rsidRDefault="00B8211C" w:rsidP="00B8211C">
            <w:pPr>
              <w:spacing w:after="0" w:line="240" w:lineRule="auto"/>
              <w:jc w:val="center"/>
              <w:rPr>
                <w:rFonts w:ascii="Times New Roman" w:eastAsia="Calibri" w:hAnsi="Times New Roman" w:cs="Times New Roman"/>
                <w:b/>
              </w:rPr>
            </w:pPr>
          </w:p>
        </w:tc>
        <w:tc>
          <w:tcPr>
            <w:tcW w:w="442" w:type="pct"/>
            <w:shd w:val="clear" w:color="auto" w:fill="D9D9D9"/>
            <w:vAlign w:val="center"/>
          </w:tcPr>
          <w:p w:rsidR="00B8211C" w:rsidRPr="00B8211C" w:rsidRDefault="00B8211C" w:rsidP="00B8211C">
            <w:pPr>
              <w:spacing w:after="0" w:line="240" w:lineRule="auto"/>
              <w:jc w:val="center"/>
              <w:rPr>
                <w:rFonts w:ascii="Times New Roman" w:eastAsia="Calibri" w:hAnsi="Times New Roman" w:cs="Times New Roman"/>
                <w:b/>
              </w:rPr>
            </w:pPr>
          </w:p>
        </w:tc>
        <w:tc>
          <w:tcPr>
            <w:tcW w:w="624" w:type="pct"/>
            <w:shd w:val="clear" w:color="auto" w:fill="D9D9D9"/>
            <w:vAlign w:val="center"/>
          </w:tcPr>
          <w:p w:rsidR="00B8211C" w:rsidRPr="00B8211C" w:rsidRDefault="00B8211C" w:rsidP="00B8211C">
            <w:pPr>
              <w:spacing w:after="0" w:line="240" w:lineRule="auto"/>
              <w:jc w:val="center"/>
              <w:rPr>
                <w:rFonts w:ascii="Times New Roman" w:eastAsia="Calibri" w:hAnsi="Times New Roman" w:cs="Times New Roman"/>
                <w:b/>
              </w:rPr>
            </w:pPr>
          </w:p>
        </w:tc>
      </w:tr>
    </w:tbl>
    <w:p w:rsidR="00B8211C" w:rsidRPr="00B8211C" w:rsidRDefault="00B8211C" w:rsidP="00B8211C">
      <w:pPr>
        <w:spacing w:after="0"/>
        <w:rPr>
          <w:rFonts w:ascii="Times New Roman" w:eastAsia="Calibri" w:hAnsi="Times New Roman" w:cs="Times New Roman"/>
          <w:sz w:val="18"/>
          <w:szCs w:val="18"/>
        </w:rPr>
      </w:pPr>
      <w:r w:rsidRPr="00B8211C">
        <w:rPr>
          <w:rFonts w:ascii="Times New Roman" w:eastAsia="Calibri" w:hAnsi="Times New Roman" w:cs="Times New Roman"/>
          <w:sz w:val="18"/>
          <w:szCs w:val="18"/>
        </w:rPr>
        <w:t>P = PQRS submitted G-code; M = Manual abstraction; N= sample size; n= number of records; n/c = not calculable</w:t>
      </w:r>
    </w:p>
    <w:p w:rsidR="00B8211C" w:rsidRPr="00B8211C" w:rsidRDefault="00B8211C" w:rsidP="00B8211C">
      <w:pPr>
        <w:spacing w:after="0"/>
        <w:rPr>
          <w:rFonts w:ascii="Times New Roman" w:eastAsia="Calibri" w:hAnsi="Times New Roman" w:cs="Times New Roman"/>
          <w:sz w:val="18"/>
          <w:szCs w:val="18"/>
        </w:rPr>
      </w:pPr>
      <w:r w:rsidRPr="00B8211C">
        <w:rPr>
          <w:rFonts w:ascii="Times New Roman" w:eastAsia="Calibri" w:hAnsi="Times New Roman" w:cs="Times New Roman"/>
          <w:sz w:val="18"/>
          <w:szCs w:val="18"/>
        </w:rPr>
        <w:t>*Legend of agreement documentation:</w:t>
      </w:r>
    </w:p>
    <w:p w:rsidR="00B8211C" w:rsidRPr="00B8211C" w:rsidRDefault="00B8211C" w:rsidP="00B8211C">
      <w:pPr>
        <w:numPr>
          <w:ilvl w:val="0"/>
          <w:numId w:val="27"/>
        </w:numPr>
        <w:spacing w:after="0" w:line="240" w:lineRule="auto"/>
        <w:rPr>
          <w:rFonts w:ascii="Times New Roman" w:eastAsia="Calibri" w:hAnsi="Times New Roman" w:cs="Times New Roman"/>
          <w:sz w:val="18"/>
          <w:szCs w:val="18"/>
        </w:rPr>
      </w:pPr>
      <w:r w:rsidRPr="00B8211C">
        <w:rPr>
          <w:rFonts w:ascii="Times New Roman" w:eastAsia="Calibri" w:hAnsi="Times New Roman" w:cs="Times New Roman"/>
          <w:sz w:val="18"/>
          <w:szCs w:val="18"/>
        </w:rPr>
        <w:t xml:space="preserve">Yes/Yes indicates that both the PQRS G-code and the abstracter indicated “Yes” (per definition of G-code) that the patient met the measure component (numerator, denominator, exception (if applicable); </w:t>
      </w:r>
    </w:p>
    <w:p w:rsidR="00B8211C" w:rsidRPr="00B8211C" w:rsidRDefault="00B8211C" w:rsidP="00B8211C">
      <w:pPr>
        <w:numPr>
          <w:ilvl w:val="0"/>
          <w:numId w:val="27"/>
        </w:numPr>
        <w:spacing w:after="0" w:line="240" w:lineRule="auto"/>
        <w:rPr>
          <w:rFonts w:ascii="Times New Roman" w:eastAsia="Calibri" w:hAnsi="Times New Roman" w:cs="Times New Roman"/>
          <w:sz w:val="18"/>
          <w:szCs w:val="18"/>
        </w:rPr>
      </w:pPr>
      <w:r w:rsidRPr="00B8211C">
        <w:rPr>
          <w:rFonts w:ascii="Times New Roman" w:eastAsia="Calibri" w:hAnsi="Times New Roman" w:cs="Times New Roman"/>
          <w:sz w:val="18"/>
          <w:szCs w:val="18"/>
        </w:rPr>
        <w:t xml:space="preserve">Yes/No indicates that the PQRS G-code indicated “Yes” (per definition of G-code) that the patient met the measure component, whereas, the abstractor answered “No” that the patient did not meet the measure component; </w:t>
      </w:r>
    </w:p>
    <w:p w:rsidR="00B8211C" w:rsidRPr="00B8211C" w:rsidRDefault="00B8211C" w:rsidP="00B8211C">
      <w:pPr>
        <w:numPr>
          <w:ilvl w:val="0"/>
          <w:numId w:val="27"/>
        </w:numPr>
        <w:spacing w:after="0" w:line="240" w:lineRule="auto"/>
        <w:rPr>
          <w:rFonts w:ascii="Times New Roman" w:eastAsia="Calibri" w:hAnsi="Times New Roman" w:cs="Times New Roman"/>
          <w:sz w:val="18"/>
          <w:szCs w:val="18"/>
        </w:rPr>
      </w:pPr>
      <w:r w:rsidRPr="00B8211C">
        <w:rPr>
          <w:rFonts w:ascii="Times New Roman" w:eastAsia="Calibri" w:hAnsi="Times New Roman" w:cs="Times New Roman"/>
          <w:sz w:val="18"/>
          <w:szCs w:val="18"/>
        </w:rPr>
        <w:lastRenderedPageBreak/>
        <w:t>No/Yes indicates that the PQRS G-code indicated “No” (per definition of G-code) that the patient did not meet the measure component, whereas, the abstractor answered “Yes” that the patient did meet the measure component; and</w:t>
      </w:r>
    </w:p>
    <w:p w:rsidR="00B8211C" w:rsidRPr="00B8211C" w:rsidRDefault="00B8211C" w:rsidP="00B8211C">
      <w:pPr>
        <w:numPr>
          <w:ilvl w:val="0"/>
          <w:numId w:val="27"/>
        </w:numPr>
        <w:spacing w:after="0" w:line="240" w:lineRule="auto"/>
        <w:rPr>
          <w:rFonts w:ascii="Times New Roman" w:eastAsia="Calibri" w:hAnsi="Times New Roman" w:cs="Times New Roman"/>
          <w:sz w:val="18"/>
          <w:szCs w:val="18"/>
        </w:rPr>
      </w:pPr>
      <w:r w:rsidRPr="00B8211C">
        <w:rPr>
          <w:rFonts w:ascii="Times New Roman" w:eastAsia="Calibri" w:hAnsi="Times New Roman" w:cs="Times New Roman"/>
          <w:sz w:val="18"/>
          <w:szCs w:val="18"/>
        </w:rPr>
        <w:t xml:space="preserve">No/No indicates that both the PQRS G-code (per definition of G-code) and the abstractor indicated “No” that the patient did not meet the measure component. </w:t>
      </w:r>
    </w:p>
    <w:p w:rsidR="00B8211C" w:rsidRPr="00B8211C" w:rsidRDefault="00B8211C" w:rsidP="00B8211C">
      <w:pPr>
        <w:autoSpaceDE w:val="0"/>
        <w:autoSpaceDN w:val="0"/>
        <w:adjustRightInd w:val="0"/>
        <w:spacing w:after="0"/>
        <w:rPr>
          <w:rFonts w:ascii="Times New Roman" w:eastAsia="Calibri" w:hAnsi="Times New Roman" w:cs="Times New Roman"/>
          <w:sz w:val="18"/>
          <w:szCs w:val="18"/>
        </w:rPr>
      </w:pPr>
      <w:r w:rsidRPr="00B8211C">
        <w:rPr>
          <w:rFonts w:ascii="Times New Roman" w:eastAsia="Calibri" w:hAnsi="Times New Roman" w:cs="Times New Roman"/>
          <w:sz w:val="18"/>
          <w:szCs w:val="18"/>
        </w:rPr>
        <w:t>**The Kappa statistic was calculated to measure the agreement between two data sources by considering agreement between data sources beyond that expected by chance. A kappa of 1.0 indicates perfect agreement and a kappa of 0 indicates agreement attributable solely to chance</w:t>
      </w:r>
      <w:r w:rsidRPr="00B8211C">
        <w:rPr>
          <w:rFonts w:ascii="Times New Roman" w:eastAsia="Calibri" w:hAnsi="Times New Roman" w:cs="Times New Roman"/>
          <w:sz w:val="18"/>
          <w:szCs w:val="18"/>
          <w:vertAlign w:val="superscript"/>
        </w:rPr>
        <w:footnoteReference w:id="1"/>
      </w:r>
      <w:r w:rsidRPr="00B8211C">
        <w:rPr>
          <w:rFonts w:ascii="Times New Roman" w:eastAsia="Calibri" w:hAnsi="Times New Roman" w:cs="Times New Roman"/>
          <w:sz w:val="18"/>
          <w:szCs w:val="18"/>
        </w:rPr>
        <w:t>; the higher the kappa, the less likely that agreement was by chance.</w:t>
      </w:r>
    </w:p>
    <w:p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28482E" w:rsidRPr="0028482E" w:rsidRDefault="00092566" w:rsidP="0028482E">
      <w:pPr>
        <w:spacing w:after="120"/>
        <w:rPr>
          <w:rFonts w:ascii="Times New Roman" w:eastAsia="Calibri" w:hAnsi="Times New Roman" w:cs="Times New Roman"/>
          <w:sz w:val="24"/>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Content>
          <w:r w:rsidR="0028482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28482E">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r w:rsidR="0028482E" w:rsidRPr="0028482E">
        <w:rPr>
          <w:rFonts w:ascii="Times New Roman" w:eastAsia="Calibri" w:hAnsi="Times New Roman" w:cs="Times New Roman"/>
          <w:sz w:val="24"/>
        </w:rPr>
        <w:t xml:space="preserve"> A Feasibility and Reliability Testing Protocol was drafted by Telligen. </w:t>
      </w:r>
      <w:r w:rsidR="0028482E" w:rsidRPr="0028482E">
        <w:rPr>
          <w:rFonts w:ascii="Times New Roman" w:eastAsia="Calibri" w:hAnsi="Times New Roman" w:cs="Times New Roman"/>
          <w:i/>
          <w:sz w:val="24"/>
        </w:rPr>
        <w:t>Appendix II</w:t>
      </w:r>
      <w:r w:rsidR="0028482E" w:rsidRPr="0028482E" w:rsidDel="003F59FA">
        <w:rPr>
          <w:rFonts w:ascii="Times New Roman" w:eastAsia="Calibri" w:hAnsi="Times New Roman" w:cs="Times New Roman"/>
          <w:sz w:val="24"/>
        </w:rPr>
        <w:t xml:space="preserve"> </w:t>
      </w:r>
      <w:r w:rsidR="0028482E" w:rsidRPr="0028482E">
        <w:rPr>
          <w:rFonts w:ascii="Times New Roman" w:eastAsia="Calibri" w:hAnsi="Times New Roman" w:cs="Times New Roman"/>
          <w:i/>
          <w:sz w:val="24"/>
        </w:rPr>
        <w:t xml:space="preserve">Podiatry Diabetic Foot and Ankle Measures Feasibility and Reliability Testing Protocol, </w:t>
      </w:r>
      <w:r w:rsidR="0028482E" w:rsidRPr="0028482E">
        <w:rPr>
          <w:rFonts w:ascii="Times New Roman" w:eastAsia="Calibri" w:hAnsi="Times New Roman" w:cs="Times New Roman"/>
          <w:sz w:val="24"/>
        </w:rPr>
        <w:t>includes:</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Objectives</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Number of Records Reviewed</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Sampling Method</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Pre-visit Procedures for On-site Data Abstraction</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On-site Visit Procedure</w:t>
      </w:r>
    </w:p>
    <w:p w:rsidR="0028482E" w:rsidRPr="0028482E" w:rsidRDefault="0028482E" w:rsidP="0028482E">
      <w:pPr>
        <w:numPr>
          <w:ilvl w:val="0"/>
          <w:numId w:val="28"/>
        </w:numPr>
        <w:spacing w:after="0"/>
        <w:rPr>
          <w:rFonts w:ascii="Times New Roman" w:eastAsia="Calibri" w:hAnsi="Times New Roman" w:cs="Times New Roman"/>
          <w:sz w:val="24"/>
        </w:rPr>
      </w:pPr>
      <w:r w:rsidRPr="0028482E">
        <w:rPr>
          <w:rFonts w:ascii="Times New Roman" w:eastAsia="Calibri" w:hAnsi="Times New Roman" w:cs="Times New Roman"/>
          <w:sz w:val="24"/>
        </w:rPr>
        <w:t>Validation of PQRS Claims Data</w:t>
      </w:r>
    </w:p>
    <w:p w:rsidR="0028482E" w:rsidRPr="0028482E" w:rsidRDefault="0028482E" w:rsidP="0028482E">
      <w:pPr>
        <w:spacing w:after="0"/>
        <w:ind w:left="737"/>
        <w:rPr>
          <w:rFonts w:ascii="Times New Roman" w:eastAsia="Calibri" w:hAnsi="Times New Roman" w:cs="Times New Roman"/>
          <w:sz w:val="24"/>
        </w:rPr>
      </w:pPr>
    </w:p>
    <w:p w:rsidR="0028482E" w:rsidRPr="0028482E" w:rsidRDefault="0028482E" w:rsidP="0028482E">
      <w:pPr>
        <w:rPr>
          <w:rFonts w:ascii="Times New Roman" w:eastAsia="Calibri" w:hAnsi="Times New Roman" w:cs="Times New Roman"/>
          <w:sz w:val="24"/>
        </w:rPr>
      </w:pPr>
      <w:r w:rsidRPr="0028482E">
        <w:rPr>
          <w:rFonts w:ascii="Times New Roman" w:eastAsia="Calibri" w:hAnsi="Times New Roman" w:cs="Times New Roman"/>
          <w:sz w:val="24"/>
        </w:rPr>
        <w:t xml:space="preserve">As a component of feasibility testing, a detailed questionnaire was sent to the sites to explore whether electronic capture of all necessary data elements to compute each measure was inherent in the EHR. Information obtained about each data element included whether the data element was located in a discrete field in the EHR and whether that field was in a standard codified format. The information obtained is discussed further in the measure testing data element </w:t>
      </w:r>
      <w:r w:rsidRPr="0028482E">
        <w:rPr>
          <w:rFonts w:ascii="Times New Roman" w:eastAsia="Calibri" w:hAnsi="Times New Roman" w:cs="Times New Roman"/>
          <w:sz w:val="24"/>
        </w:rPr>
        <w:lastRenderedPageBreak/>
        <w:t xml:space="preserve">location table found later in this document. One practice site did not provide questionnaire results as they were not using an EHR during the measurement timeframe. </w:t>
      </w:r>
    </w:p>
    <w:p w:rsidR="0028482E" w:rsidRPr="0028482E" w:rsidRDefault="0028482E" w:rsidP="0028482E">
      <w:pPr>
        <w:spacing w:after="0"/>
        <w:rPr>
          <w:rFonts w:ascii="Times New Roman" w:eastAsia="Calibri" w:hAnsi="Times New Roman" w:cs="Times New Roman"/>
          <w:sz w:val="24"/>
        </w:rPr>
      </w:pPr>
      <w:r w:rsidRPr="0028482E">
        <w:rPr>
          <w:rFonts w:ascii="Times New Roman" w:eastAsia="Calibri" w:hAnsi="Times New Roman" w:cs="Times New Roman"/>
          <w:sz w:val="24"/>
        </w:rPr>
        <w:t>Reliability testing of the measures required testing site personnel to use the specifications provided by APMA to complete the necessary programming in the EHR to implement the measures in the EHR and evaluate if a performance report on eligible cases for each of the two measures could be produced. If an EHR-generated report could not be provided, a report of submitted Quality Data codes would be required for the audit. A sample of patients was selected by the site utilizing a randomized sampling strategy to ensure a final sample of 100 patients qualified for the denominator and who received care during the measurement period. As part of the measure reliability testing, two Telligen abstractors performed on</w:t>
      </w:r>
      <w:r w:rsidRPr="0028482E">
        <w:rPr>
          <w:rFonts w:ascii="Times New Roman" w:eastAsia="Calibri" w:hAnsi="Times New Roman" w:cs="Times New Roman"/>
          <w:b/>
          <w:sz w:val="24"/>
        </w:rPr>
        <w:t>-</w:t>
      </w:r>
      <w:r w:rsidRPr="0028482E">
        <w:rPr>
          <w:rFonts w:ascii="Times New Roman" w:eastAsia="Calibri" w:hAnsi="Times New Roman" w:cs="Times New Roman"/>
          <w:sz w:val="24"/>
        </w:rPr>
        <w:t>site visual inspection of the medical record (each reviewed one half of the sample). To determine if the measures could be collected and calculated</w:t>
      </w:r>
      <w:r w:rsidRPr="0028482E">
        <w:rPr>
          <w:rFonts w:ascii="Times New Roman" w:eastAsia="Calibri" w:hAnsi="Times New Roman" w:cs="Times New Roman"/>
          <w:color w:val="FF0000"/>
          <w:sz w:val="24"/>
        </w:rPr>
        <w:t xml:space="preserve"> </w:t>
      </w:r>
      <w:r w:rsidRPr="0028482E">
        <w:rPr>
          <w:rFonts w:ascii="Times New Roman" w:eastAsia="Calibri" w:hAnsi="Times New Roman" w:cs="Times New Roman"/>
          <w:sz w:val="24"/>
        </w:rPr>
        <w:t>reliably, the measures and performance rates were manually constructed for each case. Administrative claim information (claims submitted containing Quality Data codes for PQRS) was compared with the information abstracted from the patient record to determine if the information submitted on the Medicare claim matched the documented care.</w:t>
      </w:r>
    </w:p>
    <w:p w:rsidR="0028482E" w:rsidRPr="0028482E" w:rsidRDefault="0028482E" w:rsidP="0028482E">
      <w:pPr>
        <w:keepNext/>
        <w:keepLines/>
        <w:spacing w:before="200" w:after="60"/>
        <w:outlineLvl w:val="1"/>
        <w:rPr>
          <w:rFonts w:ascii="Times New Roman" w:eastAsia="Times New Roman" w:hAnsi="Times New Roman" w:cs="Times New Roman"/>
          <w:b/>
          <w:bCs/>
          <w:snapToGrid w:val="0"/>
          <w:color w:val="4F81BD"/>
          <w:sz w:val="24"/>
          <w:szCs w:val="26"/>
        </w:rPr>
      </w:pPr>
      <w:bookmarkStart w:id="11" w:name="_Toc343774640"/>
      <w:r w:rsidRPr="0028482E">
        <w:rPr>
          <w:rFonts w:ascii="Times New Roman" w:eastAsia="Times New Roman" w:hAnsi="Times New Roman" w:cs="Times New Roman"/>
          <w:b/>
          <w:bCs/>
          <w:snapToGrid w:val="0"/>
          <w:color w:val="4F81BD"/>
          <w:sz w:val="24"/>
          <w:szCs w:val="26"/>
        </w:rPr>
        <w:t>Appendix II –</w:t>
      </w:r>
      <w:r w:rsidRPr="0028482E">
        <w:rPr>
          <w:rFonts w:ascii="Times New Roman" w:eastAsia="Times New Roman" w:hAnsi="Times New Roman" w:cs="Times New Roman"/>
          <w:b/>
          <w:bCs/>
          <w:color w:val="4F81BD"/>
          <w:sz w:val="24"/>
          <w:szCs w:val="26"/>
        </w:rPr>
        <w:t xml:space="preserve"> Podiatry Diabetic Foot and Ankle Measures Feasibility and Reliability Testing Protocol</w:t>
      </w:r>
      <w:bookmarkEnd w:id="11"/>
    </w:p>
    <w:p w:rsidR="0028482E" w:rsidRPr="0028482E" w:rsidRDefault="0028482E" w:rsidP="0028482E">
      <w:pPr>
        <w:numPr>
          <w:ilvl w:val="0"/>
          <w:numId w:val="35"/>
        </w:numPr>
        <w:spacing w:before="120" w:after="0"/>
        <w:ind w:left="720"/>
        <w:rPr>
          <w:rFonts w:ascii="Times New Roman" w:eastAsia="Calibri" w:hAnsi="Times New Roman" w:cs="Times New Roman"/>
          <w:b/>
          <w:sz w:val="24"/>
        </w:rPr>
      </w:pPr>
      <w:r w:rsidRPr="0028482E">
        <w:rPr>
          <w:rFonts w:ascii="Times New Roman" w:eastAsia="Calibri" w:hAnsi="Times New Roman" w:cs="Times New Roman"/>
          <w:b/>
          <w:sz w:val="24"/>
        </w:rPr>
        <w:t>Objective</w:t>
      </w:r>
    </w:p>
    <w:p w:rsidR="0028482E" w:rsidRPr="0028482E" w:rsidRDefault="0028482E" w:rsidP="0028482E">
      <w:pPr>
        <w:tabs>
          <w:tab w:val="num" w:pos="720"/>
        </w:tabs>
        <w:spacing w:after="120"/>
        <w:ind w:left="720" w:hanging="720"/>
        <w:rPr>
          <w:rFonts w:ascii="Times New Roman" w:eastAsia="Times New Roman" w:hAnsi="Times New Roman" w:cs="Times New Roman"/>
          <w:sz w:val="24"/>
          <w:szCs w:val="24"/>
        </w:rPr>
      </w:pPr>
      <w:r w:rsidRPr="0028482E">
        <w:rPr>
          <w:rFonts w:ascii="Times New Roman" w:eastAsia="Times New Roman" w:hAnsi="Times New Roman" w:cs="Times New Roman"/>
        </w:rPr>
        <w:tab/>
      </w:r>
      <w:r w:rsidRPr="0028482E">
        <w:rPr>
          <w:rFonts w:ascii="Times New Roman" w:eastAsia="Times New Roman" w:hAnsi="Times New Roman" w:cs="Times New Roman"/>
          <w:sz w:val="24"/>
          <w:szCs w:val="24"/>
        </w:rPr>
        <w:t>To successfully conduct reliability/validity testing on two NQF time limited endorsed measures* (NQF 0416 and 0417), both of which have been re-tooled as eMeasures to ultimately assist APMA in attaining full measure endorsement.</w:t>
      </w:r>
    </w:p>
    <w:p w:rsidR="0028482E" w:rsidRPr="0028482E" w:rsidRDefault="0028482E" w:rsidP="0028482E">
      <w:pPr>
        <w:spacing w:after="0"/>
        <w:rPr>
          <w:rFonts w:ascii="Times New Roman" w:eastAsia="Calibri" w:hAnsi="Times New Roman" w:cs="Times New Roman"/>
          <w:sz w:val="24"/>
        </w:rPr>
      </w:pPr>
      <w:r w:rsidRPr="0028482E">
        <w:rPr>
          <w:rFonts w:ascii="Times New Roman" w:eastAsia="Calibri" w:hAnsi="Times New Roman" w:cs="Times New Roman"/>
          <w:b/>
          <w:sz w:val="24"/>
        </w:rPr>
        <w:t>II.</w:t>
      </w:r>
      <w:r w:rsidRPr="0028482E">
        <w:rPr>
          <w:rFonts w:ascii="Times New Roman" w:eastAsia="Calibri" w:hAnsi="Times New Roman" w:cs="Times New Roman"/>
          <w:sz w:val="24"/>
        </w:rPr>
        <w:tab/>
      </w:r>
      <w:r w:rsidRPr="0028482E">
        <w:rPr>
          <w:rFonts w:ascii="Times New Roman" w:eastAsia="Calibri" w:hAnsi="Times New Roman" w:cs="Times New Roman"/>
          <w:b/>
          <w:sz w:val="24"/>
        </w:rPr>
        <w:t>Number of Records Reviewed</w:t>
      </w:r>
    </w:p>
    <w:p w:rsidR="0028482E" w:rsidRPr="0028482E" w:rsidRDefault="0028482E" w:rsidP="0028482E">
      <w:pPr>
        <w:numPr>
          <w:ilvl w:val="0"/>
          <w:numId w:val="29"/>
        </w:numPr>
        <w:spacing w:after="120"/>
        <w:rPr>
          <w:rFonts w:ascii="Times New Roman" w:eastAsia="Calibri" w:hAnsi="Times New Roman" w:cs="Times New Roman"/>
          <w:sz w:val="24"/>
          <w:u w:val="single"/>
        </w:rPr>
      </w:pPr>
      <w:r w:rsidRPr="0028482E">
        <w:rPr>
          <w:rFonts w:ascii="Times New Roman" w:eastAsia="Calibri" w:hAnsi="Times New Roman" w:cs="Times New Roman"/>
          <w:sz w:val="24"/>
        </w:rPr>
        <w:t>Minimum number of 100 individual patient records will be reviewed at each of the four practice sites</w:t>
      </w:r>
    </w:p>
    <w:p w:rsidR="0028482E" w:rsidRPr="0028482E" w:rsidRDefault="0028482E" w:rsidP="0028482E">
      <w:pPr>
        <w:numPr>
          <w:ilvl w:val="0"/>
          <w:numId w:val="32"/>
        </w:numPr>
        <w:spacing w:after="0" w:line="240" w:lineRule="auto"/>
        <w:ind w:left="720"/>
        <w:rPr>
          <w:rFonts w:ascii="Times New Roman" w:eastAsia="Calibri" w:hAnsi="Times New Roman" w:cs="Times New Roman"/>
          <w:b/>
          <w:sz w:val="24"/>
        </w:rPr>
      </w:pPr>
      <w:r w:rsidRPr="0028482E">
        <w:rPr>
          <w:rFonts w:ascii="Times New Roman" w:eastAsia="Calibri" w:hAnsi="Times New Roman" w:cs="Times New Roman"/>
          <w:b/>
          <w:sz w:val="24"/>
        </w:rPr>
        <w:t>Sampling Method</w:t>
      </w:r>
    </w:p>
    <w:p w:rsidR="0028482E" w:rsidRPr="0028482E" w:rsidRDefault="0028482E" w:rsidP="0028482E">
      <w:pPr>
        <w:numPr>
          <w:ilvl w:val="0"/>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To arrive at a sample of 100 records per site, we will over-sample for a total of 110 medical records</w:t>
      </w:r>
    </w:p>
    <w:p w:rsidR="0028482E" w:rsidRPr="0028482E" w:rsidRDefault="0028482E" w:rsidP="0028482E">
      <w:pPr>
        <w:numPr>
          <w:ilvl w:val="0"/>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The sample will be from the reporting year of 1/1/2011 to 12/31/2011, who also met the criteria listed below.</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 xml:space="preserve">Patients with diabetes mellitus aged </w:t>
      </w:r>
      <w:r w:rsidRPr="0028482E">
        <w:rPr>
          <w:rFonts w:ascii="Times New Roman" w:eastAsia="Calibri" w:hAnsi="Times New Roman" w:cs="Times New Roman"/>
          <w:sz w:val="24"/>
          <w:u w:val="single"/>
        </w:rPr>
        <w:t>&gt;</w:t>
      </w:r>
      <w:r w:rsidRPr="0028482E">
        <w:rPr>
          <w:rFonts w:ascii="Times New Roman" w:eastAsia="Calibri" w:hAnsi="Times New Roman" w:cs="Times New Roman"/>
          <w:sz w:val="24"/>
        </w:rPr>
        <w:t xml:space="preserve"> 18 before the encounter or procedure </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 xml:space="preserve">Payment Source of Medicare (site will pull Medicare claims first and fill in the rest with any claim that satisfies the sampling methodology) </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 xml:space="preserve">Claims were submitted using ICD-9 or SNOMED-CT diagnosis codes </w:t>
      </w:r>
      <w:r w:rsidRPr="0028482E">
        <w:rPr>
          <w:rFonts w:ascii="Times New Roman" w:eastAsia="Calibri" w:hAnsi="Times New Roman" w:cs="Times New Roman"/>
          <w:b/>
          <w:sz w:val="24"/>
        </w:rPr>
        <w:t>and</w:t>
      </w:r>
      <w:r w:rsidRPr="0028482E">
        <w:rPr>
          <w:rFonts w:ascii="Times New Roman" w:eastAsia="Calibri" w:hAnsi="Times New Roman" w:cs="Times New Roman"/>
          <w:sz w:val="24"/>
        </w:rPr>
        <w:t xml:space="preserve"> CPT or SNOMED encounter or procedure codes </w:t>
      </w:r>
      <w:r w:rsidRPr="0028482E">
        <w:rPr>
          <w:rFonts w:ascii="Times New Roman" w:eastAsia="Calibri" w:hAnsi="Times New Roman" w:cs="Times New Roman"/>
          <w:b/>
          <w:sz w:val="24"/>
        </w:rPr>
        <w:t>and not</w:t>
      </w:r>
      <w:r w:rsidRPr="0028482E">
        <w:rPr>
          <w:rFonts w:ascii="Times New Roman" w:eastAsia="Calibri" w:hAnsi="Times New Roman" w:cs="Times New Roman"/>
          <w:sz w:val="24"/>
        </w:rPr>
        <w:t xml:space="preserve"> ICD-9 or SNOMED bilateral amputee codes (Page 3 Data Abstraction Definitions/Table 1)</w:t>
      </w:r>
    </w:p>
    <w:p w:rsidR="0028482E" w:rsidRPr="0028482E" w:rsidRDefault="0028482E" w:rsidP="0028482E">
      <w:pPr>
        <w:numPr>
          <w:ilvl w:val="0"/>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Telligen is providing the following sampling methodology to the practice sites:</w:t>
      </w:r>
    </w:p>
    <w:p w:rsidR="0028482E" w:rsidRPr="0028482E" w:rsidRDefault="0028482E" w:rsidP="0028482E">
      <w:pPr>
        <w:numPr>
          <w:ilvl w:val="1"/>
          <w:numId w:val="29"/>
        </w:numPr>
        <w:spacing w:after="120"/>
        <w:rPr>
          <w:rFonts w:ascii="Times New Roman" w:eastAsia="Calibri" w:hAnsi="Times New Roman" w:cs="Times New Roman"/>
          <w:sz w:val="24"/>
        </w:rPr>
      </w:pPr>
      <w:r w:rsidRPr="0028482E">
        <w:rPr>
          <w:rFonts w:ascii="Times New Roman" w:eastAsia="Calibri" w:hAnsi="Times New Roman" w:cs="Times New Roman"/>
          <w:sz w:val="24"/>
        </w:rPr>
        <w:t>Identify records for 100 patients using the coding noted in Table 1 whose Social Security number ends in a specific number, i.e., 2 and 4</w:t>
      </w:r>
    </w:p>
    <w:p w:rsidR="0028482E" w:rsidRPr="0028482E" w:rsidRDefault="0028482E" w:rsidP="0028482E">
      <w:pPr>
        <w:numPr>
          <w:ilvl w:val="0"/>
          <w:numId w:val="30"/>
        </w:numPr>
        <w:spacing w:after="0" w:line="240" w:lineRule="auto"/>
        <w:rPr>
          <w:rFonts w:ascii="Times New Roman" w:eastAsia="Calibri" w:hAnsi="Times New Roman" w:cs="Times New Roman"/>
          <w:b/>
          <w:sz w:val="24"/>
        </w:rPr>
      </w:pPr>
      <w:r w:rsidRPr="0028482E">
        <w:rPr>
          <w:rFonts w:ascii="Times New Roman" w:eastAsia="Calibri" w:hAnsi="Times New Roman" w:cs="Times New Roman"/>
          <w:b/>
          <w:sz w:val="24"/>
        </w:rPr>
        <w:lastRenderedPageBreak/>
        <w:t>Pre-visit Procedures for On-site Data Abstraction</w:t>
      </w:r>
    </w:p>
    <w:p w:rsidR="0028482E" w:rsidRPr="0028482E" w:rsidRDefault="0028482E" w:rsidP="0028482E">
      <w:pPr>
        <w:numPr>
          <w:ilvl w:val="1"/>
          <w:numId w:val="30"/>
        </w:numPr>
        <w:spacing w:after="0"/>
        <w:ind w:left="1080" w:hanging="360"/>
        <w:rPr>
          <w:rFonts w:ascii="Times New Roman" w:eastAsia="Calibri" w:hAnsi="Times New Roman" w:cs="Times New Roman"/>
          <w:sz w:val="24"/>
        </w:rPr>
      </w:pPr>
      <w:r w:rsidRPr="0028482E">
        <w:rPr>
          <w:rFonts w:ascii="Times New Roman" w:eastAsia="Calibri" w:hAnsi="Times New Roman" w:cs="Times New Roman"/>
          <w:sz w:val="24"/>
        </w:rPr>
        <w:t>Abstractors will send electronic notification to the practice site that includes the following information:</w:t>
      </w:r>
    </w:p>
    <w:p w:rsidR="0028482E" w:rsidRPr="0028482E" w:rsidRDefault="0028482E" w:rsidP="0028482E">
      <w:pPr>
        <w:numPr>
          <w:ilvl w:val="1"/>
          <w:numId w:val="33"/>
        </w:numPr>
        <w:spacing w:after="0"/>
        <w:rPr>
          <w:rFonts w:ascii="Times New Roman" w:eastAsia="Calibri" w:hAnsi="Times New Roman" w:cs="Times New Roman"/>
          <w:sz w:val="24"/>
        </w:rPr>
      </w:pPr>
      <w:r w:rsidRPr="0028482E">
        <w:rPr>
          <w:rFonts w:ascii="Times New Roman" w:eastAsia="Calibri" w:hAnsi="Times New Roman" w:cs="Times New Roman"/>
          <w:sz w:val="24"/>
        </w:rPr>
        <w:t>Description of sampling methodology</w:t>
      </w:r>
    </w:p>
    <w:p w:rsidR="0028482E" w:rsidRPr="0028482E" w:rsidRDefault="0028482E" w:rsidP="0028482E">
      <w:pPr>
        <w:numPr>
          <w:ilvl w:val="1"/>
          <w:numId w:val="33"/>
        </w:numPr>
        <w:spacing w:after="0"/>
        <w:rPr>
          <w:rFonts w:ascii="Times New Roman" w:eastAsia="Calibri" w:hAnsi="Times New Roman" w:cs="Times New Roman"/>
          <w:sz w:val="24"/>
        </w:rPr>
      </w:pPr>
      <w:r w:rsidRPr="0028482E">
        <w:rPr>
          <w:rFonts w:ascii="Times New Roman" w:eastAsia="Calibri" w:hAnsi="Times New Roman" w:cs="Times New Roman"/>
          <w:sz w:val="24"/>
        </w:rPr>
        <w:t xml:space="preserve">Data Element Tables (location of data in the site’s EHR) </w:t>
      </w:r>
    </w:p>
    <w:p w:rsidR="0028482E" w:rsidRPr="0028482E" w:rsidRDefault="0028482E" w:rsidP="0028482E">
      <w:pPr>
        <w:numPr>
          <w:ilvl w:val="1"/>
          <w:numId w:val="33"/>
        </w:numPr>
        <w:spacing w:after="0"/>
        <w:rPr>
          <w:rFonts w:ascii="Times New Roman" w:eastAsia="Calibri" w:hAnsi="Times New Roman" w:cs="Times New Roman"/>
          <w:sz w:val="24"/>
        </w:rPr>
      </w:pPr>
      <w:r w:rsidRPr="0028482E">
        <w:rPr>
          <w:rFonts w:ascii="Times New Roman" w:eastAsia="Calibri" w:hAnsi="Times New Roman" w:cs="Times New Roman"/>
          <w:sz w:val="24"/>
        </w:rPr>
        <w:t>Confirmation of availability of staff at practice site</w:t>
      </w:r>
    </w:p>
    <w:p w:rsidR="0028482E" w:rsidRPr="0028482E" w:rsidRDefault="0028482E" w:rsidP="0028482E">
      <w:pPr>
        <w:numPr>
          <w:ilvl w:val="1"/>
          <w:numId w:val="33"/>
        </w:numPr>
        <w:spacing w:after="0"/>
        <w:rPr>
          <w:rFonts w:ascii="Times New Roman" w:eastAsia="Calibri" w:hAnsi="Times New Roman" w:cs="Times New Roman"/>
          <w:sz w:val="24"/>
        </w:rPr>
      </w:pPr>
      <w:r w:rsidRPr="0028482E">
        <w:rPr>
          <w:rFonts w:ascii="Times New Roman" w:eastAsia="Calibri" w:hAnsi="Times New Roman" w:cs="Times New Roman"/>
          <w:sz w:val="24"/>
        </w:rPr>
        <w:t>Statement of approximate length of on-site visit</w:t>
      </w:r>
    </w:p>
    <w:p w:rsidR="0028482E" w:rsidRPr="0028482E" w:rsidRDefault="0028482E" w:rsidP="0028482E">
      <w:pPr>
        <w:numPr>
          <w:ilvl w:val="0"/>
          <w:numId w:val="34"/>
        </w:numPr>
        <w:spacing w:after="120"/>
        <w:ind w:left="1080"/>
        <w:rPr>
          <w:rFonts w:ascii="Times New Roman" w:eastAsia="Calibri" w:hAnsi="Times New Roman" w:cs="Times New Roman"/>
          <w:i/>
          <w:sz w:val="24"/>
        </w:rPr>
      </w:pPr>
      <w:r w:rsidRPr="0028482E">
        <w:rPr>
          <w:rFonts w:ascii="Times New Roman" w:eastAsia="Calibri" w:hAnsi="Times New Roman" w:cs="Times New Roman"/>
          <w:sz w:val="24"/>
        </w:rPr>
        <w:t>Abstractors will phone office contact 1 week after information is sent to the practice site (discuss any sampling problems and discuss dates for the on-site visit)</w:t>
      </w:r>
    </w:p>
    <w:p w:rsidR="0028482E" w:rsidRPr="0028482E" w:rsidRDefault="0028482E" w:rsidP="0028482E">
      <w:pPr>
        <w:numPr>
          <w:ilvl w:val="0"/>
          <w:numId w:val="33"/>
        </w:numPr>
        <w:spacing w:after="0" w:line="240" w:lineRule="auto"/>
        <w:rPr>
          <w:rFonts w:ascii="Times New Roman" w:eastAsia="Calibri" w:hAnsi="Times New Roman" w:cs="Times New Roman"/>
          <w:b/>
          <w:sz w:val="24"/>
        </w:rPr>
      </w:pPr>
      <w:r w:rsidRPr="0028482E">
        <w:rPr>
          <w:rFonts w:ascii="Times New Roman" w:eastAsia="Calibri" w:hAnsi="Times New Roman" w:cs="Times New Roman"/>
          <w:b/>
          <w:sz w:val="24"/>
        </w:rPr>
        <w:t>On-site Visit Procedure</w:t>
      </w:r>
    </w:p>
    <w:p w:rsidR="0028482E" w:rsidRPr="0028482E" w:rsidRDefault="0028482E" w:rsidP="0028482E">
      <w:pPr>
        <w:numPr>
          <w:ilvl w:val="0"/>
          <w:numId w:val="31"/>
        </w:numPr>
        <w:spacing w:after="0"/>
        <w:ind w:left="1080" w:hanging="360"/>
        <w:rPr>
          <w:rFonts w:ascii="Times New Roman" w:eastAsia="Calibri" w:hAnsi="Times New Roman" w:cs="Times New Roman"/>
          <w:sz w:val="24"/>
        </w:rPr>
      </w:pPr>
      <w:r w:rsidRPr="0028482E">
        <w:rPr>
          <w:rFonts w:ascii="Times New Roman" w:eastAsia="Calibri" w:hAnsi="Times New Roman" w:cs="Times New Roman"/>
          <w:sz w:val="24"/>
        </w:rPr>
        <w:t>Introduction to staff and EHR</w:t>
      </w:r>
    </w:p>
    <w:p w:rsidR="0028482E" w:rsidRPr="0028482E" w:rsidRDefault="0028482E" w:rsidP="0028482E">
      <w:pPr>
        <w:numPr>
          <w:ilvl w:val="0"/>
          <w:numId w:val="31"/>
        </w:numPr>
        <w:spacing w:after="0"/>
        <w:ind w:left="1080" w:hanging="360"/>
        <w:rPr>
          <w:rFonts w:ascii="Times New Roman" w:eastAsia="Calibri" w:hAnsi="Times New Roman" w:cs="Times New Roman"/>
          <w:sz w:val="24"/>
        </w:rPr>
      </w:pPr>
      <w:r w:rsidRPr="0028482E">
        <w:rPr>
          <w:rFonts w:ascii="Times New Roman" w:eastAsia="Calibri" w:hAnsi="Times New Roman" w:cs="Times New Roman"/>
          <w:sz w:val="24"/>
        </w:rPr>
        <w:t>Discuss security issues/logon information with practice site contact</w:t>
      </w:r>
    </w:p>
    <w:p w:rsidR="0028482E" w:rsidRPr="0028482E" w:rsidRDefault="0028482E" w:rsidP="0028482E">
      <w:pPr>
        <w:numPr>
          <w:ilvl w:val="0"/>
          <w:numId w:val="31"/>
        </w:numPr>
        <w:spacing w:after="0"/>
        <w:ind w:left="1080" w:hanging="360"/>
        <w:rPr>
          <w:rFonts w:ascii="Times New Roman" w:eastAsia="Calibri" w:hAnsi="Times New Roman" w:cs="Times New Roman"/>
          <w:sz w:val="24"/>
        </w:rPr>
      </w:pPr>
      <w:r w:rsidRPr="0028482E">
        <w:rPr>
          <w:rFonts w:ascii="Times New Roman" w:eastAsia="Calibri" w:hAnsi="Times New Roman" w:cs="Times New Roman"/>
          <w:sz w:val="24"/>
        </w:rPr>
        <w:t>Practice site will provide a brief tutorial of the EHR</w:t>
      </w:r>
    </w:p>
    <w:p w:rsidR="0028482E" w:rsidRPr="0028482E" w:rsidRDefault="0028482E" w:rsidP="0028482E">
      <w:pPr>
        <w:numPr>
          <w:ilvl w:val="0"/>
          <w:numId w:val="31"/>
        </w:numPr>
        <w:spacing w:after="120"/>
        <w:ind w:left="1080" w:hanging="360"/>
        <w:rPr>
          <w:rFonts w:ascii="Times New Roman" w:eastAsia="Calibri" w:hAnsi="Times New Roman" w:cs="Times New Roman"/>
          <w:sz w:val="24"/>
        </w:rPr>
      </w:pPr>
      <w:r w:rsidRPr="0028482E">
        <w:rPr>
          <w:rFonts w:ascii="Times New Roman" w:eastAsia="Calibri" w:hAnsi="Times New Roman" w:cs="Times New Roman"/>
          <w:sz w:val="24"/>
        </w:rPr>
        <w:t xml:space="preserve">Abstractors (2) will need to use </w:t>
      </w:r>
      <w:r w:rsidRPr="0028482E">
        <w:rPr>
          <w:rFonts w:ascii="Times New Roman" w:eastAsia="Calibri" w:hAnsi="Times New Roman" w:cs="Times New Roman"/>
          <w:sz w:val="24"/>
          <w:u w:val="single"/>
        </w:rPr>
        <w:t>two</w:t>
      </w:r>
      <w:r w:rsidRPr="0028482E">
        <w:rPr>
          <w:rFonts w:ascii="Times New Roman" w:eastAsia="Calibri" w:hAnsi="Times New Roman" w:cs="Times New Roman"/>
          <w:sz w:val="24"/>
        </w:rPr>
        <w:t xml:space="preserve"> of the practice site computers in order to access the practice site’s EHR. The two abstractors will also have laptops loaded with a pre-approved data collection tool in order to perform the data abstraction</w:t>
      </w:r>
    </w:p>
    <w:p w:rsidR="0028482E" w:rsidRPr="0028482E" w:rsidRDefault="0028482E" w:rsidP="0028482E">
      <w:pPr>
        <w:spacing w:after="0"/>
        <w:rPr>
          <w:rFonts w:ascii="Times New Roman" w:eastAsia="Calibri" w:hAnsi="Times New Roman" w:cs="Times New Roman"/>
          <w:b/>
          <w:sz w:val="24"/>
        </w:rPr>
      </w:pPr>
      <w:r w:rsidRPr="0028482E">
        <w:rPr>
          <w:rFonts w:ascii="Times New Roman" w:eastAsia="Calibri" w:hAnsi="Times New Roman" w:cs="Times New Roman"/>
          <w:b/>
          <w:sz w:val="24"/>
        </w:rPr>
        <w:t>VI</w:t>
      </w:r>
      <w:r w:rsidRPr="0028482E">
        <w:rPr>
          <w:rFonts w:ascii="Times New Roman" w:eastAsia="Calibri" w:hAnsi="Times New Roman" w:cs="Times New Roman"/>
          <w:b/>
          <w:sz w:val="24"/>
        </w:rPr>
        <w:tab/>
        <w:t>Validation of PQRS Claims Data</w:t>
      </w:r>
    </w:p>
    <w:p w:rsidR="0028482E" w:rsidRPr="0028482E" w:rsidRDefault="0028482E" w:rsidP="0028482E">
      <w:pPr>
        <w:numPr>
          <w:ilvl w:val="0"/>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For the practice sites participating in 2011 PQRS, abstractors will conduct a validation of the PQRS claims data for sites submitting PQRS data. The process includes:</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Identification of a random sample of Medicare claims submitted containing Quality Data Codes for PQRS</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Obtain a copy of the Medicare claim from the site</w:t>
      </w:r>
    </w:p>
    <w:p w:rsidR="0028482E" w:rsidRPr="0028482E" w:rsidRDefault="0028482E" w:rsidP="0028482E">
      <w:pPr>
        <w:numPr>
          <w:ilvl w:val="1"/>
          <w:numId w:val="29"/>
        </w:numPr>
        <w:spacing w:after="0"/>
        <w:rPr>
          <w:rFonts w:ascii="Times New Roman" w:eastAsia="Calibri" w:hAnsi="Times New Roman" w:cs="Times New Roman"/>
          <w:sz w:val="24"/>
        </w:rPr>
      </w:pPr>
      <w:r w:rsidRPr="0028482E">
        <w:rPr>
          <w:rFonts w:ascii="Times New Roman" w:eastAsia="Calibri" w:hAnsi="Times New Roman" w:cs="Times New Roman"/>
          <w:sz w:val="24"/>
        </w:rPr>
        <w:t xml:space="preserve">Compare the information submitted on the Medicare claim with information in the patient record </w:t>
      </w:r>
      <w:r w:rsidRPr="0028482E">
        <w:rPr>
          <w:rFonts w:ascii="Times New Roman" w:eastAsia="Calibri" w:hAnsi="Times New Roman" w:cs="Times New Roman"/>
          <w:b/>
          <w:sz w:val="24"/>
        </w:rPr>
        <w:t>(</w:t>
      </w:r>
      <w:r w:rsidRPr="0028482E">
        <w:rPr>
          <w:rFonts w:ascii="Times New Roman" w:eastAsia="Calibri" w:hAnsi="Times New Roman" w:cs="Times New Roman"/>
          <w:b/>
          <w:sz w:val="24"/>
          <w:u w:val="single"/>
        </w:rPr>
        <w:t>same sample of patients</w:t>
      </w:r>
      <w:r w:rsidRPr="0028482E">
        <w:rPr>
          <w:rFonts w:ascii="Times New Roman" w:eastAsia="Calibri" w:hAnsi="Times New Roman" w:cs="Times New Roman"/>
          <w:b/>
          <w:sz w:val="24"/>
        </w:rPr>
        <w:t>)</w:t>
      </w:r>
      <w:r w:rsidRPr="0028482E">
        <w:rPr>
          <w:rFonts w:ascii="Times New Roman" w:eastAsia="Calibri" w:hAnsi="Times New Roman" w:cs="Times New Roman"/>
          <w:sz w:val="24"/>
        </w:rPr>
        <w:t xml:space="preserve"> to determine if the information submitted matches the PQRS Measure Specifications as posted on the CMS website</w:t>
      </w:r>
    </w:p>
    <w:p w:rsidR="0028482E" w:rsidRPr="0028482E" w:rsidRDefault="0028482E" w:rsidP="0028482E">
      <w:pPr>
        <w:ind w:left="360"/>
        <w:rPr>
          <w:rFonts w:ascii="Times New Roman" w:eastAsia="Calibri" w:hAnsi="Times New Roman" w:cs="Times New Roman"/>
          <w:b/>
          <w:sz w:val="24"/>
        </w:rPr>
      </w:pPr>
    </w:p>
    <w:p w:rsidR="0028482E" w:rsidRPr="0028482E" w:rsidRDefault="0028482E" w:rsidP="0028482E">
      <w:pPr>
        <w:rPr>
          <w:rFonts w:ascii="Times New Roman" w:eastAsia="Calibri" w:hAnsi="Times New Roman" w:cs="Times New Roman"/>
          <w:sz w:val="24"/>
        </w:rPr>
      </w:pPr>
      <w:r w:rsidRPr="0028482E">
        <w:rPr>
          <w:rFonts w:ascii="Times New Roman" w:eastAsia="Calibri" w:hAnsi="Times New Roman" w:cs="Times New Roman"/>
          <w:sz w:val="24"/>
        </w:rPr>
        <w:t>Confidentiality of data - In the course of this on-site review of records, Telligen personnel will view Personal Health Information (PHI) as they review patient records.  Telligen is a Quality Improvement Organization (QIO) that serves as a health oversight agency for the Centers for Medicare and Medicaid Services (CMS) and is therefore authorized to have access to PHI.  Moreover, PHI may be disclosed to Telligen without patient authorization under the HIPAA Privacy Rule at 45 CRF ***164.512(d).</w:t>
      </w:r>
    </w:p>
    <w:p w:rsidR="001969C5" w:rsidRPr="00A25024" w:rsidRDefault="001969C5" w:rsidP="008C54A9">
      <w:pPr>
        <w:autoSpaceDE w:val="0"/>
        <w:autoSpaceDN w:val="0"/>
        <w:adjustRightInd w:val="0"/>
        <w:spacing w:after="0" w:line="240" w:lineRule="auto"/>
        <w:rPr>
          <w:rFonts w:cstheme="minorHAnsi"/>
          <w:bCs/>
        </w:rPr>
      </w:pPr>
    </w:p>
    <w:p w:rsidR="008C54A9" w:rsidRPr="00A25024" w:rsidRDefault="008C54A9" w:rsidP="008C54A9">
      <w:pPr>
        <w:autoSpaceDE w:val="0"/>
        <w:autoSpaceDN w:val="0"/>
        <w:adjustRightInd w:val="0"/>
        <w:spacing w:after="0" w:line="240" w:lineRule="auto"/>
        <w:rPr>
          <w:rFonts w:cstheme="minorHAnsi"/>
          <w:bCs/>
        </w:rPr>
      </w:pPr>
    </w:p>
    <w:p w:rsidR="0028482E" w:rsidRPr="0028482E" w:rsidRDefault="00092566" w:rsidP="0028482E">
      <w:pPr>
        <w:pStyle w:val="Heading1"/>
        <w:spacing w:before="360" w:after="120"/>
        <w:rPr>
          <w:rFonts w:ascii="Times New Roman" w:eastAsia="Times New Roman" w:hAnsi="Times New Roman" w:cs="Times New Roman"/>
          <w:color w:val="365F91"/>
          <w:sz w:val="24"/>
          <w:szCs w:val="24"/>
        </w:rPr>
      </w:pPr>
      <w:r>
        <w:rPr>
          <w:rFonts w:cstheme="minorHAnsi"/>
        </w:rPr>
        <w:lastRenderedPageBreak/>
        <w:t>2a2.</w:t>
      </w:r>
      <w:r w:rsidR="008C54A9" w:rsidRPr="00A25024">
        <w:rPr>
          <w:rFonts w:cstheme="minorHAnsi"/>
        </w:rPr>
        <w:t xml:space="preserve">3. For each level </w:t>
      </w:r>
      <w:r w:rsidR="008F7E67">
        <w:rPr>
          <w:rFonts w:cstheme="minorHAnsi"/>
        </w:rPr>
        <w:t xml:space="preserve">of testing </w:t>
      </w:r>
      <w:r w:rsidR="008C54A9" w:rsidRPr="00A25024">
        <w:rPr>
          <w:rFonts w:cstheme="minorHAnsi"/>
        </w:rPr>
        <w:t>checked above, w</w:t>
      </w:r>
      <w:r w:rsidR="00900DBF" w:rsidRPr="00A25024">
        <w:rPr>
          <w:rFonts w:cstheme="minorHAnsi"/>
        </w:rPr>
        <w:t>hat were the statistical results</w:t>
      </w:r>
      <w:r w:rsidR="007422FD" w:rsidRPr="00A25024">
        <w:rPr>
          <w:rFonts w:cstheme="minorHAnsi"/>
        </w:rPr>
        <w:t xml:space="preserve"> from reliability testing</w:t>
      </w:r>
      <w:r w:rsidR="00900DBF" w:rsidRPr="00A25024">
        <w:rPr>
          <w:rFonts w:cstheme="minorHAnsi"/>
        </w:rPr>
        <w:t>?</w:t>
      </w:r>
      <w:r w:rsidR="00B037BA" w:rsidRPr="00A25024">
        <w:rPr>
          <w:rFonts w:cstheme="minorHAnsi"/>
        </w:rPr>
        <w:t xml:space="preserve"> </w:t>
      </w:r>
      <w:r w:rsidR="00AA5213" w:rsidRPr="00A25024">
        <w:rPr>
          <w:rFonts w:cstheme="minorHAnsi"/>
        </w:rPr>
        <w:t xml:space="preserve"> (e</w:t>
      </w:r>
      <w:r w:rsidR="00AA5213" w:rsidRPr="00A25024">
        <w:rPr>
          <w:rFonts w:cstheme="minorHAnsi"/>
          <w:i/>
        </w:rPr>
        <w:t>.g., percent agreement and kappa for the critical data elements; distribution of reliability statistics from a signal-to-noise analysis</w:t>
      </w:r>
      <w:r w:rsidR="00AA5213" w:rsidRPr="00A25024">
        <w:rPr>
          <w:rFonts w:cstheme="minorHAnsi"/>
        </w:rPr>
        <w:t>)</w:t>
      </w:r>
      <w:bookmarkStart w:id="12" w:name="_Toc343774629"/>
      <w:r w:rsidR="0028482E" w:rsidRPr="0028482E">
        <w:rPr>
          <w:rFonts w:ascii="Times New Roman" w:eastAsia="Times New Roman" w:hAnsi="Times New Roman" w:cs="Times New Roman"/>
          <w:bCs w:val="0"/>
          <w:caps/>
          <w:snapToGrid w:val="0"/>
          <w:color w:val="336699"/>
          <w:sz w:val="24"/>
          <w:szCs w:val="24"/>
        </w:rPr>
        <w:t xml:space="preserve"> Reliability </w:t>
      </w:r>
      <w:r w:rsidR="0028482E" w:rsidRPr="0028482E">
        <w:rPr>
          <w:rFonts w:ascii="Times New Roman" w:eastAsia="Times New Roman" w:hAnsi="Times New Roman" w:cs="Times New Roman"/>
          <w:caps/>
          <w:snapToGrid w:val="0"/>
          <w:color w:val="336699"/>
          <w:sz w:val="24"/>
          <w:szCs w:val="24"/>
        </w:rPr>
        <w:t xml:space="preserve">&amp; Performance rates </w:t>
      </w:r>
      <w:r w:rsidR="0028482E" w:rsidRPr="0028482E">
        <w:rPr>
          <w:rFonts w:ascii="Times New Roman" w:eastAsia="Times New Roman" w:hAnsi="Times New Roman" w:cs="Times New Roman"/>
          <w:bCs w:val="0"/>
          <w:caps/>
          <w:snapToGrid w:val="0"/>
          <w:color w:val="336699"/>
          <w:sz w:val="24"/>
          <w:szCs w:val="24"/>
        </w:rPr>
        <w:t>testing</w:t>
      </w:r>
      <w:r w:rsidR="0028482E" w:rsidRPr="0028482E">
        <w:rPr>
          <w:rFonts w:ascii="Times New Roman" w:eastAsia="Times New Roman" w:hAnsi="Times New Roman" w:cs="Times New Roman"/>
          <w:caps/>
          <w:snapToGrid w:val="0"/>
          <w:color w:val="336699"/>
          <w:sz w:val="24"/>
          <w:szCs w:val="24"/>
        </w:rPr>
        <w:t xml:space="preserve"> results: evaluation of footwear measure</w:t>
      </w:r>
      <w:bookmarkEnd w:id="12"/>
    </w:p>
    <w:p w:rsidR="0028482E" w:rsidRPr="0028482E" w:rsidRDefault="0028482E" w:rsidP="0028482E">
      <w:pPr>
        <w:spacing w:after="0"/>
        <w:rPr>
          <w:rFonts w:ascii="Times New Roman" w:eastAsia="Calibri" w:hAnsi="Times New Roman" w:cs="Times New Roman"/>
          <w:b/>
          <w:i/>
          <w:iCs/>
          <w:sz w:val="24"/>
        </w:rPr>
      </w:pPr>
      <w:r w:rsidRPr="0028482E">
        <w:rPr>
          <w:rFonts w:ascii="Times New Roman" w:eastAsia="Calibri" w:hAnsi="Times New Roman" w:cs="Times New Roman"/>
          <w:b/>
          <w:i/>
          <w:iCs/>
          <w:sz w:val="24"/>
        </w:rPr>
        <w:t>Table 2.  Reliability Testing Results: Evaluation of Footwear Measure</w:t>
      </w:r>
    </w:p>
    <w:tbl>
      <w:tblPr>
        <w:tblW w:w="5263"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871"/>
        <w:gridCol w:w="984"/>
        <w:gridCol w:w="962"/>
        <w:gridCol w:w="893"/>
        <w:gridCol w:w="895"/>
        <w:gridCol w:w="851"/>
        <w:gridCol w:w="1028"/>
        <w:gridCol w:w="891"/>
        <w:gridCol w:w="1258"/>
      </w:tblGrid>
      <w:tr w:rsidR="0028482E" w:rsidRPr="0028482E" w:rsidTr="0028482E">
        <w:trPr>
          <w:trHeight w:val="467"/>
        </w:trPr>
        <w:tc>
          <w:tcPr>
            <w:tcW w:w="5000" w:type="pct"/>
            <w:gridSpan w:val="10"/>
            <w:shd w:val="clear" w:color="auto" w:fill="D9D9D9"/>
            <w:vAlign w:val="center"/>
          </w:tcPr>
          <w:p w:rsidR="0028482E" w:rsidRPr="0028482E" w:rsidRDefault="0028482E" w:rsidP="0028482E">
            <w:pPr>
              <w:spacing w:after="0"/>
              <w:rPr>
                <w:rFonts w:ascii="Times New Roman" w:eastAsia="Calibri" w:hAnsi="Times New Roman" w:cs="Times New Roman"/>
                <w:b/>
                <w:iCs/>
                <w:sz w:val="24"/>
              </w:rPr>
            </w:pPr>
            <w:r w:rsidRPr="0028482E">
              <w:rPr>
                <w:rFonts w:ascii="Times New Roman" w:eastAsia="Calibri" w:hAnsi="Times New Roman" w:cs="Times New Roman"/>
                <w:b/>
                <w:iCs/>
                <w:sz w:val="24"/>
              </w:rPr>
              <w:t xml:space="preserve">Assessment of Evaluation of Footwear </w:t>
            </w:r>
          </w:p>
        </w:tc>
      </w:tr>
      <w:tr w:rsidR="0028482E" w:rsidRPr="0028482E" w:rsidTr="0028482E">
        <w:tc>
          <w:tcPr>
            <w:tcW w:w="1638" w:type="pct"/>
            <w:gridSpan w:val="3"/>
          </w:tcPr>
          <w:p w:rsidR="0028482E" w:rsidRPr="0028482E" w:rsidRDefault="0028482E" w:rsidP="0028482E">
            <w:pPr>
              <w:spacing w:after="0" w:line="240" w:lineRule="auto"/>
              <w:jc w:val="center"/>
              <w:rPr>
                <w:rFonts w:ascii="Times New Roman" w:eastAsia="Calibri" w:hAnsi="Times New Roman" w:cs="Times New Roman"/>
                <w:b/>
                <w:sz w:val="24"/>
              </w:rPr>
            </w:pPr>
          </w:p>
        </w:tc>
        <w:tc>
          <w:tcPr>
            <w:tcW w:w="1786" w:type="pct"/>
            <w:gridSpan w:val="4"/>
          </w:tcPr>
          <w:p w:rsidR="0028482E" w:rsidRPr="0028482E" w:rsidRDefault="0028482E" w:rsidP="0028482E">
            <w:pPr>
              <w:spacing w:after="0" w:line="240" w:lineRule="auto"/>
              <w:jc w:val="center"/>
              <w:rPr>
                <w:rFonts w:ascii="Times New Roman" w:eastAsia="Calibri" w:hAnsi="Times New Roman" w:cs="Times New Roman"/>
                <w:b/>
                <w:sz w:val="24"/>
              </w:rPr>
            </w:pPr>
            <w:r w:rsidRPr="0028482E">
              <w:rPr>
                <w:rFonts w:ascii="Times New Roman" w:eastAsia="Calibri" w:hAnsi="Times New Roman" w:cs="Times New Roman"/>
                <w:b/>
                <w:iCs/>
                <w:sz w:val="24"/>
              </w:rPr>
              <w:t>Agreement is displayed between PQRS and manual abstraction</w:t>
            </w:r>
            <w:r w:rsidRPr="0028482E">
              <w:rPr>
                <w:rFonts w:ascii="Times New Roman" w:eastAsia="Calibri" w:hAnsi="Times New Roman" w:cs="Times New Roman"/>
                <w:b/>
                <w:iCs/>
                <w:sz w:val="18"/>
                <w:szCs w:val="18"/>
              </w:rPr>
              <w:t>*</w:t>
            </w:r>
          </w:p>
        </w:tc>
        <w:tc>
          <w:tcPr>
            <w:tcW w:w="1576" w:type="pct"/>
            <w:gridSpan w:val="3"/>
          </w:tcPr>
          <w:p w:rsidR="0028482E" w:rsidRPr="0028482E" w:rsidRDefault="0028482E" w:rsidP="0028482E">
            <w:pPr>
              <w:spacing w:after="0" w:line="240" w:lineRule="auto"/>
              <w:jc w:val="center"/>
              <w:rPr>
                <w:rFonts w:ascii="Times New Roman" w:eastAsia="Calibri" w:hAnsi="Times New Roman" w:cs="Times New Roman"/>
                <w:b/>
                <w:sz w:val="24"/>
              </w:rPr>
            </w:pPr>
          </w:p>
        </w:tc>
      </w:tr>
      <w:tr w:rsidR="0028482E" w:rsidRPr="0028482E" w:rsidTr="0028482E">
        <w:trPr>
          <w:trHeight w:val="476"/>
        </w:trPr>
        <w:tc>
          <w:tcPr>
            <w:tcW w:w="718" w:type="pct"/>
            <w:tcBorders>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N=286</w:t>
            </w:r>
          </w:p>
        </w:tc>
        <w:tc>
          <w:tcPr>
            <w:tcW w:w="432" w:type="pct"/>
            <w:tcBorders>
              <w:top w:val="double" w:sz="4" w:space="0" w:color="auto"/>
              <w:left w:val="double" w:sz="4" w:space="0" w:color="auto"/>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PQRS</w:t>
            </w:r>
          </w:p>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(n)</w:t>
            </w:r>
          </w:p>
        </w:tc>
        <w:tc>
          <w:tcPr>
            <w:tcW w:w="488" w:type="pct"/>
            <w:tcBorders>
              <w:top w:val="double" w:sz="4" w:space="0" w:color="auto"/>
              <w:left w:val="double" w:sz="4" w:space="0" w:color="auto"/>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Manual</w:t>
            </w:r>
          </w:p>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(n)</w:t>
            </w:r>
          </w:p>
        </w:tc>
        <w:tc>
          <w:tcPr>
            <w:tcW w:w="477" w:type="pct"/>
            <w:tcBorders>
              <w:lef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Yes/Yes****</w:t>
            </w:r>
          </w:p>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(P/M)</w:t>
            </w:r>
          </w:p>
        </w:tc>
        <w:tc>
          <w:tcPr>
            <w:tcW w:w="443" w:type="pct"/>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Yes/No</w:t>
            </w:r>
          </w:p>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(P/M)</w:t>
            </w:r>
          </w:p>
        </w:tc>
        <w:tc>
          <w:tcPr>
            <w:tcW w:w="444" w:type="pct"/>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No/Yes</w:t>
            </w:r>
          </w:p>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(P/M)</w:t>
            </w:r>
          </w:p>
        </w:tc>
        <w:tc>
          <w:tcPr>
            <w:tcW w:w="422" w:type="pct"/>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No/No</w:t>
            </w:r>
          </w:p>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(P/M)</w:t>
            </w:r>
          </w:p>
        </w:tc>
        <w:tc>
          <w:tcPr>
            <w:tcW w:w="510" w:type="pct"/>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Kappa** Rate</w:t>
            </w:r>
          </w:p>
        </w:tc>
        <w:tc>
          <w:tcPr>
            <w:tcW w:w="442" w:type="pct"/>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95% CI</w:t>
            </w:r>
          </w:p>
        </w:tc>
        <w:tc>
          <w:tcPr>
            <w:tcW w:w="624" w:type="pct"/>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Agreement</w:t>
            </w:r>
          </w:p>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rPr>
              <w:t>%</w:t>
            </w:r>
          </w:p>
        </w:tc>
      </w:tr>
      <w:tr w:rsidR="0028482E" w:rsidRPr="0028482E" w:rsidTr="0028482E">
        <w:trPr>
          <w:trHeight w:val="476"/>
        </w:trPr>
        <w:tc>
          <w:tcPr>
            <w:tcW w:w="718" w:type="pct"/>
            <w:tcBorders>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bCs/>
                <w:i/>
                <w:iCs/>
              </w:rPr>
              <w:t>Denominator</w:t>
            </w:r>
          </w:p>
        </w:tc>
        <w:tc>
          <w:tcPr>
            <w:tcW w:w="432" w:type="pct"/>
            <w:tcBorders>
              <w:top w:val="double" w:sz="4" w:space="0" w:color="auto"/>
              <w:left w:val="double" w:sz="4" w:space="0" w:color="auto"/>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286</w:t>
            </w:r>
          </w:p>
        </w:tc>
        <w:tc>
          <w:tcPr>
            <w:tcW w:w="488" w:type="pct"/>
            <w:tcBorders>
              <w:top w:val="double" w:sz="4" w:space="0" w:color="auto"/>
              <w:left w:val="double" w:sz="4" w:space="0" w:color="auto"/>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286</w:t>
            </w:r>
          </w:p>
        </w:tc>
        <w:tc>
          <w:tcPr>
            <w:tcW w:w="477" w:type="pct"/>
            <w:tcBorders>
              <w:lef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286</w:t>
            </w:r>
          </w:p>
        </w:tc>
        <w:tc>
          <w:tcPr>
            <w:tcW w:w="443" w:type="pct"/>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0</w:t>
            </w:r>
          </w:p>
        </w:tc>
        <w:tc>
          <w:tcPr>
            <w:tcW w:w="444" w:type="pct"/>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0</w:t>
            </w:r>
          </w:p>
        </w:tc>
        <w:tc>
          <w:tcPr>
            <w:tcW w:w="422" w:type="pct"/>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0</w:t>
            </w:r>
          </w:p>
        </w:tc>
        <w:tc>
          <w:tcPr>
            <w:tcW w:w="510" w:type="pct"/>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n/c***</w:t>
            </w:r>
          </w:p>
        </w:tc>
        <w:tc>
          <w:tcPr>
            <w:tcW w:w="442" w:type="pct"/>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rPr>
              <w:t>n/c***</w:t>
            </w:r>
          </w:p>
        </w:tc>
        <w:tc>
          <w:tcPr>
            <w:tcW w:w="624" w:type="pct"/>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100%</w:t>
            </w:r>
          </w:p>
        </w:tc>
      </w:tr>
      <w:tr w:rsidR="0028482E" w:rsidRPr="0028482E" w:rsidTr="0028482E">
        <w:trPr>
          <w:trHeight w:val="825"/>
        </w:trPr>
        <w:tc>
          <w:tcPr>
            <w:tcW w:w="718" w:type="pct"/>
            <w:tcBorders>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bCs/>
                <w:i/>
                <w:iCs/>
              </w:rPr>
              <w:t>Numerator</w:t>
            </w:r>
          </w:p>
        </w:tc>
        <w:tc>
          <w:tcPr>
            <w:tcW w:w="432" w:type="pct"/>
            <w:tcBorders>
              <w:top w:val="double" w:sz="4" w:space="0" w:color="auto"/>
              <w:left w:val="double" w:sz="4" w:space="0" w:color="auto"/>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278</w:t>
            </w:r>
          </w:p>
        </w:tc>
        <w:tc>
          <w:tcPr>
            <w:tcW w:w="488" w:type="pct"/>
            <w:tcBorders>
              <w:top w:val="double" w:sz="4" w:space="0" w:color="auto"/>
              <w:left w:val="double" w:sz="4" w:space="0" w:color="auto"/>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266</w:t>
            </w:r>
          </w:p>
        </w:tc>
        <w:tc>
          <w:tcPr>
            <w:tcW w:w="477" w:type="pct"/>
            <w:tcBorders>
              <w:lef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262</w:t>
            </w:r>
          </w:p>
        </w:tc>
        <w:tc>
          <w:tcPr>
            <w:tcW w:w="443" w:type="pct"/>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16</w:t>
            </w:r>
          </w:p>
        </w:tc>
        <w:tc>
          <w:tcPr>
            <w:tcW w:w="444" w:type="pct"/>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4</w:t>
            </w:r>
          </w:p>
        </w:tc>
        <w:tc>
          <w:tcPr>
            <w:tcW w:w="422" w:type="pct"/>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4</w:t>
            </w:r>
          </w:p>
        </w:tc>
        <w:tc>
          <w:tcPr>
            <w:tcW w:w="510" w:type="pct"/>
            <w:vAlign w:val="center"/>
          </w:tcPr>
          <w:p w:rsidR="0028482E" w:rsidRPr="0028482E" w:rsidRDefault="0028482E" w:rsidP="0028482E">
            <w:pPr>
              <w:jc w:val="center"/>
              <w:rPr>
                <w:rFonts w:ascii="Times New Roman" w:eastAsia="Calibri" w:hAnsi="Times New Roman" w:cs="Times New Roman"/>
                <w:color w:val="000000"/>
              </w:rPr>
            </w:pPr>
            <w:r w:rsidRPr="0028482E">
              <w:rPr>
                <w:rFonts w:ascii="Times New Roman" w:eastAsia="Calibri" w:hAnsi="Times New Roman" w:cs="Times New Roman"/>
                <w:color w:val="000000"/>
              </w:rPr>
              <w:t>0.256</w:t>
            </w:r>
          </w:p>
        </w:tc>
        <w:tc>
          <w:tcPr>
            <w:tcW w:w="442" w:type="pct"/>
            <w:vAlign w:val="center"/>
          </w:tcPr>
          <w:p w:rsidR="0028482E" w:rsidRPr="0028482E" w:rsidRDefault="0028482E" w:rsidP="0028482E">
            <w:pPr>
              <w:jc w:val="center"/>
              <w:rPr>
                <w:rFonts w:ascii="Times New Roman" w:eastAsia="Calibri" w:hAnsi="Times New Roman" w:cs="Times New Roman"/>
                <w:color w:val="000000"/>
              </w:rPr>
            </w:pPr>
            <w:r w:rsidRPr="0028482E">
              <w:rPr>
                <w:rFonts w:ascii="Times New Roman" w:eastAsia="Calibri" w:hAnsi="Times New Roman" w:cs="Times New Roman"/>
                <w:color w:val="000000"/>
              </w:rPr>
              <w:t>(0.036, 0.476)</w:t>
            </w:r>
          </w:p>
        </w:tc>
        <w:tc>
          <w:tcPr>
            <w:tcW w:w="624" w:type="pct"/>
            <w:vAlign w:val="center"/>
          </w:tcPr>
          <w:p w:rsidR="0028482E" w:rsidRPr="0028482E" w:rsidRDefault="0028482E" w:rsidP="0028482E">
            <w:pPr>
              <w:jc w:val="center"/>
              <w:rPr>
                <w:rFonts w:ascii="Times New Roman" w:eastAsia="Calibri" w:hAnsi="Times New Roman" w:cs="Times New Roman"/>
                <w:color w:val="000000"/>
              </w:rPr>
            </w:pPr>
            <w:r w:rsidRPr="0028482E">
              <w:rPr>
                <w:rFonts w:ascii="Times New Roman" w:eastAsia="Calibri" w:hAnsi="Times New Roman" w:cs="Times New Roman"/>
                <w:color w:val="000000"/>
              </w:rPr>
              <w:t>93.0%</w:t>
            </w:r>
          </w:p>
        </w:tc>
      </w:tr>
      <w:tr w:rsidR="0028482E" w:rsidRPr="0028482E" w:rsidTr="0028482E">
        <w:trPr>
          <w:trHeight w:val="476"/>
        </w:trPr>
        <w:tc>
          <w:tcPr>
            <w:tcW w:w="718" w:type="pct"/>
            <w:tcBorders>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b/>
                <w:bCs/>
                <w:i/>
                <w:iCs/>
              </w:rPr>
            </w:pPr>
            <w:r w:rsidRPr="0028482E">
              <w:rPr>
                <w:rFonts w:ascii="Times New Roman" w:eastAsia="Calibri" w:hAnsi="Times New Roman" w:cs="Times New Roman"/>
                <w:b/>
                <w:bCs/>
                <w:i/>
                <w:iCs/>
              </w:rPr>
              <w:t>Exceptions</w:t>
            </w:r>
          </w:p>
        </w:tc>
        <w:tc>
          <w:tcPr>
            <w:tcW w:w="432" w:type="pct"/>
            <w:tcBorders>
              <w:top w:val="double" w:sz="4" w:space="0" w:color="auto"/>
              <w:left w:val="double" w:sz="4" w:space="0" w:color="auto"/>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0</w:t>
            </w:r>
          </w:p>
        </w:tc>
        <w:tc>
          <w:tcPr>
            <w:tcW w:w="488" w:type="pct"/>
            <w:tcBorders>
              <w:top w:val="double" w:sz="4" w:space="0" w:color="auto"/>
              <w:left w:val="double" w:sz="4" w:space="0" w:color="auto"/>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0</w:t>
            </w:r>
          </w:p>
        </w:tc>
        <w:tc>
          <w:tcPr>
            <w:tcW w:w="477" w:type="pct"/>
            <w:tcBorders>
              <w:left w:val="double" w:sz="4" w:space="0" w:color="auto"/>
            </w:tcBorders>
            <w:shd w:val="clear" w:color="auto" w:fill="auto"/>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0</w:t>
            </w:r>
          </w:p>
        </w:tc>
        <w:tc>
          <w:tcPr>
            <w:tcW w:w="443" w:type="pct"/>
            <w:shd w:val="clear" w:color="auto" w:fill="auto"/>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0</w:t>
            </w:r>
          </w:p>
        </w:tc>
        <w:tc>
          <w:tcPr>
            <w:tcW w:w="444" w:type="pct"/>
            <w:shd w:val="clear" w:color="auto" w:fill="auto"/>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0</w:t>
            </w:r>
          </w:p>
        </w:tc>
        <w:tc>
          <w:tcPr>
            <w:tcW w:w="422" w:type="pct"/>
            <w:shd w:val="clear" w:color="auto" w:fill="auto"/>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0</w:t>
            </w:r>
          </w:p>
        </w:tc>
        <w:tc>
          <w:tcPr>
            <w:tcW w:w="510" w:type="pct"/>
            <w:shd w:val="clear" w:color="auto" w:fill="auto"/>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n/c***</w:t>
            </w:r>
          </w:p>
        </w:tc>
        <w:tc>
          <w:tcPr>
            <w:tcW w:w="442" w:type="pct"/>
            <w:shd w:val="clear" w:color="auto" w:fill="auto"/>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rPr>
              <w:t>n/c***</w:t>
            </w:r>
          </w:p>
        </w:tc>
        <w:tc>
          <w:tcPr>
            <w:tcW w:w="624" w:type="pct"/>
            <w:shd w:val="clear" w:color="auto" w:fill="auto"/>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100%</w:t>
            </w:r>
          </w:p>
        </w:tc>
      </w:tr>
      <w:tr w:rsidR="0028482E" w:rsidRPr="0028482E" w:rsidTr="0028482E">
        <w:trPr>
          <w:trHeight w:val="476"/>
        </w:trPr>
        <w:tc>
          <w:tcPr>
            <w:tcW w:w="718" w:type="pct"/>
            <w:tcBorders>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b/>
              </w:rPr>
            </w:pPr>
            <w:r w:rsidRPr="0028482E">
              <w:rPr>
                <w:rFonts w:ascii="Times New Roman" w:eastAsia="Calibri" w:hAnsi="Times New Roman" w:cs="Times New Roman"/>
                <w:b/>
                <w:bCs/>
                <w:i/>
                <w:iCs/>
              </w:rPr>
              <w:t>Performance rate</w:t>
            </w:r>
          </w:p>
        </w:tc>
        <w:tc>
          <w:tcPr>
            <w:tcW w:w="432" w:type="pct"/>
            <w:tcBorders>
              <w:top w:val="double" w:sz="4" w:space="0" w:color="auto"/>
              <w:left w:val="double" w:sz="4" w:space="0" w:color="auto"/>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97.2%</w:t>
            </w:r>
          </w:p>
        </w:tc>
        <w:tc>
          <w:tcPr>
            <w:tcW w:w="488" w:type="pct"/>
            <w:tcBorders>
              <w:top w:val="double" w:sz="4" w:space="0" w:color="auto"/>
              <w:left w:val="double" w:sz="4" w:space="0" w:color="auto"/>
              <w:right w:val="double" w:sz="4" w:space="0" w:color="auto"/>
            </w:tcBorders>
            <w:vAlign w:val="center"/>
          </w:tcPr>
          <w:p w:rsidR="0028482E" w:rsidRPr="0028482E" w:rsidRDefault="0028482E" w:rsidP="0028482E">
            <w:pPr>
              <w:spacing w:after="0" w:line="240" w:lineRule="auto"/>
              <w:jc w:val="center"/>
              <w:rPr>
                <w:rFonts w:ascii="Times New Roman" w:eastAsia="Calibri" w:hAnsi="Times New Roman" w:cs="Times New Roman"/>
              </w:rPr>
            </w:pPr>
            <w:r w:rsidRPr="0028482E">
              <w:rPr>
                <w:rFonts w:ascii="Times New Roman" w:eastAsia="Calibri" w:hAnsi="Times New Roman" w:cs="Times New Roman"/>
              </w:rPr>
              <w:t>93.0%</w:t>
            </w:r>
          </w:p>
        </w:tc>
        <w:tc>
          <w:tcPr>
            <w:tcW w:w="477" w:type="pct"/>
            <w:tcBorders>
              <w:left w:val="double" w:sz="4" w:space="0" w:color="auto"/>
            </w:tcBorders>
            <w:shd w:val="clear" w:color="auto" w:fill="D9D9D9"/>
            <w:vAlign w:val="center"/>
          </w:tcPr>
          <w:p w:rsidR="0028482E" w:rsidRPr="0028482E" w:rsidRDefault="0028482E" w:rsidP="0028482E">
            <w:pPr>
              <w:spacing w:after="0" w:line="240" w:lineRule="auto"/>
              <w:jc w:val="center"/>
              <w:rPr>
                <w:rFonts w:ascii="Times New Roman" w:eastAsia="Calibri" w:hAnsi="Times New Roman" w:cs="Times New Roman"/>
                <w:b/>
              </w:rPr>
            </w:pPr>
          </w:p>
        </w:tc>
        <w:tc>
          <w:tcPr>
            <w:tcW w:w="443" w:type="pct"/>
            <w:shd w:val="clear" w:color="auto" w:fill="D9D9D9"/>
            <w:vAlign w:val="center"/>
          </w:tcPr>
          <w:p w:rsidR="0028482E" w:rsidRPr="0028482E" w:rsidRDefault="0028482E" w:rsidP="0028482E">
            <w:pPr>
              <w:spacing w:after="0" w:line="240" w:lineRule="auto"/>
              <w:jc w:val="center"/>
              <w:rPr>
                <w:rFonts w:ascii="Times New Roman" w:eastAsia="Calibri" w:hAnsi="Times New Roman" w:cs="Times New Roman"/>
                <w:b/>
              </w:rPr>
            </w:pPr>
          </w:p>
        </w:tc>
        <w:tc>
          <w:tcPr>
            <w:tcW w:w="444" w:type="pct"/>
            <w:shd w:val="clear" w:color="auto" w:fill="D9D9D9"/>
            <w:vAlign w:val="center"/>
          </w:tcPr>
          <w:p w:rsidR="0028482E" w:rsidRPr="0028482E" w:rsidRDefault="0028482E" w:rsidP="0028482E">
            <w:pPr>
              <w:spacing w:after="0" w:line="240" w:lineRule="auto"/>
              <w:jc w:val="center"/>
              <w:rPr>
                <w:rFonts w:ascii="Times New Roman" w:eastAsia="Calibri" w:hAnsi="Times New Roman" w:cs="Times New Roman"/>
                <w:b/>
              </w:rPr>
            </w:pPr>
          </w:p>
        </w:tc>
        <w:tc>
          <w:tcPr>
            <w:tcW w:w="422" w:type="pct"/>
            <w:shd w:val="clear" w:color="auto" w:fill="D9D9D9"/>
            <w:vAlign w:val="center"/>
          </w:tcPr>
          <w:p w:rsidR="0028482E" w:rsidRPr="0028482E" w:rsidRDefault="0028482E" w:rsidP="0028482E">
            <w:pPr>
              <w:spacing w:after="0" w:line="240" w:lineRule="auto"/>
              <w:jc w:val="center"/>
              <w:rPr>
                <w:rFonts w:ascii="Times New Roman" w:eastAsia="Calibri" w:hAnsi="Times New Roman" w:cs="Times New Roman"/>
                <w:b/>
              </w:rPr>
            </w:pPr>
          </w:p>
        </w:tc>
        <w:tc>
          <w:tcPr>
            <w:tcW w:w="510" w:type="pct"/>
            <w:shd w:val="clear" w:color="auto" w:fill="D9D9D9"/>
            <w:vAlign w:val="center"/>
          </w:tcPr>
          <w:p w:rsidR="0028482E" w:rsidRPr="0028482E" w:rsidRDefault="0028482E" w:rsidP="0028482E">
            <w:pPr>
              <w:spacing w:after="0" w:line="240" w:lineRule="auto"/>
              <w:jc w:val="center"/>
              <w:rPr>
                <w:rFonts w:ascii="Times New Roman" w:eastAsia="Calibri" w:hAnsi="Times New Roman" w:cs="Times New Roman"/>
                <w:b/>
              </w:rPr>
            </w:pPr>
          </w:p>
        </w:tc>
        <w:tc>
          <w:tcPr>
            <w:tcW w:w="442" w:type="pct"/>
            <w:shd w:val="clear" w:color="auto" w:fill="D9D9D9"/>
            <w:vAlign w:val="center"/>
          </w:tcPr>
          <w:p w:rsidR="0028482E" w:rsidRPr="0028482E" w:rsidRDefault="0028482E" w:rsidP="0028482E">
            <w:pPr>
              <w:spacing w:after="0" w:line="240" w:lineRule="auto"/>
              <w:jc w:val="center"/>
              <w:rPr>
                <w:rFonts w:ascii="Times New Roman" w:eastAsia="Calibri" w:hAnsi="Times New Roman" w:cs="Times New Roman"/>
                <w:b/>
              </w:rPr>
            </w:pPr>
          </w:p>
        </w:tc>
        <w:tc>
          <w:tcPr>
            <w:tcW w:w="624" w:type="pct"/>
            <w:shd w:val="clear" w:color="auto" w:fill="D9D9D9"/>
            <w:vAlign w:val="center"/>
          </w:tcPr>
          <w:p w:rsidR="0028482E" w:rsidRPr="0028482E" w:rsidRDefault="0028482E" w:rsidP="0028482E">
            <w:pPr>
              <w:spacing w:after="0" w:line="240" w:lineRule="auto"/>
              <w:jc w:val="center"/>
              <w:rPr>
                <w:rFonts w:ascii="Times New Roman" w:eastAsia="Calibri" w:hAnsi="Times New Roman" w:cs="Times New Roman"/>
                <w:b/>
              </w:rPr>
            </w:pPr>
          </w:p>
        </w:tc>
      </w:tr>
    </w:tbl>
    <w:p w:rsidR="0028482E" w:rsidRPr="0028482E" w:rsidRDefault="0028482E" w:rsidP="0028482E">
      <w:pPr>
        <w:spacing w:after="0"/>
        <w:rPr>
          <w:rFonts w:ascii="Times New Roman" w:eastAsia="Calibri" w:hAnsi="Times New Roman" w:cs="Times New Roman"/>
          <w:sz w:val="18"/>
          <w:szCs w:val="18"/>
        </w:rPr>
      </w:pPr>
      <w:r w:rsidRPr="0028482E">
        <w:rPr>
          <w:rFonts w:ascii="Times New Roman" w:eastAsia="Calibri" w:hAnsi="Times New Roman" w:cs="Times New Roman"/>
          <w:sz w:val="18"/>
          <w:szCs w:val="18"/>
        </w:rPr>
        <w:t>P = PQRS submitted G-code; M = Manual abstraction; N= sample size; n= number of records; n/c = not calculable</w:t>
      </w:r>
    </w:p>
    <w:p w:rsidR="0028482E" w:rsidRPr="0028482E" w:rsidRDefault="0028482E" w:rsidP="0028482E">
      <w:pPr>
        <w:spacing w:after="0"/>
        <w:rPr>
          <w:rFonts w:ascii="Times New Roman" w:eastAsia="Calibri" w:hAnsi="Times New Roman" w:cs="Times New Roman"/>
          <w:sz w:val="18"/>
          <w:szCs w:val="18"/>
        </w:rPr>
      </w:pPr>
      <w:r w:rsidRPr="0028482E">
        <w:rPr>
          <w:rFonts w:ascii="Times New Roman" w:eastAsia="Calibri" w:hAnsi="Times New Roman" w:cs="Times New Roman"/>
          <w:sz w:val="18"/>
          <w:szCs w:val="18"/>
        </w:rPr>
        <w:t>*Legend of agreement documentation:</w:t>
      </w:r>
    </w:p>
    <w:p w:rsidR="0028482E" w:rsidRPr="0028482E" w:rsidRDefault="0028482E" w:rsidP="0028482E">
      <w:pPr>
        <w:numPr>
          <w:ilvl w:val="0"/>
          <w:numId w:val="27"/>
        </w:numPr>
        <w:spacing w:after="0" w:line="240" w:lineRule="auto"/>
        <w:rPr>
          <w:rFonts w:ascii="Times New Roman" w:eastAsia="Calibri" w:hAnsi="Times New Roman" w:cs="Times New Roman"/>
          <w:sz w:val="18"/>
          <w:szCs w:val="18"/>
        </w:rPr>
      </w:pPr>
      <w:r w:rsidRPr="0028482E">
        <w:rPr>
          <w:rFonts w:ascii="Times New Roman" w:eastAsia="Calibri" w:hAnsi="Times New Roman" w:cs="Times New Roman"/>
          <w:sz w:val="18"/>
          <w:szCs w:val="18"/>
        </w:rPr>
        <w:t xml:space="preserve">Yes/Yes indicates that both the PQRS G-code and the abstracter indicated “Yes” (per definition of G-code) that the patient met the measure component (numerator, denominator, exception (if applicable); </w:t>
      </w:r>
    </w:p>
    <w:p w:rsidR="0028482E" w:rsidRPr="0028482E" w:rsidRDefault="0028482E" w:rsidP="0028482E">
      <w:pPr>
        <w:numPr>
          <w:ilvl w:val="0"/>
          <w:numId w:val="27"/>
        </w:numPr>
        <w:spacing w:after="0" w:line="240" w:lineRule="auto"/>
        <w:rPr>
          <w:rFonts w:ascii="Times New Roman" w:eastAsia="Calibri" w:hAnsi="Times New Roman" w:cs="Times New Roman"/>
          <w:sz w:val="18"/>
          <w:szCs w:val="18"/>
        </w:rPr>
      </w:pPr>
      <w:r w:rsidRPr="0028482E">
        <w:rPr>
          <w:rFonts w:ascii="Times New Roman" w:eastAsia="Calibri" w:hAnsi="Times New Roman" w:cs="Times New Roman"/>
          <w:sz w:val="18"/>
          <w:szCs w:val="18"/>
        </w:rPr>
        <w:t xml:space="preserve">Yes/No indicates that the PQRS G-code indicated “Yes” (per definition of G-code) that the patient met the measure component, whereas, the abstractor answered “No” that the patient did not meet the measure component; </w:t>
      </w:r>
    </w:p>
    <w:p w:rsidR="0028482E" w:rsidRPr="0028482E" w:rsidRDefault="0028482E" w:rsidP="0028482E">
      <w:pPr>
        <w:numPr>
          <w:ilvl w:val="0"/>
          <w:numId w:val="27"/>
        </w:numPr>
        <w:spacing w:after="0" w:line="240" w:lineRule="auto"/>
        <w:rPr>
          <w:rFonts w:ascii="Times New Roman" w:eastAsia="Calibri" w:hAnsi="Times New Roman" w:cs="Times New Roman"/>
          <w:sz w:val="18"/>
          <w:szCs w:val="18"/>
        </w:rPr>
      </w:pPr>
      <w:r w:rsidRPr="0028482E">
        <w:rPr>
          <w:rFonts w:ascii="Times New Roman" w:eastAsia="Calibri" w:hAnsi="Times New Roman" w:cs="Times New Roman"/>
          <w:sz w:val="18"/>
          <w:szCs w:val="18"/>
        </w:rPr>
        <w:t>No/Yes indicates that the PQRS G-code indicated “No” (per definition of G-code) that the patient did not meet the measure component, whereas, the abstractor answered “Yes” that the patient did meet the measure component; and</w:t>
      </w:r>
    </w:p>
    <w:p w:rsidR="0028482E" w:rsidRPr="0028482E" w:rsidRDefault="0028482E" w:rsidP="0028482E">
      <w:pPr>
        <w:numPr>
          <w:ilvl w:val="0"/>
          <w:numId w:val="27"/>
        </w:numPr>
        <w:spacing w:after="0" w:line="240" w:lineRule="auto"/>
        <w:rPr>
          <w:rFonts w:ascii="Times New Roman" w:eastAsia="Calibri" w:hAnsi="Times New Roman" w:cs="Times New Roman"/>
          <w:sz w:val="18"/>
          <w:szCs w:val="18"/>
        </w:rPr>
      </w:pPr>
      <w:r w:rsidRPr="0028482E">
        <w:rPr>
          <w:rFonts w:ascii="Times New Roman" w:eastAsia="Calibri" w:hAnsi="Times New Roman" w:cs="Times New Roman"/>
          <w:sz w:val="18"/>
          <w:szCs w:val="18"/>
        </w:rPr>
        <w:t xml:space="preserve">No/No indicates that both the PQRS G-code (per definition of G-code) and the abstractor indicated “No” that the patient did not meet the measure component. </w:t>
      </w:r>
    </w:p>
    <w:p w:rsidR="0028482E" w:rsidRPr="0028482E" w:rsidRDefault="0028482E" w:rsidP="0028482E">
      <w:pPr>
        <w:autoSpaceDE w:val="0"/>
        <w:autoSpaceDN w:val="0"/>
        <w:adjustRightInd w:val="0"/>
        <w:spacing w:after="0"/>
        <w:rPr>
          <w:rFonts w:ascii="Times New Roman" w:eastAsia="Calibri" w:hAnsi="Times New Roman" w:cs="Times New Roman"/>
          <w:sz w:val="18"/>
          <w:szCs w:val="18"/>
        </w:rPr>
      </w:pPr>
      <w:r w:rsidRPr="0028482E">
        <w:rPr>
          <w:rFonts w:ascii="Times New Roman" w:eastAsia="Calibri" w:hAnsi="Times New Roman" w:cs="Times New Roman"/>
          <w:sz w:val="18"/>
          <w:szCs w:val="18"/>
        </w:rPr>
        <w:t>**The Kappa statistic was calculated to measure the agreement between two data sources by considering agreement between data sources beyond that expected by chance. A kappa of 1.0 indicates perfect agreement and a kappa of 0 indicates agreement attributable solely to chance</w:t>
      </w:r>
      <w:r w:rsidRPr="0028482E">
        <w:rPr>
          <w:rFonts w:ascii="Times New Roman" w:eastAsia="Calibri" w:hAnsi="Times New Roman" w:cs="Times New Roman"/>
          <w:sz w:val="18"/>
          <w:szCs w:val="18"/>
          <w:vertAlign w:val="superscript"/>
        </w:rPr>
        <w:footnoteReference w:id="2"/>
      </w:r>
      <w:r w:rsidRPr="0028482E">
        <w:rPr>
          <w:rFonts w:ascii="Times New Roman" w:eastAsia="Calibri" w:hAnsi="Times New Roman" w:cs="Times New Roman"/>
          <w:sz w:val="18"/>
          <w:szCs w:val="18"/>
        </w:rPr>
        <w:t>; the higher the kappa, the less likely that agreement was by chance.</w:t>
      </w:r>
    </w:p>
    <w:p w:rsidR="0028482E" w:rsidRPr="0028482E" w:rsidRDefault="0028482E" w:rsidP="0028482E">
      <w:pPr>
        <w:spacing w:after="0"/>
        <w:rPr>
          <w:rFonts w:ascii="Times New Roman" w:eastAsia="Calibri" w:hAnsi="Times New Roman" w:cs="Times New Roman"/>
          <w:sz w:val="18"/>
          <w:szCs w:val="18"/>
        </w:rPr>
      </w:pPr>
      <w:r w:rsidRPr="0028482E">
        <w:rPr>
          <w:rFonts w:ascii="Times New Roman" w:eastAsia="Calibri" w:hAnsi="Times New Roman" w:cs="Times New Roman"/>
          <w:sz w:val="18"/>
          <w:szCs w:val="18"/>
        </w:rPr>
        <w:t>***In instances where there is 100% agreement, the kappa statistic cannot be calculated.</w:t>
      </w:r>
    </w:p>
    <w:p w:rsidR="0028482E" w:rsidRPr="0028482E" w:rsidRDefault="0028482E" w:rsidP="0028482E">
      <w:pPr>
        <w:spacing w:after="0"/>
        <w:rPr>
          <w:rFonts w:ascii="Times New Roman" w:eastAsia="Calibri" w:hAnsi="Times New Roman" w:cs="Times New Roman"/>
          <w:sz w:val="18"/>
          <w:szCs w:val="18"/>
        </w:rPr>
      </w:pPr>
      <w:r w:rsidRPr="0028482E">
        <w:rPr>
          <w:rFonts w:ascii="Times New Roman" w:eastAsia="Calibri" w:hAnsi="Times New Roman" w:cs="Times New Roman"/>
          <w:sz w:val="18"/>
          <w:szCs w:val="18"/>
        </w:rPr>
        <w:t>****The kappa is significantly reduced if one classification category dominates.  In these cases, the YES category dominates, as one data source had zero NO responses, and the other had very few NO responses.  In these cases, with such wide confidence intervals, the kappa is not a valid statistic.  This is a limitation of the kappa statistic.</w:t>
      </w:r>
    </w:p>
    <w:p w:rsidR="007422FD" w:rsidRPr="00A25024" w:rsidRDefault="0048008A" w:rsidP="008C54A9">
      <w:pPr>
        <w:autoSpaceDE w:val="0"/>
        <w:autoSpaceDN w:val="0"/>
        <w:adjustRightInd w:val="0"/>
        <w:spacing w:after="0" w:line="240" w:lineRule="auto"/>
        <w:rPr>
          <w:rFonts w:cstheme="minorHAnsi"/>
          <w:bCs/>
        </w:rPr>
      </w:pPr>
      <w:r w:rsidRPr="00A25024">
        <w:rPr>
          <w:rFonts w:cstheme="minorHAnsi"/>
          <w:bCs/>
        </w:rPr>
        <w:br/>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177C4C" w:rsidRPr="00177C4C" w:rsidRDefault="00177C4C" w:rsidP="00177C4C">
      <w:pPr>
        <w:autoSpaceDE w:val="0"/>
        <w:autoSpaceDN w:val="0"/>
        <w:adjustRightInd w:val="0"/>
        <w:spacing w:after="0"/>
        <w:rPr>
          <w:rFonts w:ascii="Times New Roman" w:eastAsia="Calibri" w:hAnsi="Times New Roman" w:cs="Times New Roman"/>
          <w:sz w:val="24"/>
        </w:rPr>
      </w:pPr>
      <w:r w:rsidRPr="00177C4C">
        <w:rPr>
          <w:rFonts w:ascii="Times New Roman" w:eastAsia="Calibri" w:hAnsi="Times New Roman" w:cs="Times New Roman"/>
          <w:sz w:val="24"/>
        </w:rPr>
        <w:lastRenderedPageBreak/>
        <w:t xml:space="preserve">Agreement rates were calculated and reported with kappa statistics with 95% confidence intervals to recognize any agreement that could be attributable to chance alone. </w:t>
      </w:r>
      <w:r w:rsidRPr="00177C4C">
        <w:rPr>
          <w:rFonts w:ascii="Times New Roman" w:eastAsia="Calibri" w:hAnsi="Times New Roman" w:cs="Times New Roman"/>
          <w:b/>
          <w:sz w:val="24"/>
        </w:rPr>
        <w:t>Results:</w:t>
      </w:r>
      <w:r w:rsidRPr="00177C4C">
        <w:rPr>
          <w:rFonts w:ascii="Times New Roman" w:eastAsia="Calibri" w:hAnsi="Times New Roman" w:cs="Times New Roman"/>
          <w:sz w:val="24"/>
        </w:rPr>
        <w:t xml:space="preserve"> The measures were found to be highly reliable with agreement rates ranging from 93 to 100%.  </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Content>
          <w:r w:rsidR="00177C4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28482E"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177C4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28482E"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Content>
          <w:r w:rsidR="00177C4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177C4C" w:rsidRPr="00177C4C" w:rsidRDefault="00177C4C" w:rsidP="00177C4C">
      <w:pPr>
        <w:autoSpaceDE w:val="0"/>
        <w:autoSpaceDN w:val="0"/>
        <w:adjustRightInd w:val="0"/>
        <w:spacing w:after="0" w:line="240" w:lineRule="auto"/>
        <w:rPr>
          <w:rFonts w:ascii="Times New Roman" w:eastAsia="Calibri" w:hAnsi="Times New Roman" w:cs="Times New Roman"/>
          <w:b/>
          <w:sz w:val="24"/>
        </w:rPr>
      </w:pPr>
      <w:r w:rsidRPr="00177C4C">
        <w:rPr>
          <w:rFonts w:ascii="Times New Roman" w:eastAsia="Calibri" w:hAnsi="Times New Roman" w:cs="Times New Roman"/>
          <w:b/>
          <w:color w:val="336699"/>
          <w:sz w:val="24"/>
        </w:rPr>
        <w:t>Validation Against the Gold Standard Reliability</w:t>
      </w:r>
    </w:p>
    <w:p w:rsidR="00177C4C" w:rsidRPr="00177C4C" w:rsidRDefault="00177C4C" w:rsidP="00177C4C">
      <w:pPr>
        <w:rPr>
          <w:rFonts w:ascii="Times New Roman" w:eastAsia="Calibri" w:hAnsi="Times New Roman" w:cs="Times New Roman"/>
          <w:sz w:val="24"/>
        </w:rPr>
      </w:pPr>
      <w:r w:rsidRPr="00177C4C">
        <w:rPr>
          <w:rFonts w:ascii="Times New Roman" w:eastAsia="Calibri" w:hAnsi="Times New Roman" w:cs="Times New Roman"/>
          <w:sz w:val="24"/>
        </w:rPr>
        <w:t>Parallel-forms reliability testing was performed by comparing manual abstraction of the data elements necessary to construct the measure from the medical records with Physician Quality Reporting System (PQRS) claims submission. Agreement was calculated between the two methods at the level of the numerator, denominator and exception (if applicable).</w:t>
      </w:r>
    </w:p>
    <w:p w:rsidR="00177C4C" w:rsidRPr="00177C4C" w:rsidRDefault="00177C4C" w:rsidP="00177C4C">
      <w:pPr>
        <w:autoSpaceDE w:val="0"/>
        <w:autoSpaceDN w:val="0"/>
        <w:adjustRightInd w:val="0"/>
        <w:spacing w:after="0"/>
        <w:rPr>
          <w:rFonts w:ascii="Times New Roman" w:eastAsia="Calibri" w:hAnsi="Times New Roman" w:cs="Times New Roman"/>
          <w:sz w:val="24"/>
        </w:rPr>
      </w:pPr>
      <w:r w:rsidRPr="00177C4C">
        <w:rPr>
          <w:rFonts w:ascii="Times New Roman" w:eastAsia="Calibri" w:hAnsi="Times New Roman" w:cs="Times New Roman"/>
          <w:sz w:val="24"/>
        </w:rPr>
        <w:t>To validate inclusion in the numerator, the practice sites provided various identification methods. Two practices provided a report of the sampled list of patients per encounter with the PQRS codes submitted. The third site provided instructions on viewing the billing codes per dates or invoice within each patient’s medical record.</w:t>
      </w:r>
    </w:p>
    <w:p w:rsidR="00D50704" w:rsidRPr="00A25024" w:rsidRDefault="00D50704" w:rsidP="00DB3627">
      <w:pPr>
        <w:autoSpaceDE w:val="0"/>
        <w:autoSpaceDN w:val="0"/>
        <w:adjustRightInd w:val="0"/>
        <w:spacing w:after="0" w:line="240" w:lineRule="auto"/>
        <w:rPr>
          <w:rFonts w:cstheme="minorHAnsi"/>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177C4C">
        <w:rPr>
          <w:rFonts w:cstheme="minorHAnsi"/>
          <w:bCs/>
        </w:rPr>
        <w:t>See 2a2.2</w:t>
      </w:r>
    </w:p>
    <w:p w:rsidR="00833325" w:rsidRPr="00A25024" w:rsidRDefault="00833325" w:rsidP="00DB3627">
      <w:pPr>
        <w:autoSpaceDE w:val="0"/>
        <w:autoSpaceDN w:val="0"/>
        <w:adjustRightInd w:val="0"/>
        <w:spacing w:after="0" w:line="240" w:lineRule="auto"/>
        <w:rPr>
          <w:rFonts w:cstheme="minorHAnsi"/>
          <w:bCs/>
        </w:rPr>
      </w:pPr>
    </w:p>
    <w:p w:rsidR="007422FD" w:rsidRPr="00092566"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177C4C">
        <w:rPr>
          <w:rFonts w:cstheme="minorHAnsi"/>
          <w:bCs/>
        </w:rPr>
        <w:t>See 2b2.2</w:t>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177C4C">
        <w:rPr>
          <w:rFonts w:cstheme="minorHAnsi"/>
          <w:bCs/>
        </w:rPr>
        <w:t>Validity demonstrated.</w:t>
      </w:r>
      <w:bookmarkStart w:id="13" w:name="_GoBack"/>
      <w:bookmarkEnd w:id="13"/>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Content>
          <w:r w:rsidR="0028482E">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w:t>
      </w:r>
      <w:r w:rsidR="000B2DF7" w:rsidRPr="00A25024">
        <w:rPr>
          <w:rFonts w:cstheme="minorHAnsi"/>
          <w:bCs/>
          <w:i/>
        </w:rPr>
        <w:lastRenderedPageBreak/>
        <w:t>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4" w:name="section2b4"/>
      <w:bookmarkEnd w:id="14"/>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28482E"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Content>
          <w:r>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28482E"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28482E"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28482E"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5" w:name="question2b49"/>
      <w:bookmarkEnd w:id="15"/>
      <w:r>
        <w:rPr>
          <w:rFonts w:cstheme="minorHAnsi"/>
          <w:b/>
        </w:rPr>
        <w:lastRenderedPageBreak/>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6" w:name="section2b5"/>
      <w:bookmarkEnd w:id="16"/>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D61410" w:rsidRPr="00927027" w:rsidRDefault="00D61410" w:rsidP="00D61410">
      <w:pPr>
        <w:autoSpaceDE w:val="0"/>
        <w:autoSpaceDN w:val="0"/>
        <w:adjustRightInd w:val="0"/>
        <w:spacing w:after="0" w:line="240" w:lineRule="auto"/>
        <w:rPr>
          <w:rFonts w:cstheme="minorHAnsi"/>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lastRenderedPageBreak/>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536" w:rsidRDefault="00037536" w:rsidP="005C73CA">
      <w:pPr>
        <w:spacing w:after="0" w:line="240" w:lineRule="auto"/>
      </w:pPr>
      <w:r>
        <w:separator/>
      </w:r>
    </w:p>
  </w:endnote>
  <w:endnote w:type="continuationSeparator" w:id="0">
    <w:p w:rsidR="00037536" w:rsidRDefault="00037536"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2E" w:rsidRDefault="0028482E">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177C4C">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536" w:rsidRDefault="00037536" w:rsidP="005C73CA">
      <w:pPr>
        <w:spacing w:after="0" w:line="240" w:lineRule="auto"/>
      </w:pPr>
      <w:r>
        <w:separator/>
      </w:r>
    </w:p>
  </w:footnote>
  <w:footnote w:type="continuationSeparator" w:id="0">
    <w:p w:rsidR="00037536" w:rsidRDefault="00037536" w:rsidP="005C73CA">
      <w:pPr>
        <w:spacing w:after="0" w:line="240" w:lineRule="auto"/>
      </w:pPr>
      <w:r>
        <w:continuationSeparator/>
      </w:r>
    </w:p>
  </w:footnote>
  <w:footnote w:id="1">
    <w:p w:rsidR="0028482E" w:rsidRDefault="0028482E" w:rsidP="00B8211C">
      <w:pPr>
        <w:pStyle w:val="FootnoteText"/>
      </w:pPr>
      <w:r w:rsidRPr="00A0775A">
        <w:rPr>
          <w:rStyle w:val="FootnoteReference"/>
          <w:rFonts w:ascii="Arial Narrow" w:hAnsi="Arial Narrow"/>
        </w:rPr>
        <w:footnoteRef/>
      </w:r>
      <w:r w:rsidRPr="00A0775A">
        <w:rPr>
          <w:rFonts w:ascii="Arial Narrow" w:hAnsi="Arial Narrow"/>
        </w:rPr>
        <w:t xml:space="preserve"> Viera AJ, Garrett JM.  Understanding Interobserver Agreement: The Kappa Statistic.  Fam Med 2005;37(5):360-3</w:t>
      </w:r>
    </w:p>
  </w:footnote>
  <w:footnote w:id="2">
    <w:p w:rsidR="0028482E" w:rsidRDefault="0028482E" w:rsidP="0028482E">
      <w:pPr>
        <w:pStyle w:val="FootnoteText"/>
      </w:pPr>
      <w:r w:rsidRPr="00A0775A">
        <w:rPr>
          <w:rStyle w:val="FootnoteReference"/>
          <w:rFonts w:ascii="Arial Narrow" w:hAnsi="Arial Narrow"/>
        </w:rPr>
        <w:footnoteRef/>
      </w:r>
      <w:r w:rsidRPr="00A0775A">
        <w:rPr>
          <w:rFonts w:ascii="Arial Narrow" w:hAnsi="Arial Narrow"/>
        </w:rPr>
        <w:t xml:space="preserve"> Viera AJ, Garrett JM.  Understanding Interobserver Agreement: The Kappa Statistic.  Fam Med 2005;37(5):360-3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2E" w:rsidRPr="00105D8B" w:rsidRDefault="0028482E"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A142781"/>
    <w:multiLevelType w:val="hybridMultilevel"/>
    <w:tmpl w:val="8B3AD0C0"/>
    <w:lvl w:ilvl="0" w:tplc="96723E58">
      <w:start w:val="1"/>
      <w:numFmt w:val="bullet"/>
      <w:lvlText w:val=""/>
      <w:lvlJc w:val="left"/>
      <w:pPr>
        <w:tabs>
          <w:tab w:val="num" w:pos="1656"/>
        </w:tabs>
        <w:ind w:left="1944" w:hanging="504"/>
      </w:pPr>
      <w:rPr>
        <w:rFonts w:ascii="Symbol" w:hAnsi="Symbol" w:hint="default"/>
        <w:sz w:val="24"/>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2738FA"/>
    <w:multiLevelType w:val="hybridMultilevel"/>
    <w:tmpl w:val="93BAC328"/>
    <w:lvl w:ilvl="0" w:tplc="2FC4F20E">
      <w:start w:val="4"/>
      <w:numFmt w:val="upperRoman"/>
      <w:lvlText w:val="%1."/>
      <w:lvlJc w:val="left"/>
      <w:pPr>
        <w:tabs>
          <w:tab w:val="num" w:pos="720"/>
        </w:tabs>
        <w:ind w:left="720" w:hanging="720"/>
      </w:pPr>
      <w:rPr>
        <w:rFonts w:hint="default"/>
      </w:rPr>
    </w:lvl>
    <w:lvl w:ilvl="1" w:tplc="96723E58">
      <w:start w:val="1"/>
      <w:numFmt w:val="bullet"/>
      <w:lvlText w:val=""/>
      <w:lvlJc w:val="left"/>
      <w:pPr>
        <w:tabs>
          <w:tab w:val="num" w:pos="936"/>
        </w:tabs>
        <w:ind w:left="1224" w:hanging="504"/>
      </w:pPr>
      <w:rPr>
        <w:rFonts w:ascii="Symbol" w:hAnsi="Symbol" w:hint="default"/>
        <w:sz w:val="24"/>
      </w:rPr>
    </w:lvl>
    <w:lvl w:ilvl="2" w:tplc="04090001">
      <w:start w:val="1"/>
      <w:numFmt w:val="bullet"/>
      <w:lvlText w:val=""/>
      <w:lvlJc w:val="left"/>
      <w:pPr>
        <w:tabs>
          <w:tab w:val="num" w:pos="1800"/>
        </w:tabs>
        <w:ind w:left="1800" w:hanging="180"/>
      </w:pPr>
      <w:rPr>
        <w:rFonts w:ascii="Symbol" w:hAnsi="Symbol"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43021"/>
    <w:multiLevelType w:val="hybridMultilevel"/>
    <w:tmpl w:val="66146BB4"/>
    <w:lvl w:ilvl="0" w:tplc="2FC4F20E">
      <w:start w:val="4"/>
      <w:numFmt w:val="upperRoman"/>
      <w:lvlText w:val="%1."/>
      <w:lvlJc w:val="left"/>
      <w:pPr>
        <w:tabs>
          <w:tab w:val="num" w:pos="720"/>
        </w:tabs>
        <w:ind w:left="720" w:hanging="72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1B">
      <w:start w:val="1"/>
      <w:numFmt w:val="lowerRoman"/>
      <w:lvlText w:val="%3."/>
      <w:lvlJc w:val="right"/>
      <w:pPr>
        <w:tabs>
          <w:tab w:val="num" w:pos="1800"/>
        </w:tabs>
        <w:ind w:left="1800" w:hanging="180"/>
      </w:pPr>
    </w:lvl>
    <w:lvl w:ilvl="3" w:tplc="5BE00AE4">
      <w:start w:val="1"/>
      <w:numFmt w:val="upperLetter"/>
      <w:lvlText w:val="%4."/>
      <w:lvlJc w:val="left"/>
      <w:pPr>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442ED1"/>
    <w:multiLevelType w:val="hybridMultilevel"/>
    <w:tmpl w:val="9F282DBC"/>
    <w:lvl w:ilvl="0" w:tplc="04090001">
      <w:start w:val="1"/>
      <w:numFmt w:val="bullet"/>
      <w:lvlText w:val=""/>
      <w:lvlJc w:val="left"/>
      <w:pPr>
        <w:ind w:left="737" w:hanging="360"/>
      </w:pPr>
      <w:rPr>
        <w:rFonts w:ascii="Symbol" w:hAnsi="Symbol" w:hint="default"/>
      </w:rPr>
    </w:lvl>
    <w:lvl w:ilvl="1" w:tplc="04090003">
      <w:start w:val="1"/>
      <w:numFmt w:val="bullet"/>
      <w:lvlText w:val="o"/>
      <w:lvlJc w:val="left"/>
      <w:pPr>
        <w:ind w:left="1457" w:hanging="360"/>
      </w:pPr>
      <w:rPr>
        <w:rFonts w:ascii="Courier New" w:hAnsi="Courier New" w:hint="default"/>
      </w:rPr>
    </w:lvl>
    <w:lvl w:ilvl="2" w:tplc="04090005" w:tentative="1">
      <w:start w:val="1"/>
      <w:numFmt w:val="bullet"/>
      <w:lvlText w:val=""/>
      <w:lvlJc w:val="left"/>
      <w:pPr>
        <w:ind w:left="2177" w:hanging="360"/>
      </w:pPr>
      <w:rPr>
        <w:rFonts w:ascii="Wingdings" w:hAnsi="Wingdings" w:hint="default"/>
      </w:rPr>
    </w:lvl>
    <w:lvl w:ilvl="3" w:tplc="04090001" w:tentative="1">
      <w:start w:val="1"/>
      <w:numFmt w:val="bullet"/>
      <w:lvlText w:val=""/>
      <w:lvlJc w:val="left"/>
      <w:pPr>
        <w:ind w:left="2897" w:hanging="360"/>
      </w:pPr>
      <w:rPr>
        <w:rFonts w:ascii="Symbol" w:hAnsi="Symbol" w:hint="default"/>
      </w:rPr>
    </w:lvl>
    <w:lvl w:ilvl="4" w:tplc="04090003" w:tentative="1">
      <w:start w:val="1"/>
      <w:numFmt w:val="bullet"/>
      <w:lvlText w:val="o"/>
      <w:lvlJc w:val="left"/>
      <w:pPr>
        <w:ind w:left="3617" w:hanging="360"/>
      </w:pPr>
      <w:rPr>
        <w:rFonts w:ascii="Courier New" w:hAnsi="Courier New" w:hint="default"/>
      </w:rPr>
    </w:lvl>
    <w:lvl w:ilvl="5" w:tplc="04090005" w:tentative="1">
      <w:start w:val="1"/>
      <w:numFmt w:val="bullet"/>
      <w:lvlText w:val=""/>
      <w:lvlJc w:val="left"/>
      <w:pPr>
        <w:ind w:left="4337" w:hanging="360"/>
      </w:pPr>
      <w:rPr>
        <w:rFonts w:ascii="Wingdings" w:hAnsi="Wingdings" w:hint="default"/>
      </w:rPr>
    </w:lvl>
    <w:lvl w:ilvl="6" w:tplc="04090001" w:tentative="1">
      <w:start w:val="1"/>
      <w:numFmt w:val="bullet"/>
      <w:lvlText w:val=""/>
      <w:lvlJc w:val="left"/>
      <w:pPr>
        <w:ind w:left="5057" w:hanging="360"/>
      </w:pPr>
      <w:rPr>
        <w:rFonts w:ascii="Symbol" w:hAnsi="Symbol" w:hint="default"/>
      </w:rPr>
    </w:lvl>
    <w:lvl w:ilvl="7" w:tplc="04090003" w:tentative="1">
      <w:start w:val="1"/>
      <w:numFmt w:val="bullet"/>
      <w:lvlText w:val="o"/>
      <w:lvlJc w:val="left"/>
      <w:pPr>
        <w:ind w:left="5777" w:hanging="360"/>
      </w:pPr>
      <w:rPr>
        <w:rFonts w:ascii="Courier New" w:hAnsi="Courier New" w:hint="default"/>
      </w:rPr>
    </w:lvl>
    <w:lvl w:ilvl="8" w:tplc="04090005" w:tentative="1">
      <w:start w:val="1"/>
      <w:numFmt w:val="bullet"/>
      <w:lvlText w:val=""/>
      <w:lvlJc w:val="left"/>
      <w:pPr>
        <w:ind w:left="6497" w:hanging="360"/>
      </w:pPr>
      <w:rPr>
        <w:rFonts w:ascii="Wingdings" w:hAnsi="Wingdings" w:hint="default"/>
      </w:rPr>
    </w:lvl>
  </w:abstractNum>
  <w:abstractNum w:abstractNumId="23">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3FF361D"/>
    <w:multiLevelType w:val="hybridMultilevel"/>
    <w:tmpl w:val="1842EB8A"/>
    <w:lvl w:ilvl="0" w:tplc="BD4EFD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75C084B"/>
    <w:multiLevelType w:val="hybridMultilevel"/>
    <w:tmpl w:val="456212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9E830BC"/>
    <w:multiLevelType w:val="hybridMultilevel"/>
    <w:tmpl w:val="D8306A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5EE78B1"/>
    <w:multiLevelType w:val="hybridMultilevel"/>
    <w:tmpl w:val="AF52632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7F7E49AC"/>
    <w:multiLevelType w:val="hybridMultilevel"/>
    <w:tmpl w:val="A2E8505A"/>
    <w:lvl w:ilvl="0" w:tplc="2FC4F20E">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21"/>
  </w:num>
  <w:num w:numId="9">
    <w:abstractNumId w:val="9"/>
  </w:num>
  <w:num w:numId="10">
    <w:abstractNumId w:val="28"/>
  </w:num>
  <w:num w:numId="11">
    <w:abstractNumId w:val="11"/>
  </w:num>
  <w:num w:numId="12">
    <w:abstractNumId w:val="26"/>
  </w:num>
  <w:num w:numId="13">
    <w:abstractNumId w:val="18"/>
  </w:num>
  <w:num w:numId="14">
    <w:abstractNumId w:val="18"/>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7"/>
  </w:num>
  <w:num w:numId="16">
    <w:abstractNumId w:val="8"/>
  </w:num>
  <w:num w:numId="17">
    <w:abstractNumId w:val="27"/>
  </w:num>
  <w:num w:numId="18">
    <w:abstractNumId w:val="24"/>
  </w:num>
  <w:num w:numId="19">
    <w:abstractNumId w:val="23"/>
  </w:num>
  <w:num w:numId="20">
    <w:abstractNumId w:val="16"/>
  </w:num>
  <w:num w:numId="21">
    <w:abstractNumId w:val="19"/>
  </w:num>
  <w:num w:numId="22">
    <w:abstractNumId w:val="14"/>
  </w:num>
  <w:num w:numId="23">
    <w:abstractNumId w:val="6"/>
  </w:num>
  <w:num w:numId="24">
    <w:abstractNumId w:val="13"/>
  </w:num>
  <w:num w:numId="25">
    <w:abstractNumId w:val="12"/>
  </w:num>
  <w:num w:numId="26">
    <w:abstractNumId w:val="31"/>
  </w:num>
  <w:num w:numId="27">
    <w:abstractNumId w:val="29"/>
  </w:num>
  <w:num w:numId="28">
    <w:abstractNumId w:val="22"/>
  </w:num>
  <w:num w:numId="29">
    <w:abstractNumId w:val="32"/>
  </w:num>
  <w:num w:numId="30">
    <w:abstractNumId w:val="15"/>
  </w:num>
  <w:num w:numId="31">
    <w:abstractNumId w:val="7"/>
  </w:num>
  <w:num w:numId="32">
    <w:abstractNumId w:val="33"/>
  </w:num>
  <w:num w:numId="33">
    <w:abstractNumId w:val="20"/>
  </w:num>
  <w:num w:numId="34">
    <w:abstractNumId w:val="3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37536"/>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77C4C"/>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482E"/>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11C"/>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848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table" w:customStyle="1" w:styleId="TableGrid1">
    <w:name w:val="Table Grid1"/>
    <w:basedOn w:val="TableNormal"/>
    <w:next w:val="TableGrid"/>
    <w:uiPriority w:val="59"/>
    <w:rsid w:val="00B8211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8482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848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table" w:customStyle="1" w:styleId="TableGrid1">
    <w:name w:val="Table Grid1"/>
    <w:basedOn w:val="TableNormal"/>
    <w:next w:val="TableGrid"/>
    <w:uiPriority w:val="59"/>
    <w:rsid w:val="00B8211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8482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6441D"/>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4864</Words>
  <Characters>27730</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James R. Christina, DPM</cp:lastModifiedBy>
  <cp:revision>2</cp:revision>
  <dcterms:created xsi:type="dcterms:W3CDTF">2013-12-02T14:00:00Z</dcterms:created>
  <dcterms:modified xsi:type="dcterms:W3CDTF">2013-12-02T14:00:00Z</dcterms:modified>
</cp:coreProperties>
</file>