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9C0294">
            <w:rPr>
              <w:rStyle w:val="Style1"/>
            </w:rPr>
            <w:t>0417</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9C0294" w:rsidRPr="009C0294">
            <w:rPr>
              <w:rFonts w:ascii="Times New Roman" w:eastAsia="Times New Roman" w:hAnsi="Times New Roman" w:cs="Times New Roman"/>
              <w:b/>
            </w:rPr>
            <w:t>Diabetic Foot and Ankle Care</w:t>
          </w:r>
          <w:r w:rsidR="009C0294">
            <w:rPr>
              <w:rFonts w:ascii="Times New Roman" w:eastAsia="Times New Roman" w:hAnsi="Times New Roman" w:cs="Times New Roman"/>
              <w:b/>
            </w:rPr>
            <w:t xml:space="preserve"> </w:t>
          </w:r>
          <w:r w:rsidR="009C0294" w:rsidRPr="009C0294">
            <w:rPr>
              <w:rFonts w:ascii="Times New Roman" w:eastAsia="Times New Roman" w:hAnsi="Times New Roman" w:cs="Times New Roman"/>
              <w:b/>
            </w:rPr>
            <w:t>Peripheral Neuropathy: Neurological Evaluation</w:t>
          </w:r>
          <w:r w:rsidR="009C0294">
            <w:rPr>
              <w:rFonts w:ascii="Times New Roman" w:eastAsia="Times New Roman" w:hAnsi="Times New Roman" w:cs="Times New Roman"/>
              <w:b/>
            </w:rPr>
            <w:t xml:space="preserve"> </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4-06-06T00:00:00Z">
            <w:dateFormat w:val="M/d/yyyy"/>
            <w:lid w:val="en-US"/>
            <w:storeMappedDataAs w:val="dateTime"/>
            <w:calendar w:val="gregorian"/>
          </w:date>
        </w:sdtPr>
        <w:sdtEndPr>
          <w:rPr>
            <w:rStyle w:val="DefaultParagraphFont"/>
            <w:noProof/>
            <w:color w:val="auto"/>
            <w:u w:val="none"/>
          </w:rPr>
        </w:sdtEndPr>
        <w:sdtContent>
          <w:r w:rsidR="009C0294">
            <w:rPr>
              <w:rStyle w:val="Style2"/>
            </w:rPr>
            <w:t>6/6/2014</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9C0294"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9C0294"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rsidR="00496AF8" w:rsidRPr="003B1CC5" w:rsidRDefault="009C0294"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placeholder>
            <w:docPart w:val="15AC292313CE45DC8AC3FC91D340CC66"/>
          </w:placeholder>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9C0294"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7F340A">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placeholder>
            <w:docPart w:val="4CBFC8EF1476485CBF0E82C994E3DC6E"/>
          </w:placeholder>
        </w:sdtPr>
        <w:sdtEndPr>
          <w:rPr>
            <w:rStyle w:val="DefaultParagraphFont"/>
            <w:rFonts w:cstheme="minorBidi"/>
            <w:bCs/>
            <w:color w:val="auto"/>
            <w:u w:val="none"/>
          </w:rPr>
        </w:sdtEndPr>
        <w:sdtContent>
          <w:r w:rsidR="007F340A">
            <w:rPr>
              <w:rStyle w:val="Style2"/>
              <w:rFonts w:cstheme="minorHAnsi"/>
            </w:rPr>
            <w:t>Identification of diabetic lower extremity neuropathy</w:t>
          </w:r>
          <w:r w:rsidR="00200CE1">
            <w:rPr>
              <w:rStyle w:val="Style2"/>
              <w:rFonts w:cstheme="minorHAnsi"/>
            </w:rPr>
            <w:t xml:space="preserve"> through a neurological exam</w:t>
          </w:r>
        </w:sdtContent>
      </w:sdt>
    </w:p>
    <w:p w:rsidR="00496AF8" w:rsidRPr="003B1CC5" w:rsidRDefault="009C0294"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9C0294"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2B06BD" w:rsidRPr="003B1CC5" w:rsidRDefault="002B06BD"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D14F0B" w:rsidRPr="003B1CC5" w:rsidRDefault="00D14F0B"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between structure, process, intermediate outcome, and health outcomes</w:t>
      </w:r>
      <w:r w:rsidRPr="003B1CC5">
        <w:rPr>
          <w:iCs/>
        </w:rPr>
        <w:t xml:space="preserve">. </w:t>
      </w:r>
      <w:r w:rsidR="007F340A">
        <w:rPr>
          <w:iCs/>
        </w:rPr>
        <w:t xml:space="preserve"> Lower extremity diabetic peripheral neuropathy has been identified as one of the leading factors in the development of ulcerations. 85% of diabetic lower extremity amputations are preceded by </w:t>
      </w:r>
      <w:proofErr w:type="gramStart"/>
      <w:r w:rsidR="007F340A">
        <w:rPr>
          <w:iCs/>
        </w:rPr>
        <w:t>an ulceration</w:t>
      </w:r>
      <w:proofErr w:type="gramEnd"/>
      <w:r w:rsidR="007F340A">
        <w:rPr>
          <w:iCs/>
        </w:rPr>
        <w:t>. It has been demonstrated that preventive measures in patients identified with peripheral neuropathy can significantly reduce ulcerations and ultimately the amputations that they precede. The first step in the process is to perform a lower extremity neurological examination to identify those patients with diabetic peripheral neuropathy. Once identified preventive measures can be initiated that can prevent future ulcerations/amputations.</w:t>
      </w:r>
      <w:r w:rsidRPr="003B1CC5">
        <w:rPr>
          <w:i/>
          <w:iCs/>
        </w:rPr>
        <w:t xml:space="preserve"> </w:t>
      </w:r>
    </w:p>
    <w:p w:rsidR="007C1887" w:rsidRPr="003B1CC5" w:rsidRDefault="007C1887"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9C0294" w:rsidP="002E2177">
      <w:pPr>
        <w:ind w:left="0" w:firstLine="0"/>
      </w:pPr>
      <w:sdt>
        <w:sdtPr>
          <w:rPr>
            <w:bCs/>
            <w:color w:val="0000FF"/>
          </w:rPr>
          <w:id w:val="-46850886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9C0294"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9C0294"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9C0294"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7F340A">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6" w:name="Section1a4"/>
      <w:bookmarkEnd w:id="6"/>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D53405" w:rsidRPr="003B1CC5" w:rsidRDefault="00D53405" w:rsidP="002E2177">
      <w:pPr>
        <w:ind w:left="0" w:firstLine="0"/>
        <w:rPr>
          <w:rFonts w:cs="Arial"/>
          <w:sz w:val="20"/>
          <w:szCs w:val="20"/>
        </w:rPr>
      </w:pPr>
    </w:p>
    <w:p w:rsidR="009658CD" w:rsidRDefault="009658CD" w:rsidP="007F340A">
      <w:pPr>
        <w:autoSpaceDE w:val="0"/>
        <w:autoSpaceDN w:val="0"/>
        <w:adjustRightInd w:val="0"/>
        <w:ind w:left="0" w:firstLine="0"/>
        <w:rPr>
          <w:rFonts w:cs="Futura-ExtraBold"/>
          <w:b/>
          <w:bCs/>
        </w:rPr>
      </w:pPr>
    </w:p>
    <w:p w:rsidR="007F340A" w:rsidRPr="009658CD" w:rsidRDefault="007F340A" w:rsidP="007F340A">
      <w:pPr>
        <w:autoSpaceDE w:val="0"/>
        <w:autoSpaceDN w:val="0"/>
        <w:adjustRightInd w:val="0"/>
        <w:ind w:left="0" w:firstLine="0"/>
        <w:rPr>
          <w:rFonts w:cs="Futura-ExtraBold"/>
          <w:b/>
          <w:bCs/>
        </w:rPr>
      </w:pPr>
      <w:r w:rsidRPr="009658CD">
        <w:rPr>
          <w:rFonts w:cs="Futura-ExtraBold"/>
          <w:b/>
          <w:bCs/>
        </w:rPr>
        <w:lastRenderedPageBreak/>
        <w:t>Comprehe</w:t>
      </w:r>
      <w:r w:rsidRPr="009658CD">
        <w:rPr>
          <w:rFonts w:cs="Futura-ExtraBold"/>
          <w:b/>
          <w:bCs/>
        </w:rPr>
        <w:t xml:space="preserve">nsive Foot Examination and Risk </w:t>
      </w:r>
      <w:r w:rsidRPr="009658CD">
        <w:rPr>
          <w:rFonts w:cs="Futura-ExtraBold"/>
          <w:b/>
          <w:bCs/>
        </w:rPr>
        <w:t>Assessment</w:t>
      </w:r>
    </w:p>
    <w:p w:rsidR="007F340A" w:rsidRPr="009658CD" w:rsidRDefault="007F340A" w:rsidP="007F340A">
      <w:pPr>
        <w:autoSpaceDE w:val="0"/>
        <w:autoSpaceDN w:val="0"/>
        <w:adjustRightInd w:val="0"/>
        <w:ind w:left="0" w:firstLine="0"/>
        <w:rPr>
          <w:rFonts w:cs="Berkeley-Book"/>
        </w:rPr>
      </w:pPr>
      <w:r w:rsidRPr="009658CD">
        <w:rPr>
          <w:rFonts w:cs="Berkeley-Book"/>
        </w:rPr>
        <w:t>A report of the Task Force of the Foot Care</w:t>
      </w:r>
      <w:r w:rsidRPr="009658CD">
        <w:rPr>
          <w:rFonts w:cs="Berkeley-Book"/>
        </w:rPr>
        <w:t xml:space="preserve"> Interest Group of the American </w:t>
      </w:r>
      <w:r w:rsidRPr="009658CD">
        <w:rPr>
          <w:rFonts w:cs="Berkeley-Book"/>
        </w:rPr>
        <w:t>Diabetes Association, with endorsement</w:t>
      </w:r>
      <w:r w:rsidRPr="009658CD">
        <w:rPr>
          <w:rFonts w:cs="Berkeley-Book"/>
        </w:rPr>
        <w:t xml:space="preserve"> by the American Association of </w:t>
      </w:r>
      <w:r w:rsidRPr="009658CD">
        <w:rPr>
          <w:rFonts w:cs="Berkeley-Book"/>
        </w:rPr>
        <w:t>Clinical Endocrinologists</w:t>
      </w:r>
    </w:p>
    <w:p w:rsidR="007F340A" w:rsidRPr="009658CD" w:rsidRDefault="007F340A" w:rsidP="007F340A">
      <w:pPr>
        <w:autoSpaceDE w:val="0"/>
        <w:autoSpaceDN w:val="0"/>
        <w:adjustRightInd w:val="0"/>
        <w:ind w:left="0" w:firstLine="0"/>
        <w:rPr>
          <w:rFonts w:cs="Berkeley-Bold"/>
          <w:b/>
          <w:bCs/>
        </w:rPr>
      </w:pPr>
      <w:r w:rsidRPr="009658CD">
        <w:rPr>
          <w:rFonts w:cs="Berkeley-Bold"/>
          <w:b/>
          <w:bCs/>
        </w:rPr>
        <w:t>ANDREW J.M. BOULTON, MD, FRCP</w:t>
      </w:r>
      <w:r w:rsidRPr="009658CD">
        <w:rPr>
          <w:rFonts w:cs="Berkeley-Bold"/>
          <w:b/>
          <w:bCs/>
        </w:rPr>
        <w:t>,</w:t>
      </w:r>
      <w:r w:rsidRPr="009658CD">
        <w:rPr>
          <w:rFonts w:cs="Berkeley-Bold"/>
          <w:b/>
          <w:bCs/>
        </w:rPr>
        <w:t>1,2</w:t>
      </w:r>
      <w:r w:rsidRPr="009658CD">
        <w:rPr>
          <w:rFonts w:cs="Berkeley-Bold"/>
          <w:b/>
          <w:bCs/>
        </w:rPr>
        <w:t xml:space="preserve">; </w:t>
      </w:r>
      <w:r w:rsidRPr="009658CD">
        <w:rPr>
          <w:rFonts w:cs="Berkeley-Bold"/>
          <w:b/>
          <w:bCs/>
        </w:rPr>
        <w:t xml:space="preserve">DAVID G. ARMSTRONG, </w:t>
      </w:r>
      <w:r w:rsidRPr="009658CD">
        <w:rPr>
          <w:rFonts w:cs="Berkeley-Bold"/>
          <w:b/>
          <w:bCs/>
        </w:rPr>
        <w:t xml:space="preserve">DPM, PHD </w:t>
      </w:r>
      <w:r w:rsidRPr="009658CD">
        <w:rPr>
          <w:rFonts w:cs="Berkeley-Bold"/>
          <w:b/>
          <w:bCs/>
        </w:rPr>
        <w:t>3</w:t>
      </w:r>
      <w:r w:rsidRPr="009658CD">
        <w:rPr>
          <w:rFonts w:cs="Berkeley-Bold"/>
          <w:b/>
          <w:bCs/>
        </w:rPr>
        <w:t xml:space="preserve">;  </w:t>
      </w:r>
      <w:r w:rsidRPr="009658CD">
        <w:rPr>
          <w:rFonts w:cs="Berkeley-Bold"/>
          <w:b/>
          <w:bCs/>
        </w:rPr>
        <w:t xml:space="preserve">STEPHEN F. ALBERT, </w:t>
      </w:r>
      <w:r w:rsidRPr="009658CD">
        <w:rPr>
          <w:rFonts w:cs="Berkeley-Bold"/>
          <w:b/>
          <w:bCs/>
        </w:rPr>
        <w:t xml:space="preserve">DPM, CPED </w:t>
      </w:r>
      <w:r w:rsidRPr="009658CD">
        <w:rPr>
          <w:rFonts w:cs="Berkeley-Bold"/>
          <w:b/>
          <w:bCs/>
        </w:rPr>
        <w:t>4</w:t>
      </w:r>
      <w:r w:rsidRPr="009658CD">
        <w:rPr>
          <w:rFonts w:cs="Berkeley-Bold"/>
          <w:b/>
          <w:bCs/>
        </w:rPr>
        <w:t xml:space="preserve">; </w:t>
      </w:r>
      <w:r w:rsidRPr="009658CD">
        <w:rPr>
          <w:rFonts w:cs="Berkeley-Bold"/>
          <w:b/>
          <w:bCs/>
        </w:rPr>
        <w:t xml:space="preserve">ROBERT </w:t>
      </w:r>
      <w:r w:rsidRPr="009658CD">
        <w:rPr>
          <w:rFonts w:cs="Berkeley-Bold"/>
          <w:b/>
          <w:bCs/>
        </w:rPr>
        <w:t xml:space="preserve">G. </w:t>
      </w:r>
      <w:r w:rsidRPr="009658CD">
        <w:rPr>
          <w:rFonts w:cs="Berkeley-Bold"/>
          <w:b/>
          <w:bCs/>
        </w:rPr>
        <w:t>FRYKBERG, DPM, MPH</w:t>
      </w:r>
      <w:r w:rsidRPr="009658CD">
        <w:rPr>
          <w:rFonts w:cs="Berkeley-Bold"/>
          <w:b/>
          <w:bCs/>
        </w:rPr>
        <w:t xml:space="preserve">, </w:t>
      </w:r>
      <w:r w:rsidRPr="009658CD">
        <w:rPr>
          <w:rFonts w:cs="Berkeley-Bold"/>
          <w:b/>
          <w:bCs/>
        </w:rPr>
        <w:t>5</w:t>
      </w:r>
      <w:r w:rsidRPr="009658CD">
        <w:rPr>
          <w:rFonts w:cs="Berkeley-Bold"/>
          <w:b/>
          <w:bCs/>
        </w:rPr>
        <w:t xml:space="preserve">; </w:t>
      </w:r>
      <w:r w:rsidRPr="009658CD">
        <w:rPr>
          <w:rFonts w:cs="Berkeley-Bold"/>
          <w:b/>
          <w:bCs/>
        </w:rPr>
        <w:t>RICHARD HELLMAN, MD, FACP</w:t>
      </w:r>
      <w:r w:rsidR="009658CD" w:rsidRPr="009658CD">
        <w:rPr>
          <w:rFonts w:cs="Berkeley-Bold"/>
          <w:b/>
          <w:bCs/>
        </w:rPr>
        <w:t xml:space="preserve">, </w:t>
      </w:r>
      <w:r w:rsidRPr="009658CD">
        <w:rPr>
          <w:rFonts w:cs="Berkeley-Bold"/>
          <w:b/>
          <w:bCs/>
        </w:rPr>
        <w:t>6,7</w:t>
      </w:r>
      <w:r w:rsidR="009658CD" w:rsidRPr="009658CD">
        <w:rPr>
          <w:rFonts w:cs="Berkeley-Bold"/>
          <w:b/>
          <w:bCs/>
        </w:rPr>
        <w:t xml:space="preserve">; </w:t>
      </w:r>
      <w:r w:rsidRPr="009658CD">
        <w:rPr>
          <w:rFonts w:cs="Berkeley-Bold"/>
          <w:b/>
          <w:bCs/>
        </w:rPr>
        <w:t xml:space="preserve">M. SUE KIRKMAN, </w:t>
      </w:r>
      <w:r w:rsidR="009658CD" w:rsidRPr="009658CD">
        <w:rPr>
          <w:rFonts w:cs="Berkeley-Bold"/>
          <w:b/>
          <w:bCs/>
        </w:rPr>
        <w:t xml:space="preserve">MD, </w:t>
      </w:r>
      <w:r w:rsidRPr="009658CD">
        <w:rPr>
          <w:rFonts w:cs="Berkeley-Bold"/>
          <w:b/>
          <w:bCs/>
        </w:rPr>
        <w:t>8</w:t>
      </w:r>
      <w:r w:rsidR="009658CD" w:rsidRPr="009658CD">
        <w:rPr>
          <w:rFonts w:cs="Berkeley-Bold"/>
          <w:b/>
          <w:bCs/>
        </w:rPr>
        <w:t xml:space="preserve">; </w:t>
      </w:r>
      <w:r w:rsidRPr="009658CD">
        <w:rPr>
          <w:rFonts w:cs="Berkeley-Bold"/>
          <w:b/>
          <w:bCs/>
        </w:rPr>
        <w:t xml:space="preserve">LAWRENCE A. LAVERY, </w:t>
      </w:r>
      <w:r w:rsidR="009658CD" w:rsidRPr="009658CD">
        <w:rPr>
          <w:rFonts w:cs="Berkeley-Bold"/>
          <w:b/>
          <w:bCs/>
        </w:rPr>
        <w:t xml:space="preserve">DPM, MPH, </w:t>
      </w:r>
      <w:r w:rsidRPr="009658CD">
        <w:rPr>
          <w:rFonts w:cs="Berkeley-Bold"/>
          <w:b/>
          <w:bCs/>
        </w:rPr>
        <w:t>9</w:t>
      </w:r>
      <w:r w:rsidR="009658CD" w:rsidRPr="009658CD">
        <w:rPr>
          <w:rFonts w:cs="Berkeley-Bold"/>
          <w:b/>
          <w:bCs/>
        </w:rPr>
        <w:t>;</w:t>
      </w:r>
    </w:p>
    <w:p w:rsidR="006F4B7F" w:rsidRDefault="007F340A" w:rsidP="009658CD">
      <w:pPr>
        <w:autoSpaceDE w:val="0"/>
        <w:autoSpaceDN w:val="0"/>
        <w:adjustRightInd w:val="0"/>
        <w:ind w:left="0" w:firstLine="0"/>
        <w:rPr>
          <w:rFonts w:cs="Berkeley-Bold"/>
          <w:b/>
          <w:bCs/>
        </w:rPr>
      </w:pPr>
      <w:r w:rsidRPr="009658CD">
        <w:rPr>
          <w:rFonts w:cs="Berkeley-Bold"/>
          <w:b/>
          <w:bCs/>
        </w:rPr>
        <w:t xml:space="preserve">JOSEPH W. LEMASTER, </w:t>
      </w:r>
      <w:r w:rsidR="009658CD" w:rsidRPr="009658CD">
        <w:rPr>
          <w:rFonts w:cs="Berkeley-Bold"/>
          <w:b/>
          <w:bCs/>
        </w:rPr>
        <w:t xml:space="preserve">MD, MPH, </w:t>
      </w:r>
      <w:r w:rsidRPr="009658CD">
        <w:rPr>
          <w:rFonts w:cs="Berkeley-Bold"/>
          <w:b/>
          <w:bCs/>
        </w:rPr>
        <w:t>10</w:t>
      </w:r>
      <w:r w:rsidR="009658CD" w:rsidRPr="009658CD">
        <w:rPr>
          <w:rFonts w:cs="Berkeley-Bold"/>
          <w:b/>
          <w:bCs/>
        </w:rPr>
        <w:t xml:space="preserve">; </w:t>
      </w:r>
      <w:r w:rsidRPr="009658CD">
        <w:rPr>
          <w:rFonts w:cs="Berkeley-Bold"/>
          <w:b/>
          <w:bCs/>
        </w:rPr>
        <w:t xml:space="preserve">JOSEPH L. MILLS, SR., </w:t>
      </w:r>
      <w:r w:rsidR="009658CD" w:rsidRPr="009658CD">
        <w:rPr>
          <w:rFonts w:cs="Berkeley-Bold"/>
          <w:b/>
          <w:bCs/>
        </w:rPr>
        <w:t xml:space="preserve">MD, </w:t>
      </w:r>
      <w:r w:rsidRPr="009658CD">
        <w:rPr>
          <w:rFonts w:cs="Berkeley-Bold"/>
          <w:b/>
          <w:bCs/>
        </w:rPr>
        <w:t>11</w:t>
      </w:r>
      <w:r w:rsidR="009658CD" w:rsidRPr="009658CD">
        <w:rPr>
          <w:rFonts w:cs="Berkeley-Bold"/>
          <w:b/>
          <w:bCs/>
        </w:rPr>
        <w:t xml:space="preserve">; </w:t>
      </w:r>
      <w:r w:rsidRPr="009658CD">
        <w:rPr>
          <w:rFonts w:cs="Berkeley-Bold"/>
          <w:b/>
          <w:bCs/>
        </w:rPr>
        <w:t xml:space="preserve">MICHAEL J. MUELLER, </w:t>
      </w:r>
      <w:r w:rsidR="009658CD" w:rsidRPr="009658CD">
        <w:rPr>
          <w:rFonts w:cs="Berkeley-Bold"/>
          <w:b/>
          <w:bCs/>
        </w:rPr>
        <w:t xml:space="preserve">PT, PHD, </w:t>
      </w:r>
      <w:r w:rsidRPr="009658CD">
        <w:rPr>
          <w:rFonts w:cs="Berkeley-Bold"/>
          <w:b/>
          <w:bCs/>
        </w:rPr>
        <w:t>12</w:t>
      </w:r>
      <w:r w:rsidR="009658CD" w:rsidRPr="009658CD">
        <w:rPr>
          <w:rFonts w:cs="Berkeley-Bold"/>
          <w:b/>
          <w:bCs/>
        </w:rPr>
        <w:t xml:space="preserve">; </w:t>
      </w:r>
      <w:r w:rsidRPr="009658CD">
        <w:rPr>
          <w:rFonts w:cs="Berkeley-Bold"/>
          <w:b/>
          <w:bCs/>
        </w:rPr>
        <w:t xml:space="preserve">PETER SHEEHAN, </w:t>
      </w:r>
      <w:r w:rsidR="009658CD" w:rsidRPr="009658CD">
        <w:rPr>
          <w:rFonts w:cs="Berkeley-Bold"/>
          <w:b/>
          <w:bCs/>
        </w:rPr>
        <w:t xml:space="preserve">MD, </w:t>
      </w:r>
      <w:r w:rsidRPr="009658CD">
        <w:rPr>
          <w:rFonts w:cs="Berkeley-Bold"/>
          <w:b/>
          <w:bCs/>
        </w:rPr>
        <w:t>13</w:t>
      </w:r>
      <w:r w:rsidR="009658CD" w:rsidRPr="009658CD">
        <w:rPr>
          <w:rFonts w:cs="Berkeley-Bold"/>
          <w:b/>
          <w:bCs/>
        </w:rPr>
        <w:t xml:space="preserve">; </w:t>
      </w:r>
      <w:r w:rsidRPr="009658CD">
        <w:rPr>
          <w:rFonts w:cs="Berkeley-Bold"/>
          <w:b/>
          <w:bCs/>
        </w:rPr>
        <w:t xml:space="preserve">DANE K. WUKICH, </w:t>
      </w:r>
      <w:r w:rsidR="009658CD" w:rsidRPr="009658CD">
        <w:rPr>
          <w:rFonts w:cs="Berkeley-Bold"/>
          <w:b/>
          <w:bCs/>
        </w:rPr>
        <w:t xml:space="preserve">MD, </w:t>
      </w:r>
      <w:r w:rsidRPr="009658CD">
        <w:rPr>
          <w:rFonts w:cs="Berkeley-Bold"/>
          <w:b/>
          <w:bCs/>
        </w:rPr>
        <w:t>14</w:t>
      </w:r>
    </w:p>
    <w:p w:rsidR="009658CD" w:rsidRDefault="009658CD" w:rsidP="009658CD">
      <w:pPr>
        <w:autoSpaceDE w:val="0"/>
        <w:autoSpaceDN w:val="0"/>
        <w:adjustRightInd w:val="0"/>
        <w:ind w:left="0" w:firstLine="0"/>
        <w:rPr>
          <w:rFonts w:cs="Berkeley-Medium"/>
        </w:rPr>
      </w:pPr>
      <w:r w:rsidRPr="009658CD">
        <w:rPr>
          <w:rFonts w:cs="Berkeley-Medium"/>
        </w:rPr>
        <w:t>DIABETES CARE, VOLUME 31, NUMBER 8, AUGUST 2008</w:t>
      </w:r>
    </w:p>
    <w:p w:rsidR="00C07145" w:rsidRDefault="00C07145" w:rsidP="009658CD">
      <w:pPr>
        <w:autoSpaceDE w:val="0"/>
        <w:autoSpaceDN w:val="0"/>
        <w:adjustRightInd w:val="0"/>
        <w:ind w:left="0" w:firstLine="0"/>
        <w:rPr>
          <w:rFonts w:cs="Berkeley-Medium"/>
        </w:rPr>
      </w:pPr>
    </w:p>
    <w:p w:rsidR="00C07145" w:rsidRPr="00C07145" w:rsidRDefault="00C07145" w:rsidP="00C07145">
      <w:pPr>
        <w:ind w:left="0" w:firstLine="0"/>
        <w:rPr>
          <w:rFonts w:cs="Arial"/>
          <w:b/>
          <w:u w:val="single"/>
        </w:rPr>
      </w:pPr>
      <w:r w:rsidRPr="00C07145">
        <w:rPr>
          <w:rFonts w:cs="Arial"/>
          <w:b/>
          <w:u w:val="single"/>
        </w:rPr>
        <w:t>Diabetes Care (American Diabetes Association)</w:t>
      </w:r>
    </w:p>
    <w:p w:rsidR="00C07145" w:rsidRPr="00A76BFF" w:rsidRDefault="00C07145" w:rsidP="00C07145">
      <w:pPr>
        <w:ind w:left="0" w:firstLine="0"/>
        <w:rPr>
          <w:rFonts w:cs="Arial"/>
        </w:rPr>
      </w:pPr>
      <w:proofErr w:type="gramStart"/>
      <w:r w:rsidRPr="00A76BFF">
        <w:rPr>
          <w:rFonts w:cs="Arial"/>
        </w:rPr>
        <w:t>Standards of Medical Care in Diabetes-2013.</w:t>
      </w:r>
      <w:proofErr w:type="gramEnd"/>
      <w:r w:rsidRPr="00A76BFF">
        <w:rPr>
          <w:rFonts w:cs="Arial"/>
        </w:rPr>
        <w:t xml:space="preserve"> Diabetes Care January 2013 36:S1-e4; </w:t>
      </w:r>
      <w:proofErr w:type="spellStart"/>
      <w:r w:rsidRPr="00A76BFF">
        <w:rPr>
          <w:rFonts w:cs="Arial"/>
        </w:rPr>
        <w:t>doi</w:t>
      </w:r>
      <w:proofErr w:type="spellEnd"/>
      <w:r w:rsidRPr="00A76BFF">
        <w:rPr>
          <w:rFonts w:cs="Arial"/>
        </w:rPr>
        <w:t>: 10.2337/dc13-S001</w:t>
      </w:r>
    </w:p>
    <w:p w:rsidR="00C07145" w:rsidRPr="009658CD" w:rsidRDefault="00C07145" w:rsidP="009658CD">
      <w:pPr>
        <w:autoSpaceDE w:val="0"/>
        <w:autoSpaceDN w:val="0"/>
        <w:adjustRightInd w:val="0"/>
        <w:ind w:left="0" w:firstLine="0"/>
        <w:rPr>
          <w:rFonts w:cs="Berkeley-Bold"/>
          <w:b/>
          <w:bCs/>
        </w:rPr>
      </w:pPr>
    </w:p>
    <w:p w:rsidR="009658CD" w:rsidRPr="009658CD" w:rsidRDefault="009658CD" w:rsidP="009658CD">
      <w:pPr>
        <w:autoSpaceDE w:val="0"/>
        <w:autoSpaceDN w:val="0"/>
        <w:adjustRightInd w:val="0"/>
        <w:ind w:left="0" w:firstLine="0"/>
        <w:rPr>
          <w:rFonts w:cs="Berkeley-Bold"/>
          <w:b/>
          <w:bCs/>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C07145" w:rsidRPr="00C07145" w:rsidRDefault="00C07145" w:rsidP="00C07145">
      <w:pPr>
        <w:autoSpaceDE w:val="0"/>
        <w:autoSpaceDN w:val="0"/>
        <w:adjustRightInd w:val="0"/>
        <w:ind w:left="0" w:firstLine="0"/>
        <w:rPr>
          <w:rFonts w:cs="Berkeley-Medium"/>
          <w:b/>
        </w:rPr>
      </w:pPr>
      <w:r w:rsidRPr="00C07145">
        <w:rPr>
          <w:rFonts w:cs="Berkeley-Medium"/>
          <w:b/>
        </w:rPr>
        <w:t>DIABETES CARE, VOLUME 31, NUMBER 8, AUGUST 2008</w:t>
      </w:r>
    </w:p>
    <w:p w:rsidR="009658CD" w:rsidRPr="009658CD" w:rsidRDefault="009658CD" w:rsidP="009658CD">
      <w:pPr>
        <w:autoSpaceDE w:val="0"/>
        <w:autoSpaceDN w:val="0"/>
        <w:adjustRightInd w:val="0"/>
        <w:ind w:left="0" w:firstLine="0"/>
        <w:rPr>
          <w:b/>
        </w:rPr>
      </w:pPr>
      <w:r w:rsidRPr="009658CD">
        <w:rPr>
          <w:b/>
        </w:rPr>
        <w:t xml:space="preserve">Page 1680: </w:t>
      </w:r>
    </w:p>
    <w:p w:rsidR="00496AF8" w:rsidRPr="009658CD" w:rsidRDefault="00C07145" w:rsidP="009658CD">
      <w:pPr>
        <w:autoSpaceDE w:val="0"/>
        <w:autoSpaceDN w:val="0"/>
        <w:adjustRightInd w:val="0"/>
        <w:ind w:left="0" w:firstLine="0"/>
        <w:rPr>
          <w:rFonts w:cs="Berkeley-Book"/>
        </w:rPr>
      </w:pPr>
      <w:r>
        <w:rPr>
          <w:rFonts w:cs="Berkeley-Book"/>
        </w:rPr>
        <w:t>“</w:t>
      </w:r>
      <w:r w:rsidR="009658CD" w:rsidRPr="009658CD">
        <w:rPr>
          <w:rFonts w:cs="Berkeley-Book"/>
        </w:rPr>
        <w:t xml:space="preserve">The task </w:t>
      </w:r>
      <w:r w:rsidR="009658CD" w:rsidRPr="009658CD">
        <w:rPr>
          <w:rFonts w:cs="Berkeley-Book"/>
        </w:rPr>
        <w:t>force agrees th</w:t>
      </w:r>
      <w:r w:rsidR="009658CD" w:rsidRPr="009658CD">
        <w:rPr>
          <w:rFonts w:cs="Berkeley-Book"/>
        </w:rPr>
        <w:t xml:space="preserve">at any of the five tests listed </w:t>
      </w:r>
      <w:r w:rsidR="009658CD" w:rsidRPr="009658CD">
        <w:rPr>
          <w:rFonts w:cs="Berkeley-Book"/>
        </w:rPr>
        <w:t>could be</w:t>
      </w:r>
      <w:r w:rsidR="009658CD" w:rsidRPr="009658CD">
        <w:rPr>
          <w:rFonts w:cs="Berkeley-Book"/>
        </w:rPr>
        <w:t xml:space="preserve"> used by clinicians to identify </w:t>
      </w:r>
      <w:r w:rsidR="009658CD" w:rsidRPr="009658CD">
        <w:rPr>
          <w:rFonts w:cs="Berkeley-Book"/>
        </w:rPr>
        <w:t>LOPS, although ide</w:t>
      </w:r>
      <w:r w:rsidR="009658CD" w:rsidRPr="009658CD">
        <w:rPr>
          <w:rFonts w:cs="Berkeley-Book"/>
        </w:rPr>
        <w:t xml:space="preserve">ally two of these </w:t>
      </w:r>
      <w:r w:rsidR="009658CD" w:rsidRPr="009658CD">
        <w:rPr>
          <w:rFonts w:cs="Berkeley-Book"/>
        </w:rPr>
        <w:t>should be</w:t>
      </w:r>
      <w:r w:rsidR="009658CD" w:rsidRPr="009658CD">
        <w:rPr>
          <w:rFonts w:cs="Berkeley-Book"/>
        </w:rPr>
        <w:t xml:space="preserve"> regularly performed during the </w:t>
      </w:r>
      <w:r w:rsidR="009658CD" w:rsidRPr="009658CD">
        <w:rPr>
          <w:rFonts w:cs="Berkeley-Book"/>
        </w:rPr>
        <w:t>screening exam—</w:t>
      </w:r>
      <w:r w:rsidR="009658CD" w:rsidRPr="009658CD">
        <w:rPr>
          <w:rFonts w:cs="Berkeley-Book"/>
        </w:rPr>
        <w:t xml:space="preserve">normally the 10-g </w:t>
      </w:r>
      <w:r w:rsidR="009658CD" w:rsidRPr="009658CD">
        <w:rPr>
          <w:rFonts w:cs="Berkeley-Book"/>
        </w:rPr>
        <w:t>monofilament and one other test.</w:t>
      </w:r>
    </w:p>
    <w:p w:rsidR="009658CD" w:rsidRPr="009658CD" w:rsidRDefault="009658CD" w:rsidP="009658CD">
      <w:pPr>
        <w:autoSpaceDE w:val="0"/>
        <w:autoSpaceDN w:val="0"/>
        <w:adjustRightInd w:val="0"/>
        <w:ind w:left="0" w:firstLine="0"/>
        <w:rPr>
          <w:rFonts w:cs="Berkeley-Book"/>
        </w:rPr>
      </w:pPr>
      <w:r w:rsidRPr="009658CD">
        <w:rPr>
          <w:rFonts w:cs="Berkeley-Book"/>
        </w:rPr>
        <w:t>Neurological assessment</w:t>
      </w:r>
    </w:p>
    <w:p w:rsidR="009658CD" w:rsidRPr="009658CD" w:rsidRDefault="009658CD" w:rsidP="009658CD">
      <w:pPr>
        <w:autoSpaceDE w:val="0"/>
        <w:autoSpaceDN w:val="0"/>
        <w:adjustRightInd w:val="0"/>
        <w:ind w:left="0" w:firstLine="0"/>
        <w:rPr>
          <w:rFonts w:cs="Berkeley-Book"/>
        </w:rPr>
      </w:pPr>
      <w:r w:rsidRPr="009658CD">
        <w:rPr>
          <w:rFonts w:cs="Berkeley-Book"/>
        </w:rPr>
        <w:t xml:space="preserve">10-g monofilament </w:t>
      </w:r>
      <w:r w:rsidRPr="009658CD">
        <w:rPr>
          <w:rFonts w:cs="Universal-GreekwithMathPi"/>
        </w:rPr>
        <w:t xml:space="preserve">_ </w:t>
      </w:r>
      <w:r w:rsidRPr="009658CD">
        <w:rPr>
          <w:rFonts w:cs="Berkeley-Book"/>
        </w:rPr>
        <w:t>1 of the following 4</w:t>
      </w:r>
    </w:p>
    <w:p w:rsidR="009658CD" w:rsidRPr="009658CD" w:rsidRDefault="009658CD" w:rsidP="009658CD">
      <w:pPr>
        <w:autoSpaceDE w:val="0"/>
        <w:autoSpaceDN w:val="0"/>
        <w:adjustRightInd w:val="0"/>
        <w:ind w:left="0" w:firstLine="0"/>
        <w:rPr>
          <w:rFonts w:cs="Berkeley-Book"/>
        </w:rPr>
      </w:pPr>
      <w:r w:rsidRPr="009658CD">
        <w:rPr>
          <w:rFonts w:cs="LucidaMath-Symbol"/>
        </w:rPr>
        <w:t xml:space="preserve">• </w:t>
      </w:r>
      <w:proofErr w:type="gramStart"/>
      <w:r w:rsidRPr="009658CD">
        <w:rPr>
          <w:rFonts w:cs="Berkeley-Book"/>
        </w:rPr>
        <w:t>vibration</w:t>
      </w:r>
      <w:proofErr w:type="gramEnd"/>
      <w:r w:rsidRPr="009658CD">
        <w:rPr>
          <w:rFonts w:cs="Berkeley-Book"/>
        </w:rPr>
        <w:t xml:space="preserve"> using 128-Hz tuning fork</w:t>
      </w:r>
    </w:p>
    <w:p w:rsidR="009658CD" w:rsidRPr="009658CD" w:rsidRDefault="009658CD" w:rsidP="009658CD">
      <w:pPr>
        <w:autoSpaceDE w:val="0"/>
        <w:autoSpaceDN w:val="0"/>
        <w:adjustRightInd w:val="0"/>
        <w:ind w:left="0" w:firstLine="0"/>
        <w:rPr>
          <w:rFonts w:cs="Berkeley-Book"/>
        </w:rPr>
      </w:pPr>
      <w:r w:rsidRPr="009658CD">
        <w:rPr>
          <w:rFonts w:cs="LucidaMath-Symbol"/>
        </w:rPr>
        <w:t xml:space="preserve">• </w:t>
      </w:r>
      <w:r w:rsidRPr="009658CD">
        <w:rPr>
          <w:rFonts w:cs="Berkeley-Book"/>
        </w:rPr>
        <w:t>pinprick sensation</w:t>
      </w:r>
    </w:p>
    <w:p w:rsidR="009658CD" w:rsidRPr="009658CD" w:rsidRDefault="009658CD" w:rsidP="009658CD">
      <w:pPr>
        <w:autoSpaceDE w:val="0"/>
        <w:autoSpaceDN w:val="0"/>
        <w:adjustRightInd w:val="0"/>
        <w:ind w:left="0" w:firstLine="0"/>
        <w:rPr>
          <w:rFonts w:cs="Berkeley-Book"/>
        </w:rPr>
      </w:pPr>
      <w:r w:rsidRPr="009658CD">
        <w:rPr>
          <w:rFonts w:cs="LucidaMath-Symbol"/>
        </w:rPr>
        <w:t xml:space="preserve">• </w:t>
      </w:r>
      <w:proofErr w:type="gramStart"/>
      <w:r w:rsidRPr="009658CD">
        <w:rPr>
          <w:rFonts w:cs="Berkeley-Book"/>
        </w:rPr>
        <w:t>ankle</w:t>
      </w:r>
      <w:proofErr w:type="gramEnd"/>
      <w:r w:rsidRPr="009658CD">
        <w:rPr>
          <w:rFonts w:cs="Berkeley-Book"/>
        </w:rPr>
        <w:t xml:space="preserve"> reflexes</w:t>
      </w:r>
    </w:p>
    <w:p w:rsidR="009658CD" w:rsidRDefault="009658CD" w:rsidP="009658CD">
      <w:pPr>
        <w:autoSpaceDE w:val="0"/>
        <w:autoSpaceDN w:val="0"/>
        <w:adjustRightInd w:val="0"/>
        <w:ind w:left="0" w:firstLine="0"/>
        <w:rPr>
          <w:rFonts w:cs="Berkeley-Book"/>
        </w:rPr>
      </w:pPr>
      <w:r w:rsidRPr="009658CD">
        <w:rPr>
          <w:rFonts w:cs="LucidaMath-Symbol"/>
        </w:rPr>
        <w:t xml:space="preserve">• </w:t>
      </w:r>
      <w:r w:rsidRPr="009658CD">
        <w:rPr>
          <w:rFonts w:cs="Berkeley-Book"/>
        </w:rPr>
        <w:t>VPT</w:t>
      </w:r>
      <w:r w:rsidR="00C07145">
        <w:rPr>
          <w:rFonts w:cs="Berkeley-Book"/>
        </w:rPr>
        <w:t>”</w:t>
      </w:r>
    </w:p>
    <w:p w:rsidR="009658CD" w:rsidRPr="009658CD" w:rsidRDefault="009658CD" w:rsidP="009658CD">
      <w:pPr>
        <w:autoSpaceDE w:val="0"/>
        <w:autoSpaceDN w:val="0"/>
        <w:adjustRightInd w:val="0"/>
        <w:ind w:left="0" w:firstLine="0"/>
        <w:rPr>
          <w:rFonts w:cs="Berkeley-Book"/>
          <w:b/>
        </w:rPr>
      </w:pPr>
      <w:r w:rsidRPr="009658CD">
        <w:rPr>
          <w:rFonts w:cs="Berkeley-Book"/>
          <w:b/>
        </w:rPr>
        <w:t>Page 1683:</w:t>
      </w:r>
    </w:p>
    <w:p w:rsidR="009658CD" w:rsidRPr="009658CD" w:rsidRDefault="00C07145" w:rsidP="009658CD">
      <w:pPr>
        <w:autoSpaceDE w:val="0"/>
        <w:autoSpaceDN w:val="0"/>
        <w:adjustRightInd w:val="0"/>
        <w:ind w:left="0" w:firstLine="0"/>
        <w:rPr>
          <w:rFonts w:cs="Berkeley-Book"/>
        </w:rPr>
      </w:pPr>
      <w:r>
        <w:rPr>
          <w:rFonts w:cs="Berkeley-Book"/>
        </w:rPr>
        <w:t>“</w:t>
      </w:r>
      <w:r w:rsidR="009658CD" w:rsidRPr="009658CD">
        <w:rPr>
          <w:rFonts w:cs="Berkeley-Book"/>
        </w:rPr>
        <w:t xml:space="preserve">All patients with </w:t>
      </w:r>
      <w:r w:rsidR="009658CD" w:rsidRPr="009658CD">
        <w:rPr>
          <w:rFonts w:cs="Berkeley-Book"/>
        </w:rPr>
        <w:t>diabetes mu</w:t>
      </w:r>
      <w:r w:rsidR="009658CD" w:rsidRPr="009658CD">
        <w:rPr>
          <w:rFonts w:cs="Berkeley-Book"/>
        </w:rPr>
        <w:t xml:space="preserve">st have their feet evaluated at </w:t>
      </w:r>
      <w:r w:rsidR="009658CD" w:rsidRPr="009658CD">
        <w:rPr>
          <w:rFonts w:cs="Berkeley-Book"/>
        </w:rPr>
        <w:t>least at yearl</w:t>
      </w:r>
      <w:r w:rsidR="009658CD" w:rsidRPr="009658CD">
        <w:rPr>
          <w:rFonts w:cs="Berkeley-Book"/>
        </w:rPr>
        <w:t xml:space="preserve">y intervals for the presence of </w:t>
      </w:r>
      <w:r w:rsidR="009658CD" w:rsidRPr="009658CD">
        <w:rPr>
          <w:rFonts w:cs="Berkeley-Book"/>
        </w:rPr>
        <w:t>the pred</w:t>
      </w:r>
      <w:r w:rsidR="009658CD" w:rsidRPr="009658CD">
        <w:rPr>
          <w:rFonts w:cs="Berkeley-Book"/>
        </w:rPr>
        <w:t xml:space="preserve">isposing factors for ulceration </w:t>
      </w:r>
      <w:r w:rsidR="009658CD" w:rsidRPr="009658CD">
        <w:rPr>
          <w:rFonts w:cs="Berkeley-Book"/>
        </w:rPr>
        <w:t>and a</w:t>
      </w:r>
      <w:r w:rsidR="009658CD" w:rsidRPr="009658CD">
        <w:rPr>
          <w:rFonts w:cs="Berkeley-Book"/>
        </w:rPr>
        <w:t>mputation (</w:t>
      </w:r>
      <w:r w:rsidR="009658CD" w:rsidRPr="009658CD">
        <w:rPr>
          <w:rFonts w:cs="Berkeley-Book"/>
          <w:b/>
        </w:rPr>
        <w:t>neuropathy</w:t>
      </w:r>
      <w:r w:rsidR="009658CD" w:rsidRPr="009658CD">
        <w:rPr>
          <w:rFonts w:cs="Berkeley-Book"/>
        </w:rPr>
        <w:t xml:space="preserve">, vascular </w:t>
      </w:r>
      <w:r w:rsidR="009658CD" w:rsidRPr="009658CD">
        <w:rPr>
          <w:rFonts w:cs="Berkeley-Book"/>
        </w:rPr>
        <w:t>disease, and deformities).</w:t>
      </w:r>
      <w:r>
        <w:rPr>
          <w:rFonts w:cs="Berkeley-Book"/>
        </w:rPr>
        <w:t>”</w:t>
      </w:r>
    </w:p>
    <w:p w:rsidR="00496AF8" w:rsidRDefault="00496AF8" w:rsidP="002E2177">
      <w:pPr>
        <w:ind w:left="0" w:firstLine="0"/>
      </w:pPr>
    </w:p>
    <w:p w:rsidR="00C07145" w:rsidRPr="00C07145" w:rsidRDefault="00C07145" w:rsidP="00C07145">
      <w:pPr>
        <w:ind w:left="0" w:firstLine="0"/>
        <w:rPr>
          <w:b/>
          <w:u w:val="single"/>
        </w:rPr>
      </w:pPr>
      <w:r w:rsidRPr="00C07145">
        <w:rPr>
          <w:b/>
          <w:u w:val="single"/>
        </w:rPr>
        <w:t>Diabetes Care (American Diabetes Association)-2013</w:t>
      </w:r>
    </w:p>
    <w:p w:rsidR="00C07145" w:rsidRDefault="00C07145" w:rsidP="00C07145">
      <w:pPr>
        <w:ind w:left="0" w:firstLine="0"/>
        <w:rPr>
          <w:b/>
        </w:rPr>
      </w:pPr>
      <w:proofErr w:type="spellStart"/>
      <w:r w:rsidRPr="00C07145">
        <w:rPr>
          <w:b/>
        </w:rPr>
        <w:t>Pg</w:t>
      </w:r>
      <w:proofErr w:type="spellEnd"/>
      <w:r w:rsidRPr="00C07145">
        <w:rPr>
          <w:b/>
        </w:rPr>
        <w:t xml:space="preserve"> S8-S9</w:t>
      </w:r>
      <w:r>
        <w:rPr>
          <w:b/>
        </w:rPr>
        <w:t>:</w:t>
      </w:r>
    </w:p>
    <w:p w:rsidR="00C07145" w:rsidRDefault="00C07145" w:rsidP="00C07145">
      <w:pPr>
        <w:pStyle w:val="ListParagraph"/>
        <w:numPr>
          <w:ilvl w:val="0"/>
          <w:numId w:val="9"/>
        </w:numPr>
      </w:pPr>
      <w:r w:rsidRPr="00A76BFF">
        <w:t xml:space="preserve">“For all patients with diabetes, perform an annual comprehensive foot examination to identify risk factors predictive of ulcers and amputations. The foot examination should include inspection, assessment of foot pulses, and </w:t>
      </w:r>
      <w:r w:rsidRPr="00C07145">
        <w:rPr>
          <w:highlight w:val="yellow"/>
        </w:rPr>
        <w:t>testing for loss of protective sensation (LOPS) (10-g monofilament plus testing any one of the following: vibration using 128-Hz tuning fork, pinprick sensation, ankle reflexes, or vibration perception threshold)</w:t>
      </w:r>
      <w:r w:rsidRPr="00A76BFF">
        <w:t>. (B)</w:t>
      </w:r>
    </w:p>
    <w:p w:rsidR="00C07145" w:rsidRPr="00A76BFF" w:rsidRDefault="00C07145" w:rsidP="00C07145">
      <w:pPr>
        <w:pStyle w:val="ListParagraph"/>
        <w:numPr>
          <w:ilvl w:val="0"/>
          <w:numId w:val="9"/>
        </w:numPr>
      </w:pPr>
      <w:r w:rsidRPr="00A76BFF">
        <w:t xml:space="preserve">Refer patients who smoke, have </w:t>
      </w:r>
      <w:r w:rsidRPr="00C07145">
        <w:rPr>
          <w:highlight w:val="yellow"/>
        </w:rPr>
        <w:t>LOPS</w:t>
      </w:r>
      <w:r w:rsidRPr="00A76BFF">
        <w:t xml:space="preserve"> and structural abnormalities, or have a history of prior lower-extremity complications to foot care specialists for ongoing preventive care and lifelong surveillance. (C)</w:t>
      </w:r>
      <w:r>
        <w:t>”</w:t>
      </w:r>
    </w:p>
    <w:p w:rsidR="00C07145" w:rsidRPr="00A76BFF" w:rsidRDefault="00C07145" w:rsidP="00C07145">
      <w:pPr>
        <w:pStyle w:val="ListParagraph"/>
        <w:ind w:firstLine="0"/>
      </w:pPr>
    </w:p>
    <w:p w:rsidR="00C07145" w:rsidRPr="00C07145" w:rsidRDefault="00C07145" w:rsidP="00C07145">
      <w:pPr>
        <w:ind w:left="0" w:firstLine="0"/>
      </w:pPr>
    </w:p>
    <w:p w:rsidR="00C07145" w:rsidRPr="003B1CC5" w:rsidRDefault="00C07145" w:rsidP="002E2177">
      <w:pPr>
        <w:ind w:left="0" w:firstLine="0"/>
      </w:pPr>
    </w:p>
    <w:p w:rsidR="008A45F3" w:rsidRPr="003B1CC5" w:rsidRDefault="00B058A6" w:rsidP="00265702">
      <w:pPr>
        <w:ind w:left="0" w:firstLine="0"/>
      </w:pPr>
      <w:r w:rsidRPr="003B1CC5">
        <w:rPr>
          <w:b/>
          <w:color w:val="0000FF"/>
        </w:rPr>
        <w:lastRenderedPageBreak/>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Default="00C07145" w:rsidP="00265702">
      <w:pPr>
        <w:ind w:left="0" w:firstLine="0"/>
      </w:pPr>
      <w:r w:rsidRPr="00C07145">
        <w:rPr>
          <w:b/>
        </w:rPr>
        <w:t>Level III</w:t>
      </w:r>
      <w:r>
        <w:t xml:space="preserve">: Consensus panel recommendation (Task Force of the Foot Care Interest Group of the ADA) based on literature review and expert panel experience. </w:t>
      </w:r>
    </w:p>
    <w:p w:rsidR="00C07145" w:rsidRPr="00200CE1" w:rsidRDefault="00C07145" w:rsidP="00C07145">
      <w:pPr>
        <w:ind w:left="0" w:firstLine="0"/>
        <w:rPr>
          <w:b/>
          <w:u w:val="single"/>
        </w:rPr>
      </w:pPr>
      <w:r w:rsidRPr="00200CE1">
        <w:rPr>
          <w:b/>
          <w:u w:val="single"/>
        </w:rPr>
        <w:t>Diabetes Care (American Diabetes Association):</w:t>
      </w:r>
    </w:p>
    <w:p w:rsidR="00C07145" w:rsidRPr="00A76BFF" w:rsidRDefault="00C07145" w:rsidP="00C07145">
      <w:pPr>
        <w:ind w:left="0" w:firstLine="0"/>
      </w:pPr>
      <w:r w:rsidRPr="00A76BFF">
        <w:t>Level of Evidence &amp; Description:</w:t>
      </w:r>
    </w:p>
    <w:p w:rsidR="00C07145" w:rsidRPr="00A76BFF" w:rsidRDefault="00C07145" w:rsidP="00C07145">
      <w:pPr>
        <w:numPr>
          <w:ilvl w:val="0"/>
          <w:numId w:val="10"/>
        </w:numPr>
      </w:pPr>
      <w:r w:rsidRPr="00200CE1">
        <w:rPr>
          <w:b/>
        </w:rPr>
        <w:t>B</w:t>
      </w:r>
      <w:r w:rsidRPr="00A76BFF">
        <w:t>:  Supportive evidence from well-conducted cohort studies, including:</w:t>
      </w:r>
    </w:p>
    <w:p w:rsidR="00C07145" w:rsidRPr="00A76BFF" w:rsidRDefault="00C07145" w:rsidP="00C07145">
      <w:pPr>
        <w:numPr>
          <w:ilvl w:val="1"/>
          <w:numId w:val="10"/>
        </w:numPr>
      </w:pPr>
      <w:r w:rsidRPr="00A76BFF">
        <w:t>Evidence from a well-conducted prospective cohort study or registry</w:t>
      </w:r>
    </w:p>
    <w:p w:rsidR="00C07145" w:rsidRPr="00A76BFF" w:rsidRDefault="00C07145" w:rsidP="00C07145">
      <w:pPr>
        <w:numPr>
          <w:ilvl w:val="1"/>
          <w:numId w:val="10"/>
        </w:numPr>
      </w:pPr>
      <w:r w:rsidRPr="00A76BFF">
        <w:t xml:space="preserve"> Evidence from a well-conducted meta-analysis of cohort studies</w:t>
      </w:r>
    </w:p>
    <w:p w:rsidR="00C07145" w:rsidRPr="00A76BFF" w:rsidRDefault="00C07145" w:rsidP="00C07145">
      <w:pPr>
        <w:ind w:left="0" w:firstLine="0"/>
      </w:pPr>
      <w:r w:rsidRPr="00A76BFF">
        <w:t>Supportive evidence from a well-conducted case-control study</w:t>
      </w:r>
    </w:p>
    <w:p w:rsidR="00C07145" w:rsidRPr="00A76BFF" w:rsidRDefault="00C07145" w:rsidP="00C07145">
      <w:pPr>
        <w:numPr>
          <w:ilvl w:val="0"/>
          <w:numId w:val="11"/>
        </w:numPr>
      </w:pPr>
      <w:r w:rsidRPr="00200CE1">
        <w:rPr>
          <w:b/>
        </w:rPr>
        <w:t>C</w:t>
      </w:r>
      <w:r w:rsidRPr="00A76BFF">
        <w:t xml:space="preserve"> Supportive evidence from poorly controlled or uncontrolled studies</w:t>
      </w:r>
    </w:p>
    <w:p w:rsidR="00C07145" w:rsidRPr="00A76BFF" w:rsidRDefault="00C07145" w:rsidP="00C07145">
      <w:pPr>
        <w:numPr>
          <w:ilvl w:val="1"/>
          <w:numId w:val="11"/>
        </w:numPr>
      </w:pPr>
      <w:r w:rsidRPr="00A76BFF">
        <w:t>Evidence from randomized clinical trials with one or more major or three or more minor methodological flaws that could invalidate the results</w:t>
      </w:r>
    </w:p>
    <w:p w:rsidR="00C07145" w:rsidRPr="00A76BFF" w:rsidRDefault="00C07145" w:rsidP="00C07145">
      <w:pPr>
        <w:numPr>
          <w:ilvl w:val="1"/>
          <w:numId w:val="11"/>
        </w:numPr>
      </w:pPr>
      <w:r w:rsidRPr="00A76BFF">
        <w:t xml:space="preserve"> Evidence from observational studies with high potential for bias (such as case series with comparison to historical controls)</w:t>
      </w:r>
    </w:p>
    <w:p w:rsidR="00C07145" w:rsidRPr="00A76BFF" w:rsidRDefault="00C07145" w:rsidP="00C07145">
      <w:pPr>
        <w:numPr>
          <w:ilvl w:val="1"/>
          <w:numId w:val="11"/>
        </w:numPr>
      </w:pPr>
      <w:r w:rsidRPr="00A76BFF">
        <w:t>Evidence from case series or case reports</w:t>
      </w:r>
    </w:p>
    <w:p w:rsidR="00C07145" w:rsidRPr="00A76BFF" w:rsidRDefault="00C07145" w:rsidP="00C07145">
      <w:pPr>
        <w:ind w:left="0" w:firstLine="0"/>
      </w:pPr>
      <w:r w:rsidRPr="00A76BFF">
        <w:t>Conflicting evidence with the weight of evidence supporting the recommendation</w:t>
      </w:r>
    </w:p>
    <w:p w:rsidR="00C07145" w:rsidRPr="003B1CC5" w:rsidRDefault="00C07145" w:rsidP="00265702">
      <w:pPr>
        <w:ind w:left="0" w:firstLine="0"/>
      </w:pPr>
    </w:p>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Pr="003B1CC5" w:rsidRDefault="00A12762" w:rsidP="00265702">
      <w:pPr>
        <w:ind w:left="0" w:firstLine="0"/>
        <w:rPr>
          <w:b/>
        </w:rPr>
      </w:pP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3B1CC5" w:rsidRDefault="00736AEC"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9C0294"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9C0294" w:rsidP="0098657F">
      <w:pPr>
        <w:ind w:left="1008" w:hanging="720"/>
      </w:pPr>
      <w:sdt>
        <w:sdtPr>
          <w:rPr>
            <w:bCs/>
            <w:color w:val="0000FF"/>
          </w:rPr>
          <w:id w:val="777454248"/>
          <w14:checkbox>
            <w14:checked w14:val="1"/>
            <w14:checkedState w14:val="2612" w14:font="MS Gothic"/>
            <w14:uncheckedState w14:val="2610" w14:font="MS Gothic"/>
          </w14:checkbox>
        </w:sdtPr>
        <w:sdtEndPr/>
        <w:sdtContent>
          <w:r w:rsidR="00200CE1">
            <w:rPr>
              <w:rFonts w:ascii="MS Gothic" w:eastAsia="MS Gothic" w:hAnsi="MS Gothic" w:hint="eastAsia"/>
              <w:bCs/>
              <w:color w:val="0000FF"/>
            </w:rPr>
            <w:t>☒</w:t>
          </w:r>
        </w:sdtContent>
      </w:sdt>
      <w:r w:rsidR="00736AEC" w:rsidRPr="003B1CC5">
        <w:rPr>
          <w:b/>
        </w:rPr>
        <w:t xml:space="preserve"> </w:t>
      </w:r>
      <w:proofErr w:type="gramStart"/>
      <w:r w:rsidR="00736AEC" w:rsidRPr="003B1CC5">
        <w:t>No</w:t>
      </w:r>
      <w:r w:rsidR="00307FA5" w:rsidRPr="003B1CC5">
        <w:t xml:space="preserve">  </w:t>
      </w:r>
      <w:r w:rsidR="007C1887" w:rsidRPr="003B1CC5">
        <w:rPr>
          <w:rFonts w:cstheme="minorHAnsi"/>
          <w:b/>
          <w:highlight w:val="green"/>
        </w:rPr>
        <w:t>→</w:t>
      </w:r>
      <w:proofErr w:type="gramEnd"/>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8" w:name="Section1a6"/>
      <w:bookmarkEnd w:id="8"/>
      <w:r w:rsidRPr="003B1CC5">
        <w:rPr>
          <w:b/>
          <w:color w:val="0000FF"/>
        </w:rPr>
        <w:lastRenderedPageBreak/>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200CE1" w:rsidRPr="00A76BFF" w:rsidRDefault="00EE5AF6" w:rsidP="00200CE1">
      <w:pPr>
        <w:rPr>
          <w:rFonts w:ascii="Arial" w:hAnsi="Arial" w:cs="Arial"/>
          <w:sz w:val="19"/>
          <w:szCs w:val="19"/>
          <w:shd w:val="clear" w:color="auto" w:fill="FFFFFF"/>
        </w:rPr>
      </w:pPr>
      <w:r w:rsidRPr="003B1CC5">
        <w:t xml:space="preserve"> </w:t>
      </w:r>
      <w:r w:rsidR="008E192B">
        <w:rPr>
          <w:rFonts w:ascii="Arial" w:hAnsi="Arial" w:cs="Arial"/>
          <w:sz w:val="19"/>
          <w:szCs w:val="19"/>
          <w:shd w:val="clear" w:color="auto" w:fill="FFFFFF"/>
        </w:rPr>
        <w:t xml:space="preserve">F. Crawford, M. Inkster, J. </w:t>
      </w:r>
      <w:proofErr w:type="spellStart"/>
      <w:r w:rsidR="008E192B">
        <w:rPr>
          <w:rFonts w:ascii="Arial" w:hAnsi="Arial" w:cs="Arial"/>
          <w:sz w:val="19"/>
          <w:szCs w:val="19"/>
          <w:shd w:val="clear" w:color="auto" w:fill="FFFFFF"/>
        </w:rPr>
        <w:t>Kleinjnen</w:t>
      </w:r>
      <w:proofErr w:type="spellEnd"/>
      <w:r w:rsidR="008E192B">
        <w:rPr>
          <w:rFonts w:ascii="Arial" w:hAnsi="Arial" w:cs="Arial"/>
          <w:sz w:val="19"/>
          <w:szCs w:val="19"/>
          <w:shd w:val="clear" w:color="auto" w:fill="FFFFFF"/>
        </w:rPr>
        <w:t xml:space="preserve">, and T. Fahey. </w:t>
      </w:r>
      <w:proofErr w:type="gramStart"/>
      <w:r w:rsidR="008E192B">
        <w:rPr>
          <w:rFonts w:ascii="Arial" w:hAnsi="Arial" w:cs="Arial"/>
          <w:sz w:val="19"/>
          <w:szCs w:val="19"/>
          <w:shd w:val="clear" w:color="auto" w:fill="FFFFFF"/>
        </w:rPr>
        <w:t>Predicting foot ulcers in patients with diabetes: a systemic review and meta-</w:t>
      </w:r>
      <w:proofErr w:type="spellStart"/>
      <w:r w:rsidR="008E192B">
        <w:rPr>
          <w:rFonts w:ascii="Arial" w:hAnsi="Arial" w:cs="Arial"/>
          <w:sz w:val="19"/>
          <w:szCs w:val="19"/>
          <w:shd w:val="clear" w:color="auto" w:fill="FFFFFF"/>
        </w:rPr>
        <w:t>anlaysis</w:t>
      </w:r>
      <w:proofErr w:type="spellEnd"/>
      <w:r w:rsidR="008E192B">
        <w:rPr>
          <w:rFonts w:ascii="Arial" w:hAnsi="Arial" w:cs="Arial"/>
          <w:sz w:val="19"/>
          <w:szCs w:val="19"/>
          <w:shd w:val="clear" w:color="auto" w:fill="FFFFFF"/>
        </w:rPr>
        <w:t>.</w:t>
      </w:r>
      <w:proofErr w:type="gramEnd"/>
      <w:r w:rsidR="008E192B">
        <w:rPr>
          <w:rFonts w:ascii="Arial" w:hAnsi="Arial" w:cs="Arial"/>
          <w:sz w:val="19"/>
          <w:szCs w:val="19"/>
          <w:shd w:val="clear" w:color="auto" w:fill="FFFFFF"/>
        </w:rPr>
        <w:t xml:space="preserve"> Q J Med 2007; 100: 65-86.</w:t>
      </w:r>
    </w:p>
    <w:p w:rsidR="00EE5AF6" w:rsidRPr="003B1CC5" w:rsidRDefault="00EE5AF6" w:rsidP="00EE5AF6">
      <w:pPr>
        <w:ind w:left="0" w:firstLine="0"/>
      </w:pP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8E192B" w:rsidRDefault="008E192B" w:rsidP="00EE5AF6">
      <w:pPr>
        <w:ind w:left="0" w:firstLine="0"/>
        <w:rPr>
          <w:b/>
          <w:color w:val="0000FF"/>
        </w:rPr>
      </w:pPr>
      <w:r>
        <w:t xml:space="preserve">Evidence was found to support the use of diagnostic tests and physical signs that detect peripheral neuropathy, the principal cause of diabetic foot ulceration. </w:t>
      </w:r>
    </w:p>
    <w:p w:rsidR="00CB1E41" w:rsidRPr="003B1CC5" w:rsidRDefault="00CB1E41" w:rsidP="00EE5AF6">
      <w:pPr>
        <w:ind w:left="0" w:firstLine="0"/>
        <w:rPr>
          <w:b/>
          <w:color w:val="0000FF"/>
        </w:rPr>
      </w:pP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rsidR="00200CE1" w:rsidRPr="00A76BFF" w:rsidRDefault="008E192B" w:rsidP="00200CE1">
      <w:pPr>
        <w:ind w:left="0" w:firstLine="0"/>
      </w:pPr>
      <w:r>
        <w:t>The aim of the systemic review was to quantify the predictive value of diagnostic tests, physical signs and elements from the patient’s history in relation to diabetic foot ulcers.</w:t>
      </w:r>
    </w:p>
    <w:p w:rsidR="00EE5AF6" w:rsidRPr="003B1CC5" w:rsidRDefault="00EE5AF6" w:rsidP="00EE5AF6">
      <w:pPr>
        <w:ind w:left="0" w:firstLine="0"/>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Pr="003B1CC5" w:rsidRDefault="00200CE1" w:rsidP="00EA79C9">
      <w:pPr>
        <w:ind w:left="0" w:firstLine="0"/>
      </w:pPr>
      <w:r>
        <w:t>No grade.</w:t>
      </w:r>
    </w:p>
    <w:p w:rsidR="00EA79C9" w:rsidRPr="003B1CC5" w:rsidRDefault="00095EC9" w:rsidP="00EA79C9">
      <w:pPr>
        <w:ind w:left="0" w:firstLine="0"/>
        <w:rPr>
          <w:color w:val="0000FF"/>
        </w:rPr>
      </w:pPr>
      <w:r w:rsidRPr="003B1CC5">
        <w:rPr>
          <w:b/>
          <w:noProof/>
          <w:color w:val="0000FF"/>
        </w:rPr>
        <w:t xml:space="preserve">1a.7.3. </w:t>
      </w:r>
      <w:proofErr w:type="gramStart"/>
      <w:r w:rsidR="00EA79C9" w:rsidRPr="003B1CC5">
        <w:rPr>
          <w:b/>
        </w:rPr>
        <w:t>Provide</w:t>
      </w:r>
      <w:proofErr w:type="gramEnd"/>
      <w:r w:rsidR="00EA79C9" w:rsidRPr="003B1CC5">
        <w:rPr>
          <w:b/>
        </w:rPr>
        <w:t xml:space="preserv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A12762" w:rsidRPr="003B1CC5" w:rsidRDefault="00200CE1" w:rsidP="002E2177">
      <w:pPr>
        <w:ind w:left="0" w:firstLine="0"/>
        <w:rPr>
          <w:noProof/>
        </w:rPr>
      </w:pPr>
      <w:r>
        <w:rPr>
          <w:noProof/>
        </w:rPr>
        <w:t>N/A</w:t>
      </w:r>
    </w:p>
    <w:p w:rsidR="00496AF8" w:rsidRPr="003B1CC5" w:rsidRDefault="00496AF8" w:rsidP="002E2177">
      <w:pPr>
        <w:ind w:left="432" w:hanging="432"/>
      </w:pPr>
      <w:bookmarkStart w:id="9" w:name="Section1a7"/>
      <w:bookmarkEnd w:id="9"/>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dtPr>
        <w:sdtEndPr>
          <w:rPr>
            <w:rStyle w:val="DefaultParagraphFont"/>
            <w:color w:val="auto"/>
            <w:u w:val="none"/>
          </w:rPr>
        </w:sdtEndPr>
        <w:sdtContent>
          <w:r w:rsidR="00200CE1">
            <w:rPr>
              <w:rStyle w:val="Style2"/>
            </w:rPr>
            <w:t>19</w:t>
          </w:r>
          <w:r w:rsidR="00552139">
            <w:rPr>
              <w:rStyle w:val="Style2"/>
            </w:rPr>
            <w:t>66</w:t>
          </w:r>
          <w:r w:rsidR="00200CE1">
            <w:rPr>
              <w:rStyle w:val="Style2"/>
            </w:rPr>
            <w:t>-20</w:t>
          </w:r>
          <w:r w:rsidR="00552139">
            <w:rPr>
              <w:rStyle w:val="Style2"/>
            </w:rPr>
            <w:t>05</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200CE1" w:rsidRDefault="00552139" w:rsidP="00200CE1">
      <w:pPr>
        <w:ind w:left="432" w:hanging="432"/>
        <w:rPr>
          <w:noProof/>
        </w:rPr>
      </w:pPr>
      <w:r>
        <w:rPr>
          <w:noProof/>
        </w:rPr>
        <w:t>Potentially relevant articles identified and screened for retrieval = 1752</w:t>
      </w:r>
    </w:p>
    <w:p w:rsidR="00552139" w:rsidRDefault="00552139" w:rsidP="00200CE1">
      <w:pPr>
        <w:ind w:left="432" w:hanging="432"/>
        <w:rPr>
          <w:noProof/>
        </w:rPr>
      </w:pPr>
      <w:r>
        <w:rPr>
          <w:noProof/>
        </w:rPr>
        <w:t>Studies excluded following review of abstract = 1670</w:t>
      </w:r>
    </w:p>
    <w:p w:rsidR="00552139" w:rsidRDefault="00552139" w:rsidP="00200CE1">
      <w:pPr>
        <w:ind w:left="432" w:hanging="432"/>
        <w:rPr>
          <w:noProof/>
        </w:rPr>
      </w:pPr>
      <w:r>
        <w:rPr>
          <w:noProof/>
        </w:rPr>
        <w:t>Studies retrieved for more detailed evaluaton = 82</w:t>
      </w:r>
    </w:p>
    <w:p w:rsidR="00552139" w:rsidRDefault="00552139" w:rsidP="00200CE1">
      <w:pPr>
        <w:ind w:left="432" w:hanging="432"/>
        <w:rPr>
          <w:noProof/>
        </w:rPr>
      </w:pPr>
      <w:r>
        <w:rPr>
          <w:noProof/>
        </w:rPr>
        <w:t>Studies excluded for a multitude of reasons = 66</w:t>
      </w:r>
    </w:p>
    <w:p w:rsidR="00552139" w:rsidRDefault="00552139" w:rsidP="00200CE1">
      <w:pPr>
        <w:ind w:left="432" w:hanging="432"/>
        <w:rPr>
          <w:noProof/>
        </w:rPr>
      </w:pPr>
      <w:r>
        <w:rPr>
          <w:noProof/>
        </w:rPr>
        <w:t>Data from 16 studies considered for inclusion in meta analyses</w:t>
      </w:r>
    </w:p>
    <w:p w:rsidR="00552139" w:rsidRDefault="00552139" w:rsidP="00200CE1">
      <w:pPr>
        <w:ind w:left="432" w:hanging="432"/>
        <w:rPr>
          <w:noProof/>
        </w:rPr>
      </w:pPr>
      <w:r>
        <w:rPr>
          <w:noProof/>
        </w:rPr>
        <w:t xml:space="preserve">Data from 7 studies </w:t>
      </w:r>
      <w:r w:rsidRPr="00552139">
        <w:rPr>
          <w:b/>
          <w:noProof/>
        </w:rPr>
        <w:t>not</w:t>
      </w:r>
      <w:r>
        <w:rPr>
          <w:noProof/>
        </w:rPr>
        <w:t xml:space="preserve"> included in metat analyses because data were not presented as absolute numbers or means and standard deviations</w:t>
      </w:r>
    </w:p>
    <w:p w:rsidR="005E2DB5" w:rsidRDefault="00552139" w:rsidP="005E2DB5">
      <w:pPr>
        <w:ind w:left="432" w:hanging="432"/>
        <w:rPr>
          <w:noProof/>
        </w:rPr>
      </w:pPr>
      <w:r>
        <w:rPr>
          <w:noProof/>
        </w:rPr>
        <w:t>Five case control and eleven</w:t>
      </w:r>
      <w:r w:rsidR="005E2DB5">
        <w:rPr>
          <w:noProof/>
        </w:rPr>
        <w:t xml:space="preserve"> cohort studies were identified, however d</w:t>
      </w:r>
      <w:r w:rsidR="005E2DB5">
        <w:rPr>
          <w:noProof/>
        </w:rPr>
        <w:t xml:space="preserve">ata from 9 studies </w:t>
      </w:r>
      <w:r w:rsidR="005E2DB5">
        <w:rPr>
          <w:noProof/>
        </w:rPr>
        <w:t>had</w:t>
      </w:r>
      <w:r w:rsidR="005E2DB5">
        <w:rPr>
          <w:noProof/>
        </w:rPr>
        <w:t xml:space="preserve"> useable information </w:t>
      </w:r>
    </w:p>
    <w:p w:rsidR="00552139" w:rsidRPr="00A76BFF" w:rsidRDefault="00552139" w:rsidP="00200CE1">
      <w:pPr>
        <w:ind w:left="432" w:hanging="432"/>
        <w:rPr>
          <w:noProof/>
        </w:rPr>
      </w:pPr>
    </w:p>
    <w:p w:rsidR="00496AF8" w:rsidRPr="003B1CC5" w:rsidRDefault="00496AF8" w:rsidP="002E2177">
      <w:pPr>
        <w:ind w:left="0" w:firstLine="0"/>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496AF8" w:rsidRPr="003B1CC5" w:rsidRDefault="00496AF8" w:rsidP="002E2177">
      <w:pPr>
        <w:ind w:left="0" w:firstLine="0"/>
      </w:pPr>
    </w:p>
    <w:p w:rsidR="00200CE1" w:rsidRDefault="005E2DB5" w:rsidP="00200CE1">
      <w:r w:rsidRPr="005E2DB5">
        <w:rPr>
          <w:b/>
        </w:rPr>
        <w:lastRenderedPageBreak/>
        <w:t>Case control studies</w:t>
      </w:r>
      <w:r>
        <w:t>: All five studies used statistical methods to adjust for confounding factors in the analysis. In two studies, insufficient detail was given about the index tests to permit the presentation of the data.</w:t>
      </w:r>
    </w:p>
    <w:p w:rsidR="005E2DB5" w:rsidRPr="00A76BFF" w:rsidRDefault="005E2DB5" w:rsidP="00200CE1">
      <w:r w:rsidRPr="005E2DB5">
        <w:rPr>
          <w:b/>
        </w:rPr>
        <w:t>Cohort studies</w:t>
      </w:r>
      <w:r>
        <w:t>: Seven studies reported adjusted estimates for potential confounding factors. Patients received treatment between the index tests and the outcome (assessment of foot ulceration) in all except one study.</w:t>
      </w: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AE7E6D" w:rsidRPr="008E192B" w:rsidRDefault="00AE7E6D" w:rsidP="00AE7E6D">
      <w:pPr>
        <w:ind w:left="0" w:firstLine="0"/>
        <w:rPr>
          <w:b/>
          <w:color w:val="0000FF"/>
        </w:rPr>
      </w:pPr>
      <w:r>
        <w:t>Evidence was found to support the use of diagnostic tests and physical signs that detect peripheral neuropathy, the principal cau</w:t>
      </w:r>
      <w:r>
        <w:t>se of diabetic foot ulceration across the studies.</w:t>
      </w:r>
    </w:p>
    <w:p w:rsidR="00496AF8" w:rsidRPr="003B1CC5" w:rsidRDefault="00496AF8" w:rsidP="002E2177">
      <w:pPr>
        <w:ind w:left="0" w:firstLine="0"/>
      </w:pP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Pr="003B1CC5" w:rsidRDefault="00496AF8" w:rsidP="002E2177">
      <w:pPr>
        <w:ind w:left="0" w:firstLine="0"/>
      </w:pPr>
    </w:p>
    <w:p w:rsidR="00200CE1" w:rsidRPr="00A76BFF" w:rsidRDefault="00200CE1" w:rsidP="00200CE1">
      <w:pPr>
        <w:ind w:left="0" w:firstLine="0"/>
      </w:pPr>
      <w:r w:rsidRPr="00A76BFF">
        <w:t>There were no harms to screening or clinician examination reported in the review.</w:t>
      </w: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AE7E6D" w:rsidRPr="00A76BFF" w:rsidRDefault="00AE7E6D" w:rsidP="00AE7E6D">
      <w:pPr>
        <w:ind w:left="0" w:firstLine="0"/>
      </w:pPr>
      <w:r w:rsidRPr="00A76BFF">
        <w:t xml:space="preserve">There have been no new studies that contradict the evidence provided in the systematic reviews. </w:t>
      </w:r>
    </w:p>
    <w:p w:rsidR="00837121" w:rsidRPr="003B1CC5" w:rsidRDefault="00837121" w:rsidP="002E2177">
      <w:pPr>
        <w:ind w:left="0" w:firstLine="0"/>
        <w:rPr>
          <w:b/>
          <w:color w:val="0070C0"/>
        </w:rPr>
      </w:pPr>
      <w:bookmarkStart w:id="10" w:name="_GoBack"/>
      <w:bookmarkEnd w:id="10"/>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rsidR="00837121" w:rsidRPr="003B1CC5" w:rsidRDefault="00837121" w:rsidP="002E2177">
      <w:pPr>
        <w:ind w:left="0" w:firstLine="0"/>
      </w:pPr>
    </w:p>
    <w:p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87" w:rsidRDefault="00440687" w:rsidP="007E37A5">
      <w:r>
        <w:separator/>
      </w:r>
    </w:p>
  </w:endnote>
  <w:endnote w:type="continuationSeparator" w:id="0">
    <w:p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Futura-ExtraBold">
    <w:panose1 w:val="00000000000000000000"/>
    <w:charset w:val="00"/>
    <w:family w:val="swiss"/>
    <w:notTrueType/>
    <w:pitch w:val="default"/>
    <w:sig w:usb0="00000003" w:usb1="00000000" w:usb2="00000000" w:usb3="00000000" w:csb0="00000001" w:csb1="00000000"/>
  </w:font>
  <w:font w:name="Berkeley-Book">
    <w:panose1 w:val="00000000000000000000"/>
    <w:charset w:val="00"/>
    <w:family w:val="roman"/>
    <w:notTrueType/>
    <w:pitch w:val="default"/>
    <w:sig w:usb0="00000003" w:usb1="00000000" w:usb2="00000000" w:usb3="00000000" w:csb0="00000001" w:csb1="00000000"/>
  </w:font>
  <w:font w:name="Berkeley-Bold">
    <w:panose1 w:val="00000000000000000000"/>
    <w:charset w:val="00"/>
    <w:family w:val="roman"/>
    <w:notTrueType/>
    <w:pitch w:val="default"/>
    <w:sig w:usb0="00000003" w:usb1="00000000" w:usb2="00000000" w:usb3="00000000" w:csb0="00000001" w:csb1="00000000"/>
  </w:font>
  <w:font w:name="Berkeley-Medium">
    <w:panose1 w:val="00000000000000000000"/>
    <w:charset w:val="00"/>
    <w:family w:val="roman"/>
    <w:notTrueType/>
    <w:pitch w:val="default"/>
    <w:sig w:usb0="00000003" w:usb1="00000000" w:usb2="00000000" w:usb3="00000000" w:csb0="00000001" w:csb1="00000000"/>
  </w:font>
  <w:font w:name="Universal-GreekwithMathPi">
    <w:panose1 w:val="00000000000000000000"/>
    <w:charset w:val="00"/>
    <w:family w:val="auto"/>
    <w:notTrueType/>
    <w:pitch w:val="default"/>
    <w:sig w:usb0="00000003" w:usb1="00000000" w:usb2="00000000" w:usb3="00000000" w:csb0="00000001" w:csb1="00000000"/>
  </w:font>
  <w:font w:name="LucidaMath-Symbo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9C0294">
      <w:rPr>
        <w:noProof/>
      </w:rPr>
      <w:t>6</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87" w:rsidRDefault="00440687" w:rsidP="007E37A5">
      <w:r>
        <w:separator/>
      </w:r>
    </w:p>
  </w:footnote>
  <w:footnote w:type="continuationSeparator" w:id="0">
    <w:p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ACD7C53"/>
    <w:multiLevelType w:val="hybridMultilevel"/>
    <w:tmpl w:val="89C4C15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9E93976"/>
    <w:multiLevelType w:val="hybridMultilevel"/>
    <w:tmpl w:val="3F70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461744C"/>
    <w:multiLevelType w:val="hybridMultilevel"/>
    <w:tmpl w:val="41CEF96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0"/>
  </w:num>
  <w:num w:numId="4">
    <w:abstractNumId w:val="1"/>
  </w:num>
  <w:num w:numId="5">
    <w:abstractNumId w:val="3"/>
  </w:num>
  <w:num w:numId="6">
    <w:abstractNumId w:val="2"/>
  </w:num>
  <w:num w:numId="7">
    <w:abstractNumId w:val="9"/>
  </w:num>
  <w:num w:numId="8">
    <w:abstractNumId w:val="8"/>
  </w:num>
  <w:num w:numId="9">
    <w:abstractNumId w:val="6"/>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200CE1"/>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422917"/>
    <w:rsid w:val="00440687"/>
    <w:rsid w:val="0044131D"/>
    <w:rsid w:val="00441ADA"/>
    <w:rsid w:val="00457E46"/>
    <w:rsid w:val="00496AF8"/>
    <w:rsid w:val="004A575D"/>
    <w:rsid w:val="004B65C6"/>
    <w:rsid w:val="004D1DC7"/>
    <w:rsid w:val="004F7D7E"/>
    <w:rsid w:val="00500B0C"/>
    <w:rsid w:val="00537150"/>
    <w:rsid w:val="00540984"/>
    <w:rsid w:val="00543851"/>
    <w:rsid w:val="00552139"/>
    <w:rsid w:val="0055559D"/>
    <w:rsid w:val="005569AE"/>
    <w:rsid w:val="005857F8"/>
    <w:rsid w:val="005B0D18"/>
    <w:rsid w:val="005B12C3"/>
    <w:rsid w:val="005B409D"/>
    <w:rsid w:val="005D0FDB"/>
    <w:rsid w:val="005D25E9"/>
    <w:rsid w:val="005D6D59"/>
    <w:rsid w:val="005E2DB5"/>
    <w:rsid w:val="00617390"/>
    <w:rsid w:val="00623420"/>
    <w:rsid w:val="00634768"/>
    <w:rsid w:val="0063596F"/>
    <w:rsid w:val="006709EB"/>
    <w:rsid w:val="00672824"/>
    <w:rsid w:val="0068184A"/>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340A"/>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E192B"/>
    <w:rsid w:val="008F1DC6"/>
    <w:rsid w:val="00905C5B"/>
    <w:rsid w:val="00923295"/>
    <w:rsid w:val="00925F11"/>
    <w:rsid w:val="00935265"/>
    <w:rsid w:val="0094689F"/>
    <w:rsid w:val="009477D6"/>
    <w:rsid w:val="00953ED3"/>
    <w:rsid w:val="009658CD"/>
    <w:rsid w:val="00965FF6"/>
    <w:rsid w:val="009846D6"/>
    <w:rsid w:val="0098657F"/>
    <w:rsid w:val="009A3236"/>
    <w:rsid w:val="009B5A93"/>
    <w:rsid w:val="009B5BEA"/>
    <w:rsid w:val="009C0294"/>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AE7E6D"/>
    <w:rsid w:val="00B058A6"/>
    <w:rsid w:val="00B117D0"/>
    <w:rsid w:val="00B13998"/>
    <w:rsid w:val="00B439DD"/>
    <w:rsid w:val="00B52E0F"/>
    <w:rsid w:val="00B74629"/>
    <w:rsid w:val="00B91F58"/>
    <w:rsid w:val="00BA579E"/>
    <w:rsid w:val="00BE2295"/>
    <w:rsid w:val="00BE6373"/>
    <w:rsid w:val="00BF533A"/>
    <w:rsid w:val="00C07145"/>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200C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200C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uspreventiveservicestaskforce.org/uspstf/grades.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5A45F5"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
      <w:docPartPr>
        <w:name w:val="962214A8263E430591B9ED4CADA7154B"/>
        <w:category>
          <w:name w:val="General"/>
          <w:gallery w:val="placeholder"/>
        </w:category>
        <w:types>
          <w:type w:val="bbPlcHdr"/>
        </w:types>
        <w:behaviors>
          <w:behavior w:val="content"/>
        </w:behaviors>
        <w:guid w:val="{6E3CE5A7-29EC-4E89-8AC1-E9F841A8DE65}"/>
      </w:docPartPr>
      <w:docPartBody>
        <w:p w:rsidR="005A45F5" w:rsidRDefault="005F21F3" w:rsidP="005F21F3">
          <w:pPr>
            <w:pStyle w:val="962214A8263E430591B9ED4CADA7154B"/>
          </w:pPr>
          <w:r w:rsidRPr="003B1CC5">
            <w:rPr>
              <w:color w:val="A6A6A6" w:themeColor="background1" w:themeShade="A6"/>
            </w:rPr>
            <w:t>Click here to n</w:t>
          </w:r>
          <w:r w:rsidRPr="003B1CC5">
            <w:rPr>
              <w:rStyle w:val="PlaceholderText"/>
              <w:rFonts w:cstheme="minorHAnsi"/>
              <w:color w:val="A6A6A6" w:themeColor="background1" w:themeShade="A6"/>
            </w:rPr>
            <w:t xml:space="preserve">ame the </w:t>
          </w:r>
          <w:r>
            <w:rPr>
              <w:rStyle w:val="PlaceholderText"/>
              <w:rFonts w:cstheme="minorHAnsi"/>
              <w:color w:val="A6A6A6" w:themeColor="background1" w:themeShade="A6"/>
            </w:rPr>
            <w:t>PRO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Futura-ExtraBold">
    <w:panose1 w:val="00000000000000000000"/>
    <w:charset w:val="00"/>
    <w:family w:val="swiss"/>
    <w:notTrueType/>
    <w:pitch w:val="default"/>
    <w:sig w:usb0="00000003" w:usb1="00000000" w:usb2="00000000" w:usb3="00000000" w:csb0="00000001" w:csb1="00000000"/>
  </w:font>
  <w:font w:name="Berkeley-Book">
    <w:panose1 w:val="00000000000000000000"/>
    <w:charset w:val="00"/>
    <w:family w:val="roman"/>
    <w:notTrueType/>
    <w:pitch w:val="default"/>
    <w:sig w:usb0="00000003" w:usb1="00000000" w:usb2="00000000" w:usb3="00000000" w:csb0="00000001" w:csb1="00000000"/>
  </w:font>
  <w:font w:name="Berkeley-Bold">
    <w:panose1 w:val="00000000000000000000"/>
    <w:charset w:val="00"/>
    <w:family w:val="roman"/>
    <w:notTrueType/>
    <w:pitch w:val="default"/>
    <w:sig w:usb0="00000003" w:usb1="00000000" w:usb2="00000000" w:usb3="00000000" w:csb0="00000001" w:csb1="00000000"/>
  </w:font>
  <w:font w:name="Berkeley-Medium">
    <w:panose1 w:val="00000000000000000000"/>
    <w:charset w:val="00"/>
    <w:family w:val="roman"/>
    <w:notTrueType/>
    <w:pitch w:val="default"/>
    <w:sig w:usb0="00000003" w:usb1="00000000" w:usb2="00000000" w:usb3="00000000" w:csb0="00000001" w:csb1="00000000"/>
  </w:font>
  <w:font w:name="Universal-GreekwithMathPi">
    <w:panose1 w:val="00000000000000000000"/>
    <w:charset w:val="00"/>
    <w:family w:val="auto"/>
    <w:notTrueType/>
    <w:pitch w:val="default"/>
    <w:sig w:usb0="00000003" w:usb1="00000000" w:usb2="00000000" w:usb3="00000000" w:csb0="00000001" w:csb1="00000000"/>
  </w:font>
  <w:font w:name="LucidaMath-Symbol">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55EB5"/>
    <w:rsid w:val="00461C1C"/>
    <w:rsid w:val="004E2027"/>
    <w:rsid w:val="005A45F5"/>
    <w:rsid w:val="005F21F3"/>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1828A-2174-45A3-9442-31A65CD72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2510</Words>
  <Characters>14312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16789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James R. Christina, DPM</cp:lastModifiedBy>
  <cp:revision>3</cp:revision>
  <dcterms:created xsi:type="dcterms:W3CDTF">2014-05-14T18:59:00Z</dcterms:created>
  <dcterms:modified xsi:type="dcterms:W3CDTF">2014-05-14T19:01:00Z</dcterms:modified>
</cp:coreProperties>
</file>