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D44055"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5D44056" w14:textId="77777777" w:rsidR="00447FD3" w:rsidRDefault="00447FD3" w:rsidP="002E2177">
      <w:pPr>
        <w:ind w:left="0" w:firstLine="0"/>
        <w:rPr>
          <w:b/>
          <w:noProof/>
        </w:rPr>
      </w:pPr>
    </w:p>
    <w:p w14:paraId="65D44057" w14:textId="77777777" w:rsidR="00496AF8" w:rsidRPr="00E51798" w:rsidRDefault="00496AF8" w:rsidP="002E2177">
      <w:pPr>
        <w:ind w:left="0" w:firstLine="0"/>
        <w:rPr>
          <w:noProof/>
        </w:rPr>
      </w:pPr>
      <w:r w:rsidRPr="00B91F58">
        <w:rPr>
          <w:b/>
          <w:noProof/>
        </w:rPr>
        <w:t>Measure Title</w:t>
      </w:r>
      <w:r w:rsidRPr="00DA7FA2">
        <w:rPr>
          <w:noProof/>
        </w:rPr>
        <w:t>:</w:t>
      </w:r>
      <w:r w:rsidRPr="00E51798">
        <w:rPr>
          <w:noProof/>
        </w:rPr>
        <w:t xml:space="preserve">  </w:t>
      </w:r>
      <w:sdt>
        <w:sdtPr>
          <w:rPr>
            <w:rStyle w:val="Style1"/>
            <w:rFonts w:ascii="Times New Roman" w:hAnsi="Times New Roman" w:cs="Times New Roman"/>
          </w:rPr>
          <w:id w:val="-882640736"/>
          <w:placeholder>
            <w:docPart w:val="61E91D4220034A64A72268AE9C6EBC95"/>
          </w:placeholder>
        </w:sdtPr>
        <w:sdtEndPr>
          <w:rPr>
            <w:rStyle w:val="DefaultParagraphFont"/>
            <w:noProof/>
            <w:color w:val="auto"/>
          </w:rPr>
        </w:sdtEndPr>
        <w:sdtContent>
          <w:r w:rsidR="00287DD9" w:rsidRPr="00555EF3">
            <w:rPr>
              <w:rFonts w:ascii="Times New Roman" w:eastAsia="Times New Roman" w:hAnsi="Times New Roman" w:cs="Times New Roman"/>
            </w:rPr>
            <w:t>Glycemic Control –</w:t>
          </w:r>
          <w:r w:rsidR="008B2402" w:rsidRPr="00555EF3">
            <w:rPr>
              <w:rFonts w:ascii="Times New Roman" w:eastAsia="Times New Roman" w:hAnsi="Times New Roman" w:cs="Times New Roman"/>
            </w:rPr>
            <w:t xml:space="preserve"> Hyperglycemia</w:t>
          </w:r>
        </w:sdtContent>
      </w:sdt>
    </w:p>
    <w:p w14:paraId="65D44058" w14:textId="77777777" w:rsidR="00447FD3" w:rsidRDefault="00447FD3" w:rsidP="002E2177">
      <w:pPr>
        <w:ind w:left="0" w:firstLine="0"/>
        <w:rPr>
          <w:b/>
          <w:noProof/>
        </w:rPr>
      </w:pPr>
    </w:p>
    <w:p w14:paraId="65D4405A" w14:textId="4A07AAE2" w:rsidR="00114848" w:rsidRDefault="00024526" w:rsidP="002E2177">
      <w:pPr>
        <w:ind w:left="0" w:firstLine="0"/>
        <w:rPr>
          <w:b/>
          <w:noProof/>
        </w:rPr>
      </w:pPr>
      <w:r>
        <w:rPr>
          <w:b/>
          <w:noProof/>
        </w:rPr>
        <w:t xml:space="preserve">IF </w:t>
      </w:r>
      <w:r w:rsidR="00176E60">
        <w:rPr>
          <w:b/>
          <w:noProof/>
        </w:rPr>
        <w:t xml:space="preserve">the measure is </w:t>
      </w:r>
      <w:r>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00E97E59" w:rsidRPr="00E97E59">
        <w:rPr>
          <w:b/>
          <w:noProof/>
        </w:rPr>
        <w:t>Compo</w:t>
      </w:r>
      <w:r w:rsidR="00736E0F">
        <w:rPr>
          <w:b/>
          <w:noProof/>
        </w:rPr>
        <w:t>site</w:t>
      </w:r>
      <w:r w:rsidR="00E97E59" w:rsidRPr="00E97E59">
        <w:rPr>
          <w:b/>
          <w:noProof/>
        </w:rPr>
        <w:t xml:space="preserve"> Measure </w:t>
      </w:r>
      <w:r w:rsidR="00114848">
        <w:rPr>
          <w:b/>
          <w:noProof/>
        </w:rPr>
        <w:t>here</w:t>
      </w:r>
      <w:r w:rsidR="00E97E59" w:rsidRPr="00E97E59">
        <w:rPr>
          <w:b/>
          <w:noProof/>
        </w:rPr>
        <w:t>:</w:t>
      </w:r>
      <w:r w:rsidR="00E97E59">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C65FF6" w:rsidRPr="00C65FF6">
            <w:rPr>
              <w:rFonts w:ascii="Times New Roman" w:eastAsia="Times New Roman" w:hAnsi="Times New Roman" w:cs="Times New Roman"/>
            </w:rPr>
            <w:t>Not</w:t>
          </w:r>
          <w:r w:rsidR="00C65FF6" w:rsidRPr="00C65FF6">
            <w:rPr>
              <w:rStyle w:val="Style1"/>
              <w:rFonts w:ascii="Times New Roman" w:hAnsi="Times New Roman" w:cs="Times New Roman"/>
              <w:color w:val="auto"/>
            </w:rPr>
            <w:t xml:space="preserve"> applicable</w:t>
          </w:r>
        </w:sdtContent>
      </w:sdt>
    </w:p>
    <w:p w14:paraId="65D4405B" w14:textId="549FC76F"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placeholder>
            <w:docPart w:val="6A100845774148B09AFD987423307E3B"/>
          </w:placeholder>
          <w:date w:fullDate="2013-12-05T00:00:00Z">
            <w:dateFormat w:val="M/d/yyyy"/>
            <w:lid w:val="en-US"/>
            <w:storeMappedDataAs w:val="dateTime"/>
            <w:calendar w:val="gregorian"/>
          </w:date>
        </w:sdtPr>
        <w:sdtEndPr>
          <w:rPr>
            <w:rStyle w:val="DefaultParagraphFont"/>
            <w:noProof/>
            <w:color w:val="auto"/>
            <w:u w:val="none"/>
          </w:rPr>
        </w:sdtEndPr>
        <w:sdtContent>
          <w:r w:rsidR="00A2163F">
            <w:rPr>
              <w:rStyle w:val="Style2"/>
            </w:rPr>
            <w:t>12/5/2013</w:t>
          </w:r>
        </w:sdtContent>
      </w:sdt>
    </w:p>
    <w:p w14:paraId="65D4405C" w14:textId="77777777"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14:paraId="65D44065" w14:textId="77777777" w:rsidTr="00176E60">
        <w:trPr>
          <w:jc w:val="center"/>
        </w:trPr>
        <w:tc>
          <w:tcPr>
            <w:tcW w:w="9576" w:type="dxa"/>
          </w:tcPr>
          <w:p w14:paraId="65D4405D" w14:textId="77777777"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14:paraId="65D4405E" w14:textId="77777777"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14:paraId="65D4405F" w14:textId="77777777"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14:paraId="65D44060" w14:textId="77777777"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14:paraId="65D44061" w14:textId="77777777"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r w:rsidR="00A13867">
              <w:rPr>
                <w:rFonts w:cstheme="minorHAnsi"/>
              </w:rPr>
              <w:t>sub</w:t>
            </w:r>
            <w:r w:rsidR="008B652E" w:rsidRPr="005B409D">
              <w:rPr>
                <w:rFonts w:cstheme="minorHAnsi"/>
              </w:rPr>
              <w:t>criterion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14:paraId="65D44062" w14:textId="77777777"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14:paraId="65D44063" w14:textId="77777777"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minimum font size 11 pt</w:t>
            </w:r>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14:paraId="65D44064" w14:textId="77777777"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12" w:history="1">
              <w:r w:rsidRPr="00145149">
                <w:rPr>
                  <w:rStyle w:val="Hyperlink"/>
                </w:rPr>
                <w:t>Submitting Standards webpage</w:t>
              </w:r>
            </w:hyperlink>
            <w:r>
              <w:t>.</w:t>
            </w:r>
          </w:p>
        </w:tc>
      </w:tr>
    </w:tbl>
    <w:p w14:paraId="65D44066" w14:textId="77777777"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14:paraId="65D44074" w14:textId="77777777" w:rsidTr="00176E60">
        <w:trPr>
          <w:jc w:val="center"/>
        </w:trPr>
        <w:tc>
          <w:tcPr>
            <w:tcW w:w="9576" w:type="dxa"/>
          </w:tcPr>
          <w:p w14:paraId="65D44067" w14:textId="77777777"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14:paraId="65D44068" w14:textId="77777777" w:rsidR="008B652E" w:rsidRDefault="008B652E" w:rsidP="00176E60">
            <w:pPr>
              <w:rPr>
                <w:b/>
                <w:bCs/>
              </w:rPr>
            </w:pPr>
          </w:p>
          <w:p w14:paraId="65D44069" w14:textId="77777777" w:rsidR="00176E60" w:rsidRPr="00765156" w:rsidRDefault="008B652E" w:rsidP="00176E60">
            <w:r>
              <w:rPr>
                <w:b/>
                <w:bCs/>
              </w:rPr>
              <w:t xml:space="preserve">Subcriterion </w:t>
            </w:r>
            <w:r w:rsidR="00176E60" w:rsidRPr="00765156">
              <w:rPr>
                <w:b/>
                <w:bCs/>
              </w:rPr>
              <w:t>1a.</w:t>
            </w:r>
            <w:r w:rsidR="00176E60" w:rsidRPr="00765156">
              <w:t xml:space="preserve"> </w:t>
            </w:r>
            <w:r w:rsidR="00176E60" w:rsidRPr="00765156">
              <w:rPr>
                <w:b/>
              </w:rPr>
              <w:t>Evidence to Support the Measure Focus</w:t>
            </w:r>
          </w:p>
          <w:p w14:paraId="65D4406A" w14:textId="77777777" w:rsidR="00176E60" w:rsidRPr="00765156" w:rsidRDefault="00176E60" w:rsidP="00176E60">
            <w:r w:rsidRPr="00765156">
              <w:t xml:space="preserve">The measure focus is a health outcome or is evidence-based, demonstrated as follows: </w:t>
            </w:r>
          </w:p>
          <w:p w14:paraId="65D4406B" w14:textId="77777777" w:rsidR="00176E60" w:rsidRPr="00765156" w:rsidRDefault="00176E60" w:rsidP="00176E60">
            <w:pPr>
              <w:numPr>
                <w:ilvl w:val="0"/>
                <w:numId w:val="7"/>
              </w:numPr>
              <w:ind w:left="0" w:firstLine="0"/>
            </w:pPr>
            <w:r w:rsidRPr="00765156">
              <w:rPr>
                <w:u w:val="single"/>
              </w:rPr>
              <w:t>Health outcome</w:t>
            </w:r>
            <w:r w:rsidRPr="00765156">
              <w:t>:</w:t>
            </w:r>
            <w:hyperlink w:anchor="Note3" w:history="1">
              <w:r w:rsidRPr="00765156">
                <w:rPr>
                  <w:rStyle w:val="Hyperlink"/>
                  <w:b/>
                  <w:vertAlign w:val="superscript"/>
                </w:rPr>
                <w:t>3</w:t>
              </w:r>
            </w:hyperlink>
            <w:r w:rsidRPr="00765156">
              <w:t xml:space="preserve"> a rationale supports the relationship of the health outcome to processes or structures of care.</w:t>
            </w:r>
          </w:p>
          <w:p w14:paraId="65D4406C" w14:textId="77777777"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r w:rsidRPr="00765156">
              <w:t>,</w:t>
            </w:r>
            <w:hyperlink w:anchor="Note4" w:history="1">
              <w:r w:rsidRPr="00765156">
                <w:rPr>
                  <w:rStyle w:val="Hyperlink"/>
                  <w:b/>
                  <w:vertAlign w:val="superscript"/>
                </w:rPr>
                <w:t>4</w:t>
              </w:r>
            </w:hyperlink>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14:paraId="65D4406D"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14:paraId="65D4406E"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r w:rsidRPr="00765156">
              <w:t>:</w:t>
            </w:r>
            <w:hyperlink w:anchor="Note6" w:history="1">
              <w:r w:rsidRPr="00765156">
                <w:rPr>
                  <w:rStyle w:val="Hyperlink"/>
                  <w:b/>
                  <w:vertAlign w:val="superscript"/>
                </w:rPr>
                <w:t>6</w:t>
              </w:r>
            </w:hyperlink>
            <w:r w:rsidRPr="00765156">
              <w:t xml:space="preserve"> evidence for the quality component as noted above.</w:t>
            </w:r>
          </w:p>
          <w:p w14:paraId="65D4406F" w14:textId="77777777" w:rsidR="00176E60" w:rsidRPr="00765156" w:rsidRDefault="00176E60" w:rsidP="00176E60">
            <w:pPr>
              <w:autoSpaceDE w:val="0"/>
              <w:autoSpaceDN w:val="0"/>
              <w:adjustRightInd w:val="0"/>
              <w:rPr>
                <w:b/>
                <w:bCs/>
                <w:iCs/>
              </w:rPr>
            </w:pPr>
            <w:r w:rsidRPr="00765156">
              <w:rPr>
                <w:b/>
                <w:bCs/>
                <w:iCs/>
              </w:rPr>
              <w:t>Notes</w:t>
            </w:r>
          </w:p>
          <w:p w14:paraId="65D44070" w14:textId="77777777" w:rsidR="00176E60" w:rsidRPr="00765156" w:rsidRDefault="00176E60" w:rsidP="00176E60">
            <w:pPr>
              <w:pStyle w:val="FootnoteText"/>
              <w:rPr>
                <w:rFonts w:asciiTheme="minorHAnsi" w:hAnsiTheme="minorHAnsi"/>
                <w:sz w:val="22"/>
                <w:szCs w:val="22"/>
              </w:rPr>
            </w:pPr>
            <w:bookmarkStart w:id="0" w:name="Note2"/>
            <w:bookmarkStart w:id="1" w:name="Note3"/>
            <w:bookmarkEnd w:id="0"/>
            <w:bookmarkEnd w:id="1"/>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14:paraId="65D44071" w14:textId="77777777" w:rsidR="00176E60" w:rsidRPr="00765156" w:rsidRDefault="00176E60" w:rsidP="00176E60">
            <w:pPr>
              <w:pStyle w:val="FootnoteText"/>
              <w:rPr>
                <w:rFonts w:asciiTheme="minorHAnsi" w:hAnsiTheme="minorHAnsi"/>
                <w:sz w:val="22"/>
                <w:szCs w:val="22"/>
              </w:rPr>
            </w:pPr>
            <w:bookmarkStart w:id="2" w:name="Note4"/>
            <w:bookmarkEnd w:id="2"/>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14:paraId="65D44072" w14:textId="77777777" w:rsidR="00176E60" w:rsidRPr="00765156" w:rsidRDefault="00176E60" w:rsidP="00176E60">
            <w:pPr>
              <w:pStyle w:val="FootnoteText"/>
              <w:rPr>
                <w:rFonts w:asciiTheme="minorHAnsi" w:hAnsiTheme="minorHAnsi"/>
                <w:sz w:val="22"/>
                <w:szCs w:val="22"/>
              </w:rPr>
            </w:pPr>
            <w:bookmarkStart w:id="3" w:name="Note5"/>
            <w:bookmarkEnd w:id="3"/>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3"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4"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5"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14:paraId="65D44073" w14:textId="77777777" w:rsidR="00176E60" w:rsidRDefault="00176E60" w:rsidP="00176E60">
            <w:pPr>
              <w:ind w:left="90" w:hanging="90"/>
            </w:pPr>
            <w:bookmarkStart w:id="4" w:name="Note6"/>
            <w:bookmarkEnd w:id="4"/>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6" w:history="1">
              <w:r>
                <w:rPr>
                  <w:rStyle w:val="Hyperlink"/>
                </w:rPr>
                <w:t xml:space="preserve">Measurement </w:t>
              </w:r>
              <w:r w:rsidRPr="00765156">
                <w:rPr>
                  <w:rStyle w:val="Hyperlink"/>
                </w:rPr>
                <w:t>Framework: Evaluating Efficiency Across Episodes of Care</w:t>
              </w:r>
            </w:hyperlink>
            <w:r w:rsidRPr="00765156">
              <w:t xml:space="preserve">; </w:t>
            </w:r>
            <w:hyperlink r:id="rId17" w:history="1">
              <w:r w:rsidRPr="00765156">
                <w:rPr>
                  <w:rStyle w:val="Hyperlink"/>
                </w:rPr>
                <w:t>AQA Principles of Efficiency Measures</w:t>
              </w:r>
            </w:hyperlink>
            <w:r w:rsidRPr="00765156">
              <w:t>).</w:t>
            </w:r>
          </w:p>
        </w:tc>
      </w:tr>
    </w:tbl>
    <w:p w14:paraId="65D44075" w14:textId="77777777"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14:paraId="65D44076" w14:textId="77777777"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14:paraId="65D44077" w14:textId="77777777" w:rsidR="00496AF8" w:rsidRPr="00E51798" w:rsidRDefault="009E1B30" w:rsidP="005857F8">
      <w:pPr>
        <w:ind w:left="720" w:hanging="432"/>
        <w:rPr>
          <w:bCs/>
        </w:rPr>
      </w:pPr>
      <w:sdt>
        <w:sdtPr>
          <w:rPr>
            <w:bCs/>
            <w:color w:val="0000FF"/>
          </w:rPr>
          <w:id w:val="1077707841"/>
        </w:sdtPr>
        <w:sdtContent>
          <w:r w:rsidR="0015535B">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2F20A7">
            <w:rPr>
              <w:color w:val="A6A6A6" w:themeColor="background1" w:themeShade="A6"/>
            </w:rPr>
            <w:t>Click here to n</w:t>
          </w:r>
          <w:r w:rsidR="00496AF8" w:rsidRPr="002F20A7">
            <w:rPr>
              <w:rStyle w:val="PlaceholderText"/>
              <w:rFonts w:cstheme="minorHAnsi"/>
              <w:color w:val="A6A6A6" w:themeColor="background1" w:themeShade="A6"/>
            </w:rPr>
            <w:t xml:space="preserve">ame </w:t>
          </w:r>
          <w:r w:rsidR="00496AF8" w:rsidRPr="00B83BC5">
            <w:rPr>
              <w:rStyle w:val="PlaceholderText"/>
              <w:rFonts w:cstheme="minorHAnsi"/>
              <w:color w:val="A6A6A6" w:themeColor="background1" w:themeShade="A6"/>
            </w:rPr>
            <w:t>the health outcome</w:t>
          </w:r>
        </w:sdtContent>
      </w:sdt>
    </w:p>
    <w:p w14:paraId="65D44078" w14:textId="77777777"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r w:rsidRPr="005857F8">
        <w:rPr>
          <w:bCs/>
          <w:i/>
        </w:rPr>
        <w:t xml:space="preserve">HRQoL/functional status, </w:t>
      </w:r>
      <w:r>
        <w:rPr>
          <w:bCs/>
          <w:i/>
        </w:rPr>
        <w:t>symptom/burden</w:t>
      </w:r>
      <w:r w:rsidRPr="005857F8">
        <w:rPr>
          <w:bCs/>
          <w:i/>
        </w:rPr>
        <w:t>, experience with care, health-related behaviors)</w:t>
      </w:r>
    </w:p>
    <w:p w14:paraId="65D44079" w14:textId="77777777" w:rsidR="00496AF8" w:rsidRPr="00E51798" w:rsidRDefault="009E1B30" w:rsidP="005857F8">
      <w:pPr>
        <w:ind w:left="720" w:hanging="432"/>
        <w:rPr>
          <w:bCs/>
        </w:rPr>
      </w:pPr>
      <w:sdt>
        <w:sdtPr>
          <w:rPr>
            <w:bCs/>
            <w:color w:val="0000FF"/>
          </w:rPr>
          <w:id w:val="1309518776"/>
        </w:sdtPr>
        <w:sdtContent>
          <w:r w:rsidR="004D34E8">
            <w:rPr>
              <w:rFonts w:ascii="MS Gothic" w:eastAsia="MS Gothic" w:hAnsi="MS Gothic"/>
              <w:bCs/>
              <w:color w:val="0000FF"/>
            </w:rPr>
            <w:t>X</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ascii="Times New Roman" w:hAnsi="Times New Roman" w:cs="Times New Roman"/>
          </w:rPr>
          <w:id w:val="322628782"/>
        </w:sdtPr>
        <w:sdtEndPr>
          <w:rPr>
            <w:rStyle w:val="DefaultParagraphFont"/>
            <w:bCs/>
            <w:color w:val="auto"/>
            <w:u w:val="none"/>
          </w:rPr>
        </w:sdtEndPr>
        <w:sdtContent>
          <w:sdt>
            <w:sdtPr>
              <w:rPr>
                <w:rStyle w:val="Style1"/>
                <w:rFonts w:ascii="Times New Roman" w:hAnsi="Times New Roman" w:cs="Times New Roman"/>
              </w:rPr>
              <w:id w:val="1507445792"/>
            </w:sdtPr>
            <w:sdtEndPr>
              <w:rPr>
                <w:rStyle w:val="DefaultParagraphFont"/>
                <w:noProof/>
                <w:color w:val="auto"/>
              </w:rPr>
            </w:sdtEndPr>
            <w:sdtContent>
              <w:r w:rsidR="00287DD9" w:rsidRPr="00555EF3">
                <w:rPr>
                  <w:rFonts w:ascii="Times New Roman" w:eastAsia="Times New Roman" w:hAnsi="Times New Roman" w:cs="Times New Roman"/>
                </w:rPr>
                <w:t>Glycemic Control –</w:t>
              </w:r>
              <w:r w:rsidR="009C0708" w:rsidRPr="00555EF3">
                <w:rPr>
                  <w:rFonts w:ascii="Times New Roman" w:eastAsia="Times New Roman" w:hAnsi="Times New Roman" w:cs="Times New Roman"/>
                </w:rPr>
                <w:t xml:space="preserve"> Hyperglycemia</w:t>
              </w:r>
            </w:sdtContent>
          </w:sdt>
        </w:sdtContent>
      </w:sdt>
    </w:p>
    <w:p w14:paraId="65D4407A" w14:textId="77777777" w:rsidR="00496AF8" w:rsidRPr="00E51798" w:rsidRDefault="009E1B30" w:rsidP="00015986">
      <w:pPr>
        <w:ind w:left="432" w:hanging="432"/>
        <w:rPr>
          <w:bCs/>
        </w:rPr>
      </w:pPr>
      <w:sdt>
        <w:sdtPr>
          <w:rPr>
            <w:bCs/>
            <w:color w:val="0000FF"/>
            <w:u w:val="single"/>
          </w:rPr>
          <w:id w:val="-1535727686"/>
        </w:sdtPr>
        <w:sdtContent>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process</w:t>
          </w:r>
        </w:sdtContent>
      </w:sdt>
    </w:p>
    <w:p w14:paraId="65D4407B" w14:textId="77777777" w:rsidR="00496AF8" w:rsidRPr="00E51798" w:rsidRDefault="009E1B30" w:rsidP="00015986">
      <w:pPr>
        <w:ind w:left="432" w:hanging="432"/>
        <w:rPr>
          <w:bCs/>
        </w:rPr>
      </w:pPr>
      <w:sdt>
        <w:sdtPr>
          <w:rPr>
            <w:bCs/>
            <w:color w:val="0000FF"/>
          </w:rPr>
          <w:id w:val="1676770628"/>
        </w:sdt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14:paraId="65D4407C" w14:textId="77777777" w:rsidR="00496AF8" w:rsidRPr="00E51798" w:rsidRDefault="009E1B30" w:rsidP="00015986">
      <w:pPr>
        <w:ind w:left="432" w:hanging="432"/>
        <w:rPr>
          <w:bCs/>
        </w:rPr>
      </w:pPr>
      <w:sdt>
        <w:sdtPr>
          <w:rPr>
            <w:bCs/>
            <w:color w:val="0000FF"/>
          </w:rPr>
          <w:id w:val="1719405626"/>
        </w:sdtPr>
        <w:sdtContent>
          <w:r w:rsidR="0015535B">
            <w:rPr>
              <w:rFonts w:ascii="MS Gothic" w:eastAsia="MS Gothic" w:hAnsi="MS Gothic" w:hint="eastAsia"/>
              <w:bCs/>
              <w:color w:val="0000FF"/>
            </w:rPr>
            <w:t>☐</w:t>
          </w:r>
        </w:sdtContent>
      </w:sdt>
      <w:r w:rsidR="0015535B">
        <w:rPr>
          <w:bCs/>
        </w:rPr>
        <w:t xml:space="preserve"> </w:t>
      </w:r>
      <w:r w:rsidR="00E41417">
        <w:rPr>
          <w:bCs/>
        </w:rPr>
        <w:t>O</w:t>
      </w:r>
      <w:r w:rsidR="00496AF8" w:rsidRPr="00B058A6">
        <w:rPr>
          <w:bCs/>
        </w:rPr>
        <w:t>ther:</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14:paraId="65D4407D" w14:textId="77777777" w:rsidR="00496AF8" w:rsidRDefault="00496AF8" w:rsidP="002E2177">
      <w:pPr>
        <w:ind w:left="0" w:firstLine="0"/>
        <w:rPr>
          <w:bCs/>
        </w:rPr>
      </w:pPr>
    </w:p>
    <w:p w14:paraId="65D4407E" w14:textId="77777777" w:rsidR="00496AF8" w:rsidRDefault="00496AF8" w:rsidP="002E2177">
      <w:pPr>
        <w:ind w:left="0" w:firstLine="0"/>
        <w:rPr>
          <w:bCs/>
          <w:i/>
        </w:rPr>
      </w:pPr>
      <w:r w:rsidRPr="003956E0">
        <w:rPr>
          <w:b/>
          <w:bCs/>
        </w:rPr>
        <w:t xml:space="preserve">HEALTH OUTCOME </w:t>
      </w:r>
      <w:r w:rsidR="005857F8">
        <w:rPr>
          <w:b/>
          <w:bCs/>
        </w:rPr>
        <w:t xml:space="preserve">PERFORMANCE </w:t>
      </w:r>
      <w:r w:rsidRPr="0095290F">
        <w:rPr>
          <w:b/>
          <w:bCs/>
        </w:rPr>
        <w:t xml:space="preserve">MEASURE </w:t>
      </w:r>
      <w:r w:rsidRPr="0095290F">
        <w:rPr>
          <w:bCs/>
        </w:rPr>
        <w:t xml:space="preserve"> </w:t>
      </w:r>
      <w:r w:rsidRPr="0095290F">
        <w:rPr>
          <w:bCs/>
          <w:i/>
        </w:rPr>
        <w:t xml:space="preserve">If not </w:t>
      </w:r>
      <w:r w:rsidR="00132070" w:rsidRPr="0095290F">
        <w:rPr>
          <w:bCs/>
          <w:i/>
        </w:rPr>
        <w:t xml:space="preserve">a health outcome, skip to </w:t>
      </w:r>
      <w:hyperlink w:anchor="Section1a3" w:history="1">
        <w:r w:rsidR="00132070" w:rsidRPr="0095290F">
          <w:rPr>
            <w:rStyle w:val="Hyperlink"/>
            <w:bCs/>
            <w:i/>
          </w:rPr>
          <w:t>1</w:t>
        </w:r>
        <w:r w:rsidR="00837121" w:rsidRPr="0095290F">
          <w:rPr>
            <w:rStyle w:val="Hyperlink"/>
            <w:bCs/>
            <w:i/>
          </w:rPr>
          <w:t>a</w:t>
        </w:r>
        <w:r w:rsidR="00132070" w:rsidRPr="0095290F">
          <w:rPr>
            <w:rStyle w:val="Hyperlink"/>
            <w:bCs/>
            <w:i/>
          </w:rPr>
          <w:t>.3</w:t>
        </w:r>
      </w:hyperlink>
    </w:p>
    <w:p w14:paraId="65D4407F" w14:textId="77777777" w:rsidR="002B06BD" w:rsidRDefault="002B06BD" w:rsidP="002B06BD">
      <w:pPr>
        <w:ind w:left="432" w:hanging="432"/>
        <w:rPr>
          <w:b/>
          <w:iCs/>
        </w:rPr>
      </w:pPr>
      <w:r w:rsidRPr="00B439DD">
        <w:rPr>
          <w:b/>
          <w:bCs/>
          <w:color w:val="0000FF"/>
        </w:rPr>
        <w:t>1</w:t>
      </w:r>
      <w:r>
        <w:rPr>
          <w:b/>
          <w:bCs/>
          <w:color w:val="0000FF"/>
        </w:rPr>
        <w:t>a</w:t>
      </w:r>
      <w:r w:rsidRPr="00B439DD">
        <w:rPr>
          <w:b/>
          <w:bCs/>
          <w:color w:val="0000FF"/>
        </w:rPr>
        <w:t>.2.</w:t>
      </w:r>
      <w:r>
        <w:rPr>
          <w:bCs/>
        </w:rPr>
        <w:t xml:space="preserve"> </w:t>
      </w:r>
      <w:r w:rsidRPr="00C5180E">
        <w:rPr>
          <w:b/>
          <w:iCs/>
        </w:rPr>
        <w:t xml:space="preserve">Briefly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14:paraId="65D44080" w14:textId="77777777" w:rsidR="00C65FF6" w:rsidRPr="005A2FA4" w:rsidRDefault="00B058A6" w:rsidP="005A2FA4">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r w:rsidR="005857F8">
        <w:rPr>
          <w:b/>
          <w:iCs/>
        </w:rPr>
        <w:t>or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14:paraId="65D44081" w14:textId="77777777" w:rsidR="00496AF8" w:rsidRPr="00DA7FA2" w:rsidRDefault="00496AF8" w:rsidP="002E2177">
      <w:pPr>
        <w:ind w:left="0" w:firstLine="0"/>
        <w:rPr>
          <w:i/>
          <w:iCs/>
        </w:rPr>
      </w:pPr>
      <w:r w:rsidRPr="0095290F">
        <w:rPr>
          <w:i/>
          <w:iCs/>
          <w:u w:val="single"/>
        </w:rPr>
        <w:t>Note</w:t>
      </w:r>
      <w:r w:rsidR="009B5BEA" w:rsidRPr="0095290F">
        <w:rPr>
          <w:i/>
          <w:iCs/>
        </w:rPr>
        <w:t>:  F</w:t>
      </w:r>
      <w:r w:rsidRPr="0095290F">
        <w:rPr>
          <w:i/>
          <w:iCs/>
        </w:rPr>
        <w:t xml:space="preserve">or health outcome </w:t>
      </w:r>
      <w:r w:rsidR="005857F8" w:rsidRPr="0095290F">
        <w:rPr>
          <w:i/>
          <w:iCs/>
        </w:rPr>
        <w:t xml:space="preserve">performance </w:t>
      </w:r>
      <w:r w:rsidRPr="0095290F">
        <w:rPr>
          <w:i/>
          <w:iCs/>
        </w:rPr>
        <w:t>measures, no further information is require</w:t>
      </w:r>
      <w:r w:rsidR="005857F8" w:rsidRPr="0095290F">
        <w:rPr>
          <w:i/>
          <w:iCs/>
        </w:rPr>
        <w:t xml:space="preserve">d; however, you may provide evidence for any of the structures, processes, interventions, or service identified above. </w:t>
      </w:r>
    </w:p>
    <w:p w14:paraId="65D44082" w14:textId="77777777" w:rsidR="002B06BD" w:rsidRDefault="002B06BD" w:rsidP="002E2177">
      <w:pPr>
        <w:ind w:left="0" w:firstLine="0"/>
        <w:rPr>
          <w:b/>
          <w:iCs/>
          <w:caps/>
        </w:rPr>
      </w:pPr>
    </w:p>
    <w:p w14:paraId="65D44083" w14:textId="77777777"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14:paraId="65D44084" w14:textId="77777777" w:rsidR="00496AF8" w:rsidRDefault="002B06BD" w:rsidP="002E2177">
      <w:pPr>
        <w:ind w:left="0" w:firstLine="0"/>
        <w:rPr>
          <w:i/>
          <w:iCs/>
        </w:rPr>
      </w:pPr>
      <w:bookmarkStart w:id="5" w:name="Section1a3"/>
      <w:bookmarkEnd w:id="5"/>
      <w:r w:rsidRPr="00B439DD">
        <w:rPr>
          <w:b/>
          <w:iCs/>
          <w:color w:val="0000FF"/>
        </w:rPr>
        <w:t>1</w:t>
      </w:r>
      <w:r>
        <w:rPr>
          <w:b/>
          <w:iCs/>
          <w:color w:val="0000FF"/>
        </w:rPr>
        <w:t>a</w:t>
      </w:r>
      <w:r w:rsidRPr="00B439DD">
        <w:rPr>
          <w:b/>
          <w:iCs/>
          <w:color w:val="0000FF"/>
        </w:rPr>
        <w:t>.3.</w:t>
      </w:r>
      <w:r w:rsidRPr="00E1664B">
        <w:rPr>
          <w:i/>
          <w:iCs/>
          <w:color w:val="0000FF"/>
        </w:rPr>
        <w:t xml:space="preserve"> </w:t>
      </w:r>
      <w:r w:rsidRPr="00C5180E">
        <w:rPr>
          <w:b/>
          <w:iCs/>
        </w:rPr>
        <w:t xml:space="preserve">Briefly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14:paraId="65D44085" w14:textId="77777777" w:rsidR="009C0708" w:rsidRPr="00A7722E" w:rsidRDefault="009C0708" w:rsidP="005126A7">
      <w:pPr>
        <w:shd w:val="clear" w:color="auto" w:fill="FFFFFF"/>
        <w:ind w:left="0" w:firstLine="0"/>
        <w:rPr>
          <w:rFonts w:ascii="Times New Roman" w:eastAsia="Times New Roman" w:hAnsi="Times New Roman"/>
          <w:szCs w:val="24"/>
        </w:rPr>
      </w:pPr>
      <w:r w:rsidRPr="00A7722E">
        <w:rPr>
          <w:rFonts w:ascii="Times New Roman" w:eastAsia="Times New Roman" w:hAnsi="Times New Roman"/>
          <w:szCs w:val="24"/>
        </w:rPr>
        <w:t xml:space="preserve">The measure focus is inpatient hyperglycemia, an intermediate outcome. </w:t>
      </w:r>
      <w:r w:rsidR="00C65FF6" w:rsidRPr="00C65FF6">
        <w:rPr>
          <w:rFonts w:ascii="Times New Roman" w:eastAsia="Times New Roman" w:hAnsi="Times New Roman"/>
          <w:szCs w:val="24"/>
        </w:rPr>
        <w:t xml:space="preserve">The desired outcomes for this measure are lower in-hospital mortality rates and infection rates and shorter lengths of stay. </w:t>
      </w:r>
      <w:r w:rsidRPr="00A7722E">
        <w:rPr>
          <w:rFonts w:ascii="Times New Roman" w:eastAsia="Times New Roman" w:hAnsi="Times New Roman"/>
          <w:szCs w:val="24"/>
        </w:rPr>
        <w:t>Appropriate glycemic control leads to a reduction in the intermediate outcome and other outcomes as follows:</w:t>
      </w:r>
    </w:p>
    <w:p w14:paraId="65D44086" w14:textId="77777777" w:rsidR="009C0708" w:rsidRDefault="009C0708" w:rsidP="009C0708">
      <w:pPr>
        <w:ind w:left="1080"/>
        <w:rPr>
          <w:rFonts w:ascii="Times New Roman" w:hAnsi="Times New Roman"/>
          <w:bCs/>
          <w:szCs w:val="24"/>
          <w:u w:val="single"/>
        </w:rPr>
      </w:pPr>
    </w:p>
    <w:p w14:paraId="65D44087" w14:textId="77777777" w:rsidR="009C0708" w:rsidRPr="00EE6FC2" w:rsidRDefault="009C0708" w:rsidP="005126A7">
      <w:pPr>
        <w:ind w:left="0" w:firstLine="0"/>
        <w:rPr>
          <w:rFonts w:ascii="Times New Roman" w:hAnsi="Times New Roman"/>
          <w:bCs/>
          <w:szCs w:val="24"/>
          <w:u w:val="single"/>
        </w:rPr>
      </w:pPr>
      <w:r w:rsidRPr="00EE6FC2">
        <w:rPr>
          <w:rFonts w:ascii="Times New Roman" w:hAnsi="Times New Roman"/>
          <w:bCs/>
          <w:szCs w:val="24"/>
          <w:u w:val="single"/>
        </w:rPr>
        <w:t>Links of process – health outcome</w:t>
      </w:r>
    </w:p>
    <w:p w14:paraId="65D44088" w14:textId="77777777" w:rsidR="009C0708" w:rsidRPr="00A7722E" w:rsidRDefault="009C0708" w:rsidP="005126A7">
      <w:pPr>
        <w:shd w:val="clear" w:color="auto" w:fill="FFFFFF"/>
        <w:ind w:left="0" w:firstLine="0"/>
        <w:rPr>
          <w:rFonts w:ascii="Times New Roman" w:eastAsia="Times New Roman" w:hAnsi="Times New Roman"/>
          <w:szCs w:val="24"/>
        </w:rPr>
      </w:pPr>
      <w:r w:rsidRPr="00A7722E">
        <w:rPr>
          <w:rFonts w:ascii="Times New Roman" w:eastAsia="Times New Roman" w:hAnsi="Times New Roman"/>
          <w:szCs w:val="24"/>
        </w:rPr>
        <w:t>Management of blood glucose levels in hospitalized patients</w:t>
      </w:r>
      <w:r w:rsidR="00C65FF6">
        <w:rPr>
          <w:rFonts w:ascii="Times New Roman" w:eastAsia="Times New Roman" w:hAnsi="Times New Roman"/>
          <w:szCs w:val="24"/>
        </w:rPr>
        <w:t xml:space="preserve"> </w:t>
      </w:r>
      <w:r w:rsidR="00C65FF6" w:rsidRPr="00C65FF6">
        <w:rPr>
          <w:rFonts w:ascii="Times New Roman" w:eastAsia="Times New Roman" w:hAnsi="Times New Roman"/>
          <w:szCs w:val="24"/>
        </w:rPr>
        <w:sym w:font="Wingdings" w:char="F0E0"/>
      </w:r>
      <w:r w:rsidRPr="00A7722E">
        <w:rPr>
          <w:rFonts w:ascii="Times New Roman" w:eastAsia="Times New Roman" w:hAnsi="Times New Roman"/>
          <w:szCs w:val="24"/>
        </w:rPr>
        <w:t xml:space="preserve"> </w:t>
      </w:r>
    </w:p>
    <w:p w14:paraId="65D44089" w14:textId="77777777" w:rsidR="009C0708" w:rsidRPr="00A7722E" w:rsidRDefault="009C0708" w:rsidP="005126A7">
      <w:pPr>
        <w:shd w:val="clear" w:color="auto" w:fill="FFFFFF"/>
        <w:ind w:left="0" w:firstLine="0"/>
        <w:rPr>
          <w:rFonts w:ascii="Times New Roman" w:eastAsia="Times New Roman" w:hAnsi="Times New Roman"/>
          <w:szCs w:val="24"/>
        </w:rPr>
      </w:pPr>
      <w:r w:rsidRPr="00A7722E">
        <w:rPr>
          <w:rFonts w:ascii="Times New Roman" w:eastAsia="Times New Roman" w:hAnsi="Times New Roman"/>
          <w:szCs w:val="24"/>
        </w:rPr>
        <w:t>Lower rate</w:t>
      </w:r>
      <w:r w:rsidR="00C65FF6">
        <w:rPr>
          <w:rFonts w:ascii="Times New Roman" w:eastAsia="Times New Roman" w:hAnsi="Times New Roman"/>
          <w:szCs w:val="24"/>
        </w:rPr>
        <w:t xml:space="preserve">s of inpatient hyperglycemia </w:t>
      </w:r>
      <w:r w:rsidR="00C65FF6" w:rsidRPr="00C65FF6">
        <w:rPr>
          <w:rFonts w:ascii="Times New Roman" w:eastAsia="Times New Roman" w:hAnsi="Times New Roman"/>
          <w:szCs w:val="24"/>
        </w:rPr>
        <w:sym w:font="Wingdings" w:char="F0E0"/>
      </w:r>
    </w:p>
    <w:p w14:paraId="65D4408A" w14:textId="77777777" w:rsidR="009C0708" w:rsidRPr="00C65FF6" w:rsidRDefault="009C0708" w:rsidP="00C65FF6">
      <w:pPr>
        <w:shd w:val="clear" w:color="auto" w:fill="FFFFFF"/>
        <w:ind w:left="0" w:firstLine="0"/>
        <w:rPr>
          <w:rFonts w:ascii="Times New Roman" w:eastAsia="Times New Roman" w:hAnsi="Times New Roman"/>
          <w:szCs w:val="24"/>
        </w:rPr>
      </w:pPr>
      <w:r w:rsidRPr="00A7722E">
        <w:rPr>
          <w:rFonts w:ascii="Times New Roman" w:eastAsia="Times New Roman" w:hAnsi="Times New Roman"/>
          <w:szCs w:val="24"/>
        </w:rPr>
        <w:t>Lower in-hospital mort</w:t>
      </w:r>
      <w:r>
        <w:rPr>
          <w:rFonts w:ascii="Times New Roman" w:eastAsia="Times New Roman" w:hAnsi="Times New Roman"/>
          <w:szCs w:val="24"/>
        </w:rPr>
        <w:t xml:space="preserve">ality rates and infection </w:t>
      </w:r>
      <w:r w:rsidRPr="00046B96">
        <w:rPr>
          <w:rFonts w:ascii="Times New Roman" w:eastAsia="Times New Roman" w:hAnsi="Times New Roman"/>
          <w:szCs w:val="24"/>
        </w:rPr>
        <w:t>rates</w:t>
      </w:r>
      <w:r>
        <w:rPr>
          <w:rFonts w:ascii="Times New Roman" w:eastAsia="Times New Roman" w:hAnsi="Times New Roman"/>
          <w:szCs w:val="24"/>
        </w:rPr>
        <w:t>, and</w:t>
      </w:r>
      <w:r w:rsidRPr="00046B96">
        <w:rPr>
          <w:rFonts w:ascii="Times New Roman" w:eastAsia="Times New Roman" w:hAnsi="Times New Roman"/>
          <w:szCs w:val="24"/>
        </w:rPr>
        <w:t xml:space="preserve"> shorter</w:t>
      </w:r>
      <w:r>
        <w:rPr>
          <w:rFonts w:ascii="Times New Roman" w:eastAsia="Times New Roman" w:hAnsi="Times New Roman"/>
          <w:szCs w:val="24"/>
        </w:rPr>
        <w:t xml:space="preserve"> lengths of stay</w:t>
      </w:r>
      <w:r w:rsidRPr="00A7722E">
        <w:rPr>
          <w:rFonts w:ascii="Times New Roman" w:eastAsia="Times New Roman" w:hAnsi="Times New Roman"/>
          <w:szCs w:val="24"/>
        </w:rPr>
        <w:t xml:space="preserve"> </w:t>
      </w:r>
    </w:p>
    <w:p w14:paraId="65D4408B" w14:textId="77777777" w:rsidR="00B71F90" w:rsidRDefault="00B71F90" w:rsidP="002E2177">
      <w:pPr>
        <w:ind w:left="0" w:firstLine="0"/>
      </w:pPr>
    </w:p>
    <w:p w14:paraId="65D4408C" w14:textId="77777777" w:rsidR="0055559D" w:rsidRDefault="00FD4D82" w:rsidP="002E2177">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r w:rsidRPr="00CB06C9">
        <w:rPr>
          <w:b/>
        </w:rPr>
        <w:t>What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14:paraId="65D4408D" w14:textId="77777777" w:rsidR="00FD4D82" w:rsidRDefault="009E1B30" w:rsidP="002E2177">
      <w:pPr>
        <w:ind w:left="0" w:firstLine="0"/>
      </w:pPr>
      <w:sdt>
        <w:sdtPr>
          <w:rPr>
            <w:bCs/>
            <w:color w:val="0000FF"/>
          </w:rPr>
          <w:id w:val="-468508862"/>
        </w:sdtPr>
        <w:sdtContent>
          <w:r w:rsidR="00694652">
            <w:rPr>
              <w:rFonts w:ascii="MS Gothic" w:eastAsia="MS Gothic" w:hAnsi="MS Gothic"/>
              <w:bCs/>
              <w:color w:val="0000FF"/>
            </w:rPr>
            <w:t>X</w:t>
          </w:r>
        </w:sdtContent>
      </w:sdt>
      <w:r w:rsidR="001B38BF">
        <w:t xml:space="preserve"> Clinical Practice </w:t>
      </w:r>
      <w:r w:rsidR="00AA5587">
        <w:t>G</w:t>
      </w:r>
      <w:r w:rsidR="001B38BF">
        <w:t>uideline</w:t>
      </w:r>
      <w:r w:rsidR="00E746A2">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14:paraId="65D4408E" w14:textId="77777777" w:rsidR="00FD4D82" w:rsidRDefault="009E1B30" w:rsidP="002E2177">
      <w:pPr>
        <w:ind w:left="0" w:firstLine="0"/>
        <w:rPr>
          <w:b/>
          <w:i/>
        </w:rPr>
      </w:pPr>
      <w:sdt>
        <w:sdtPr>
          <w:rPr>
            <w:bCs/>
            <w:color w:val="0000FF"/>
          </w:rPr>
          <w:id w:val="-411317169"/>
        </w:sdt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14:paraId="65D4408F" w14:textId="77777777" w:rsidR="007573F0" w:rsidRDefault="009E1B30" w:rsidP="002E2177">
      <w:pPr>
        <w:ind w:left="0" w:firstLine="0"/>
      </w:pPr>
      <w:sdt>
        <w:sdtPr>
          <w:rPr>
            <w:bCs/>
            <w:color w:val="0000FF"/>
            <w:u w:val="single"/>
          </w:rPr>
          <w:id w:val="1199589694"/>
        </w:sdtPr>
        <w:sdtContent>
          <w:r w:rsidR="007573F0">
            <w:rPr>
              <w:rFonts w:ascii="MS Gothic" w:eastAsia="MS Gothic" w:hAnsi="MS Gothic" w:hint="eastAsia"/>
              <w:bCs/>
              <w:color w:val="0000FF"/>
            </w:rPr>
            <w:t>☐</w:t>
          </w:r>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14:paraId="65D44090" w14:textId="77777777" w:rsidR="00FD4D82" w:rsidRDefault="009E1B30" w:rsidP="002E2177">
      <w:pPr>
        <w:ind w:left="0" w:firstLine="0"/>
      </w:pPr>
      <w:sdt>
        <w:sdtPr>
          <w:rPr>
            <w:bCs/>
            <w:color w:val="0000FF"/>
            <w:u w:val="single"/>
          </w:rPr>
          <w:id w:val="302275832"/>
        </w:sdtPr>
        <w:sdtContent>
          <w:r w:rsidR="00694652">
            <w:rPr>
              <w:rFonts w:ascii="MS Gothic" w:eastAsia="MS Gothic" w:hAnsi="MS Gothic"/>
              <w:bCs/>
              <w:color w:val="0000FF"/>
            </w:rPr>
            <w:t>X</w:t>
          </w:r>
        </w:sdtContent>
      </w:sdt>
      <w:r w:rsidR="00FD4D82">
        <w:t xml:space="preserve"> Other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14:paraId="65D44091" w14:textId="77777777" w:rsidR="00FD4D82" w:rsidRDefault="00FD4D82" w:rsidP="002E2177">
      <w:pPr>
        <w:ind w:left="0" w:firstLine="0"/>
      </w:pPr>
    </w:p>
    <w:p w14:paraId="65D44092" w14:textId="77777777" w:rsidR="00201FF9" w:rsidRPr="00201FF9" w:rsidRDefault="00201FF9" w:rsidP="002E2177">
      <w:pPr>
        <w:ind w:left="0" w:firstLine="0"/>
        <w:rPr>
          <w:i/>
        </w:rPr>
      </w:pPr>
      <w:r w:rsidRPr="0095290F">
        <w:rPr>
          <w:i/>
        </w:rPr>
        <w:t xml:space="preserve">Please complete the sections indicated </w:t>
      </w:r>
      <w:r w:rsidR="00030F43" w:rsidRPr="0095290F">
        <w:rPr>
          <w:i/>
        </w:rPr>
        <w:t xml:space="preserve">above </w:t>
      </w:r>
      <w:r w:rsidRPr="0095290F">
        <w:rPr>
          <w:i/>
        </w:rPr>
        <w:t xml:space="preserve">for the source of evidence. You may skip the </w:t>
      </w:r>
      <w:r w:rsidR="00030F43" w:rsidRPr="0095290F">
        <w:rPr>
          <w:i/>
        </w:rPr>
        <w:t>section</w:t>
      </w:r>
      <w:r w:rsidRPr="0095290F">
        <w:rPr>
          <w:i/>
        </w:rPr>
        <w:t>s that do not apply.</w:t>
      </w:r>
    </w:p>
    <w:p w14:paraId="65D44093" w14:textId="77777777" w:rsidR="00C65FF6" w:rsidRDefault="00C65FF6" w:rsidP="002E2177">
      <w:pPr>
        <w:ind w:left="0" w:firstLine="0"/>
        <w:rPr>
          <w:b/>
          <w:color w:val="0070C0"/>
        </w:rPr>
      </w:pPr>
    </w:p>
    <w:p w14:paraId="65D44094" w14:textId="77777777" w:rsidR="009B5BEA" w:rsidRPr="00FD4D82" w:rsidRDefault="00FD4D82" w:rsidP="002E2177">
      <w:pPr>
        <w:ind w:left="0" w:firstLine="0"/>
        <w:rPr>
          <w:b/>
        </w:rPr>
      </w:pPr>
      <w:bookmarkStart w:id="6" w:name="Section1a4"/>
      <w:bookmarkEnd w:id="6"/>
      <w:r w:rsidRPr="007573F0">
        <w:rPr>
          <w:b/>
          <w:color w:val="0000FF"/>
        </w:rPr>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14:paraId="65D44095" w14:textId="77777777" w:rsidR="007E37A5"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14:paraId="65D44096" w14:textId="77777777" w:rsidR="009C0708" w:rsidRPr="00267C55" w:rsidRDefault="009C0708" w:rsidP="009C0708">
      <w:pPr>
        <w:rPr>
          <w:rFonts w:ascii="Times New Roman" w:hAnsi="Times New Roman"/>
        </w:rPr>
      </w:pPr>
      <w:r w:rsidRPr="00267C55">
        <w:rPr>
          <w:rFonts w:ascii="Times New Roman" w:hAnsi="Times New Roman"/>
        </w:rPr>
        <w:t xml:space="preserve">American Diabetes Association (ADA). </w:t>
      </w:r>
      <w:bookmarkStart w:id="7" w:name="_GoBack"/>
      <w:bookmarkEnd w:id="7"/>
      <w:r w:rsidRPr="00267C55">
        <w:rPr>
          <w:rFonts w:ascii="Times New Roman" w:hAnsi="Times New Roman"/>
        </w:rPr>
        <w:t xml:space="preserve">(2013). Standards of Medical Care in Diabetes—2013. IX. Diabetes care in specific settings. </w:t>
      </w:r>
      <w:r w:rsidRPr="00267C55">
        <w:rPr>
          <w:rFonts w:ascii="Times New Roman" w:hAnsi="Times New Roman"/>
          <w:i/>
        </w:rPr>
        <w:t>Diabetes Care, 36</w:t>
      </w:r>
      <w:r w:rsidRPr="00267C55">
        <w:rPr>
          <w:rFonts w:ascii="Times New Roman" w:hAnsi="Times New Roman"/>
        </w:rPr>
        <w:t xml:space="preserve">(Suppl 1), S45-S49. </w:t>
      </w:r>
      <w:r w:rsidR="00530D16" w:rsidRPr="00267C55">
        <w:rPr>
          <w:rFonts w:ascii="Times New Roman" w:hAnsi="Times New Roman"/>
        </w:rPr>
        <w:t>Retrieved</w:t>
      </w:r>
      <w:r w:rsidR="000D5BF9" w:rsidRPr="00267C55">
        <w:rPr>
          <w:rFonts w:ascii="Times New Roman" w:hAnsi="Times New Roman"/>
        </w:rPr>
        <w:t xml:space="preserve"> July 25, 2013</w:t>
      </w:r>
      <w:r w:rsidR="00A835E3" w:rsidRPr="00267C55">
        <w:rPr>
          <w:rFonts w:ascii="Times New Roman" w:hAnsi="Times New Roman"/>
        </w:rPr>
        <w:t>,</w:t>
      </w:r>
      <w:r w:rsidR="000D5BF9" w:rsidRPr="00267C55">
        <w:rPr>
          <w:rFonts w:ascii="Times New Roman" w:hAnsi="Times New Roman"/>
        </w:rPr>
        <w:t xml:space="preserve"> </w:t>
      </w:r>
      <w:r w:rsidR="00530D16" w:rsidRPr="00267C55">
        <w:rPr>
          <w:rFonts w:ascii="Times New Roman" w:hAnsi="Times New Roman"/>
        </w:rPr>
        <w:t>from</w:t>
      </w:r>
      <w:r w:rsidR="000D5BF9" w:rsidRPr="00267C55">
        <w:rPr>
          <w:rFonts w:ascii="Times New Roman" w:hAnsi="Times New Roman"/>
        </w:rPr>
        <w:t xml:space="preserve"> </w:t>
      </w:r>
      <w:hyperlink r:id="rId18" w:history="1">
        <w:r w:rsidR="000D5BF9" w:rsidRPr="00267C55">
          <w:rPr>
            <w:rStyle w:val="Hyperlink"/>
            <w:rFonts w:ascii="Times New Roman" w:hAnsi="Times New Roman"/>
            <w:color w:val="auto"/>
            <w:szCs w:val="24"/>
            <w:u w:val="none"/>
          </w:rPr>
          <w:t>http://care.diabetesjournals.org/content/36/Supplement_1/S11.full</w:t>
        </w:r>
      </w:hyperlink>
    </w:p>
    <w:p w14:paraId="65D44097" w14:textId="77777777" w:rsidR="009C0708" w:rsidRPr="00267C55" w:rsidRDefault="009C0708" w:rsidP="009C0708">
      <w:pPr>
        <w:autoSpaceDE w:val="0"/>
        <w:autoSpaceDN w:val="0"/>
        <w:adjustRightInd w:val="0"/>
        <w:rPr>
          <w:rFonts w:ascii="Times New Roman" w:hAnsi="Times New Roman"/>
        </w:rPr>
      </w:pPr>
      <w:r w:rsidRPr="00267C55">
        <w:rPr>
          <w:rFonts w:ascii="Times New Roman" w:hAnsi="Times New Roman"/>
        </w:rPr>
        <w:t xml:space="preserve">Qaseem, A., Humphrey, L., Chou, R., Snow, V., &amp; Shekelle, M. (2011). Use of Intensive Insulin Therapy for the Management of Glycemic Control in Hospitalized Patients: A Clinical Practice Guideline from </w:t>
      </w:r>
      <w:r w:rsidRPr="00267C55">
        <w:rPr>
          <w:rFonts w:ascii="Times New Roman" w:hAnsi="Times New Roman"/>
        </w:rPr>
        <w:lastRenderedPageBreak/>
        <w:t xml:space="preserve">the American College of Physicians. </w:t>
      </w:r>
      <w:r w:rsidRPr="00267C55">
        <w:rPr>
          <w:rFonts w:ascii="Times New Roman" w:hAnsi="Times New Roman"/>
          <w:i/>
        </w:rPr>
        <w:t>Ann Intern Med, 154</w:t>
      </w:r>
      <w:r w:rsidRPr="00267C55">
        <w:rPr>
          <w:rFonts w:ascii="Times New Roman" w:hAnsi="Times New Roman"/>
        </w:rPr>
        <w:t xml:space="preserve">(4), 260-267. </w:t>
      </w:r>
      <w:r w:rsidR="00530D16" w:rsidRPr="00267C55">
        <w:rPr>
          <w:rFonts w:ascii="Times New Roman" w:hAnsi="Times New Roman"/>
        </w:rPr>
        <w:t xml:space="preserve">Retrieved </w:t>
      </w:r>
      <w:r w:rsidR="000D5BF9" w:rsidRPr="00267C55">
        <w:rPr>
          <w:rFonts w:ascii="Times New Roman" w:hAnsi="Times New Roman"/>
        </w:rPr>
        <w:t>July 25, 2013</w:t>
      </w:r>
      <w:r w:rsidR="00A835E3" w:rsidRPr="00267C55">
        <w:rPr>
          <w:rFonts w:ascii="Times New Roman" w:hAnsi="Times New Roman"/>
        </w:rPr>
        <w:t>,</w:t>
      </w:r>
      <w:r w:rsidR="000D5BF9" w:rsidRPr="00267C55">
        <w:rPr>
          <w:rFonts w:ascii="Times New Roman" w:hAnsi="Times New Roman"/>
        </w:rPr>
        <w:t xml:space="preserve"> </w:t>
      </w:r>
      <w:r w:rsidR="00530D16" w:rsidRPr="00267C55">
        <w:rPr>
          <w:rFonts w:ascii="Times New Roman" w:hAnsi="Times New Roman"/>
        </w:rPr>
        <w:t>from</w:t>
      </w:r>
      <w:r w:rsidR="000D5BF9" w:rsidRPr="00267C55">
        <w:rPr>
          <w:rFonts w:ascii="Times New Roman" w:hAnsi="Times New Roman"/>
        </w:rPr>
        <w:t xml:space="preserve"> </w:t>
      </w:r>
      <w:hyperlink r:id="rId19" w:history="1">
        <w:r w:rsidR="000D5BF9" w:rsidRPr="00267C55">
          <w:rPr>
            <w:rStyle w:val="Hyperlink"/>
            <w:rFonts w:ascii="Times New Roman" w:hAnsi="Times New Roman"/>
            <w:color w:val="auto"/>
            <w:szCs w:val="24"/>
            <w:u w:val="none"/>
          </w:rPr>
          <w:t>http://annals.org/article.aspx?articleid=746815</w:t>
        </w:r>
      </w:hyperlink>
    </w:p>
    <w:p w14:paraId="65D44098" w14:textId="77777777" w:rsidR="009C0708" w:rsidRPr="00267C55" w:rsidRDefault="009C0708" w:rsidP="009C0708">
      <w:pPr>
        <w:autoSpaceDE w:val="0"/>
        <w:autoSpaceDN w:val="0"/>
        <w:adjustRightInd w:val="0"/>
        <w:rPr>
          <w:rFonts w:ascii="Times New Roman" w:hAnsi="Times New Roman"/>
        </w:rPr>
      </w:pPr>
      <w:r w:rsidRPr="00267C55">
        <w:rPr>
          <w:rFonts w:ascii="Times New Roman" w:hAnsi="Times New Roman"/>
        </w:rPr>
        <w:t xml:space="preserve">Umpierrez, G. E., Hellman, R., Korytkowski, M. T., Kosiborod, M., Maynard, G. A., Montori, V. M., Seley, J. J., Van den Berghe, G. (2012). Management of Hyperglycemia in Hospitalized Patients in Non-critical Care Setting: An Endocrine Society Clinical Practice Guideline. </w:t>
      </w:r>
      <w:r w:rsidRPr="00267C55">
        <w:rPr>
          <w:rFonts w:ascii="Times New Roman" w:hAnsi="Times New Roman"/>
          <w:i/>
        </w:rPr>
        <w:t>J Clin Endocrinol Metab, 97</w:t>
      </w:r>
      <w:r w:rsidRPr="00267C55">
        <w:rPr>
          <w:rFonts w:ascii="Times New Roman" w:hAnsi="Times New Roman"/>
        </w:rPr>
        <w:t>, 16-38.</w:t>
      </w:r>
      <w:r w:rsidR="000D5BF9" w:rsidRPr="00267C55">
        <w:rPr>
          <w:rFonts w:ascii="Times New Roman" w:hAnsi="Times New Roman"/>
        </w:rPr>
        <w:t xml:space="preserve"> </w:t>
      </w:r>
      <w:r w:rsidR="00530D16" w:rsidRPr="00267C55">
        <w:rPr>
          <w:rFonts w:ascii="Times New Roman" w:hAnsi="Times New Roman"/>
        </w:rPr>
        <w:t>Retrieved</w:t>
      </w:r>
      <w:r w:rsidR="000D5BF9" w:rsidRPr="00267C55">
        <w:rPr>
          <w:rFonts w:ascii="Times New Roman" w:hAnsi="Times New Roman"/>
        </w:rPr>
        <w:t xml:space="preserve"> July 25, 2013</w:t>
      </w:r>
      <w:r w:rsidR="00A835E3" w:rsidRPr="00267C55">
        <w:rPr>
          <w:rFonts w:ascii="Times New Roman" w:hAnsi="Times New Roman"/>
        </w:rPr>
        <w:t>,</w:t>
      </w:r>
      <w:r w:rsidR="000D5BF9" w:rsidRPr="00267C55">
        <w:rPr>
          <w:rFonts w:ascii="Times New Roman" w:hAnsi="Times New Roman"/>
        </w:rPr>
        <w:t xml:space="preserve"> </w:t>
      </w:r>
      <w:r w:rsidR="00530D16" w:rsidRPr="00267C55">
        <w:rPr>
          <w:rFonts w:ascii="Times New Roman" w:hAnsi="Times New Roman"/>
        </w:rPr>
        <w:t>from</w:t>
      </w:r>
      <w:r w:rsidR="000D5BF9" w:rsidRPr="00267C55">
        <w:rPr>
          <w:rFonts w:ascii="Times New Roman" w:hAnsi="Times New Roman"/>
        </w:rPr>
        <w:t xml:space="preserve"> </w:t>
      </w:r>
      <w:hyperlink r:id="rId20" w:history="1">
        <w:r w:rsidR="000D5BF9" w:rsidRPr="00267C55">
          <w:rPr>
            <w:rStyle w:val="Hyperlink"/>
            <w:rFonts w:ascii="Times New Roman" w:hAnsi="Times New Roman"/>
            <w:color w:val="auto"/>
            <w:szCs w:val="24"/>
            <w:u w:val="none"/>
          </w:rPr>
          <w:t>http://jcem.endojournals.org/content/97/1/16.full</w:t>
        </w:r>
      </w:hyperlink>
    </w:p>
    <w:p w14:paraId="65D44099" w14:textId="77777777" w:rsidR="00423CA8" w:rsidRPr="00267C55" w:rsidRDefault="00423CA8" w:rsidP="00423CA8">
      <w:pPr>
        <w:ind w:left="0" w:firstLine="0"/>
        <w:rPr>
          <w:rFonts w:ascii="Arial" w:hAnsi="Arial" w:cs="Arial"/>
          <w:sz w:val="20"/>
          <w:szCs w:val="20"/>
        </w:rPr>
      </w:pPr>
    </w:p>
    <w:p w14:paraId="65D4409A" w14:textId="77777777"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14:paraId="65D4409B" w14:textId="77777777" w:rsidR="00CE1A26" w:rsidRDefault="00CE1A26" w:rsidP="00CE1A26">
      <w:pPr>
        <w:ind w:left="0" w:firstLine="0"/>
        <w:rPr>
          <w:rFonts w:ascii="Times New Roman" w:hAnsi="Times New Roman" w:cs="Times New Roman"/>
        </w:rPr>
      </w:pPr>
      <w:r w:rsidRPr="00200037">
        <w:rPr>
          <w:rFonts w:ascii="Times New Roman" w:hAnsi="Times New Roman" w:cs="Times New Roman"/>
        </w:rPr>
        <w:t xml:space="preserve">The measure is supported </w:t>
      </w:r>
      <w:r>
        <w:rPr>
          <w:rFonts w:ascii="Times New Roman" w:hAnsi="Times New Roman" w:cs="Times New Roman"/>
        </w:rPr>
        <w:t xml:space="preserve">primarily </w:t>
      </w:r>
      <w:r w:rsidRPr="00200037">
        <w:rPr>
          <w:rFonts w:ascii="Times New Roman" w:hAnsi="Times New Roman" w:cs="Times New Roman"/>
        </w:rPr>
        <w:t xml:space="preserve">by </w:t>
      </w:r>
      <w:r>
        <w:rPr>
          <w:rFonts w:ascii="Times New Roman" w:hAnsi="Times New Roman" w:cs="Times New Roman"/>
        </w:rPr>
        <w:t xml:space="preserve">a </w:t>
      </w:r>
      <w:r w:rsidRPr="00200037">
        <w:rPr>
          <w:rFonts w:ascii="Times New Roman" w:hAnsi="Times New Roman" w:cs="Times New Roman"/>
        </w:rPr>
        <w:t xml:space="preserve">recommendation in </w:t>
      </w:r>
      <w:r>
        <w:rPr>
          <w:rFonts w:ascii="Times New Roman" w:hAnsi="Times New Roman" w:cs="Times New Roman"/>
        </w:rPr>
        <w:t xml:space="preserve">the following </w:t>
      </w:r>
      <w:r w:rsidR="002F388B">
        <w:rPr>
          <w:rFonts w:ascii="Times New Roman" w:hAnsi="Times New Roman" w:cs="Times New Roman"/>
        </w:rPr>
        <w:t xml:space="preserve">2011 </w:t>
      </w:r>
      <w:r>
        <w:rPr>
          <w:rFonts w:ascii="Times New Roman" w:hAnsi="Times New Roman" w:cs="Times New Roman"/>
        </w:rPr>
        <w:t>guideline:</w:t>
      </w:r>
    </w:p>
    <w:p w14:paraId="65D4409C" w14:textId="77777777" w:rsidR="00CE1A26" w:rsidRDefault="00CE1A26" w:rsidP="00CE1A26">
      <w:pPr>
        <w:ind w:left="0" w:firstLine="0"/>
        <w:rPr>
          <w:rFonts w:ascii="Times New Roman" w:hAnsi="Times New Roman" w:cs="Times New Roman"/>
        </w:rPr>
      </w:pPr>
    </w:p>
    <w:p w14:paraId="65D4409D" w14:textId="77777777" w:rsidR="002F388B" w:rsidRPr="00A7722E" w:rsidRDefault="002F388B" w:rsidP="002F388B">
      <w:pPr>
        <w:autoSpaceDE w:val="0"/>
        <w:autoSpaceDN w:val="0"/>
        <w:adjustRightInd w:val="0"/>
        <w:ind w:left="0" w:firstLine="0"/>
        <w:rPr>
          <w:rFonts w:ascii="Times New Roman" w:hAnsi="Times New Roman"/>
          <w:szCs w:val="24"/>
        </w:rPr>
      </w:pPr>
      <w:r w:rsidRPr="00A7722E">
        <w:rPr>
          <w:rFonts w:ascii="Times New Roman" w:hAnsi="Times New Roman"/>
          <w:szCs w:val="24"/>
        </w:rPr>
        <w:t xml:space="preserve">The </w:t>
      </w:r>
      <w:r>
        <w:rPr>
          <w:rFonts w:ascii="Times New Roman" w:hAnsi="Times New Roman"/>
          <w:szCs w:val="24"/>
        </w:rPr>
        <w:t>“</w:t>
      </w:r>
      <w:r w:rsidRPr="00A7722E">
        <w:rPr>
          <w:rFonts w:ascii="Times New Roman" w:hAnsi="Times New Roman"/>
          <w:szCs w:val="24"/>
        </w:rPr>
        <w:t xml:space="preserve">Use of Intensive Insulin Therapy for the Management of Glycemic Control in Hospitalized Patients: A Clinical Practice Guideline </w:t>
      </w:r>
      <w:r>
        <w:rPr>
          <w:rFonts w:ascii="Times New Roman" w:hAnsi="Times New Roman"/>
          <w:szCs w:val="24"/>
        </w:rPr>
        <w:t>f</w:t>
      </w:r>
      <w:r w:rsidRPr="00A7722E">
        <w:rPr>
          <w:rFonts w:ascii="Times New Roman" w:hAnsi="Times New Roman"/>
          <w:szCs w:val="24"/>
        </w:rPr>
        <w:t>rom the American College of Physicians</w:t>
      </w:r>
      <w:r>
        <w:rPr>
          <w:rFonts w:ascii="Times New Roman" w:hAnsi="Times New Roman"/>
          <w:szCs w:val="24"/>
        </w:rPr>
        <w:t>”</w:t>
      </w:r>
      <w:r w:rsidRPr="00A7722E">
        <w:rPr>
          <w:rFonts w:ascii="Times New Roman" w:hAnsi="Times New Roman"/>
          <w:szCs w:val="24"/>
        </w:rPr>
        <w:t xml:space="preserve"> (Qaseem et al., 2011) offers the following recommendations regarding inpatient glycemic control on page 260:</w:t>
      </w:r>
    </w:p>
    <w:p w14:paraId="65D4409E" w14:textId="77777777" w:rsidR="002F388B" w:rsidRPr="002A1F31" w:rsidRDefault="002F388B" w:rsidP="006D266B">
      <w:pPr>
        <w:pStyle w:val="ListParagraph"/>
        <w:numPr>
          <w:ilvl w:val="1"/>
          <w:numId w:val="28"/>
        </w:numPr>
        <w:autoSpaceDE w:val="0"/>
        <w:autoSpaceDN w:val="0"/>
        <w:adjustRightInd w:val="0"/>
        <w:spacing w:after="0" w:line="240" w:lineRule="auto"/>
        <w:ind w:left="720"/>
        <w:rPr>
          <w:rFonts w:ascii="Times New Roman" w:hAnsi="Times New Roman"/>
          <w:szCs w:val="24"/>
        </w:rPr>
      </w:pPr>
      <w:r w:rsidRPr="002A1F31">
        <w:rPr>
          <w:rFonts w:ascii="Times New Roman" w:hAnsi="Times New Roman"/>
          <w:szCs w:val="24"/>
        </w:rPr>
        <w:t>Recommendation 1: ACP recommends not using intensive insulin therapy to strictly control blood glucose in non–surgical intensive care unit (SICU)/medical intensive care unit (MICU) patients with or without diabetes mellitus (Grade: strong recommendation, moderate-quality evidence).</w:t>
      </w:r>
    </w:p>
    <w:p w14:paraId="65D4409F" w14:textId="77777777" w:rsidR="002F388B" w:rsidRPr="002A1F31" w:rsidRDefault="002F388B" w:rsidP="006D266B">
      <w:pPr>
        <w:pStyle w:val="ListParagraph"/>
        <w:numPr>
          <w:ilvl w:val="1"/>
          <w:numId w:val="28"/>
        </w:numPr>
        <w:autoSpaceDE w:val="0"/>
        <w:autoSpaceDN w:val="0"/>
        <w:adjustRightInd w:val="0"/>
        <w:spacing w:after="0" w:line="240" w:lineRule="auto"/>
        <w:ind w:left="720"/>
        <w:rPr>
          <w:rFonts w:ascii="Times New Roman" w:hAnsi="Times New Roman"/>
          <w:szCs w:val="24"/>
        </w:rPr>
      </w:pPr>
      <w:r w:rsidRPr="002A1F31">
        <w:rPr>
          <w:rFonts w:ascii="Times New Roman" w:hAnsi="Times New Roman"/>
          <w:szCs w:val="24"/>
        </w:rPr>
        <w:t>Recommendation 2: ACP recommends not using intensive insulin therapy to normalize blood glucose in SICU/MICU patients with or without diabetes mellitus (Grade: strong recommendation, high-quality evidence).</w:t>
      </w:r>
    </w:p>
    <w:p w14:paraId="65D440A0" w14:textId="77777777" w:rsidR="002F388B" w:rsidRPr="002A1F31" w:rsidRDefault="002F388B" w:rsidP="006D266B">
      <w:pPr>
        <w:pStyle w:val="ListParagraph"/>
        <w:numPr>
          <w:ilvl w:val="1"/>
          <w:numId w:val="28"/>
        </w:numPr>
        <w:autoSpaceDE w:val="0"/>
        <w:autoSpaceDN w:val="0"/>
        <w:adjustRightInd w:val="0"/>
        <w:spacing w:after="0" w:line="240" w:lineRule="auto"/>
        <w:ind w:left="720"/>
        <w:rPr>
          <w:rFonts w:ascii="Times New Roman" w:hAnsi="Times New Roman"/>
          <w:szCs w:val="24"/>
        </w:rPr>
      </w:pPr>
      <w:r w:rsidRPr="002A1F31">
        <w:rPr>
          <w:rFonts w:ascii="Times New Roman" w:hAnsi="Times New Roman"/>
          <w:szCs w:val="24"/>
        </w:rPr>
        <w:t>Recommendation 3: ACP recommends a target blood glucose level of 7.8 to 11.1 mmol/L (140 to 200 mg/dL) if insulin therapy is used in SICU/MICU patients (Grade: weak recommendation, moderate-quality evidence).</w:t>
      </w:r>
    </w:p>
    <w:p w14:paraId="65D440A1" w14:textId="77777777" w:rsidR="00E5029A" w:rsidRDefault="00E5029A" w:rsidP="00A835E3">
      <w:pPr>
        <w:ind w:left="0" w:firstLine="0"/>
        <w:rPr>
          <w:rFonts w:ascii="Times New Roman" w:hAnsi="Times New Roman" w:cs="Times New Roman"/>
          <w:bCs/>
        </w:rPr>
      </w:pPr>
    </w:p>
    <w:p w14:paraId="65D440A2" w14:textId="77777777" w:rsidR="00CE1A26" w:rsidRPr="009520F2" w:rsidRDefault="00CE1A26" w:rsidP="00CE1A26">
      <w:pPr>
        <w:ind w:left="0" w:firstLine="0"/>
        <w:rPr>
          <w:rFonts w:ascii="Times New Roman" w:hAnsi="Times New Roman" w:cs="Times New Roman"/>
        </w:rPr>
      </w:pPr>
      <w:r w:rsidRPr="009520F2">
        <w:rPr>
          <w:rFonts w:ascii="Times New Roman" w:hAnsi="Times New Roman" w:cs="Times New Roman"/>
        </w:rPr>
        <w:t xml:space="preserve">The measure is </w:t>
      </w:r>
      <w:r>
        <w:rPr>
          <w:rFonts w:ascii="Times New Roman" w:hAnsi="Times New Roman" w:cs="Times New Roman"/>
        </w:rPr>
        <w:t xml:space="preserve">also </w:t>
      </w:r>
      <w:r w:rsidRPr="009520F2">
        <w:rPr>
          <w:rFonts w:ascii="Times New Roman" w:hAnsi="Times New Roman" w:cs="Times New Roman"/>
        </w:rPr>
        <w:t>supported by recommendation</w:t>
      </w:r>
      <w:r>
        <w:rPr>
          <w:rFonts w:ascii="Times New Roman" w:hAnsi="Times New Roman" w:cs="Times New Roman"/>
        </w:rPr>
        <w:t>s</w:t>
      </w:r>
      <w:r w:rsidRPr="009520F2">
        <w:rPr>
          <w:rFonts w:ascii="Times New Roman" w:hAnsi="Times New Roman" w:cs="Times New Roman"/>
        </w:rPr>
        <w:t xml:space="preserve"> in </w:t>
      </w:r>
      <w:r>
        <w:rPr>
          <w:rFonts w:ascii="Times New Roman" w:hAnsi="Times New Roman" w:cs="Times New Roman"/>
        </w:rPr>
        <w:t>two other</w:t>
      </w:r>
      <w:r w:rsidRPr="009520F2">
        <w:rPr>
          <w:rFonts w:ascii="Times New Roman" w:hAnsi="Times New Roman" w:cs="Times New Roman"/>
        </w:rPr>
        <w:t xml:space="preserve"> recent guideline</w:t>
      </w:r>
      <w:r>
        <w:rPr>
          <w:rFonts w:ascii="Times New Roman" w:hAnsi="Times New Roman" w:cs="Times New Roman"/>
        </w:rPr>
        <w:t>s</w:t>
      </w:r>
      <w:r w:rsidRPr="009520F2">
        <w:rPr>
          <w:rFonts w:ascii="Times New Roman" w:hAnsi="Times New Roman" w:cs="Times New Roman"/>
        </w:rPr>
        <w:t>:</w:t>
      </w:r>
    </w:p>
    <w:p w14:paraId="65D440A3" w14:textId="77777777" w:rsidR="00CE1A26" w:rsidRDefault="00CE1A26" w:rsidP="00853E92">
      <w:pPr>
        <w:ind w:left="0" w:firstLine="0"/>
        <w:rPr>
          <w:rFonts w:ascii="Times New Roman" w:hAnsi="Times New Roman" w:cs="Times New Roman"/>
          <w:bCs/>
        </w:rPr>
      </w:pPr>
    </w:p>
    <w:p w14:paraId="65D440A4" w14:textId="77777777" w:rsidR="002F388B" w:rsidRPr="00FE4E44" w:rsidRDefault="002F388B" w:rsidP="00A835E3">
      <w:pPr>
        <w:autoSpaceDE w:val="0"/>
        <w:autoSpaceDN w:val="0"/>
        <w:adjustRightInd w:val="0"/>
        <w:ind w:left="0" w:firstLine="0"/>
        <w:rPr>
          <w:rFonts w:ascii="Times New Roman" w:hAnsi="Times New Roman"/>
          <w:szCs w:val="24"/>
        </w:rPr>
      </w:pPr>
      <w:r w:rsidRPr="00854E3E">
        <w:rPr>
          <w:rFonts w:ascii="Times New Roman" w:hAnsi="Times New Roman"/>
          <w:szCs w:val="24"/>
        </w:rPr>
        <w:t xml:space="preserve">“Management of </w:t>
      </w:r>
      <w:r w:rsidRPr="00FE4E44">
        <w:rPr>
          <w:rFonts w:ascii="Times New Roman" w:hAnsi="Times New Roman"/>
          <w:szCs w:val="24"/>
        </w:rPr>
        <w:t>Hyperglycemia in Hospitalized Patients in Non-Critical Care Setting: An Endocrine Society Clinica</w:t>
      </w:r>
      <w:r w:rsidR="00292C2E">
        <w:rPr>
          <w:rFonts w:ascii="Times New Roman" w:hAnsi="Times New Roman"/>
          <w:szCs w:val="24"/>
        </w:rPr>
        <w:t xml:space="preserve">l Practice Guideline” </w:t>
      </w:r>
      <w:r w:rsidRPr="00FE4E44">
        <w:rPr>
          <w:rFonts w:ascii="Times New Roman" w:hAnsi="Times New Roman"/>
          <w:szCs w:val="24"/>
        </w:rPr>
        <w:t>(Umpierrez et al., 2012</w:t>
      </w:r>
      <w:r w:rsidR="006D266B">
        <w:rPr>
          <w:rFonts w:ascii="Times New Roman" w:hAnsi="Times New Roman"/>
          <w:szCs w:val="24"/>
        </w:rPr>
        <w:t>, p. 17</w:t>
      </w:r>
      <w:r w:rsidRPr="00FE4E44">
        <w:rPr>
          <w:rFonts w:ascii="Times New Roman" w:hAnsi="Times New Roman"/>
          <w:szCs w:val="24"/>
        </w:rPr>
        <w:t>) includes the following recommendations:</w:t>
      </w:r>
    </w:p>
    <w:p w14:paraId="65D440A5" w14:textId="77777777" w:rsidR="002F388B" w:rsidRPr="002A1F31" w:rsidRDefault="002F388B" w:rsidP="006D266B">
      <w:pPr>
        <w:pStyle w:val="ListParagraph"/>
        <w:numPr>
          <w:ilvl w:val="0"/>
          <w:numId w:val="29"/>
        </w:numPr>
        <w:autoSpaceDE w:val="0"/>
        <w:autoSpaceDN w:val="0"/>
        <w:adjustRightInd w:val="0"/>
        <w:spacing w:after="0" w:line="240" w:lineRule="auto"/>
        <w:ind w:left="720"/>
        <w:rPr>
          <w:rFonts w:ascii="Times New Roman" w:hAnsi="Times New Roman"/>
          <w:szCs w:val="24"/>
        </w:rPr>
      </w:pPr>
      <w:r w:rsidRPr="002A1F31">
        <w:rPr>
          <w:rFonts w:ascii="Times New Roman" w:hAnsi="Times New Roman"/>
          <w:szCs w:val="24"/>
        </w:rPr>
        <w:t>3.1. We recommend a premeal glucose target of less than 140 mg/d</w:t>
      </w:r>
      <w:r w:rsidR="00A835E3">
        <w:rPr>
          <w:rFonts w:ascii="Times New Roman" w:hAnsi="Times New Roman"/>
          <w:szCs w:val="24"/>
        </w:rPr>
        <w:t>L</w:t>
      </w:r>
      <w:r w:rsidRPr="002A1F31">
        <w:rPr>
          <w:rFonts w:ascii="Times New Roman" w:hAnsi="Times New Roman"/>
          <w:szCs w:val="24"/>
        </w:rPr>
        <w:t xml:space="preserve"> (7.8 mmol/liter) and a random BG of less than 180 mg/d</w:t>
      </w:r>
      <w:r w:rsidR="00A835E3">
        <w:rPr>
          <w:rFonts w:ascii="Times New Roman" w:hAnsi="Times New Roman"/>
          <w:szCs w:val="24"/>
        </w:rPr>
        <w:t>L</w:t>
      </w:r>
      <w:r w:rsidRPr="002A1F31">
        <w:rPr>
          <w:rFonts w:ascii="Times New Roman" w:hAnsi="Times New Roman"/>
          <w:szCs w:val="24"/>
        </w:rPr>
        <w:t xml:space="preserve"> (10.0 mmol/liter) for the majority of hospitalized patients with non-critical illness. (strong recommendation/low quality evidence) </w:t>
      </w:r>
    </w:p>
    <w:p w14:paraId="65D440A6" w14:textId="77777777" w:rsidR="002F388B" w:rsidRPr="002A1F31" w:rsidRDefault="002F388B" w:rsidP="006D266B">
      <w:pPr>
        <w:pStyle w:val="ListParagraph"/>
        <w:numPr>
          <w:ilvl w:val="0"/>
          <w:numId w:val="29"/>
        </w:numPr>
        <w:autoSpaceDE w:val="0"/>
        <w:autoSpaceDN w:val="0"/>
        <w:adjustRightInd w:val="0"/>
        <w:spacing w:after="0" w:line="240" w:lineRule="auto"/>
        <w:ind w:left="720"/>
        <w:rPr>
          <w:rFonts w:ascii="Times New Roman" w:hAnsi="Times New Roman"/>
          <w:szCs w:val="24"/>
        </w:rPr>
      </w:pPr>
      <w:r w:rsidRPr="002A1F31">
        <w:rPr>
          <w:rFonts w:ascii="Times New Roman" w:hAnsi="Times New Roman"/>
          <w:szCs w:val="24"/>
        </w:rPr>
        <w:t>3.2. We suggest that glycemic targets be modified according to clinical status. For patients who are able to achieve and maintain glycemic control without hypoglycemia, a lower target range may be reasonable. For patients with terminal illness and/or with limited life expectancy or at high risk for hypoglycemia, a higher target range (BG &lt;11.1 mmol/liter or 200 mg/d</w:t>
      </w:r>
      <w:r w:rsidR="00267C55">
        <w:rPr>
          <w:rFonts w:ascii="Times New Roman" w:hAnsi="Times New Roman"/>
          <w:szCs w:val="24"/>
        </w:rPr>
        <w:t>L</w:t>
      </w:r>
      <w:r w:rsidRPr="002A1F31">
        <w:rPr>
          <w:rFonts w:ascii="Times New Roman" w:hAnsi="Times New Roman"/>
          <w:szCs w:val="24"/>
        </w:rPr>
        <w:t>) may be reasonable. (weak recommendation/very low quality evidence)</w:t>
      </w:r>
    </w:p>
    <w:p w14:paraId="65D440A7" w14:textId="77777777" w:rsidR="002F388B" w:rsidRPr="00A7722E" w:rsidRDefault="002F388B" w:rsidP="002F388B">
      <w:pPr>
        <w:autoSpaceDE w:val="0"/>
        <w:autoSpaceDN w:val="0"/>
        <w:adjustRightInd w:val="0"/>
        <w:rPr>
          <w:rFonts w:ascii="Times New Roman" w:hAnsi="Times New Roman"/>
          <w:szCs w:val="24"/>
        </w:rPr>
      </w:pPr>
    </w:p>
    <w:p w14:paraId="65D440A8" w14:textId="77777777" w:rsidR="002F388B" w:rsidRPr="00A7722E" w:rsidRDefault="002F388B" w:rsidP="00A835E3">
      <w:pPr>
        <w:autoSpaceDE w:val="0"/>
        <w:autoSpaceDN w:val="0"/>
        <w:adjustRightInd w:val="0"/>
        <w:ind w:left="0" w:firstLine="0"/>
        <w:rPr>
          <w:rFonts w:ascii="Times New Roman" w:hAnsi="Times New Roman"/>
          <w:szCs w:val="24"/>
        </w:rPr>
      </w:pPr>
      <w:r w:rsidRPr="000F1710">
        <w:rPr>
          <w:rFonts w:ascii="Times New Roman" w:hAnsi="Times New Roman"/>
          <w:szCs w:val="24"/>
        </w:rPr>
        <w:t>The “Standards of Medical Care in Diabetes—2013” (American Diabetes Association, 2013</w:t>
      </w:r>
      <w:r w:rsidR="006D266B">
        <w:rPr>
          <w:rFonts w:ascii="Times New Roman" w:hAnsi="Times New Roman"/>
          <w:szCs w:val="24"/>
        </w:rPr>
        <w:t>, pp.</w:t>
      </w:r>
      <w:r w:rsidR="006D266B" w:rsidRPr="006D266B">
        <w:rPr>
          <w:rFonts w:ascii="Times New Roman" w:hAnsi="Times New Roman"/>
          <w:szCs w:val="24"/>
        </w:rPr>
        <w:t xml:space="preserve"> </w:t>
      </w:r>
      <w:r w:rsidR="006D266B" w:rsidRPr="00A7722E">
        <w:rPr>
          <w:rFonts w:ascii="Times New Roman" w:hAnsi="Times New Roman"/>
          <w:szCs w:val="24"/>
        </w:rPr>
        <w:t>S45-S46</w:t>
      </w:r>
      <w:r w:rsidRPr="000F1710">
        <w:rPr>
          <w:rFonts w:ascii="Times New Roman" w:hAnsi="Times New Roman"/>
          <w:szCs w:val="24"/>
        </w:rPr>
        <w:t>) offers the following recommendations regarding inpatient glycemic</w:t>
      </w:r>
      <w:r w:rsidRPr="00A7722E">
        <w:rPr>
          <w:rFonts w:ascii="Times New Roman" w:hAnsi="Times New Roman"/>
          <w:szCs w:val="24"/>
        </w:rPr>
        <w:t xml:space="preserve"> control:</w:t>
      </w:r>
    </w:p>
    <w:p w14:paraId="65D440A9" w14:textId="77777777" w:rsidR="002F388B" w:rsidRPr="002A1F31" w:rsidRDefault="002F388B" w:rsidP="006D266B">
      <w:pPr>
        <w:pStyle w:val="ListParagraph"/>
        <w:numPr>
          <w:ilvl w:val="1"/>
          <w:numId w:val="30"/>
        </w:numPr>
        <w:autoSpaceDE w:val="0"/>
        <w:autoSpaceDN w:val="0"/>
        <w:adjustRightInd w:val="0"/>
        <w:spacing w:after="0" w:line="240" w:lineRule="auto"/>
        <w:ind w:left="720"/>
        <w:rPr>
          <w:rFonts w:ascii="Times New Roman" w:hAnsi="Times New Roman"/>
          <w:szCs w:val="24"/>
        </w:rPr>
      </w:pPr>
      <w:r w:rsidRPr="002A1F31">
        <w:rPr>
          <w:rFonts w:ascii="Times New Roman" w:hAnsi="Times New Roman"/>
          <w:szCs w:val="24"/>
        </w:rPr>
        <w:t>For critically ill patients: Insulin therapy should be initiated for treatment of persistent hyperglycemia starting at a threshold of no greater than 180 mg/dL (10 mmol/l). Once insulin therapy is started, a glucose range of 140–180 mg/dL (7.8–10 mmol/l) is recommended for the majority of critically ill patients. (Level of evidence=A)</w:t>
      </w:r>
    </w:p>
    <w:p w14:paraId="65D440AA" w14:textId="77777777" w:rsidR="002F388B" w:rsidRPr="002A1F31" w:rsidRDefault="002F388B" w:rsidP="006D266B">
      <w:pPr>
        <w:pStyle w:val="ListParagraph"/>
        <w:numPr>
          <w:ilvl w:val="1"/>
          <w:numId w:val="30"/>
        </w:numPr>
        <w:autoSpaceDE w:val="0"/>
        <w:autoSpaceDN w:val="0"/>
        <w:adjustRightInd w:val="0"/>
        <w:spacing w:after="0" w:line="240" w:lineRule="auto"/>
        <w:ind w:left="720"/>
        <w:rPr>
          <w:rFonts w:ascii="Times New Roman" w:hAnsi="Times New Roman"/>
          <w:szCs w:val="24"/>
        </w:rPr>
      </w:pPr>
      <w:r w:rsidRPr="002A1F31">
        <w:rPr>
          <w:rFonts w:ascii="Times New Roman" w:hAnsi="Times New Roman"/>
          <w:szCs w:val="24"/>
        </w:rPr>
        <w:t xml:space="preserve">More stringent goals, such as 110-140 mg/dL (6.1-7.8 mmol/L) may be appropriate for selected patients, as long as this can be achieved without significant hypoglycemia. (Level of evidence=C)  </w:t>
      </w:r>
    </w:p>
    <w:p w14:paraId="65D440AB" w14:textId="77777777" w:rsidR="002F388B" w:rsidRPr="002A1F31" w:rsidRDefault="002F388B" w:rsidP="006D266B">
      <w:pPr>
        <w:pStyle w:val="ListParagraph"/>
        <w:numPr>
          <w:ilvl w:val="1"/>
          <w:numId w:val="30"/>
        </w:numPr>
        <w:autoSpaceDE w:val="0"/>
        <w:autoSpaceDN w:val="0"/>
        <w:adjustRightInd w:val="0"/>
        <w:spacing w:after="0" w:line="240" w:lineRule="auto"/>
        <w:ind w:left="720"/>
        <w:rPr>
          <w:rFonts w:ascii="Times New Roman" w:hAnsi="Times New Roman"/>
          <w:szCs w:val="24"/>
        </w:rPr>
      </w:pPr>
      <w:r w:rsidRPr="002A1F31">
        <w:rPr>
          <w:rFonts w:ascii="Times New Roman" w:hAnsi="Times New Roman"/>
          <w:szCs w:val="24"/>
        </w:rPr>
        <w:t xml:space="preserve">For non-critically ill patients: There is no clear evidence for specific blood glucose goals. If treated with insulin, the premeal blood glucose targets generally &lt;140 mg/dL (7.8 mmol/L) with random blood glucose &lt;180 mg/dL (10.0 mmol/L) are reasonable, provided these targets can be </w:t>
      </w:r>
      <w:r w:rsidRPr="002A1F31">
        <w:rPr>
          <w:rFonts w:ascii="Times New Roman" w:hAnsi="Times New Roman"/>
          <w:szCs w:val="24"/>
        </w:rPr>
        <w:lastRenderedPageBreak/>
        <w:t>safely achieved. More stringent targets may be appropriate in stable patients with previous tight glycemic control. Less stringent targets may be appropriate in those with severe comorbidities. (Level of evidence=E)</w:t>
      </w:r>
    </w:p>
    <w:p w14:paraId="65D440AC" w14:textId="77777777" w:rsidR="002F388B" w:rsidRPr="00911441" w:rsidRDefault="002F388B" w:rsidP="002F388B">
      <w:pPr>
        <w:autoSpaceDE w:val="0"/>
        <w:autoSpaceDN w:val="0"/>
        <w:adjustRightInd w:val="0"/>
        <w:ind w:left="450"/>
        <w:rPr>
          <w:rFonts w:ascii="Arial" w:hAnsi="Arial" w:cs="Arial"/>
          <w:sz w:val="20"/>
          <w:szCs w:val="20"/>
        </w:rPr>
      </w:pPr>
    </w:p>
    <w:p w14:paraId="65D440AD" w14:textId="77777777" w:rsidR="008A45F3" w:rsidRDefault="00B058A6" w:rsidP="00265702">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14:paraId="65D440AE" w14:textId="77777777" w:rsidR="00C54B60" w:rsidRPr="00B45A08" w:rsidRDefault="00C54B60" w:rsidP="00C54B60">
      <w:pPr>
        <w:autoSpaceDE w:val="0"/>
        <w:autoSpaceDN w:val="0"/>
        <w:adjustRightInd w:val="0"/>
        <w:ind w:left="0" w:firstLine="0"/>
        <w:rPr>
          <w:rFonts w:ascii="Times New Roman" w:eastAsia="Times New Roman" w:hAnsi="Times New Roman"/>
        </w:rPr>
      </w:pPr>
      <w:r w:rsidRPr="00B45A08">
        <w:rPr>
          <w:rFonts w:ascii="Times New Roman" w:hAnsi="Times New Roman"/>
        </w:rPr>
        <w:t>The “Use of Intensive Insulin Therapy for the Management</w:t>
      </w:r>
      <w:r w:rsidRPr="00B45A08">
        <w:rPr>
          <w:rFonts w:ascii="Times New Roman" w:hAnsi="Times New Roman"/>
          <w:bCs/>
        </w:rPr>
        <w:t xml:space="preserve"> of Glycemic Control in Hospitalized Patients: A Clinical Practice Guideline from the American College of Physicians”</w:t>
      </w:r>
      <w:r w:rsidRPr="00B45A08">
        <w:rPr>
          <w:rFonts w:ascii="Times New Roman" w:eastAsia="Times New Roman" w:hAnsi="Times New Roman"/>
        </w:rPr>
        <w:t xml:space="preserve"> (Qaseem et al., 2011) identifies the strength of</w:t>
      </w:r>
      <w:r w:rsidR="00321F9D">
        <w:rPr>
          <w:rFonts w:ascii="Times New Roman" w:eastAsia="Times New Roman" w:hAnsi="Times New Roman"/>
        </w:rPr>
        <w:t xml:space="preserve"> each</w:t>
      </w:r>
      <w:r w:rsidRPr="00B45A08">
        <w:rPr>
          <w:rFonts w:ascii="Times New Roman" w:eastAsia="Times New Roman" w:hAnsi="Times New Roman"/>
        </w:rPr>
        <w:t xml:space="preserve"> recommendation, using the following categories: </w:t>
      </w:r>
    </w:p>
    <w:p w14:paraId="65D440AF" w14:textId="77777777" w:rsidR="00C54B60" w:rsidRPr="00B45A08" w:rsidRDefault="00C54B60" w:rsidP="00C54B60">
      <w:pPr>
        <w:autoSpaceDE w:val="0"/>
        <w:autoSpaceDN w:val="0"/>
        <w:adjustRightInd w:val="0"/>
        <w:ind w:left="0" w:firstLine="0"/>
        <w:rPr>
          <w:rFonts w:ascii="Times New Roman" w:eastAsia="Times New Roman" w:hAnsi="Times New Roman"/>
        </w:rPr>
      </w:pPr>
    </w:p>
    <w:p w14:paraId="65D440B0" w14:textId="77777777" w:rsidR="00C54B60" w:rsidRPr="00B45A08" w:rsidRDefault="00C54B60" w:rsidP="006D266B">
      <w:pPr>
        <w:autoSpaceDE w:val="0"/>
        <w:autoSpaceDN w:val="0"/>
        <w:adjustRightInd w:val="0"/>
        <w:ind w:left="180" w:firstLine="0"/>
        <w:rPr>
          <w:rFonts w:ascii="Times New Roman" w:eastAsia="Times New Roman" w:hAnsi="Times New Roman" w:cs="Times New Roman"/>
        </w:rPr>
      </w:pPr>
      <w:r w:rsidRPr="00B45A08">
        <w:rPr>
          <w:rFonts w:ascii="Times New Roman" w:eastAsia="Times New Roman" w:hAnsi="Times New Roman" w:cs="Times New Roman"/>
        </w:rPr>
        <w:t>Strong</w:t>
      </w:r>
      <w:r w:rsidR="00A835E3">
        <w:rPr>
          <w:rFonts w:ascii="Times New Roman" w:eastAsia="Times New Roman" w:hAnsi="Times New Roman" w:cs="Times New Roman"/>
        </w:rPr>
        <w:t xml:space="preserve"> </w:t>
      </w:r>
      <w:r w:rsidRPr="00B45A08">
        <w:rPr>
          <w:rFonts w:ascii="Times New Roman" w:eastAsia="Times New Roman" w:hAnsi="Times New Roman" w:cs="Times New Roman"/>
        </w:rPr>
        <w:t>=</w:t>
      </w:r>
      <w:r w:rsidR="00A835E3">
        <w:rPr>
          <w:rFonts w:ascii="Times New Roman" w:eastAsia="Times New Roman" w:hAnsi="Times New Roman" w:cs="Times New Roman"/>
        </w:rPr>
        <w:t xml:space="preserve"> </w:t>
      </w:r>
      <w:r w:rsidRPr="00B45A08">
        <w:rPr>
          <w:rFonts w:ascii="Times New Roman" w:hAnsi="Times New Roman" w:cs="Times New Roman"/>
          <w:bCs/>
        </w:rPr>
        <w:t xml:space="preserve">Benefits Clearly Outweigh Risks and Burden </w:t>
      </w:r>
      <w:r w:rsidRPr="00B45A08">
        <w:rPr>
          <w:rFonts w:ascii="Times New Roman" w:hAnsi="Times New Roman" w:cs="Times New Roman"/>
          <w:bCs/>
          <w:i/>
        </w:rPr>
        <w:t xml:space="preserve">Or </w:t>
      </w:r>
      <w:r w:rsidRPr="006D266B">
        <w:rPr>
          <w:rFonts w:ascii="Times New Roman" w:hAnsi="Times New Roman" w:cs="Times New Roman"/>
          <w:bCs/>
        </w:rPr>
        <w:t xml:space="preserve">Risks and Burden Clearly </w:t>
      </w:r>
      <w:r w:rsidRPr="00711B68">
        <w:rPr>
          <w:rFonts w:ascii="Times New Roman" w:hAnsi="Times New Roman" w:cs="Times New Roman"/>
          <w:bCs/>
        </w:rPr>
        <w:t>Outweigh</w:t>
      </w:r>
      <w:r w:rsidR="006D266B" w:rsidRPr="00711B68">
        <w:rPr>
          <w:rFonts w:ascii="Times New Roman" w:hAnsi="Times New Roman" w:cs="Times New Roman"/>
          <w:bCs/>
        </w:rPr>
        <w:t xml:space="preserve"> Benefits</w:t>
      </w:r>
    </w:p>
    <w:p w14:paraId="65D440B1" w14:textId="77777777" w:rsidR="00C54B60" w:rsidRPr="00B45A08" w:rsidRDefault="00C54B60" w:rsidP="006D266B">
      <w:pPr>
        <w:autoSpaceDE w:val="0"/>
        <w:autoSpaceDN w:val="0"/>
        <w:adjustRightInd w:val="0"/>
        <w:ind w:left="180" w:firstLine="0"/>
        <w:rPr>
          <w:rFonts w:ascii="Times New Roman" w:hAnsi="Times New Roman" w:cs="Times New Roman"/>
          <w:u w:val="single"/>
        </w:rPr>
      </w:pPr>
      <w:r w:rsidRPr="00B45A08">
        <w:rPr>
          <w:rFonts w:ascii="Times New Roman" w:eastAsia="Times New Roman" w:hAnsi="Times New Roman" w:cs="Times New Roman"/>
        </w:rPr>
        <w:t>Weak</w:t>
      </w:r>
      <w:r w:rsidR="00A835E3">
        <w:rPr>
          <w:rFonts w:ascii="Times New Roman" w:eastAsia="Times New Roman" w:hAnsi="Times New Roman" w:cs="Times New Roman"/>
        </w:rPr>
        <w:t xml:space="preserve"> </w:t>
      </w:r>
      <w:r w:rsidRPr="00B45A08">
        <w:rPr>
          <w:rFonts w:ascii="Times New Roman" w:eastAsia="Times New Roman" w:hAnsi="Times New Roman" w:cs="Times New Roman"/>
        </w:rPr>
        <w:t xml:space="preserve">= </w:t>
      </w:r>
      <w:r w:rsidRPr="00B45A08">
        <w:rPr>
          <w:rFonts w:ascii="Times New Roman" w:hAnsi="Times New Roman" w:cs="Times New Roman"/>
          <w:bCs/>
        </w:rPr>
        <w:t xml:space="preserve">Benefits Finely Balanced </w:t>
      </w:r>
      <w:r w:rsidR="006D266B">
        <w:rPr>
          <w:rFonts w:ascii="Times New Roman" w:hAnsi="Times New Roman" w:cs="Times New Roman"/>
          <w:bCs/>
        </w:rPr>
        <w:t>w</w:t>
      </w:r>
      <w:r w:rsidRPr="00B45A08">
        <w:rPr>
          <w:rFonts w:ascii="Times New Roman" w:hAnsi="Times New Roman" w:cs="Times New Roman"/>
          <w:bCs/>
        </w:rPr>
        <w:t>ith Risks and Burden</w:t>
      </w:r>
    </w:p>
    <w:p w14:paraId="65D440B2" w14:textId="77777777" w:rsidR="008A45F3" w:rsidRPr="00B45A08" w:rsidRDefault="008A45F3" w:rsidP="00265702">
      <w:pPr>
        <w:ind w:left="0" w:firstLine="0"/>
        <w:rPr>
          <w:rFonts w:ascii="Times New Roman" w:hAnsi="Times New Roman" w:cs="Times New Roman"/>
          <w:u w:val="single"/>
        </w:rPr>
      </w:pPr>
    </w:p>
    <w:p w14:paraId="65D440B3" w14:textId="77777777" w:rsidR="00C54B60" w:rsidRPr="00B45A08" w:rsidRDefault="00C54B60" w:rsidP="00C54B60">
      <w:pPr>
        <w:pStyle w:val="NoSpacing"/>
        <w:rPr>
          <w:rFonts w:ascii="Times New Roman" w:hAnsi="Times New Roman"/>
        </w:rPr>
      </w:pPr>
      <w:r w:rsidRPr="00B45A08">
        <w:rPr>
          <w:rFonts w:ascii="Times New Roman" w:eastAsia="Times New Roman" w:hAnsi="Times New Roman"/>
        </w:rPr>
        <w:t>For each recommendation in</w:t>
      </w:r>
      <w:r w:rsidRPr="00B45A08">
        <w:rPr>
          <w:rFonts w:ascii="Times New Roman" w:hAnsi="Times New Roman"/>
        </w:rPr>
        <w:t xml:space="preserve"> “Management of Hyperglycemia in Hospitalized Patients in Non-Critical Care Setting: An Endocrine Society Clinical Practice Guideline” (Umpierrez et al., 2012), </w:t>
      </w:r>
      <w:r w:rsidRPr="00B45A08">
        <w:rPr>
          <w:rFonts w:ascii="Times New Roman" w:eastAsia="Times New Roman" w:hAnsi="Times New Roman"/>
        </w:rPr>
        <w:t xml:space="preserve">the </w:t>
      </w:r>
      <w:r w:rsidRPr="00B45A08">
        <w:rPr>
          <w:rFonts w:ascii="Times New Roman" w:eastAsia="SimSun" w:hAnsi="Times New Roman"/>
        </w:rPr>
        <w:t>strength of the recommendation is identified as follows</w:t>
      </w:r>
      <w:r w:rsidRPr="00B45A08">
        <w:rPr>
          <w:rFonts w:ascii="Times New Roman" w:eastAsia="Times New Roman" w:hAnsi="Times New Roman"/>
        </w:rPr>
        <w:t>:</w:t>
      </w:r>
    </w:p>
    <w:p w14:paraId="65D440B4" w14:textId="77777777" w:rsidR="00C54B60" w:rsidRPr="00B45A08" w:rsidRDefault="00C54B60" w:rsidP="00265702">
      <w:pPr>
        <w:ind w:left="0" w:firstLine="0"/>
        <w:rPr>
          <w:rFonts w:ascii="Times New Roman" w:hAnsi="Times New Roman" w:cs="Times New Roman"/>
          <w:u w:val="single"/>
        </w:rPr>
      </w:pPr>
    </w:p>
    <w:p w14:paraId="65D440B5" w14:textId="77777777" w:rsidR="00C54B60" w:rsidRPr="00B45A08" w:rsidRDefault="00C54B60" w:rsidP="006D266B">
      <w:pPr>
        <w:ind w:left="990" w:hanging="810"/>
        <w:rPr>
          <w:rFonts w:ascii="Times New Roman" w:eastAsia="SimSun" w:hAnsi="Times New Roman"/>
        </w:rPr>
      </w:pPr>
      <w:r w:rsidRPr="00B45A08">
        <w:rPr>
          <w:rFonts w:ascii="Times New Roman" w:eastAsia="Times New Roman" w:hAnsi="Times New Roman" w:cs="Times New Roman"/>
        </w:rPr>
        <w:t>Strong</w:t>
      </w:r>
      <w:r w:rsidR="00A835E3">
        <w:rPr>
          <w:rFonts w:ascii="Times New Roman" w:eastAsia="Times New Roman" w:hAnsi="Times New Roman" w:cs="Times New Roman"/>
        </w:rPr>
        <w:t xml:space="preserve"> </w:t>
      </w:r>
      <w:r w:rsidRPr="00B45A08">
        <w:rPr>
          <w:rFonts w:ascii="Times New Roman" w:eastAsia="Times New Roman" w:hAnsi="Times New Roman" w:cs="Times New Roman"/>
        </w:rPr>
        <w:t>=</w:t>
      </w:r>
      <w:r w:rsidR="00A835E3">
        <w:rPr>
          <w:rFonts w:ascii="Times New Roman" w:eastAsia="Times New Roman" w:hAnsi="Times New Roman" w:cs="Times New Roman"/>
        </w:rPr>
        <w:t xml:space="preserve"> </w:t>
      </w:r>
      <w:r w:rsidRPr="00B45A08">
        <w:rPr>
          <w:rFonts w:ascii="Times New Roman" w:eastAsia="SimSun" w:hAnsi="Times New Roman"/>
        </w:rPr>
        <w:t xml:space="preserve">The Task Force has confidence that persons who receive care according to the strong recommendations will derive, on average, more good than harm. </w:t>
      </w:r>
    </w:p>
    <w:p w14:paraId="65D440B6" w14:textId="77777777" w:rsidR="00C54B60" w:rsidRPr="00B45A08" w:rsidRDefault="00C54B60" w:rsidP="006D266B">
      <w:pPr>
        <w:ind w:left="990" w:hanging="810"/>
        <w:rPr>
          <w:rFonts w:ascii="Times New Roman" w:eastAsia="SimSun" w:hAnsi="Times New Roman"/>
        </w:rPr>
      </w:pPr>
      <w:r w:rsidRPr="00B45A08">
        <w:rPr>
          <w:rFonts w:ascii="Times New Roman" w:eastAsia="SimSun" w:hAnsi="Times New Roman"/>
        </w:rPr>
        <w:t>Weak</w:t>
      </w:r>
      <w:r w:rsidR="00A835E3">
        <w:rPr>
          <w:rFonts w:ascii="Times New Roman" w:eastAsia="SimSun" w:hAnsi="Times New Roman"/>
        </w:rPr>
        <w:t xml:space="preserve"> </w:t>
      </w:r>
      <w:r w:rsidRPr="00B45A08">
        <w:rPr>
          <w:rFonts w:ascii="Times New Roman" w:eastAsia="SimSun" w:hAnsi="Times New Roman"/>
        </w:rPr>
        <w:t>=</w:t>
      </w:r>
      <w:r w:rsidR="00A835E3">
        <w:rPr>
          <w:rFonts w:ascii="Times New Roman" w:eastAsia="SimSun" w:hAnsi="Times New Roman"/>
        </w:rPr>
        <w:t xml:space="preserve"> </w:t>
      </w:r>
      <w:r w:rsidRPr="00B45A08">
        <w:rPr>
          <w:rFonts w:ascii="Times New Roman" w:eastAsia="SimSun" w:hAnsi="Times New Roman"/>
        </w:rPr>
        <w:t>Requires more careful consideration of the person’s circumstances, values, and preferences to determine the best course of action.</w:t>
      </w:r>
    </w:p>
    <w:p w14:paraId="65D440B7" w14:textId="77777777" w:rsidR="00165C84" w:rsidRDefault="00165C84" w:rsidP="00692020">
      <w:pPr>
        <w:pStyle w:val="NoSpacing"/>
        <w:rPr>
          <w:rFonts w:ascii="Times New Roman" w:hAnsi="Times New Roman"/>
        </w:rPr>
      </w:pPr>
    </w:p>
    <w:p w14:paraId="65D440B8" w14:textId="77777777" w:rsidR="00692020" w:rsidRPr="00B45A08" w:rsidRDefault="00692020" w:rsidP="00692020">
      <w:pPr>
        <w:pStyle w:val="NoSpacing"/>
        <w:rPr>
          <w:rFonts w:ascii="Times New Roman" w:eastAsia="Times New Roman" w:hAnsi="Times New Roman"/>
        </w:rPr>
      </w:pPr>
      <w:r w:rsidRPr="00B45A08">
        <w:rPr>
          <w:rFonts w:ascii="Times New Roman" w:hAnsi="Times New Roman"/>
        </w:rPr>
        <w:t>The “Standards of Medical Care in Diabetes—2013”</w:t>
      </w:r>
      <w:r w:rsidRPr="00B45A08">
        <w:rPr>
          <w:rFonts w:ascii="Times New Roman" w:eastAsia="Times New Roman" w:hAnsi="Times New Roman"/>
        </w:rPr>
        <w:t xml:space="preserve"> (American Diabetes Association, 2013) </w:t>
      </w:r>
      <w:r w:rsidR="00A941E3" w:rsidRPr="00B45A08">
        <w:rPr>
          <w:rFonts w:ascii="Times New Roman" w:eastAsia="Times New Roman" w:hAnsi="Times New Roman"/>
        </w:rPr>
        <w:t xml:space="preserve">only </w:t>
      </w:r>
      <w:r w:rsidRPr="00B45A08">
        <w:rPr>
          <w:rFonts w:ascii="Times New Roman" w:eastAsia="Times New Roman" w:hAnsi="Times New Roman"/>
        </w:rPr>
        <w:t>identifies the level of e</w:t>
      </w:r>
      <w:r w:rsidR="006D266B">
        <w:rPr>
          <w:rFonts w:ascii="Times New Roman" w:eastAsia="Times New Roman" w:hAnsi="Times New Roman"/>
        </w:rPr>
        <w:t>vidence for each recommendation</w:t>
      </w:r>
      <w:r w:rsidRPr="00B45A08">
        <w:rPr>
          <w:rFonts w:ascii="Times New Roman" w:eastAsia="Times New Roman" w:hAnsi="Times New Roman"/>
        </w:rPr>
        <w:t xml:space="preserve"> </w:t>
      </w:r>
      <w:r w:rsidR="00A941E3" w:rsidRPr="00B45A08">
        <w:rPr>
          <w:rFonts w:ascii="Times New Roman" w:eastAsia="Times New Roman" w:hAnsi="Times New Roman"/>
        </w:rPr>
        <w:t xml:space="preserve">and does not grade the recommendation </w:t>
      </w:r>
      <w:r w:rsidR="00321F9D">
        <w:rPr>
          <w:rFonts w:ascii="Times New Roman" w:eastAsia="Times New Roman" w:hAnsi="Times New Roman"/>
        </w:rPr>
        <w:t xml:space="preserve">in Section 1a.4.2. </w:t>
      </w:r>
      <w:r w:rsidR="00A941E3" w:rsidRPr="00B45A08">
        <w:rPr>
          <w:rFonts w:ascii="Times New Roman" w:eastAsia="Times New Roman" w:hAnsi="Times New Roman"/>
        </w:rPr>
        <w:t>as strong or weak.</w:t>
      </w:r>
      <w:r w:rsidR="00165C84" w:rsidRPr="00165C84">
        <w:rPr>
          <w:rFonts w:ascii="Times New Roman" w:eastAsia="Times New Roman" w:hAnsi="Times New Roman"/>
        </w:rPr>
        <w:t xml:space="preserve"> </w:t>
      </w:r>
      <w:r w:rsidR="008E0D6B">
        <w:rPr>
          <w:rFonts w:ascii="Times New Roman" w:eastAsia="Times New Roman" w:hAnsi="Times New Roman"/>
        </w:rPr>
        <w:t>T</w:t>
      </w:r>
      <w:r w:rsidR="00165C84">
        <w:rPr>
          <w:rFonts w:ascii="Times New Roman" w:eastAsia="Times New Roman" w:hAnsi="Times New Roman"/>
        </w:rPr>
        <w:t>he level</w:t>
      </w:r>
      <w:r w:rsidR="008E0D6B">
        <w:rPr>
          <w:rFonts w:ascii="Times New Roman" w:eastAsia="Times New Roman" w:hAnsi="Times New Roman"/>
        </w:rPr>
        <w:t>s</w:t>
      </w:r>
      <w:r w:rsidR="00165C84">
        <w:rPr>
          <w:rFonts w:ascii="Times New Roman" w:eastAsia="Times New Roman" w:hAnsi="Times New Roman"/>
        </w:rPr>
        <w:t xml:space="preserve"> of evidence supporting </w:t>
      </w:r>
      <w:r w:rsidR="00F0435F">
        <w:rPr>
          <w:rFonts w:ascii="Times New Roman" w:eastAsia="Times New Roman" w:hAnsi="Times New Roman"/>
        </w:rPr>
        <w:t xml:space="preserve">the </w:t>
      </w:r>
      <w:r w:rsidR="00AA6048">
        <w:rPr>
          <w:rFonts w:ascii="Times New Roman" w:eastAsia="Times New Roman" w:hAnsi="Times New Roman"/>
        </w:rPr>
        <w:t>three</w:t>
      </w:r>
      <w:r w:rsidR="00165C84">
        <w:rPr>
          <w:rFonts w:ascii="Times New Roman" w:eastAsia="Times New Roman" w:hAnsi="Times New Roman"/>
        </w:rPr>
        <w:t xml:space="preserve"> recommendation</w:t>
      </w:r>
      <w:r w:rsidR="008E0D6B">
        <w:rPr>
          <w:rFonts w:ascii="Times New Roman" w:eastAsia="Times New Roman" w:hAnsi="Times New Roman"/>
        </w:rPr>
        <w:t>s</w:t>
      </w:r>
      <w:r w:rsidR="00165C84">
        <w:rPr>
          <w:rFonts w:ascii="Times New Roman" w:eastAsia="Times New Roman" w:hAnsi="Times New Roman"/>
        </w:rPr>
        <w:t xml:space="preserve"> </w:t>
      </w:r>
      <w:r w:rsidR="00F0435F">
        <w:rPr>
          <w:rFonts w:ascii="Times New Roman" w:eastAsia="Times New Roman" w:hAnsi="Times New Roman"/>
        </w:rPr>
        <w:t xml:space="preserve">are </w:t>
      </w:r>
      <w:r w:rsidR="00165C84">
        <w:rPr>
          <w:rFonts w:ascii="Times New Roman" w:eastAsia="Times New Roman" w:hAnsi="Times New Roman"/>
        </w:rPr>
        <w:t>A</w:t>
      </w:r>
      <w:r w:rsidR="00F0435F">
        <w:rPr>
          <w:rFonts w:ascii="Times New Roman" w:eastAsia="Times New Roman" w:hAnsi="Times New Roman"/>
        </w:rPr>
        <w:t xml:space="preserve">, C, and E. A level of evidence of A is defined as </w:t>
      </w:r>
      <w:r w:rsidR="00165C84">
        <w:rPr>
          <w:rFonts w:ascii="Times New Roman" w:eastAsia="Times New Roman" w:hAnsi="Times New Roman"/>
        </w:rPr>
        <w:t xml:space="preserve">clear or supportive evidence from </w:t>
      </w:r>
      <w:r w:rsidR="00165C84" w:rsidRPr="00A7722E">
        <w:rPr>
          <w:rFonts w:ascii="Times New Roman" w:hAnsi="Times New Roman"/>
          <w:szCs w:val="24"/>
        </w:rPr>
        <w:t>well-conducted, generalizable, randomized controlled trials</w:t>
      </w:r>
      <w:r w:rsidR="00165C84">
        <w:rPr>
          <w:rFonts w:ascii="Times New Roman" w:hAnsi="Times New Roman"/>
          <w:szCs w:val="24"/>
        </w:rPr>
        <w:t>; or c</w:t>
      </w:r>
      <w:r w:rsidR="00165C84" w:rsidRPr="00A7722E">
        <w:rPr>
          <w:rFonts w:ascii="Times New Roman" w:hAnsi="Times New Roman"/>
          <w:szCs w:val="24"/>
        </w:rPr>
        <w:t>ompelling nonexperimental evidence</w:t>
      </w:r>
      <w:r w:rsidR="00F0435F">
        <w:rPr>
          <w:rFonts w:ascii="Times New Roman" w:hAnsi="Times New Roman"/>
          <w:szCs w:val="24"/>
        </w:rPr>
        <w:t>.</w:t>
      </w:r>
      <w:r w:rsidR="00165C84">
        <w:rPr>
          <w:rFonts w:ascii="Times New Roman" w:hAnsi="Times New Roman"/>
          <w:szCs w:val="24"/>
        </w:rPr>
        <w:t xml:space="preserve"> </w:t>
      </w:r>
      <w:r w:rsidR="00F0435F">
        <w:rPr>
          <w:rFonts w:ascii="Times New Roman" w:eastAsia="Times New Roman" w:hAnsi="Times New Roman"/>
        </w:rPr>
        <w:t>A level of evidence of C is defined as</w:t>
      </w:r>
      <w:r w:rsidR="00165C84">
        <w:rPr>
          <w:rFonts w:ascii="Times New Roman" w:hAnsi="Times New Roman"/>
          <w:szCs w:val="24"/>
        </w:rPr>
        <w:t xml:space="preserve"> s</w:t>
      </w:r>
      <w:r w:rsidR="00165C84" w:rsidRPr="00A7722E">
        <w:rPr>
          <w:rFonts w:ascii="Times New Roman" w:hAnsi="Times New Roman"/>
          <w:szCs w:val="24"/>
        </w:rPr>
        <w:t>upportive evidence from poorly controlled or uncontrolled studies</w:t>
      </w:r>
      <w:r w:rsidR="00165C84">
        <w:rPr>
          <w:rFonts w:ascii="Times New Roman" w:hAnsi="Times New Roman"/>
          <w:szCs w:val="24"/>
        </w:rPr>
        <w:t>; or c</w:t>
      </w:r>
      <w:r w:rsidR="00165C84" w:rsidRPr="00A7722E">
        <w:rPr>
          <w:rFonts w:ascii="Times New Roman" w:hAnsi="Times New Roman"/>
          <w:szCs w:val="24"/>
        </w:rPr>
        <w:t>onflicting evidence with the weight of evidence supporting the recommendation</w:t>
      </w:r>
      <w:r w:rsidR="00165C84">
        <w:rPr>
          <w:rFonts w:ascii="Times New Roman" w:hAnsi="Times New Roman"/>
          <w:szCs w:val="24"/>
        </w:rPr>
        <w:t>.</w:t>
      </w:r>
      <w:r w:rsidR="00F0435F">
        <w:rPr>
          <w:rFonts w:ascii="Times New Roman" w:hAnsi="Times New Roman"/>
          <w:szCs w:val="24"/>
        </w:rPr>
        <w:t xml:space="preserve"> </w:t>
      </w:r>
      <w:r w:rsidR="00F0435F">
        <w:rPr>
          <w:rFonts w:ascii="Times New Roman" w:eastAsia="Times New Roman" w:hAnsi="Times New Roman"/>
        </w:rPr>
        <w:t>A level of evidence of E is defined as</w:t>
      </w:r>
      <w:r w:rsidR="0070393B" w:rsidRPr="0070393B">
        <w:rPr>
          <w:rFonts w:ascii="Times New Roman" w:hAnsi="Times New Roman"/>
          <w:szCs w:val="24"/>
        </w:rPr>
        <w:t xml:space="preserve"> </w:t>
      </w:r>
      <w:r w:rsidR="0070393B">
        <w:rPr>
          <w:rFonts w:ascii="Times New Roman" w:hAnsi="Times New Roman"/>
          <w:szCs w:val="24"/>
        </w:rPr>
        <w:t>e</w:t>
      </w:r>
      <w:r w:rsidR="0070393B" w:rsidRPr="00A7722E">
        <w:rPr>
          <w:rFonts w:ascii="Times New Roman" w:hAnsi="Times New Roman"/>
          <w:szCs w:val="24"/>
        </w:rPr>
        <w:t>xpert c</w:t>
      </w:r>
      <w:r w:rsidR="0070393B">
        <w:rPr>
          <w:rFonts w:ascii="Times New Roman" w:hAnsi="Times New Roman"/>
          <w:szCs w:val="24"/>
        </w:rPr>
        <w:t>onsensus or clinical experience.</w:t>
      </w:r>
    </w:p>
    <w:p w14:paraId="65D440B9" w14:textId="77777777" w:rsidR="00692020" w:rsidRPr="00C54B60" w:rsidRDefault="00692020" w:rsidP="00C54B60">
      <w:pPr>
        <w:ind w:left="1080" w:hanging="720"/>
      </w:pPr>
    </w:p>
    <w:p w14:paraId="65D440BA" w14:textId="77777777" w:rsidR="00265702" w:rsidRPr="007573F0" w:rsidRDefault="00965FF6" w:rsidP="00265702">
      <w:pPr>
        <w:ind w:left="0" w:firstLine="0"/>
      </w:pPr>
      <w:r w:rsidRPr="00030F43">
        <w:rPr>
          <w:b/>
          <w:color w:val="0000FF"/>
        </w:rPr>
        <w:t>1a.4.4.</w:t>
      </w:r>
      <w:r w:rsidRPr="00265702">
        <w:rPr>
          <w:b/>
          <w:color w:val="17365D" w:themeColor="text2" w:themeShade="BF"/>
        </w:rPr>
        <w:t xml:space="preserve"> </w:t>
      </w:r>
      <w:r w:rsidR="00C54E40">
        <w:rPr>
          <w:b/>
        </w:rPr>
        <w:t>Provide all other grades and associated definitions for recommendation</w:t>
      </w:r>
      <w:r w:rsidR="00205857">
        <w:rPr>
          <w:b/>
        </w:rPr>
        <w:t>s</w:t>
      </w:r>
      <w:r w:rsidR="00C54E40">
        <w:rPr>
          <w:b/>
        </w:rPr>
        <w:t xml:space="preserve"> in the grading system.</w:t>
      </w:r>
      <w:r w:rsidR="00FC32D3">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14:paraId="65D440BB" w14:textId="77777777" w:rsidR="00A03FA1" w:rsidRPr="00A835E3" w:rsidRDefault="00A03FA1" w:rsidP="00A03FA1">
      <w:pPr>
        <w:autoSpaceDE w:val="0"/>
        <w:autoSpaceDN w:val="0"/>
        <w:adjustRightInd w:val="0"/>
        <w:ind w:left="0" w:firstLine="0"/>
        <w:rPr>
          <w:rFonts w:ascii="Times New Roman" w:eastAsia="Times New Roman" w:hAnsi="Times New Roman" w:cs="Times New Roman"/>
        </w:rPr>
      </w:pPr>
      <w:r w:rsidRPr="00A835E3">
        <w:rPr>
          <w:rFonts w:ascii="Times New Roman" w:hAnsi="Times New Roman" w:cs="Times New Roman"/>
        </w:rPr>
        <w:t>The “Use of Intensive Insulin Therapy for the Management</w:t>
      </w:r>
      <w:r w:rsidRPr="00A835E3">
        <w:rPr>
          <w:rFonts w:ascii="Times New Roman" w:hAnsi="Times New Roman" w:cs="Times New Roman"/>
          <w:bCs/>
        </w:rPr>
        <w:t xml:space="preserve"> of Glycemic Control in Hospitalized Patients: A Clinical Practice Guideline from the American College of Physicians”</w:t>
      </w:r>
      <w:r w:rsidRPr="00A835E3">
        <w:rPr>
          <w:rFonts w:ascii="Times New Roman" w:eastAsia="Times New Roman" w:hAnsi="Times New Roman" w:cs="Times New Roman"/>
        </w:rPr>
        <w:t xml:space="preserve"> (Qaseem et al., 2011) identifies the quality of evidence and the strength of each recommendation, using the categories outlined in Table 1</w:t>
      </w:r>
      <w:r w:rsidR="00A835E3">
        <w:rPr>
          <w:rFonts w:ascii="Times New Roman" w:eastAsia="Times New Roman" w:hAnsi="Times New Roman" w:cs="Times New Roman"/>
        </w:rPr>
        <w:t>.</w:t>
      </w:r>
      <w:r w:rsidRPr="00A835E3">
        <w:rPr>
          <w:rFonts w:ascii="Times New Roman" w:eastAsia="Times New Roman" w:hAnsi="Times New Roman" w:cs="Times New Roman"/>
        </w:rPr>
        <w:t xml:space="preserve"> </w:t>
      </w:r>
    </w:p>
    <w:p w14:paraId="65D440BC" w14:textId="77777777" w:rsidR="00A03FA1" w:rsidRPr="00A835E3" w:rsidRDefault="00A03FA1" w:rsidP="00A03FA1">
      <w:pPr>
        <w:autoSpaceDE w:val="0"/>
        <w:autoSpaceDN w:val="0"/>
        <w:adjustRightInd w:val="0"/>
        <w:ind w:left="0" w:firstLine="0"/>
        <w:rPr>
          <w:rFonts w:ascii="Times New Roman" w:hAnsi="Times New Roman" w:cs="Times New Roman"/>
          <w:b/>
          <w:bCs/>
          <w:iCs/>
        </w:rPr>
      </w:pPr>
    </w:p>
    <w:p w14:paraId="65D440BD" w14:textId="77777777" w:rsidR="00A03FA1" w:rsidRPr="00A835E3" w:rsidRDefault="00A03FA1" w:rsidP="00A835E3">
      <w:pPr>
        <w:autoSpaceDE w:val="0"/>
        <w:autoSpaceDN w:val="0"/>
        <w:adjustRightInd w:val="0"/>
        <w:ind w:left="0" w:firstLine="0"/>
        <w:rPr>
          <w:rFonts w:cs="Times New Roman"/>
          <w:b/>
        </w:rPr>
      </w:pPr>
      <w:r w:rsidRPr="00A835E3">
        <w:rPr>
          <w:rFonts w:cs="Times New Roman"/>
          <w:b/>
          <w:bCs/>
          <w:iCs/>
        </w:rPr>
        <w:t xml:space="preserve">Table 1. </w:t>
      </w:r>
      <w:r w:rsidRPr="00A835E3">
        <w:rPr>
          <w:rFonts w:cs="Times New Roman"/>
          <w:b/>
          <w:bCs/>
        </w:rPr>
        <w:t>The American College of Physicians Guideline Grading System*</w:t>
      </w:r>
    </w:p>
    <w:tbl>
      <w:tblPr>
        <w:tblStyle w:val="TableGrid"/>
        <w:tblW w:w="0" w:type="auto"/>
        <w:tblLook w:val="04A0" w:firstRow="1" w:lastRow="0" w:firstColumn="1" w:lastColumn="0" w:noHBand="0" w:noVBand="1"/>
      </w:tblPr>
      <w:tblGrid>
        <w:gridCol w:w="1260"/>
        <w:gridCol w:w="4590"/>
        <w:gridCol w:w="3521"/>
      </w:tblGrid>
      <w:tr w:rsidR="00A03FA1" w:rsidRPr="00A835E3" w14:paraId="65D440C2" w14:textId="77777777" w:rsidTr="00447FD3">
        <w:trPr>
          <w:trHeight w:val="360"/>
        </w:trPr>
        <w:tc>
          <w:tcPr>
            <w:tcW w:w="1260" w:type="dxa"/>
            <w:vMerge w:val="restart"/>
            <w:shd w:val="clear" w:color="auto" w:fill="auto"/>
            <w:vAlign w:val="bottom"/>
          </w:tcPr>
          <w:p w14:paraId="65D440BE" w14:textId="77777777" w:rsidR="00A03FA1" w:rsidRPr="00A835E3" w:rsidRDefault="00A03FA1" w:rsidP="009E1B30">
            <w:pPr>
              <w:autoSpaceDE w:val="0"/>
              <w:autoSpaceDN w:val="0"/>
              <w:adjustRightInd w:val="0"/>
              <w:ind w:left="0" w:firstLine="0"/>
              <w:jc w:val="center"/>
              <w:rPr>
                <w:rFonts w:cs="Times New Roman"/>
                <w:bCs/>
              </w:rPr>
            </w:pPr>
          </w:p>
          <w:p w14:paraId="65D440BF" w14:textId="77777777" w:rsidR="00A03FA1" w:rsidRPr="00A835E3" w:rsidRDefault="00A03FA1" w:rsidP="009E1B30">
            <w:pPr>
              <w:autoSpaceDE w:val="0"/>
              <w:autoSpaceDN w:val="0"/>
              <w:adjustRightInd w:val="0"/>
              <w:ind w:left="0" w:firstLine="0"/>
              <w:jc w:val="center"/>
              <w:rPr>
                <w:rFonts w:cs="Times New Roman"/>
                <w:bCs/>
              </w:rPr>
            </w:pPr>
          </w:p>
          <w:p w14:paraId="65D440C0" w14:textId="77777777" w:rsidR="00A03FA1" w:rsidRPr="00A835E3" w:rsidRDefault="00A03FA1" w:rsidP="009E1B30">
            <w:pPr>
              <w:autoSpaceDE w:val="0"/>
              <w:autoSpaceDN w:val="0"/>
              <w:adjustRightInd w:val="0"/>
              <w:ind w:left="0" w:firstLine="0"/>
              <w:jc w:val="center"/>
              <w:rPr>
                <w:rFonts w:cs="Times New Roman"/>
              </w:rPr>
            </w:pPr>
            <w:r w:rsidRPr="00A835E3">
              <w:rPr>
                <w:rFonts w:cs="Times New Roman"/>
                <w:b/>
                <w:bCs/>
              </w:rPr>
              <w:t>Quality of Evidence</w:t>
            </w:r>
          </w:p>
        </w:tc>
        <w:tc>
          <w:tcPr>
            <w:tcW w:w="8111" w:type="dxa"/>
            <w:gridSpan w:val="2"/>
            <w:shd w:val="clear" w:color="auto" w:fill="auto"/>
            <w:vAlign w:val="bottom"/>
          </w:tcPr>
          <w:p w14:paraId="65D440C1" w14:textId="77777777" w:rsidR="00A03FA1" w:rsidRPr="00A835E3" w:rsidRDefault="00A03FA1" w:rsidP="009E1B30">
            <w:pPr>
              <w:autoSpaceDE w:val="0"/>
              <w:autoSpaceDN w:val="0"/>
              <w:adjustRightInd w:val="0"/>
              <w:ind w:left="0" w:hanging="1"/>
              <w:jc w:val="center"/>
              <w:rPr>
                <w:rFonts w:cs="Times New Roman"/>
                <w:b/>
              </w:rPr>
            </w:pPr>
            <w:r w:rsidRPr="00A835E3">
              <w:rPr>
                <w:rFonts w:cs="Times New Roman"/>
                <w:b/>
                <w:bCs/>
              </w:rPr>
              <w:t>Strength of Recommendation</w:t>
            </w:r>
          </w:p>
        </w:tc>
      </w:tr>
      <w:tr w:rsidR="00A03FA1" w:rsidRPr="00A835E3" w14:paraId="65D440C8" w14:textId="77777777" w:rsidTr="00447FD3">
        <w:trPr>
          <w:trHeight w:val="584"/>
        </w:trPr>
        <w:tc>
          <w:tcPr>
            <w:tcW w:w="1260" w:type="dxa"/>
            <w:vMerge/>
            <w:shd w:val="clear" w:color="auto" w:fill="auto"/>
            <w:vAlign w:val="bottom"/>
          </w:tcPr>
          <w:p w14:paraId="65D440C3" w14:textId="77777777" w:rsidR="00A03FA1" w:rsidRPr="00A835E3" w:rsidRDefault="00A03FA1" w:rsidP="009E1B30">
            <w:pPr>
              <w:ind w:left="0"/>
              <w:jc w:val="center"/>
              <w:rPr>
                <w:rFonts w:cs="Times New Roman"/>
              </w:rPr>
            </w:pPr>
          </w:p>
        </w:tc>
        <w:tc>
          <w:tcPr>
            <w:tcW w:w="4590" w:type="dxa"/>
            <w:shd w:val="clear" w:color="auto" w:fill="auto"/>
            <w:vAlign w:val="bottom"/>
          </w:tcPr>
          <w:p w14:paraId="65D440C4" w14:textId="77777777" w:rsidR="00A03FA1" w:rsidRPr="00A835E3" w:rsidRDefault="00A03FA1" w:rsidP="009E1B30">
            <w:pPr>
              <w:autoSpaceDE w:val="0"/>
              <w:autoSpaceDN w:val="0"/>
              <w:adjustRightInd w:val="0"/>
              <w:ind w:left="0" w:firstLine="0"/>
              <w:jc w:val="center"/>
              <w:rPr>
                <w:rFonts w:cs="Times New Roman"/>
                <w:b/>
                <w:bCs/>
                <w:i/>
              </w:rPr>
            </w:pPr>
            <w:r w:rsidRPr="00A835E3">
              <w:rPr>
                <w:rFonts w:cs="Times New Roman"/>
                <w:b/>
                <w:bCs/>
              </w:rPr>
              <w:t xml:space="preserve">Benefits Clearly Outweigh Risks and Burden </w:t>
            </w:r>
            <w:r w:rsidRPr="00A835E3">
              <w:rPr>
                <w:rFonts w:cs="Times New Roman"/>
                <w:b/>
                <w:bCs/>
                <w:i/>
              </w:rPr>
              <w:t>Or</w:t>
            </w:r>
          </w:p>
          <w:p w14:paraId="65D440C5" w14:textId="77777777" w:rsidR="00A03FA1" w:rsidRPr="00A835E3" w:rsidRDefault="00A03FA1" w:rsidP="009E1B30">
            <w:pPr>
              <w:autoSpaceDE w:val="0"/>
              <w:autoSpaceDN w:val="0"/>
              <w:adjustRightInd w:val="0"/>
              <w:ind w:left="0" w:firstLine="0"/>
              <w:jc w:val="center"/>
              <w:rPr>
                <w:rFonts w:cs="Times New Roman"/>
              </w:rPr>
            </w:pPr>
            <w:r w:rsidRPr="00A835E3">
              <w:rPr>
                <w:rFonts w:cs="Times New Roman"/>
                <w:b/>
                <w:bCs/>
              </w:rPr>
              <w:t>Risks and Burden Clearly Outweigh Benefits</w:t>
            </w:r>
          </w:p>
        </w:tc>
        <w:tc>
          <w:tcPr>
            <w:tcW w:w="3521" w:type="dxa"/>
            <w:shd w:val="clear" w:color="auto" w:fill="auto"/>
            <w:vAlign w:val="bottom"/>
          </w:tcPr>
          <w:p w14:paraId="65D440C6" w14:textId="77777777" w:rsidR="00A03FA1" w:rsidRPr="00A835E3" w:rsidRDefault="00A03FA1" w:rsidP="009E1B30">
            <w:pPr>
              <w:autoSpaceDE w:val="0"/>
              <w:autoSpaceDN w:val="0"/>
              <w:adjustRightInd w:val="0"/>
              <w:ind w:left="0" w:firstLine="0"/>
              <w:jc w:val="center"/>
              <w:rPr>
                <w:rFonts w:cs="Times New Roman"/>
                <w:b/>
                <w:bCs/>
              </w:rPr>
            </w:pPr>
            <w:r w:rsidRPr="00A835E3">
              <w:rPr>
                <w:rFonts w:cs="Times New Roman"/>
                <w:b/>
                <w:bCs/>
              </w:rPr>
              <w:t xml:space="preserve">Benefits Finely Balanced </w:t>
            </w:r>
          </w:p>
          <w:p w14:paraId="65D440C7" w14:textId="77777777" w:rsidR="00A03FA1" w:rsidRPr="00A835E3" w:rsidRDefault="00A03FA1" w:rsidP="009E1B30">
            <w:pPr>
              <w:autoSpaceDE w:val="0"/>
              <w:autoSpaceDN w:val="0"/>
              <w:adjustRightInd w:val="0"/>
              <w:ind w:left="0" w:firstLine="0"/>
              <w:jc w:val="center"/>
              <w:rPr>
                <w:rFonts w:cs="Times New Roman"/>
                <w:b/>
              </w:rPr>
            </w:pPr>
            <w:r w:rsidRPr="00A835E3">
              <w:rPr>
                <w:rFonts w:cs="Times New Roman"/>
                <w:b/>
                <w:bCs/>
              </w:rPr>
              <w:t>With Risks and Burden</w:t>
            </w:r>
          </w:p>
        </w:tc>
      </w:tr>
      <w:tr w:rsidR="00A03FA1" w:rsidRPr="00A835E3" w14:paraId="65D440CC" w14:textId="77777777" w:rsidTr="00A835E3">
        <w:trPr>
          <w:trHeight w:val="230"/>
        </w:trPr>
        <w:tc>
          <w:tcPr>
            <w:tcW w:w="1260" w:type="dxa"/>
          </w:tcPr>
          <w:p w14:paraId="65D440C9" w14:textId="77777777" w:rsidR="00A03FA1" w:rsidRPr="00A835E3" w:rsidRDefault="00A03FA1" w:rsidP="009E1B30">
            <w:pPr>
              <w:ind w:left="0" w:firstLine="0"/>
              <w:jc w:val="center"/>
              <w:rPr>
                <w:rFonts w:cs="Times New Roman"/>
              </w:rPr>
            </w:pPr>
            <w:r w:rsidRPr="00A835E3">
              <w:rPr>
                <w:rFonts w:cs="Times New Roman"/>
              </w:rPr>
              <w:t>High</w:t>
            </w:r>
          </w:p>
        </w:tc>
        <w:tc>
          <w:tcPr>
            <w:tcW w:w="4590" w:type="dxa"/>
          </w:tcPr>
          <w:p w14:paraId="65D440CA" w14:textId="77777777" w:rsidR="00A03FA1" w:rsidRPr="00A835E3" w:rsidRDefault="00A03FA1" w:rsidP="009E1B30">
            <w:pPr>
              <w:ind w:left="0" w:hanging="2"/>
              <w:jc w:val="center"/>
              <w:rPr>
                <w:rFonts w:cs="Times New Roman"/>
              </w:rPr>
            </w:pPr>
            <w:r w:rsidRPr="00A835E3">
              <w:rPr>
                <w:rFonts w:cs="Times New Roman"/>
              </w:rPr>
              <w:t>Strong</w:t>
            </w:r>
          </w:p>
        </w:tc>
        <w:tc>
          <w:tcPr>
            <w:tcW w:w="3521" w:type="dxa"/>
          </w:tcPr>
          <w:p w14:paraId="65D440CB" w14:textId="77777777" w:rsidR="00A03FA1" w:rsidRPr="00A835E3" w:rsidRDefault="00A03FA1" w:rsidP="009E1B30">
            <w:pPr>
              <w:ind w:left="0" w:firstLine="0"/>
              <w:jc w:val="center"/>
              <w:rPr>
                <w:rFonts w:cs="Times New Roman"/>
              </w:rPr>
            </w:pPr>
            <w:r w:rsidRPr="00A835E3">
              <w:rPr>
                <w:rFonts w:cs="Times New Roman"/>
              </w:rPr>
              <w:t>Weak</w:t>
            </w:r>
          </w:p>
        </w:tc>
      </w:tr>
      <w:tr w:rsidR="00A03FA1" w:rsidRPr="00A835E3" w14:paraId="65D440D0" w14:textId="77777777" w:rsidTr="00A835E3">
        <w:trPr>
          <w:trHeight w:val="230"/>
        </w:trPr>
        <w:tc>
          <w:tcPr>
            <w:tcW w:w="1260" w:type="dxa"/>
          </w:tcPr>
          <w:p w14:paraId="65D440CD" w14:textId="77777777" w:rsidR="00A03FA1" w:rsidRPr="00A835E3" w:rsidRDefault="00A03FA1" w:rsidP="009E1B30">
            <w:pPr>
              <w:ind w:left="0" w:firstLine="0"/>
              <w:jc w:val="center"/>
              <w:rPr>
                <w:rFonts w:cs="Times New Roman"/>
              </w:rPr>
            </w:pPr>
            <w:r w:rsidRPr="00A835E3">
              <w:rPr>
                <w:rFonts w:cs="Times New Roman"/>
              </w:rPr>
              <w:t>Moderate</w:t>
            </w:r>
          </w:p>
        </w:tc>
        <w:tc>
          <w:tcPr>
            <w:tcW w:w="4590" w:type="dxa"/>
          </w:tcPr>
          <w:p w14:paraId="65D440CE" w14:textId="77777777" w:rsidR="00A03FA1" w:rsidRPr="00A835E3" w:rsidRDefault="00A03FA1" w:rsidP="009E1B30">
            <w:pPr>
              <w:ind w:left="0" w:hanging="2"/>
              <w:jc w:val="center"/>
              <w:rPr>
                <w:rFonts w:cs="Times New Roman"/>
              </w:rPr>
            </w:pPr>
            <w:r w:rsidRPr="00A835E3">
              <w:rPr>
                <w:rFonts w:cs="Times New Roman"/>
              </w:rPr>
              <w:t>Strong</w:t>
            </w:r>
          </w:p>
        </w:tc>
        <w:tc>
          <w:tcPr>
            <w:tcW w:w="3521" w:type="dxa"/>
          </w:tcPr>
          <w:p w14:paraId="65D440CF" w14:textId="77777777" w:rsidR="00A03FA1" w:rsidRPr="00A835E3" w:rsidRDefault="00A03FA1" w:rsidP="009E1B30">
            <w:pPr>
              <w:ind w:left="0" w:firstLine="0"/>
              <w:jc w:val="center"/>
              <w:rPr>
                <w:rFonts w:cs="Times New Roman"/>
              </w:rPr>
            </w:pPr>
            <w:r w:rsidRPr="00A835E3">
              <w:rPr>
                <w:rFonts w:cs="Times New Roman"/>
              </w:rPr>
              <w:t>Weak</w:t>
            </w:r>
          </w:p>
        </w:tc>
      </w:tr>
      <w:tr w:rsidR="00A03FA1" w:rsidRPr="00A835E3" w14:paraId="65D440D4" w14:textId="77777777" w:rsidTr="00A835E3">
        <w:trPr>
          <w:trHeight w:val="230"/>
        </w:trPr>
        <w:tc>
          <w:tcPr>
            <w:tcW w:w="1260" w:type="dxa"/>
          </w:tcPr>
          <w:p w14:paraId="65D440D1" w14:textId="77777777" w:rsidR="00A03FA1" w:rsidRPr="00A835E3" w:rsidRDefault="00A03FA1" w:rsidP="009E1B30">
            <w:pPr>
              <w:ind w:left="0" w:firstLine="0"/>
              <w:jc w:val="center"/>
              <w:rPr>
                <w:rFonts w:cs="Times New Roman"/>
              </w:rPr>
            </w:pPr>
            <w:r w:rsidRPr="00A835E3">
              <w:rPr>
                <w:rFonts w:cs="Times New Roman"/>
              </w:rPr>
              <w:t>Low</w:t>
            </w:r>
          </w:p>
        </w:tc>
        <w:tc>
          <w:tcPr>
            <w:tcW w:w="4590" w:type="dxa"/>
          </w:tcPr>
          <w:p w14:paraId="65D440D2" w14:textId="77777777" w:rsidR="00A03FA1" w:rsidRPr="00A835E3" w:rsidRDefault="00A03FA1" w:rsidP="009E1B30">
            <w:pPr>
              <w:ind w:left="0" w:hanging="2"/>
              <w:jc w:val="center"/>
              <w:rPr>
                <w:rFonts w:cs="Times New Roman"/>
              </w:rPr>
            </w:pPr>
            <w:r w:rsidRPr="00A835E3">
              <w:rPr>
                <w:rFonts w:cs="Times New Roman"/>
              </w:rPr>
              <w:t>Strong</w:t>
            </w:r>
          </w:p>
        </w:tc>
        <w:tc>
          <w:tcPr>
            <w:tcW w:w="3521" w:type="dxa"/>
          </w:tcPr>
          <w:p w14:paraId="65D440D3" w14:textId="77777777" w:rsidR="00A03FA1" w:rsidRPr="00A835E3" w:rsidRDefault="00A03FA1" w:rsidP="009E1B30">
            <w:pPr>
              <w:ind w:left="0" w:firstLine="0"/>
              <w:jc w:val="center"/>
              <w:rPr>
                <w:rFonts w:cs="Times New Roman"/>
              </w:rPr>
            </w:pPr>
            <w:r w:rsidRPr="00A835E3">
              <w:rPr>
                <w:rFonts w:cs="Times New Roman"/>
              </w:rPr>
              <w:t>Weak</w:t>
            </w:r>
          </w:p>
        </w:tc>
      </w:tr>
    </w:tbl>
    <w:p w14:paraId="65D440D5" w14:textId="77777777" w:rsidR="00A03FA1" w:rsidRPr="00343A56" w:rsidRDefault="00A03FA1" w:rsidP="00A835E3">
      <w:pPr>
        <w:autoSpaceDE w:val="0"/>
        <w:autoSpaceDN w:val="0"/>
        <w:adjustRightInd w:val="0"/>
        <w:ind w:left="0" w:firstLine="0"/>
        <w:rPr>
          <w:rFonts w:cs="Times New Roman"/>
        </w:rPr>
      </w:pPr>
      <w:r w:rsidRPr="00343A56">
        <w:rPr>
          <w:rFonts w:cs="Times New Roman"/>
        </w:rPr>
        <w:t xml:space="preserve">*Adopted from the classification developed by the GRADE (Grading of Recommendations Assessment, Development, and Evaluation) workgroup. Source: </w:t>
      </w:r>
      <w:r w:rsidRPr="00343A56">
        <w:rPr>
          <w:rFonts w:eastAsia="Times New Roman" w:cs="Times New Roman"/>
        </w:rPr>
        <w:t>Qaseem et al. (2011)</w:t>
      </w:r>
      <w:r w:rsidRPr="00343A56">
        <w:rPr>
          <w:rFonts w:cs="Times New Roman"/>
        </w:rPr>
        <w:t xml:space="preserve"> </w:t>
      </w:r>
    </w:p>
    <w:p w14:paraId="65D440D6" w14:textId="77777777" w:rsidR="00A03FA1" w:rsidRPr="00A835E3" w:rsidRDefault="00A03FA1" w:rsidP="00A03FA1">
      <w:pPr>
        <w:shd w:val="clear" w:color="auto" w:fill="FFFFFF"/>
        <w:rPr>
          <w:rFonts w:ascii="Times New Roman" w:eastAsia="Times New Roman" w:hAnsi="Times New Roman" w:cs="Times New Roman"/>
          <w:b/>
          <w:bCs/>
          <w:u w:val="single"/>
        </w:rPr>
      </w:pPr>
    </w:p>
    <w:p w14:paraId="65D440D7" w14:textId="77777777" w:rsidR="00A03FA1" w:rsidRPr="00A835E3" w:rsidRDefault="00A03FA1" w:rsidP="00A03FA1">
      <w:pPr>
        <w:pStyle w:val="NoSpacing"/>
        <w:rPr>
          <w:rFonts w:ascii="Times New Roman" w:hAnsi="Times New Roman"/>
        </w:rPr>
      </w:pPr>
      <w:r w:rsidRPr="00A835E3">
        <w:rPr>
          <w:rFonts w:ascii="Times New Roman" w:eastAsia="Times New Roman" w:hAnsi="Times New Roman"/>
        </w:rPr>
        <w:t>For each recommendation in</w:t>
      </w:r>
      <w:r w:rsidRPr="00A835E3">
        <w:rPr>
          <w:rFonts w:ascii="Times New Roman" w:hAnsi="Times New Roman"/>
        </w:rPr>
        <w:t xml:space="preserve"> “Management of Hyperglycemia in Hospitalized Patients in Non-Critical Care Setting: An Endocrine Society Clinical Practice Guideline” (Umpierrez et al., 2012), </w:t>
      </w:r>
      <w:r w:rsidRPr="00A835E3">
        <w:rPr>
          <w:rFonts w:ascii="Times New Roman" w:eastAsia="Times New Roman" w:hAnsi="Times New Roman"/>
        </w:rPr>
        <w:t xml:space="preserve">the </w:t>
      </w:r>
      <w:r w:rsidRPr="00A835E3">
        <w:rPr>
          <w:rFonts w:ascii="Times New Roman" w:eastAsia="SimSun" w:hAnsi="Times New Roman"/>
        </w:rPr>
        <w:t>strength of the recommendation and the quality of the evidence is identified as follows</w:t>
      </w:r>
      <w:r w:rsidRPr="00A835E3">
        <w:rPr>
          <w:rFonts w:ascii="Times New Roman" w:eastAsia="Times New Roman" w:hAnsi="Times New Roman"/>
        </w:rPr>
        <w:t>:</w:t>
      </w:r>
    </w:p>
    <w:p w14:paraId="65D440D8" w14:textId="77777777" w:rsidR="00A03FA1" w:rsidRPr="00A835E3" w:rsidRDefault="00A03FA1" w:rsidP="00A03FA1">
      <w:pPr>
        <w:pStyle w:val="NoSpacing"/>
        <w:ind w:left="720"/>
        <w:rPr>
          <w:rFonts w:ascii="Times New Roman" w:eastAsia="Times New Roman" w:hAnsi="Times New Roman"/>
        </w:rPr>
      </w:pPr>
      <w:r w:rsidRPr="00A835E3">
        <w:rPr>
          <w:rFonts w:ascii="Times New Roman" w:eastAsia="SimSun" w:hAnsi="Times New Roman"/>
        </w:rPr>
        <w:lastRenderedPageBreak/>
        <w:t xml:space="preserve">“The Clinical Guidelines Subcommittee of The Endocrine Society deemed the management of hyperglycemia in hospitalized patients in a non-critical care setting a priority area in need of practice guidelines and appointed a Task Force to formulate evidence-based recommendations. The Task Force followed the approach recommended by the Grading of Recommendations, Assessment, Development, and Evaluation (GRADE) group, an international group with expertise in development and implementation of evidence-based guidelines. A detailed description of the grading scheme has been published elsewhere. The Task Force used the best available research evidence to develop some of the recommendations. The Task Force also used consistent language and graphical descriptions of both the strength of a recommendation and the quality of evidence. In terms of the strength of the recommendation, strong recommendations use the phrase ‘we recommend’ and the number 1, and weak recommendations use the phrase ‘we suggest’ and the number 2. </w:t>
      </w:r>
      <w:r w:rsidRPr="00A835E3">
        <w:rPr>
          <w:rFonts w:ascii="Times New Roman" w:eastAsia="SimSun" w:hAnsi="Times New Roman"/>
          <w:i/>
          <w:iCs/>
        </w:rPr>
        <w:t xml:space="preserve">Crossfilled circles </w:t>
      </w:r>
      <w:r w:rsidRPr="00A835E3">
        <w:rPr>
          <w:rFonts w:ascii="Times New Roman" w:eastAsia="SimSun" w:hAnsi="Times New Roman"/>
        </w:rPr>
        <w:t>indicate the quality of the evidence, such that denotes very low quality evidence; low quality; moderate quality; and high quality. The Task Force has confidence that persons who receive care according to the strong recommendations will derive, on average, more good than harm. Weak recommendations require more careful consideration of the person’s circumstances, values, and preferences to determine the best course of action. Linked to each recommendation is a description of the evidence and the values that</w:t>
      </w:r>
      <w:r w:rsidRPr="00A835E3">
        <w:rPr>
          <w:rFonts w:ascii="Times New Roman" w:hAnsi="Times New Roman"/>
        </w:rPr>
        <w:t xml:space="preserve"> </w:t>
      </w:r>
      <w:r w:rsidRPr="00A835E3">
        <w:rPr>
          <w:rFonts w:ascii="Times New Roman" w:eastAsia="SimSun" w:hAnsi="Times New Roman"/>
        </w:rPr>
        <w:t>panelists considered in making the recommendation; in some instances, there are remarks, a section in which panelists offer technical suggestions for testing conditions, dosing, and monitoring. These technical comments reflect the best available evidence applied to a typical person being treated. Often this evidence comes from the unsystematic observations of the panelists and their values and preferences; therefore, these remarks should be considered suggestions.”</w:t>
      </w:r>
    </w:p>
    <w:p w14:paraId="65D440D9" w14:textId="77777777" w:rsidR="00A03FA1" w:rsidRPr="00A835E3" w:rsidRDefault="00A03FA1" w:rsidP="00A03FA1">
      <w:pPr>
        <w:shd w:val="clear" w:color="auto" w:fill="FFFFFF"/>
        <w:ind w:left="1080"/>
        <w:rPr>
          <w:rFonts w:ascii="Times New Roman" w:eastAsia="Times New Roman" w:hAnsi="Times New Roman" w:cs="Times New Roman"/>
          <w:b/>
          <w:bCs/>
          <w:u w:val="single"/>
        </w:rPr>
      </w:pPr>
    </w:p>
    <w:p w14:paraId="65D440DA" w14:textId="77777777" w:rsidR="00A03FA1" w:rsidRPr="00A835E3" w:rsidRDefault="00A03FA1" w:rsidP="00A03FA1">
      <w:pPr>
        <w:pStyle w:val="NoSpacing"/>
        <w:rPr>
          <w:rFonts w:ascii="Times New Roman" w:eastAsia="Times New Roman" w:hAnsi="Times New Roman"/>
        </w:rPr>
      </w:pPr>
      <w:r w:rsidRPr="00A835E3">
        <w:rPr>
          <w:rFonts w:ascii="Times New Roman" w:hAnsi="Times New Roman"/>
        </w:rPr>
        <w:t>The “Standards of Medical Care in Diabetes—2013”</w:t>
      </w:r>
      <w:r w:rsidRPr="00A835E3">
        <w:rPr>
          <w:rFonts w:ascii="Times New Roman" w:eastAsia="Times New Roman" w:hAnsi="Times New Roman"/>
        </w:rPr>
        <w:t xml:space="preserve"> (American Diabetes Association, 2013) identifies the level of evidence for each recommendation, using the following categories:</w:t>
      </w:r>
    </w:p>
    <w:p w14:paraId="65D440DB" w14:textId="77777777" w:rsidR="00A03FA1" w:rsidRPr="00A835E3" w:rsidRDefault="00A03FA1" w:rsidP="00A03FA1">
      <w:pPr>
        <w:pStyle w:val="NoSpacing"/>
        <w:ind w:left="720"/>
        <w:rPr>
          <w:rFonts w:ascii="Times New Roman" w:hAnsi="Times New Roman"/>
        </w:rPr>
      </w:pPr>
      <w:r w:rsidRPr="00A835E3">
        <w:rPr>
          <w:rFonts w:ascii="Times New Roman" w:hAnsi="Times New Roman"/>
        </w:rPr>
        <w:t>A level of evidence of “A” for the ADA recommendations is defined as:</w:t>
      </w:r>
    </w:p>
    <w:p w14:paraId="65D440DC" w14:textId="77777777" w:rsidR="00A03FA1" w:rsidRPr="00A835E3" w:rsidRDefault="00A03FA1" w:rsidP="00A03FA1">
      <w:pPr>
        <w:pStyle w:val="ListParagraph"/>
        <w:numPr>
          <w:ilvl w:val="0"/>
          <w:numId w:val="16"/>
        </w:numPr>
        <w:spacing w:after="0" w:line="240" w:lineRule="auto"/>
        <w:ind w:left="1440"/>
        <w:rPr>
          <w:rFonts w:ascii="Times New Roman" w:eastAsia="Calibri" w:hAnsi="Times New Roman" w:cs="Times New Roman"/>
        </w:rPr>
      </w:pPr>
      <w:r w:rsidRPr="00A835E3">
        <w:rPr>
          <w:rFonts w:ascii="Times New Roman" w:eastAsia="Calibri" w:hAnsi="Times New Roman" w:cs="Times New Roman"/>
        </w:rPr>
        <w:t>Clear evidence from well-conducted, generalizable, randomized controlled trials that are adequately powered, including:</w:t>
      </w:r>
    </w:p>
    <w:p w14:paraId="65D440DD" w14:textId="77777777" w:rsidR="00A03FA1" w:rsidRPr="00A835E3" w:rsidRDefault="00A03FA1" w:rsidP="00A03FA1">
      <w:pPr>
        <w:pStyle w:val="ListParagraph"/>
        <w:numPr>
          <w:ilvl w:val="1"/>
          <w:numId w:val="19"/>
        </w:numPr>
        <w:tabs>
          <w:tab w:val="left" w:pos="1800"/>
        </w:tabs>
        <w:spacing w:after="0" w:line="240" w:lineRule="auto"/>
        <w:ind w:left="1800"/>
        <w:rPr>
          <w:rFonts w:ascii="Times New Roman" w:eastAsia="Calibri" w:hAnsi="Times New Roman" w:cs="Times New Roman"/>
        </w:rPr>
      </w:pPr>
      <w:r w:rsidRPr="00A835E3">
        <w:rPr>
          <w:rFonts w:ascii="Times New Roman" w:eastAsia="Calibri" w:hAnsi="Times New Roman" w:cs="Times New Roman"/>
        </w:rPr>
        <w:t>Evidence from a well-conducted multicenter trial</w:t>
      </w:r>
    </w:p>
    <w:p w14:paraId="65D440DE" w14:textId="77777777" w:rsidR="00A03FA1" w:rsidRPr="00A835E3" w:rsidRDefault="00A03FA1" w:rsidP="00A03FA1">
      <w:pPr>
        <w:pStyle w:val="ListParagraph"/>
        <w:numPr>
          <w:ilvl w:val="1"/>
          <w:numId w:val="19"/>
        </w:numPr>
        <w:tabs>
          <w:tab w:val="left" w:pos="1800"/>
        </w:tabs>
        <w:spacing w:after="0" w:line="240" w:lineRule="auto"/>
        <w:ind w:left="1800"/>
        <w:rPr>
          <w:rFonts w:ascii="Times New Roman" w:eastAsia="Calibri" w:hAnsi="Times New Roman" w:cs="Times New Roman"/>
        </w:rPr>
      </w:pPr>
      <w:r w:rsidRPr="00A835E3">
        <w:rPr>
          <w:rFonts w:ascii="Times New Roman" w:eastAsia="Calibri" w:hAnsi="Times New Roman" w:cs="Times New Roman"/>
        </w:rPr>
        <w:t>Evidence from a meta-analysis that incorporated quality ratings in the analysis</w:t>
      </w:r>
    </w:p>
    <w:p w14:paraId="65D440DF" w14:textId="77777777" w:rsidR="00A03FA1" w:rsidRPr="00A835E3" w:rsidRDefault="00A03FA1" w:rsidP="00A03FA1">
      <w:pPr>
        <w:pStyle w:val="ListParagraph"/>
        <w:numPr>
          <w:ilvl w:val="0"/>
          <w:numId w:val="16"/>
        </w:numPr>
        <w:spacing w:after="0" w:line="240" w:lineRule="auto"/>
        <w:ind w:left="1440"/>
        <w:rPr>
          <w:rFonts w:ascii="Times New Roman" w:eastAsia="Calibri" w:hAnsi="Times New Roman" w:cs="Times New Roman"/>
        </w:rPr>
      </w:pPr>
      <w:r w:rsidRPr="00A835E3">
        <w:rPr>
          <w:rFonts w:ascii="Times New Roman" w:eastAsia="Calibri" w:hAnsi="Times New Roman" w:cs="Times New Roman"/>
        </w:rPr>
        <w:t>Compelling nonexperimental evidence, i.e., “all or none” rule developed by Center for Evidence Based Medicine at Oxford</w:t>
      </w:r>
    </w:p>
    <w:p w14:paraId="65D440E0" w14:textId="77777777" w:rsidR="00A03FA1" w:rsidRPr="00A835E3" w:rsidRDefault="00A03FA1" w:rsidP="00A03FA1">
      <w:pPr>
        <w:pStyle w:val="ListParagraph"/>
        <w:numPr>
          <w:ilvl w:val="0"/>
          <w:numId w:val="16"/>
        </w:numPr>
        <w:spacing w:after="0" w:line="240" w:lineRule="auto"/>
        <w:ind w:left="1440"/>
        <w:rPr>
          <w:rFonts w:ascii="Times New Roman" w:eastAsia="Calibri" w:hAnsi="Times New Roman" w:cs="Times New Roman"/>
        </w:rPr>
      </w:pPr>
      <w:r w:rsidRPr="00A835E3">
        <w:rPr>
          <w:rFonts w:ascii="Times New Roman" w:eastAsia="Calibri" w:hAnsi="Times New Roman" w:cs="Times New Roman"/>
        </w:rPr>
        <w:t>Supportive evidence from well-conducted randomized controlled trials that are adequately powered, including:</w:t>
      </w:r>
    </w:p>
    <w:p w14:paraId="65D440E1" w14:textId="77777777" w:rsidR="00A03FA1" w:rsidRPr="00A835E3" w:rsidRDefault="00A03FA1" w:rsidP="00A03FA1">
      <w:pPr>
        <w:pStyle w:val="ListParagraph"/>
        <w:numPr>
          <w:ilvl w:val="1"/>
          <w:numId w:val="20"/>
        </w:numPr>
        <w:spacing w:after="0" w:line="240" w:lineRule="auto"/>
        <w:ind w:left="1800"/>
        <w:rPr>
          <w:rFonts w:ascii="Times New Roman" w:eastAsia="Calibri" w:hAnsi="Times New Roman" w:cs="Times New Roman"/>
        </w:rPr>
      </w:pPr>
      <w:r w:rsidRPr="00A835E3">
        <w:rPr>
          <w:rFonts w:ascii="Times New Roman" w:eastAsia="Calibri" w:hAnsi="Times New Roman" w:cs="Times New Roman"/>
        </w:rPr>
        <w:t>Evidence from a well-conducted trial at one or more institutions</w:t>
      </w:r>
    </w:p>
    <w:p w14:paraId="65D440E2" w14:textId="77777777" w:rsidR="00A03FA1" w:rsidRPr="00A835E3" w:rsidRDefault="00A03FA1" w:rsidP="00A03FA1">
      <w:pPr>
        <w:pStyle w:val="ListParagraph"/>
        <w:numPr>
          <w:ilvl w:val="1"/>
          <w:numId w:val="20"/>
        </w:numPr>
        <w:spacing w:after="0" w:line="240" w:lineRule="auto"/>
        <w:ind w:left="1800"/>
        <w:rPr>
          <w:rFonts w:ascii="Times New Roman" w:eastAsia="Calibri" w:hAnsi="Times New Roman" w:cs="Times New Roman"/>
        </w:rPr>
      </w:pPr>
      <w:r w:rsidRPr="00A835E3">
        <w:rPr>
          <w:rFonts w:ascii="Times New Roman" w:eastAsia="Calibri" w:hAnsi="Times New Roman" w:cs="Times New Roman"/>
        </w:rPr>
        <w:t>Evidence from a meta-analysis that incorporated quality ratings in the analysis</w:t>
      </w:r>
    </w:p>
    <w:p w14:paraId="65D440E3" w14:textId="77777777" w:rsidR="00692020" w:rsidRPr="00A835E3" w:rsidRDefault="00692020" w:rsidP="00692020">
      <w:pPr>
        <w:ind w:left="720" w:firstLine="0"/>
        <w:rPr>
          <w:rFonts w:ascii="Times New Roman" w:hAnsi="Times New Roman" w:cs="Times New Roman"/>
        </w:rPr>
      </w:pPr>
      <w:r w:rsidRPr="00A835E3">
        <w:rPr>
          <w:rFonts w:ascii="Times New Roman" w:hAnsi="Times New Roman" w:cs="Times New Roman"/>
        </w:rPr>
        <w:t xml:space="preserve">A level of evidence of “B” for the ADA recommendations is defined as: </w:t>
      </w:r>
    </w:p>
    <w:p w14:paraId="65D440E4" w14:textId="77777777" w:rsidR="00692020" w:rsidRPr="00A835E3" w:rsidRDefault="00692020" w:rsidP="00692020">
      <w:pPr>
        <w:pStyle w:val="ListParagraph"/>
        <w:numPr>
          <w:ilvl w:val="0"/>
          <w:numId w:val="17"/>
        </w:numPr>
        <w:spacing w:after="0" w:line="240" w:lineRule="auto"/>
        <w:ind w:left="1080" w:firstLine="0"/>
        <w:rPr>
          <w:rFonts w:ascii="Times New Roman" w:eastAsia="Calibri" w:hAnsi="Times New Roman" w:cs="Times New Roman"/>
        </w:rPr>
      </w:pPr>
      <w:r w:rsidRPr="00A835E3">
        <w:rPr>
          <w:rFonts w:ascii="Times New Roman" w:hAnsi="Times New Roman" w:cs="Times New Roman"/>
        </w:rPr>
        <w:t>Supportive evidence from well-conducted cohort studies</w:t>
      </w:r>
    </w:p>
    <w:p w14:paraId="65D440E5" w14:textId="77777777" w:rsidR="00692020" w:rsidRPr="00A835E3" w:rsidRDefault="00692020" w:rsidP="00692020">
      <w:pPr>
        <w:pStyle w:val="ListParagraph"/>
        <w:numPr>
          <w:ilvl w:val="1"/>
          <w:numId w:val="21"/>
        </w:numPr>
        <w:spacing w:after="0" w:line="240" w:lineRule="auto"/>
        <w:ind w:left="1800"/>
        <w:rPr>
          <w:rFonts w:ascii="Times New Roman" w:eastAsia="Calibri" w:hAnsi="Times New Roman" w:cs="Times New Roman"/>
        </w:rPr>
      </w:pPr>
      <w:r w:rsidRPr="00A835E3">
        <w:rPr>
          <w:rFonts w:ascii="Times New Roman" w:hAnsi="Times New Roman" w:cs="Times New Roman"/>
        </w:rPr>
        <w:t>Evidence from a well-conducted prospective cohort study or registry</w:t>
      </w:r>
    </w:p>
    <w:p w14:paraId="65D440E6" w14:textId="77777777" w:rsidR="00692020" w:rsidRPr="00A835E3" w:rsidRDefault="00692020" w:rsidP="00692020">
      <w:pPr>
        <w:pStyle w:val="ListParagraph"/>
        <w:numPr>
          <w:ilvl w:val="1"/>
          <w:numId w:val="21"/>
        </w:numPr>
        <w:spacing w:after="0" w:line="240" w:lineRule="auto"/>
        <w:ind w:left="1800"/>
        <w:rPr>
          <w:rFonts w:ascii="Times New Roman" w:eastAsia="Calibri" w:hAnsi="Times New Roman" w:cs="Times New Roman"/>
        </w:rPr>
      </w:pPr>
      <w:r w:rsidRPr="00A835E3">
        <w:rPr>
          <w:rFonts w:ascii="Times New Roman" w:hAnsi="Times New Roman" w:cs="Times New Roman"/>
        </w:rPr>
        <w:t>Evidence from a well-conducted meta-analysis of cohort studies</w:t>
      </w:r>
    </w:p>
    <w:p w14:paraId="65D440E7" w14:textId="77777777" w:rsidR="00692020" w:rsidRPr="00A835E3" w:rsidRDefault="00692020" w:rsidP="00692020">
      <w:pPr>
        <w:pStyle w:val="ListParagraph"/>
        <w:numPr>
          <w:ilvl w:val="0"/>
          <w:numId w:val="17"/>
        </w:numPr>
        <w:spacing w:after="0" w:line="240" w:lineRule="auto"/>
        <w:ind w:left="1080" w:firstLine="0"/>
        <w:rPr>
          <w:rFonts w:ascii="Times New Roman" w:eastAsia="Calibri" w:hAnsi="Times New Roman" w:cs="Times New Roman"/>
        </w:rPr>
      </w:pPr>
      <w:r w:rsidRPr="00A835E3">
        <w:rPr>
          <w:rFonts w:ascii="Times New Roman" w:hAnsi="Times New Roman" w:cs="Times New Roman"/>
        </w:rPr>
        <w:t xml:space="preserve">Supportive evidence from a well-conducted case-control study </w:t>
      </w:r>
    </w:p>
    <w:p w14:paraId="65D440E8" w14:textId="77777777" w:rsidR="00A03FA1" w:rsidRPr="00A835E3" w:rsidRDefault="00A03FA1" w:rsidP="00A03FA1">
      <w:pPr>
        <w:ind w:left="720" w:firstLine="0"/>
        <w:rPr>
          <w:rFonts w:ascii="Times New Roman" w:hAnsi="Times New Roman" w:cs="Times New Roman"/>
        </w:rPr>
      </w:pPr>
      <w:r w:rsidRPr="00A835E3">
        <w:rPr>
          <w:rFonts w:ascii="Times New Roman" w:hAnsi="Times New Roman" w:cs="Times New Roman"/>
        </w:rPr>
        <w:t xml:space="preserve">A level of evidence of “C” for the ADA recommendations is defined as: </w:t>
      </w:r>
    </w:p>
    <w:p w14:paraId="65D440E9" w14:textId="77777777" w:rsidR="00A03FA1" w:rsidRPr="00A835E3" w:rsidRDefault="00A03FA1" w:rsidP="00A03FA1">
      <w:pPr>
        <w:pStyle w:val="ListParagraph"/>
        <w:numPr>
          <w:ilvl w:val="0"/>
          <w:numId w:val="17"/>
        </w:numPr>
        <w:spacing w:after="0" w:line="240" w:lineRule="auto"/>
        <w:ind w:left="1080" w:firstLine="0"/>
        <w:rPr>
          <w:rFonts w:ascii="Times New Roman" w:eastAsia="Calibri" w:hAnsi="Times New Roman" w:cs="Times New Roman"/>
        </w:rPr>
      </w:pPr>
      <w:r w:rsidRPr="00A835E3">
        <w:rPr>
          <w:rFonts w:ascii="Times New Roman" w:eastAsia="Calibri" w:hAnsi="Times New Roman" w:cs="Times New Roman"/>
        </w:rPr>
        <w:t>Supportive evidence from poorly controlled or uncontrolled studies</w:t>
      </w:r>
    </w:p>
    <w:p w14:paraId="65D440EA" w14:textId="77777777" w:rsidR="00A03FA1" w:rsidRPr="00A835E3" w:rsidRDefault="00A03FA1" w:rsidP="00A03FA1">
      <w:pPr>
        <w:pStyle w:val="ListParagraph"/>
        <w:numPr>
          <w:ilvl w:val="1"/>
          <w:numId w:val="21"/>
        </w:numPr>
        <w:spacing w:after="0" w:line="240" w:lineRule="auto"/>
        <w:ind w:left="1800"/>
        <w:rPr>
          <w:rFonts w:ascii="Times New Roman" w:eastAsia="Calibri" w:hAnsi="Times New Roman" w:cs="Times New Roman"/>
        </w:rPr>
      </w:pPr>
      <w:r w:rsidRPr="00A835E3">
        <w:rPr>
          <w:rFonts w:ascii="Times New Roman" w:eastAsia="Calibri" w:hAnsi="Times New Roman" w:cs="Times New Roman"/>
        </w:rPr>
        <w:t>Evidence from randomized clinical trials with one or more major or three or more minor methodological flaws that could invalidate the results</w:t>
      </w:r>
    </w:p>
    <w:p w14:paraId="65D440EB" w14:textId="77777777" w:rsidR="00A03FA1" w:rsidRPr="00A835E3" w:rsidRDefault="00A03FA1" w:rsidP="00A03FA1">
      <w:pPr>
        <w:pStyle w:val="ListParagraph"/>
        <w:numPr>
          <w:ilvl w:val="1"/>
          <w:numId w:val="21"/>
        </w:numPr>
        <w:spacing w:after="0" w:line="240" w:lineRule="auto"/>
        <w:ind w:left="1800"/>
        <w:rPr>
          <w:rFonts w:ascii="Times New Roman" w:eastAsia="Calibri" w:hAnsi="Times New Roman" w:cs="Times New Roman"/>
        </w:rPr>
      </w:pPr>
      <w:r w:rsidRPr="00A835E3">
        <w:rPr>
          <w:rFonts w:ascii="Times New Roman" w:eastAsia="Calibri" w:hAnsi="Times New Roman" w:cs="Times New Roman"/>
        </w:rPr>
        <w:t>Evidence from observational studies with high potential for bias (such as case series with comparison with historical controls)</w:t>
      </w:r>
    </w:p>
    <w:p w14:paraId="65D440EC" w14:textId="77777777" w:rsidR="00A03FA1" w:rsidRPr="00A835E3" w:rsidRDefault="00A03FA1" w:rsidP="00A03FA1">
      <w:pPr>
        <w:pStyle w:val="ListParagraph"/>
        <w:numPr>
          <w:ilvl w:val="1"/>
          <w:numId w:val="21"/>
        </w:numPr>
        <w:spacing w:after="0" w:line="240" w:lineRule="auto"/>
        <w:ind w:left="1800"/>
        <w:rPr>
          <w:rFonts w:ascii="Times New Roman" w:eastAsia="Calibri" w:hAnsi="Times New Roman" w:cs="Times New Roman"/>
        </w:rPr>
      </w:pPr>
      <w:r w:rsidRPr="00A835E3">
        <w:rPr>
          <w:rFonts w:ascii="Times New Roman" w:eastAsia="Calibri" w:hAnsi="Times New Roman" w:cs="Times New Roman"/>
        </w:rPr>
        <w:t>Evidence from case series or case reports</w:t>
      </w:r>
    </w:p>
    <w:p w14:paraId="65D440ED" w14:textId="77777777" w:rsidR="00A03FA1" w:rsidRPr="00A835E3" w:rsidRDefault="00A03FA1" w:rsidP="00A03FA1">
      <w:pPr>
        <w:pStyle w:val="ListParagraph"/>
        <w:numPr>
          <w:ilvl w:val="0"/>
          <w:numId w:val="17"/>
        </w:numPr>
        <w:spacing w:after="0" w:line="240" w:lineRule="auto"/>
        <w:ind w:left="1080" w:firstLine="0"/>
        <w:rPr>
          <w:rFonts w:ascii="Times New Roman" w:eastAsia="Calibri" w:hAnsi="Times New Roman" w:cs="Times New Roman"/>
        </w:rPr>
      </w:pPr>
      <w:r w:rsidRPr="00A835E3">
        <w:rPr>
          <w:rFonts w:ascii="Times New Roman" w:eastAsia="Calibri" w:hAnsi="Times New Roman" w:cs="Times New Roman"/>
        </w:rPr>
        <w:t>Conflicting evidence with the weight of evidence supporting the recommendation</w:t>
      </w:r>
    </w:p>
    <w:p w14:paraId="65D440EE" w14:textId="77777777" w:rsidR="00A03FA1" w:rsidRPr="00A835E3" w:rsidRDefault="00A03FA1" w:rsidP="00A03FA1">
      <w:pPr>
        <w:widowControl w:val="0"/>
        <w:ind w:left="720" w:firstLine="0"/>
        <w:rPr>
          <w:rFonts w:ascii="Times New Roman" w:hAnsi="Times New Roman" w:cs="Times New Roman"/>
        </w:rPr>
      </w:pPr>
      <w:r w:rsidRPr="00A835E3">
        <w:rPr>
          <w:rFonts w:ascii="Times New Roman" w:hAnsi="Times New Roman" w:cs="Times New Roman"/>
        </w:rPr>
        <w:lastRenderedPageBreak/>
        <w:t xml:space="preserve">A level of evidence of “E” for the ADA recommendations is defined as: </w:t>
      </w:r>
    </w:p>
    <w:p w14:paraId="65D440EF" w14:textId="77777777" w:rsidR="00A03FA1" w:rsidRPr="00A835E3" w:rsidRDefault="00A03FA1" w:rsidP="00A03FA1">
      <w:pPr>
        <w:pStyle w:val="ListParagraph"/>
        <w:widowControl w:val="0"/>
        <w:numPr>
          <w:ilvl w:val="0"/>
          <w:numId w:val="18"/>
        </w:numPr>
        <w:spacing w:after="0" w:line="240" w:lineRule="auto"/>
        <w:ind w:left="1080" w:firstLine="0"/>
        <w:rPr>
          <w:rFonts w:ascii="Times New Roman" w:eastAsia="Calibri" w:hAnsi="Times New Roman" w:cs="Times New Roman"/>
        </w:rPr>
      </w:pPr>
      <w:r w:rsidRPr="00A835E3">
        <w:rPr>
          <w:rFonts w:ascii="Times New Roman" w:eastAsia="Calibri" w:hAnsi="Times New Roman" w:cs="Times New Roman"/>
        </w:rPr>
        <w:t>Expert consensus or clinical experience</w:t>
      </w:r>
    </w:p>
    <w:p w14:paraId="65D440F0" w14:textId="77777777" w:rsidR="00850C35" w:rsidRDefault="00850C35" w:rsidP="00265702">
      <w:pPr>
        <w:ind w:left="0" w:firstLine="0"/>
        <w:rPr>
          <w:b/>
        </w:rPr>
      </w:pPr>
    </w:p>
    <w:p w14:paraId="65D440F1" w14:textId="77777777" w:rsidR="00A12762" w:rsidRPr="00030F43" w:rsidRDefault="00776F6D" w:rsidP="002E2177">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14:paraId="65D440F2" w14:textId="77777777" w:rsidR="00783112" w:rsidRPr="00A00B5E" w:rsidRDefault="007D2A65" w:rsidP="004661E4">
      <w:pPr>
        <w:ind w:left="0" w:firstLine="0"/>
        <w:rPr>
          <w:rFonts w:ascii="Times New Roman" w:hAnsi="Times New Roman" w:cs="Times New Roman"/>
        </w:rPr>
      </w:pPr>
      <w:r w:rsidRPr="00A00B5E">
        <w:rPr>
          <w:rFonts w:ascii="Times New Roman" w:hAnsi="Times New Roman" w:cs="Times New Roman"/>
        </w:rPr>
        <w:t xml:space="preserve">The </w:t>
      </w:r>
      <w:r w:rsidR="00FD031C" w:rsidRPr="00A00B5E">
        <w:rPr>
          <w:rFonts w:ascii="Times New Roman" w:hAnsi="Times New Roman" w:cs="Times New Roman"/>
        </w:rPr>
        <w:t xml:space="preserve">citations and URLs for the </w:t>
      </w:r>
      <w:r w:rsidRPr="00A00B5E">
        <w:rPr>
          <w:rFonts w:ascii="Times New Roman" w:hAnsi="Times New Roman" w:cs="Times New Roman"/>
        </w:rPr>
        <w:t>methodolog</w:t>
      </w:r>
      <w:r w:rsidR="000A3265" w:rsidRPr="00A00B5E">
        <w:rPr>
          <w:rFonts w:ascii="Times New Roman" w:hAnsi="Times New Roman" w:cs="Times New Roman"/>
        </w:rPr>
        <w:t>ies</w:t>
      </w:r>
      <w:r w:rsidRPr="00A00B5E">
        <w:rPr>
          <w:rFonts w:ascii="Times New Roman" w:hAnsi="Times New Roman" w:cs="Times New Roman"/>
        </w:rPr>
        <w:t xml:space="preserve"> </w:t>
      </w:r>
      <w:r w:rsidR="00624050" w:rsidRPr="00A00B5E">
        <w:rPr>
          <w:rFonts w:ascii="Times New Roman" w:hAnsi="Times New Roman" w:cs="Times New Roman"/>
        </w:rPr>
        <w:t>used to</w:t>
      </w:r>
      <w:r w:rsidRPr="00A00B5E">
        <w:rPr>
          <w:rFonts w:ascii="Times New Roman" w:hAnsi="Times New Roman" w:cs="Times New Roman"/>
        </w:rPr>
        <w:t xml:space="preserve"> </w:t>
      </w:r>
      <w:r w:rsidR="00624050" w:rsidRPr="00A00B5E">
        <w:rPr>
          <w:rFonts w:ascii="Times New Roman" w:hAnsi="Times New Roman" w:cs="Times New Roman"/>
        </w:rPr>
        <w:t xml:space="preserve">conduct the literature reviews and </w:t>
      </w:r>
      <w:r w:rsidRPr="00A00B5E">
        <w:rPr>
          <w:rFonts w:ascii="Times New Roman" w:hAnsi="Times New Roman" w:cs="Times New Roman"/>
        </w:rPr>
        <w:t>grad</w:t>
      </w:r>
      <w:r w:rsidR="00624050" w:rsidRPr="00A00B5E">
        <w:rPr>
          <w:rFonts w:ascii="Times New Roman" w:hAnsi="Times New Roman" w:cs="Times New Roman"/>
        </w:rPr>
        <w:t>e</w:t>
      </w:r>
      <w:r w:rsidRPr="00A00B5E">
        <w:rPr>
          <w:rFonts w:ascii="Times New Roman" w:hAnsi="Times New Roman" w:cs="Times New Roman"/>
        </w:rPr>
        <w:t xml:space="preserve"> the recommendations </w:t>
      </w:r>
      <w:r w:rsidR="0094069C" w:rsidRPr="00A00B5E">
        <w:rPr>
          <w:rFonts w:ascii="Times New Roman" w:hAnsi="Times New Roman" w:cs="Times New Roman"/>
        </w:rPr>
        <w:t xml:space="preserve">are </w:t>
      </w:r>
      <w:r w:rsidR="00FD031C" w:rsidRPr="00A00B5E">
        <w:rPr>
          <w:rFonts w:ascii="Times New Roman" w:hAnsi="Times New Roman" w:cs="Times New Roman"/>
        </w:rPr>
        <w:t xml:space="preserve">the same as those for </w:t>
      </w:r>
      <w:r w:rsidR="0094069C" w:rsidRPr="00A00B5E">
        <w:rPr>
          <w:rFonts w:ascii="Times New Roman" w:hAnsi="Times New Roman" w:cs="Times New Roman"/>
        </w:rPr>
        <w:t>the three guidelines listed in Section 1a.4.1</w:t>
      </w:r>
      <w:r w:rsidRPr="00A00B5E">
        <w:rPr>
          <w:rFonts w:ascii="Times New Roman" w:hAnsi="Times New Roman" w:cs="Times New Roman"/>
        </w:rPr>
        <w:t>.</w:t>
      </w:r>
    </w:p>
    <w:p w14:paraId="65D440F3" w14:textId="77777777" w:rsidR="00783112" w:rsidRDefault="00783112" w:rsidP="002E2177">
      <w:pPr>
        <w:ind w:left="432" w:hanging="432"/>
        <w:rPr>
          <w:color w:val="0000FF"/>
        </w:rPr>
      </w:pPr>
    </w:p>
    <w:p w14:paraId="65D440F4" w14:textId="77777777"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14:paraId="65D440F5" w14:textId="77777777" w:rsidR="00FC32D3" w:rsidRPr="0095290F" w:rsidRDefault="009E1B30" w:rsidP="00FC32D3">
      <w:pPr>
        <w:ind w:left="720" w:hanging="432"/>
        <w:rPr>
          <w:b/>
        </w:rPr>
      </w:pPr>
      <w:sdt>
        <w:sdtPr>
          <w:rPr>
            <w:bCs/>
            <w:color w:val="0000FF"/>
          </w:rPr>
          <w:id w:val="-1346319738"/>
        </w:sdtPr>
        <w:sdtContent>
          <w:r w:rsidR="00287DD9">
            <w:rPr>
              <w:rFonts w:ascii="MS Gothic" w:eastAsia="MS Gothic" w:hAnsi="MS Gothic"/>
              <w:bCs/>
              <w:color w:val="0000FF"/>
            </w:rPr>
            <w:t>X</w:t>
          </w:r>
        </w:sdtContent>
      </w:sdt>
      <w:r w:rsidR="00FC32D3">
        <w:rPr>
          <w:b/>
        </w:rPr>
        <w:t xml:space="preserve"> </w:t>
      </w:r>
      <w:r w:rsidR="00FC32D3" w:rsidRPr="00736AEC">
        <w:t>Yes</w:t>
      </w:r>
      <w:r w:rsidR="00FC32D3">
        <w:rPr>
          <w:b/>
        </w:rPr>
        <w:t xml:space="preserve"> </w:t>
      </w:r>
      <w:r w:rsidR="00FC32D3" w:rsidRPr="0095290F">
        <w:rPr>
          <w:rFonts w:cstheme="minorHAnsi"/>
          <w:b/>
        </w:rPr>
        <w:t>→</w:t>
      </w:r>
      <w:r w:rsidR="00FC32D3" w:rsidRPr="0095290F">
        <w:rPr>
          <w:b/>
        </w:rPr>
        <w:t xml:space="preserve"> </w:t>
      </w:r>
      <w:r w:rsidR="00FC32D3" w:rsidRPr="0095290F">
        <w:rPr>
          <w:b/>
          <w:i/>
        </w:rPr>
        <w:t xml:space="preserve">complete section </w:t>
      </w:r>
      <w:hyperlink w:anchor="Section1a7" w:history="1">
        <w:r w:rsidR="00FC32D3" w:rsidRPr="0095290F">
          <w:rPr>
            <w:rStyle w:val="Hyperlink"/>
            <w:b/>
            <w:i/>
          </w:rPr>
          <w:t>1a.7</w:t>
        </w:r>
      </w:hyperlink>
    </w:p>
    <w:p w14:paraId="65D440F6" w14:textId="77777777" w:rsidR="00736AEC" w:rsidRDefault="009E1B30" w:rsidP="0098657F">
      <w:pPr>
        <w:ind w:left="1008" w:hanging="720"/>
      </w:pPr>
      <w:sdt>
        <w:sdtPr>
          <w:rPr>
            <w:bCs/>
            <w:color w:val="0000FF"/>
            <w:u w:val="single"/>
          </w:rPr>
          <w:id w:val="777454248"/>
        </w:sdtPr>
        <w:sdtContent>
          <w:sdt>
            <w:sdtPr>
              <w:rPr>
                <w:bCs/>
                <w:color w:val="0000FF"/>
              </w:rPr>
              <w:id w:val="1411962959"/>
            </w:sdtPr>
            <w:sdtContent>
              <w:r w:rsidR="00287DD9">
                <w:rPr>
                  <w:rFonts w:ascii="MS Gothic" w:eastAsia="MS Gothic" w:hAnsi="MS Gothic" w:hint="eastAsia"/>
                  <w:bCs/>
                  <w:color w:val="0000FF"/>
                </w:rPr>
                <w:t>☐</w:t>
              </w:r>
            </w:sdtContent>
          </w:sdt>
        </w:sdtContent>
      </w:sdt>
      <w:r w:rsidR="00736AEC" w:rsidRPr="0095290F">
        <w:rPr>
          <w:b/>
        </w:rPr>
        <w:t xml:space="preserve"> </w:t>
      </w:r>
      <w:r w:rsidR="00A00B5E">
        <w:rPr>
          <w:b/>
        </w:rPr>
        <w:t xml:space="preserve">   </w:t>
      </w:r>
      <w:r w:rsidR="00736AEC" w:rsidRPr="0095290F">
        <w:t>No</w:t>
      </w:r>
      <w:r w:rsidR="00307FA5" w:rsidRPr="0095290F">
        <w:t xml:space="preserve">  </w:t>
      </w:r>
      <w:r w:rsidR="007C1887" w:rsidRPr="0095290F">
        <w:rPr>
          <w:rFonts w:cstheme="minorHAnsi"/>
          <w:b/>
        </w:rPr>
        <w:t>→</w:t>
      </w:r>
      <w:r w:rsidR="0087564A" w:rsidRPr="0095290F">
        <w:rPr>
          <w:rFonts w:cstheme="minorHAnsi"/>
          <w:b/>
        </w:rPr>
        <w:t xml:space="preserve"> </w:t>
      </w:r>
      <w:r w:rsidR="0087564A" w:rsidRPr="0095290F">
        <w:rPr>
          <w:rStyle w:val="Hyperlink"/>
          <w:b/>
          <w:i/>
          <w:color w:val="auto"/>
          <w:u w:val="none"/>
        </w:rPr>
        <w:t>report on another systematic review</w:t>
      </w:r>
      <w:r w:rsidR="00701CC3" w:rsidRPr="0095290F">
        <w:rPr>
          <w:rStyle w:val="Hyperlink"/>
          <w:b/>
          <w:i/>
          <w:color w:val="auto"/>
          <w:u w:val="none"/>
        </w:rPr>
        <w:t xml:space="preserve"> of the evidence</w:t>
      </w:r>
      <w:r w:rsidR="0087564A" w:rsidRPr="0095290F">
        <w:rPr>
          <w:rStyle w:val="Hyperlink"/>
          <w:b/>
          <w:i/>
          <w:color w:val="auto"/>
          <w:u w:val="none"/>
        </w:rPr>
        <w:t xml:space="preserve"> in</w:t>
      </w:r>
      <w:r w:rsidR="0098657F" w:rsidRPr="0095290F">
        <w:rPr>
          <w:rStyle w:val="Hyperlink"/>
          <w:b/>
          <w:i/>
          <w:color w:val="auto"/>
          <w:u w:val="none"/>
        </w:rPr>
        <w:t xml:space="preserve"> sections</w:t>
      </w:r>
      <w:r w:rsidR="0087564A" w:rsidRPr="0095290F">
        <w:rPr>
          <w:rStyle w:val="Hyperlink"/>
          <w:b/>
          <w:i/>
          <w:color w:val="auto"/>
          <w:u w:val="none"/>
        </w:rPr>
        <w:t xml:space="preserve"> </w:t>
      </w:r>
      <w:hyperlink w:anchor="Section1a6" w:history="1">
        <w:r w:rsidR="0087564A" w:rsidRPr="0095290F">
          <w:rPr>
            <w:rStyle w:val="Hyperlink"/>
            <w:b/>
            <w:i/>
          </w:rPr>
          <w:t>1a.6</w:t>
        </w:r>
      </w:hyperlink>
      <w:r w:rsidR="0087564A" w:rsidRPr="0095290F">
        <w:rPr>
          <w:rStyle w:val="Hyperlink"/>
          <w:b/>
          <w:i/>
          <w:color w:val="auto"/>
          <w:u w:val="none"/>
        </w:rPr>
        <w:t xml:space="preserve"> and </w:t>
      </w:r>
      <w:hyperlink w:anchor="Section1a7" w:history="1">
        <w:r w:rsidR="0087564A" w:rsidRPr="0095290F">
          <w:rPr>
            <w:rStyle w:val="Hyperlink"/>
            <w:b/>
            <w:i/>
          </w:rPr>
          <w:t>1a.7</w:t>
        </w:r>
      </w:hyperlink>
      <w:r w:rsidR="00701CC3" w:rsidRPr="0095290F">
        <w:rPr>
          <w:rStyle w:val="Hyperlink"/>
          <w:b/>
          <w:i/>
          <w:color w:val="auto"/>
          <w:u w:val="none"/>
        </w:rPr>
        <w:t>;</w:t>
      </w:r>
      <w:r w:rsidR="0087564A" w:rsidRPr="0095290F">
        <w:rPr>
          <w:rStyle w:val="Hyperlink"/>
          <w:b/>
          <w:i/>
          <w:color w:val="auto"/>
          <w:u w:val="none"/>
        </w:rPr>
        <w:t xml:space="preserve"> </w:t>
      </w:r>
      <w:r w:rsidR="00B74629" w:rsidRPr="0095290F">
        <w:rPr>
          <w:rStyle w:val="Hyperlink"/>
          <w:b/>
          <w:i/>
          <w:color w:val="auto"/>
          <w:u w:val="none"/>
        </w:rPr>
        <w:t xml:space="preserve">if </w:t>
      </w:r>
      <w:r w:rsidR="00063601" w:rsidRPr="0095290F">
        <w:rPr>
          <w:rStyle w:val="Hyperlink"/>
          <w:b/>
          <w:i/>
          <w:color w:val="auto"/>
          <w:u w:val="none"/>
        </w:rPr>
        <w:t xml:space="preserve">another review </w:t>
      </w:r>
      <w:r w:rsidR="00B74629" w:rsidRPr="0095290F">
        <w:rPr>
          <w:rStyle w:val="Hyperlink"/>
          <w:b/>
          <w:i/>
          <w:color w:val="auto"/>
          <w:u w:val="none"/>
        </w:rPr>
        <w:t xml:space="preserve">does not exist, </w:t>
      </w:r>
      <w:r w:rsidR="00923295" w:rsidRPr="0095290F">
        <w:rPr>
          <w:rFonts w:cstheme="minorHAnsi"/>
          <w:b/>
          <w:i/>
        </w:rPr>
        <w:t xml:space="preserve">provide what is known </w:t>
      </w:r>
      <w:r w:rsidR="00701CC3" w:rsidRPr="0095290F">
        <w:rPr>
          <w:rFonts w:cstheme="minorHAnsi"/>
          <w:b/>
          <w:i/>
        </w:rPr>
        <w:t xml:space="preserve">from the guideline review of evidence </w:t>
      </w:r>
      <w:r w:rsidR="00923295" w:rsidRPr="0095290F">
        <w:rPr>
          <w:rFonts w:cstheme="minorHAnsi"/>
          <w:b/>
          <w:i/>
        </w:rPr>
        <w:t xml:space="preserve">in </w:t>
      </w:r>
      <w:hyperlink w:anchor="Section1a7" w:history="1">
        <w:r w:rsidR="009477D6" w:rsidRPr="0095290F">
          <w:rPr>
            <w:rStyle w:val="Hyperlink"/>
            <w:b/>
            <w:i/>
          </w:rPr>
          <w:t>1a.7</w:t>
        </w:r>
      </w:hyperlink>
    </w:p>
    <w:p w14:paraId="65D440F7" w14:textId="77777777" w:rsidR="00736AEC" w:rsidRDefault="00736AEC" w:rsidP="00736AEC">
      <w:pPr>
        <w:rPr>
          <w:b/>
        </w:rPr>
      </w:pPr>
    </w:p>
    <w:p w14:paraId="65D440F8" w14:textId="77777777" w:rsidR="00EE5AF6" w:rsidRDefault="00EE5AF6" w:rsidP="00307FA5">
      <w:pPr>
        <w:ind w:left="0" w:firstLine="0"/>
        <w:rPr>
          <w:color w:val="0000FF"/>
        </w:rPr>
      </w:pPr>
      <w:bookmarkStart w:id="8" w:name="Section1a5"/>
      <w:bookmarkEnd w:id="8"/>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14:paraId="65D440F9" w14:textId="77777777" w:rsidR="00307FA5"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14:paraId="65D440FA" w14:textId="77777777" w:rsidR="00307FA5" w:rsidRDefault="00307FA5" w:rsidP="00307FA5">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14:paraId="65D440FB" w14:textId="77777777" w:rsidR="008A45F3" w:rsidRPr="00095EC9" w:rsidRDefault="00307FA5" w:rsidP="00307FA5">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14:paraId="65D440FC" w14:textId="77777777" w:rsidR="00307FA5" w:rsidRPr="00095EC9" w:rsidRDefault="008A45F3" w:rsidP="00307FA5">
      <w:pPr>
        <w:ind w:left="0" w:firstLine="0"/>
      </w:pPr>
      <w:r w:rsidRPr="00030F43">
        <w:rPr>
          <w:b/>
          <w:color w:val="0000FF"/>
        </w:rPr>
        <w:t>1a.5.4.</w:t>
      </w:r>
      <w:r>
        <w:rPr>
          <w:b/>
          <w:color w:val="0000FF"/>
        </w:rPr>
        <w:t xml:space="preserve"> </w:t>
      </w:r>
      <w:r w:rsidR="00C54E40">
        <w:rPr>
          <w:b/>
        </w:rPr>
        <w:t>Provide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14:paraId="65D440FD" w14:textId="77777777"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14:paraId="65D440FE" w14:textId="77777777" w:rsidR="00EE5AF6" w:rsidRPr="00201FF9" w:rsidRDefault="00923295" w:rsidP="002E2177">
      <w:pPr>
        <w:ind w:left="432" w:hanging="432"/>
        <w:rPr>
          <w:i/>
        </w:rPr>
      </w:pPr>
      <w:r w:rsidRPr="004031B7">
        <w:rPr>
          <w:b/>
          <w:i/>
        </w:rPr>
        <w:t xml:space="preserve">Complete section </w:t>
      </w:r>
      <w:hyperlink w:anchor="Section1a7" w:history="1">
        <w:r w:rsidR="009477D6" w:rsidRPr="004031B7">
          <w:rPr>
            <w:rStyle w:val="Hyperlink"/>
            <w:b/>
            <w:i/>
          </w:rPr>
          <w:t>1a.7</w:t>
        </w:r>
      </w:hyperlink>
    </w:p>
    <w:p w14:paraId="65D440FF" w14:textId="77777777" w:rsidR="00EE5AF6" w:rsidRDefault="00EE5AF6" w:rsidP="002E2177">
      <w:pPr>
        <w:ind w:left="432" w:hanging="432"/>
        <w:rPr>
          <w:b/>
          <w:color w:val="0000FF"/>
        </w:rPr>
      </w:pPr>
    </w:p>
    <w:p w14:paraId="65D44100" w14:textId="77777777" w:rsidR="00EE5AF6" w:rsidRPr="00DF278A" w:rsidRDefault="00EE5AF6" w:rsidP="002E2177">
      <w:pPr>
        <w:ind w:left="432" w:hanging="432"/>
      </w:pPr>
      <w:bookmarkStart w:id="9" w:name="Section1a6"/>
      <w:bookmarkEnd w:id="9"/>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14:paraId="65D44101" w14:textId="77777777" w:rsidR="00EA79C9" w:rsidRDefault="00EE5AF6" w:rsidP="00EA79C9">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14:paraId="65D44102" w14:textId="77777777" w:rsidR="00EE5AF6"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14:paraId="65D44103" w14:textId="77777777" w:rsidR="00C84623" w:rsidRDefault="00C84623" w:rsidP="00EE5AF6">
      <w:pPr>
        <w:ind w:left="0" w:firstLine="0"/>
      </w:pPr>
      <w:r w:rsidRPr="004031B7">
        <w:rPr>
          <w:b/>
          <w:i/>
        </w:rPr>
        <w:t xml:space="preserve">Complete section </w:t>
      </w:r>
      <w:hyperlink w:anchor="Section1a7" w:history="1">
        <w:r w:rsidRPr="004031B7">
          <w:rPr>
            <w:rStyle w:val="Hyperlink"/>
            <w:b/>
            <w:i/>
          </w:rPr>
          <w:t>1a.7</w:t>
        </w:r>
      </w:hyperlink>
    </w:p>
    <w:p w14:paraId="65D44104" w14:textId="77777777" w:rsidR="00C84623" w:rsidRDefault="00C84623" w:rsidP="00EE5AF6">
      <w:pPr>
        <w:ind w:left="0" w:firstLine="0"/>
        <w:rPr>
          <w:b/>
          <w:color w:val="0000FF"/>
        </w:rPr>
      </w:pPr>
    </w:p>
    <w:p w14:paraId="65D44105" w14:textId="77777777"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14:paraId="65D44106" w14:textId="77777777" w:rsidR="006219D6" w:rsidRDefault="00EE5AF6" w:rsidP="00EE5AF6">
      <w:pPr>
        <w:ind w:left="0" w:firstLine="0"/>
        <w:rPr>
          <w:b/>
        </w:rPr>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r>
        <w:rPr>
          <w:b/>
        </w:rPr>
        <w:t>What was the specific structure, treatment, intervention, service, or intermediate outcome addressed in the evidence review?</w:t>
      </w:r>
    </w:p>
    <w:p w14:paraId="65D44107" w14:textId="77777777" w:rsidR="006219D6" w:rsidRPr="000E628E" w:rsidRDefault="006219D6" w:rsidP="006219D6">
      <w:pPr>
        <w:autoSpaceDE w:val="0"/>
        <w:autoSpaceDN w:val="0"/>
        <w:adjustRightInd w:val="0"/>
        <w:ind w:left="0" w:firstLine="0"/>
        <w:rPr>
          <w:rFonts w:ascii="Times New Roman" w:hAnsi="Times New Roman"/>
          <w:szCs w:val="24"/>
        </w:rPr>
      </w:pPr>
      <w:r w:rsidRPr="000E628E">
        <w:rPr>
          <w:rFonts w:ascii="Times New Roman" w:hAnsi="Times New Roman"/>
          <w:szCs w:val="24"/>
        </w:rPr>
        <w:t>The “Use of Intensive Insulin Therapy for the Management of Glycemic Control in Hospitalized Patients: A Clinical Practice Guideline from the American College of Physicians” (Qaseem et al., 2011) investigated the literature to answer the following questions:</w:t>
      </w:r>
    </w:p>
    <w:p w14:paraId="65D44108" w14:textId="77777777" w:rsidR="006219D6" w:rsidRPr="000E628E" w:rsidRDefault="00F0099D" w:rsidP="006219D6">
      <w:pPr>
        <w:pStyle w:val="ListParagraph"/>
        <w:numPr>
          <w:ilvl w:val="0"/>
          <w:numId w:val="27"/>
        </w:numPr>
        <w:autoSpaceDE w:val="0"/>
        <w:autoSpaceDN w:val="0"/>
        <w:adjustRightInd w:val="0"/>
        <w:rPr>
          <w:rFonts w:ascii="Times New Roman" w:hAnsi="Times New Roman"/>
          <w:szCs w:val="24"/>
        </w:rPr>
      </w:pPr>
      <w:r w:rsidRPr="000E628E">
        <w:rPr>
          <w:rFonts w:ascii="Times New Roman" w:hAnsi="Times New Roman"/>
          <w:szCs w:val="24"/>
        </w:rPr>
        <w:t>“</w:t>
      </w:r>
      <w:r w:rsidR="006219D6" w:rsidRPr="000E628E">
        <w:rPr>
          <w:rFonts w:ascii="Times New Roman" w:hAnsi="Times New Roman"/>
          <w:szCs w:val="24"/>
        </w:rPr>
        <w:t>Does the use of intensive insulin therapy to achieve tight glycemic control compared with less tight glycemic control improve health outcomes in the following settings or patient populations: surgical intensive care until (SICU), medical intensive care unit (MICU), general surgical ward, general medicine ward, patients with myocardial infarction or acute stroke, and patients in the perioperative setting?</w:t>
      </w:r>
      <w:r w:rsidRPr="000E628E">
        <w:rPr>
          <w:rFonts w:ascii="Times New Roman" w:hAnsi="Times New Roman"/>
          <w:szCs w:val="24"/>
        </w:rPr>
        <w:t>”</w:t>
      </w:r>
    </w:p>
    <w:p w14:paraId="65D44109" w14:textId="77777777" w:rsidR="006219D6" w:rsidRPr="000E628E" w:rsidRDefault="00F0099D" w:rsidP="006219D6">
      <w:pPr>
        <w:pStyle w:val="ListParagraph"/>
        <w:numPr>
          <w:ilvl w:val="0"/>
          <w:numId w:val="27"/>
        </w:numPr>
        <w:autoSpaceDE w:val="0"/>
        <w:autoSpaceDN w:val="0"/>
        <w:adjustRightInd w:val="0"/>
        <w:rPr>
          <w:rFonts w:ascii="Times New Roman" w:hAnsi="Times New Roman"/>
          <w:szCs w:val="24"/>
        </w:rPr>
      </w:pPr>
      <w:r w:rsidRPr="000E628E">
        <w:rPr>
          <w:rFonts w:ascii="Times New Roman" w:hAnsi="Times New Roman"/>
          <w:szCs w:val="24"/>
        </w:rPr>
        <w:t>“</w:t>
      </w:r>
      <w:r w:rsidR="0091060E" w:rsidRPr="000E628E">
        <w:rPr>
          <w:rFonts w:ascii="Times New Roman" w:hAnsi="Times New Roman"/>
          <w:szCs w:val="24"/>
        </w:rPr>
        <w:t>What are the harms</w:t>
      </w:r>
      <w:r w:rsidR="006219D6" w:rsidRPr="000E628E">
        <w:rPr>
          <w:rFonts w:ascii="Times New Roman" w:hAnsi="Times New Roman"/>
          <w:szCs w:val="24"/>
        </w:rPr>
        <w:t xml:space="preserve"> of stric</w:t>
      </w:r>
      <w:r w:rsidR="0091060E" w:rsidRPr="000E628E">
        <w:rPr>
          <w:rFonts w:ascii="Times New Roman" w:hAnsi="Times New Roman"/>
          <w:szCs w:val="24"/>
        </w:rPr>
        <w:t>t</w:t>
      </w:r>
      <w:r w:rsidR="006219D6" w:rsidRPr="000E628E">
        <w:rPr>
          <w:rFonts w:ascii="Times New Roman" w:hAnsi="Times New Roman"/>
          <w:szCs w:val="24"/>
        </w:rPr>
        <w:t xml:space="preserve"> glycemic control in the above subpopulations?</w:t>
      </w:r>
      <w:r w:rsidRPr="000E628E">
        <w:rPr>
          <w:rFonts w:ascii="Times New Roman" w:hAnsi="Times New Roman"/>
          <w:szCs w:val="24"/>
        </w:rPr>
        <w:t>”</w:t>
      </w:r>
      <w:r w:rsidR="006219D6" w:rsidRPr="000E628E">
        <w:rPr>
          <w:rFonts w:ascii="Times New Roman" w:hAnsi="Times New Roman"/>
          <w:szCs w:val="24"/>
        </w:rPr>
        <w:t xml:space="preserve"> </w:t>
      </w:r>
    </w:p>
    <w:p w14:paraId="65D4410A" w14:textId="77777777" w:rsidR="0091060E" w:rsidRPr="000E628E" w:rsidRDefault="00875F84" w:rsidP="0091060E">
      <w:pPr>
        <w:autoSpaceDE w:val="0"/>
        <w:autoSpaceDN w:val="0"/>
        <w:adjustRightInd w:val="0"/>
        <w:ind w:left="0" w:firstLine="0"/>
        <w:rPr>
          <w:rFonts w:ascii="Times New Roman" w:hAnsi="Times New Roman"/>
          <w:szCs w:val="24"/>
        </w:rPr>
      </w:pPr>
      <w:r w:rsidRPr="000E628E">
        <w:rPr>
          <w:rFonts w:ascii="Times New Roman" w:hAnsi="Times New Roman"/>
          <w:szCs w:val="24"/>
        </w:rPr>
        <w:t xml:space="preserve">The </w:t>
      </w:r>
      <w:r w:rsidR="0091060E" w:rsidRPr="000E628E">
        <w:rPr>
          <w:rFonts w:ascii="Times New Roman" w:hAnsi="Times New Roman"/>
          <w:szCs w:val="24"/>
        </w:rPr>
        <w:t>“Management of Hyperglycemia in Hospitalized Patients in Non-Critical Care Setting: An Endocrine Society Clinical Practice Guideline,” (Umpierrez et al., 2012)</w:t>
      </w:r>
      <w:r w:rsidRPr="000E628E">
        <w:rPr>
          <w:rFonts w:ascii="Times New Roman" w:hAnsi="Times New Roman"/>
          <w:szCs w:val="24"/>
        </w:rPr>
        <w:t xml:space="preserve"> focused on reviewing evidence </w:t>
      </w:r>
      <w:r w:rsidR="00CC261A" w:rsidRPr="000E628E">
        <w:rPr>
          <w:rFonts w:ascii="Times New Roman" w:hAnsi="Times New Roman"/>
          <w:szCs w:val="24"/>
        </w:rPr>
        <w:t xml:space="preserve">from the literature </w:t>
      </w:r>
      <w:r w:rsidRPr="000E628E">
        <w:rPr>
          <w:rFonts w:ascii="Times New Roman" w:hAnsi="Times New Roman"/>
          <w:szCs w:val="24"/>
        </w:rPr>
        <w:t xml:space="preserve">to </w:t>
      </w:r>
      <w:r w:rsidR="00CC261A" w:rsidRPr="000E628E">
        <w:rPr>
          <w:rFonts w:ascii="Times New Roman" w:hAnsi="Times New Roman"/>
          <w:szCs w:val="24"/>
        </w:rPr>
        <w:t>establish</w:t>
      </w:r>
      <w:r w:rsidRPr="000E628E">
        <w:rPr>
          <w:rFonts w:ascii="Times New Roman" w:hAnsi="Times New Roman"/>
          <w:szCs w:val="24"/>
        </w:rPr>
        <w:t xml:space="preserve"> </w:t>
      </w:r>
      <w:r w:rsidR="002D4F52" w:rsidRPr="000E628E">
        <w:rPr>
          <w:rFonts w:ascii="Times New Roman" w:hAnsi="Times New Roman"/>
          <w:szCs w:val="24"/>
        </w:rPr>
        <w:t>“</w:t>
      </w:r>
      <w:r w:rsidRPr="000E628E">
        <w:rPr>
          <w:rFonts w:ascii="Times New Roman" w:hAnsi="Times New Roman"/>
          <w:szCs w:val="24"/>
        </w:rPr>
        <w:t>consensus recommendations for the management of hyperglycemia in hospitalized patients in non-critical care settings.</w:t>
      </w:r>
      <w:r w:rsidR="002D4F52" w:rsidRPr="000E628E">
        <w:rPr>
          <w:rFonts w:ascii="Times New Roman" w:hAnsi="Times New Roman"/>
          <w:szCs w:val="24"/>
        </w:rPr>
        <w:t>”</w:t>
      </w:r>
    </w:p>
    <w:p w14:paraId="65D4410B" w14:textId="77777777" w:rsidR="006219D6" w:rsidRPr="000E628E" w:rsidRDefault="006219D6" w:rsidP="00EE5AF6">
      <w:pPr>
        <w:ind w:left="0" w:firstLine="0"/>
        <w:rPr>
          <w:b/>
        </w:rPr>
      </w:pPr>
    </w:p>
    <w:p w14:paraId="65D4410C" w14:textId="77777777" w:rsidR="0091060E" w:rsidRPr="000E628E" w:rsidRDefault="0091060E" w:rsidP="0091060E">
      <w:pPr>
        <w:autoSpaceDE w:val="0"/>
        <w:autoSpaceDN w:val="0"/>
        <w:adjustRightInd w:val="0"/>
        <w:ind w:left="0" w:firstLine="0"/>
        <w:rPr>
          <w:rFonts w:ascii="Times New Roman" w:hAnsi="Times New Roman"/>
          <w:szCs w:val="24"/>
        </w:rPr>
      </w:pPr>
      <w:r w:rsidRPr="000E628E">
        <w:rPr>
          <w:rFonts w:ascii="Times New Roman" w:hAnsi="Times New Roman"/>
          <w:szCs w:val="24"/>
        </w:rPr>
        <w:lastRenderedPageBreak/>
        <w:t xml:space="preserve">The “Standards of Medical Care in Diabetes—2013” (American Diabetes Association, 2013) </w:t>
      </w:r>
      <w:r w:rsidR="00753FC6" w:rsidRPr="000E628E">
        <w:rPr>
          <w:rFonts w:ascii="Times New Roman" w:hAnsi="Times New Roman"/>
          <w:szCs w:val="24"/>
        </w:rPr>
        <w:t xml:space="preserve">reviewed a large body of evidence that related to “screening, diagnostic, and therapeutic </w:t>
      </w:r>
      <w:r w:rsidR="002D4F52" w:rsidRPr="000E628E">
        <w:rPr>
          <w:rFonts w:ascii="Times New Roman" w:hAnsi="Times New Roman"/>
          <w:szCs w:val="24"/>
        </w:rPr>
        <w:t xml:space="preserve">actions </w:t>
      </w:r>
      <w:r w:rsidR="00753FC6" w:rsidRPr="000E628E">
        <w:rPr>
          <w:rFonts w:ascii="Times New Roman" w:hAnsi="Times New Roman"/>
          <w:szCs w:val="24"/>
        </w:rPr>
        <w:t xml:space="preserve">that are known </w:t>
      </w:r>
      <w:r w:rsidR="002D4F52" w:rsidRPr="000E628E">
        <w:rPr>
          <w:rFonts w:ascii="Times New Roman" w:hAnsi="Times New Roman"/>
          <w:szCs w:val="24"/>
        </w:rPr>
        <w:t xml:space="preserve">or believed </w:t>
      </w:r>
      <w:r w:rsidR="00753FC6" w:rsidRPr="000E628E">
        <w:rPr>
          <w:rFonts w:ascii="Times New Roman" w:hAnsi="Times New Roman"/>
          <w:szCs w:val="24"/>
        </w:rPr>
        <w:t>to f</w:t>
      </w:r>
      <w:r w:rsidR="002D4F52" w:rsidRPr="000E628E">
        <w:rPr>
          <w:rFonts w:ascii="Times New Roman" w:hAnsi="Times New Roman"/>
          <w:szCs w:val="24"/>
        </w:rPr>
        <w:t>avorabl</w:t>
      </w:r>
      <w:r w:rsidR="000E628E">
        <w:rPr>
          <w:rFonts w:ascii="Times New Roman" w:hAnsi="Times New Roman"/>
          <w:szCs w:val="24"/>
        </w:rPr>
        <w:t>y</w:t>
      </w:r>
      <w:r w:rsidR="002D4F52" w:rsidRPr="000E628E">
        <w:rPr>
          <w:rFonts w:ascii="Times New Roman" w:hAnsi="Times New Roman"/>
          <w:szCs w:val="24"/>
        </w:rPr>
        <w:t xml:space="preserve"> affect health outcomes of patients with diabetes</w:t>
      </w:r>
      <w:r w:rsidR="00753FC6" w:rsidRPr="000E628E">
        <w:rPr>
          <w:rFonts w:ascii="Times New Roman" w:hAnsi="Times New Roman"/>
          <w:szCs w:val="24"/>
        </w:rPr>
        <w:t>.</w:t>
      </w:r>
      <w:r w:rsidR="002D4F52" w:rsidRPr="000E628E">
        <w:rPr>
          <w:rFonts w:ascii="Times New Roman" w:hAnsi="Times New Roman"/>
          <w:szCs w:val="24"/>
        </w:rPr>
        <w:t>”</w:t>
      </w:r>
    </w:p>
    <w:p w14:paraId="65D4410D" w14:textId="77777777" w:rsidR="00EE5AF6" w:rsidRPr="000E628E" w:rsidRDefault="00EE5AF6" w:rsidP="00EE5AF6">
      <w:pPr>
        <w:ind w:left="0" w:firstLine="0"/>
      </w:pPr>
    </w:p>
    <w:p w14:paraId="65D4410E" w14:textId="77777777" w:rsidR="00691A8B" w:rsidRDefault="00691A8B" w:rsidP="00EE5AF6">
      <w:pPr>
        <w:ind w:left="0" w:firstLine="0"/>
        <w:rPr>
          <w:rFonts w:ascii="Times New Roman" w:hAnsi="Times New Roman"/>
          <w:szCs w:val="24"/>
        </w:rPr>
      </w:pPr>
      <w:r w:rsidRPr="000E628E">
        <w:rPr>
          <w:rFonts w:ascii="Times New Roman" w:hAnsi="Times New Roman"/>
          <w:szCs w:val="24"/>
        </w:rPr>
        <w:t xml:space="preserve">Although the guidelines provided a review of </w:t>
      </w:r>
      <w:r w:rsidR="000E628E">
        <w:rPr>
          <w:rFonts w:ascii="Times New Roman" w:hAnsi="Times New Roman"/>
          <w:szCs w:val="24"/>
        </w:rPr>
        <w:t xml:space="preserve">the </w:t>
      </w:r>
      <w:r w:rsidRPr="000E628E">
        <w:rPr>
          <w:rFonts w:ascii="Times New Roman" w:hAnsi="Times New Roman"/>
          <w:szCs w:val="24"/>
        </w:rPr>
        <w:t>body of the evidence supporting the reco</w:t>
      </w:r>
      <w:r w:rsidR="0063488D" w:rsidRPr="000E628E">
        <w:rPr>
          <w:rFonts w:ascii="Times New Roman" w:hAnsi="Times New Roman"/>
          <w:szCs w:val="24"/>
        </w:rPr>
        <w:t>mmendations listed in S</w:t>
      </w:r>
      <w:r w:rsidRPr="000E628E">
        <w:rPr>
          <w:rFonts w:ascii="Times New Roman" w:hAnsi="Times New Roman"/>
          <w:szCs w:val="24"/>
        </w:rPr>
        <w:t>ection</w:t>
      </w:r>
      <w:r w:rsidR="0063488D" w:rsidRPr="000E628E">
        <w:rPr>
          <w:rFonts w:ascii="Times New Roman" w:hAnsi="Times New Roman"/>
          <w:szCs w:val="24"/>
        </w:rPr>
        <w:t xml:space="preserve"> 1a.4.2</w:t>
      </w:r>
      <w:r w:rsidR="000E628E">
        <w:rPr>
          <w:rFonts w:ascii="Times New Roman" w:hAnsi="Times New Roman"/>
          <w:szCs w:val="24"/>
        </w:rPr>
        <w:t>, m</w:t>
      </w:r>
      <w:r w:rsidRPr="000E628E">
        <w:rPr>
          <w:rFonts w:ascii="Times New Roman" w:hAnsi="Times New Roman"/>
          <w:szCs w:val="24"/>
        </w:rPr>
        <w:t>any of the studies that the guidelines evaluated were investigating the use of intensive insulin therapy and its impact</w:t>
      </w:r>
      <w:r w:rsidR="0063488D" w:rsidRPr="000E628E">
        <w:rPr>
          <w:rFonts w:ascii="Times New Roman" w:hAnsi="Times New Roman"/>
          <w:szCs w:val="24"/>
        </w:rPr>
        <w:t xml:space="preserve"> on</w:t>
      </w:r>
      <w:r w:rsidRPr="000E628E">
        <w:rPr>
          <w:rFonts w:ascii="Times New Roman" w:hAnsi="Times New Roman"/>
          <w:szCs w:val="24"/>
        </w:rPr>
        <w:t xml:space="preserve"> health outcome</w:t>
      </w:r>
      <w:r w:rsidR="0063488D" w:rsidRPr="000E628E">
        <w:rPr>
          <w:rFonts w:ascii="Times New Roman" w:hAnsi="Times New Roman"/>
          <w:szCs w:val="24"/>
        </w:rPr>
        <w:t>s, which did</w:t>
      </w:r>
      <w:r w:rsidRPr="000E628E">
        <w:rPr>
          <w:rFonts w:ascii="Times New Roman" w:hAnsi="Times New Roman"/>
          <w:szCs w:val="24"/>
        </w:rPr>
        <w:t xml:space="preserve"> not align with the focus of the measure. Therefore, an empirical search of evidence was conducted by the measure developer to find literature that addressed the relationship between inpatient hyperglycemia and patient outcomes and/or resource utilization. Based on the </w:t>
      </w:r>
      <w:r w:rsidR="0063488D" w:rsidRPr="000E628E">
        <w:rPr>
          <w:rFonts w:ascii="Times New Roman" w:hAnsi="Times New Roman"/>
          <w:szCs w:val="24"/>
        </w:rPr>
        <w:t>studies found</w:t>
      </w:r>
      <w:r w:rsidRPr="000E628E">
        <w:rPr>
          <w:rFonts w:ascii="Times New Roman" w:hAnsi="Times New Roman"/>
          <w:szCs w:val="24"/>
        </w:rPr>
        <w:t xml:space="preserve"> from</w:t>
      </w:r>
      <w:r w:rsidR="0063488D" w:rsidRPr="000E628E">
        <w:rPr>
          <w:rFonts w:ascii="Times New Roman" w:hAnsi="Times New Roman"/>
          <w:szCs w:val="24"/>
        </w:rPr>
        <w:t xml:space="preserve"> the empirical search, the measure developer evaluated the quantity and quality of evidence and reported the findings in Section</w:t>
      </w:r>
      <w:r w:rsidR="000E628E">
        <w:rPr>
          <w:rFonts w:ascii="Times New Roman" w:hAnsi="Times New Roman"/>
          <w:szCs w:val="24"/>
        </w:rPr>
        <w:t>s</w:t>
      </w:r>
      <w:r w:rsidR="0063488D" w:rsidRPr="000E628E">
        <w:rPr>
          <w:rFonts w:ascii="Times New Roman" w:hAnsi="Times New Roman"/>
          <w:szCs w:val="24"/>
        </w:rPr>
        <w:t xml:space="preserve"> 1a.8.1and 1a.8.2.</w:t>
      </w:r>
    </w:p>
    <w:p w14:paraId="65D4410F" w14:textId="77777777" w:rsidR="00691A8B" w:rsidRPr="00691A8B" w:rsidRDefault="00691A8B" w:rsidP="00EE5AF6">
      <w:pPr>
        <w:ind w:left="0" w:firstLine="0"/>
        <w:rPr>
          <w:rFonts w:ascii="Times New Roman" w:hAnsi="Times New Roman"/>
          <w:szCs w:val="24"/>
        </w:rPr>
      </w:pPr>
    </w:p>
    <w:p w14:paraId="65D44110" w14:textId="77777777" w:rsidR="00095EC9"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14:paraId="65D44111" w14:textId="77777777" w:rsidR="0091060E" w:rsidRDefault="00691A8B" w:rsidP="00EA79C9">
      <w:pPr>
        <w:ind w:left="0" w:firstLine="0"/>
        <w:rPr>
          <w:rFonts w:ascii="Times New Roman" w:hAnsi="Times New Roman"/>
          <w:szCs w:val="24"/>
        </w:rPr>
      </w:pPr>
      <w:r w:rsidRPr="00691A8B">
        <w:rPr>
          <w:rFonts w:ascii="Times New Roman" w:hAnsi="Times New Roman"/>
          <w:szCs w:val="24"/>
        </w:rPr>
        <w:t xml:space="preserve">Please see </w:t>
      </w:r>
      <w:r>
        <w:rPr>
          <w:rFonts w:ascii="Times New Roman" w:hAnsi="Times New Roman"/>
          <w:szCs w:val="24"/>
        </w:rPr>
        <w:t>Sections 1a.4.2 and</w:t>
      </w:r>
      <w:r w:rsidRPr="00691A8B">
        <w:rPr>
          <w:rFonts w:ascii="Times New Roman" w:hAnsi="Times New Roman"/>
          <w:szCs w:val="24"/>
        </w:rPr>
        <w:t xml:space="preserve"> 1a.4.3</w:t>
      </w:r>
      <w:r>
        <w:rPr>
          <w:rFonts w:ascii="Times New Roman" w:hAnsi="Times New Roman"/>
          <w:szCs w:val="24"/>
        </w:rPr>
        <w:t>.</w:t>
      </w:r>
    </w:p>
    <w:p w14:paraId="65D44112" w14:textId="77777777" w:rsidR="00AE140B" w:rsidRDefault="00AE140B" w:rsidP="00EA79C9">
      <w:pPr>
        <w:ind w:left="0" w:firstLine="0"/>
      </w:pPr>
    </w:p>
    <w:p w14:paraId="65D44113" w14:textId="77777777" w:rsidR="00A12762" w:rsidRDefault="00095EC9" w:rsidP="002E2177">
      <w:pPr>
        <w:ind w:left="0" w:firstLine="0"/>
        <w:rPr>
          <w:b/>
        </w:rPr>
      </w:pPr>
      <w:r w:rsidRPr="00CB06C9">
        <w:rPr>
          <w:b/>
          <w:noProof/>
          <w:color w:val="0000FF"/>
        </w:rPr>
        <w:t>1a.7.</w:t>
      </w:r>
      <w:r>
        <w:rPr>
          <w:b/>
          <w:noProof/>
          <w:color w:val="0000FF"/>
        </w:rPr>
        <w:t>3</w:t>
      </w:r>
      <w:r w:rsidRPr="00CB06C9">
        <w:rPr>
          <w:b/>
          <w:noProof/>
          <w:color w:val="0000FF"/>
        </w:rPr>
        <w:t>.</w:t>
      </w:r>
      <w:r>
        <w:rPr>
          <w:b/>
          <w:noProof/>
          <w:color w:val="0000FF"/>
        </w:rPr>
        <w:t xml:space="preserve"> </w:t>
      </w:r>
      <w:r w:rsidR="00EA79C9">
        <w:rPr>
          <w:b/>
        </w:rPr>
        <w:t xml:space="preserve">Provide all </w:t>
      </w:r>
      <w:r w:rsidR="00205857">
        <w:rPr>
          <w:b/>
        </w:rPr>
        <w:t xml:space="preserve">other </w:t>
      </w:r>
      <w:r w:rsidR="00EA79C9">
        <w:rPr>
          <w:b/>
        </w:rPr>
        <w:t xml:space="preserve">grades and associated definitions for strength of the evidence in the </w:t>
      </w:r>
      <w:r w:rsidR="00C54E40">
        <w:rPr>
          <w:b/>
        </w:rPr>
        <w:t xml:space="preserve">grading system. </w:t>
      </w:r>
    </w:p>
    <w:p w14:paraId="65D44114" w14:textId="77777777" w:rsidR="00691A8B" w:rsidRPr="00691A8B" w:rsidRDefault="00691A8B" w:rsidP="00691A8B">
      <w:pPr>
        <w:ind w:left="0" w:firstLine="0"/>
        <w:rPr>
          <w:rFonts w:ascii="Times New Roman" w:hAnsi="Times New Roman"/>
          <w:szCs w:val="24"/>
        </w:rPr>
      </w:pPr>
      <w:r w:rsidRPr="00691A8B">
        <w:rPr>
          <w:rFonts w:ascii="Times New Roman" w:hAnsi="Times New Roman"/>
          <w:szCs w:val="24"/>
        </w:rPr>
        <w:t xml:space="preserve">Please see </w:t>
      </w:r>
      <w:r>
        <w:rPr>
          <w:rFonts w:ascii="Times New Roman" w:hAnsi="Times New Roman"/>
          <w:szCs w:val="24"/>
        </w:rPr>
        <w:t>Section</w:t>
      </w:r>
      <w:r w:rsidRPr="00691A8B">
        <w:rPr>
          <w:rFonts w:ascii="Times New Roman" w:hAnsi="Times New Roman"/>
          <w:szCs w:val="24"/>
        </w:rPr>
        <w:t xml:space="preserve"> 1a.4.4.</w:t>
      </w:r>
    </w:p>
    <w:p w14:paraId="65D44115" w14:textId="77777777" w:rsidR="00691A8B" w:rsidRPr="00C65FF6" w:rsidRDefault="00691A8B" w:rsidP="002E2177">
      <w:pPr>
        <w:ind w:left="0" w:firstLine="0"/>
        <w:rPr>
          <w:color w:val="0000FF"/>
        </w:rPr>
      </w:pPr>
    </w:p>
    <w:p w14:paraId="65D44116" w14:textId="77777777" w:rsidR="00496AF8" w:rsidRPr="00E51798" w:rsidRDefault="00496AF8" w:rsidP="002E2177">
      <w:pPr>
        <w:ind w:left="432" w:hanging="432"/>
      </w:pPr>
      <w:bookmarkStart w:id="10" w:name="Section1a7"/>
      <w:bookmarkEnd w:id="10"/>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rPr>
          <w:id w:val="-1666395719"/>
          <w:showingPlcHdr/>
        </w:sdtPr>
        <w:sdtEndPr>
          <w:rPr>
            <w:rStyle w:val="DefaultParagraphFont"/>
            <w:color w:val="auto"/>
            <w:u w:val="none"/>
          </w:rPr>
        </w:sdtEndPr>
        <w:sdtContent>
          <w:r w:rsidRPr="00E51798">
            <w:rPr>
              <w:rStyle w:val="PlaceholderText"/>
              <w:rFonts w:cstheme="minorHAnsi"/>
              <w:color w:val="A6A6A6" w:themeColor="background1" w:themeShade="A6"/>
            </w:rPr>
            <w:t>Click here to enter date range</w:t>
          </w:r>
        </w:sdtContent>
      </w:sdt>
    </w:p>
    <w:p w14:paraId="65D44117" w14:textId="77777777" w:rsidR="00691A8B" w:rsidRDefault="00691A8B" w:rsidP="002E2177">
      <w:pPr>
        <w:ind w:left="0" w:firstLine="0"/>
        <w:rPr>
          <w:b/>
          <w:noProof/>
        </w:rPr>
      </w:pPr>
    </w:p>
    <w:p w14:paraId="65D44118" w14:textId="77777777" w:rsidR="00496AF8" w:rsidRPr="003956E0" w:rsidRDefault="00C5180E" w:rsidP="002E2177">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14:paraId="65D44119" w14:textId="77777777" w:rsidR="00496AF8" w:rsidRPr="000D649E" w:rsidRDefault="001B772D" w:rsidP="00C65FF6">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14:paraId="65D4411A" w14:textId="77777777"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r w:rsidR="00496AF8" w:rsidRPr="00C5180E">
        <w:rPr>
          <w:b/>
        </w:rPr>
        <w:t xml:space="preserve">What is the overall quality of evidence </w:t>
      </w:r>
      <w:r w:rsidR="00496AF8" w:rsidRPr="00C5180E">
        <w:rPr>
          <w:b/>
          <w:u w:val="single"/>
        </w:rPr>
        <w:t>across studies</w:t>
      </w:r>
      <w:r w:rsidR="00496AF8" w:rsidRPr="00C5180E">
        <w:rPr>
          <w:b/>
        </w:rPr>
        <w:t xml:space="preserve"> in the body of evidence</w:t>
      </w:r>
      <w:r w:rsidR="00496AF8" w:rsidRPr="001B772D">
        <w:t>? (</w:t>
      </w:r>
      <w:r w:rsidR="006709EB" w:rsidRPr="006709EB">
        <w:rPr>
          <w:i/>
        </w:rPr>
        <w:t xml:space="preserve">discuss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14:paraId="65D4411B" w14:textId="77777777" w:rsidR="00D14F0B" w:rsidRPr="00A91C0B" w:rsidRDefault="00D14F0B" w:rsidP="002E2177">
      <w:pPr>
        <w:ind w:left="0" w:firstLine="0"/>
      </w:pPr>
    </w:p>
    <w:p w14:paraId="65D4411C" w14:textId="77777777"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14:paraId="65D4411D" w14:textId="77777777" w:rsidR="009B5BEA" w:rsidRPr="004F0883" w:rsidRDefault="001B772D" w:rsidP="00C65FF6">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r w:rsidR="00496AF8" w:rsidRPr="00C5180E">
        <w:rPr>
          <w:b/>
        </w:rPr>
        <w:t xml:space="preserve">What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14:paraId="65D4411E" w14:textId="77777777" w:rsidR="00496AF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r w:rsidR="00496AF8" w:rsidRPr="00C5180E">
        <w:rPr>
          <w:b/>
        </w:rPr>
        <w:t>What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14:paraId="65D4411F" w14:textId="77777777" w:rsidR="00496AF8" w:rsidRPr="00A91C0B" w:rsidRDefault="00496AF8" w:rsidP="002E2177">
      <w:pPr>
        <w:ind w:left="0" w:firstLine="0"/>
      </w:pPr>
    </w:p>
    <w:p w14:paraId="65D44120" w14:textId="77777777"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14:paraId="65D44121" w14:textId="77777777"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14:paraId="65D44122" w14:textId="77777777" w:rsidR="0094689F" w:rsidRDefault="0094689F" w:rsidP="002E2177">
      <w:pPr>
        <w:ind w:left="0" w:firstLine="0"/>
        <w:rPr>
          <w:b/>
          <w:color w:val="0070C0"/>
        </w:rPr>
      </w:pPr>
    </w:p>
    <w:p w14:paraId="65D44123" w14:textId="77777777" w:rsidR="00837121" w:rsidRPr="00837121" w:rsidRDefault="00837121" w:rsidP="002E2177">
      <w:pPr>
        <w:ind w:left="0" w:firstLine="0"/>
        <w:rPr>
          <w:b/>
        </w:rPr>
      </w:pPr>
      <w:bookmarkStart w:id="11" w:name="Section1a8"/>
      <w:bookmarkEnd w:id="11"/>
      <w:r w:rsidRPr="0015535B">
        <w:rPr>
          <w:b/>
          <w:color w:val="0000FF"/>
        </w:rPr>
        <w:t xml:space="preserve">1a.8 </w:t>
      </w:r>
      <w:r w:rsidRPr="00837121">
        <w:rPr>
          <w:b/>
        </w:rPr>
        <w:t>OTHER SOURCE OF EVIDENCE</w:t>
      </w:r>
    </w:p>
    <w:p w14:paraId="65D44124" w14:textId="77777777" w:rsidR="00837121" w:rsidRPr="00CB06C9" w:rsidRDefault="00837121" w:rsidP="002E2177">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14:paraId="65D44125" w14:textId="77777777" w:rsidR="008C0215" w:rsidRPr="0075280A" w:rsidRDefault="008C0215" w:rsidP="008C0215">
      <w:pPr>
        <w:ind w:left="0" w:firstLine="0"/>
        <w:rPr>
          <w:rFonts w:ascii="Times New Roman" w:hAnsi="Times New Roman" w:cs="Times New Roman"/>
        </w:rPr>
      </w:pPr>
      <w:r w:rsidRPr="0075280A">
        <w:rPr>
          <w:rFonts w:ascii="Times New Roman" w:hAnsi="Times New Roman" w:cs="Times New Roman"/>
        </w:rPr>
        <w:t xml:space="preserve">In this section, we summarize the findings of </w:t>
      </w:r>
      <w:r>
        <w:rPr>
          <w:rFonts w:ascii="Times New Roman" w:hAnsi="Times New Roman" w:cs="Times New Roman"/>
        </w:rPr>
        <w:t>nine</w:t>
      </w:r>
      <w:r w:rsidRPr="0075280A">
        <w:rPr>
          <w:rFonts w:ascii="Times New Roman" w:hAnsi="Times New Roman" w:cs="Times New Roman"/>
        </w:rPr>
        <w:t xml:space="preserve"> recent studies </w:t>
      </w:r>
      <w:r w:rsidR="003849B4">
        <w:rPr>
          <w:rFonts w:ascii="Times New Roman" w:hAnsi="Times New Roman" w:cs="Times New Roman"/>
        </w:rPr>
        <w:t xml:space="preserve">published in the medical literature </w:t>
      </w:r>
      <w:r w:rsidR="004031B7">
        <w:rPr>
          <w:rFonts w:ascii="Times New Roman" w:hAnsi="Times New Roman" w:cs="Times New Roman"/>
        </w:rPr>
        <w:t>that focus on</w:t>
      </w:r>
      <w:r w:rsidRPr="0075280A">
        <w:rPr>
          <w:rFonts w:ascii="Times New Roman" w:hAnsi="Times New Roman" w:cs="Times New Roman"/>
        </w:rPr>
        <w:t xml:space="preserve"> the relationship between </w:t>
      </w:r>
      <w:r w:rsidR="00480ECC">
        <w:rPr>
          <w:rFonts w:ascii="Times New Roman" w:hAnsi="Times New Roman" w:cs="Times New Roman"/>
        </w:rPr>
        <w:t>hyperglycemia</w:t>
      </w:r>
      <w:r w:rsidR="004031B7" w:rsidRPr="0075280A">
        <w:rPr>
          <w:rFonts w:ascii="Times New Roman" w:hAnsi="Times New Roman" w:cs="Times New Roman"/>
        </w:rPr>
        <w:t xml:space="preserve"> </w:t>
      </w:r>
      <w:r w:rsidRPr="0075280A">
        <w:rPr>
          <w:rFonts w:ascii="Times New Roman" w:hAnsi="Times New Roman" w:cs="Times New Roman"/>
        </w:rPr>
        <w:t xml:space="preserve">and patient outcomes </w:t>
      </w:r>
      <w:r w:rsidR="00480ECC">
        <w:rPr>
          <w:rFonts w:ascii="Times New Roman" w:hAnsi="Times New Roman" w:cs="Times New Roman"/>
        </w:rPr>
        <w:t>in the hospital setting</w:t>
      </w:r>
      <w:r w:rsidRPr="0075280A">
        <w:rPr>
          <w:rFonts w:ascii="Times New Roman" w:hAnsi="Times New Roman" w:cs="Times New Roman"/>
        </w:rPr>
        <w:t xml:space="preserve">. </w:t>
      </w:r>
    </w:p>
    <w:p w14:paraId="65D44126" w14:textId="77777777" w:rsidR="008C0215" w:rsidRDefault="008C0215" w:rsidP="002E2177">
      <w:pPr>
        <w:ind w:left="0" w:firstLine="0"/>
      </w:pPr>
    </w:p>
    <w:p w14:paraId="65D44127" w14:textId="77777777" w:rsidR="00837121" w:rsidRDefault="00837121" w:rsidP="002E2177">
      <w:pPr>
        <w:ind w:left="0" w:firstLine="0"/>
      </w:pPr>
      <w:r w:rsidRPr="0015535B">
        <w:rPr>
          <w:b/>
          <w:color w:val="0000FF"/>
        </w:rPr>
        <w:t>1a.8.1</w:t>
      </w:r>
      <w:r w:rsidRPr="006C7F30">
        <w:rPr>
          <w:color w:val="0070C0"/>
        </w:rPr>
        <w:t xml:space="preserve"> </w:t>
      </w:r>
      <w:r w:rsidRPr="006C7F30">
        <w:rPr>
          <w:b/>
        </w:rPr>
        <w:t>What process was used to identify the evidence?</w:t>
      </w:r>
    </w:p>
    <w:p w14:paraId="65D44128" w14:textId="1117111B" w:rsidR="008134FF" w:rsidRDefault="008134FF" w:rsidP="008134FF">
      <w:pPr>
        <w:shd w:val="clear" w:color="auto" w:fill="FFFFFF"/>
        <w:ind w:left="0" w:firstLine="0"/>
        <w:rPr>
          <w:rFonts w:ascii="Times New Roman" w:hAnsi="Times New Roman"/>
          <w:szCs w:val="24"/>
        </w:rPr>
      </w:pPr>
      <w:r>
        <w:rPr>
          <w:rFonts w:ascii="Times New Roman" w:hAnsi="Times New Roman"/>
          <w:szCs w:val="24"/>
        </w:rPr>
        <w:lastRenderedPageBreak/>
        <w:t>Nine</w:t>
      </w:r>
      <w:r w:rsidRPr="00AE1FAB">
        <w:rPr>
          <w:rFonts w:ascii="Times New Roman" w:hAnsi="Times New Roman"/>
          <w:szCs w:val="24"/>
        </w:rPr>
        <w:t xml:space="preserve"> studies were identified using hand searches of reference lists of relevant clinical practice guidelines</w:t>
      </w:r>
      <w:r>
        <w:rPr>
          <w:rFonts w:ascii="Times New Roman" w:hAnsi="Times New Roman"/>
          <w:szCs w:val="24"/>
        </w:rPr>
        <w:t xml:space="preserve"> and other relevant articles</w:t>
      </w:r>
      <w:r w:rsidRPr="00A7722E">
        <w:rPr>
          <w:rFonts w:ascii="Times New Roman" w:hAnsi="Times New Roman"/>
          <w:szCs w:val="24"/>
        </w:rPr>
        <w:t xml:space="preserve"> and Web of Science citation searches of key articles. The studies from both types of searches were reviewed to identify those that addressed the relationship between inpatient hyperglycemia and patient outcomes and/or resource utilization. The </w:t>
      </w:r>
      <w:r w:rsidR="003031DF">
        <w:rPr>
          <w:rFonts w:ascii="Times New Roman" w:hAnsi="Times New Roman"/>
          <w:szCs w:val="24"/>
        </w:rPr>
        <w:t>9</w:t>
      </w:r>
      <w:r w:rsidRPr="00A7722E">
        <w:rPr>
          <w:rFonts w:ascii="Times New Roman" w:hAnsi="Times New Roman"/>
          <w:szCs w:val="24"/>
        </w:rPr>
        <w:t xml:space="preserve"> selected studies met the following criteria: the study measured hyperglycemia in the inpatient setting, the study reported patient outcomes and/or length of stay in subgroups defined by blood glucose levels, and the study was published in the last </w:t>
      </w:r>
      <w:r w:rsidR="00295553">
        <w:rPr>
          <w:rFonts w:ascii="Times New Roman" w:hAnsi="Times New Roman"/>
          <w:szCs w:val="24"/>
        </w:rPr>
        <w:t>eleven</w:t>
      </w:r>
      <w:r w:rsidRPr="00A7722E">
        <w:rPr>
          <w:rFonts w:ascii="Times New Roman" w:hAnsi="Times New Roman"/>
          <w:szCs w:val="24"/>
        </w:rPr>
        <w:t xml:space="preserve"> years.</w:t>
      </w:r>
    </w:p>
    <w:p w14:paraId="65D44129" w14:textId="77777777" w:rsidR="00CD036C" w:rsidRPr="0075280A" w:rsidRDefault="00CD036C" w:rsidP="00CD036C">
      <w:pPr>
        <w:ind w:left="0" w:firstLine="0"/>
        <w:rPr>
          <w:rFonts w:ascii="Times New Roman" w:hAnsi="Times New Roman" w:cs="Times New Roman"/>
        </w:rPr>
      </w:pPr>
    </w:p>
    <w:p w14:paraId="65D4412A" w14:textId="77777777" w:rsidR="00837121" w:rsidRDefault="00837121" w:rsidP="002E2177">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14:paraId="65D4412B" w14:textId="77777777" w:rsidR="0053751F" w:rsidRPr="00002604" w:rsidRDefault="00002604" w:rsidP="0053751F">
      <w:pPr>
        <w:pStyle w:val="NoSpacing"/>
        <w:rPr>
          <w:rFonts w:ascii="Times New Roman" w:eastAsia="Times New Roman" w:hAnsi="Times New Roman"/>
          <w:u w:val="single"/>
        </w:rPr>
      </w:pPr>
      <w:r w:rsidRPr="00002604">
        <w:rPr>
          <w:rFonts w:ascii="Times New Roman" w:eastAsia="Times New Roman" w:hAnsi="Times New Roman"/>
          <w:u w:val="single"/>
        </w:rPr>
        <w:t>Summary of Recently Published Studies</w:t>
      </w:r>
    </w:p>
    <w:p w14:paraId="65D4412C" w14:textId="77777777" w:rsidR="00480ECC" w:rsidRPr="009C74EC" w:rsidRDefault="00480ECC" w:rsidP="00480ECC">
      <w:pPr>
        <w:shd w:val="clear" w:color="auto" w:fill="FFFFFF"/>
        <w:ind w:left="0" w:firstLine="0"/>
        <w:rPr>
          <w:rFonts w:ascii="Times New Roman" w:eastAsia="Times New Roman" w:hAnsi="Times New Roman" w:cs="Times New Roman"/>
        </w:rPr>
      </w:pPr>
      <w:r>
        <w:rPr>
          <w:rFonts w:ascii="Times New Roman" w:hAnsi="Times New Roman" w:cs="Times New Roman"/>
        </w:rPr>
        <w:t>T</w:t>
      </w:r>
      <w:r w:rsidRPr="005444B2">
        <w:rPr>
          <w:rFonts w:ascii="Times New Roman" w:hAnsi="Times New Roman" w:cs="Times New Roman"/>
        </w:rPr>
        <w:t xml:space="preserve">he magnitude and direction of the association between </w:t>
      </w:r>
      <w:r>
        <w:rPr>
          <w:rFonts w:ascii="Times New Roman" w:hAnsi="Times New Roman" w:cs="Times New Roman"/>
        </w:rPr>
        <w:t>hyperglycemia</w:t>
      </w:r>
      <w:r w:rsidRPr="005444B2">
        <w:rPr>
          <w:rFonts w:ascii="Times New Roman" w:hAnsi="Times New Roman" w:cs="Times New Roman"/>
        </w:rPr>
        <w:t xml:space="preserve"> </w:t>
      </w:r>
      <w:r>
        <w:rPr>
          <w:rFonts w:ascii="Times New Roman" w:hAnsi="Times New Roman" w:cs="Times New Roman"/>
        </w:rPr>
        <w:t>and patient</w:t>
      </w:r>
      <w:r w:rsidRPr="005444B2">
        <w:rPr>
          <w:rFonts w:ascii="Times New Roman" w:hAnsi="Times New Roman" w:cs="Times New Roman"/>
        </w:rPr>
        <w:t xml:space="preserve"> outcomes were highly consistent </w:t>
      </w:r>
      <w:r>
        <w:rPr>
          <w:rFonts w:ascii="Times New Roman" w:hAnsi="Times New Roman" w:cs="Times New Roman"/>
        </w:rPr>
        <w:t xml:space="preserve">in </w:t>
      </w:r>
      <w:r w:rsidRPr="005444B2">
        <w:rPr>
          <w:rFonts w:ascii="Times New Roman" w:hAnsi="Times New Roman" w:cs="Times New Roman"/>
        </w:rPr>
        <w:t xml:space="preserve">the </w:t>
      </w:r>
      <w:r w:rsidR="004D693F">
        <w:rPr>
          <w:rFonts w:ascii="Times New Roman" w:hAnsi="Times New Roman" w:cs="Times New Roman"/>
        </w:rPr>
        <w:t>nine</w:t>
      </w:r>
      <w:r w:rsidRPr="005444B2">
        <w:rPr>
          <w:rFonts w:ascii="Times New Roman" w:hAnsi="Times New Roman" w:cs="Times New Roman"/>
        </w:rPr>
        <w:t xml:space="preserve"> studies </w:t>
      </w:r>
      <w:r>
        <w:rPr>
          <w:rFonts w:ascii="Times New Roman" w:hAnsi="Times New Roman" w:cs="Times New Roman"/>
        </w:rPr>
        <w:t>that were recently published</w:t>
      </w:r>
      <w:r w:rsidRPr="005444B2">
        <w:rPr>
          <w:rFonts w:ascii="Times New Roman" w:hAnsi="Times New Roman" w:cs="Times New Roman"/>
        </w:rPr>
        <w:t xml:space="preserve"> in the peer-reviewed literature. </w:t>
      </w:r>
      <w:r w:rsidRPr="009C74EC">
        <w:rPr>
          <w:rFonts w:ascii="Times New Roman" w:eastAsia="Times New Roman" w:hAnsi="Times New Roman" w:cs="Times New Roman"/>
          <w:iCs/>
        </w:rPr>
        <w:t xml:space="preserve">The evidence from these studies is directly relevant to the focus of the measure and target population. </w:t>
      </w:r>
      <w:r w:rsidRPr="009C74EC">
        <w:rPr>
          <w:rFonts w:ascii="Times New Roman" w:eastAsia="Times New Roman" w:hAnsi="Times New Roman" w:cs="Times New Roman"/>
        </w:rPr>
        <w:t xml:space="preserve">The focus of the </w:t>
      </w:r>
      <w:r w:rsidR="004D693F">
        <w:rPr>
          <w:rFonts w:ascii="Times New Roman" w:eastAsia="Times New Roman" w:hAnsi="Times New Roman" w:cs="Times New Roman"/>
        </w:rPr>
        <w:t>nine</w:t>
      </w:r>
      <w:r w:rsidR="003031DF">
        <w:rPr>
          <w:rFonts w:ascii="Times New Roman" w:eastAsia="Times New Roman" w:hAnsi="Times New Roman" w:cs="Times New Roman"/>
        </w:rPr>
        <w:t xml:space="preserve"> </w:t>
      </w:r>
      <w:r w:rsidRPr="009C74EC">
        <w:rPr>
          <w:rFonts w:ascii="Times New Roman" w:eastAsia="Times New Roman" w:hAnsi="Times New Roman" w:cs="Times New Roman"/>
        </w:rPr>
        <w:t xml:space="preserve">studies and of the measure is on </w:t>
      </w:r>
      <w:r>
        <w:rPr>
          <w:rFonts w:ascii="Times New Roman" w:eastAsia="Times New Roman" w:hAnsi="Times New Roman" w:cs="Times New Roman"/>
        </w:rPr>
        <w:t>hyperglycemia in</w:t>
      </w:r>
      <w:r w:rsidRPr="009C74EC">
        <w:rPr>
          <w:rFonts w:ascii="Times New Roman" w:eastAsia="Times New Roman" w:hAnsi="Times New Roman" w:cs="Times New Roman"/>
        </w:rPr>
        <w:t xml:space="preserve"> adult patients </w:t>
      </w:r>
      <w:r w:rsidR="00856F07">
        <w:rPr>
          <w:rFonts w:ascii="Times New Roman" w:eastAsia="Times New Roman" w:hAnsi="Times New Roman" w:cs="Times New Roman"/>
        </w:rPr>
        <w:t>in the hospital setting</w:t>
      </w:r>
      <w:r w:rsidRPr="009C74EC">
        <w:rPr>
          <w:rFonts w:ascii="Times New Roman" w:eastAsia="Times New Roman" w:hAnsi="Times New Roman" w:cs="Times New Roman"/>
        </w:rPr>
        <w:t>.</w:t>
      </w:r>
    </w:p>
    <w:p w14:paraId="65D4412D" w14:textId="77777777" w:rsidR="00480ECC" w:rsidRDefault="00480ECC" w:rsidP="00010EA9">
      <w:pPr>
        <w:ind w:left="0" w:firstLine="0"/>
        <w:rPr>
          <w:rFonts w:ascii="Times New Roman" w:hAnsi="Times New Roman"/>
          <w:bCs/>
          <w:szCs w:val="24"/>
          <w:u w:val="single"/>
        </w:rPr>
      </w:pPr>
    </w:p>
    <w:p w14:paraId="65D4412E" w14:textId="77777777" w:rsidR="00010EA9" w:rsidRPr="00EE6FC2" w:rsidRDefault="00010EA9" w:rsidP="00010EA9">
      <w:pPr>
        <w:ind w:left="0" w:firstLine="0"/>
        <w:rPr>
          <w:rFonts w:ascii="Times New Roman" w:hAnsi="Times New Roman"/>
          <w:bCs/>
          <w:szCs w:val="24"/>
          <w:u w:val="single"/>
        </w:rPr>
      </w:pPr>
      <w:r w:rsidRPr="00EE6FC2">
        <w:rPr>
          <w:rFonts w:ascii="Times New Roman" w:hAnsi="Times New Roman"/>
          <w:bCs/>
          <w:szCs w:val="24"/>
          <w:u w:val="single"/>
        </w:rPr>
        <w:t xml:space="preserve">Consistency and </w:t>
      </w:r>
      <w:r w:rsidR="00343A56">
        <w:rPr>
          <w:rFonts w:ascii="Times New Roman" w:hAnsi="Times New Roman"/>
          <w:bCs/>
          <w:szCs w:val="24"/>
          <w:u w:val="single"/>
        </w:rPr>
        <w:t>M</w:t>
      </w:r>
      <w:r w:rsidRPr="00EE6FC2">
        <w:rPr>
          <w:rFonts w:ascii="Times New Roman" w:hAnsi="Times New Roman"/>
          <w:bCs/>
          <w:szCs w:val="24"/>
          <w:u w:val="single"/>
        </w:rPr>
        <w:t xml:space="preserve">agnitude of </w:t>
      </w:r>
      <w:r w:rsidR="00343A56">
        <w:rPr>
          <w:rFonts w:ascii="Times New Roman" w:hAnsi="Times New Roman"/>
          <w:bCs/>
          <w:szCs w:val="24"/>
          <w:u w:val="single"/>
        </w:rPr>
        <w:t>E</w:t>
      </w:r>
      <w:r w:rsidRPr="00EE6FC2">
        <w:rPr>
          <w:rFonts w:ascii="Times New Roman" w:hAnsi="Times New Roman"/>
          <w:bCs/>
          <w:szCs w:val="24"/>
          <w:u w:val="single"/>
        </w:rPr>
        <w:t xml:space="preserve">ffect </w:t>
      </w:r>
      <w:r w:rsidR="00343A56">
        <w:rPr>
          <w:rFonts w:ascii="Times New Roman" w:hAnsi="Times New Roman"/>
          <w:bCs/>
          <w:szCs w:val="24"/>
          <w:u w:val="single"/>
        </w:rPr>
        <w:t>R</w:t>
      </w:r>
      <w:r w:rsidRPr="00EE6FC2">
        <w:rPr>
          <w:rFonts w:ascii="Times New Roman" w:hAnsi="Times New Roman"/>
          <w:bCs/>
          <w:szCs w:val="24"/>
          <w:u w:val="single"/>
        </w:rPr>
        <w:t xml:space="preserve">elated to </w:t>
      </w:r>
      <w:r w:rsidR="00343A56">
        <w:rPr>
          <w:rFonts w:ascii="Times New Roman" w:hAnsi="Times New Roman"/>
          <w:bCs/>
          <w:szCs w:val="24"/>
          <w:u w:val="single"/>
        </w:rPr>
        <w:t>M</w:t>
      </w:r>
      <w:r w:rsidRPr="00EE6FC2">
        <w:rPr>
          <w:rFonts w:ascii="Times New Roman" w:hAnsi="Times New Roman"/>
          <w:bCs/>
          <w:szCs w:val="24"/>
          <w:u w:val="single"/>
        </w:rPr>
        <w:t>ortality</w:t>
      </w:r>
    </w:p>
    <w:p w14:paraId="65D4412F" w14:textId="3D405266" w:rsidR="00010EA9" w:rsidRPr="00A7722E" w:rsidRDefault="00010EA9" w:rsidP="00010EA9">
      <w:pPr>
        <w:ind w:left="0" w:firstLine="0"/>
        <w:rPr>
          <w:rFonts w:ascii="Times New Roman" w:hAnsi="Times New Roman"/>
          <w:szCs w:val="24"/>
        </w:rPr>
      </w:pPr>
      <w:r w:rsidRPr="00F4476B">
        <w:rPr>
          <w:rFonts w:ascii="Times New Roman" w:hAnsi="Times New Roman"/>
          <w:szCs w:val="24"/>
        </w:rPr>
        <w:t xml:space="preserve">Eight of the </w:t>
      </w:r>
      <w:r w:rsidR="00E861C7">
        <w:rPr>
          <w:rFonts w:ascii="Times New Roman" w:hAnsi="Times New Roman"/>
          <w:szCs w:val="24"/>
        </w:rPr>
        <w:t xml:space="preserve">nine </w:t>
      </w:r>
      <w:r w:rsidRPr="00F4476B">
        <w:rPr>
          <w:rFonts w:ascii="Times New Roman" w:hAnsi="Times New Roman"/>
          <w:szCs w:val="24"/>
        </w:rPr>
        <w:t>studies (</w:t>
      </w:r>
      <w:r w:rsidR="005A2392" w:rsidRPr="00242466">
        <w:rPr>
          <w:rFonts w:ascii="Times New Roman" w:hAnsi="Times New Roman"/>
          <w:szCs w:val="24"/>
        </w:rPr>
        <w:t xml:space="preserve">Falciglia, </w:t>
      </w:r>
      <w:r w:rsidR="005A2392" w:rsidRPr="00242466">
        <w:rPr>
          <w:rFonts w:ascii="Times New Roman" w:hAnsi="Times New Roman"/>
          <w:noProof/>
          <w:szCs w:val="24"/>
        </w:rPr>
        <w:t>Freyberg,  Almenoff, D</w:t>
      </w:r>
      <w:r w:rsidR="005A2392">
        <w:rPr>
          <w:rFonts w:ascii="Times New Roman" w:hAnsi="Times New Roman"/>
          <w:noProof/>
          <w:szCs w:val="24"/>
        </w:rPr>
        <w:t>’</w:t>
      </w:r>
      <w:r w:rsidR="005A2392" w:rsidRPr="00242466">
        <w:rPr>
          <w:rFonts w:ascii="Times New Roman" w:hAnsi="Times New Roman"/>
          <w:noProof/>
          <w:szCs w:val="24"/>
        </w:rPr>
        <w:t xml:space="preserve">Alessio,  &amp; Render, </w:t>
      </w:r>
      <w:r w:rsidR="005A2392" w:rsidRPr="00242466">
        <w:rPr>
          <w:rFonts w:ascii="Times New Roman" w:hAnsi="Times New Roman"/>
          <w:szCs w:val="24"/>
        </w:rPr>
        <w:t>2009;</w:t>
      </w:r>
      <w:r w:rsidR="005A2392">
        <w:rPr>
          <w:rFonts w:ascii="Times New Roman" w:hAnsi="Times New Roman"/>
          <w:szCs w:val="24"/>
        </w:rPr>
        <w:t xml:space="preserve"> </w:t>
      </w:r>
      <w:r w:rsidRPr="00F4476B">
        <w:rPr>
          <w:rFonts w:ascii="Times New Roman" w:hAnsi="Times New Roman"/>
          <w:szCs w:val="24"/>
        </w:rPr>
        <w:t xml:space="preserve">Frisch et al., 2010; </w:t>
      </w:r>
      <w:r w:rsidR="005A2392" w:rsidRPr="00E54457">
        <w:rPr>
          <w:rFonts w:ascii="Times New Roman" w:hAnsi="Times New Roman"/>
          <w:szCs w:val="24"/>
        </w:rPr>
        <w:t>Jackson, Amdur, White, &amp; Mascata, 2012;</w:t>
      </w:r>
      <w:r w:rsidR="005A2392">
        <w:rPr>
          <w:rFonts w:ascii="Times New Roman" w:hAnsi="Times New Roman"/>
          <w:szCs w:val="24"/>
        </w:rPr>
        <w:t xml:space="preserve"> </w:t>
      </w:r>
      <w:r w:rsidRPr="00F4476B">
        <w:rPr>
          <w:rFonts w:ascii="Times New Roman" w:hAnsi="Times New Roman"/>
          <w:szCs w:val="24"/>
        </w:rPr>
        <w:t xml:space="preserve">Lee et al., 2012; McAlister et al., 2005; Pasquel et al., 2010; </w:t>
      </w:r>
      <w:r w:rsidR="00D546AB" w:rsidRPr="00E54457">
        <w:rPr>
          <w:rFonts w:ascii="Times New Roman" w:hAnsi="Times New Roman"/>
          <w:szCs w:val="24"/>
        </w:rPr>
        <w:t>Rady, Johnson, Patel, Larson, &amp; Helmers, 2005</w:t>
      </w:r>
      <w:r>
        <w:rPr>
          <w:rFonts w:ascii="Times New Roman" w:hAnsi="Times New Roman"/>
          <w:szCs w:val="24"/>
        </w:rPr>
        <w:t xml:space="preserve">; Umpierrez et al., 2002), </w:t>
      </w:r>
      <w:r w:rsidRPr="00F4476B">
        <w:rPr>
          <w:rFonts w:ascii="Times New Roman" w:hAnsi="Times New Roman"/>
          <w:szCs w:val="24"/>
        </w:rPr>
        <w:t>described below</w:t>
      </w:r>
      <w:r>
        <w:rPr>
          <w:rFonts w:ascii="Times New Roman" w:hAnsi="Times New Roman"/>
          <w:szCs w:val="24"/>
        </w:rPr>
        <w:t>,</w:t>
      </w:r>
      <w:r w:rsidRPr="00F4476B">
        <w:rPr>
          <w:rFonts w:ascii="Times New Roman" w:hAnsi="Times New Roman"/>
          <w:szCs w:val="24"/>
        </w:rPr>
        <w:t xml:space="preserve"> </w:t>
      </w:r>
      <w:r>
        <w:rPr>
          <w:rFonts w:ascii="Times New Roman" w:hAnsi="Times New Roman"/>
          <w:szCs w:val="24"/>
        </w:rPr>
        <w:t>reported</w:t>
      </w:r>
      <w:r w:rsidRPr="00F4476B">
        <w:rPr>
          <w:rFonts w:ascii="Times New Roman" w:hAnsi="Times New Roman"/>
          <w:szCs w:val="24"/>
        </w:rPr>
        <w:t xml:space="preserve"> results for mortality. All </w:t>
      </w:r>
      <w:r w:rsidR="00E861C7">
        <w:rPr>
          <w:rFonts w:ascii="Times New Roman" w:hAnsi="Times New Roman"/>
          <w:szCs w:val="24"/>
        </w:rPr>
        <w:t>eight</w:t>
      </w:r>
      <w:r w:rsidRPr="00F4476B">
        <w:rPr>
          <w:rFonts w:ascii="Times New Roman" w:hAnsi="Times New Roman"/>
          <w:szCs w:val="24"/>
        </w:rPr>
        <w:t xml:space="preserve"> of these studies </w:t>
      </w:r>
      <w:r>
        <w:rPr>
          <w:rFonts w:ascii="Times New Roman" w:hAnsi="Times New Roman"/>
          <w:szCs w:val="24"/>
        </w:rPr>
        <w:t>described</w:t>
      </w:r>
      <w:r w:rsidRPr="00F4476B">
        <w:rPr>
          <w:rFonts w:ascii="Times New Roman" w:hAnsi="Times New Roman"/>
          <w:szCs w:val="24"/>
        </w:rPr>
        <w:t xml:space="preserve"> consistent results: persons with hyperglycemia ha</w:t>
      </w:r>
      <w:r>
        <w:rPr>
          <w:rFonts w:ascii="Times New Roman" w:hAnsi="Times New Roman"/>
          <w:szCs w:val="24"/>
        </w:rPr>
        <w:t>d</w:t>
      </w:r>
      <w:r w:rsidRPr="00F4476B">
        <w:rPr>
          <w:rFonts w:ascii="Times New Roman" w:hAnsi="Times New Roman"/>
          <w:szCs w:val="24"/>
        </w:rPr>
        <w:t xml:space="preserve"> a higher risk of mortality than those with normal or lower blood glucose levels. The odds ratios for mortality comparing patients with hyperglycemia and those with normoglycemia were of the same general magnitude in </w:t>
      </w:r>
      <w:r w:rsidR="003479D0">
        <w:rPr>
          <w:rFonts w:ascii="Times New Roman" w:hAnsi="Times New Roman"/>
          <w:szCs w:val="24"/>
        </w:rPr>
        <w:t>five</w:t>
      </w:r>
      <w:r w:rsidRPr="00F4476B">
        <w:rPr>
          <w:rFonts w:ascii="Times New Roman" w:hAnsi="Times New Roman"/>
          <w:szCs w:val="24"/>
        </w:rPr>
        <w:t xml:space="preserve"> studies: 2.13 for 200-300 mg/dL and 2.85 for &gt;300 mg/dL compared to 70-110 mg/dL (Falciglia et al., 2009); 1.97 for &gt;200 mg/dL compared to 80-120 mg/dL (Jackson et al., 2012); 2.2 for &gt;180 mg/dL compared to ≤120 mg/dL (Pasquel et al., 2010); 1.5 for &gt;144 mg/dL compared to a median of 118 mg/dL (Rady et al., 2005); 18.3 for new hyperglycemia and 2.7 for known diabetes (referent group not defined) (Umpierrez et al., 2002). Frisch et al. (2010) reported odds ratios for 30-day mortality for patients without diabetes by mean blood glucose after surgery: 10 for 200 mg/dL, 18 for 250 mg/dL, and 43 for 300 mg/dL (</w:t>
      </w:r>
      <w:r w:rsidRPr="007A6F93">
        <w:rPr>
          <w:rFonts w:ascii="Times New Roman" w:hAnsi="Times New Roman"/>
          <w:i/>
          <w:szCs w:val="24"/>
        </w:rPr>
        <w:t>p</w:t>
      </w:r>
      <w:r>
        <w:rPr>
          <w:rFonts w:ascii="Times New Roman" w:hAnsi="Times New Roman"/>
          <w:szCs w:val="24"/>
        </w:rPr>
        <w:t xml:space="preserve"> </w:t>
      </w:r>
      <w:r w:rsidRPr="00F4476B">
        <w:rPr>
          <w:rFonts w:ascii="Times New Roman" w:hAnsi="Times New Roman"/>
          <w:szCs w:val="24"/>
        </w:rPr>
        <w:t>&lt;0.001; referent group not defined). Lee et al. (2012) reported the odds of in-hospital mortality increased by 7% for every 10 mg/dL increase in the mean blood glucose level and by 6% for every 10 mg/dL increase in th</w:t>
      </w:r>
      <w:r>
        <w:rPr>
          <w:rFonts w:ascii="Times New Roman" w:hAnsi="Times New Roman"/>
          <w:szCs w:val="24"/>
        </w:rPr>
        <w:t xml:space="preserve">e maximum blood glucose level. </w:t>
      </w:r>
      <w:r w:rsidRPr="00F4476B">
        <w:rPr>
          <w:rFonts w:ascii="Times New Roman" w:hAnsi="Times New Roman"/>
          <w:szCs w:val="24"/>
        </w:rPr>
        <w:t>In a study of patient</w:t>
      </w:r>
      <w:r>
        <w:rPr>
          <w:rFonts w:ascii="Times New Roman" w:hAnsi="Times New Roman"/>
          <w:szCs w:val="24"/>
        </w:rPr>
        <w:t>s</w:t>
      </w:r>
      <w:r w:rsidRPr="00F4476B">
        <w:rPr>
          <w:rFonts w:ascii="Times New Roman" w:hAnsi="Times New Roman"/>
          <w:szCs w:val="24"/>
        </w:rPr>
        <w:t xml:space="preserve"> with community-acquired pneumonia, patients with an admission glucose &gt;11 mmol/l (&gt;198 mg/dL) had a 73% higher (95% CI 12-168%) mortality risk than patients whose admission glucose was ≤6.1 mmol/l (≤109.8 mg/dL) (McAlister et al., 2005).</w:t>
      </w:r>
    </w:p>
    <w:p w14:paraId="65D44130" w14:textId="77777777" w:rsidR="00010EA9" w:rsidRPr="00A7722E" w:rsidRDefault="00010EA9" w:rsidP="00F40A05"/>
    <w:p w14:paraId="65D44131" w14:textId="77777777" w:rsidR="00010EA9" w:rsidRPr="00EE6FC2" w:rsidRDefault="00010EA9" w:rsidP="00010EA9">
      <w:pPr>
        <w:ind w:left="0" w:firstLine="0"/>
        <w:rPr>
          <w:rFonts w:ascii="Times New Roman" w:hAnsi="Times New Roman"/>
          <w:bCs/>
          <w:szCs w:val="24"/>
          <w:u w:val="single"/>
        </w:rPr>
      </w:pPr>
      <w:r w:rsidRPr="00EE6FC2">
        <w:rPr>
          <w:rFonts w:ascii="Times New Roman" w:hAnsi="Times New Roman"/>
          <w:bCs/>
          <w:szCs w:val="24"/>
          <w:u w:val="single"/>
        </w:rPr>
        <w:t xml:space="preserve">Consistency and </w:t>
      </w:r>
      <w:r w:rsidR="00343A56">
        <w:rPr>
          <w:rFonts w:ascii="Times New Roman" w:hAnsi="Times New Roman"/>
          <w:bCs/>
          <w:szCs w:val="24"/>
          <w:u w:val="single"/>
        </w:rPr>
        <w:t>M</w:t>
      </w:r>
      <w:r w:rsidRPr="00EE6FC2">
        <w:rPr>
          <w:rFonts w:ascii="Times New Roman" w:hAnsi="Times New Roman"/>
          <w:bCs/>
          <w:szCs w:val="24"/>
          <w:u w:val="single"/>
        </w:rPr>
        <w:t xml:space="preserve">agnitude of </w:t>
      </w:r>
      <w:r w:rsidR="00343A56">
        <w:rPr>
          <w:rFonts w:ascii="Times New Roman" w:hAnsi="Times New Roman"/>
          <w:bCs/>
          <w:szCs w:val="24"/>
          <w:u w:val="single"/>
        </w:rPr>
        <w:t>E</w:t>
      </w:r>
      <w:r w:rsidRPr="00EE6FC2">
        <w:rPr>
          <w:rFonts w:ascii="Times New Roman" w:hAnsi="Times New Roman"/>
          <w:bCs/>
          <w:szCs w:val="24"/>
          <w:u w:val="single"/>
        </w:rPr>
        <w:t xml:space="preserve">ffect </w:t>
      </w:r>
      <w:r w:rsidR="00343A56">
        <w:rPr>
          <w:rFonts w:ascii="Times New Roman" w:hAnsi="Times New Roman"/>
          <w:bCs/>
          <w:szCs w:val="24"/>
          <w:u w:val="single"/>
        </w:rPr>
        <w:t>R</w:t>
      </w:r>
      <w:r w:rsidRPr="00EE6FC2">
        <w:rPr>
          <w:rFonts w:ascii="Times New Roman" w:hAnsi="Times New Roman"/>
          <w:bCs/>
          <w:szCs w:val="24"/>
          <w:u w:val="single"/>
        </w:rPr>
        <w:t xml:space="preserve">elated to </w:t>
      </w:r>
      <w:r w:rsidR="00343A56">
        <w:rPr>
          <w:rFonts w:ascii="Times New Roman" w:hAnsi="Times New Roman"/>
          <w:bCs/>
          <w:szCs w:val="24"/>
          <w:u w:val="single"/>
        </w:rPr>
        <w:t>I</w:t>
      </w:r>
      <w:r w:rsidRPr="00EE6FC2">
        <w:rPr>
          <w:rFonts w:ascii="Times New Roman" w:hAnsi="Times New Roman"/>
          <w:bCs/>
          <w:szCs w:val="24"/>
          <w:u w:val="single"/>
        </w:rPr>
        <w:t xml:space="preserve">nfection </w:t>
      </w:r>
      <w:r w:rsidR="00343A56">
        <w:rPr>
          <w:rFonts w:ascii="Times New Roman" w:hAnsi="Times New Roman"/>
          <w:bCs/>
          <w:szCs w:val="24"/>
          <w:u w:val="single"/>
        </w:rPr>
        <w:t>R</w:t>
      </w:r>
      <w:r w:rsidRPr="00EE6FC2">
        <w:rPr>
          <w:rFonts w:ascii="Times New Roman" w:hAnsi="Times New Roman"/>
          <w:bCs/>
          <w:szCs w:val="24"/>
          <w:u w:val="single"/>
        </w:rPr>
        <w:t>ates</w:t>
      </w:r>
    </w:p>
    <w:p w14:paraId="65D44132" w14:textId="26B104B1" w:rsidR="00010EA9" w:rsidRPr="00F40A05" w:rsidRDefault="00010EA9" w:rsidP="00F40A05">
      <w:pPr>
        <w:ind w:left="0" w:firstLine="0"/>
        <w:rPr>
          <w:rFonts w:ascii="Times New Roman" w:hAnsi="Times New Roman" w:cs="Times New Roman"/>
        </w:rPr>
      </w:pPr>
      <w:r w:rsidRPr="00F40A05">
        <w:rPr>
          <w:rFonts w:ascii="Times New Roman" w:hAnsi="Times New Roman" w:cs="Times New Roman"/>
        </w:rPr>
        <w:t xml:space="preserve">Three of the </w:t>
      </w:r>
      <w:r w:rsidR="004D693F" w:rsidRPr="00F40A05">
        <w:rPr>
          <w:rFonts w:ascii="Times New Roman" w:hAnsi="Times New Roman" w:cs="Times New Roman"/>
        </w:rPr>
        <w:t>nine</w:t>
      </w:r>
      <w:r w:rsidRPr="00F40A05">
        <w:rPr>
          <w:rFonts w:ascii="Times New Roman" w:hAnsi="Times New Roman" w:cs="Times New Roman"/>
        </w:rPr>
        <w:t xml:space="preserve"> studies (Jackson et al., 2012; </w:t>
      </w:r>
      <w:r w:rsidR="00D546AB" w:rsidRPr="00F40A05">
        <w:rPr>
          <w:rFonts w:ascii="Times New Roman" w:hAnsi="Times New Roman" w:cs="Times New Roman"/>
        </w:rPr>
        <w:t>King, Goulet, Perkal, &amp; Rosenthal, 2011</w:t>
      </w:r>
      <w:r w:rsidRPr="00F40A05">
        <w:rPr>
          <w:rFonts w:ascii="Times New Roman" w:hAnsi="Times New Roman" w:cs="Times New Roman"/>
        </w:rPr>
        <w:t xml:space="preserve">; Pasquel et al., 2010) reported results related to the relationship between hyperglycemia and rates of infection (urinary tract infection, any type of postoperative infection, and pneumonia, respectively). All </w:t>
      </w:r>
      <w:r w:rsidR="00AA6048" w:rsidRPr="00F40A05">
        <w:rPr>
          <w:rFonts w:ascii="Times New Roman" w:hAnsi="Times New Roman" w:cs="Times New Roman"/>
        </w:rPr>
        <w:t>three</w:t>
      </w:r>
      <w:r w:rsidRPr="00F40A05">
        <w:rPr>
          <w:rFonts w:ascii="Times New Roman" w:hAnsi="Times New Roman" w:cs="Times New Roman"/>
        </w:rPr>
        <w:t xml:space="preserve"> of these studies reported consistent results: persons with hyperglycemia had statistically significantly increased rates of infection compared to those with normal blood glucose levels. The odds ratios for different types of infection</w:t>
      </w:r>
      <w:r w:rsidR="00B36C6D" w:rsidRPr="00F40A05">
        <w:rPr>
          <w:rFonts w:ascii="Times New Roman" w:hAnsi="Times New Roman" w:cs="Times New Roman"/>
        </w:rPr>
        <w:t>,</w:t>
      </w:r>
      <w:r w:rsidRPr="00F40A05">
        <w:rPr>
          <w:rFonts w:ascii="Times New Roman" w:hAnsi="Times New Roman" w:cs="Times New Roman"/>
        </w:rPr>
        <w:t xml:space="preserve"> comparing patients with hyperglycemia and those with normoglycemia</w:t>
      </w:r>
      <w:r w:rsidR="00B36C6D" w:rsidRPr="00F40A05">
        <w:rPr>
          <w:rFonts w:ascii="Times New Roman" w:hAnsi="Times New Roman" w:cs="Times New Roman"/>
        </w:rPr>
        <w:t>,</w:t>
      </w:r>
      <w:r w:rsidRPr="00F40A05">
        <w:rPr>
          <w:rFonts w:ascii="Times New Roman" w:hAnsi="Times New Roman" w:cs="Times New Roman"/>
        </w:rPr>
        <w:t xml:space="preserve"> were of the same general magnitude: 1.68 for urinary tract infection among those with BG &gt;200 mg/dL (Jackson et al., 2012); 1.43 for postoperative infection among those with BG &gt;250 mg/d</w:t>
      </w:r>
      <w:r w:rsidR="00267C55" w:rsidRPr="00F40A05">
        <w:rPr>
          <w:rFonts w:ascii="Times New Roman" w:hAnsi="Times New Roman" w:cs="Times New Roman"/>
        </w:rPr>
        <w:t>L</w:t>
      </w:r>
      <w:r w:rsidRPr="00F40A05">
        <w:rPr>
          <w:rFonts w:ascii="Times New Roman" w:hAnsi="Times New Roman" w:cs="Times New Roman"/>
        </w:rPr>
        <w:t xml:space="preserve"> (King et al., 2011); and 3.6 for pneumonia among those with BG &gt;180 mg/d</w:t>
      </w:r>
      <w:r w:rsidR="00267C55" w:rsidRPr="00F40A05">
        <w:rPr>
          <w:rFonts w:ascii="Times New Roman" w:hAnsi="Times New Roman" w:cs="Times New Roman"/>
        </w:rPr>
        <w:t>L</w:t>
      </w:r>
      <w:r w:rsidRPr="00F40A05">
        <w:rPr>
          <w:rFonts w:ascii="Times New Roman" w:hAnsi="Times New Roman" w:cs="Times New Roman"/>
        </w:rPr>
        <w:t xml:space="preserve"> (Pasquel et al., 2010). </w:t>
      </w:r>
    </w:p>
    <w:p w14:paraId="65D44133" w14:textId="77777777" w:rsidR="00010EA9" w:rsidRPr="00A7722E" w:rsidRDefault="00010EA9" w:rsidP="00F40A05"/>
    <w:p w14:paraId="65D44134" w14:textId="77777777" w:rsidR="00010EA9" w:rsidRPr="00EE6FC2" w:rsidRDefault="00010EA9" w:rsidP="00010EA9">
      <w:pPr>
        <w:ind w:left="0" w:firstLine="0"/>
        <w:rPr>
          <w:rFonts w:ascii="Times New Roman" w:hAnsi="Times New Roman"/>
          <w:bCs/>
          <w:szCs w:val="24"/>
          <w:u w:val="single"/>
        </w:rPr>
      </w:pPr>
      <w:r w:rsidRPr="00EE6FC2">
        <w:rPr>
          <w:rFonts w:ascii="Times New Roman" w:hAnsi="Times New Roman"/>
          <w:bCs/>
          <w:szCs w:val="24"/>
          <w:u w:val="single"/>
        </w:rPr>
        <w:t xml:space="preserve">Consistency and </w:t>
      </w:r>
      <w:r w:rsidR="00343A56">
        <w:rPr>
          <w:rFonts w:ascii="Times New Roman" w:hAnsi="Times New Roman"/>
          <w:bCs/>
          <w:szCs w:val="24"/>
          <w:u w:val="single"/>
        </w:rPr>
        <w:t>M</w:t>
      </w:r>
      <w:r w:rsidRPr="00EE6FC2">
        <w:rPr>
          <w:rFonts w:ascii="Times New Roman" w:hAnsi="Times New Roman"/>
          <w:bCs/>
          <w:szCs w:val="24"/>
          <w:u w:val="single"/>
        </w:rPr>
        <w:t xml:space="preserve">agnitude of </w:t>
      </w:r>
      <w:r w:rsidR="00343A56">
        <w:rPr>
          <w:rFonts w:ascii="Times New Roman" w:hAnsi="Times New Roman"/>
          <w:bCs/>
          <w:szCs w:val="24"/>
          <w:u w:val="single"/>
        </w:rPr>
        <w:t>E</w:t>
      </w:r>
      <w:r w:rsidRPr="00EE6FC2">
        <w:rPr>
          <w:rFonts w:ascii="Times New Roman" w:hAnsi="Times New Roman"/>
          <w:bCs/>
          <w:szCs w:val="24"/>
          <w:u w:val="single"/>
        </w:rPr>
        <w:t xml:space="preserve">ffect </w:t>
      </w:r>
      <w:r w:rsidR="00343A56">
        <w:rPr>
          <w:rFonts w:ascii="Times New Roman" w:hAnsi="Times New Roman"/>
          <w:bCs/>
          <w:szCs w:val="24"/>
          <w:u w:val="single"/>
        </w:rPr>
        <w:t>R</w:t>
      </w:r>
      <w:r w:rsidRPr="00EE6FC2">
        <w:rPr>
          <w:rFonts w:ascii="Times New Roman" w:hAnsi="Times New Roman"/>
          <w:bCs/>
          <w:szCs w:val="24"/>
          <w:u w:val="single"/>
        </w:rPr>
        <w:t xml:space="preserve">elated to </w:t>
      </w:r>
      <w:r w:rsidR="00343A56">
        <w:rPr>
          <w:rFonts w:ascii="Times New Roman" w:hAnsi="Times New Roman"/>
          <w:bCs/>
          <w:szCs w:val="24"/>
          <w:u w:val="single"/>
        </w:rPr>
        <w:t>L</w:t>
      </w:r>
      <w:r w:rsidRPr="00EE6FC2">
        <w:rPr>
          <w:rFonts w:ascii="Times New Roman" w:hAnsi="Times New Roman"/>
          <w:bCs/>
          <w:szCs w:val="24"/>
          <w:u w:val="single"/>
        </w:rPr>
        <w:t xml:space="preserve">ength of </w:t>
      </w:r>
      <w:r w:rsidR="00343A56">
        <w:rPr>
          <w:rFonts w:ascii="Times New Roman" w:hAnsi="Times New Roman"/>
          <w:bCs/>
          <w:szCs w:val="24"/>
          <w:u w:val="single"/>
        </w:rPr>
        <w:t>S</w:t>
      </w:r>
      <w:r w:rsidRPr="00EE6FC2">
        <w:rPr>
          <w:rFonts w:ascii="Times New Roman" w:hAnsi="Times New Roman"/>
          <w:bCs/>
          <w:szCs w:val="24"/>
          <w:u w:val="single"/>
        </w:rPr>
        <w:t>tay</w:t>
      </w:r>
    </w:p>
    <w:p w14:paraId="65D44135" w14:textId="02ADB409" w:rsidR="00010EA9" w:rsidRPr="00A7722E" w:rsidRDefault="00010EA9" w:rsidP="00010EA9">
      <w:pPr>
        <w:ind w:left="0" w:firstLine="0"/>
        <w:rPr>
          <w:rFonts w:ascii="Times New Roman" w:hAnsi="Times New Roman"/>
          <w:szCs w:val="24"/>
        </w:rPr>
      </w:pPr>
      <w:r w:rsidRPr="00A7722E">
        <w:rPr>
          <w:rFonts w:ascii="Times New Roman" w:hAnsi="Times New Roman"/>
          <w:szCs w:val="24"/>
        </w:rPr>
        <w:t xml:space="preserve">Three of the </w:t>
      </w:r>
      <w:r w:rsidR="004D693F">
        <w:rPr>
          <w:rFonts w:ascii="Times New Roman" w:hAnsi="Times New Roman"/>
          <w:szCs w:val="24"/>
        </w:rPr>
        <w:t>nine</w:t>
      </w:r>
      <w:r w:rsidRPr="00A7722E">
        <w:rPr>
          <w:rFonts w:ascii="Times New Roman" w:hAnsi="Times New Roman"/>
          <w:szCs w:val="24"/>
        </w:rPr>
        <w:t xml:space="preserve"> studies (Pasquel et al., 2010; Rady et al., 2005; Umpierrez et al., 2002) </w:t>
      </w:r>
      <w:r w:rsidRPr="00AE1FAB">
        <w:rPr>
          <w:rFonts w:ascii="Times New Roman" w:hAnsi="Times New Roman"/>
          <w:szCs w:val="24"/>
        </w:rPr>
        <w:t>reported results for the association between length of stay and hyperglycemia.</w:t>
      </w:r>
      <w:r w:rsidR="00E861C7">
        <w:rPr>
          <w:rFonts w:ascii="Times New Roman" w:hAnsi="Times New Roman"/>
          <w:szCs w:val="24"/>
        </w:rPr>
        <w:t xml:space="preserve"> Of these three studies, </w:t>
      </w:r>
      <w:r w:rsidR="00AA6048">
        <w:rPr>
          <w:rFonts w:ascii="Times New Roman" w:hAnsi="Times New Roman"/>
          <w:szCs w:val="24"/>
        </w:rPr>
        <w:t>two</w:t>
      </w:r>
      <w:r>
        <w:rPr>
          <w:rFonts w:ascii="Times New Roman" w:hAnsi="Times New Roman"/>
          <w:szCs w:val="24"/>
        </w:rPr>
        <w:t xml:space="preserve"> </w:t>
      </w:r>
      <w:r w:rsidRPr="00AE1FAB">
        <w:rPr>
          <w:rFonts w:ascii="Times New Roman" w:hAnsi="Times New Roman"/>
          <w:szCs w:val="24"/>
        </w:rPr>
        <w:t>studies showed consistent</w:t>
      </w:r>
      <w:r w:rsidRPr="00A7722E">
        <w:rPr>
          <w:rFonts w:ascii="Times New Roman" w:hAnsi="Times New Roman"/>
          <w:szCs w:val="24"/>
        </w:rPr>
        <w:t xml:space="preserve"> results: persons with hyperglycemia ha</w:t>
      </w:r>
      <w:r>
        <w:rPr>
          <w:rFonts w:ascii="Times New Roman" w:hAnsi="Times New Roman"/>
          <w:szCs w:val="24"/>
        </w:rPr>
        <w:t>d</w:t>
      </w:r>
      <w:r w:rsidRPr="00A7722E">
        <w:rPr>
          <w:rFonts w:ascii="Times New Roman" w:hAnsi="Times New Roman"/>
          <w:szCs w:val="24"/>
        </w:rPr>
        <w:t xml:space="preserve"> longer lengths of stay compared to those with normal blood glucose levels. In a retrospective study of medical and surgical patients receiving total parenteral </w:t>
      </w:r>
      <w:r w:rsidRPr="00A7722E">
        <w:rPr>
          <w:rFonts w:ascii="Times New Roman" w:hAnsi="Times New Roman"/>
          <w:szCs w:val="24"/>
        </w:rPr>
        <w:lastRenderedPageBreak/>
        <w:t xml:space="preserve">nutrition (TPN) (Pasquel et al., 2010), patients with higher blood glucose levels during TPN </w:t>
      </w:r>
      <w:r w:rsidRPr="00F4476B">
        <w:rPr>
          <w:rFonts w:ascii="Times New Roman" w:hAnsi="Times New Roman"/>
          <w:szCs w:val="24"/>
        </w:rPr>
        <w:t>had longer hospital (</w:t>
      </w:r>
      <w:r w:rsidRPr="0029338A">
        <w:rPr>
          <w:rFonts w:ascii="Times New Roman" w:hAnsi="Times New Roman"/>
          <w:i/>
          <w:szCs w:val="24"/>
        </w:rPr>
        <w:t>p</w:t>
      </w:r>
      <w:r>
        <w:rPr>
          <w:rFonts w:ascii="Times New Roman" w:hAnsi="Times New Roman"/>
          <w:szCs w:val="24"/>
        </w:rPr>
        <w:t xml:space="preserve"> </w:t>
      </w:r>
      <w:r w:rsidRPr="00F4476B">
        <w:rPr>
          <w:rFonts w:ascii="Times New Roman" w:hAnsi="Times New Roman"/>
          <w:szCs w:val="24"/>
        </w:rPr>
        <w:t>=0.011) and intensive care unit (</w:t>
      </w:r>
      <w:r w:rsidRPr="0029338A">
        <w:rPr>
          <w:rFonts w:ascii="Times New Roman" w:hAnsi="Times New Roman"/>
          <w:i/>
          <w:szCs w:val="24"/>
        </w:rPr>
        <w:t>p</w:t>
      </w:r>
      <w:r>
        <w:rPr>
          <w:rFonts w:ascii="Times New Roman" w:hAnsi="Times New Roman"/>
          <w:szCs w:val="24"/>
        </w:rPr>
        <w:t xml:space="preserve"> </w:t>
      </w:r>
      <w:r w:rsidRPr="00F4476B">
        <w:rPr>
          <w:rFonts w:ascii="Times New Roman" w:hAnsi="Times New Roman"/>
          <w:szCs w:val="24"/>
        </w:rPr>
        <w:t xml:space="preserve">=0.008) lengths of stay. In an </w:t>
      </w:r>
      <w:r w:rsidRPr="00AE1FAB">
        <w:rPr>
          <w:rFonts w:ascii="Times New Roman" w:hAnsi="Times New Roman"/>
          <w:szCs w:val="24"/>
        </w:rPr>
        <w:t xml:space="preserve">observational study of 7,285 patients aged ≥18 years admitted to a single ICU in a tertiary-care </w:t>
      </w:r>
      <w:r w:rsidRPr="0093213E">
        <w:rPr>
          <w:rFonts w:ascii="Times New Roman" w:hAnsi="Times New Roman"/>
          <w:szCs w:val="24"/>
        </w:rPr>
        <w:t xml:space="preserve">teaching hospital between </w:t>
      </w:r>
      <w:r w:rsidRPr="00C26324">
        <w:rPr>
          <w:rFonts w:ascii="Times New Roman" w:hAnsi="Times New Roman"/>
          <w:szCs w:val="24"/>
        </w:rPr>
        <w:t xml:space="preserve">1999 and 2003 (Rady et al., 2005), diabetic and nondiabetic patients </w:t>
      </w:r>
      <w:r w:rsidR="00C26324" w:rsidRPr="00C26324">
        <w:rPr>
          <w:rFonts w:ascii="Times New Roman" w:hAnsi="Times New Roman"/>
          <w:szCs w:val="24"/>
        </w:rPr>
        <w:t>who required</w:t>
      </w:r>
      <w:r w:rsidRPr="00C26324">
        <w:rPr>
          <w:rFonts w:ascii="Times New Roman" w:hAnsi="Times New Roman"/>
          <w:szCs w:val="24"/>
        </w:rPr>
        <w:t xml:space="preserve"> glycemic control had longer hospital stays than those </w:t>
      </w:r>
      <w:r w:rsidR="00C26324" w:rsidRPr="00C26324">
        <w:rPr>
          <w:rFonts w:ascii="Times New Roman" w:hAnsi="Times New Roman"/>
          <w:szCs w:val="24"/>
        </w:rPr>
        <w:t>who did not require</w:t>
      </w:r>
      <w:r w:rsidRPr="00C26324">
        <w:rPr>
          <w:rFonts w:ascii="Times New Roman" w:hAnsi="Times New Roman"/>
          <w:szCs w:val="24"/>
        </w:rPr>
        <w:t xml:space="preserve"> glycemic control (6.7 days, 8.0 days, and 4.4 days, respectively, both </w:t>
      </w:r>
      <w:r w:rsidRPr="00C26324">
        <w:rPr>
          <w:rFonts w:ascii="Times New Roman" w:hAnsi="Times New Roman"/>
          <w:i/>
          <w:szCs w:val="24"/>
        </w:rPr>
        <w:t>p</w:t>
      </w:r>
      <w:r w:rsidRPr="00C26324">
        <w:rPr>
          <w:rFonts w:ascii="Times New Roman" w:hAnsi="Times New Roman"/>
          <w:szCs w:val="24"/>
        </w:rPr>
        <w:t xml:space="preserve"> &lt;0.001). A similar pattern was observed in intensive care units for diabetic and nondiabetic patients </w:t>
      </w:r>
      <w:r w:rsidR="00C26324" w:rsidRPr="00C26324">
        <w:rPr>
          <w:rFonts w:ascii="Times New Roman" w:hAnsi="Times New Roman"/>
          <w:szCs w:val="24"/>
        </w:rPr>
        <w:t>who required</w:t>
      </w:r>
      <w:r w:rsidRPr="00C26324">
        <w:rPr>
          <w:rFonts w:ascii="Times New Roman" w:hAnsi="Times New Roman"/>
          <w:szCs w:val="24"/>
        </w:rPr>
        <w:t xml:space="preserve"> glycemic control and those </w:t>
      </w:r>
      <w:r w:rsidR="00C26324" w:rsidRPr="00C26324">
        <w:rPr>
          <w:rFonts w:ascii="Times New Roman" w:hAnsi="Times New Roman"/>
          <w:szCs w:val="24"/>
        </w:rPr>
        <w:t>who did not require</w:t>
      </w:r>
      <w:r w:rsidRPr="00C26324">
        <w:rPr>
          <w:rFonts w:ascii="Times New Roman" w:hAnsi="Times New Roman"/>
          <w:szCs w:val="24"/>
        </w:rPr>
        <w:t xml:space="preserve"> glycemic control (1.5 days, 1.6 days, and 1.3 days, respectively, both </w:t>
      </w:r>
      <w:r w:rsidRPr="00C26324">
        <w:rPr>
          <w:rFonts w:ascii="Times New Roman" w:hAnsi="Times New Roman"/>
          <w:i/>
          <w:szCs w:val="24"/>
        </w:rPr>
        <w:t>p</w:t>
      </w:r>
      <w:r w:rsidRPr="00C26324">
        <w:rPr>
          <w:rFonts w:ascii="Times New Roman" w:hAnsi="Times New Roman"/>
          <w:szCs w:val="24"/>
        </w:rPr>
        <w:t xml:space="preserve"> &lt;0.001). In a retrospective study of adult patients admitted to a community teaching hospital (Umpierrez et al., 2002), patients with new hyperglycemia (defined as hyperglycemia</w:t>
      </w:r>
      <w:r w:rsidRPr="00F4476B">
        <w:rPr>
          <w:rFonts w:ascii="Times New Roman" w:hAnsi="Times New Roman"/>
          <w:szCs w:val="24"/>
        </w:rPr>
        <w:t xml:space="preserve"> occurring during the hospitalization, but without prior history of diabetes) also had longer lengths of stay than the other groups (9.7 days compared to 5.5 days for diabetic patients and 4.5 days for normoglycemic patients, all </w:t>
      </w:r>
      <w:r w:rsidRPr="007A6F93">
        <w:rPr>
          <w:rFonts w:ascii="Times New Roman" w:hAnsi="Times New Roman"/>
          <w:i/>
          <w:szCs w:val="24"/>
        </w:rPr>
        <w:t>p</w:t>
      </w:r>
      <w:r w:rsidRPr="00F4476B">
        <w:rPr>
          <w:rFonts w:ascii="Times New Roman" w:hAnsi="Times New Roman"/>
          <w:szCs w:val="24"/>
        </w:rPr>
        <w:t xml:space="preserve"> &lt;0.01).</w:t>
      </w:r>
      <w:r>
        <w:rPr>
          <w:rFonts w:ascii="Times New Roman" w:hAnsi="Times New Roman"/>
          <w:szCs w:val="24"/>
        </w:rPr>
        <w:t xml:space="preserve"> </w:t>
      </w:r>
    </w:p>
    <w:p w14:paraId="65D44136" w14:textId="77777777" w:rsidR="00010EA9" w:rsidRPr="00A7722E" w:rsidRDefault="00010EA9" w:rsidP="00F40A05"/>
    <w:p w14:paraId="65D44137" w14:textId="77777777" w:rsidR="00010EA9" w:rsidRPr="00EE6FC2" w:rsidRDefault="000954D2" w:rsidP="00010EA9">
      <w:pPr>
        <w:ind w:left="0" w:firstLine="0"/>
        <w:rPr>
          <w:rFonts w:ascii="Times New Roman" w:hAnsi="Times New Roman"/>
          <w:bCs/>
          <w:szCs w:val="24"/>
          <w:u w:val="single"/>
        </w:rPr>
      </w:pPr>
      <w:r w:rsidRPr="00EE6FC2">
        <w:rPr>
          <w:rFonts w:ascii="Times New Roman" w:hAnsi="Times New Roman"/>
          <w:bCs/>
          <w:szCs w:val="24"/>
          <w:u w:val="single"/>
        </w:rPr>
        <w:t>D</w:t>
      </w:r>
      <w:r w:rsidR="00343A56">
        <w:rPr>
          <w:rFonts w:ascii="Times New Roman" w:hAnsi="Times New Roman"/>
          <w:bCs/>
          <w:szCs w:val="24"/>
          <w:u w:val="single"/>
        </w:rPr>
        <w:t>etailed</w:t>
      </w:r>
      <w:r w:rsidRPr="00EE6FC2">
        <w:rPr>
          <w:rFonts w:ascii="Times New Roman" w:hAnsi="Times New Roman"/>
          <w:bCs/>
          <w:szCs w:val="24"/>
          <w:u w:val="single"/>
        </w:rPr>
        <w:t xml:space="preserve"> R</w:t>
      </w:r>
      <w:r w:rsidR="00343A56">
        <w:rPr>
          <w:rFonts w:ascii="Times New Roman" w:hAnsi="Times New Roman"/>
          <w:bCs/>
          <w:szCs w:val="24"/>
          <w:u w:val="single"/>
        </w:rPr>
        <w:t>esults of Studies</w:t>
      </w:r>
    </w:p>
    <w:p w14:paraId="65D44138" w14:textId="77777777" w:rsidR="00010EA9" w:rsidRDefault="00010EA9" w:rsidP="00010EA9">
      <w:pPr>
        <w:ind w:left="0" w:firstLine="0"/>
        <w:rPr>
          <w:rFonts w:ascii="Times New Roman" w:hAnsi="Times New Roman"/>
          <w:szCs w:val="24"/>
        </w:rPr>
      </w:pPr>
      <w:r>
        <w:rPr>
          <w:rFonts w:ascii="Times New Roman" w:hAnsi="Times New Roman"/>
          <w:szCs w:val="24"/>
        </w:rPr>
        <w:t xml:space="preserve">Falciglia et al. </w:t>
      </w:r>
      <w:r w:rsidRPr="00A7722E">
        <w:rPr>
          <w:rFonts w:ascii="Times New Roman" w:hAnsi="Times New Roman"/>
          <w:szCs w:val="24"/>
        </w:rPr>
        <w:t>(</w:t>
      </w:r>
      <w:r w:rsidRPr="00AE1FAB">
        <w:rPr>
          <w:rFonts w:ascii="Times New Roman" w:hAnsi="Times New Roman"/>
          <w:szCs w:val="24"/>
        </w:rPr>
        <w:t xml:space="preserve">2009): This retrospective cohort study of 259,040 admissions across 173 medical, surgical, and cardiac ICUs in 113 VA hospitals from October 2002 to September 2005 found that hyperglycemia was associated with increased mortality, independent of illness severity. The selected admissions were taken from a larger cohort of 425,853 consecutive first admissions to VA ICUs during the time period. Patients with no computerized blood gas data, those with less than </w:t>
      </w:r>
      <w:r w:rsidR="00AA6048">
        <w:rPr>
          <w:rFonts w:ascii="Times New Roman" w:hAnsi="Times New Roman"/>
          <w:szCs w:val="24"/>
        </w:rPr>
        <w:t>two</w:t>
      </w:r>
      <w:r w:rsidRPr="00AE1FAB">
        <w:rPr>
          <w:rFonts w:ascii="Times New Roman" w:hAnsi="Times New Roman"/>
          <w:szCs w:val="24"/>
        </w:rPr>
        <w:t xml:space="preserve"> serum glucose measures,</w:t>
      </w:r>
      <w:r w:rsidRPr="00A7722E">
        <w:rPr>
          <w:rFonts w:ascii="Times New Roman" w:hAnsi="Times New Roman"/>
          <w:szCs w:val="24"/>
        </w:rPr>
        <w:t xml:space="preserve"> and those whose mean glucose was less than 70 mg/dL were excluded from the study. In the cohort, 1.3%, 32.6%, 52.5%</w:t>
      </w:r>
      <w:r>
        <w:rPr>
          <w:rFonts w:ascii="Times New Roman" w:hAnsi="Times New Roman"/>
          <w:szCs w:val="24"/>
        </w:rPr>
        <w:t>,</w:t>
      </w:r>
      <w:r w:rsidRPr="00A7722E">
        <w:rPr>
          <w:rFonts w:ascii="Times New Roman" w:hAnsi="Times New Roman"/>
          <w:szCs w:val="24"/>
        </w:rPr>
        <w:t xml:space="preserve"> and 13.6% were &lt;40, 40-59, 60-79, and &gt;79 years of age, respectively. </w:t>
      </w:r>
      <w:r>
        <w:rPr>
          <w:rFonts w:ascii="Times New Roman" w:hAnsi="Times New Roman"/>
          <w:szCs w:val="24"/>
        </w:rPr>
        <w:t>The r</w:t>
      </w:r>
      <w:r w:rsidRPr="00A7722E">
        <w:rPr>
          <w:rFonts w:ascii="Times New Roman" w:hAnsi="Times New Roman"/>
          <w:szCs w:val="24"/>
        </w:rPr>
        <w:t xml:space="preserve">ate of unadjusted mortality at discharge from hospitalization was 11.2%. Mortality risk increased with increasing blood glucose. </w:t>
      </w:r>
      <w:r>
        <w:rPr>
          <w:rFonts w:ascii="Times New Roman" w:hAnsi="Times New Roman"/>
          <w:szCs w:val="24"/>
        </w:rPr>
        <w:t>The</w:t>
      </w:r>
      <w:r w:rsidRPr="00F4476B">
        <w:rPr>
          <w:rFonts w:ascii="Times New Roman" w:hAnsi="Times New Roman"/>
          <w:szCs w:val="24"/>
        </w:rPr>
        <w:t xml:space="preserve"> </w:t>
      </w:r>
      <w:r>
        <w:rPr>
          <w:rFonts w:ascii="Times New Roman" w:hAnsi="Times New Roman"/>
          <w:szCs w:val="24"/>
        </w:rPr>
        <w:t>u</w:t>
      </w:r>
      <w:r w:rsidRPr="00F4476B">
        <w:rPr>
          <w:rFonts w:ascii="Times New Roman" w:hAnsi="Times New Roman"/>
          <w:szCs w:val="24"/>
        </w:rPr>
        <w:t>nadjusted mortality rate</w:t>
      </w:r>
      <w:r>
        <w:rPr>
          <w:rFonts w:ascii="Times New Roman" w:hAnsi="Times New Roman"/>
          <w:szCs w:val="24"/>
        </w:rPr>
        <w:t>s</w:t>
      </w:r>
      <w:r w:rsidRPr="00F4476B">
        <w:rPr>
          <w:rFonts w:ascii="Times New Roman" w:hAnsi="Times New Roman"/>
          <w:szCs w:val="24"/>
        </w:rPr>
        <w:t xml:space="preserve"> for each of the mean glucose categories w</w:t>
      </w:r>
      <w:r>
        <w:rPr>
          <w:rFonts w:ascii="Times New Roman" w:hAnsi="Times New Roman"/>
          <w:szCs w:val="24"/>
        </w:rPr>
        <w:t>ere</w:t>
      </w:r>
      <w:r w:rsidRPr="00F4476B">
        <w:rPr>
          <w:rFonts w:ascii="Times New Roman" w:hAnsi="Times New Roman"/>
          <w:szCs w:val="24"/>
        </w:rPr>
        <w:t>: 7.3% (70-110 mg/dL), 10.2% (111-145 mg/dL), 14.8% (146-199 mg/dL), 17.3% (200-300 mg/dL), and 21.9% (&gt;300 mg/dL</w:t>
      </w:r>
      <w:r w:rsidRPr="00AE1FAB">
        <w:rPr>
          <w:rFonts w:ascii="Times New Roman" w:hAnsi="Times New Roman"/>
          <w:szCs w:val="24"/>
        </w:rPr>
        <w:t>), respectively. When compared</w:t>
      </w:r>
      <w:r w:rsidRPr="00F4476B">
        <w:rPr>
          <w:rFonts w:ascii="Times New Roman" w:hAnsi="Times New Roman"/>
          <w:szCs w:val="24"/>
        </w:rPr>
        <w:t xml:space="preserve"> to normoglycemic patients (70-110 mg/dL), the adjusted odds ratio for hospital mortality was 2.13 (200-300 mg/dL) and 2.85 (&gt;300 mg/dL)</w:t>
      </w:r>
      <w:r>
        <w:rPr>
          <w:rFonts w:ascii="Times New Roman" w:hAnsi="Times New Roman"/>
          <w:szCs w:val="24"/>
        </w:rPr>
        <w:t xml:space="preserve">, </w:t>
      </w:r>
      <w:r w:rsidRPr="00AE1FAB">
        <w:rPr>
          <w:rFonts w:ascii="Times New Roman" w:hAnsi="Times New Roman"/>
          <w:szCs w:val="24"/>
        </w:rPr>
        <w:t>respectively.</w:t>
      </w:r>
    </w:p>
    <w:p w14:paraId="65D44139" w14:textId="77777777" w:rsidR="00010EA9" w:rsidRDefault="00010EA9" w:rsidP="00010EA9">
      <w:pPr>
        <w:ind w:left="0" w:firstLine="0"/>
        <w:rPr>
          <w:rFonts w:ascii="Times New Roman" w:hAnsi="Times New Roman"/>
          <w:szCs w:val="24"/>
        </w:rPr>
      </w:pPr>
    </w:p>
    <w:p w14:paraId="65D4413A" w14:textId="77777777" w:rsidR="00010EA9" w:rsidRPr="00C26324" w:rsidRDefault="00010EA9" w:rsidP="00010EA9">
      <w:pPr>
        <w:ind w:left="0" w:firstLine="0"/>
        <w:rPr>
          <w:rFonts w:ascii="Times New Roman" w:hAnsi="Times New Roman"/>
          <w:szCs w:val="24"/>
        </w:rPr>
      </w:pPr>
      <w:r w:rsidRPr="00A7722E">
        <w:rPr>
          <w:rFonts w:ascii="Times New Roman" w:hAnsi="Times New Roman"/>
          <w:szCs w:val="24"/>
        </w:rPr>
        <w:t>F</w:t>
      </w:r>
      <w:r>
        <w:rPr>
          <w:rFonts w:ascii="Times New Roman" w:hAnsi="Times New Roman"/>
          <w:szCs w:val="24"/>
        </w:rPr>
        <w:t xml:space="preserve">risch et al. </w:t>
      </w:r>
      <w:r w:rsidRPr="00A7722E">
        <w:rPr>
          <w:rFonts w:ascii="Times New Roman" w:hAnsi="Times New Roman"/>
          <w:szCs w:val="24"/>
        </w:rPr>
        <w:t xml:space="preserve">(2010): This observational study of surgery patients (mean age of 56.5 years) found that perioperative hyperglycemia was associated with mortality after non-cardiac surgery. Medical records from all patients who underwent inpatient surgery at a tertiary academic center from January to June 2007 were reviewed. For 2,469 patients without diabetes, the odds ratios for 30-day mortality by mean </w:t>
      </w:r>
      <w:r w:rsidRPr="007A6F93">
        <w:rPr>
          <w:rFonts w:ascii="Times New Roman" w:hAnsi="Times New Roman"/>
          <w:szCs w:val="24"/>
        </w:rPr>
        <w:t xml:space="preserve">blood glucose after surgery were 10 for </w:t>
      </w:r>
      <w:r w:rsidRPr="00C26324">
        <w:rPr>
          <w:rFonts w:ascii="Times New Roman" w:hAnsi="Times New Roman"/>
          <w:szCs w:val="24"/>
        </w:rPr>
        <w:t>200 mg/dL, 18 for 250 mg/dL, and 43 for 300 mg/dL (</w:t>
      </w:r>
      <w:r w:rsidRPr="00C26324">
        <w:rPr>
          <w:rFonts w:ascii="Times New Roman" w:hAnsi="Times New Roman"/>
          <w:i/>
          <w:szCs w:val="24"/>
        </w:rPr>
        <w:t xml:space="preserve">p </w:t>
      </w:r>
      <w:r w:rsidRPr="00C26324">
        <w:rPr>
          <w:rFonts w:ascii="Times New Roman" w:hAnsi="Times New Roman"/>
          <w:szCs w:val="24"/>
        </w:rPr>
        <w:t xml:space="preserve">&lt;0.001), but this relationship was not significant for patients with diabetes. Normoglycemic was not defined.  </w:t>
      </w:r>
    </w:p>
    <w:p w14:paraId="65D4413B" w14:textId="77777777" w:rsidR="00010EA9" w:rsidRPr="00C26324" w:rsidRDefault="00010EA9" w:rsidP="00010EA9">
      <w:pPr>
        <w:ind w:left="0" w:firstLine="0"/>
        <w:rPr>
          <w:rFonts w:ascii="Times New Roman" w:hAnsi="Times New Roman"/>
          <w:szCs w:val="24"/>
        </w:rPr>
      </w:pPr>
    </w:p>
    <w:p w14:paraId="65D4413C" w14:textId="77777777" w:rsidR="00010EA9" w:rsidRDefault="00010EA9" w:rsidP="00010EA9">
      <w:pPr>
        <w:ind w:left="0" w:firstLine="0"/>
        <w:rPr>
          <w:rFonts w:ascii="Times New Roman" w:hAnsi="Times New Roman"/>
          <w:szCs w:val="24"/>
        </w:rPr>
      </w:pPr>
      <w:r w:rsidRPr="00C26324">
        <w:rPr>
          <w:rFonts w:ascii="Times New Roman" w:hAnsi="Times New Roman"/>
          <w:szCs w:val="24"/>
        </w:rPr>
        <w:t>Jackson et al. (2012): Investigators used data from the Veterans Affairs Surgical Quality Improvement Program database for 7,576 and 5,773 colectomy procedures to study the effect of operative day glucose and postoperative day-1 blood glucose, respectively, on patient outcomes. Mean patient age for the study groups ranged from 67.3 to 70.6 years. Based on multivariate analysis, postoperative day-1 blood glucose levels &gt;200 mg/dL were associated with death (OR 1.97, 95% CI 1.23-3.15), cardiac arrest (OR 2.31, 95% CI 1.08-4.98), myocardial infarction (OR 3.94, 95%CI 1.64-9.</w:t>
      </w:r>
      <w:r w:rsidRPr="00F4476B">
        <w:rPr>
          <w:rFonts w:ascii="Times New Roman" w:hAnsi="Times New Roman"/>
          <w:szCs w:val="24"/>
        </w:rPr>
        <w:t>58), and urinary tract infection (OR 1.68, 95%</w:t>
      </w:r>
      <w:r w:rsidR="0064130D">
        <w:rPr>
          <w:rFonts w:ascii="Times New Roman" w:hAnsi="Times New Roman"/>
          <w:szCs w:val="24"/>
        </w:rPr>
        <w:t xml:space="preserve"> </w:t>
      </w:r>
      <w:r w:rsidRPr="00F4476B">
        <w:rPr>
          <w:rFonts w:ascii="Times New Roman" w:hAnsi="Times New Roman"/>
          <w:szCs w:val="24"/>
        </w:rPr>
        <w:t>CI 1.08-2.63), compared to those with blood glucose equal to 80-120 mg/dL.</w:t>
      </w:r>
      <w:r>
        <w:rPr>
          <w:rFonts w:ascii="Times New Roman" w:hAnsi="Times New Roman"/>
          <w:szCs w:val="24"/>
        </w:rPr>
        <w:t xml:space="preserve"> </w:t>
      </w:r>
    </w:p>
    <w:p w14:paraId="65D4413D" w14:textId="77777777" w:rsidR="00010EA9" w:rsidRDefault="00010EA9" w:rsidP="00010EA9">
      <w:pPr>
        <w:ind w:left="0" w:firstLine="0"/>
        <w:rPr>
          <w:rFonts w:ascii="Times New Roman" w:hAnsi="Times New Roman"/>
          <w:szCs w:val="24"/>
        </w:rPr>
      </w:pPr>
    </w:p>
    <w:p w14:paraId="65D4413E" w14:textId="77777777" w:rsidR="00010EA9" w:rsidRDefault="00010EA9" w:rsidP="00010EA9">
      <w:pPr>
        <w:ind w:left="0" w:firstLine="0"/>
        <w:rPr>
          <w:rFonts w:ascii="Times New Roman" w:hAnsi="Times New Roman"/>
          <w:szCs w:val="24"/>
        </w:rPr>
      </w:pPr>
      <w:r w:rsidRPr="00AE1FAB">
        <w:rPr>
          <w:rFonts w:ascii="Times New Roman" w:hAnsi="Times New Roman"/>
          <w:szCs w:val="24"/>
        </w:rPr>
        <w:t>King et al. (2011): This retrospective cohort study analyzed 1999-2004 data on 55,408 patients with diabetes having a variety of non-cardiac surgeries at Veterans Health Administration facilities (mean age of 64.8 years). The rate of postoperative infections</w:t>
      </w:r>
      <w:r w:rsidRPr="00A7722E">
        <w:rPr>
          <w:rFonts w:ascii="Times New Roman" w:hAnsi="Times New Roman"/>
          <w:szCs w:val="24"/>
        </w:rPr>
        <w:t xml:space="preserve"> was 8.0% overall. Higher blood glucose levels were associated with increased rates of postoperative infectious complications (</w:t>
      </w:r>
      <w:r w:rsidRPr="00AE1FAB">
        <w:rPr>
          <w:rFonts w:ascii="Times New Roman" w:hAnsi="Times New Roman"/>
          <w:i/>
          <w:szCs w:val="24"/>
        </w:rPr>
        <w:t>p</w:t>
      </w:r>
      <w:r w:rsidRPr="00A7722E">
        <w:rPr>
          <w:rFonts w:ascii="Times New Roman" w:hAnsi="Times New Roman"/>
          <w:szCs w:val="24"/>
        </w:rPr>
        <w:t xml:space="preserve"> &lt;0.001). In the sample, 72% of patients had a mean serum glucose level of at least 150 mg/dL during the first 24 hours after surgery. Patients with 24-hour mean postoperative glucose levels of 150 to 250 mg/dL had a greater risk of infection</w:t>
      </w:r>
      <w:r>
        <w:rPr>
          <w:rFonts w:ascii="Times New Roman" w:hAnsi="Times New Roman"/>
          <w:szCs w:val="24"/>
        </w:rPr>
        <w:t>,</w:t>
      </w:r>
      <w:r w:rsidRPr="00A7722E">
        <w:rPr>
          <w:rFonts w:ascii="Times New Roman" w:hAnsi="Times New Roman"/>
          <w:szCs w:val="24"/>
        </w:rPr>
        <w:t xml:space="preserve"> when compared to those with 80 to 110 mg/dL (adjusted incidence rate ratio 1.22, 95</w:t>
      </w:r>
      <w:r w:rsidRPr="007A6F93">
        <w:rPr>
          <w:rFonts w:ascii="Times New Roman" w:hAnsi="Times New Roman"/>
          <w:szCs w:val="24"/>
        </w:rPr>
        <w:t xml:space="preserve">% CI 1.04–1.43; </w:t>
      </w:r>
      <w:r w:rsidRPr="007A6F93">
        <w:rPr>
          <w:rFonts w:ascii="Times New Roman" w:hAnsi="Times New Roman"/>
          <w:i/>
          <w:szCs w:val="24"/>
        </w:rPr>
        <w:t xml:space="preserve">p </w:t>
      </w:r>
      <w:r w:rsidRPr="007A6F93">
        <w:rPr>
          <w:rFonts w:ascii="Times New Roman" w:hAnsi="Times New Roman"/>
          <w:szCs w:val="24"/>
        </w:rPr>
        <w:t xml:space="preserve">= 0.01). Patients with glucose levels &gt;250 mg/dL had an even higher risk of postoperative infection (adjusted incidence rate ratio: 1.43; 95% CI 1.19–1.71; </w:t>
      </w:r>
      <w:r w:rsidRPr="007A6F93">
        <w:rPr>
          <w:rFonts w:ascii="Times New Roman" w:hAnsi="Times New Roman"/>
          <w:i/>
          <w:szCs w:val="24"/>
        </w:rPr>
        <w:t xml:space="preserve">p </w:t>
      </w:r>
      <w:r w:rsidRPr="007A6F93">
        <w:rPr>
          <w:rFonts w:ascii="Times New Roman" w:hAnsi="Times New Roman"/>
          <w:szCs w:val="24"/>
        </w:rPr>
        <w:t>&lt; 0.001).</w:t>
      </w:r>
      <w:r w:rsidRPr="00A7722E">
        <w:rPr>
          <w:rFonts w:ascii="Times New Roman" w:hAnsi="Times New Roman"/>
          <w:szCs w:val="24"/>
        </w:rPr>
        <w:t xml:space="preserve"> </w:t>
      </w:r>
    </w:p>
    <w:p w14:paraId="65D4413F" w14:textId="77777777" w:rsidR="00010EA9" w:rsidRDefault="00010EA9" w:rsidP="00010EA9">
      <w:pPr>
        <w:ind w:left="0" w:firstLine="0"/>
        <w:rPr>
          <w:rFonts w:ascii="Times New Roman" w:hAnsi="Times New Roman"/>
          <w:szCs w:val="24"/>
        </w:rPr>
      </w:pPr>
    </w:p>
    <w:p w14:paraId="65D44140" w14:textId="0F925D7F" w:rsidR="00010EA9" w:rsidRDefault="00010EA9" w:rsidP="00010EA9">
      <w:pPr>
        <w:ind w:left="0" w:firstLine="0"/>
        <w:rPr>
          <w:rFonts w:ascii="Times New Roman" w:hAnsi="Times New Roman"/>
          <w:szCs w:val="24"/>
        </w:rPr>
      </w:pPr>
      <w:r w:rsidRPr="00A7722E">
        <w:rPr>
          <w:rFonts w:ascii="Times New Roman" w:hAnsi="Times New Roman"/>
          <w:szCs w:val="24"/>
        </w:rPr>
        <w:t>L</w:t>
      </w:r>
      <w:r>
        <w:rPr>
          <w:rFonts w:ascii="Times New Roman" w:hAnsi="Times New Roman"/>
          <w:szCs w:val="24"/>
        </w:rPr>
        <w:t xml:space="preserve">ee et al. </w:t>
      </w:r>
      <w:r w:rsidRPr="00A7722E">
        <w:rPr>
          <w:rFonts w:ascii="Times New Roman" w:hAnsi="Times New Roman"/>
          <w:szCs w:val="24"/>
        </w:rPr>
        <w:t>(2012): This retrospective study of 3,132 patients from 17 hospitals who had invasive cardiovascular surgery found that higher mean and maximum blood glucose levels were associated with increased risk of in-hospital mortality. Data w</w:t>
      </w:r>
      <w:r>
        <w:rPr>
          <w:rFonts w:ascii="Times New Roman" w:hAnsi="Times New Roman"/>
          <w:szCs w:val="24"/>
        </w:rPr>
        <w:t>ere</w:t>
      </w:r>
      <w:r w:rsidRPr="00A7722E">
        <w:rPr>
          <w:rFonts w:ascii="Times New Roman" w:hAnsi="Times New Roman"/>
          <w:szCs w:val="24"/>
        </w:rPr>
        <w:t xml:space="preserve"> extracted from the electronic health records of patients ≥18 years of age (mean age of 66 years) who underwent surgery from 2000 to 2006 and were admitted to the ICU within </w:t>
      </w:r>
      <w:r w:rsidR="009E1B30">
        <w:rPr>
          <w:rFonts w:ascii="Times New Roman" w:hAnsi="Times New Roman"/>
          <w:szCs w:val="24"/>
        </w:rPr>
        <w:t>three</w:t>
      </w:r>
      <w:r w:rsidRPr="00A7722E">
        <w:rPr>
          <w:rFonts w:ascii="Times New Roman" w:hAnsi="Times New Roman"/>
          <w:szCs w:val="24"/>
        </w:rPr>
        <w:t xml:space="preserve"> days of admission. Among survivors and non-survivors, the mean blood glucose levels during the 72-hour observation period were 198 and 221 mg/dL, respectively, and the maximum blood glucose levels were 256 and 326 mg/dL, re</w:t>
      </w:r>
      <w:r>
        <w:rPr>
          <w:rFonts w:ascii="Times New Roman" w:hAnsi="Times New Roman"/>
          <w:szCs w:val="24"/>
        </w:rPr>
        <w:t>spectively (</w:t>
      </w:r>
      <w:r w:rsidRPr="00AE1FAB">
        <w:rPr>
          <w:rFonts w:ascii="Times New Roman" w:hAnsi="Times New Roman"/>
          <w:i/>
          <w:szCs w:val="24"/>
        </w:rPr>
        <w:t>p</w:t>
      </w:r>
      <w:r>
        <w:rPr>
          <w:rFonts w:ascii="Times New Roman" w:hAnsi="Times New Roman"/>
          <w:szCs w:val="24"/>
        </w:rPr>
        <w:t xml:space="preserve"> &lt;0.001 for both). </w:t>
      </w:r>
      <w:r w:rsidRPr="00A7722E">
        <w:rPr>
          <w:rFonts w:ascii="Times New Roman" w:hAnsi="Times New Roman"/>
          <w:szCs w:val="24"/>
        </w:rPr>
        <w:t xml:space="preserve">For mean blood glucose models, the odds of in-hospital mortality increased by 7% for every 0.56 mmol/L (10.08 mg/dL) increase in the mean blood glucose level (OR 1.07, 95% CI 1.01-1.12). In the maximum blood </w:t>
      </w:r>
      <w:r w:rsidRPr="00F4476B">
        <w:rPr>
          <w:rFonts w:ascii="Times New Roman" w:hAnsi="Times New Roman"/>
          <w:szCs w:val="24"/>
        </w:rPr>
        <w:t>glucose model, the odds of mortality increased by 6% for every 0.56 mmol/L (10.08 mg/dL) increase in the maximum blood glucose level (OR 1.06, 95% CI 1.03-1.08). Hyperglycemia was defined as fasting blood glucose ≥126 mg/dL or random ≥198 mg/dL; normoglycemia was not defined.</w:t>
      </w:r>
      <w:r w:rsidRPr="00BA1EB1">
        <w:rPr>
          <w:rFonts w:ascii="Times New Roman" w:hAnsi="Times New Roman"/>
          <w:szCs w:val="24"/>
        </w:rPr>
        <w:t xml:space="preserve">  </w:t>
      </w:r>
    </w:p>
    <w:p w14:paraId="65D44141" w14:textId="77777777" w:rsidR="00010EA9" w:rsidRDefault="00010EA9" w:rsidP="00010EA9">
      <w:pPr>
        <w:ind w:left="0" w:firstLine="0"/>
        <w:rPr>
          <w:rFonts w:ascii="Times New Roman" w:hAnsi="Times New Roman"/>
          <w:szCs w:val="24"/>
        </w:rPr>
      </w:pPr>
    </w:p>
    <w:p w14:paraId="65D44142" w14:textId="400F3961" w:rsidR="00010EA9" w:rsidRDefault="00010EA9" w:rsidP="00010EA9">
      <w:pPr>
        <w:ind w:left="0" w:firstLine="0"/>
        <w:rPr>
          <w:rFonts w:ascii="Times New Roman" w:hAnsi="Times New Roman"/>
          <w:szCs w:val="24"/>
        </w:rPr>
      </w:pPr>
      <w:r>
        <w:rPr>
          <w:rFonts w:ascii="Times New Roman" w:hAnsi="Times New Roman"/>
          <w:szCs w:val="24"/>
        </w:rPr>
        <w:t xml:space="preserve">McAlister et al. </w:t>
      </w:r>
      <w:r w:rsidRPr="00A7722E">
        <w:rPr>
          <w:rFonts w:ascii="Times New Roman" w:hAnsi="Times New Roman"/>
          <w:szCs w:val="24"/>
        </w:rPr>
        <w:t>(2005): In this prospective cohort study of consecutive patients admitted with a clinical diagnosis of community</w:t>
      </w:r>
      <w:r>
        <w:rPr>
          <w:rFonts w:ascii="Times New Roman" w:hAnsi="Times New Roman"/>
          <w:szCs w:val="24"/>
        </w:rPr>
        <w:t>-</w:t>
      </w:r>
      <w:r w:rsidRPr="00A7722E">
        <w:rPr>
          <w:rFonts w:ascii="Times New Roman" w:hAnsi="Times New Roman"/>
          <w:szCs w:val="24"/>
        </w:rPr>
        <w:t xml:space="preserve">acquired pneumonia (CAP) to </w:t>
      </w:r>
      <w:r w:rsidR="003479D0">
        <w:rPr>
          <w:rFonts w:ascii="Times New Roman" w:hAnsi="Times New Roman"/>
          <w:szCs w:val="24"/>
        </w:rPr>
        <w:t>six</w:t>
      </w:r>
      <w:r w:rsidRPr="00A7722E">
        <w:rPr>
          <w:rFonts w:ascii="Times New Roman" w:hAnsi="Times New Roman"/>
          <w:szCs w:val="24"/>
        </w:rPr>
        <w:t xml:space="preserve"> hospitals from November 2000 to November 2002, hyperglycemia at admission was independently ass</w:t>
      </w:r>
      <w:r>
        <w:rPr>
          <w:rFonts w:ascii="Times New Roman" w:hAnsi="Times New Roman"/>
          <w:szCs w:val="24"/>
        </w:rPr>
        <w:t xml:space="preserve">ociated with adverse outcomes. </w:t>
      </w:r>
      <w:r w:rsidRPr="00A7722E">
        <w:rPr>
          <w:rFonts w:ascii="Times New Roman" w:hAnsi="Times New Roman"/>
          <w:szCs w:val="24"/>
        </w:rPr>
        <w:t>Patients admitted dire</w:t>
      </w:r>
      <w:r>
        <w:rPr>
          <w:rFonts w:ascii="Times New Roman" w:hAnsi="Times New Roman"/>
          <w:szCs w:val="24"/>
        </w:rPr>
        <w:t xml:space="preserve">ctly to the ICU were excluded. </w:t>
      </w:r>
      <w:r w:rsidRPr="00A7722E">
        <w:rPr>
          <w:rFonts w:ascii="Times New Roman" w:hAnsi="Times New Roman"/>
          <w:szCs w:val="24"/>
        </w:rPr>
        <w:t>The final sample included 2,471 patients with a median age of 75 years. Compared with patients with an admission glucose &lt;11 mmol/l (&lt;198 mg/dL), patients with an admission glucose &gt;11</w:t>
      </w:r>
      <w:r w:rsidR="00B36C6D">
        <w:rPr>
          <w:rFonts w:ascii="Times New Roman" w:hAnsi="Times New Roman"/>
          <w:szCs w:val="24"/>
        </w:rPr>
        <w:t xml:space="preserve"> </w:t>
      </w:r>
      <w:r w:rsidRPr="00A7722E">
        <w:rPr>
          <w:rFonts w:ascii="Times New Roman" w:hAnsi="Times New Roman"/>
          <w:szCs w:val="24"/>
        </w:rPr>
        <w:t xml:space="preserve">mmol/l (&gt;198.2 mg/dL) had an increased risk of death (13% vs. 9%, </w:t>
      </w:r>
      <w:r w:rsidRPr="0093213E">
        <w:rPr>
          <w:rFonts w:ascii="Times New Roman" w:hAnsi="Times New Roman"/>
          <w:i/>
          <w:szCs w:val="24"/>
        </w:rPr>
        <w:t>p</w:t>
      </w:r>
      <w:r w:rsidRPr="00A7722E">
        <w:rPr>
          <w:rFonts w:ascii="Times New Roman" w:hAnsi="Times New Roman"/>
          <w:szCs w:val="24"/>
        </w:rPr>
        <w:t xml:space="preserve"> =0.03) and in-hospital complications (29% vs. 22%, </w:t>
      </w:r>
      <w:r w:rsidRPr="0093213E">
        <w:rPr>
          <w:rFonts w:ascii="Times New Roman" w:hAnsi="Times New Roman"/>
          <w:i/>
          <w:szCs w:val="24"/>
        </w:rPr>
        <w:t>p</w:t>
      </w:r>
      <w:r w:rsidRPr="00A7722E">
        <w:rPr>
          <w:rFonts w:ascii="Times New Roman" w:hAnsi="Times New Roman"/>
          <w:szCs w:val="24"/>
        </w:rPr>
        <w:t xml:space="preserve"> =0.01). In-hospital complications included </w:t>
      </w:r>
      <w:r>
        <w:rPr>
          <w:rFonts w:ascii="Times New Roman" w:hAnsi="Times New Roman"/>
          <w:szCs w:val="24"/>
        </w:rPr>
        <w:t>“</w:t>
      </w:r>
      <w:r w:rsidRPr="00A7722E">
        <w:rPr>
          <w:rFonts w:ascii="Times New Roman" w:hAnsi="Times New Roman"/>
          <w:szCs w:val="24"/>
        </w:rPr>
        <w:t>any nonmetabolic complications, cardiac complications (acute coronary syndromes and/or heart failure), and nosocomial infections (i.e., in sites other than the lungs).</w:t>
      </w:r>
      <w:r>
        <w:rPr>
          <w:rFonts w:ascii="Times New Roman" w:hAnsi="Times New Roman"/>
          <w:szCs w:val="24"/>
        </w:rPr>
        <w:t>”</w:t>
      </w:r>
      <w:r w:rsidRPr="00A7722E">
        <w:rPr>
          <w:rFonts w:ascii="Times New Roman" w:hAnsi="Times New Roman"/>
          <w:szCs w:val="24"/>
        </w:rPr>
        <w:t xml:space="preserve"> Compared with patients whose admission glucose was ≤6.1 mmol/l</w:t>
      </w:r>
      <w:r>
        <w:rPr>
          <w:rFonts w:ascii="Times New Roman" w:hAnsi="Times New Roman"/>
          <w:szCs w:val="24"/>
        </w:rPr>
        <w:t xml:space="preserve"> </w:t>
      </w:r>
      <w:r w:rsidRPr="00A7722E">
        <w:rPr>
          <w:rFonts w:ascii="Times New Roman" w:hAnsi="Times New Roman"/>
          <w:szCs w:val="24"/>
        </w:rPr>
        <w:t xml:space="preserve">(≤109.8 mg/dL), patients with an admission glucose &gt;11 mmol/l (&gt;198 mg/dL) had a 73% higher (95% CI 12-168%) mortality risk and 52% (95% CI 12%-108%) higher in-hospital complication risk. For each 1 mmol/l (18 mg/dL) increase in admission glucose, the adjusted risk of in-hospital complications increased 3% (95% CI 0.2–6%) in the entire cohort and 5% (95% CI 1–9%) in those with a history of diabetes. The adjusted risk of in-hospital mortality increased 8% (95% CI 1–15%) per mmol/l in those with a history of diabetes. </w:t>
      </w:r>
    </w:p>
    <w:p w14:paraId="65D44143" w14:textId="77777777" w:rsidR="00010EA9" w:rsidRDefault="00010EA9" w:rsidP="00010EA9">
      <w:pPr>
        <w:ind w:left="0" w:firstLine="0"/>
        <w:rPr>
          <w:rFonts w:ascii="Times New Roman" w:hAnsi="Times New Roman"/>
          <w:szCs w:val="24"/>
        </w:rPr>
      </w:pPr>
    </w:p>
    <w:p w14:paraId="65D44144" w14:textId="77777777" w:rsidR="00010EA9" w:rsidRDefault="00010EA9" w:rsidP="00010EA9">
      <w:pPr>
        <w:ind w:left="0" w:firstLine="0"/>
        <w:rPr>
          <w:rFonts w:ascii="Times New Roman" w:hAnsi="Times New Roman"/>
          <w:szCs w:val="24"/>
        </w:rPr>
      </w:pPr>
      <w:r w:rsidRPr="00A7722E">
        <w:rPr>
          <w:rFonts w:ascii="Times New Roman" w:hAnsi="Times New Roman"/>
          <w:szCs w:val="24"/>
        </w:rPr>
        <w:t>P</w:t>
      </w:r>
      <w:r>
        <w:rPr>
          <w:rFonts w:ascii="Times New Roman" w:hAnsi="Times New Roman"/>
          <w:szCs w:val="24"/>
        </w:rPr>
        <w:t xml:space="preserve">asquel et al. </w:t>
      </w:r>
      <w:r w:rsidRPr="00A7722E">
        <w:rPr>
          <w:rFonts w:ascii="Times New Roman" w:hAnsi="Times New Roman"/>
          <w:szCs w:val="24"/>
        </w:rPr>
        <w:t>(2010): This retrospective study of medical and surgical patients receiving total parenteral nutrition (TPN) found hyperglycemia to be associated with increased hospital complications a</w:t>
      </w:r>
      <w:r>
        <w:rPr>
          <w:rFonts w:ascii="Times New Roman" w:hAnsi="Times New Roman"/>
          <w:szCs w:val="24"/>
        </w:rPr>
        <w:t xml:space="preserve">nd mortality. </w:t>
      </w:r>
      <w:r w:rsidRPr="00A7722E">
        <w:rPr>
          <w:rFonts w:ascii="Times New Roman" w:hAnsi="Times New Roman"/>
          <w:szCs w:val="24"/>
        </w:rPr>
        <w:t xml:space="preserve">The study population included 276 consecutive medical and surgical patients with a mean glucose of 139±85 mg/dL on admission. The mean age of these patients was 51 years. </w:t>
      </w:r>
      <w:r w:rsidR="00B36C6D" w:rsidRPr="00A7722E">
        <w:rPr>
          <w:rFonts w:ascii="Times New Roman" w:hAnsi="Times New Roman"/>
          <w:szCs w:val="24"/>
        </w:rPr>
        <w:t xml:space="preserve">In multiple regression analyses, the likelihood of death was predicted by elevated pre-TPN blood glucose of 121-150 mg/dL (OR 2.2, 95% CI 1.1-4.4, </w:t>
      </w:r>
      <w:r w:rsidR="00B36C6D" w:rsidRPr="00C7003E">
        <w:rPr>
          <w:rFonts w:ascii="Times New Roman" w:hAnsi="Times New Roman"/>
          <w:i/>
          <w:szCs w:val="24"/>
        </w:rPr>
        <w:t>p</w:t>
      </w:r>
      <w:r w:rsidR="00B36C6D" w:rsidRPr="00A7722E">
        <w:rPr>
          <w:rFonts w:ascii="Times New Roman" w:hAnsi="Times New Roman"/>
          <w:szCs w:val="24"/>
        </w:rPr>
        <w:t xml:space="preserve"> =0.030), 151-180 mg/dL (OR 3.41, 95% CI 1.3-8.7, </w:t>
      </w:r>
      <w:r w:rsidR="00B36C6D" w:rsidRPr="00C7003E">
        <w:rPr>
          <w:rFonts w:ascii="Times New Roman" w:hAnsi="Times New Roman"/>
          <w:i/>
          <w:szCs w:val="24"/>
        </w:rPr>
        <w:t>p</w:t>
      </w:r>
      <w:r w:rsidR="00B36C6D" w:rsidRPr="00A7722E">
        <w:rPr>
          <w:rFonts w:ascii="Times New Roman" w:hAnsi="Times New Roman"/>
          <w:szCs w:val="24"/>
        </w:rPr>
        <w:t xml:space="preserve"> =0.01), or &gt;180 mg/dL (OR 2.2, 95% CI 0.9-5.2, </w:t>
      </w:r>
      <w:r w:rsidR="00B36C6D" w:rsidRPr="00C7003E">
        <w:rPr>
          <w:rFonts w:ascii="Times New Roman" w:hAnsi="Times New Roman"/>
          <w:i/>
          <w:szCs w:val="24"/>
        </w:rPr>
        <w:t>p</w:t>
      </w:r>
      <w:r w:rsidR="00B36C6D" w:rsidRPr="00A7722E">
        <w:rPr>
          <w:rFonts w:ascii="Times New Roman" w:hAnsi="Times New Roman"/>
          <w:szCs w:val="24"/>
        </w:rPr>
        <w:t xml:space="preserve"> =0.077), compared with those having mean blood glucose ≤120</w:t>
      </w:r>
      <w:r w:rsidR="00B36C6D">
        <w:rPr>
          <w:rFonts w:ascii="Times New Roman" w:hAnsi="Times New Roman"/>
          <w:szCs w:val="24"/>
        </w:rPr>
        <w:t xml:space="preserve"> </w:t>
      </w:r>
      <w:r w:rsidR="00B36C6D" w:rsidRPr="00A7722E">
        <w:rPr>
          <w:rFonts w:ascii="Times New Roman" w:hAnsi="Times New Roman"/>
          <w:szCs w:val="24"/>
        </w:rPr>
        <w:t xml:space="preserve">mg/dL. </w:t>
      </w:r>
      <w:r w:rsidRPr="00A7722E">
        <w:rPr>
          <w:rFonts w:ascii="Times New Roman" w:hAnsi="Times New Roman"/>
          <w:szCs w:val="24"/>
        </w:rPr>
        <w:t>Patients with higher blood glucose levels during TPN had longer hospital (</w:t>
      </w:r>
      <w:r w:rsidRPr="0029338A">
        <w:rPr>
          <w:rFonts w:ascii="Times New Roman" w:hAnsi="Times New Roman"/>
          <w:i/>
          <w:szCs w:val="24"/>
        </w:rPr>
        <w:t>p</w:t>
      </w:r>
      <w:r>
        <w:rPr>
          <w:rFonts w:ascii="Times New Roman" w:hAnsi="Times New Roman"/>
          <w:i/>
          <w:szCs w:val="24"/>
        </w:rPr>
        <w:t xml:space="preserve"> </w:t>
      </w:r>
      <w:r w:rsidRPr="00A7722E">
        <w:rPr>
          <w:rFonts w:ascii="Times New Roman" w:hAnsi="Times New Roman"/>
          <w:szCs w:val="24"/>
        </w:rPr>
        <w:t>=0.011) and intensive care unit (</w:t>
      </w:r>
      <w:r w:rsidRPr="0029338A">
        <w:rPr>
          <w:rFonts w:ascii="Times New Roman" w:hAnsi="Times New Roman"/>
          <w:i/>
          <w:szCs w:val="24"/>
        </w:rPr>
        <w:t>p</w:t>
      </w:r>
      <w:r>
        <w:rPr>
          <w:rFonts w:ascii="Times New Roman" w:hAnsi="Times New Roman"/>
          <w:i/>
          <w:szCs w:val="24"/>
        </w:rPr>
        <w:t xml:space="preserve"> </w:t>
      </w:r>
      <w:r w:rsidRPr="00A7722E">
        <w:rPr>
          <w:rFonts w:ascii="Times New Roman" w:hAnsi="Times New Roman"/>
          <w:szCs w:val="24"/>
        </w:rPr>
        <w:t>=0.008) lengths of stay. Blood glucose &gt;180 mg/dL within 24 hours after TPN was associated with a higher risk of pneumonia (OR 3.6, 95% CI 1.6</w:t>
      </w:r>
      <w:r w:rsidR="00AA6048" w:rsidRPr="00A7722E">
        <w:rPr>
          <w:rFonts w:ascii="Times New Roman" w:hAnsi="Times New Roman"/>
          <w:szCs w:val="24"/>
        </w:rPr>
        <w:t>-</w:t>
      </w:r>
      <w:r w:rsidRPr="00A7722E">
        <w:rPr>
          <w:rFonts w:ascii="Times New Roman" w:hAnsi="Times New Roman"/>
          <w:szCs w:val="24"/>
        </w:rPr>
        <w:t>8.4) and acute renal failure (OR 2.2, 95% CI 1.02</w:t>
      </w:r>
      <w:r w:rsidR="00AA6048" w:rsidRPr="00A7722E">
        <w:rPr>
          <w:rFonts w:ascii="Times New Roman" w:hAnsi="Times New Roman"/>
          <w:szCs w:val="24"/>
        </w:rPr>
        <w:t>-</w:t>
      </w:r>
      <w:r w:rsidRPr="00A7722E">
        <w:rPr>
          <w:rFonts w:ascii="Times New Roman" w:hAnsi="Times New Roman"/>
          <w:szCs w:val="24"/>
        </w:rPr>
        <w:t>4.8)</w:t>
      </w:r>
      <w:r>
        <w:rPr>
          <w:rFonts w:ascii="Times New Roman" w:hAnsi="Times New Roman"/>
          <w:szCs w:val="24"/>
        </w:rPr>
        <w:t>,</w:t>
      </w:r>
      <w:r w:rsidRPr="00A7722E">
        <w:rPr>
          <w:rFonts w:ascii="Times New Roman" w:hAnsi="Times New Roman"/>
          <w:szCs w:val="24"/>
        </w:rPr>
        <w:t xml:space="preserve"> compared with those having blood glucose &lt;120 mg/dL. </w:t>
      </w:r>
    </w:p>
    <w:p w14:paraId="65D44145" w14:textId="77777777" w:rsidR="00010EA9" w:rsidRDefault="00010EA9" w:rsidP="00010EA9">
      <w:pPr>
        <w:ind w:left="0" w:firstLine="0"/>
        <w:rPr>
          <w:rFonts w:ascii="Times New Roman" w:hAnsi="Times New Roman"/>
          <w:szCs w:val="24"/>
        </w:rPr>
      </w:pPr>
    </w:p>
    <w:p w14:paraId="65D44146" w14:textId="77777777" w:rsidR="00010EA9" w:rsidRDefault="00010EA9" w:rsidP="00010EA9">
      <w:pPr>
        <w:ind w:left="0" w:firstLine="0"/>
        <w:rPr>
          <w:rFonts w:ascii="Times New Roman" w:hAnsi="Times New Roman"/>
          <w:szCs w:val="24"/>
        </w:rPr>
      </w:pPr>
      <w:r w:rsidRPr="00A7722E">
        <w:rPr>
          <w:rFonts w:ascii="Times New Roman" w:hAnsi="Times New Roman"/>
          <w:szCs w:val="24"/>
        </w:rPr>
        <w:t>R</w:t>
      </w:r>
      <w:r>
        <w:rPr>
          <w:rFonts w:ascii="Times New Roman" w:hAnsi="Times New Roman"/>
          <w:szCs w:val="24"/>
        </w:rPr>
        <w:t xml:space="preserve">ady et al. </w:t>
      </w:r>
      <w:r w:rsidRPr="00A7722E">
        <w:rPr>
          <w:rFonts w:ascii="Times New Roman" w:hAnsi="Times New Roman"/>
          <w:szCs w:val="24"/>
        </w:rPr>
        <w:t>(2005): This observational study of 7,285 patients aged ≥18 years admitted to a single ICU in a tertiary-care teaching hospital between 1999 and 2003 found that poor glycemic control in nondiabetic patients was associated with increased insulin requirement and mortality. Electronic medical records were queried to identify patients with poor glycemic control</w:t>
      </w:r>
      <w:r>
        <w:rPr>
          <w:rFonts w:ascii="Times New Roman" w:hAnsi="Times New Roman"/>
          <w:szCs w:val="24"/>
        </w:rPr>
        <w:t>,</w:t>
      </w:r>
      <w:r w:rsidRPr="00A7722E">
        <w:rPr>
          <w:rFonts w:ascii="Times New Roman" w:hAnsi="Times New Roman"/>
          <w:szCs w:val="24"/>
        </w:rPr>
        <w:t xml:space="preserve"> defined as glucose value of ≤144 mg/dL for less than 5% of the total hospital stay, and hospital death. The 1</w:t>
      </w:r>
      <w:r>
        <w:rPr>
          <w:rFonts w:ascii="Times New Roman" w:hAnsi="Times New Roman"/>
          <w:szCs w:val="24"/>
        </w:rPr>
        <w:t>,</w:t>
      </w:r>
      <w:r w:rsidRPr="00A7722E">
        <w:rPr>
          <w:rFonts w:ascii="Times New Roman" w:hAnsi="Times New Roman"/>
          <w:szCs w:val="24"/>
        </w:rPr>
        <w:t>083 diabetic patients (mean age of 70 years) and the 1</w:t>
      </w:r>
      <w:r>
        <w:rPr>
          <w:rFonts w:ascii="Times New Roman" w:hAnsi="Times New Roman"/>
          <w:szCs w:val="24"/>
        </w:rPr>
        <w:t>,</w:t>
      </w:r>
      <w:r w:rsidRPr="00A7722E">
        <w:rPr>
          <w:rFonts w:ascii="Times New Roman" w:hAnsi="Times New Roman"/>
          <w:szCs w:val="24"/>
        </w:rPr>
        <w:t>743 nondiabetic patients (mean age of 71 years) who required insulin for glycemic control were compared to each other and the 4</w:t>
      </w:r>
      <w:r>
        <w:rPr>
          <w:rFonts w:ascii="Times New Roman" w:hAnsi="Times New Roman"/>
          <w:szCs w:val="24"/>
        </w:rPr>
        <w:t>,</w:t>
      </w:r>
      <w:r w:rsidRPr="00A7722E">
        <w:rPr>
          <w:rFonts w:ascii="Times New Roman" w:hAnsi="Times New Roman"/>
          <w:szCs w:val="24"/>
        </w:rPr>
        <w:t xml:space="preserve">459 requiring no glycemic control (mean age of 70 years). Mortality was higher in nondiabetic patients than diabetic patients at any given insulin dose. Mortality increased for nondiabetic patients at median glucose levels of 145 mg/dL and for diabetic patients of &gt;200 mg/dL. The </w:t>
      </w:r>
      <w:r w:rsidRPr="00A7722E">
        <w:rPr>
          <w:rFonts w:ascii="Times New Roman" w:hAnsi="Times New Roman"/>
          <w:szCs w:val="24"/>
        </w:rPr>
        <w:lastRenderedPageBreak/>
        <w:t xml:space="preserve">control group (i.e., those requiring </w:t>
      </w:r>
      <w:r w:rsidRPr="00C7003E">
        <w:rPr>
          <w:rFonts w:ascii="Times New Roman" w:hAnsi="Times New Roman"/>
          <w:szCs w:val="24"/>
        </w:rPr>
        <w:t>no glycemic control) had a median glucose level of 118 mg/dL (range 97-153 mg/dL) and a 5% mortality rate. Unadjusted mortality rates were 10% for nondiabetics compared to 6% for diabetics receiving glycemic control (</w:t>
      </w:r>
      <w:r w:rsidRPr="00C7003E">
        <w:rPr>
          <w:rFonts w:ascii="Times New Roman" w:hAnsi="Times New Roman"/>
          <w:i/>
          <w:szCs w:val="24"/>
        </w:rPr>
        <w:t>p</w:t>
      </w:r>
      <w:r w:rsidRPr="00C7003E">
        <w:rPr>
          <w:rFonts w:ascii="Times New Roman" w:hAnsi="Times New Roman"/>
          <w:szCs w:val="24"/>
        </w:rPr>
        <w:t xml:space="preserve"> &lt;0.001). Based on multivariate analysis, poor glycemic control (defined as &gt;144 mg/dL for</w:t>
      </w:r>
      <w:r w:rsidRPr="00A7722E">
        <w:rPr>
          <w:rFonts w:ascii="Times New Roman" w:hAnsi="Times New Roman"/>
          <w:szCs w:val="24"/>
        </w:rPr>
        <w:t xml:space="preserve"> 95% of hospital stay) in diabetic and nondiabetic patients was independently associated with hospital mortality (OR 1.5; 95% CI 1.1-2.0). </w:t>
      </w:r>
    </w:p>
    <w:p w14:paraId="65D44147" w14:textId="77777777" w:rsidR="00010EA9" w:rsidRDefault="00010EA9" w:rsidP="00010EA9">
      <w:pPr>
        <w:ind w:left="0" w:firstLine="0"/>
        <w:rPr>
          <w:rFonts w:ascii="Times New Roman" w:hAnsi="Times New Roman"/>
          <w:szCs w:val="24"/>
        </w:rPr>
      </w:pPr>
    </w:p>
    <w:p w14:paraId="65D44148" w14:textId="4054A0E9" w:rsidR="00010EA9" w:rsidRDefault="00010EA9" w:rsidP="00010EA9">
      <w:pPr>
        <w:widowControl w:val="0"/>
        <w:ind w:left="0" w:firstLine="0"/>
        <w:rPr>
          <w:rFonts w:ascii="Times New Roman" w:hAnsi="Times New Roman"/>
          <w:szCs w:val="24"/>
        </w:rPr>
      </w:pPr>
      <w:r>
        <w:rPr>
          <w:rFonts w:ascii="Times New Roman" w:hAnsi="Times New Roman"/>
          <w:szCs w:val="24"/>
        </w:rPr>
        <w:t xml:space="preserve">Umpierrez et al. </w:t>
      </w:r>
      <w:r w:rsidRPr="00A7722E">
        <w:rPr>
          <w:rFonts w:ascii="Times New Roman" w:hAnsi="Times New Roman"/>
          <w:szCs w:val="24"/>
        </w:rPr>
        <w:t xml:space="preserve">(2002): In this retrospective study of 1,886 consecutive adult patients admitted to a community teaching hospital, in-hospital hyperglycemia was common and was a marker of poor clinical outcome and mortality in patients with and </w:t>
      </w:r>
      <w:r>
        <w:rPr>
          <w:rFonts w:ascii="Times New Roman" w:hAnsi="Times New Roman"/>
          <w:szCs w:val="24"/>
        </w:rPr>
        <w:t xml:space="preserve">without a history of diabetes. </w:t>
      </w:r>
      <w:r w:rsidRPr="00A7722E">
        <w:rPr>
          <w:rFonts w:ascii="Times New Roman" w:hAnsi="Times New Roman"/>
          <w:szCs w:val="24"/>
        </w:rPr>
        <w:t>Patients admitted to the hospital between July and October of 1998</w:t>
      </w:r>
      <w:r>
        <w:rPr>
          <w:rFonts w:ascii="Times New Roman" w:hAnsi="Times New Roman"/>
          <w:szCs w:val="24"/>
        </w:rPr>
        <w:t>,</w:t>
      </w:r>
      <w:r w:rsidRPr="00A7722E">
        <w:rPr>
          <w:rFonts w:ascii="Times New Roman" w:hAnsi="Times New Roman"/>
          <w:szCs w:val="24"/>
        </w:rPr>
        <w:t xml:space="preserve"> who had a recorded blood glucose measurement during the hospital stay</w:t>
      </w:r>
      <w:r>
        <w:rPr>
          <w:rFonts w:ascii="Times New Roman" w:hAnsi="Times New Roman"/>
          <w:szCs w:val="24"/>
        </w:rPr>
        <w:t>,</w:t>
      </w:r>
      <w:r w:rsidRPr="00A7722E">
        <w:rPr>
          <w:rFonts w:ascii="Times New Roman" w:hAnsi="Times New Roman"/>
          <w:szCs w:val="24"/>
        </w:rPr>
        <w:t xml:space="preserve"> were included in the analysis. Among the patients, 223 (12%) were diagnosed with new hyperglycemia, 495 (26%) had a known history of diabetes at admission, and 1</w:t>
      </w:r>
      <w:r>
        <w:rPr>
          <w:rFonts w:ascii="Times New Roman" w:hAnsi="Times New Roman"/>
          <w:szCs w:val="24"/>
        </w:rPr>
        <w:t>,</w:t>
      </w:r>
      <w:r w:rsidRPr="00A7722E">
        <w:rPr>
          <w:rFonts w:ascii="Times New Roman" w:hAnsi="Times New Roman"/>
          <w:szCs w:val="24"/>
        </w:rPr>
        <w:t xml:space="preserve">168 (62%) were normoglycemic. The mean ages of these </w:t>
      </w:r>
      <w:r w:rsidR="00AA6048">
        <w:rPr>
          <w:rFonts w:ascii="Times New Roman" w:hAnsi="Times New Roman"/>
          <w:szCs w:val="24"/>
        </w:rPr>
        <w:t>three</w:t>
      </w:r>
      <w:r w:rsidRPr="00A7722E">
        <w:rPr>
          <w:rFonts w:ascii="Times New Roman" w:hAnsi="Times New Roman"/>
          <w:szCs w:val="24"/>
        </w:rPr>
        <w:t xml:space="preserve"> study groups were 59 years, 63 years, a</w:t>
      </w:r>
      <w:r>
        <w:rPr>
          <w:rFonts w:ascii="Times New Roman" w:hAnsi="Times New Roman"/>
          <w:szCs w:val="24"/>
        </w:rPr>
        <w:t>nd 54 years, respectively. “</w:t>
      </w:r>
      <w:r w:rsidRPr="00A7722E">
        <w:rPr>
          <w:rFonts w:ascii="Times New Roman" w:hAnsi="Times New Roman"/>
          <w:szCs w:val="24"/>
        </w:rPr>
        <w:t>New hyperglycemia</w:t>
      </w:r>
      <w:r>
        <w:rPr>
          <w:rFonts w:ascii="Times New Roman" w:hAnsi="Times New Roman"/>
          <w:szCs w:val="24"/>
        </w:rPr>
        <w:t>”</w:t>
      </w:r>
      <w:r w:rsidRPr="00A7722E">
        <w:rPr>
          <w:rFonts w:ascii="Times New Roman" w:hAnsi="Times New Roman"/>
          <w:szCs w:val="24"/>
        </w:rPr>
        <w:t xml:space="preserve"> was defined as patients without a prior history of diabetes who had </w:t>
      </w:r>
      <w:r>
        <w:rPr>
          <w:rFonts w:ascii="Times New Roman" w:hAnsi="Times New Roman"/>
          <w:szCs w:val="24"/>
        </w:rPr>
        <w:t>“</w:t>
      </w:r>
      <w:r w:rsidRPr="00A7722E">
        <w:rPr>
          <w:rFonts w:ascii="Times New Roman" w:hAnsi="Times New Roman"/>
          <w:szCs w:val="24"/>
        </w:rPr>
        <w:t xml:space="preserve">an admission or in-hospital fasting glucose level greater than 126 mg/dL or a random blood glucose level greater than 200 mg/dL on </w:t>
      </w:r>
      <w:r w:rsidR="00295553">
        <w:rPr>
          <w:rFonts w:ascii="Times New Roman" w:hAnsi="Times New Roman"/>
          <w:szCs w:val="24"/>
        </w:rPr>
        <w:t>two</w:t>
      </w:r>
      <w:r w:rsidRPr="00A7722E">
        <w:rPr>
          <w:rFonts w:ascii="Times New Roman" w:hAnsi="Times New Roman"/>
          <w:szCs w:val="24"/>
        </w:rPr>
        <w:t xml:space="preserve"> or mor</w:t>
      </w:r>
      <w:r>
        <w:rPr>
          <w:rFonts w:ascii="Times New Roman" w:hAnsi="Times New Roman"/>
          <w:szCs w:val="24"/>
        </w:rPr>
        <w:t>e determinations.”</w:t>
      </w:r>
      <w:r w:rsidRPr="00A7722E">
        <w:rPr>
          <w:rFonts w:ascii="Times New Roman" w:hAnsi="Times New Roman"/>
          <w:szCs w:val="24"/>
        </w:rPr>
        <w:t xml:space="preserve"> Patients with new hyperglycemia were more likely to be admitted to the ICU (29% vs. 9%, </w:t>
      </w:r>
      <w:r w:rsidRPr="00C7003E">
        <w:rPr>
          <w:rFonts w:ascii="Times New Roman" w:hAnsi="Times New Roman"/>
          <w:i/>
          <w:szCs w:val="24"/>
        </w:rPr>
        <w:t>p</w:t>
      </w:r>
      <w:r w:rsidRPr="00A7722E">
        <w:rPr>
          <w:rFonts w:ascii="Times New Roman" w:hAnsi="Times New Roman"/>
          <w:szCs w:val="24"/>
        </w:rPr>
        <w:t xml:space="preserve"> &lt;0.01</w:t>
      </w:r>
      <w:r>
        <w:rPr>
          <w:rFonts w:ascii="Times New Roman" w:hAnsi="Times New Roman"/>
          <w:szCs w:val="24"/>
        </w:rPr>
        <w:t>)</w:t>
      </w:r>
      <w:r w:rsidRPr="00A7722E">
        <w:rPr>
          <w:rFonts w:ascii="Times New Roman" w:hAnsi="Times New Roman"/>
          <w:szCs w:val="24"/>
        </w:rPr>
        <w:t xml:space="preserve">, when compared to normoglycemic patients. Patients with new hyperglycemia also had </w:t>
      </w:r>
      <w:r>
        <w:rPr>
          <w:rFonts w:ascii="Times New Roman" w:hAnsi="Times New Roman"/>
          <w:szCs w:val="24"/>
        </w:rPr>
        <w:t>longer</w:t>
      </w:r>
      <w:r w:rsidRPr="00A7722E">
        <w:rPr>
          <w:rFonts w:ascii="Times New Roman" w:hAnsi="Times New Roman"/>
          <w:szCs w:val="24"/>
        </w:rPr>
        <w:t xml:space="preserve"> lengths of stay than the other groups (9.7 days compared to 5.5 days for diabetic patients and 4.5 days for normoglycemic patients, all </w:t>
      </w:r>
      <w:r w:rsidRPr="00C7003E">
        <w:rPr>
          <w:rFonts w:ascii="Times New Roman" w:hAnsi="Times New Roman"/>
          <w:i/>
          <w:szCs w:val="24"/>
        </w:rPr>
        <w:t>p</w:t>
      </w:r>
      <w:r w:rsidRPr="00A7722E">
        <w:rPr>
          <w:rFonts w:ascii="Times New Roman" w:hAnsi="Times New Roman"/>
          <w:szCs w:val="24"/>
        </w:rPr>
        <w:t xml:space="preserve"> &lt;0.01). Mortality was also highest among patients with new hyperglycemia (16% compared to 3% in diabetic patients and 1.7% in normoglycemic patients, both </w:t>
      </w:r>
      <w:r w:rsidRPr="00C7003E">
        <w:rPr>
          <w:rFonts w:ascii="Times New Roman" w:hAnsi="Times New Roman"/>
          <w:i/>
          <w:szCs w:val="24"/>
        </w:rPr>
        <w:t>p</w:t>
      </w:r>
      <w:r w:rsidRPr="00A7722E">
        <w:rPr>
          <w:rFonts w:ascii="Times New Roman" w:hAnsi="Times New Roman"/>
          <w:szCs w:val="24"/>
        </w:rPr>
        <w:t xml:space="preserve"> &lt;0.001). After adjustment for patient and clinical characteristics, mortality rates among those with new hyperglycemia and those </w:t>
      </w:r>
      <w:r w:rsidRPr="00F4476B">
        <w:rPr>
          <w:rFonts w:ascii="Times New Roman" w:hAnsi="Times New Roman"/>
          <w:szCs w:val="24"/>
        </w:rPr>
        <w:t>with diabetes were 18.3 times and 2.7 times higher, respectively, than the normoglycemic group. Normoglycemia was defined as normal plasma glucose and no previous history of diabetes; the article does not state blood glucose levels explicitly for the normoglycemic group.</w:t>
      </w:r>
      <w:r w:rsidRPr="00BA1EB1">
        <w:rPr>
          <w:rFonts w:ascii="Times New Roman" w:hAnsi="Times New Roman"/>
          <w:szCs w:val="24"/>
        </w:rPr>
        <w:t xml:space="preserve">  </w:t>
      </w:r>
    </w:p>
    <w:p w14:paraId="65D44149" w14:textId="77777777" w:rsidR="0053751F" w:rsidRPr="0053751F" w:rsidRDefault="0053751F" w:rsidP="00FB4290">
      <w:pPr>
        <w:pStyle w:val="NoSpacing"/>
        <w:rPr>
          <w:rFonts w:ascii="Trebuchet MS" w:hAnsi="Trebuchet MS" w:cs="TTE59F42C8t00"/>
          <w:sz w:val="20"/>
          <w:szCs w:val="20"/>
          <w:highlight w:val="yellow"/>
        </w:rPr>
      </w:pPr>
    </w:p>
    <w:p w14:paraId="65D4414A" w14:textId="77777777" w:rsidR="00010EA9" w:rsidRPr="00343A56" w:rsidRDefault="000954D2" w:rsidP="000954D2">
      <w:pPr>
        <w:ind w:left="0" w:firstLine="0"/>
        <w:rPr>
          <w:rFonts w:ascii="Times New Roman" w:hAnsi="Times New Roman"/>
          <w:szCs w:val="24"/>
          <w:u w:val="single"/>
        </w:rPr>
      </w:pPr>
      <w:r w:rsidRPr="00343A56">
        <w:rPr>
          <w:rFonts w:ascii="Times New Roman" w:hAnsi="Times New Roman"/>
          <w:szCs w:val="24"/>
          <w:u w:val="single"/>
        </w:rPr>
        <w:t>S</w:t>
      </w:r>
      <w:r w:rsidR="00343A56" w:rsidRPr="00343A56">
        <w:rPr>
          <w:rFonts w:ascii="Times New Roman" w:hAnsi="Times New Roman"/>
          <w:szCs w:val="24"/>
          <w:u w:val="single"/>
        </w:rPr>
        <w:t>tudy Design</w:t>
      </w:r>
    </w:p>
    <w:p w14:paraId="65D4414B" w14:textId="77777777" w:rsidR="00010EA9" w:rsidRDefault="00010EA9" w:rsidP="00010EA9">
      <w:pPr>
        <w:ind w:left="0" w:firstLine="0"/>
        <w:rPr>
          <w:rFonts w:ascii="Times New Roman" w:hAnsi="Times New Roman"/>
          <w:szCs w:val="24"/>
        </w:rPr>
      </w:pPr>
      <w:r w:rsidRPr="00E54457">
        <w:rPr>
          <w:rFonts w:ascii="Times New Roman" w:hAnsi="Times New Roman"/>
          <w:szCs w:val="24"/>
        </w:rPr>
        <w:t xml:space="preserve">We identified </w:t>
      </w:r>
      <w:r w:rsidR="004D693F">
        <w:rPr>
          <w:rFonts w:ascii="Times New Roman" w:hAnsi="Times New Roman"/>
          <w:szCs w:val="24"/>
        </w:rPr>
        <w:t>nine</w:t>
      </w:r>
      <w:r w:rsidRPr="00E54457">
        <w:rPr>
          <w:rFonts w:ascii="Times New Roman" w:hAnsi="Times New Roman"/>
          <w:szCs w:val="24"/>
        </w:rPr>
        <w:t xml:space="preserve"> recent studies that measured the association between inpatient hyperglycemia and outcomes in the hospital. The results of these studies are summarized under the section of “Consistency of </w:t>
      </w:r>
      <w:r w:rsidR="00697856">
        <w:rPr>
          <w:rFonts w:ascii="Times New Roman" w:hAnsi="Times New Roman"/>
          <w:szCs w:val="24"/>
        </w:rPr>
        <w:t>R</w:t>
      </w:r>
      <w:r w:rsidRPr="00E54457">
        <w:rPr>
          <w:rFonts w:ascii="Times New Roman" w:hAnsi="Times New Roman"/>
          <w:szCs w:val="24"/>
        </w:rPr>
        <w:t xml:space="preserve">esults across </w:t>
      </w:r>
      <w:r w:rsidR="00697856">
        <w:rPr>
          <w:rFonts w:ascii="Times New Roman" w:hAnsi="Times New Roman"/>
          <w:szCs w:val="24"/>
        </w:rPr>
        <w:t>S</w:t>
      </w:r>
      <w:r w:rsidRPr="00E54457">
        <w:rPr>
          <w:rFonts w:ascii="Times New Roman" w:hAnsi="Times New Roman"/>
          <w:szCs w:val="24"/>
        </w:rPr>
        <w:t xml:space="preserve">tudies” of this form. The methodological quality of the body of evidence in this section was judged from the published articles about these studies. Of the </w:t>
      </w:r>
      <w:r w:rsidR="00AA6048">
        <w:rPr>
          <w:rFonts w:ascii="Times New Roman" w:hAnsi="Times New Roman"/>
          <w:szCs w:val="24"/>
        </w:rPr>
        <w:t>nine</w:t>
      </w:r>
      <w:r w:rsidRPr="00E54457">
        <w:rPr>
          <w:rFonts w:ascii="Times New Roman" w:hAnsi="Times New Roman"/>
          <w:szCs w:val="24"/>
        </w:rPr>
        <w:t xml:space="preserve"> studies, </w:t>
      </w:r>
      <w:r w:rsidR="00AA6048">
        <w:rPr>
          <w:rFonts w:ascii="Times New Roman" w:hAnsi="Times New Roman"/>
          <w:szCs w:val="24"/>
        </w:rPr>
        <w:t>one</w:t>
      </w:r>
      <w:r w:rsidRPr="00E54457">
        <w:rPr>
          <w:rFonts w:ascii="Times New Roman" w:hAnsi="Times New Roman"/>
          <w:szCs w:val="24"/>
        </w:rPr>
        <w:t xml:space="preserve"> is a prospective cohort study of patients using medical chart abstraction (McAlister et al.,2005), and </w:t>
      </w:r>
      <w:r w:rsidR="004D693F">
        <w:rPr>
          <w:rFonts w:ascii="Times New Roman" w:hAnsi="Times New Roman"/>
          <w:szCs w:val="24"/>
        </w:rPr>
        <w:t>eight</w:t>
      </w:r>
      <w:r w:rsidRPr="00E54457">
        <w:rPr>
          <w:rFonts w:ascii="Times New Roman" w:hAnsi="Times New Roman"/>
          <w:szCs w:val="24"/>
        </w:rPr>
        <w:t xml:space="preserve"> are retrospective studies using electronic health record data (Frisch et al., 2010; Lee et al., 2012; Rady</w:t>
      </w:r>
      <w:r w:rsidR="00D546AB">
        <w:rPr>
          <w:rFonts w:ascii="Times New Roman" w:hAnsi="Times New Roman"/>
          <w:szCs w:val="24"/>
        </w:rPr>
        <w:t xml:space="preserve"> et al., </w:t>
      </w:r>
      <w:r w:rsidRPr="00E54457">
        <w:rPr>
          <w:rFonts w:ascii="Times New Roman" w:hAnsi="Times New Roman"/>
          <w:szCs w:val="24"/>
        </w:rPr>
        <w:t>2005), data collected for the study (</w:t>
      </w:r>
      <w:r w:rsidRPr="00242466">
        <w:rPr>
          <w:rFonts w:ascii="Times New Roman" w:hAnsi="Times New Roman"/>
          <w:szCs w:val="24"/>
        </w:rPr>
        <w:t>Falciglia</w:t>
      </w:r>
      <w:r w:rsidR="005A2392">
        <w:rPr>
          <w:rFonts w:ascii="Times New Roman" w:hAnsi="Times New Roman"/>
          <w:szCs w:val="24"/>
        </w:rPr>
        <w:t xml:space="preserve"> et al., </w:t>
      </w:r>
      <w:r w:rsidRPr="00242466">
        <w:rPr>
          <w:rFonts w:ascii="Times New Roman" w:hAnsi="Times New Roman"/>
          <w:szCs w:val="24"/>
        </w:rPr>
        <w:t xml:space="preserve">2009; </w:t>
      </w:r>
      <w:r w:rsidRPr="00E54457">
        <w:rPr>
          <w:rFonts w:ascii="Times New Roman" w:hAnsi="Times New Roman"/>
          <w:szCs w:val="24"/>
        </w:rPr>
        <w:t>Jackson</w:t>
      </w:r>
      <w:r w:rsidR="005A2392">
        <w:rPr>
          <w:rFonts w:ascii="Times New Roman" w:hAnsi="Times New Roman"/>
          <w:szCs w:val="24"/>
        </w:rPr>
        <w:t xml:space="preserve"> et al., </w:t>
      </w:r>
      <w:r w:rsidRPr="00E54457">
        <w:rPr>
          <w:rFonts w:ascii="Times New Roman" w:hAnsi="Times New Roman"/>
          <w:szCs w:val="24"/>
        </w:rPr>
        <w:t>2012; King</w:t>
      </w:r>
      <w:r w:rsidR="00D546AB">
        <w:rPr>
          <w:rFonts w:ascii="Times New Roman" w:hAnsi="Times New Roman"/>
          <w:szCs w:val="24"/>
        </w:rPr>
        <w:t xml:space="preserve"> et al., </w:t>
      </w:r>
      <w:r w:rsidRPr="00E54457">
        <w:rPr>
          <w:rFonts w:ascii="Times New Roman" w:hAnsi="Times New Roman"/>
          <w:szCs w:val="24"/>
        </w:rPr>
        <w:t>2011), or medical record abstraction (Umpierrez et al., 2002)</w:t>
      </w:r>
      <w:r>
        <w:rPr>
          <w:rFonts w:ascii="Times New Roman" w:hAnsi="Times New Roman"/>
          <w:szCs w:val="24"/>
        </w:rPr>
        <w:t xml:space="preserve"> [</w:t>
      </w:r>
      <w:r w:rsidRPr="00E54457">
        <w:rPr>
          <w:rFonts w:ascii="Times New Roman" w:hAnsi="Times New Roman"/>
          <w:szCs w:val="24"/>
        </w:rPr>
        <w:t>one retrospective study (Pasquel et al., 2010) did not state the type of data used</w:t>
      </w:r>
      <w:r>
        <w:rPr>
          <w:rFonts w:ascii="Times New Roman" w:hAnsi="Times New Roman"/>
          <w:szCs w:val="24"/>
        </w:rPr>
        <w:t>]</w:t>
      </w:r>
      <w:r w:rsidRPr="00E54457">
        <w:rPr>
          <w:rFonts w:ascii="Times New Roman" w:hAnsi="Times New Roman"/>
          <w:szCs w:val="24"/>
        </w:rPr>
        <w:t>. None of the studies was a randomized controlled trial; however, all of them control</w:t>
      </w:r>
      <w:r>
        <w:rPr>
          <w:rFonts w:ascii="Times New Roman" w:hAnsi="Times New Roman"/>
          <w:szCs w:val="24"/>
        </w:rPr>
        <w:t>led</w:t>
      </w:r>
      <w:r w:rsidRPr="00E54457">
        <w:rPr>
          <w:rFonts w:ascii="Times New Roman" w:hAnsi="Times New Roman"/>
          <w:szCs w:val="24"/>
        </w:rPr>
        <w:t xml:space="preserve"> for confounders in estimating the association between hyperglycemia and patient outcomes. A variety of diagnoses and settings were included in the studies: medical, surgic</w:t>
      </w:r>
      <w:r>
        <w:rPr>
          <w:rFonts w:ascii="Times New Roman" w:hAnsi="Times New Roman"/>
          <w:szCs w:val="24"/>
        </w:rPr>
        <w:t>al, and cardiac ICUs (Falciglia</w:t>
      </w:r>
      <w:r w:rsidRPr="00E54457">
        <w:rPr>
          <w:rFonts w:ascii="Times New Roman" w:hAnsi="Times New Roman"/>
          <w:szCs w:val="24"/>
        </w:rPr>
        <w:t xml:space="preserve"> et al., 2009), general surgery (Frisch et al., 2010), colectomy for cancer (Jackson et al., 2012); non-cardiac surgeries (King et al., 2011), cardiovascular surgery (Lee et al., 2012), community-acquired pneumonia (McAlister et al., 2005), medical and surgical patients receiving total parenteral nutrition (TPN) (Pasquel et al., 2010), ICU patients (Rady et al., 2005), and all diagnoses (Umpierrez et al., 2002).</w:t>
      </w:r>
    </w:p>
    <w:p w14:paraId="65D4414C" w14:textId="77777777" w:rsidR="00010EA9" w:rsidRDefault="00010EA9" w:rsidP="00010EA9">
      <w:pPr>
        <w:ind w:left="0" w:firstLine="0"/>
        <w:rPr>
          <w:rFonts w:ascii="Times New Roman" w:hAnsi="Times New Roman"/>
          <w:szCs w:val="24"/>
        </w:rPr>
      </w:pPr>
    </w:p>
    <w:p w14:paraId="65D4414D" w14:textId="77777777" w:rsidR="00010EA9" w:rsidRPr="00343A56" w:rsidRDefault="000954D2" w:rsidP="000954D2">
      <w:pPr>
        <w:ind w:left="0" w:firstLine="0"/>
        <w:rPr>
          <w:rFonts w:ascii="Times New Roman" w:hAnsi="Times New Roman"/>
          <w:szCs w:val="24"/>
          <w:u w:val="single"/>
        </w:rPr>
      </w:pPr>
      <w:r w:rsidRPr="00343A56">
        <w:rPr>
          <w:rFonts w:ascii="Times New Roman" w:hAnsi="Times New Roman"/>
          <w:szCs w:val="24"/>
          <w:u w:val="single"/>
        </w:rPr>
        <w:t>D</w:t>
      </w:r>
      <w:r w:rsidR="00343A56" w:rsidRPr="00343A56">
        <w:rPr>
          <w:rFonts w:ascii="Times New Roman" w:hAnsi="Times New Roman"/>
          <w:szCs w:val="24"/>
          <w:u w:val="single"/>
        </w:rPr>
        <w:t>irectness of the Evidence</w:t>
      </w:r>
    </w:p>
    <w:p w14:paraId="65D4414E" w14:textId="77777777" w:rsidR="00010EA9" w:rsidRDefault="00010EA9" w:rsidP="00010EA9">
      <w:pPr>
        <w:widowControl w:val="0"/>
        <w:ind w:left="0" w:firstLine="0"/>
        <w:rPr>
          <w:rFonts w:ascii="Times New Roman" w:hAnsi="Times New Roman"/>
          <w:szCs w:val="24"/>
        </w:rPr>
      </w:pPr>
      <w:r w:rsidRPr="00E54457">
        <w:rPr>
          <w:rFonts w:ascii="Times New Roman" w:hAnsi="Times New Roman"/>
          <w:szCs w:val="24"/>
        </w:rPr>
        <w:t xml:space="preserve">Thresholds for hyperglycemia used in these studies were 180 mg/dL (Pasquel et al., 2010); 200 mg/dL (Falciglia et al., 2009; Jackson et al., 2012; Lee et al., 2012; McAlister et al., 2005; Rady et al., 2005; Umpierrez et al., 2002); and 250 mg/dL (King et al., 2011; McAlister et al., 2005; Rady et al., 2005). </w:t>
      </w:r>
    </w:p>
    <w:p w14:paraId="65D4414F" w14:textId="77777777" w:rsidR="00010EA9" w:rsidRDefault="00010EA9" w:rsidP="00010EA9">
      <w:pPr>
        <w:widowControl w:val="0"/>
        <w:ind w:left="0" w:firstLine="0"/>
        <w:rPr>
          <w:rFonts w:ascii="Times New Roman" w:hAnsi="Times New Roman"/>
          <w:szCs w:val="24"/>
        </w:rPr>
      </w:pPr>
    </w:p>
    <w:p w14:paraId="65D44150" w14:textId="4D67B48B" w:rsidR="00010EA9" w:rsidRDefault="00010EA9" w:rsidP="00010EA9">
      <w:pPr>
        <w:widowControl w:val="0"/>
        <w:ind w:left="0" w:firstLine="0"/>
        <w:rPr>
          <w:rFonts w:ascii="Times New Roman" w:hAnsi="Times New Roman"/>
          <w:szCs w:val="24"/>
        </w:rPr>
      </w:pPr>
      <w:r w:rsidRPr="00A7722E">
        <w:rPr>
          <w:rFonts w:ascii="Times New Roman" w:hAnsi="Times New Roman"/>
          <w:szCs w:val="24"/>
        </w:rPr>
        <w:t xml:space="preserve">Glycemic control measures were defined in a variety of ways. In </w:t>
      </w:r>
      <w:r w:rsidR="004D693F">
        <w:rPr>
          <w:rFonts w:ascii="Times New Roman" w:hAnsi="Times New Roman"/>
          <w:szCs w:val="24"/>
        </w:rPr>
        <w:t>seven</w:t>
      </w:r>
      <w:r w:rsidRPr="00A7722E">
        <w:rPr>
          <w:rFonts w:ascii="Times New Roman" w:hAnsi="Times New Roman"/>
          <w:szCs w:val="24"/>
        </w:rPr>
        <w:t xml:space="preserve"> of the studies, a mean or median of blood glucose values was used for a specific period of time: the entire stay (Falciglia et al., 2009; Rady et al., 2005); </w:t>
      </w:r>
      <w:r w:rsidR="00E861C7">
        <w:rPr>
          <w:rFonts w:ascii="Times New Roman" w:hAnsi="Times New Roman"/>
          <w:szCs w:val="24"/>
        </w:rPr>
        <w:t>one day before, one</w:t>
      </w:r>
      <w:r w:rsidRPr="00A7722E">
        <w:rPr>
          <w:rFonts w:ascii="Times New Roman" w:hAnsi="Times New Roman"/>
          <w:szCs w:val="24"/>
        </w:rPr>
        <w:t xml:space="preserve"> day after surgery (postsurgery day </w:t>
      </w:r>
      <w:r w:rsidR="00295553">
        <w:rPr>
          <w:rFonts w:ascii="Times New Roman" w:hAnsi="Times New Roman"/>
          <w:szCs w:val="24"/>
        </w:rPr>
        <w:t>one</w:t>
      </w:r>
      <w:r w:rsidRPr="00A7722E">
        <w:rPr>
          <w:rFonts w:ascii="Times New Roman" w:hAnsi="Times New Roman"/>
          <w:szCs w:val="24"/>
        </w:rPr>
        <w:t xml:space="preserve">), and within the first </w:t>
      </w:r>
      <w:r w:rsidR="00295553">
        <w:rPr>
          <w:rFonts w:ascii="Times New Roman" w:hAnsi="Times New Roman"/>
          <w:szCs w:val="24"/>
        </w:rPr>
        <w:t>ten</w:t>
      </w:r>
      <w:r w:rsidRPr="00A7722E">
        <w:rPr>
          <w:rFonts w:ascii="Times New Roman" w:hAnsi="Times New Roman"/>
          <w:szCs w:val="24"/>
        </w:rPr>
        <w:t xml:space="preserve"> days </w:t>
      </w:r>
      <w:r w:rsidRPr="00A7722E">
        <w:rPr>
          <w:rFonts w:ascii="Times New Roman" w:hAnsi="Times New Roman"/>
          <w:szCs w:val="24"/>
        </w:rPr>
        <w:lastRenderedPageBreak/>
        <w:t>after surgery (Frisch et al., 2010); the operative day and postoperative day 1 (Jackson et al., 2012); 0-24 hours after surgery (King et al., 2011)</w:t>
      </w:r>
      <w:r>
        <w:rPr>
          <w:rFonts w:ascii="Times New Roman" w:hAnsi="Times New Roman"/>
          <w:szCs w:val="24"/>
        </w:rPr>
        <w:t>;</w:t>
      </w:r>
      <w:r w:rsidRPr="00A7722E">
        <w:rPr>
          <w:rFonts w:ascii="Times New Roman" w:hAnsi="Times New Roman"/>
          <w:szCs w:val="24"/>
        </w:rPr>
        <w:t xml:space="preserve"> at admission (McAlister et al., 2005)</w:t>
      </w:r>
      <w:r>
        <w:rPr>
          <w:rFonts w:ascii="Times New Roman" w:hAnsi="Times New Roman"/>
          <w:szCs w:val="24"/>
        </w:rPr>
        <w:t>;</w:t>
      </w:r>
      <w:r w:rsidRPr="00A7722E">
        <w:rPr>
          <w:rFonts w:ascii="Times New Roman" w:hAnsi="Times New Roman"/>
          <w:szCs w:val="24"/>
        </w:rPr>
        <w:t xml:space="preserve"> and on admission, pre-TPN, within 24 hours, and during days 2–10 of TPN (Pasquel et al., 2010).</w:t>
      </w:r>
    </w:p>
    <w:p w14:paraId="65D44151" w14:textId="77777777" w:rsidR="00010EA9" w:rsidRDefault="00010EA9" w:rsidP="00010EA9">
      <w:pPr>
        <w:widowControl w:val="0"/>
        <w:ind w:left="0" w:firstLine="0"/>
        <w:rPr>
          <w:rFonts w:ascii="Times New Roman" w:hAnsi="Times New Roman"/>
          <w:szCs w:val="24"/>
        </w:rPr>
      </w:pPr>
    </w:p>
    <w:p w14:paraId="65D44152" w14:textId="59DDAA0E" w:rsidR="00010EA9" w:rsidRDefault="00010EA9" w:rsidP="00010EA9">
      <w:pPr>
        <w:widowControl w:val="0"/>
        <w:ind w:left="0" w:firstLine="0"/>
        <w:rPr>
          <w:rFonts w:ascii="Times New Roman" w:hAnsi="Times New Roman"/>
          <w:szCs w:val="24"/>
        </w:rPr>
      </w:pPr>
      <w:r w:rsidRPr="00A7722E">
        <w:rPr>
          <w:rFonts w:ascii="Times New Roman" w:hAnsi="Times New Roman"/>
          <w:szCs w:val="24"/>
        </w:rPr>
        <w:t xml:space="preserve">Outcomes were reported for blood glucose categories (e.g., 70–110, 111–145, 146–199, 200-300 mg/dL, and &gt;300 mg/dL) in </w:t>
      </w:r>
      <w:r w:rsidR="009E1B30">
        <w:rPr>
          <w:rFonts w:ascii="Times New Roman" w:hAnsi="Times New Roman"/>
          <w:szCs w:val="24"/>
        </w:rPr>
        <w:t>four</w:t>
      </w:r>
      <w:r w:rsidRPr="00A7722E">
        <w:rPr>
          <w:rFonts w:ascii="Times New Roman" w:hAnsi="Times New Roman"/>
          <w:szCs w:val="24"/>
        </w:rPr>
        <w:t xml:space="preserve"> studies (Falciglia et al., 2009; Frisch et al., 2010; Jackson et al., 2012; King et al., 2011). In </w:t>
      </w:r>
      <w:r w:rsidR="009E1B30">
        <w:rPr>
          <w:rFonts w:ascii="Times New Roman" w:hAnsi="Times New Roman"/>
          <w:szCs w:val="24"/>
        </w:rPr>
        <w:t>three</w:t>
      </w:r>
      <w:r w:rsidRPr="00A7722E">
        <w:rPr>
          <w:rFonts w:ascii="Times New Roman" w:hAnsi="Times New Roman"/>
          <w:szCs w:val="24"/>
        </w:rPr>
        <w:t xml:space="preserve"> studies, an algorithm based on blood glucose level was used to identify those at highest risk (Lee et al., 2012; Rady et al., 2005; Umpierrez et al., 2002). Another</w:t>
      </w:r>
      <w:r>
        <w:rPr>
          <w:rFonts w:ascii="Times New Roman" w:hAnsi="Times New Roman"/>
          <w:szCs w:val="24"/>
        </w:rPr>
        <w:t xml:space="preserve"> </w:t>
      </w:r>
      <w:r w:rsidR="00697856">
        <w:rPr>
          <w:rFonts w:ascii="Times New Roman" w:hAnsi="Times New Roman"/>
          <w:szCs w:val="24"/>
        </w:rPr>
        <w:t>2</w:t>
      </w:r>
      <w:r w:rsidRPr="00A7722E">
        <w:rPr>
          <w:rFonts w:ascii="Times New Roman" w:hAnsi="Times New Roman"/>
          <w:szCs w:val="24"/>
        </w:rPr>
        <w:t xml:space="preserve"> studies used </w:t>
      </w:r>
      <w:r w:rsidR="00697856">
        <w:rPr>
          <w:rFonts w:ascii="Times New Roman" w:hAnsi="Times New Roman"/>
          <w:szCs w:val="24"/>
        </w:rPr>
        <w:t>1</w:t>
      </w:r>
      <w:r w:rsidRPr="00A7722E">
        <w:rPr>
          <w:rFonts w:ascii="Times New Roman" w:hAnsi="Times New Roman"/>
          <w:szCs w:val="24"/>
        </w:rPr>
        <w:t xml:space="preserve"> or </w:t>
      </w:r>
      <w:r w:rsidR="00697856">
        <w:rPr>
          <w:rFonts w:ascii="Times New Roman" w:hAnsi="Times New Roman"/>
          <w:szCs w:val="24"/>
        </w:rPr>
        <w:t>2</w:t>
      </w:r>
      <w:r w:rsidRPr="00A7722E">
        <w:rPr>
          <w:rFonts w:ascii="Times New Roman" w:hAnsi="Times New Roman"/>
          <w:szCs w:val="24"/>
        </w:rPr>
        <w:t xml:space="preserve"> specified thresholds to define hyperglycemia, such as 200 and 250 mg/dL (McAlister et al., 2005), and 180 mg/dL (Pasquel et al., 2010).</w:t>
      </w:r>
    </w:p>
    <w:p w14:paraId="65D44153" w14:textId="77777777" w:rsidR="00010EA9" w:rsidRDefault="00010EA9" w:rsidP="00010EA9">
      <w:pPr>
        <w:ind w:left="0" w:firstLine="0"/>
        <w:rPr>
          <w:rFonts w:ascii="Times New Roman" w:hAnsi="Times New Roman"/>
          <w:szCs w:val="24"/>
        </w:rPr>
      </w:pPr>
    </w:p>
    <w:p w14:paraId="65D44154" w14:textId="77777777" w:rsidR="00010EA9" w:rsidRDefault="00010EA9" w:rsidP="00010EA9">
      <w:pPr>
        <w:ind w:left="0" w:firstLine="0"/>
        <w:rPr>
          <w:rFonts w:ascii="Times New Roman" w:hAnsi="Times New Roman"/>
          <w:szCs w:val="24"/>
        </w:rPr>
      </w:pPr>
      <w:r w:rsidRPr="00A7722E">
        <w:rPr>
          <w:rFonts w:ascii="Times New Roman" w:hAnsi="Times New Roman"/>
          <w:szCs w:val="24"/>
        </w:rPr>
        <w:t xml:space="preserve">Eight of the </w:t>
      </w:r>
      <w:r w:rsidR="00F40A05">
        <w:rPr>
          <w:rFonts w:ascii="Times New Roman" w:hAnsi="Times New Roman"/>
          <w:szCs w:val="24"/>
        </w:rPr>
        <w:t>9</w:t>
      </w:r>
      <w:r w:rsidRPr="00A7722E">
        <w:rPr>
          <w:rFonts w:ascii="Times New Roman" w:hAnsi="Times New Roman"/>
          <w:szCs w:val="24"/>
        </w:rPr>
        <w:t xml:space="preserve"> studies (Falciglia et al., 2009; Frisch et al., 2010; Jackson et al., 2012; Lee et al., 2012; McAlister et al., 2005; Pasquel et al., 2010; Rady et al., 2005; Umpierrez et al., 2002) included patients with and without diabetes. One study (King et al., 2011) restricted study participants to patients with diabetes.</w:t>
      </w:r>
      <w:r>
        <w:rPr>
          <w:rFonts w:ascii="Times New Roman" w:hAnsi="Times New Roman"/>
          <w:szCs w:val="24"/>
        </w:rPr>
        <w:t xml:space="preserve"> </w:t>
      </w:r>
    </w:p>
    <w:p w14:paraId="65D44155" w14:textId="77777777" w:rsidR="00010EA9" w:rsidRDefault="00010EA9" w:rsidP="00010EA9">
      <w:pPr>
        <w:ind w:left="0" w:firstLine="0"/>
        <w:rPr>
          <w:rFonts w:ascii="Times New Roman" w:hAnsi="Times New Roman"/>
          <w:szCs w:val="24"/>
        </w:rPr>
      </w:pPr>
    </w:p>
    <w:p w14:paraId="65D44156" w14:textId="77777777" w:rsidR="00010EA9" w:rsidRDefault="00010EA9" w:rsidP="00010EA9">
      <w:pPr>
        <w:widowControl w:val="0"/>
        <w:ind w:left="0" w:firstLine="0"/>
        <w:rPr>
          <w:rFonts w:ascii="Times New Roman" w:hAnsi="Times New Roman"/>
          <w:szCs w:val="24"/>
        </w:rPr>
      </w:pPr>
      <w:r w:rsidRPr="00A7722E">
        <w:rPr>
          <w:rFonts w:ascii="Times New Roman" w:hAnsi="Times New Roman"/>
          <w:szCs w:val="24"/>
        </w:rPr>
        <w:t xml:space="preserve">In the one prospective study (McAlister et al., 2005), details related to outcomes were abstracted from the medical chart and all other data were prospectively collected in a standardized manner by trained research nurses. In the </w:t>
      </w:r>
      <w:r w:rsidR="00F40A05">
        <w:rPr>
          <w:rFonts w:ascii="Times New Roman" w:hAnsi="Times New Roman"/>
          <w:szCs w:val="24"/>
        </w:rPr>
        <w:t>8</w:t>
      </w:r>
      <w:r w:rsidRPr="00A7722E">
        <w:rPr>
          <w:rFonts w:ascii="Times New Roman" w:hAnsi="Times New Roman"/>
          <w:szCs w:val="24"/>
        </w:rPr>
        <w:t xml:space="preserve"> retrospective studies (Falciglia et al., 2009; Frisch et al., 2010; Jackson</w:t>
      </w:r>
      <w:r>
        <w:rPr>
          <w:rFonts w:ascii="Times New Roman" w:hAnsi="Times New Roman"/>
          <w:szCs w:val="24"/>
        </w:rPr>
        <w:t xml:space="preserve"> et al., </w:t>
      </w:r>
      <w:r w:rsidRPr="00A7722E">
        <w:rPr>
          <w:rFonts w:ascii="Times New Roman" w:hAnsi="Times New Roman"/>
          <w:szCs w:val="24"/>
        </w:rPr>
        <w:t xml:space="preserve">2012; King </w:t>
      </w:r>
      <w:r>
        <w:rPr>
          <w:rFonts w:ascii="Times New Roman" w:hAnsi="Times New Roman"/>
          <w:szCs w:val="24"/>
        </w:rPr>
        <w:t xml:space="preserve">et al., </w:t>
      </w:r>
      <w:r w:rsidRPr="00A7722E">
        <w:rPr>
          <w:rFonts w:ascii="Times New Roman" w:hAnsi="Times New Roman"/>
          <w:szCs w:val="24"/>
        </w:rPr>
        <w:t xml:space="preserve">2011; Lee et al., 2012; Pasquel et al., 2010; Rady </w:t>
      </w:r>
      <w:r>
        <w:rPr>
          <w:rFonts w:ascii="Times New Roman" w:hAnsi="Times New Roman"/>
          <w:szCs w:val="24"/>
        </w:rPr>
        <w:t xml:space="preserve">et al., </w:t>
      </w:r>
      <w:r w:rsidRPr="00A7722E">
        <w:rPr>
          <w:rFonts w:ascii="Times New Roman" w:hAnsi="Times New Roman"/>
          <w:szCs w:val="24"/>
        </w:rPr>
        <w:t>2005; Umpierrez et al., 2002), the outcome measures were objectively assessed using standardized definitions and routinely collected repository o</w:t>
      </w:r>
      <w:r>
        <w:rPr>
          <w:rFonts w:ascii="Times New Roman" w:hAnsi="Times New Roman"/>
          <w:szCs w:val="24"/>
        </w:rPr>
        <w:t>r electronic health record</w:t>
      </w:r>
      <w:r w:rsidRPr="00A7722E">
        <w:rPr>
          <w:rFonts w:ascii="Times New Roman" w:hAnsi="Times New Roman"/>
          <w:szCs w:val="24"/>
        </w:rPr>
        <w:t xml:space="preserve"> </w:t>
      </w:r>
      <w:r>
        <w:rPr>
          <w:rFonts w:ascii="Times New Roman" w:hAnsi="Times New Roman"/>
          <w:szCs w:val="24"/>
        </w:rPr>
        <w:t>(EHR)</w:t>
      </w:r>
      <w:r w:rsidRPr="00A7722E">
        <w:rPr>
          <w:rFonts w:ascii="Times New Roman" w:hAnsi="Times New Roman"/>
          <w:szCs w:val="24"/>
        </w:rPr>
        <w:t xml:space="preserve"> data.</w:t>
      </w:r>
      <w:r>
        <w:rPr>
          <w:rFonts w:ascii="Times New Roman" w:hAnsi="Times New Roman"/>
          <w:szCs w:val="24"/>
        </w:rPr>
        <w:t xml:space="preserve"> </w:t>
      </w:r>
    </w:p>
    <w:p w14:paraId="65D44157" w14:textId="77777777" w:rsidR="00010EA9" w:rsidRDefault="00010EA9" w:rsidP="00010EA9">
      <w:pPr>
        <w:widowControl w:val="0"/>
        <w:ind w:left="0" w:firstLine="0"/>
        <w:rPr>
          <w:rFonts w:ascii="Times New Roman" w:hAnsi="Times New Roman"/>
          <w:szCs w:val="24"/>
        </w:rPr>
      </w:pPr>
    </w:p>
    <w:p w14:paraId="65D44158" w14:textId="77777777" w:rsidR="00010EA9" w:rsidRPr="00973DF0" w:rsidRDefault="00010EA9" w:rsidP="00010EA9">
      <w:pPr>
        <w:widowControl w:val="0"/>
        <w:ind w:left="0" w:firstLine="0"/>
        <w:rPr>
          <w:rFonts w:ascii="Times New Roman" w:hAnsi="Times New Roman"/>
          <w:szCs w:val="24"/>
        </w:rPr>
      </w:pPr>
      <w:r w:rsidRPr="00A7722E">
        <w:rPr>
          <w:rFonts w:ascii="Times New Roman" w:hAnsi="Times New Roman"/>
          <w:szCs w:val="24"/>
        </w:rPr>
        <w:t xml:space="preserve">The evidence from these studies is directly relevant to the focus of the measure and </w:t>
      </w:r>
      <w:r>
        <w:rPr>
          <w:rFonts w:ascii="Times New Roman" w:hAnsi="Times New Roman"/>
          <w:szCs w:val="24"/>
        </w:rPr>
        <w:t xml:space="preserve">the </w:t>
      </w:r>
      <w:r w:rsidRPr="00A7722E">
        <w:rPr>
          <w:rFonts w:ascii="Times New Roman" w:hAnsi="Times New Roman"/>
          <w:szCs w:val="24"/>
        </w:rPr>
        <w:t xml:space="preserve">target </w:t>
      </w:r>
      <w:r w:rsidRPr="00973DF0">
        <w:rPr>
          <w:rFonts w:ascii="Times New Roman" w:hAnsi="Times New Roman"/>
          <w:szCs w:val="24"/>
        </w:rPr>
        <w:t xml:space="preserve">population. The focus of the </w:t>
      </w:r>
      <w:r w:rsidR="00F40A05">
        <w:rPr>
          <w:rFonts w:ascii="Times New Roman" w:hAnsi="Times New Roman"/>
          <w:szCs w:val="24"/>
        </w:rPr>
        <w:t>9</w:t>
      </w:r>
      <w:r w:rsidRPr="00973DF0">
        <w:rPr>
          <w:rFonts w:ascii="Times New Roman" w:hAnsi="Times New Roman"/>
          <w:szCs w:val="24"/>
        </w:rPr>
        <w:t xml:space="preserve"> studies and the measure is inpatient hyperglycemia among adult patients.</w:t>
      </w:r>
    </w:p>
    <w:p w14:paraId="65D44159" w14:textId="77777777" w:rsidR="00010EA9" w:rsidRPr="00973DF0" w:rsidRDefault="00010EA9" w:rsidP="00010EA9">
      <w:pPr>
        <w:keepNext/>
        <w:keepLines/>
        <w:ind w:left="0" w:firstLine="0"/>
        <w:outlineLvl w:val="2"/>
        <w:rPr>
          <w:rFonts w:ascii="Times New Roman" w:hAnsi="Times New Roman"/>
          <w:szCs w:val="24"/>
        </w:rPr>
      </w:pPr>
    </w:p>
    <w:p w14:paraId="65D4415A" w14:textId="77777777" w:rsidR="00010EA9" w:rsidRDefault="00010EA9" w:rsidP="00010EA9">
      <w:pPr>
        <w:ind w:left="0" w:firstLine="0"/>
        <w:rPr>
          <w:rFonts w:ascii="Times New Roman" w:hAnsi="Times New Roman"/>
          <w:szCs w:val="24"/>
        </w:rPr>
      </w:pPr>
      <w:r w:rsidRPr="00973DF0">
        <w:rPr>
          <w:rFonts w:ascii="Times New Roman" w:hAnsi="Times New Roman"/>
          <w:szCs w:val="24"/>
        </w:rPr>
        <w:t xml:space="preserve">The target population of the proposed measure is all persons 18 years </w:t>
      </w:r>
      <w:r>
        <w:rPr>
          <w:rFonts w:ascii="Times New Roman" w:hAnsi="Times New Roman"/>
          <w:szCs w:val="24"/>
        </w:rPr>
        <w:t xml:space="preserve">of age and older. </w:t>
      </w:r>
      <w:r w:rsidRPr="00973DF0">
        <w:rPr>
          <w:rFonts w:ascii="Times New Roman" w:hAnsi="Times New Roman"/>
          <w:szCs w:val="24"/>
        </w:rPr>
        <w:t xml:space="preserve">In the </w:t>
      </w:r>
      <w:r w:rsidR="00F40A05">
        <w:rPr>
          <w:rFonts w:ascii="Times New Roman" w:hAnsi="Times New Roman"/>
          <w:szCs w:val="24"/>
        </w:rPr>
        <w:t>9</w:t>
      </w:r>
      <w:r w:rsidRPr="00973DF0">
        <w:rPr>
          <w:rFonts w:ascii="Times New Roman" w:hAnsi="Times New Roman"/>
          <w:szCs w:val="24"/>
        </w:rPr>
        <w:t xml:space="preserve"> studies from the literature, all patients were older than 18 years of age. The mean ages in the </w:t>
      </w:r>
      <w:r w:rsidR="00F40A05">
        <w:rPr>
          <w:rFonts w:ascii="Times New Roman" w:hAnsi="Times New Roman"/>
          <w:szCs w:val="24"/>
        </w:rPr>
        <w:t>9</w:t>
      </w:r>
      <w:r w:rsidRPr="00973DF0">
        <w:rPr>
          <w:rFonts w:ascii="Times New Roman" w:hAnsi="Times New Roman"/>
          <w:szCs w:val="24"/>
        </w:rPr>
        <w:t xml:space="preserve"> studies ranged from 51 to 77 years.</w:t>
      </w:r>
    </w:p>
    <w:p w14:paraId="65D4415B" w14:textId="77777777" w:rsidR="00010EA9" w:rsidRDefault="00010EA9" w:rsidP="00010EA9">
      <w:pPr>
        <w:ind w:left="0" w:firstLine="0"/>
        <w:rPr>
          <w:rFonts w:ascii="Times New Roman" w:hAnsi="Times New Roman"/>
          <w:szCs w:val="24"/>
        </w:rPr>
      </w:pPr>
    </w:p>
    <w:p w14:paraId="65D4415C" w14:textId="77777777" w:rsidR="00010EA9" w:rsidRPr="00343A56" w:rsidRDefault="000954D2" w:rsidP="000954D2">
      <w:pPr>
        <w:ind w:left="0" w:firstLine="0"/>
        <w:rPr>
          <w:rFonts w:ascii="Times New Roman" w:hAnsi="Times New Roman"/>
          <w:szCs w:val="24"/>
          <w:u w:val="single"/>
        </w:rPr>
      </w:pPr>
      <w:r w:rsidRPr="00343A56">
        <w:rPr>
          <w:rFonts w:ascii="Times New Roman" w:hAnsi="Times New Roman"/>
          <w:szCs w:val="24"/>
          <w:u w:val="single"/>
        </w:rPr>
        <w:t>P</w:t>
      </w:r>
      <w:r w:rsidR="00343A56" w:rsidRPr="00343A56">
        <w:rPr>
          <w:rFonts w:ascii="Times New Roman" w:hAnsi="Times New Roman"/>
          <w:szCs w:val="24"/>
          <w:u w:val="single"/>
        </w:rPr>
        <w:t>ossible Imprecision</w:t>
      </w:r>
    </w:p>
    <w:p w14:paraId="65D4415D" w14:textId="77777777" w:rsidR="00010EA9" w:rsidRPr="00A7722E" w:rsidRDefault="00010EA9" w:rsidP="00010EA9">
      <w:pPr>
        <w:ind w:left="0" w:firstLine="0"/>
        <w:rPr>
          <w:rFonts w:ascii="Times New Roman" w:hAnsi="Times New Roman"/>
          <w:szCs w:val="24"/>
        </w:rPr>
      </w:pPr>
      <w:r w:rsidRPr="00A7722E">
        <w:rPr>
          <w:rFonts w:ascii="Times New Roman" w:hAnsi="Times New Roman"/>
          <w:szCs w:val="24"/>
        </w:rPr>
        <w:t>The sample sizes in these studies were moderate to very large, ranging from 276 to 259,040 patients [276 (Pasquel et al., 2010); 1,886 (Umpierrez et al., 2002); 2,471 (McAlister et al., 2005); 3,132 (Lee et al., 2012); 3,184 (Frisch et al., 2010); 7,285 (Rady et al., 2005); 7,576 (Jackson et al., 2012); 55,408 (King et al., 2011); 259,0</w:t>
      </w:r>
      <w:r>
        <w:rPr>
          <w:rFonts w:ascii="Times New Roman" w:hAnsi="Times New Roman"/>
          <w:szCs w:val="24"/>
        </w:rPr>
        <w:t xml:space="preserve">40 (Falciglia et al., 2009)]. </w:t>
      </w:r>
      <w:r w:rsidRPr="00A7722E">
        <w:rPr>
          <w:rFonts w:ascii="Times New Roman" w:hAnsi="Times New Roman"/>
          <w:szCs w:val="24"/>
        </w:rPr>
        <w:t xml:space="preserve">One of the studies </w:t>
      </w:r>
      <w:r w:rsidR="00697856">
        <w:rPr>
          <w:rFonts w:ascii="Times New Roman" w:hAnsi="Times New Roman"/>
          <w:szCs w:val="24"/>
        </w:rPr>
        <w:t>(</w:t>
      </w:r>
      <w:r w:rsidRPr="00A7722E">
        <w:rPr>
          <w:rFonts w:ascii="Times New Roman" w:hAnsi="Times New Roman"/>
          <w:szCs w:val="24"/>
        </w:rPr>
        <w:t xml:space="preserve">276 </w:t>
      </w:r>
      <w:r w:rsidR="00697856">
        <w:rPr>
          <w:rFonts w:ascii="Times New Roman" w:hAnsi="Times New Roman"/>
          <w:szCs w:val="24"/>
        </w:rPr>
        <w:t>[</w:t>
      </w:r>
      <w:r w:rsidRPr="00A7722E">
        <w:rPr>
          <w:rFonts w:ascii="Times New Roman" w:hAnsi="Times New Roman"/>
          <w:szCs w:val="24"/>
        </w:rPr>
        <w:t>Pasquel et al., 2010</w:t>
      </w:r>
      <w:r w:rsidR="00697856">
        <w:rPr>
          <w:rFonts w:ascii="Times New Roman" w:hAnsi="Times New Roman"/>
          <w:szCs w:val="24"/>
        </w:rPr>
        <w:t>]</w:t>
      </w:r>
      <w:r w:rsidRPr="00A7722E">
        <w:rPr>
          <w:rFonts w:ascii="Times New Roman" w:hAnsi="Times New Roman"/>
          <w:szCs w:val="24"/>
        </w:rPr>
        <w:t>) had a moderate-sized sample, which may have contributed to wider confidence intervals.</w:t>
      </w:r>
    </w:p>
    <w:p w14:paraId="65D4415E" w14:textId="77777777" w:rsidR="00B71F90" w:rsidRPr="0053751F" w:rsidRDefault="00B71F90" w:rsidP="002E2177">
      <w:pPr>
        <w:ind w:left="0" w:firstLine="0"/>
        <w:rPr>
          <w:rFonts w:ascii="Times New Roman" w:hAnsi="Times New Roman" w:cs="Times New Roman"/>
          <w:b/>
        </w:rPr>
      </w:pPr>
    </w:p>
    <w:p w14:paraId="65D4415F" w14:textId="77777777" w:rsidR="00FB4290" w:rsidRPr="005D5ACE" w:rsidRDefault="007F4E96" w:rsidP="00FB4290">
      <w:pPr>
        <w:ind w:left="720" w:hanging="720"/>
        <w:rPr>
          <w:rFonts w:ascii="Times New Roman" w:hAnsi="Times New Roman" w:cs="Times New Roman"/>
          <w:noProof/>
          <w:u w:val="single"/>
        </w:rPr>
      </w:pPr>
      <w:r w:rsidRPr="005D5ACE">
        <w:rPr>
          <w:rFonts w:ascii="Times New Roman" w:hAnsi="Times New Roman" w:cs="Times New Roman"/>
          <w:noProof/>
          <w:u w:val="single"/>
        </w:rPr>
        <w:t>Citations for Studies Listed in Section 1a.8.2.</w:t>
      </w:r>
    </w:p>
    <w:p w14:paraId="65D44160" w14:textId="77777777" w:rsidR="0075362A" w:rsidRPr="0075362A" w:rsidRDefault="0075362A" w:rsidP="0075362A">
      <w:pPr>
        <w:rPr>
          <w:rFonts w:ascii="Times New Roman" w:hAnsi="Times New Roman"/>
          <w:noProof/>
        </w:rPr>
      </w:pPr>
      <w:r w:rsidRPr="0075362A">
        <w:rPr>
          <w:rFonts w:ascii="Times New Roman" w:hAnsi="Times New Roman"/>
          <w:noProof/>
        </w:rPr>
        <w:t xml:space="preserve">Falciglia, M., Freyberg, R. W., Almenoff, P. L., D’Alessio, D. A., &amp; Render, M. L. (2009). Hyperglycemia-related mortality in critically ill patients varies with admission diagnosis. </w:t>
      </w:r>
      <w:r w:rsidRPr="0075362A">
        <w:rPr>
          <w:rFonts w:ascii="Times New Roman" w:hAnsi="Times New Roman"/>
          <w:i/>
          <w:noProof/>
        </w:rPr>
        <w:t>Crit Care Med, 37</w:t>
      </w:r>
      <w:r w:rsidRPr="0075362A">
        <w:rPr>
          <w:rFonts w:ascii="Times New Roman" w:hAnsi="Times New Roman"/>
          <w:noProof/>
        </w:rPr>
        <w:t>(12), 3001-3009. doi: 10.1097/CCM.0b013e3181b083f7</w:t>
      </w:r>
    </w:p>
    <w:p w14:paraId="65D44161" w14:textId="77777777" w:rsidR="0075362A" w:rsidRPr="0075362A" w:rsidRDefault="0075362A" w:rsidP="0075362A">
      <w:pPr>
        <w:rPr>
          <w:rFonts w:ascii="Times New Roman" w:hAnsi="Times New Roman"/>
          <w:noProof/>
        </w:rPr>
      </w:pPr>
      <w:r w:rsidRPr="0075362A">
        <w:rPr>
          <w:rFonts w:ascii="Times New Roman" w:hAnsi="Times New Roman"/>
          <w:noProof/>
        </w:rPr>
        <w:t xml:space="preserve">Frisch, A., Chandra, P., Smiley, D., Peng, L., Rizzo, M., Gatcliffe, C., . . . Umpierrez, G. E. (2010). Prevalence and clinical outcome of hyperglycemia in the perioperative period in noncardiac surgery. </w:t>
      </w:r>
      <w:r w:rsidRPr="0075362A">
        <w:rPr>
          <w:rFonts w:ascii="Times New Roman" w:hAnsi="Times New Roman"/>
          <w:i/>
          <w:noProof/>
        </w:rPr>
        <w:t>Diabetes Care, 33</w:t>
      </w:r>
      <w:r w:rsidRPr="0075362A">
        <w:rPr>
          <w:rFonts w:ascii="Times New Roman" w:hAnsi="Times New Roman"/>
          <w:noProof/>
        </w:rPr>
        <w:t xml:space="preserve">(8), 1783-1788. </w:t>
      </w:r>
    </w:p>
    <w:p w14:paraId="65D44162" w14:textId="77777777" w:rsidR="0075362A" w:rsidRPr="0075362A" w:rsidRDefault="0075362A" w:rsidP="0075362A">
      <w:pPr>
        <w:rPr>
          <w:rFonts w:ascii="Times New Roman" w:hAnsi="Times New Roman"/>
          <w:noProof/>
        </w:rPr>
      </w:pPr>
      <w:r w:rsidRPr="0075362A">
        <w:rPr>
          <w:rFonts w:ascii="Times New Roman" w:hAnsi="Times New Roman"/>
          <w:noProof/>
        </w:rPr>
        <w:t xml:space="preserve">Jackson, R., Amdur, R., White, J., &amp; Mascata, R. (2012). Hyperglycemia is associated with increased risk of morbidity and mortality after colectomy for cancer. </w:t>
      </w:r>
      <w:r w:rsidRPr="0075362A">
        <w:rPr>
          <w:rFonts w:ascii="Times New Roman" w:hAnsi="Times New Roman"/>
          <w:i/>
          <w:noProof/>
        </w:rPr>
        <w:t>J Am Coll Surg, 214</w:t>
      </w:r>
      <w:r w:rsidRPr="0075362A">
        <w:rPr>
          <w:rFonts w:ascii="Times New Roman" w:hAnsi="Times New Roman"/>
          <w:noProof/>
        </w:rPr>
        <w:t xml:space="preserve">(1), 68-80. </w:t>
      </w:r>
    </w:p>
    <w:p w14:paraId="65D44163" w14:textId="77777777" w:rsidR="0075362A" w:rsidRPr="0075362A" w:rsidRDefault="0075362A" w:rsidP="0075362A">
      <w:pPr>
        <w:rPr>
          <w:rFonts w:ascii="Times New Roman" w:hAnsi="Times New Roman"/>
          <w:noProof/>
        </w:rPr>
      </w:pPr>
      <w:r w:rsidRPr="0075362A">
        <w:rPr>
          <w:rFonts w:ascii="Times New Roman" w:hAnsi="Times New Roman"/>
          <w:noProof/>
        </w:rPr>
        <w:t xml:space="preserve">King, J., Goulet, J., Perkal, M., &amp; Rosenthal, R. (2011). Glycemic control and infections in patients with diabetes undergoing noncardiac surgery. </w:t>
      </w:r>
      <w:r w:rsidRPr="0075362A">
        <w:rPr>
          <w:rFonts w:ascii="Times New Roman" w:hAnsi="Times New Roman"/>
          <w:i/>
          <w:noProof/>
        </w:rPr>
        <w:t>Ann Surg, 253</w:t>
      </w:r>
      <w:r w:rsidRPr="0075362A">
        <w:rPr>
          <w:rFonts w:ascii="Times New Roman" w:hAnsi="Times New Roman"/>
          <w:noProof/>
        </w:rPr>
        <w:t xml:space="preserve">(1), 158-165. </w:t>
      </w:r>
    </w:p>
    <w:p w14:paraId="65D44164" w14:textId="77777777" w:rsidR="0075362A" w:rsidRPr="0075362A" w:rsidRDefault="0075362A" w:rsidP="0075362A">
      <w:pPr>
        <w:rPr>
          <w:rFonts w:ascii="Times New Roman" w:hAnsi="Times New Roman"/>
          <w:noProof/>
        </w:rPr>
      </w:pPr>
      <w:r w:rsidRPr="0075362A">
        <w:rPr>
          <w:rFonts w:ascii="Times New Roman" w:hAnsi="Times New Roman"/>
          <w:noProof/>
        </w:rPr>
        <w:t xml:space="preserve">Lee, L., Emons, M., Martin, S., Faries, D., Bae, J., Nathanson, B., . . . Bode, B. (2012). Association of blood glucose levels with in-hospital mortality and 30-day readmission in patients undergoing invasive cardiovascular surgery. </w:t>
      </w:r>
      <w:r w:rsidRPr="0075362A">
        <w:rPr>
          <w:rFonts w:ascii="Times New Roman" w:hAnsi="Times New Roman"/>
          <w:i/>
          <w:noProof/>
        </w:rPr>
        <w:t>Current Medical Research &amp; Opinion, 28</w:t>
      </w:r>
      <w:r w:rsidRPr="0075362A">
        <w:rPr>
          <w:rFonts w:ascii="Times New Roman" w:hAnsi="Times New Roman"/>
          <w:noProof/>
        </w:rPr>
        <w:t xml:space="preserve">(10), 1657-1665. </w:t>
      </w:r>
    </w:p>
    <w:p w14:paraId="65D44165" w14:textId="77777777" w:rsidR="0075362A" w:rsidRPr="0075362A" w:rsidRDefault="0075362A" w:rsidP="0075362A">
      <w:pPr>
        <w:rPr>
          <w:rFonts w:ascii="Times New Roman" w:hAnsi="Times New Roman"/>
          <w:noProof/>
        </w:rPr>
      </w:pPr>
      <w:r w:rsidRPr="0075362A">
        <w:rPr>
          <w:rFonts w:ascii="Times New Roman" w:hAnsi="Times New Roman"/>
          <w:noProof/>
        </w:rPr>
        <w:lastRenderedPageBreak/>
        <w:t xml:space="preserve">McAlister, F., Majumdar, S., Blitz, S., Rowe, B., Romney, J., &amp; Marrie, T. (2005). The relation between hyperglycemia and outcomes in 2,471 patients admitted to the hospital with community-acquired pneumonia. </w:t>
      </w:r>
      <w:r w:rsidRPr="0075362A">
        <w:rPr>
          <w:rFonts w:ascii="Times New Roman" w:hAnsi="Times New Roman"/>
          <w:i/>
          <w:noProof/>
        </w:rPr>
        <w:t>Diabetes Care, 28</w:t>
      </w:r>
      <w:r w:rsidRPr="0075362A">
        <w:rPr>
          <w:rFonts w:ascii="Times New Roman" w:hAnsi="Times New Roman"/>
          <w:noProof/>
        </w:rPr>
        <w:t xml:space="preserve">(4), 810-815. </w:t>
      </w:r>
    </w:p>
    <w:p w14:paraId="65D44166" w14:textId="77777777" w:rsidR="0075362A" w:rsidRPr="0075362A" w:rsidRDefault="0075362A" w:rsidP="0075362A">
      <w:pPr>
        <w:rPr>
          <w:rFonts w:ascii="Times New Roman" w:hAnsi="Times New Roman"/>
          <w:noProof/>
        </w:rPr>
      </w:pPr>
      <w:r w:rsidRPr="0075362A">
        <w:rPr>
          <w:rFonts w:ascii="Times New Roman" w:hAnsi="Times New Roman"/>
          <w:noProof/>
        </w:rPr>
        <w:t xml:space="preserve">Pasquel, F., Spiegelman, R., McCauley, M., Smiley, D., Umpierrez, D., Johnson, R., . . . Umpierrez, G. E. (2010). Hyperglycemia during total parenteral nutrition: An important marker of poor outcome and mortality in hospitalized patients. </w:t>
      </w:r>
      <w:r w:rsidRPr="0075362A">
        <w:rPr>
          <w:rFonts w:ascii="Times New Roman" w:hAnsi="Times New Roman"/>
          <w:i/>
          <w:noProof/>
        </w:rPr>
        <w:t>Diabetes Care, 33</w:t>
      </w:r>
      <w:r w:rsidRPr="0075362A">
        <w:rPr>
          <w:rFonts w:ascii="Times New Roman" w:hAnsi="Times New Roman"/>
          <w:noProof/>
        </w:rPr>
        <w:t xml:space="preserve">(4), 739-741. </w:t>
      </w:r>
    </w:p>
    <w:p w14:paraId="65D44167" w14:textId="77777777" w:rsidR="0075362A" w:rsidRPr="0075362A" w:rsidRDefault="00753FC6" w:rsidP="0075362A">
      <w:pPr>
        <w:rPr>
          <w:rFonts w:ascii="Times New Roman" w:hAnsi="Times New Roman"/>
          <w:noProof/>
        </w:rPr>
      </w:pPr>
      <w:r>
        <w:rPr>
          <w:rFonts w:ascii="Times New Roman" w:hAnsi="Times New Roman"/>
          <w:noProof/>
        </w:rPr>
        <w:t xml:space="preserve">Rady, M., Johnson, D., Patel, B., Larson, J., &amp; Helmers, R. (2005). Influence of individual characteristics on outcome of glycemic control </w:t>
      </w:r>
      <w:r w:rsidR="0075362A" w:rsidRPr="0075362A">
        <w:rPr>
          <w:rFonts w:ascii="Times New Roman" w:hAnsi="Times New Roman"/>
          <w:noProof/>
        </w:rPr>
        <w:t xml:space="preserve">in intensive care unit patients with or without diabetes mellitus. </w:t>
      </w:r>
      <w:r w:rsidR="0075362A" w:rsidRPr="0075362A">
        <w:rPr>
          <w:rFonts w:ascii="Times New Roman" w:hAnsi="Times New Roman"/>
          <w:i/>
          <w:noProof/>
        </w:rPr>
        <w:t>Mayo Clin Proc, 80</w:t>
      </w:r>
      <w:r w:rsidR="0075362A" w:rsidRPr="0075362A">
        <w:rPr>
          <w:rFonts w:ascii="Times New Roman" w:hAnsi="Times New Roman"/>
          <w:noProof/>
        </w:rPr>
        <w:t xml:space="preserve">(12), 1558-1567. </w:t>
      </w:r>
    </w:p>
    <w:p w14:paraId="65D44168" w14:textId="77777777" w:rsidR="0075362A" w:rsidRPr="0075362A" w:rsidRDefault="0075362A" w:rsidP="0075362A">
      <w:pPr>
        <w:rPr>
          <w:rFonts w:ascii="Times New Roman" w:hAnsi="Times New Roman"/>
          <w:noProof/>
        </w:rPr>
      </w:pPr>
      <w:r w:rsidRPr="0075362A">
        <w:rPr>
          <w:rFonts w:ascii="Times New Roman" w:hAnsi="Times New Roman"/>
          <w:noProof/>
        </w:rPr>
        <w:t xml:space="preserve">Umpierrez, G., Isaacs, S., Bazargan, N., You, X., Thaler, L., &amp; Kitabchi, A. (2002). Hyperglycemia: An independent marker of in-hospital mortality in patients with undiagnosed diabetes. </w:t>
      </w:r>
      <w:r w:rsidRPr="0075362A">
        <w:rPr>
          <w:rFonts w:ascii="Times New Roman" w:hAnsi="Times New Roman"/>
          <w:i/>
          <w:noProof/>
        </w:rPr>
        <w:t>Journal of Clinical Endocrinology and Metabolism, 87</w:t>
      </w:r>
      <w:r w:rsidRPr="0075362A">
        <w:rPr>
          <w:rFonts w:ascii="Times New Roman" w:hAnsi="Times New Roman"/>
          <w:noProof/>
        </w:rPr>
        <w:t>(3), 978-982.</w:t>
      </w:r>
    </w:p>
    <w:p w14:paraId="65D44169" w14:textId="77777777" w:rsidR="0075362A" w:rsidRPr="0075362A" w:rsidRDefault="0075362A" w:rsidP="0075362A">
      <w:pPr>
        <w:rPr>
          <w:rFonts w:ascii="Times New Roman" w:hAnsi="Times New Roman"/>
          <w:noProof/>
        </w:rPr>
      </w:pPr>
    </w:p>
    <w:p w14:paraId="65D4416A" w14:textId="77777777" w:rsidR="00B71F90" w:rsidRDefault="00B71F90" w:rsidP="00F24430">
      <w:pPr>
        <w:ind w:left="0" w:firstLine="0"/>
        <w:rPr>
          <w:b/>
        </w:rPr>
      </w:pPr>
    </w:p>
    <w:sectPr w:rsidR="00B71F90" w:rsidSect="00FB7435">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D4416D" w14:textId="77777777" w:rsidR="009E1B30" w:rsidRDefault="009E1B30" w:rsidP="007E37A5">
      <w:r>
        <w:separator/>
      </w:r>
    </w:p>
  </w:endnote>
  <w:endnote w:type="continuationSeparator" w:id="0">
    <w:p w14:paraId="65D4416E" w14:textId="77777777" w:rsidR="009E1B30" w:rsidRDefault="009E1B30"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TTE59F42C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44170" w14:textId="77777777" w:rsidR="009E1B30" w:rsidRDefault="009E1B30" w:rsidP="00314747">
    <w:pPr>
      <w:rPr>
        <w:rFonts w:cs="Times New Roman"/>
        <w:b/>
      </w:rPr>
    </w:pPr>
    <w:r>
      <w:rPr>
        <w:b/>
        <w:bCs/>
      </w:rPr>
      <w:t>Version 6.5</w:t>
    </w:r>
    <w:r w:rsidRPr="00447FD3">
      <w:rPr>
        <w:rFonts w:cs="Times New Roman"/>
        <w:b/>
      </w:rPr>
      <w:ptab w:relativeTo="margin" w:alignment="right" w:leader="none"/>
    </w:r>
    <w:r w:rsidRPr="00447FD3">
      <w:rPr>
        <w:rFonts w:cs="Times New Roman"/>
        <w:b/>
      </w:rPr>
      <w:fldChar w:fldCharType="begin"/>
    </w:r>
    <w:r w:rsidRPr="00447FD3">
      <w:rPr>
        <w:rFonts w:cs="Times New Roman"/>
        <w:b/>
      </w:rPr>
      <w:instrText xml:space="preserve"> PAGE   \* MERGEFORMAT </w:instrText>
    </w:r>
    <w:r w:rsidRPr="00447FD3">
      <w:rPr>
        <w:rFonts w:cs="Times New Roman"/>
        <w:b/>
      </w:rPr>
      <w:fldChar w:fldCharType="separate"/>
    </w:r>
    <w:r w:rsidR="00A2163F">
      <w:rPr>
        <w:rFonts w:cs="Times New Roman"/>
        <w:b/>
        <w:noProof/>
      </w:rPr>
      <w:t>1</w:t>
    </w:r>
    <w:r w:rsidRPr="00447FD3">
      <w:rPr>
        <w:rFonts w:cs="Times New Roman"/>
        <w:b/>
      </w:rPr>
      <w:fldChar w:fldCharType="end"/>
    </w:r>
    <w:r w:rsidRPr="00314747">
      <w:rPr>
        <w:rFonts w:cs="Times New Roman"/>
        <w:b/>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4416B" w14:textId="77777777" w:rsidR="009E1B30" w:rsidRDefault="009E1B30" w:rsidP="007E37A5">
      <w:r>
        <w:separator/>
      </w:r>
    </w:p>
  </w:footnote>
  <w:footnote w:type="continuationSeparator" w:id="0">
    <w:p w14:paraId="65D4416C" w14:textId="77777777" w:rsidR="009E1B30" w:rsidRDefault="009E1B30"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color w:val="A6A6A6" w:themeColor="background1" w:themeShade="A6"/>
      </w:rPr>
      <w:id w:val="-491560845"/>
    </w:sdtPr>
    <w:sdtEndPr>
      <w:rPr>
        <w:rStyle w:val="DefaultParagraphFont"/>
      </w:rPr>
    </w:sdtEndPr>
    <w:sdtContent>
      <w:p w14:paraId="65D4416F" w14:textId="77777777" w:rsidR="009E1B30" w:rsidRPr="00287DD9" w:rsidRDefault="009E1B30" w:rsidP="007E37A5">
        <w:pPr>
          <w:pStyle w:val="Header"/>
          <w:ind w:left="0" w:firstLine="0"/>
          <w:jc w:val="center"/>
          <w:rPr>
            <w:color w:val="A6A6A6" w:themeColor="background1" w:themeShade="A6"/>
          </w:rPr>
        </w:pPr>
        <w:sdt>
          <w:sdtPr>
            <w:rPr>
              <w:rStyle w:val="Style1"/>
              <w:color w:val="A6A6A6" w:themeColor="background1" w:themeShade="A6"/>
            </w:rPr>
            <w:id w:val="-293297918"/>
          </w:sdtPr>
          <w:sdtEndPr>
            <w:rPr>
              <w:rStyle w:val="DefaultParagraphFont"/>
              <w:noProof/>
            </w:rPr>
          </w:sdtEndPr>
          <w:sdtContent>
            <w:r w:rsidRPr="00287DD9">
              <w:rPr>
                <w:rStyle w:val="Style1"/>
                <w:color w:val="A6A6A6" w:themeColor="background1" w:themeShade="A6"/>
              </w:rPr>
              <w:t>NQF staff enter #/title</w:t>
            </w:r>
          </w:sdtContent>
        </w:sdt>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7459"/>
    <w:multiLevelType w:val="hybridMultilevel"/>
    <w:tmpl w:val="76564FF6"/>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cs="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cs="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cs="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1">
    <w:nsid w:val="0D9A6EF7"/>
    <w:multiLevelType w:val="hybridMultilevel"/>
    <w:tmpl w:val="6D805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671A12"/>
    <w:multiLevelType w:val="hybridMultilevel"/>
    <w:tmpl w:val="93B63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6D4854"/>
    <w:multiLevelType w:val="hybridMultilevel"/>
    <w:tmpl w:val="DF14B1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01625E7"/>
    <w:multiLevelType w:val="hybridMultilevel"/>
    <w:tmpl w:val="70B2C7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4A0629"/>
    <w:multiLevelType w:val="hybridMultilevel"/>
    <w:tmpl w:val="EC424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62467F4"/>
    <w:multiLevelType w:val="hybridMultilevel"/>
    <w:tmpl w:val="2E46AF6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700071"/>
    <w:multiLevelType w:val="hybridMultilevel"/>
    <w:tmpl w:val="1FC66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8F71CA6"/>
    <w:multiLevelType w:val="hybridMultilevel"/>
    <w:tmpl w:val="F208E31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C31BEA"/>
    <w:multiLevelType w:val="hybridMultilevel"/>
    <w:tmpl w:val="4D6E0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263B16"/>
    <w:multiLevelType w:val="hybridMultilevel"/>
    <w:tmpl w:val="0BC83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74004F"/>
    <w:multiLevelType w:val="hybridMultilevel"/>
    <w:tmpl w:val="0706DA4A"/>
    <w:lvl w:ilvl="0" w:tplc="04090009">
      <w:start w:val="1"/>
      <w:numFmt w:val="bullet"/>
      <w:lvlText w:val=""/>
      <w:lvlJc w:val="left"/>
      <w:pPr>
        <w:ind w:left="720" w:hanging="360"/>
      </w:pPr>
      <w:rPr>
        <w:rFonts w:ascii="Wingdings" w:hAnsi="Wingdings" w:hint="default"/>
      </w:rPr>
    </w:lvl>
    <w:lvl w:ilvl="1" w:tplc="EDE8707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762958"/>
    <w:multiLevelType w:val="hybridMultilevel"/>
    <w:tmpl w:val="794E1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F34505B"/>
    <w:multiLevelType w:val="hybridMultilevel"/>
    <w:tmpl w:val="E014EB08"/>
    <w:lvl w:ilvl="0" w:tplc="04090009">
      <w:start w:val="1"/>
      <w:numFmt w:val="bullet"/>
      <w:lvlText w:val=""/>
      <w:lvlJc w:val="left"/>
      <w:pPr>
        <w:ind w:left="720" w:hanging="360"/>
      </w:pPr>
      <w:rPr>
        <w:rFonts w:ascii="Wingdings" w:hAnsi="Wingdings" w:hint="default"/>
      </w:rPr>
    </w:lvl>
    <w:lvl w:ilvl="1" w:tplc="EDE8707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1A730E"/>
    <w:multiLevelType w:val="hybridMultilevel"/>
    <w:tmpl w:val="506A7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64C639F"/>
    <w:multiLevelType w:val="hybridMultilevel"/>
    <w:tmpl w:val="255A6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EB523D"/>
    <w:multiLevelType w:val="hybridMultilevel"/>
    <w:tmpl w:val="49EC7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DC4B7D"/>
    <w:multiLevelType w:val="hybridMultilevel"/>
    <w:tmpl w:val="99528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A61E4B"/>
    <w:multiLevelType w:val="hybridMultilevel"/>
    <w:tmpl w:val="C396C4D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182695D"/>
    <w:multiLevelType w:val="hybridMultilevel"/>
    <w:tmpl w:val="E208D920"/>
    <w:lvl w:ilvl="0" w:tplc="04090009">
      <w:start w:val="1"/>
      <w:numFmt w:val="bullet"/>
      <w:lvlText w:val=""/>
      <w:lvlJc w:val="left"/>
      <w:pPr>
        <w:ind w:left="720" w:hanging="360"/>
      </w:pPr>
      <w:rPr>
        <w:rFonts w:ascii="Wingdings" w:hAnsi="Wingdings" w:hint="default"/>
      </w:rPr>
    </w:lvl>
    <w:lvl w:ilvl="1" w:tplc="EDE8707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2105F2"/>
    <w:multiLevelType w:val="hybridMultilevel"/>
    <w:tmpl w:val="782248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5540A1"/>
    <w:multiLevelType w:val="hybridMultilevel"/>
    <w:tmpl w:val="80E2E2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0"/>
  </w:num>
  <w:num w:numId="3">
    <w:abstractNumId w:val="6"/>
  </w:num>
  <w:num w:numId="4">
    <w:abstractNumId w:val="9"/>
  </w:num>
  <w:num w:numId="5">
    <w:abstractNumId w:val="11"/>
  </w:num>
  <w:num w:numId="6">
    <w:abstractNumId w:val="10"/>
  </w:num>
  <w:num w:numId="7">
    <w:abstractNumId w:val="26"/>
  </w:num>
  <w:num w:numId="8">
    <w:abstractNumId w:val="24"/>
  </w:num>
  <w:num w:numId="9">
    <w:abstractNumId w:val="29"/>
  </w:num>
  <w:num w:numId="10">
    <w:abstractNumId w:val="0"/>
  </w:num>
  <w:num w:numId="11">
    <w:abstractNumId w:val="8"/>
  </w:num>
  <w:num w:numId="12">
    <w:abstractNumId w:val="14"/>
  </w:num>
  <w:num w:numId="13">
    <w:abstractNumId w:val="5"/>
  </w:num>
  <w:num w:numId="14">
    <w:abstractNumId w:val="21"/>
  </w:num>
  <w:num w:numId="15">
    <w:abstractNumId w:val="1"/>
  </w:num>
  <w:num w:numId="16">
    <w:abstractNumId w:val="7"/>
  </w:num>
  <w:num w:numId="17">
    <w:abstractNumId w:val="13"/>
  </w:num>
  <w:num w:numId="18">
    <w:abstractNumId w:val="4"/>
  </w:num>
  <w:num w:numId="19">
    <w:abstractNumId w:val="16"/>
  </w:num>
  <w:num w:numId="20">
    <w:abstractNumId w:val="18"/>
  </w:num>
  <w:num w:numId="21">
    <w:abstractNumId w:val="27"/>
  </w:num>
  <w:num w:numId="22">
    <w:abstractNumId w:val="22"/>
  </w:num>
  <w:num w:numId="23">
    <w:abstractNumId w:val="19"/>
  </w:num>
  <w:num w:numId="24">
    <w:abstractNumId w:val="23"/>
  </w:num>
  <w:num w:numId="25">
    <w:abstractNumId w:val="2"/>
  </w:num>
  <w:num w:numId="26">
    <w:abstractNumId w:val="17"/>
  </w:num>
  <w:num w:numId="27">
    <w:abstractNumId w:val="15"/>
  </w:num>
  <w:num w:numId="28">
    <w:abstractNumId w:val="28"/>
  </w:num>
  <w:num w:numId="29">
    <w:abstractNumId w:val="3"/>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zea0srr6tpprueexf35wafz9atpxa0wzzvd&quot;&gt;Coronary Artery Disease&lt;record-ids&gt;&lt;item&gt;3&lt;/item&gt;&lt;item&gt;4&lt;/item&gt;&lt;item&gt;5&lt;/item&gt;&lt;item&gt;6&lt;/item&gt;&lt;item&gt;12&lt;/item&gt;&lt;item&gt;13&lt;/item&gt;&lt;item&gt;16&lt;/item&gt;&lt;item&gt;20&lt;/item&gt;&lt;item&gt;21&lt;/item&gt;&lt;/record-ids&gt;&lt;/item&gt;&lt;/Libraries&gt;"/>
  </w:docVars>
  <w:rsids>
    <w:rsidRoot w:val="00496AF8"/>
    <w:rsid w:val="00002604"/>
    <w:rsid w:val="0000395D"/>
    <w:rsid w:val="00010EA9"/>
    <w:rsid w:val="000129AE"/>
    <w:rsid w:val="0001547E"/>
    <w:rsid w:val="000157CC"/>
    <w:rsid w:val="00015986"/>
    <w:rsid w:val="000160E6"/>
    <w:rsid w:val="00022728"/>
    <w:rsid w:val="00024526"/>
    <w:rsid w:val="00030F43"/>
    <w:rsid w:val="00040A7A"/>
    <w:rsid w:val="00051477"/>
    <w:rsid w:val="000551FF"/>
    <w:rsid w:val="00057271"/>
    <w:rsid w:val="00061CF3"/>
    <w:rsid w:val="00061E42"/>
    <w:rsid w:val="00063601"/>
    <w:rsid w:val="000646FC"/>
    <w:rsid w:val="00070916"/>
    <w:rsid w:val="00073056"/>
    <w:rsid w:val="00073079"/>
    <w:rsid w:val="00075903"/>
    <w:rsid w:val="0007593F"/>
    <w:rsid w:val="00087890"/>
    <w:rsid w:val="00090B57"/>
    <w:rsid w:val="000929F0"/>
    <w:rsid w:val="00094A76"/>
    <w:rsid w:val="000954D2"/>
    <w:rsid w:val="00095EC9"/>
    <w:rsid w:val="00096A37"/>
    <w:rsid w:val="000A0810"/>
    <w:rsid w:val="000A09CC"/>
    <w:rsid w:val="000A0FA9"/>
    <w:rsid w:val="000A3265"/>
    <w:rsid w:val="000A55DA"/>
    <w:rsid w:val="000A5D8E"/>
    <w:rsid w:val="000A6CDF"/>
    <w:rsid w:val="000B05B3"/>
    <w:rsid w:val="000B627F"/>
    <w:rsid w:val="000D5BF9"/>
    <w:rsid w:val="000D5C55"/>
    <w:rsid w:val="000D649E"/>
    <w:rsid w:val="000D6D06"/>
    <w:rsid w:val="000E1935"/>
    <w:rsid w:val="000E3DF4"/>
    <w:rsid w:val="000E628E"/>
    <w:rsid w:val="000E7C4B"/>
    <w:rsid w:val="001005E6"/>
    <w:rsid w:val="00101441"/>
    <w:rsid w:val="00110ED4"/>
    <w:rsid w:val="0011208D"/>
    <w:rsid w:val="00114848"/>
    <w:rsid w:val="00114DF3"/>
    <w:rsid w:val="00120934"/>
    <w:rsid w:val="0012330F"/>
    <w:rsid w:val="001250F8"/>
    <w:rsid w:val="001268AC"/>
    <w:rsid w:val="00127B46"/>
    <w:rsid w:val="00132070"/>
    <w:rsid w:val="0014148C"/>
    <w:rsid w:val="00141875"/>
    <w:rsid w:val="0014347E"/>
    <w:rsid w:val="0014410E"/>
    <w:rsid w:val="001455CF"/>
    <w:rsid w:val="001551F6"/>
    <w:rsid w:val="0015535B"/>
    <w:rsid w:val="00162036"/>
    <w:rsid w:val="00162F3B"/>
    <w:rsid w:val="001632DD"/>
    <w:rsid w:val="00165684"/>
    <w:rsid w:val="00165C84"/>
    <w:rsid w:val="001672E5"/>
    <w:rsid w:val="00167983"/>
    <w:rsid w:val="001739FE"/>
    <w:rsid w:val="00176E60"/>
    <w:rsid w:val="00182783"/>
    <w:rsid w:val="001835CE"/>
    <w:rsid w:val="001852A9"/>
    <w:rsid w:val="00191D58"/>
    <w:rsid w:val="00191D7E"/>
    <w:rsid w:val="00194D9A"/>
    <w:rsid w:val="001A196B"/>
    <w:rsid w:val="001A1C08"/>
    <w:rsid w:val="001A49AA"/>
    <w:rsid w:val="001A5677"/>
    <w:rsid w:val="001A6858"/>
    <w:rsid w:val="001A6D05"/>
    <w:rsid w:val="001B177B"/>
    <w:rsid w:val="001B3623"/>
    <w:rsid w:val="001B38BF"/>
    <w:rsid w:val="001B772D"/>
    <w:rsid w:val="001D096D"/>
    <w:rsid w:val="001D5B5D"/>
    <w:rsid w:val="001F113E"/>
    <w:rsid w:val="001F6ABA"/>
    <w:rsid w:val="002008D8"/>
    <w:rsid w:val="00201FF9"/>
    <w:rsid w:val="00205857"/>
    <w:rsid w:val="00215E8E"/>
    <w:rsid w:val="0021666B"/>
    <w:rsid w:val="002176F8"/>
    <w:rsid w:val="0023043A"/>
    <w:rsid w:val="00232ECE"/>
    <w:rsid w:val="00235ADC"/>
    <w:rsid w:val="002373F9"/>
    <w:rsid w:val="002649A8"/>
    <w:rsid w:val="00265702"/>
    <w:rsid w:val="002662B2"/>
    <w:rsid w:val="00267C55"/>
    <w:rsid w:val="002717C7"/>
    <w:rsid w:val="002771AE"/>
    <w:rsid w:val="002875E9"/>
    <w:rsid w:val="00287DD9"/>
    <w:rsid w:val="00287EB3"/>
    <w:rsid w:val="00292C2E"/>
    <w:rsid w:val="00295553"/>
    <w:rsid w:val="002A1F31"/>
    <w:rsid w:val="002A47B2"/>
    <w:rsid w:val="002A47BA"/>
    <w:rsid w:val="002A6777"/>
    <w:rsid w:val="002B06BD"/>
    <w:rsid w:val="002B1DE8"/>
    <w:rsid w:val="002B410A"/>
    <w:rsid w:val="002B606D"/>
    <w:rsid w:val="002B690C"/>
    <w:rsid w:val="002B70A3"/>
    <w:rsid w:val="002C0E48"/>
    <w:rsid w:val="002C1FC7"/>
    <w:rsid w:val="002C6F04"/>
    <w:rsid w:val="002D4F52"/>
    <w:rsid w:val="002D5D4C"/>
    <w:rsid w:val="002E2177"/>
    <w:rsid w:val="002E2E41"/>
    <w:rsid w:val="002E63F5"/>
    <w:rsid w:val="002E78CD"/>
    <w:rsid w:val="002F20A7"/>
    <w:rsid w:val="002F2996"/>
    <w:rsid w:val="002F388B"/>
    <w:rsid w:val="00301626"/>
    <w:rsid w:val="003025D1"/>
    <w:rsid w:val="00302B1D"/>
    <w:rsid w:val="003031DF"/>
    <w:rsid w:val="003057A2"/>
    <w:rsid w:val="00305ECC"/>
    <w:rsid w:val="00307FA5"/>
    <w:rsid w:val="00313E69"/>
    <w:rsid w:val="00314747"/>
    <w:rsid w:val="003207E6"/>
    <w:rsid w:val="00320B3E"/>
    <w:rsid w:val="00321920"/>
    <w:rsid w:val="00321F9D"/>
    <w:rsid w:val="003230BF"/>
    <w:rsid w:val="00324BB0"/>
    <w:rsid w:val="00324D64"/>
    <w:rsid w:val="00326DBF"/>
    <w:rsid w:val="0034033E"/>
    <w:rsid w:val="00343A56"/>
    <w:rsid w:val="00346BB0"/>
    <w:rsid w:val="003477E5"/>
    <w:rsid w:val="003479D0"/>
    <w:rsid w:val="003506E9"/>
    <w:rsid w:val="003510A7"/>
    <w:rsid w:val="00352B52"/>
    <w:rsid w:val="0036340B"/>
    <w:rsid w:val="003636FA"/>
    <w:rsid w:val="00363ECC"/>
    <w:rsid w:val="0037418B"/>
    <w:rsid w:val="00380DEE"/>
    <w:rsid w:val="003849B4"/>
    <w:rsid w:val="0039020B"/>
    <w:rsid w:val="00392338"/>
    <w:rsid w:val="00393CD5"/>
    <w:rsid w:val="00395263"/>
    <w:rsid w:val="003956E0"/>
    <w:rsid w:val="0039609A"/>
    <w:rsid w:val="00397500"/>
    <w:rsid w:val="00397612"/>
    <w:rsid w:val="003A5531"/>
    <w:rsid w:val="003A7D9A"/>
    <w:rsid w:val="003B03A7"/>
    <w:rsid w:val="003B40A6"/>
    <w:rsid w:val="003B429B"/>
    <w:rsid w:val="003B4E62"/>
    <w:rsid w:val="003B5584"/>
    <w:rsid w:val="003B65CE"/>
    <w:rsid w:val="003C5AC2"/>
    <w:rsid w:val="003D0A70"/>
    <w:rsid w:val="003D30DD"/>
    <w:rsid w:val="003E039E"/>
    <w:rsid w:val="003F5249"/>
    <w:rsid w:val="00400A1E"/>
    <w:rsid w:val="00402E9B"/>
    <w:rsid w:val="004031B7"/>
    <w:rsid w:val="00412C30"/>
    <w:rsid w:val="00420700"/>
    <w:rsid w:val="00422917"/>
    <w:rsid w:val="00423CA8"/>
    <w:rsid w:val="00423DC0"/>
    <w:rsid w:val="00433C14"/>
    <w:rsid w:val="00437F6E"/>
    <w:rsid w:val="00440687"/>
    <w:rsid w:val="0044131D"/>
    <w:rsid w:val="00441ADA"/>
    <w:rsid w:val="00441F70"/>
    <w:rsid w:val="00447FD3"/>
    <w:rsid w:val="004514D4"/>
    <w:rsid w:val="00457E46"/>
    <w:rsid w:val="004661E4"/>
    <w:rsid w:val="00471274"/>
    <w:rsid w:val="00480ECC"/>
    <w:rsid w:val="00483A37"/>
    <w:rsid w:val="00484603"/>
    <w:rsid w:val="00485941"/>
    <w:rsid w:val="00492DA7"/>
    <w:rsid w:val="00496AF8"/>
    <w:rsid w:val="00497A92"/>
    <w:rsid w:val="004A0719"/>
    <w:rsid w:val="004A0EAE"/>
    <w:rsid w:val="004A3F1F"/>
    <w:rsid w:val="004A575D"/>
    <w:rsid w:val="004A63D2"/>
    <w:rsid w:val="004B1973"/>
    <w:rsid w:val="004B65C6"/>
    <w:rsid w:val="004B79E0"/>
    <w:rsid w:val="004B7F64"/>
    <w:rsid w:val="004C2511"/>
    <w:rsid w:val="004C58B5"/>
    <w:rsid w:val="004C7461"/>
    <w:rsid w:val="004D1DC7"/>
    <w:rsid w:val="004D2C8B"/>
    <w:rsid w:val="004D34E8"/>
    <w:rsid w:val="004D5855"/>
    <w:rsid w:val="004D5A59"/>
    <w:rsid w:val="004D693F"/>
    <w:rsid w:val="004E3657"/>
    <w:rsid w:val="004E3CF7"/>
    <w:rsid w:val="004E700D"/>
    <w:rsid w:val="004F41EE"/>
    <w:rsid w:val="004F4832"/>
    <w:rsid w:val="00500B0C"/>
    <w:rsid w:val="005126A7"/>
    <w:rsid w:val="00514E25"/>
    <w:rsid w:val="00522211"/>
    <w:rsid w:val="005245A2"/>
    <w:rsid w:val="00527BEF"/>
    <w:rsid w:val="005309FF"/>
    <w:rsid w:val="00530D16"/>
    <w:rsid w:val="00537150"/>
    <w:rsid w:val="0053751F"/>
    <w:rsid w:val="00540050"/>
    <w:rsid w:val="00540984"/>
    <w:rsid w:val="00542B1F"/>
    <w:rsid w:val="00543851"/>
    <w:rsid w:val="005444B2"/>
    <w:rsid w:val="00544806"/>
    <w:rsid w:val="0054795C"/>
    <w:rsid w:val="00551196"/>
    <w:rsid w:val="00551C2C"/>
    <w:rsid w:val="0055559D"/>
    <w:rsid w:val="00555B0B"/>
    <w:rsid w:val="00555EF3"/>
    <w:rsid w:val="005569AE"/>
    <w:rsid w:val="00574B1C"/>
    <w:rsid w:val="00574D99"/>
    <w:rsid w:val="00583CC1"/>
    <w:rsid w:val="005857F8"/>
    <w:rsid w:val="00591786"/>
    <w:rsid w:val="005A2392"/>
    <w:rsid w:val="005A2FA4"/>
    <w:rsid w:val="005B0D18"/>
    <w:rsid w:val="005B12C3"/>
    <w:rsid w:val="005B409D"/>
    <w:rsid w:val="005C23F9"/>
    <w:rsid w:val="005D0FDB"/>
    <w:rsid w:val="005D5ACE"/>
    <w:rsid w:val="005D6D59"/>
    <w:rsid w:val="005D72F1"/>
    <w:rsid w:val="005D7DF9"/>
    <w:rsid w:val="005E2EC0"/>
    <w:rsid w:val="005F54C9"/>
    <w:rsid w:val="005F6717"/>
    <w:rsid w:val="00613534"/>
    <w:rsid w:val="006142B7"/>
    <w:rsid w:val="006153D4"/>
    <w:rsid w:val="00617390"/>
    <w:rsid w:val="00620B6F"/>
    <w:rsid w:val="006219D6"/>
    <w:rsid w:val="00622DA7"/>
    <w:rsid w:val="00623420"/>
    <w:rsid w:val="006234EE"/>
    <w:rsid w:val="00623BC0"/>
    <w:rsid w:val="00624050"/>
    <w:rsid w:val="00634768"/>
    <w:rsid w:val="0063488D"/>
    <w:rsid w:val="0063596F"/>
    <w:rsid w:val="00636343"/>
    <w:rsid w:val="0064130D"/>
    <w:rsid w:val="00667769"/>
    <w:rsid w:val="00667A15"/>
    <w:rsid w:val="006709EB"/>
    <w:rsid w:val="00672824"/>
    <w:rsid w:val="006729BB"/>
    <w:rsid w:val="00672B95"/>
    <w:rsid w:val="00673136"/>
    <w:rsid w:val="0068184A"/>
    <w:rsid w:val="00691A8B"/>
    <w:rsid w:val="00692020"/>
    <w:rsid w:val="00694652"/>
    <w:rsid w:val="00697856"/>
    <w:rsid w:val="006A357A"/>
    <w:rsid w:val="006A4228"/>
    <w:rsid w:val="006A5AF9"/>
    <w:rsid w:val="006B2090"/>
    <w:rsid w:val="006C211C"/>
    <w:rsid w:val="006C724D"/>
    <w:rsid w:val="006C7F30"/>
    <w:rsid w:val="006D266B"/>
    <w:rsid w:val="006D2A71"/>
    <w:rsid w:val="006D36B8"/>
    <w:rsid w:val="006D6A92"/>
    <w:rsid w:val="006E46A4"/>
    <w:rsid w:val="006E7603"/>
    <w:rsid w:val="006F4B7F"/>
    <w:rsid w:val="006F4BE4"/>
    <w:rsid w:val="006F4DB9"/>
    <w:rsid w:val="006F760B"/>
    <w:rsid w:val="007007CC"/>
    <w:rsid w:val="00701CC3"/>
    <w:rsid w:val="00701E30"/>
    <w:rsid w:val="0070393B"/>
    <w:rsid w:val="00705270"/>
    <w:rsid w:val="00711B68"/>
    <w:rsid w:val="007122E0"/>
    <w:rsid w:val="00722299"/>
    <w:rsid w:val="00724801"/>
    <w:rsid w:val="00734949"/>
    <w:rsid w:val="00736AEC"/>
    <w:rsid w:val="00736E0F"/>
    <w:rsid w:val="00737C31"/>
    <w:rsid w:val="007434FA"/>
    <w:rsid w:val="00746924"/>
    <w:rsid w:val="007527F3"/>
    <w:rsid w:val="0075362A"/>
    <w:rsid w:val="00753FC6"/>
    <w:rsid w:val="007555E4"/>
    <w:rsid w:val="007573F0"/>
    <w:rsid w:val="00761ADC"/>
    <w:rsid w:val="007638D1"/>
    <w:rsid w:val="00765156"/>
    <w:rsid w:val="00767669"/>
    <w:rsid w:val="00767905"/>
    <w:rsid w:val="00773485"/>
    <w:rsid w:val="00776E8F"/>
    <w:rsid w:val="00776F6D"/>
    <w:rsid w:val="00783112"/>
    <w:rsid w:val="0078663B"/>
    <w:rsid w:val="00786D8B"/>
    <w:rsid w:val="007910A1"/>
    <w:rsid w:val="00791EBB"/>
    <w:rsid w:val="0079428B"/>
    <w:rsid w:val="007A0FD3"/>
    <w:rsid w:val="007B788D"/>
    <w:rsid w:val="007C0297"/>
    <w:rsid w:val="007C02A2"/>
    <w:rsid w:val="007C1887"/>
    <w:rsid w:val="007C18F2"/>
    <w:rsid w:val="007C56EC"/>
    <w:rsid w:val="007C6DF8"/>
    <w:rsid w:val="007D1880"/>
    <w:rsid w:val="007D2A65"/>
    <w:rsid w:val="007D5DC6"/>
    <w:rsid w:val="007D7EB4"/>
    <w:rsid w:val="007E37A5"/>
    <w:rsid w:val="007E37C1"/>
    <w:rsid w:val="007E6BD4"/>
    <w:rsid w:val="007F18FD"/>
    <w:rsid w:val="007F49D8"/>
    <w:rsid w:val="007F4E96"/>
    <w:rsid w:val="007F66C9"/>
    <w:rsid w:val="008046A5"/>
    <w:rsid w:val="0080546F"/>
    <w:rsid w:val="00805940"/>
    <w:rsid w:val="00810116"/>
    <w:rsid w:val="008134FF"/>
    <w:rsid w:val="00820631"/>
    <w:rsid w:val="00820B7B"/>
    <w:rsid w:val="00821EF0"/>
    <w:rsid w:val="00826CBE"/>
    <w:rsid w:val="00826E9C"/>
    <w:rsid w:val="0083699C"/>
    <w:rsid w:val="00837121"/>
    <w:rsid w:val="00845637"/>
    <w:rsid w:val="008471E5"/>
    <w:rsid w:val="00847BDA"/>
    <w:rsid w:val="00850C35"/>
    <w:rsid w:val="00853E92"/>
    <w:rsid w:val="00855A59"/>
    <w:rsid w:val="00856F07"/>
    <w:rsid w:val="00863E43"/>
    <w:rsid w:val="008647C3"/>
    <w:rsid w:val="00870987"/>
    <w:rsid w:val="0087564A"/>
    <w:rsid w:val="00875F84"/>
    <w:rsid w:val="00881160"/>
    <w:rsid w:val="008820C2"/>
    <w:rsid w:val="0088371C"/>
    <w:rsid w:val="00887B96"/>
    <w:rsid w:val="00893E49"/>
    <w:rsid w:val="00894621"/>
    <w:rsid w:val="008A45F3"/>
    <w:rsid w:val="008B1D51"/>
    <w:rsid w:val="008B2402"/>
    <w:rsid w:val="008B51D9"/>
    <w:rsid w:val="008B5769"/>
    <w:rsid w:val="008B652E"/>
    <w:rsid w:val="008B7D0A"/>
    <w:rsid w:val="008C0215"/>
    <w:rsid w:val="008C0596"/>
    <w:rsid w:val="008D1755"/>
    <w:rsid w:val="008D24A3"/>
    <w:rsid w:val="008E0D6B"/>
    <w:rsid w:val="008E31CE"/>
    <w:rsid w:val="008F1DC6"/>
    <w:rsid w:val="008F3B7A"/>
    <w:rsid w:val="00903735"/>
    <w:rsid w:val="00903BBE"/>
    <w:rsid w:val="00905C5B"/>
    <w:rsid w:val="0091060E"/>
    <w:rsid w:val="00914F82"/>
    <w:rsid w:val="0091534C"/>
    <w:rsid w:val="0092289D"/>
    <w:rsid w:val="00923295"/>
    <w:rsid w:val="0092337F"/>
    <w:rsid w:val="00923883"/>
    <w:rsid w:val="0092760F"/>
    <w:rsid w:val="00935265"/>
    <w:rsid w:val="0094069C"/>
    <w:rsid w:val="00940B7D"/>
    <w:rsid w:val="0094243E"/>
    <w:rsid w:val="0094689F"/>
    <w:rsid w:val="009477D6"/>
    <w:rsid w:val="009520F2"/>
    <w:rsid w:val="0095290F"/>
    <w:rsid w:val="00953ED3"/>
    <w:rsid w:val="00956EA7"/>
    <w:rsid w:val="00961975"/>
    <w:rsid w:val="00965C1C"/>
    <w:rsid w:val="00965FF6"/>
    <w:rsid w:val="0097547F"/>
    <w:rsid w:val="00975834"/>
    <w:rsid w:val="009772A7"/>
    <w:rsid w:val="009846D6"/>
    <w:rsid w:val="00984CF6"/>
    <w:rsid w:val="0098657F"/>
    <w:rsid w:val="00995BBB"/>
    <w:rsid w:val="009A3236"/>
    <w:rsid w:val="009B3BF0"/>
    <w:rsid w:val="009B5A93"/>
    <w:rsid w:val="009B5BEA"/>
    <w:rsid w:val="009C0708"/>
    <w:rsid w:val="009C3427"/>
    <w:rsid w:val="009C5CC2"/>
    <w:rsid w:val="009C74EC"/>
    <w:rsid w:val="009D49FC"/>
    <w:rsid w:val="009E1B30"/>
    <w:rsid w:val="009E37BD"/>
    <w:rsid w:val="009E6B86"/>
    <w:rsid w:val="009E77C9"/>
    <w:rsid w:val="009F0AF7"/>
    <w:rsid w:val="009F27C3"/>
    <w:rsid w:val="009F4415"/>
    <w:rsid w:val="00A00B5E"/>
    <w:rsid w:val="00A0360E"/>
    <w:rsid w:val="00A03FA1"/>
    <w:rsid w:val="00A12762"/>
    <w:rsid w:val="00A13867"/>
    <w:rsid w:val="00A1780A"/>
    <w:rsid w:val="00A2163F"/>
    <w:rsid w:val="00A25926"/>
    <w:rsid w:val="00A262EE"/>
    <w:rsid w:val="00A3466F"/>
    <w:rsid w:val="00A4059B"/>
    <w:rsid w:val="00A41C62"/>
    <w:rsid w:val="00A421D4"/>
    <w:rsid w:val="00A43BF4"/>
    <w:rsid w:val="00A44FF0"/>
    <w:rsid w:val="00A45ED2"/>
    <w:rsid w:val="00A50E55"/>
    <w:rsid w:val="00A56AE9"/>
    <w:rsid w:val="00A576D4"/>
    <w:rsid w:val="00A60AC2"/>
    <w:rsid w:val="00A6220A"/>
    <w:rsid w:val="00A75462"/>
    <w:rsid w:val="00A83444"/>
    <w:rsid w:val="00A835E3"/>
    <w:rsid w:val="00A91A47"/>
    <w:rsid w:val="00A941E3"/>
    <w:rsid w:val="00A95D2B"/>
    <w:rsid w:val="00AA4DC7"/>
    <w:rsid w:val="00AA5587"/>
    <w:rsid w:val="00AA6048"/>
    <w:rsid w:val="00AB6C22"/>
    <w:rsid w:val="00AB790A"/>
    <w:rsid w:val="00AC0C3A"/>
    <w:rsid w:val="00AC1F7C"/>
    <w:rsid w:val="00AC5C23"/>
    <w:rsid w:val="00AD6DF7"/>
    <w:rsid w:val="00AD79C8"/>
    <w:rsid w:val="00AE140B"/>
    <w:rsid w:val="00AE2AAE"/>
    <w:rsid w:val="00AE3974"/>
    <w:rsid w:val="00AE50BA"/>
    <w:rsid w:val="00AE5583"/>
    <w:rsid w:val="00AE5D74"/>
    <w:rsid w:val="00AE6CE0"/>
    <w:rsid w:val="00AF09CC"/>
    <w:rsid w:val="00AF26BA"/>
    <w:rsid w:val="00AF4B71"/>
    <w:rsid w:val="00AF5661"/>
    <w:rsid w:val="00AF72A0"/>
    <w:rsid w:val="00B058A6"/>
    <w:rsid w:val="00B07852"/>
    <w:rsid w:val="00B117D0"/>
    <w:rsid w:val="00B13998"/>
    <w:rsid w:val="00B13B6C"/>
    <w:rsid w:val="00B14A82"/>
    <w:rsid w:val="00B15F0F"/>
    <w:rsid w:val="00B23426"/>
    <w:rsid w:val="00B32455"/>
    <w:rsid w:val="00B348E4"/>
    <w:rsid w:val="00B36C6D"/>
    <w:rsid w:val="00B439DD"/>
    <w:rsid w:val="00B45A08"/>
    <w:rsid w:val="00B52E0F"/>
    <w:rsid w:val="00B62BB4"/>
    <w:rsid w:val="00B676BE"/>
    <w:rsid w:val="00B677E0"/>
    <w:rsid w:val="00B67E5B"/>
    <w:rsid w:val="00B71F90"/>
    <w:rsid w:val="00B73C34"/>
    <w:rsid w:val="00B74629"/>
    <w:rsid w:val="00B800DA"/>
    <w:rsid w:val="00B83272"/>
    <w:rsid w:val="00B8615A"/>
    <w:rsid w:val="00B91F58"/>
    <w:rsid w:val="00B91FC9"/>
    <w:rsid w:val="00BA5204"/>
    <w:rsid w:val="00BA579E"/>
    <w:rsid w:val="00BA637E"/>
    <w:rsid w:val="00BA7665"/>
    <w:rsid w:val="00BB213B"/>
    <w:rsid w:val="00BD0A2F"/>
    <w:rsid w:val="00BD4A8B"/>
    <w:rsid w:val="00BD7F63"/>
    <w:rsid w:val="00BE1D05"/>
    <w:rsid w:val="00BE2295"/>
    <w:rsid w:val="00BE6373"/>
    <w:rsid w:val="00BF39B5"/>
    <w:rsid w:val="00BF533A"/>
    <w:rsid w:val="00C01B8E"/>
    <w:rsid w:val="00C01C89"/>
    <w:rsid w:val="00C05329"/>
    <w:rsid w:val="00C26324"/>
    <w:rsid w:val="00C26AD2"/>
    <w:rsid w:val="00C26EAB"/>
    <w:rsid w:val="00C3077E"/>
    <w:rsid w:val="00C3173D"/>
    <w:rsid w:val="00C33AD8"/>
    <w:rsid w:val="00C37D36"/>
    <w:rsid w:val="00C40E50"/>
    <w:rsid w:val="00C44E02"/>
    <w:rsid w:val="00C46677"/>
    <w:rsid w:val="00C5180E"/>
    <w:rsid w:val="00C54B60"/>
    <w:rsid w:val="00C54E40"/>
    <w:rsid w:val="00C55F56"/>
    <w:rsid w:val="00C57BA4"/>
    <w:rsid w:val="00C62B79"/>
    <w:rsid w:val="00C65FF6"/>
    <w:rsid w:val="00C661AF"/>
    <w:rsid w:val="00C755B2"/>
    <w:rsid w:val="00C84623"/>
    <w:rsid w:val="00CA2074"/>
    <w:rsid w:val="00CA2D8E"/>
    <w:rsid w:val="00CB06C9"/>
    <w:rsid w:val="00CB271C"/>
    <w:rsid w:val="00CB6C1E"/>
    <w:rsid w:val="00CC001F"/>
    <w:rsid w:val="00CC19A5"/>
    <w:rsid w:val="00CC2243"/>
    <w:rsid w:val="00CC261A"/>
    <w:rsid w:val="00CC38B5"/>
    <w:rsid w:val="00CC4088"/>
    <w:rsid w:val="00CC7C02"/>
    <w:rsid w:val="00CD036C"/>
    <w:rsid w:val="00CD7ADC"/>
    <w:rsid w:val="00CE1A26"/>
    <w:rsid w:val="00CE3582"/>
    <w:rsid w:val="00CE4D40"/>
    <w:rsid w:val="00CE4F96"/>
    <w:rsid w:val="00CF0AB1"/>
    <w:rsid w:val="00CF1DD9"/>
    <w:rsid w:val="00CF3D28"/>
    <w:rsid w:val="00CF4B9B"/>
    <w:rsid w:val="00CF55E6"/>
    <w:rsid w:val="00CF6C4F"/>
    <w:rsid w:val="00CF772F"/>
    <w:rsid w:val="00D048DB"/>
    <w:rsid w:val="00D049AE"/>
    <w:rsid w:val="00D06320"/>
    <w:rsid w:val="00D10BBF"/>
    <w:rsid w:val="00D14F0B"/>
    <w:rsid w:val="00D172A9"/>
    <w:rsid w:val="00D178CA"/>
    <w:rsid w:val="00D21AEB"/>
    <w:rsid w:val="00D30F4A"/>
    <w:rsid w:val="00D3311C"/>
    <w:rsid w:val="00D34151"/>
    <w:rsid w:val="00D357D0"/>
    <w:rsid w:val="00D410CC"/>
    <w:rsid w:val="00D51BAC"/>
    <w:rsid w:val="00D53405"/>
    <w:rsid w:val="00D5457B"/>
    <w:rsid w:val="00D546AB"/>
    <w:rsid w:val="00D5539E"/>
    <w:rsid w:val="00D55BEC"/>
    <w:rsid w:val="00D57580"/>
    <w:rsid w:val="00D6787E"/>
    <w:rsid w:val="00D71585"/>
    <w:rsid w:val="00D72995"/>
    <w:rsid w:val="00D8448C"/>
    <w:rsid w:val="00D84BFE"/>
    <w:rsid w:val="00D84F3D"/>
    <w:rsid w:val="00D91037"/>
    <w:rsid w:val="00D96A6A"/>
    <w:rsid w:val="00DA7FA2"/>
    <w:rsid w:val="00DB1166"/>
    <w:rsid w:val="00DB13EF"/>
    <w:rsid w:val="00DC0787"/>
    <w:rsid w:val="00DC2D8D"/>
    <w:rsid w:val="00DD3908"/>
    <w:rsid w:val="00DE0AC6"/>
    <w:rsid w:val="00DE3E79"/>
    <w:rsid w:val="00DE50D8"/>
    <w:rsid w:val="00DF1FCB"/>
    <w:rsid w:val="00DF278A"/>
    <w:rsid w:val="00DF2BF9"/>
    <w:rsid w:val="00DF3770"/>
    <w:rsid w:val="00DF76BB"/>
    <w:rsid w:val="00E06942"/>
    <w:rsid w:val="00E104C8"/>
    <w:rsid w:val="00E10A6E"/>
    <w:rsid w:val="00E10AF8"/>
    <w:rsid w:val="00E16633"/>
    <w:rsid w:val="00E1664B"/>
    <w:rsid w:val="00E30D12"/>
    <w:rsid w:val="00E35241"/>
    <w:rsid w:val="00E41417"/>
    <w:rsid w:val="00E43F51"/>
    <w:rsid w:val="00E47D45"/>
    <w:rsid w:val="00E5029A"/>
    <w:rsid w:val="00E5206F"/>
    <w:rsid w:val="00E55F2B"/>
    <w:rsid w:val="00E566AA"/>
    <w:rsid w:val="00E57BE2"/>
    <w:rsid w:val="00E62A95"/>
    <w:rsid w:val="00E63C3C"/>
    <w:rsid w:val="00E64C6A"/>
    <w:rsid w:val="00E746A2"/>
    <w:rsid w:val="00E77C15"/>
    <w:rsid w:val="00E81166"/>
    <w:rsid w:val="00E861C7"/>
    <w:rsid w:val="00E86ED1"/>
    <w:rsid w:val="00E90D06"/>
    <w:rsid w:val="00E94391"/>
    <w:rsid w:val="00E97E59"/>
    <w:rsid w:val="00EA3288"/>
    <w:rsid w:val="00EA39B0"/>
    <w:rsid w:val="00EA6207"/>
    <w:rsid w:val="00EA79C9"/>
    <w:rsid w:val="00EB1990"/>
    <w:rsid w:val="00EB21C6"/>
    <w:rsid w:val="00EB66AC"/>
    <w:rsid w:val="00EC6381"/>
    <w:rsid w:val="00ED1A5B"/>
    <w:rsid w:val="00EE1F87"/>
    <w:rsid w:val="00EE3931"/>
    <w:rsid w:val="00EE54EA"/>
    <w:rsid w:val="00EE5AF6"/>
    <w:rsid w:val="00EF2CEF"/>
    <w:rsid w:val="00F0099D"/>
    <w:rsid w:val="00F02B85"/>
    <w:rsid w:val="00F03E4E"/>
    <w:rsid w:val="00F0435F"/>
    <w:rsid w:val="00F14133"/>
    <w:rsid w:val="00F1427A"/>
    <w:rsid w:val="00F14DDB"/>
    <w:rsid w:val="00F15DE1"/>
    <w:rsid w:val="00F16121"/>
    <w:rsid w:val="00F24089"/>
    <w:rsid w:val="00F2426A"/>
    <w:rsid w:val="00F24430"/>
    <w:rsid w:val="00F25804"/>
    <w:rsid w:val="00F307E9"/>
    <w:rsid w:val="00F3145B"/>
    <w:rsid w:val="00F320A7"/>
    <w:rsid w:val="00F37DA7"/>
    <w:rsid w:val="00F40A05"/>
    <w:rsid w:val="00F41840"/>
    <w:rsid w:val="00F42D3B"/>
    <w:rsid w:val="00F42F98"/>
    <w:rsid w:val="00F431D8"/>
    <w:rsid w:val="00F50C04"/>
    <w:rsid w:val="00F5653E"/>
    <w:rsid w:val="00F57036"/>
    <w:rsid w:val="00F57572"/>
    <w:rsid w:val="00F66353"/>
    <w:rsid w:val="00F67706"/>
    <w:rsid w:val="00F83B81"/>
    <w:rsid w:val="00F8432D"/>
    <w:rsid w:val="00F92D75"/>
    <w:rsid w:val="00F9468A"/>
    <w:rsid w:val="00F97327"/>
    <w:rsid w:val="00FA296F"/>
    <w:rsid w:val="00FA4D9C"/>
    <w:rsid w:val="00FA7323"/>
    <w:rsid w:val="00FA7DEE"/>
    <w:rsid w:val="00FB046C"/>
    <w:rsid w:val="00FB05DA"/>
    <w:rsid w:val="00FB4290"/>
    <w:rsid w:val="00FB7435"/>
    <w:rsid w:val="00FC23E5"/>
    <w:rsid w:val="00FC32D3"/>
    <w:rsid w:val="00FD031C"/>
    <w:rsid w:val="00FD4D82"/>
    <w:rsid w:val="00FD5C49"/>
    <w:rsid w:val="00FE51C2"/>
    <w:rsid w:val="00FE57AE"/>
    <w:rsid w:val="00FF3460"/>
    <w:rsid w:val="00FF6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5D44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styleId="FootnoteReference">
    <w:name w:val="footnote reference"/>
    <w:basedOn w:val="DefaultParagraphFont"/>
    <w:uiPriority w:val="99"/>
    <w:semiHidden/>
    <w:unhideWhenUsed/>
    <w:rsid w:val="0037418B"/>
    <w:rPr>
      <w:vertAlign w:val="superscript"/>
    </w:rPr>
  </w:style>
  <w:style w:type="character" w:customStyle="1" w:styleId="A2">
    <w:name w:val="A2"/>
    <w:uiPriority w:val="99"/>
    <w:rsid w:val="009F27C3"/>
    <w:rPr>
      <w:b/>
      <w:b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styleId="FootnoteReference">
    <w:name w:val="footnote reference"/>
    <w:basedOn w:val="DefaultParagraphFont"/>
    <w:uiPriority w:val="99"/>
    <w:semiHidden/>
    <w:unhideWhenUsed/>
    <w:rsid w:val="0037418B"/>
    <w:rPr>
      <w:vertAlign w:val="superscript"/>
    </w:rPr>
  </w:style>
  <w:style w:type="character" w:customStyle="1" w:styleId="A2">
    <w:name w:val="A2"/>
    <w:uiPriority w:val="99"/>
    <w:rsid w:val="009F27C3"/>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507669">
      <w:bodyDiv w:val="1"/>
      <w:marLeft w:val="0"/>
      <w:marRight w:val="0"/>
      <w:marTop w:val="0"/>
      <w:marBottom w:val="0"/>
      <w:divBdr>
        <w:top w:val="none" w:sz="0" w:space="0" w:color="auto"/>
        <w:left w:val="none" w:sz="0" w:space="0" w:color="auto"/>
        <w:bottom w:val="none" w:sz="0" w:space="0" w:color="auto"/>
        <w:right w:val="none" w:sz="0" w:space="0" w:color="auto"/>
      </w:divBdr>
    </w:div>
    <w:div w:id="198334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care.diabetesjournals.org/content/36/Supplement_1/S11.full"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jcem.endojournals.org/content/97/1/16.fu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annals.org/article.aspx?articleid=74681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0C585E22" w14:textId="77777777"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0C585E23" w14:textId="77777777"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0C585E24" w14:textId="77777777"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TTE59F42C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FC30A1"/>
    <w:rsid w:val="00160241"/>
    <w:rsid w:val="00183FAF"/>
    <w:rsid w:val="002B5E89"/>
    <w:rsid w:val="003160C2"/>
    <w:rsid w:val="0038500D"/>
    <w:rsid w:val="003A1E4B"/>
    <w:rsid w:val="00427F32"/>
    <w:rsid w:val="00455EB5"/>
    <w:rsid w:val="00461C1C"/>
    <w:rsid w:val="00491B2F"/>
    <w:rsid w:val="00493784"/>
    <w:rsid w:val="004E2027"/>
    <w:rsid w:val="00550A4D"/>
    <w:rsid w:val="00646FE9"/>
    <w:rsid w:val="006C089A"/>
    <w:rsid w:val="006F1B1B"/>
    <w:rsid w:val="00734F3E"/>
    <w:rsid w:val="00753832"/>
    <w:rsid w:val="0080799D"/>
    <w:rsid w:val="008D51AB"/>
    <w:rsid w:val="008F6A9B"/>
    <w:rsid w:val="00916C4E"/>
    <w:rsid w:val="00A67BDD"/>
    <w:rsid w:val="00B42BDA"/>
    <w:rsid w:val="00BB2290"/>
    <w:rsid w:val="00BE23BE"/>
    <w:rsid w:val="00C03643"/>
    <w:rsid w:val="00C2797F"/>
    <w:rsid w:val="00C80225"/>
    <w:rsid w:val="00CE0C0C"/>
    <w:rsid w:val="00D13358"/>
    <w:rsid w:val="00D21DDD"/>
    <w:rsid w:val="00D228C9"/>
    <w:rsid w:val="00D638FC"/>
    <w:rsid w:val="00DB5324"/>
    <w:rsid w:val="00DE2FAF"/>
    <w:rsid w:val="00DE7E99"/>
    <w:rsid w:val="00DF1FF9"/>
    <w:rsid w:val="00E223E1"/>
    <w:rsid w:val="00E97654"/>
    <w:rsid w:val="00EA1ECF"/>
    <w:rsid w:val="00EA555A"/>
    <w:rsid w:val="00EE0CA5"/>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585E2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23E1"/>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E177594B8F034501B46269465C391564">
    <w:name w:val="E177594B8F034501B46269465C391564"/>
    <w:rsid w:val="00646FE9"/>
  </w:style>
  <w:style w:type="paragraph" w:customStyle="1" w:styleId="DFDABDF098F646B2920C4A8158E7783B">
    <w:name w:val="DFDABDF098F646B2920C4A8158E7783B"/>
    <w:rsid w:val="00E223E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E2DC7-4C3B-4D8A-9008-F1A7E19B66F1}">
  <ds:schemaRefs>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purl.org/dc/dcmitype/"/>
    <ds:schemaRef ds:uri="http://www.w3.org/XML/1998/namespac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F7B7E59D-0417-4892-99E5-6195197AD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BBBEB6D-3038-49C8-94F0-06F640275399}">
  <ds:schemaRefs>
    <ds:schemaRef ds:uri="http://schemas.microsoft.com/sharepoint/v3/contenttype/forms"/>
  </ds:schemaRefs>
</ds:datastoreItem>
</file>

<file path=customXml/itemProps4.xml><?xml version="1.0" encoding="utf-8"?>
<ds:datastoreItem xmlns:ds="http://schemas.openxmlformats.org/officeDocument/2006/customXml" ds:itemID="{24937CE8-60E2-40B4-BAE5-2E4F90D97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13</Pages>
  <Words>7115</Words>
  <Characters>40556</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Kyle Campbell</cp:lastModifiedBy>
  <cp:revision>38</cp:revision>
  <cp:lastPrinted>2013-11-08T20:49:00Z</cp:lastPrinted>
  <dcterms:created xsi:type="dcterms:W3CDTF">2013-11-04T12:55:00Z</dcterms:created>
  <dcterms:modified xsi:type="dcterms:W3CDTF">2013-12-05T16:56:00Z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