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4DDBAF4E" w:rsidR="00927027" w:rsidRDefault="39EF6864" w:rsidP="39EF6864">
      <w:pPr>
        <w:contextualSpacing/>
        <w:jc w:val="center"/>
        <w:rPr>
          <w:b/>
          <w:bCs/>
          <w:noProof/>
        </w:rPr>
      </w:pPr>
      <w:bookmarkStart w:id="0" w:name="_GoBack"/>
      <w:bookmarkEnd w:id="0"/>
      <w:r w:rsidRPr="39EF6864">
        <w:rPr>
          <w:b/>
          <w:bCs/>
          <w:smallCaps/>
          <w:noProof/>
          <w:sz w:val="24"/>
          <w:szCs w:val="24"/>
        </w:rPr>
        <w:t>National Quality Forum</w:t>
      </w:r>
      <w:r w:rsidRPr="39EF6864">
        <w:rPr>
          <w:b/>
          <w:bCs/>
          <w:noProof/>
          <w:sz w:val="24"/>
          <w:szCs w:val="24"/>
        </w:rPr>
        <w:t>—</w:t>
      </w:r>
      <w:r w:rsidRPr="39EF6864">
        <w:rPr>
          <w:b/>
          <w:bCs/>
          <w:noProof/>
        </w:rPr>
        <w:t>Measure Testing (subcriteria 2a2, 2b1-2b6)</w:t>
      </w:r>
    </w:p>
    <w:p w14:paraId="0CABCF54" w14:textId="77777777" w:rsidR="00797624" w:rsidRDefault="00797624" w:rsidP="00105D8B">
      <w:pPr>
        <w:contextualSpacing/>
        <w:rPr>
          <w:rFonts w:cstheme="minorHAnsi"/>
          <w:b/>
          <w:noProof/>
        </w:rPr>
      </w:pPr>
    </w:p>
    <w:p w14:paraId="0CABCF55" w14:textId="033B036B"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1111FB"/>
          </w:rPr>
          <w:id w:val="1103681744"/>
          <w:placeholder>
            <w:docPart w:val="D06AB11FD608490E9B47857CE12EB3BD"/>
          </w:placeholder>
        </w:sdtPr>
        <w:sdtEndPr>
          <w:rPr>
            <w:rStyle w:val="DefaultParagraphFont"/>
            <w:rFonts w:cstheme="minorHAnsi"/>
            <w:b/>
            <w:noProof/>
          </w:rPr>
        </w:sdtEndPr>
        <w:sdtContent>
          <w:r w:rsidR="00377E1B" w:rsidRPr="00444C74">
            <w:rPr>
              <w:rStyle w:val="Style1"/>
              <w:color w:val="1111FB"/>
            </w:rPr>
            <w:t>0575</w:t>
          </w:r>
        </w:sdtContent>
      </w:sdt>
    </w:p>
    <w:p w14:paraId="0CABCF56" w14:textId="39650B6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color w:val="1111FB"/>
          </w:rPr>
          <w:id w:val="-882640736"/>
          <w:placeholder>
            <w:docPart w:val="00949831315D4E1BAFC508BD77E32A40"/>
          </w:placeholder>
        </w:sdtPr>
        <w:sdtEndPr>
          <w:rPr>
            <w:rStyle w:val="DefaultParagraphFont"/>
            <w:noProof/>
          </w:rPr>
        </w:sdtEndPr>
        <w:sdtContent>
          <w:r w:rsidR="00377E1B" w:rsidRPr="00444C74">
            <w:rPr>
              <w:rStyle w:val="Style1"/>
              <w:rFonts w:cstheme="minorHAnsi"/>
              <w:color w:val="1111FB"/>
            </w:rPr>
            <w:t xml:space="preserve">Comprehensive Diabetes Care: HbA1c Control </w:t>
          </w:r>
          <w:r w:rsidR="002949F9" w:rsidRPr="00444C74">
            <w:rPr>
              <w:rStyle w:val="Style1"/>
              <w:rFonts w:cstheme="minorHAnsi"/>
              <w:color w:val="1111FB"/>
            </w:rPr>
            <w:t>(</w:t>
          </w:r>
          <w:r w:rsidR="00377E1B" w:rsidRPr="00444C74">
            <w:rPr>
              <w:rStyle w:val="Style1"/>
              <w:rFonts w:cstheme="minorHAnsi"/>
              <w:color w:val="1111FB"/>
            </w:rPr>
            <w:t>&lt;8.0%</w:t>
          </w:r>
          <w:r w:rsidR="002949F9" w:rsidRPr="00444C74">
            <w:rPr>
              <w:rStyle w:val="Style1"/>
              <w:rFonts w:cstheme="minorHAnsi"/>
              <w:color w:val="1111FB"/>
            </w:rPr>
            <w:t>)</w:t>
          </w:r>
        </w:sdtContent>
      </w:sdt>
    </w:p>
    <w:p w14:paraId="0CABCF57" w14:textId="55FCE16C" w:rsidR="005C73CA" w:rsidRPr="00450C58" w:rsidRDefault="00105D8B" w:rsidP="009E1846">
      <w:pPr>
        <w:spacing w:after="0"/>
        <w:rPr>
          <w:rStyle w:val="Style2"/>
          <w:rFonts w:cstheme="minorHAnsi"/>
        </w:rPr>
      </w:pPr>
      <w:r w:rsidRPr="00450C58">
        <w:rPr>
          <w:rFonts w:cstheme="minorHAnsi"/>
          <w:b/>
          <w:noProof/>
        </w:rPr>
        <w:t>Date of Submission</w:t>
      </w:r>
      <w:r w:rsidRPr="00444C74">
        <w:rPr>
          <w:rFonts w:cstheme="minorHAnsi"/>
          <w:noProof/>
          <w:color w:val="1111FB"/>
        </w:rPr>
        <w:t xml:space="preserve">:  </w:t>
      </w:r>
      <w:sdt>
        <w:sdtPr>
          <w:rPr>
            <w:rStyle w:val="Style2"/>
            <w:rFonts w:cstheme="minorHAnsi"/>
            <w:color w:val="1111FB"/>
          </w:rPr>
          <w:id w:val="-1689821638"/>
          <w:placeholder>
            <w:docPart w:val="D0A5AE3409394D21BA5FA5F27780E302"/>
          </w:placeholder>
          <w:date w:fullDate="2019-08-01T00:00:00Z">
            <w:dateFormat w:val="M/d/yyyy"/>
            <w:lid w:val="en-US"/>
            <w:storeMappedDataAs w:val="dateTime"/>
            <w:calendar w:val="gregorian"/>
          </w:date>
        </w:sdtPr>
        <w:sdtEndPr>
          <w:rPr>
            <w:rStyle w:val="DefaultParagraphFont"/>
            <w:noProof/>
            <w:u w:val="none"/>
          </w:rPr>
        </w:sdtEndPr>
        <w:sdtContent>
          <w:r w:rsidR="001E5863">
            <w:rPr>
              <w:rStyle w:val="Style2"/>
              <w:rFonts w:cstheme="minorHAnsi"/>
              <w:color w:val="1111FB"/>
            </w:rPr>
            <w:t>8/1/2019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35181D"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35181D"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CC6370C" w:rsidR="000B7D57" w:rsidRPr="00C775CE" w:rsidRDefault="0035181D"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E47F21">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35181D"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35181D"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35181D"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35181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1EC57D6" w:rsidR="00A01494" w:rsidRPr="00A01494" w:rsidRDefault="0035181D"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7861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F9761A2" w:rsidR="00A01494" w:rsidRPr="00A01494" w:rsidRDefault="0035181D"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7861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396979C6" w:rsidR="00A01494" w:rsidRPr="000F1B7A" w:rsidRDefault="0035181D"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D5FA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01C7B185" w:rsidR="00A01494" w:rsidRPr="000F1B7A" w:rsidRDefault="0035181D"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D5FA6">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35181D"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35181D"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C49051D" w:rsidR="00A01494" w:rsidRPr="000F1B7A" w:rsidRDefault="0035181D"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78619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069E4D9F" w:rsidR="00A01494" w:rsidRPr="000F1B7A" w:rsidRDefault="0035181D"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78619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35181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35181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35181D"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35181D"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22EC407" w14:textId="77777777" w:rsidR="005F39DD" w:rsidRPr="00444C74" w:rsidRDefault="005F39DD" w:rsidP="005F39DD">
      <w:pPr>
        <w:autoSpaceDE w:val="0"/>
        <w:autoSpaceDN w:val="0"/>
        <w:adjustRightInd w:val="0"/>
        <w:spacing w:after="0" w:line="240" w:lineRule="auto"/>
        <w:rPr>
          <w:rFonts w:cstheme="minorHAnsi"/>
          <w:color w:val="1111FB"/>
        </w:rPr>
      </w:pPr>
      <w:r w:rsidRPr="00444C74">
        <w:rPr>
          <w:rFonts w:cstheme="minorHAnsi"/>
          <w:color w:val="1111FB"/>
        </w:rPr>
        <w:t>N/A</w:t>
      </w:r>
    </w:p>
    <w:p w14:paraId="0ECF24E3" w14:textId="77777777" w:rsidR="005F39DD" w:rsidRDefault="005F39DD"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75FC5665" w14:textId="77777777" w:rsidR="000A7657" w:rsidRPr="002157CF" w:rsidRDefault="000A7657" w:rsidP="000A7657">
      <w:pPr>
        <w:autoSpaceDE w:val="0"/>
        <w:autoSpaceDN w:val="0"/>
        <w:adjustRightInd w:val="0"/>
        <w:spacing w:after="0" w:line="240" w:lineRule="auto"/>
        <w:rPr>
          <w:rFonts w:cstheme="minorHAnsi"/>
          <w:bCs/>
          <w:color w:val="1111FB"/>
        </w:rPr>
      </w:pPr>
      <w:r w:rsidRPr="002157CF">
        <w:rPr>
          <w:rFonts w:cstheme="minorHAnsi"/>
          <w:bCs/>
          <w:color w:val="1111FB"/>
        </w:rPr>
        <w:t xml:space="preserve">Testing of performance measure score with beta binomial reliability and testing of construct validity with </w:t>
      </w:r>
      <w:r w:rsidRPr="001A4091">
        <w:rPr>
          <w:rFonts w:cstheme="minorHAnsi"/>
          <w:bCs/>
          <w:color w:val="1111FB"/>
        </w:rPr>
        <w:t>the Pearson</w:t>
      </w:r>
      <w:r w:rsidRPr="002157CF">
        <w:rPr>
          <w:rFonts w:cstheme="minorHAnsi"/>
          <w:bCs/>
          <w:color w:val="1111FB"/>
        </w:rPr>
        <w:t xml:space="preserve"> Correlation were performed </w:t>
      </w:r>
      <w:r w:rsidRPr="001A4091">
        <w:rPr>
          <w:rFonts w:cstheme="minorHAnsi"/>
          <w:bCs/>
          <w:color w:val="1111FB"/>
        </w:rPr>
        <w:t xml:space="preserve">using HEDIS </w:t>
      </w:r>
      <w:r>
        <w:rPr>
          <w:rFonts w:cstheme="minorHAnsi"/>
          <w:bCs/>
          <w:color w:val="1111FB"/>
        </w:rPr>
        <w:t xml:space="preserve">2019 </w:t>
      </w:r>
      <w:r w:rsidRPr="001A4091">
        <w:rPr>
          <w:rFonts w:cstheme="minorHAnsi"/>
          <w:bCs/>
          <w:color w:val="1111FB"/>
        </w:rPr>
        <w:t>plan level</w:t>
      </w:r>
      <w:r w:rsidRPr="002157CF">
        <w:rPr>
          <w:rFonts w:cstheme="minorHAnsi"/>
          <w:bCs/>
          <w:color w:val="1111FB"/>
        </w:rPr>
        <w:t xml:space="preserve"> data</w:t>
      </w:r>
      <w:r w:rsidRPr="001A4091">
        <w:rPr>
          <w:rFonts w:cstheme="minorHAnsi"/>
          <w:bCs/>
          <w:color w:val="1111FB"/>
        </w:rPr>
        <w:t>,</w:t>
      </w:r>
      <w:r w:rsidRPr="002157CF">
        <w:rPr>
          <w:rFonts w:cstheme="minorHAnsi"/>
          <w:bCs/>
          <w:color w:val="1111FB"/>
        </w:rPr>
        <w:t xml:space="preserve"> measurement year 2018.</w:t>
      </w:r>
    </w:p>
    <w:p w14:paraId="23CD642B" w14:textId="77777777" w:rsidR="00CB53A5" w:rsidRDefault="00CB53A5"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DF8C81A" w:rsidR="000414E8" w:rsidRPr="00A01494" w:rsidRDefault="0035181D"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5A482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2BA9090E" w:rsidR="000414E8" w:rsidRPr="00A01494" w:rsidRDefault="0035181D"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5A4824">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2714A8F" w:rsidR="000414E8" w:rsidRPr="00A01494" w:rsidRDefault="0035181D"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5A4824">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35181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33FA9A7F" w14:textId="77777777" w:rsidR="003A0F67" w:rsidRDefault="003A0F67" w:rsidP="00DB3627">
      <w:pPr>
        <w:autoSpaceDE w:val="0"/>
        <w:autoSpaceDN w:val="0"/>
        <w:adjustRightInd w:val="0"/>
        <w:spacing w:after="0" w:line="240" w:lineRule="auto"/>
        <w:rPr>
          <w:rFonts w:cstheme="minorHAnsi"/>
          <w:b/>
          <w:bCs/>
        </w:rPr>
      </w:pPr>
      <w:r>
        <w:rPr>
          <w:rFonts w:cstheme="minorHAnsi"/>
          <w:b/>
          <w:bCs/>
        </w:rPr>
        <w:br w:type="page"/>
      </w:r>
    </w:p>
    <w:p w14:paraId="0CABCFC7" w14:textId="22CD2B15"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073B250" w14:textId="4FD862DA" w:rsidR="00C34359" w:rsidRDefault="00CC2F82" w:rsidP="00801075">
      <w:pPr>
        <w:autoSpaceDE w:val="0"/>
        <w:autoSpaceDN w:val="0"/>
        <w:adjustRightInd w:val="0"/>
        <w:spacing w:after="0" w:line="240" w:lineRule="auto"/>
        <w:rPr>
          <w:rFonts w:cstheme="minorHAnsi"/>
          <w:bCs/>
          <w:color w:val="1111FB"/>
        </w:rPr>
      </w:pPr>
      <w:r>
        <w:rPr>
          <w:rFonts w:cstheme="minorHAnsi"/>
          <w:bCs/>
          <w:color w:val="1111FB"/>
        </w:rPr>
        <w:t>This measure assess</w:t>
      </w:r>
      <w:r w:rsidR="00001159">
        <w:rPr>
          <w:rFonts w:cstheme="minorHAnsi"/>
          <w:bCs/>
          <w:color w:val="1111FB"/>
        </w:rPr>
        <w:t>es</w:t>
      </w:r>
      <w:r w:rsidR="00B23E42">
        <w:rPr>
          <w:rFonts w:cstheme="minorHAnsi"/>
          <w:bCs/>
          <w:color w:val="1111FB"/>
        </w:rPr>
        <w:t xml:space="preserve"> whether adults enrolled in commercial, Medicare, and Medicaid plans who have diabetes (type 1 and type 2) had </w:t>
      </w:r>
      <w:r w:rsidR="0033684D">
        <w:rPr>
          <w:rFonts w:cstheme="minorHAnsi"/>
          <w:bCs/>
          <w:color w:val="1111FB"/>
        </w:rPr>
        <w:t>their most recent HbA1c level</w:t>
      </w:r>
      <w:r w:rsidR="006D5A78">
        <w:rPr>
          <w:rFonts w:cstheme="minorHAnsi"/>
          <w:bCs/>
          <w:color w:val="1111FB"/>
        </w:rPr>
        <w:t xml:space="preserve"> less than 8.0%. Therefore, testing was done at the health-plan level, which is appropriate for the level of reporting for this measure.</w:t>
      </w:r>
    </w:p>
    <w:p w14:paraId="775C4286" w14:textId="77777777" w:rsidR="00C34359" w:rsidRDefault="00C34359" w:rsidP="00801075">
      <w:pPr>
        <w:autoSpaceDE w:val="0"/>
        <w:autoSpaceDN w:val="0"/>
        <w:adjustRightInd w:val="0"/>
        <w:spacing w:after="0" w:line="240" w:lineRule="auto"/>
        <w:rPr>
          <w:rFonts w:cstheme="minorHAnsi"/>
          <w:bCs/>
          <w:color w:val="1111FB"/>
        </w:rPr>
      </w:pPr>
    </w:p>
    <w:p w14:paraId="618A3024" w14:textId="6A0E44D6" w:rsidR="00801075" w:rsidRPr="00C34359" w:rsidRDefault="00801075" w:rsidP="00801075">
      <w:pPr>
        <w:autoSpaceDE w:val="0"/>
        <w:autoSpaceDN w:val="0"/>
        <w:adjustRightInd w:val="0"/>
        <w:spacing w:after="0" w:line="240" w:lineRule="auto"/>
        <w:rPr>
          <w:rFonts w:cstheme="minorHAnsi"/>
          <w:bCs/>
          <w:color w:val="1111FB"/>
        </w:rPr>
      </w:pPr>
      <w:r w:rsidRPr="00C34359">
        <w:rPr>
          <w:rFonts w:cstheme="minorHAnsi"/>
          <w:bCs/>
          <w:color w:val="1111FB"/>
        </w:rPr>
        <w:t xml:space="preserve">We calculated the measure score reliability and construct validity from HEDIS data that included </w:t>
      </w:r>
      <w:r w:rsidR="00DD455C" w:rsidRPr="00C34359">
        <w:rPr>
          <w:rFonts w:cstheme="minorHAnsi"/>
          <w:bCs/>
          <w:color w:val="1111FB"/>
        </w:rPr>
        <w:t>401</w:t>
      </w:r>
      <w:r w:rsidRPr="00C34359">
        <w:rPr>
          <w:rFonts w:cstheme="minorHAnsi"/>
          <w:bCs/>
          <w:color w:val="1111FB"/>
        </w:rPr>
        <w:t xml:space="preserve"> commercial health plans, 47</w:t>
      </w:r>
      <w:r w:rsidR="00597EAB" w:rsidRPr="00C34359">
        <w:rPr>
          <w:rFonts w:cstheme="minorHAnsi"/>
          <w:bCs/>
          <w:color w:val="1111FB"/>
        </w:rPr>
        <w:t>7</w:t>
      </w:r>
      <w:r w:rsidRPr="00C34359">
        <w:rPr>
          <w:rFonts w:cstheme="minorHAnsi"/>
          <w:bCs/>
          <w:color w:val="1111FB"/>
        </w:rPr>
        <w:t xml:space="preserve"> Medicare health plans, and 2</w:t>
      </w:r>
      <w:r w:rsidR="00597EAB" w:rsidRPr="00C34359">
        <w:rPr>
          <w:rFonts w:cstheme="minorHAnsi"/>
          <w:bCs/>
          <w:color w:val="1111FB"/>
        </w:rPr>
        <w:t>50</w:t>
      </w:r>
      <w:r w:rsidRPr="00C34359">
        <w:rPr>
          <w:rFonts w:cstheme="minorHAnsi"/>
          <w:bCs/>
          <w:color w:val="1111FB"/>
        </w:rPr>
        <w:t xml:space="preserve"> Medicaid health plans. The sample included all commercial, Medicare, and Medicaid health plans submitting data to NCQA for HEDIS. The plans were geographically diverse and varied in size.</w:t>
      </w:r>
    </w:p>
    <w:p w14:paraId="4697FF3C" w14:textId="77777777" w:rsidR="00801075" w:rsidRPr="00A25024" w:rsidRDefault="00801075" w:rsidP="00DB3627">
      <w:pPr>
        <w:autoSpaceDE w:val="0"/>
        <w:autoSpaceDN w:val="0"/>
        <w:adjustRightInd w:val="0"/>
        <w:spacing w:after="0" w:line="240" w:lineRule="auto"/>
        <w:rPr>
          <w:rFonts w:cstheme="minorHAnsi"/>
          <w:bCs/>
        </w:rPr>
      </w:pPr>
    </w:p>
    <w:p w14:paraId="7CB4393D" w14:textId="7E42BBEC" w:rsidR="00E5159E" w:rsidRPr="00053F4C" w:rsidRDefault="001630D5" w:rsidP="00E5159E">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6. How many and which </w:t>
      </w:r>
      <w:r w:rsidRPr="00A25024">
        <w:rPr>
          <w:rFonts w:cstheme="minorHAnsi"/>
          <w:b/>
          <w:bCs/>
          <w:u w:val="single"/>
        </w:rPr>
        <w:t>patients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w:t>
      </w:r>
      <w:r w:rsidR="007422FD" w:rsidRPr="00A25024">
        <w:rPr>
          <w:rFonts w:cstheme="minorHAnsi"/>
          <w:bCs/>
        </w:rPr>
        <w:t xml:space="preserve">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r w:rsidR="007422FD" w:rsidRPr="00A25024">
        <w:rPr>
          <w:rFonts w:cstheme="minorHAnsi"/>
          <w:bCs/>
        </w:rPr>
        <w:br/>
      </w:r>
      <w:r w:rsidR="00697512" w:rsidRPr="00697512">
        <w:rPr>
          <w:rFonts w:cstheme="minorHAnsi"/>
          <w:bCs/>
          <w:color w:val="1111FB"/>
        </w:rPr>
        <w:t>Table 1 below provides a description of the data submitted for 2018, including the median denominator size per plan. Data are summarized at the health plan level and stratified by plan type (i.e. commercial, Medicaid, Medicare). Since data can be collected and reported from two data sources (administrative claims and medical record review), the vast majority of plans use a combination of data from administrative claims data and a sample of 411 of medical records they review to report their performance rates.</w:t>
      </w:r>
    </w:p>
    <w:p w14:paraId="2904D611" w14:textId="77777777" w:rsidR="00E5159E" w:rsidRPr="00850CDA" w:rsidRDefault="00E5159E" w:rsidP="00E5159E">
      <w:pPr>
        <w:autoSpaceDE w:val="0"/>
        <w:autoSpaceDN w:val="0"/>
        <w:adjustRightInd w:val="0"/>
        <w:spacing w:after="0" w:line="240" w:lineRule="auto"/>
        <w:rPr>
          <w:rFonts w:cstheme="minorHAnsi"/>
          <w:bCs/>
          <w:color w:val="1111FB"/>
          <w:u w:val="single"/>
        </w:rPr>
      </w:pPr>
    </w:p>
    <w:p w14:paraId="756473C7" w14:textId="6AD15F28" w:rsidR="00DF30C6" w:rsidRPr="00850CDA" w:rsidRDefault="00DF30C6" w:rsidP="00DF30C6">
      <w:pPr>
        <w:autoSpaceDE w:val="0"/>
        <w:autoSpaceDN w:val="0"/>
        <w:adjustRightInd w:val="0"/>
        <w:spacing w:after="0" w:line="240" w:lineRule="auto"/>
        <w:rPr>
          <w:rFonts w:cstheme="minorHAnsi"/>
          <w:bCs/>
          <w:color w:val="1111FB"/>
        </w:rPr>
      </w:pPr>
      <w:r w:rsidRPr="00850CDA">
        <w:rPr>
          <w:rFonts w:cstheme="minorHAnsi"/>
          <w:bCs/>
          <w:color w:val="1111FB"/>
        </w:rPr>
        <w:t>Table 1. Commercial, Medicaid, and Medicare plans reporting the Comprehensive Diabetes Care: HbA1c Control (&lt;8.0</w:t>
      </w:r>
      <w:r w:rsidR="00DE5A1F" w:rsidRPr="00850CDA">
        <w:rPr>
          <w:rFonts w:cstheme="minorHAnsi"/>
          <w:bCs/>
          <w:color w:val="1111FB"/>
        </w:rPr>
        <w:t>%)</w:t>
      </w:r>
      <w:r w:rsidR="00DD1D3D" w:rsidRPr="00850CDA">
        <w:rPr>
          <w:rFonts w:cstheme="minorHAnsi"/>
          <w:bCs/>
          <w:color w:val="1111FB"/>
        </w:rPr>
        <w:t>, 2018</w:t>
      </w:r>
      <w:r w:rsidR="0080048F">
        <w:rPr>
          <w:rFonts w:cstheme="minorHAnsi"/>
          <w:bCs/>
          <w:color w:val="1111FB"/>
        </w:rPr>
        <w:t>.</w:t>
      </w:r>
    </w:p>
    <w:tbl>
      <w:tblPr>
        <w:tblStyle w:val="TableGrid"/>
        <w:tblW w:w="0" w:type="auto"/>
        <w:tblLook w:val="04A0" w:firstRow="1" w:lastRow="0" w:firstColumn="1" w:lastColumn="0" w:noHBand="0" w:noVBand="1"/>
      </w:tblPr>
      <w:tblGrid>
        <w:gridCol w:w="3155"/>
        <w:gridCol w:w="2987"/>
        <w:gridCol w:w="3123"/>
      </w:tblGrid>
      <w:tr w:rsidR="00850CDA" w:rsidRPr="00850CDA" w14:paraId="0A49ADE0" w14:textId="77777777" w:rsidTr="006F206C">
        <w:trPr>
          <w:trHeight w:val="278"/>
        </w:trPr>
        <w:tc>
          <w:tcPr>
            <w:tcW w:w="3155" w:type="dxa"/>
          </w:tcPr>
          <w:p w14:paraId="0BD76499" w14:textId="77777777" w:rsidR="002A2221" w:rsidRPr="006F206C" w:rsidRDefault="002A2221" w:rsidP="0087434E">
            <w:pPr>
              <w:autoSpaceDE w:val="0"/>
              <w:autoSpaceDN w:val="0"/>
              <w:adjustRightInd w:val="0"/>
              <w:jc w:val="center"/>
              <w:rPr>
                <w:bCs/>
                <w:color w:val="1111FB"/>
              </w:rPr>
            </w:pPr>
            <w:r w:rsidRPr="006F206C">
              <w:rPr>
                <w:bCs/>
                <w:color w:val="1111FB"/>
              </w:rPr>
              <w:t>Product Type</w:t>
            </w:r>
          </w:p>
        </w:tc>
        <w:tc>
          <w:tcPr>
            <w:tcW w:w="2987" w:type="dxa"/>
          </w:tcPr>
          <w:p w14:paraId="613AF9B4" w14:textId="77777777" w:rsidR="002A2221" w:rsidRPr="006F206C" w:rsidRDefault="002A2221" w:rsidP="0087434E">
            <w:pPr>
              <w:autoSpaceDE w:val="0"/>
              <w:autoSpaceDN w:val="0"/>
              <w:adjustRightInd w:val="0"/>
              <w:jc w:val="center"/>
              <w:rPr>
                <w:bCs/>
                <w:color w:val="1111FB"/>
              </w:rPr>
            </w:pPr>
            <w:r w:rsidRPr="006F206C">
              <w:rPr>
                <w:bCs/>
                <w:color w:val="1111FB"/>
              </w:rPr>
              <w:t>Number of Plans</w:t>
            </w:r>
          </w:p>
        </w:tc>
        <w:tc>
          <w:tcPr>
            <w:tcW w:w="3123" w:type="dxa"/>
          </w:tcPr>
          <w:p w14:paraId="2E8A4A1B" w14:textId="6B446957" w:rsidR="002A2221" w:rsidRPr="006F206C" w:rsidRDefault="006F206C" w:rsidP="0087434E">
            <w:pPr>
              <w:autoSpaceDE w:val="0"/>
              <w:autoSpaceDN w:val="0"/>
              <w:adjustRightInd w:val="0"/>
              <w:jc w:val="center"/>
              <w:rPr>
                <w:bCs/>
                <w:color w:val="1111FB"/>
              </w:rPr>
            </w:pPr>
            <w:r>
              <w:rPr>
                <w:bCs/>
                <w:color w:val="1111FB"/>
              </w:rPr>
              <w:t>Median Denominator Size/Plan</w:t>
            </w:r>
          </w:p>
        </w:tc>
      </w:tr>
      <w:tr w:rsidR="00850CDA" w:rsidRPr="00850CDA" w14:paraId="2582B04A" w14:textId="77777777" w:rsidTr="006F206C">
        <w:trPr>
          <w:trHeight w:val="252"/>
        </w:trPr>
        <w:tc>
          <w:tcPr>
            <w:tcW w:w="3155" w:type="dxa"/>
          </w:tcPr>
          <w:p w14:paraId="47A02977" w14:textId="77777777"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Commercial</w:t>
            </w:r>
          </w:p>
        </w:tc>
        <w:tc>
          <w:tcPr>
            <w:tcW w:w="2987" w:type="dxa"/>
          </w:tcPr>
          <w:p w14:paraId="666391D2" w14:textId="458C7B72"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401</w:t>
            </w:r>
          </w:p>
        </w:tc>
        <w:tc>
          <w:tcPr>
            <w:tcW w:w="3123" w:type="dxa"/>
          </w:tcPr>
          <w:p w14:paraId="14DE0C18" w14:textId="5E04E5F3" w:rsidR="008E21B5" w:rsidRPr="00850CDA" w:rsidRDefault="00317DAA" w:rsidP="008E21B5">
            <w:pPr>
              <w:autoSpaceDE w:val="0"/>
              <w:autoSpaceDN w:val="0"/>
              <w:adjustRightInd w:val="0"/>
              <w:jc w:val="center"/>
              <w:rPr>
                <w:rFonts w:cstheme="minorHAnsi"/>
                <w:color w:val="1111FB"/>
              </w:rPr>
            </w:pPr>
            <w:r>
              <w:rPr>
                <w:rFonts w:cstheme="minorHAnsi"/>
                <w:color w:val="1111FB"/>
              </w:rPr>
              <w:t>411</w:t>
            </w:r>
          </w:p>
        </w:tc>
      </w:tr>
      <w:tr w:rsidR="00850CDA" w:rsidRPr="00850CDA" w14:paraId="7191CCDB" w14:textId="77777777" w:rsidTr="006F206C">
        <w:trPr>
          <w:trHeight w:val="238"/>
        </w:trPr>
        <w:tc>
          <w:tcPr>
            <w:tcW w:w="3155" w:type="dxa"/>
          </w:tcPr>
          <w:p w14:paraId="0942944C" w14:textId="4947D81B"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Medicaid</w:t>
            </w:r>
          </w:p>
        </w:tc>
        <w:tc>
          <w:tcPr>
            <w:tcW w:w="2987" w:type="dxa"/>
          </w:tcPr>
          <w:p w14:paraId="5A3FCEF2" w14:textId="7FC23BCE"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250</w:t>
            </w:r>
          </w:p>
        </w:tc>
        <w:tc>
          <w:tcPr>
            <w:tcW w:w="3123" w:type="dxa"/>
          </w:tcPr>
          <w:p w14:paraId="5CF3019D" w14:textId="76CA2575" w:rsidR="008E21B5" w:rsidRPr="00850CDA" w:rsidRDefault="00317DAA" w:rsidP="008E21B5">
            <w:pPr>
              <w:autoSpaceDE w:val="0"/>
              <w:autoSpaceDN w:val="0"/>
              <w:adjustRightInd w:val="0"/>
              <w:jc w:val="center"/>
              <w:rPr>
                <w:rFonts w:cstheme="minorHAnsi"/>
                <w:color w:val="1111FB"/>
              </w:rPr>
            </w:pPr>
            <w:r>
              <w:rPr>
                <w:rFonts w:cstheme="minorHAnsi"/>
                <w:color w:val="1111FB"/>
              </w:rPr>
              <w:t>411</w:t>
            </w:r>
          </w:p>
        </w:tc>
      </w:tr>
      <w:tr w:rsidR="00850CDA" w:rsidRPr="00850CDA" w14:paraId="6CC6995E" w14:textId="77777777" w:rsidTr="006F206C">
        <w:trPr>
          <w:trHeight w:val="238"/>
        </w:trPr>
        <w:tc>
          <w:tcPr>
            <w:tcW w:w="3155" w:type="dxa"/>
          </w:tcPr>
          <w:p w14:paraId="21B1C9DF" w14:textId="77777777"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Medicare</w:t>
            </w:r>
          </w:p>
        </w:tc>
        <w:tc>
          <w:tcPr>
            <w:tcW w:w="2987" w:type="dxa"/>
          </w:tcPr>
          <w:p w14:paraId="3C9A3253" w14:textId="3627D2F7" w:rsidR="008E21B5" w:rsidRPr="00850CDA" w:rsidRDefault="008E21B5" w:rsidP="008E21B5">
            <w:pPr>
              <w:autoSpaceDE w:val="0"/>
              <w:autoSpaceDN w:val="0"/>
              <w:adjustRightInd w:val="0"/>
              <w:jc w:val="center"/>
              <w:rPr>
                <w:rFonts w:cstheme="minorHAnsi"/>
                <w:color w:val="1111FB"/>
              </w:rPr>
            </w:pPr>
            <w:r w:rsidRPr="00850CDA">
              <w:rPr>
                <w:rFonts w:cstheme="minorHAnsi"/>
                <w:color w:val="1111FB"/>
              </w:rPr>
              <w:t>477</w:t>
            </w:r>
          </w:p>
        </w:tc>
        <w:tc>
          <w:tcPr>
            <w:tcW w:w="3123" w:type="dxa"/>
          </w:tcPr>
          <w:p w14:paraId="02896A7B" w14:textId="66E23C3F" w:rsidR="008E21B5" w:rsidRPr="00850CDA" w:rsidRDefault="00317DAA" w:rsidP="008E21B5">
            <w:pPr>
              <w:autoSpaceDE w:val="0"/>
              <w:autoSpaceDN w:val="0"/>
              <w:adjustRightInd w:val="0"/>
              <w:jc w:val="center"/>
              <w:rPr>
                <w:rFonts w:cstheme="minorHAnsi"/>
                <w:color w:val="1111FB"/>
              </w:rPr>
            </w:pPr>
            <w:r>
              <w:rPr>
                <w:rFonts w:cstheme="minorHAnsi"/>
                <w:color w:val="1111FB"/>
              </w:rPr>
              <w:t>411</w:t>
            </w:r>
          </w:p>
        </w:tc>
      </w:tr>
    </w:tbl>
    <w:p w14:paraId="1EB76541" w14:textId="77777777" w:rsidR="00E5159E" w:rsidRDefault="00E5159E"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A1186F0" w14:textId="77777777" w:rsidR="00E82945" w:rsidRPr="00053F4C" w:rsidRDefault="00E82945" w:rsidP="00E82945">
      <w:pPr>
        <w:autoSpaceDE w:val="0"/>
        <w:autoSpaceDN w:val="0"/>
        <w:adjustRightInd w:val="0"/>
        <w:spacing w:after="0" w:line="240" w:lineRule="auto"/>
        <w:rPr>
          <w:rFonts w:cstheme="minorHAnsi"/>
          <w:bCs/>
          <w:color w:val="1111FB"/>
          <w:u w:val="single"/>
        </w:rPr>
      </w:pPr>
      <w:r w:rsidRPr="00053F4C">
        <w:rPr>
          <w:rFonts w:cstheme="minorHAnsi"/>
          <w:bCs/>
          <w:color w:val="1111FB"/>
          <w:u w:val="single"/>
        </w:rPr>
        <w:t>Reliability</w:t>
      </w:r>
      <w:r w:rsidRPr="00053F4C">
        <w:rPr>
          <w:rFonts w:cstheme="minorHAnsi"/>
          <w:bCs/>
          <w:color w:val="1111FB"/>
        </w:rPr>
        <w:t>:</w:t>
      </w:r>
    </w:p>
    <w:p w14:paraId="4D7283E5" w14:textId="77777777" w:rsidR="00E82945" w:rsidRPr="00053F4C" w:rsidRDefault="00E82945" w:rsidP="00E82945">
      <w:pPr>
        <w:autoSpaceDE w:val="0"/>
        <w:autoSpaceDN w:val="0"/>
        <w:adjustRightInd w:val="0"/>
        <w:spacing w:after="0" w:line="240" w:lineRule="auto"/>
        <w:rPr>
          <w:rFonts w:cstheme="minorHAnsi"/>
          <w:bCs/>
          <w:color w:val="1111FB"/>
        </w:rPr>
      </w:pPr>
      <w:r w:rsidRPr="00053F4C">
        <w:rPr>
          <w:rFonts w:cstheme="minorHAnsi"/>
          <w:bCs/>
          <w:color w:val="1111FB"/>
        </w:rPr>
        <w:t>Reliability of the health plan measure score was tested using a beta-binomial calculation. This analysis included the entire HEDIS data sample (described above).</w:t>
      </w:r>
    </w:p>
    <w:p w14:paraId="3D3AD8CF" w14:textId="77777777" w:rsidR="00E82945" w:rsidRPr="00053F4C" w:rsidRDefault="00E82945" w:rsidP="00E82945">
      <w:pPr>
        <w:autoSpaceDE w:val="0"/>
        <w:autoSpaceDN w:val="0"/>
        <w:adjustRightInd w:val="0"/>
        <w:spacing w:after="0" w:line="240" w:lineRule="auto"/>
        <w:rPr>
          <w:rFonts w:cstheme="minorHAnsi"/>
          <w:bCs/>
          <w:color w:val="1111FB"/>
        </w:rPr>
      </w:pPr>
    </w:p>
    <w:p w14:paraId="159C5744" w14:textId="77777777" w:rsidR="00E82945" w:rsidRPr="00053F4C" w:rsidRDefault="00E82945" w:rsidP="00E82945">
      <w:pPr>
        <w:autoSpaceDE w:val="0"/>
        <w:autoSpaceDN w:val="0"/>
        <w:adjustRightInd w:val="0"/>
        <w:spacing w:after="0" w:line="240" w:lineRule="auto"/>
        <w:rPr>
          <w:rFonts w:cstheme="minorHAnsi"/>
          <w:bCs/>
          <w:color w:val="1111FB"/>
          <w:u w:val="single"/>
        </w:rPr>
      </w:pPr>
      <w:r w:rsidRPr="00053F4C">
        <w:rPr>
          <w:rFonts w:cstheme="minorHAnsi"/>
          <w:bCs/>
          <w:color w:val="1111FB"/>
          <w:u w:val="single"/>
        </w:rPr>
        <w:t>Validity</w:t>
      </w:r>
      <w:r w:rsidRPr="00053F4C">
        <w:rPr>
          <w:rFonts w:cstheme="minorHAnsi"/>
          <w:bCs/>
          <w:color w:val="1111FB"/>
        </w:rPr>
        <w:t>:</w:t>
      </w:r>
    </w:p>
    <w:p w14:paraId="29CC8BEB" w14:textId="77777777" w:rsidR="00E82945" w:rsidRPr="00053F4C" w:rsidRDefault="00E82945" w:rsidP="00E82945">
      <w:pPr>
        <w:autoSpaceDE w:val="0"/>
        <w:autoSpaceDN w:val="0"/>
        <w:adjustRightInd w:val="0"/>
        <w:spacing w:after="0" w:line="240" w:lineRule="auto"/>
        <w:rPr>
          <w:rFonts w:cstheme="minorHAnsi"/>
          <w:bCs/>
          <w:color w:val="1111FB"/>
        </w:rPr>
      </w:pPr>
      <w:bookmarkStart w:id="12" w:name="_Hlk502677022"/>
      <w:r w:rsidRPr="00053F4C">
        <w:rPr>
          <w:rFonts w:cstheme="minorHAnsi"/>
          <w:bCs/>
          <w:color w:val="1111FB"/>
        </w:rPr>
        <w:t>Validity of the health plan measure was demonstrated through construct validity using the entire HEDIS data sample (described above) and through a systematic assessment of face validity with expert panels.</w:t>
      </w:r>
    </w:p>
    <w:bookmarkEnd w:id="12"/>
    <w:p w14:paraId="5D63005B" w14:textId="77777777" w:rsidR="00E82945" w:rsidRDefault="00E82945" w:rsidP="00E37E1B">
      <w:pPr>
        <w:autoSpaceDE w:val="0"/>
        <w:autoSpaceDN w:val="0"/>
        <w:adjustRightInd w:val="0"/>
        <w:spacing w:after="0" w:line="240" w:lineRule="auto"/>
        <w:rPr>
          <w:rFonts w:cstheme="minorHAnsi"/>
          <w:bCs/>
        </w:rPr>
      </w:pPr>
    </w:p>
    <w:p w14:paraId="0CABCFCC" w14:textId="01BB214D" w:rsidR="0021054A" w:rsidRDefault="00001023" w:rsidP="00E37E1B">
      <w:pPr>
        <w:autoSpaceDE w:val="0"/>
        <w:autoSpaceDN w:val="0"/>
        <w:adjustRightInd w:val="0"/>
        <w:spacing w:after="0" w:line="240" w:lineRule="auto"/>
        <w:rPr>
          <w:rFonts w:cstheme="minorHAnsi"/>
          <w:bCs/>
        </w:rPr>
      </w:pPr>
      <w:r w:rsidRPr="3C795A04">
        <w:rPr>
          <w:b/>
        </w:rPr>
        <w:t>1.8</w:t>
      </w:r>
      <w:r w:rsidRPr="3C795A04">
        <w:t xml:space="preserve"> </w:t>
      </w:r>
      <w:r w:rsidRPr="3C795A04">
        <w:rPr>
          <w:b/>
        </w:rPr>
        <w:t>What were the social risk factors that were available and analyzed</w:t>
      </w:r>
      <w:r w:rsidRPr="3C795A04">
        <w:t xml:space="preserve">? </w:t>
      </w:r>
      <w:r w:rsidR="0021054A">
        <w:rPr>
          <w:rFonts w:cstheme="minorHAnsi"/>
          <w:bCs/>
        </w:rPr>
        <w:t xml:space="preserve">For example, patient-reported data (e.g., income, education, language), proxy variables when </w:t>
      </w:r>
      <w:r w:rsidR="009C7513">
        <w:rPr>
          <w:rFonts w:cstheme="minorHAnsi"/>
          <w:bCs/>
        </w:rPr>
        <w:t>social risk</w:t>
      </w:r>
      <w:r w:rsidR="0021054A">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sidR="0021054A">
        <w:rPr>
          <w:rFonts w:cstheme="minorHAnsi"/>
          <w:bCs/>
        </w:rPr>
        <w:t>.</w:t>
      </w:r>
    </w:p>
    <w:p w14:paraId="5EA0A07D" w14:textId="6E682D8E" w:rsidR="00A65831" w:rsidRPr="00617097" w:rsidRDefault="00617097" w:rsidP="00A65831">
      <w:pPr>
        <w:autoSpaceDE w:val="0"/>
        <w:autoSpaceDN w:val="0"/>
        <w:adjustRightInd w:val="0"/>
        <w:spacing w:after="0" w:line="240" w:lineRule="auto"/>
        <w:rPr>
          <w:rFonts w:cstheme="minorHAnsi"/>
          <w:color w:val="1111FB"/>
        </w:rPr>
      </w:pPr>
      <w:r w:rsidRPr="008C7B72">
        <w:rPr>
          <w:rStyle w:val="normaltextrun"/>
          <w:rFonts w:ascii="Calibri" w:hAnsi="Calibri" w:cs="Calibri"/>
          <w:color w:val="1111FB"/>
          <w:shd w:val="clear" w:color="auto" w:fill="FFFFFF"/>
        </w:rPr>
        <w:lastRenderedPageBreak/>
        <w:t xml:space="preserve">We did not analyze social risk factors. This measure </w:t>
      </w:r>
      <w:r w:rsidR="00471CE9">
        <w:rPr>
          <w:rStyle w:val="normaltextrun"/>
          <w:rFonts w:ascii="Calibri" w:hAnsi="Calibri" w:cs="Calibri"/>
          <w:color w:val="1111FB"/>
          <w:shd w:val="clear" w:color="auto" w:fill="FFFFFF"/>
        </w:rPr>
        <w:t xml:space="preserve">of health plan performance </w:t>
      </w:r>
      <w:r w:rsidRPr="008C7B72">
        <w:rPr>
          <w:rStyle w:val="normaltextrun"/>
          <w:rFonts w:ascii="Calibri" w:hAnsi="Calibri" w:cs="Calibri"/>
          <w:color w:val="1111FB"/>
          <w:shd w:val="clear" w:color="auto" w:fill="FFFFFF"/>
        </w:rPr>
        <w:t xml:space="preserve">is specified to be reported separately by </w:t>
      </w:r>
      <w:r>
        <w:rPr>
          <w:rStyle w:val="normaltextrun"/>
          <w:rFonts w:ascii="Calibri" w:hAnsi="Calibri" w:cs="Calibri"/>
          <w:color w:val="1111FB"/>
          <w:shd w:val="clear" w:color="auto" w:fill="FFFFFF"/>
        </w:rPr>
        <w:t xml:space="preserve">commercial, </w:t>
      </w:r>
      <w:r w:rsidRPr="008C7B72">
        <w:rPr>
          <w:rStyle w:val="normaltextrun"/>
          <w:rFonts w:ascii="Calibri" w:hAnsi="Calibri" w:cs="Calibri"/>
          <w:color w:val="1111FB"/>
          <w:shd w:val="clear" w:color="auto" w:fill="FFFFFF"/>
        </w:rPr>
        <w:t xml:space="preserve">Medicaid and </w:t>
      </w:r>
      <w:r>
        <w:rPr>
          <w:rStyle w:val="normaltextrun"/>
          <w:rFonts w:ascii="Calibri" w:hAnsi="Calibri" w:cs="Calibri"/>
          <w:color w:val="1111FB"/>
          <w:shd w:val="clear" w:color="auto" w:fill="FFFFFF"/>
        </w:rPr>
        <w:t>Medicare</w:t>
      </w:r>
      <w:r w:rsidRPr="008C7B72">
        <w:rPr>
          <w:rStyle w:val="normaltextrun"/>
          <w:rFonts w:ascii="Calibri" w:hAnsi="Calibri" w:cs="Calibri"/>
          <w:color w:val="1111FB"/>
          <w:shd w:val="clear" w:color="auto" w:fill="FFFFFF"/>
        </w:rPr>
        <w:t xml:space="preserve"> plan types, which serves as a proxy for income and other socioeconomic factors.</w:t>
      </w:r>
    </w:p>
    <w:p w14:paraId="134BD114" w14:textId="77777777" w:rsidR="00A65831" w:rsidRDefault="00A65831" w:rsidP="00E37E1B">
      <w:pPr>
        <w:autoSpaceDE w:val="0"/>
        <w:autoSpaceDN w:val="0"/>
        <w:adjustRightInd w:val="0"/>
        <w:spacing w:after="0" w:line="240" w:lineRule="auto"/>
        <w:rPr>
          <w:rFonts w:cstheme="minorHAnsi"/>
          <w:bCs/>
        </w:rPr>
      </w:pPr>
    </w:p>
    <w:p w14:paraId="0CABCFCD" w14:textId="6AC494A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2476EB08"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379B9">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1A57197" w14:textId="796153EE" w:rsidR="00EB3573" w:rsidRDefault="00F7751A" w:rsidP="00EB3573">
      <w:pPr>
        <w:autoSpaceDE w:val="0"/>
        <w:autoSpaceDN w:val="0"/>
        <w:adjustRightInd w:val="0"/>
        <w:spacing w:after="0" w:line="240" w:lineRule="auto"/>
        <w:rPr>
          <w:rFonts w:cstheme="minorHAnsi"/>
          <w:bCs/>
          <w:color w:val="1111FB"/>
        </w:rPr>
      </w:pPr>
      <w:r w:rsidRPr="00F7751A">
        <w:rPr>
          <w:rFonts w:cstheme="minorHAnsi"/>
          <w:bCs/>
          <w:color w:val="1111FB"/>
        </w:rPr>
        <w:t>Reliability was estimated by using the Beta-binomial model (Adams, 2009) for this health plan measure. Beta-binomial is appropriate for estimating the reliability of pass/fail rate measures. 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r w:rsidR="00EB3573" w:rsidRPr="00D52296">
        <w:rPr>
          <w:rFonts w:cstheme="minorHAnsi"/>
          <w:bCs/>
          <w:color w:val="1111FB"/>
        </w:rPr>
        <w:t xml:space="preserve"> </w:t>
      </w:r>
    </w:p>
    <w:p w14:paraId="27740EBA" w14:textId="77777777" w:rsidR="00D52296" w:rsidRDefault="00D52296" w:rsidP="00EB3573">
      <w:pPr>
        <w:autoSpaceDE w:val="0"/>
        <w:autoSpaceDN w:val="0"/>
        <w:adjustRightInd w:val="0"/>
        <w:spacing w:after="0" w:line="240" w:lineRule="auto"/>
        <w:rPr>
          <w:rFonts w:cstheme="minorHAnsi"/>
          <w:bCs/>
          <w:color w:val="1111FB"/>
        </w:rPr>
      </w:pPr>
    </w:p>
    <w:p w14:paraId="0E3C05B0" w14:textId="32136194" w:rsidR="00D52296" w:rsidRPr="00D52296" w:rsidRDefault="00D52296" w:rsidP="00EB3573">
      <w:pPr>
        <w:autoSpaceDE w:val="0"/>
        <w:autoSpaceDN w:val="0"/>
        <w:adjustRightInd w:val="0"/>
        <w:spacing w:after="0" w:line="240" w:lineRule="auto"/>
        <w:rPr>
          <w:rFonts w:cstheme="minorHAnsi"/>
          <w:bCs/>
          <w:color w:val="1111FB"/>
          <w:sz w:val="18"/>
          <w:szCs w:val="18"/>
        </w:rPr>
      </w:pPr>
      <w:r w:rsidRPr="005D75FF">
        <w:rPr>
          <w:rFonts w:cstheme="minorHAnsi"/>
          <w:bCs/>
          <w:color w:val="1111FB"/>
          <w:sz w:val="18"/>
          <w:szCs w:val="18"/>
        </w:rPr>
        <w:t>Adams, J.L. The Reliability of Provider Profiling: A Tutorial. Santa Monica, California: RAND Corporation. TR-653-NCQA, 2009</w:t>
      </w:r>
    </w:p>
    <w:p w14:paraId="63BA856B" w14:textId="77777777" w:rsidR="002379B9" w:rsidRPr="00A25024" w:rsidRDefault="002379B9" w:rsidP="008C54A9">
      <w:pPr>
        <w:autoSpaceDE w:val="0"/>
        <w:autoSpaceDN w:val="0"/>
        <w:adjustRightInd w:val="0"/>
        <w:spacing w:after="0" w:line="240" w:lineRule="auto"/>
        <w:rPr>
          <w:rFonts w:cstheme="minorHAnsi"/>
          <w:bCs/>
        </w:rPr>
      </w:pPr>
    </w:p>
    <w:p w14:paraId="0CABCFD3" w14:textId="57123046" w:rsidR="007422FD" w:rsidRDefault="00092566" w:rsidP="008C54A9">
      <w:pPr>
        <w:autoSpaceDE w:val="0"/>
        <w:autoSpaceDN w:val="0"/>
        <w:adjustRightInd w:val="0"/>
        <w:spacing w:after="0" w:line="240" w:lineRule="auto"/>
        <w:rPr>
          <w:rFonts w:cstheme="minorHAnsi"/>
          <w:bCs/>
          <w:color w:val="1111FB"/>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D72516" w:rsidRPr="00D72516">
        <w:rPr>
          <w:rFonts w:cstheme="minorHAnsi"/>
          <w:bCs/>
          <w:color w:val="1111FB"/>
        </w:rPr>
        <w:t>Table 2 provides the reliability for the overall measure as shown by the Beta-binomial model as well as the distribution of individual plan reliability.</w:t>
      </w:r>
    </w:p>
    <w:p w14:paraId="6FD2CAA3" w14:textId="77777777" w:rsidR="00D72516" w:rsidRPr="00B57E0F" w:rsidRDefault="00D72516" w:rsidP="008C54A9">
      <w:pPr>
        <w:autoSpaceDE w:val="0"/>
        <w:autoSpaceDN w:val="0"/>
        <w:adjustRightInd w:val="0"/>
        <w:spacing w:after="0" w:line="240" w:lineRule="auto"/>
        <w:rPr>
          <w:rFonts w:cstheme="minorHAnsi"/>
          <w:bCs/>
          <w:color w:val="1111FB"/>
        </w:rPr>
      </w:pPr>
    </w:p>
    <w:p w14:paraId="2468BF9C" w14:textId="2B4779F5" w:rsidR="005F084E" w:rsidRDefault="00B05054" w:rsidP="005F084E">
      <w:pPr>
        <w:spacing w:after="0" w:line="240" w:lineRule="auto"/>
        <w:textAlignment w:val="baseline"/>
        <w:rPr>
          <w:rFonts w:ascii="Calibri" w:eastAsia="Times New Roman" w:hAnsi="Calibri" w:cs="Calibri"/>
          <w:color w:val="1111FB"/>
        </w:rPr>
      </w:pPr>
      <w:r w:rsidRPr="00B05054">
        <w:rPr>
          <w:rFonts w:ascii="Calibri" w:eastAsia="Times New Roman" w:hAnsi="Calibri" w:cs="Calibri"/>
          <w:color w:val="1111FB"/>
        </w:rPr>
        <w:t>Table 2. Overall Beta-binomial statistic and distribution of plan reliability for commercial, Medicaid, and Medicare product lines, 2018</w:t>
      </w:r>
    </w:p>
    <w:tbl>
      <w:tblPr>
        <w:tblW w:w="9099" w:type="dxa"/>
        <w:tblLook w:val="04A0" w:firstRow="1" w:lastRow="0" w:firstColumn="1" w:lastColumn="0" w:noHBand="0" w:noVBand="1"/>
      </w:tblPr>
      <w:tblGrid>
        <w:gridCol w:w="1287"/>
        <w:gridCol w:w="1092"/>
        <w:gridCol w:w="960"/>
        <w:gridCol w:w="960"/>
        <w:gridCol w:w="960"/>
        <w:gridCol w:w="960"/>
        <w:gridCol w:w="960"/>
        <w:gridCol w:w="960"/>
        <w:gridCol w:w="960"/>
      </w:tblGrid>
      <w:tr w:rsidR="00434EB6" w:rsidRPr="009A707E" w14:paraId="0B31C9DC" w14:textId="77777777" w:rsidTr="00434EB6">
        <w:trPr>
          <w:trHeight w:val="300"/>
        </w:trPr>
        <w:tc>
          <w:tcPr>
            <w:tcW w:w="12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987014D"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Product Line</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B49C2FD"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Overall Reliability</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27CA197C"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Min</w:t>
            </w:r>
          </w:p>
        </w:tc>
        <w:tc>
          <w:tcPr>
            <w:tcW w:w="4800" w:type="dxa"/>
            <w:gridSpan w:val="5"/>
            <w:tcBorders>
              <w:top w:val="single" w:sz="4" w:space="0" w:color="auto"/>
              <w:left w:val="nil"/>
              <w:bottom w:val="single" w:sz="4" w:space="0" w:color="auto"/>
              <w:right w:val="single" w:sz="4" w:space="0" w:color="000000"/>
            </w:tcBorders>
            <w:shd w:val="clear" w:color="auto" w:fill="auto"/>
            <w:noWrap/>
            <w:vAlign w:val="center"/>
          </w:tcPr>
          <w:p w14:paraId="0F407F05"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Percentiles</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855958B"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Max</w:t>
            </w:r>
          </w:p>
        </w:tc>
      </w:tr>
      <w:tr w:rsidR="00434EB6" w:rsidRPr="009A707E" w14:paraId="0A559A4F" w14:textId="77777777" w:rsidTr="00434EB6">
        <w:trPr>
          <w:trHeight w:val="300"/>
        </w:trPr>
        <w:tc>
          <w:tcPr>
            <w:tcW w:w="1287" w:type="dxa"/>
            <w:vMerge/>
            <w:tcBorders>
              <w:top w:val="single" w:sz="4" w:space="0" w:color="auto"/>
              <w:left w:val="single" w:sz="4" w:space="0" w:color="auto"/>
              <w:bottom w:val="single" w:sz="4" w:space="0" w:color="000000"/>
              <w:right w:val="single" w:sz="4" w:space="0" w:color="auto"/>
            </w:tcBorders>
            <w:vAlign w:val="center"/>
          </w:tcPr>
          <w:p w14:paraId="1019A10A" w14:textId="77777777" w:rsidR="00434EB6" w:rsidRPr="009A707E" w:rsidRDefault="00434EB6" w:rsidP="0087434E">
            <w:pPr>
              <w:spacing w:after="0" w:line="240" w:lineRule="auto"/>
              <w:jc w:val="center"/>
              <w:rPr>
                <w:rFonts w:ascii="Calibri" w:eastAsia="Times New Roman" w:hAnsi="Calibri" w:cs="Calibri"/>
                <w:color w:val="1111FB"/>
              </w:rPr>
            </w:pPr>
          </w:p>
        </w:tc>
        <w:tc>
          <w:tcPr>
            <w:tcW w:w="1092" w:type="dxa"/>
            <w:vMerge/>
            <w:tcBorders>
              <w:top w:val="single" w:sz="4" w:space="0" w:color="auto"/>
              <w:left w:val="single" w:sz="4" w:space="0" w:color="auto"/>
              <w:bottom w:val="single" w:sz="4" w:space="0" w:color="000000"/>
              <w:right w:val="single" w:sz="4" w:space="0" w:color="auto"/>
            </w:tcBorders>
            <w:vAlign w:val="center"/>
          </w:tcPr>
          <w:p w14:paraId="4243C53D" w14:textId="77777777" w:rsidR="00434EB6" w:rsidRPr="009A707E" w:rsidRDefault="00434EB6" w:rsidP="0087434E">
            <w:pPr>
              <w:spacing w:after="0" w:line="240" w:lineRule="auto"/>
              <w:jc w:val="center"/>
              <w:rPr>
                <w:rFonts w:ascii="Calibri" w:eastAsia="Times New Roman" w:hAnsi="Calibri" w:cs="Calibri"/>
                <w:color w:val="1111FB"/>
              </w:rPr>
            </w:pPr>
          </w:p>
        </w:tc>
        <w:tc>
          <w:tcPr>
            <w:tcW w:w="960" w:type="dxa"/>
            <w:vMerge/>
            <w:tcBorders>
              <w:top w:val="single" w:sz="4" w:space="0" w:color="auto"/>
              <w:left w:val="single" w:sz="4" w:space="0" w:color="auto"/>
              <w:bottom w:val="single" w:sz="4" w:space="0" w:color="000000"/>
              <w:right w:val="single" w:sz="4" w:space="0" w:color="auto"/>
            </w:tcBorders>
            <w:vAlign w:val="center"/>
          </w:tcPr>
          <w:p w14:paraId="3CF28F60" w14:textId="77777777" w:rsidR="00434EB6" w:rsidRPr="009A707E" w:rsidRDefault="00434EB6" w:rsidP="0087434E">
            <w:pPr>
              <w:spacing w:after="0" w:line="240" w:lineRule="auto"/>
              <w:jc w:val="center"/>
              <w:rPr>
                <w:rFonts w:ascii="Calibri" w:eastAsia="Times New Roman" w:hAnsi="Calibri" w:cs="Calibri"/>
                <w:color w:val="1111FB"/>
              </w:rPr>
            </w:pPr>
          </w:p>
        </w:tc>
        <w:tc>
          <w:tcPr>
            <w:tcW w:w="960" w:type="dxa"/>
            <w:tcBorders>
              <w:top w:val="nil"/>
              <w:left w:val="nil"/>
              <w:bottom w:val="single" w:sz="4" w:space="0" w:color="auto"/>
              <w:right w:val="single" w:sz="4" w:space="0" w:color="auto"/>
            </w:tcBorders>
            <w:shd w:val="clear" w:color="auto" w:fill="auto"/>
            <w:noWrap/>
            <w:vAlign w:val="center"/>
          </w:tcPr>
          <w:p w14:paraId="40732407"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10</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1C39E554"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25</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741F979C"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50</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7B08428A"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75</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06EDA68A"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90</w:t>
            </w:r>
            <w:r w:rsidRPr="002A5F49">
              <w:rPr>
                <w:rFonts w:ascii="Calibri" w:eastAsia="Times New Roman" w:hAnsi="Calibri" w:cs="Calibri"/>
                <w:color w:val="1111FB"/>
                <w:vertAlign w:val="superscript"/>
              </w:rPr>
              <w:t>th</w:t>
            </w:r>
          </w:p>
        </w:tc>
        <w:tc>
          <w:tcPr>
            <w:tcW w:w="960" w:type="dxa"/>
            <w:vMerge/>
            <w:tcBorders>
              <w:top w:val="single" w:sz="4" w:space="0" w:color="auto"/>
              <w:left w:val="single" w:sz="4" w:space="0" w:color="auto"/>
              <w:bottom w:val="single" w:sz="4" w:space="0" w:color="000000"/>
              <w:right w:val="single" w:sz="4" w:space="0" w:color="auto"/>
            </w:tcBorders>
            <w:vAlign w:val="center"/>
          </w:tcPr>
          <w:p w14:paraId="661AC017" w14:textId="77777777" w:rsidR="00434EB6" w:rsidRPr="009A707E" w:rsidRDefault="00434EB6" w:rsidP="0087434E">
            <w:pPr>
              <w:spacing w:after="0" w:line="240" w:lineRule="auto"/>
              <w:jc w:val="center"/>
              <w:rPr>
                <w:rFonts w:ascii="Calibri" w:eastAsia="Times New Roman" w:hAnsi="Calibri" w:cs="Calibri"/>
                <w:color w:val="1111FB"/>
              </w:rPr>
            </w:pPr>
          </w:p>
        </w:tc>
      </w:tr>
      <w:tr w:rsidR="00434EB6" w:rsidRPr="009A707E" w14:paraId="74E978CE" w14:textId="77777777" w:rsidTr="00434EB6">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110D7642"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Commercial</w:t>
            </w:r>
          </w:p>
        </w:tc>
        <w:tc>
          <w:tcPr>
            <w:tcW w:w="1092" w:type="dxa"/>
            <w:tcBorders>
              <w:top w:val="nil"/>
              <w:left w:val="nil"/>
              <w:bottom w:val="single" w:sz="4" w:space="0" w:color="auto"/>
              <w:right w:val="single" w:sz="4" w:space="0" w:color="auto"/>
            </w:tcBorders>
            <w:shd w:val="clear" w:color="auto" w:fill="auto"/>
            <w:noWrap/>
            <w:vAlign w:val="center"/>
          </w:tcPr>
          <w:p w14:paraId="4C7E863C" w14:textId="659F0EE2"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0.995</w:t>
            </w:r>
          </w:p>
        </w:tc>
        <w:tc>
          <w:tcPr>
            <w:tcW w:w="960" w:type="dxa"/>
            <w:tcBorders>
              <w:top w:val="nil"/>
              <w:left w:val="nil"/>
              <w:bottom w:val="single" w:sz="4" w:space="0" w:color="auto"/>
              <w:right w:val="single" w:sz="4" w:space="0" w:color="auto"/>
            </w:tcBorders>
            <w:shd w:val="clear" w:color="auto" w:fill="auto"/>
            <w:noWrap/>
            <w:vAlign w:val="center"/>
          </w:tcPr>
          <w:p w14:paraId="2CF097D8" w14:textId="4E1E06F8"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0.808</w:t>
            </w:r>
          </w:p>
        </w:tc>
        <w:tc>
          <w:tcPr>
            <w:tcW w:w="960" w:type="dxa"/>
            <w:tcBorders>
              <w:top w:val="nil"/>
              <w:left w:val="nil"/>
              <w:bottom w:val="single" w:sz="4" w:space="0" w:color="auto"/>
              <w:right w:val="single" w:sz="4" w:space="0" w:color="auto"/>
            </w:tcBorders>
            <w:shd w:val="clear" w:color="auto" w:fill="auto"/>
            <w:noWrap/>
            <w:vAlign w:val="center"/>
          </w:tcPr>
          <w:p w14:paraId="24FE1076" w14:textId="02768B14"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0.978</w:t>
            </w:r>
          </w:p>
        </w:tc>
        <w:tc>
          <w:tcPr>
            <w:tcW w:w="960" w:type="dxa"/>
            <w:tcBorders>
              <w:top w:val="nil"/>
              <w:left w:val="nil"/>
              <w:bottom w:val="single" w:sz="4" w:space="0" w:color="auto"/>
              <w:right w:val="single" w:sz="4" w:space="0" w:color="auto"/>
            </w:tcBorders>
            <w:shd w:val="clear" w:color="auto" w:fill="auto"/>
            <w:noWrap/>
            <w:vAlign w:val="center"/>
          </w:tcPr>
          <w:p w14:paraId="41CA5449" w14:textId="5B56D124"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0.978</w:t>
            </w:r>
          </w:p>
        </w:tc>
        <w:tc>
          <w:tcPr>
            <w:tcW w:w="960" w:type="dxa"/>
            <w:tcBorders>
              <w:top w:val="nil"/>
              <w:left w:val="nil"/>
              <w:bottom w:val="single" w:sz="4" w:space="0" w:color="auto"/>
              <w:right w:val="single" w:sz="4" w:space="0" w:color="auto"/>
            </w:tcBorders>
            <w:shd w:val="clear" w:color="auto" w:fill="auto"/>
            <w:noWrap/>
            <w:vAlign w:val="center"/>
          </w:tcPr>
          <w:p w14:paraId="0A10510F" w14:textId="6F049045"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0.979</w:t>
            </w:r>
          </w:p>
        </w:tc>
        <w:tc>
          <w:tcPr>
            <w:tcW w:w="960" w:type="dxa"/>
            <w:tcBorders>
              <w:top w:val="nil"/>
              <w:left w:val="nil"/>
              <w:bottom w:val="single" w:sz="4" w:space="0" w:color="auto"/>
              <w:right w:val="single" w:sz="4" w:space="0" w:color="auto"/>
            </w:tcBorders>
            <w:shd w:val="clear" w:color="auto" w:fill="auto"/>
            <w:noWrap/>
            <w:vAlign w:val="center"/>
          </w:tcPr>
          <w:p w14:paraId="2F026C70" w14:textId="3562ECBD"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0.983</w:t>
            </w:r>
          </w:p>
        </w:tc>
        <w:tc>
          <w:tcPr>
            <w:tcW w:w="960" w:type="dxa"/>
            <w:tcBorders>
              <w:top w:val="nil"/>
              <w:left w:val="nil"/>
              <w:bottom w:val="single" w:sz="4" w:space="0" w:color="auto"/>
              <w:right w:val="single" w:sz="4" w:space="0" w:color="auto"/>
            </w:tcBorders>
            <w:shd w:val="clear" w:color="auto" w:fill="auto"/>
            <w:noWrap/>
            <w:vAlign w:val="center"/>
          </w:tcPr>
          <w:p w14:paraId="0B06E32D" w14:textId="49AF7223"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0.995</w:t>
            </w:r>
          </w:p>
        </w:tc>
        <w:tc>
          <w:tcPr>
            <w:tcW w:w="960" w:type="dxa"/>
            <w:tcBorders>
              <w:top w:val="nil"/>
              <w:left w:val="nil"/>
              <w:bottom w:val="single" w:sz="4" w:space="0" w:color="auto"/>
              <w:right w:val="single" w:sz="4" w:space="0" w:color="auto"/>
            </w:tcBorders>
            <w:shd w:val="clear" w:color="auto" w:fill="auto"/>
            <w:noWrap/>
            <w:vAlign w:val="center"/>
          </w:tcPr>
          <w:p w14:paraId="2245EAB3" w14:textId="54754583"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r w:rsidR="00434EB6" w:rsidRPr="009A707E" w14:paraId="2D454CA6" w14:textId="77777777" w:rsidTr="00434EB6">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3BCC74F1"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Medicaid</w:t>
            </w:r>
          </w:p>
        </w:tc>
        <w:tc>
          <w:tcPr>
            <w:tcW w:w="1092" w:type="dxa"/>
            <w:tcBorders>
              <w:top w:val="nil"/>
              <w:left w:val="nil"/>
              <w:bottom w:val="single" w:sz="4" w:space="0" w:color="auto"/>
              <w:right w:val="single" w:sz="4" w:space="0" w:color="auto"/>
            </w:tcBorders>
            <w:shd w:val="clear" w:color="auto" w:fill="auto"/>
            <w:noWrap/>
            <w:vAlign w:val="center"/>
          </w:tcPr>
          <w:p w14:paraId="2DAF1001" w14:textId="69D2E312"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0.978</w:t>
            </w:r>
          </w:p>
        </w:tc>
        <w:tc>
          <w:tcPr>
            <w:tcW w:w="960" w:type="dxa"/>
            <w:tcBorders>
              <w:top w:val="nil"/>
              <w:left w:val="nil"/>
              <w:bottom w:val="single" w:sz="4" w:space="0" w:color="auto"/>
              <w:right w:val="single" w:sz="4" w:space="0" w:color="auto"/>
            </w:tcBorders>
            <w:shd w:val="clear" w:color="auto" w:fill="auto"/>
            <w:noWrap/>
            <w:vAlign w:val="center"/>
          </w:tcPr>
          <w:p w14:paraId="3005B0A9" w14:textId="356BD74E"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0.611</w:t>
            </w:r>
          </w:p>
        </w:tc>
        <w:tc>
          <w:tcPr>
            <w:tcW w:w="960" w:type="dxa"/>
            <w:tcBorders>
              <w:top w:val="nil"/>
              <w:left w:val="nil"/>
              <w:bottom w:val="single" w:sz="4" w:space="0" w:color="auto"/>
              <w:right w:val="single" w:sz="4" w:space="0" w:color="auto"/>
            </w:tcBorders>
            <w:shd w:val="clear" w:color="auto" w:fill="auto"/>
            <w:noWrap/>
            <w:vAlign w:val="center"/>
          </w:tcPr>
          <w:p w14:paraId="65570302" w14:textId="74B1F451"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0.885</w:t>
            </w:r>
          </w:p>
        </w:tc>
        <w:tc>
          <w:tcPr>
            <w:tcW w:w="960" w:type="dxa"/>
            <w:tcBorders>
              <w:top w:val="nil"/>
              <w:left w:val="nil"/>
              <w:bottom w:val="single" w:sz="4" w:space="0" w:color="auto"/>
              <w:right w:val="single" w:sz="4" w:space="0" w:color="auto"/>
            </w:tcBorders>
            <w:shd w:val="clear" w:color="auto" w:fill="auto"/>
            <w:noWrap/>
            <w:vAlign w:val="center"/>
          </w:tcPr>
          <w:p w14:paraId="561B45BB" w14:textId="2B270D88"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0.949</w:t>
            </w:r>
          </w:p>
        </w:tc>
        <w:tc>
          <w:tcPr>
            <w:tcW w:w="960" w:type="dxa"/>
            <w:tcBorders>
              <w:top w:val="nil"/>
              <w:left w:val="nil"/>
              <w:bottom w:val="single" w:sz="4" w:space="0" w:color="auto"/>
              <w:right w:val="single" w:sz="4" w:space="0" w:color="auto"/>
            </w:tcBorders>
            <w:shd w:val="clear" w:color="auto" w:fill="auto"/>
            <w:noWrap/>
            <w:vAlign w:val="center"/>
          </w:tcPr>
          <w:p w14:paraId="6F4F0740" w14:textId="31CA4BC8"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0.952</w:t>
            </w:r>
          </w:p>
        </w:tc>
        <w:tc>
          <w:tcPr>
            <w:tcW w:w="960" w:type="dxa"/>
            <w:tcBorders>
              <w:top w:val="nil"/>
              <w:left w:val="nil"/>
              <w:bottom w:val="single" w:sz="4" w:space="0" w:color="auto"/>
              <w:right w:val="single" w:sz="4" w:space="0" w:color="auto"/>
            </w:tcBorders>
            <w:shd w:val="clear" w:color="auto" w:fill="auto"/>
            <w:noWrap/>
            <w:vAlign w:val="center"/>
          </w:tcPr>
          <w:p w14:paraId="45D606CE" w14:textId="1D6D8B41"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0.957</w:t>
            </w:r>
          </w:p>
        </w:tc>
        <w:tc>
          <w:tcPr>
            <w:tcW w:w="960" w:type="dxa"/>
            <w:tcBorders>
              <w:top w:val="nil"/>
              <w:left w:val="nil"/>
              <w:bottom w:val="single" w:sz="4" w:space="0" w:color="auto"/>
              <w:right w:val="single" w:sz="4" w:space="0" w:color="auto"/>
            </w:tcBorders>
            <w:shd w:val="clear" w:color="auto" w:fill="auto"/>
            <w:noWrap/>
            <w:vAlign w:val="center"/>
          </w:tcPr>
          <w:p w14:paraId="3ECFDDAF" w14:textId="2F3F2F43"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0.961</w:t>
            </w:r>
          </w:p>
        </w:tc>
        <w:tc>
          <w:tcPr>
            <w:tcW w:w="960" w:type="dxa"/>
            <w:tcBorders>
              <w:top w:val="nil"/>
              <w:left w:val="nil"/>
              <w:bottom w:val="single" w:sz="4" w:space="0" w:color="auto"/>
              <w:right w:val="single" w:sz="4" w:space="0" w:color="auto"/>
            </w:tcBorders>
            <w:shd w:val="clear" w:color="auto" w:fill="auto"/>
            <w:noWrap/>
            <w:vAlign w:val="center"/>
          </w:tcPr>
          <w:p w14:paraId="47785C0A" w14:textId="57E62CFE"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r w:rsidR="00434EB6" w:rsidRPr="009A707E" w14:paraId="35A2D6D5" w14:textId="77777777" w:rsidTr="00434EB6">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569A48A8" w14:textId="77777777"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Medicare</w:t>
            </w:r>
          </w:p>
        </w:tc>
        <w:tc>
          <w:tcPr>
            <w:tcW w:w="1092" w:type="dxa"/>
            <w:tcBorders>
              <w:top w:val="nil"/>
              <w:left w:val="nil"/>
              <w:bottom w:val="single" w:sz="4" w:space="0" w:color="auto"/>
              <w:right w:val="single" w:sz="4" w:space="0" w:color="auto"/>
            </w:tcBorders>
            <w:shd w:val="clear" w:color="auto" w:fill="auto"/>
            <w:noWrap/>
            <w:vAlign w:val="center"/>
          </w:tcPr>
          <w:p w14:paraId="77E23264" w14:textId="08D6D3A9"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0.975</w:t>
            </w:r>
          </w:p>
        </w:tc>
        <w:tc>
          <w:tcPr>
            <w:tcW w:w="960" w:type="dxa"/>
            <w:tcBorders>
              <w:top w:val="nil"/>
              <w:left w:val="nil"/>
              <w:bottom w:val="single" w:sz="4" w:space="0" w:color="auto"/>
              <w:right w:val="single" w:sz="4" w:space="0" w:color="auto"/>
            </w:tcBorders>
            <w:shd w:val="clear" w:color="auto" w:fill="auto"/>
            <w:noWrap/>
            <w:vAlign w:val="center"/>
          </w:tcPr>
          <w:p w14:paraId="3BB40C9B" w14:textId="38586C90"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0.768</w:t>
            </w:r>
          </w:p>
        </w:tc>
        <w:tc>
          <w:tcPr>
            <w:tcW w:w="960" w:type="dxa"/>
            <w:tcBorders>
              <w:top w:val="nil"/>
              <w:left w:val="nil"/>
              <w:bottom w:val="single" w:sz="4" w:space="0" w:color="auto"/>
              <w:right w:val="single" w:sz="4" w:space="0" w:color="auto"/>
            </w:tcBorders>
            <w:shd w:val="clear" w:color="auto" w:fill="auto"/>
            <w:noWrap/>
            <w:vAlign w:val="center"/>
          </w:tcPr>
          <w:p w14:paraId="05546DE7" w14:textId="464693F4"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0.964</w:t>
            </w:r>
          </w:p>
        </w:tc>
        <w:tc>
          <w:tcPr>
            <w:tcW w:w="960" w:type="dxa"/>
            <w:tcBorders>
              <w:top w:val="nil"/>
              <w:left w:val="nil"/>
              <w:bottom w:val="single" w:sz="4" w:space="0" w:color="auto"/>
              <w:right w:val="single" w:sz="4" w:space="0" w:color="auto"/>
            </w:tcBorders>
            <w:shd w:val="clear" w:color="auto" w:fill="auto"/>
            <w:noWrap/>
            <w:vAlign w:val="center"/>
          </w:tcPr>
          <w:p w14:paraId="1308F75C" w14:textId="3E55C618"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0.968</w:t>
            </w:r>
          </w:p>
        </w:tc>
        <w:tc>
          <w:tcPr>
            <w:tcW w:w="960" w:type="dxa"/>
            <w:tcBorders>
              <w:top w:val="nil"/>
              <w:left w:val="nil"/>
              <w:bottom w:val="single" w:sz="4" w:space="0" w:color="auto"/>
              <w:right w:val="single" w:sz="4" w:space="0" w:color="auto"/>
            </w:tcBorders>
            <w:shd w:val="clear" w:color="auto" w:fill="auto"/>
            <w:noWrap/>
            <w:vAlign w:val="center"/>
          </w:tcPr>
          <w:p w14:paraId="5A063FFD" w14:textId="4831C5AC"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0.969</w:t>
            </w:r>
          </w:p>
        </w:tc>
        <w:tc>
          <w:tcPr>
            <w:tcW w:w="960" w:type="dxa"/>
            <w:tcBorders>
              <w:top w:val="nil"/>
              <w:left w:val="nil"/>
              <w:bottom w:val="single" w:sz="4" w:space="0" w:color="auto"/>
              <w:right w:val="single" w:sz="4" w:space="0" w:color="auto"/>
            </w:tcBorders>
            <w:shd w:val="clear" w:color="auto" w:fill="auto"/>
            <w:noWrap/>
            <w:vAlign w:val="center"/>
          </w:tcPr>
          <w:p w14:paraId="3CD1B643" w14:textId="674F9C49"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0.976</w:t>
            </w:r>
          </w:p>
        </w:tc>
        <w:tc>
          <w:tcPr>
            <w:tcW w:w="960" w:type="dxa"/>
            <w:tcBorders>
              <w:top w:val="nil"/>
              <w:left w:val="nil"/>
              <w:bottom w:val="single" w:sz="4" w:space="0" w:color="auto"/>
              <w:right w:val="single" w:sz="4" w:space="0" w:color="auto"/>
            </w:tcBorders>
            <w:shd w:val="clear" w:color="auto" w:fill="auto"/>
            <w:noWrap/>
            <w:vAlign w:val="center"/>
          </w:tcPr>
          <w:p w14:paraId="5449EAA7" w14:textId="0972978A"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0.979</w:t>
            </w:r>
          </w:p>
        </w:tc>
        <w:tc>
          <w:tcPr>
            <w:tcW w:w="960" w:type="dxa"/>
            <w:tcBorders>
              <w:top w:val="nil"/>
              <w:left w:val="nil"/>
              <w:bottom w:val="single" w:sz="4" w:space="0" w:color="auto"/>
              <w:right w:val="single" w:sz="4" w:space="0" w:color="auto"/>
            </w:tcBorders>
            <w:shd w:val="clear" w:color="auto" w:fill="auto"/>
            <w:noWrap/>
            <w:vAlign w:val="center"/>
          </w:tcPr>
          <w:p w14:paraId="32BBD8FE" w14:textId="7B27EFCC" w:rsidR="00434EB6" w:rsidRPr="009A707E" w:rsidRDefault="00434EB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bl>
    <w:p w14:paraId="0E6CB500" w14:textId="68CA11AE" w:rsidR="00746A16" w:rsidRPr="006232E1" w:rsidRDefault="00746A16" w:rsidP="006232E1">
      <w:pPr>
        <w:spacing w:after="0" w:line="240" w:lineRule="auto"/>
        <w:textAlignment w:val="baseline"/>
        <w:rPr>
          <w:rFonts w:ascii="Calibri" w:eastAsia="Times New Roman" w:hAnsi="Calibri" w:cs="Calibri"/>
          <w:color w:val="1111FB"/>
        </w:rPr>
      </w:pPr>
    </w:p>
    <w:p w14:paraId="2291869E" w14:textId="0273CE10" w:rsidR="00025477" w:rsidRPr="00781140" w:rsidRDefault="00092566" w:rsidP="0002547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A106E3" w:rsidRPr="00A106E3">
        <w:rPr>
          <w:color w:val="1111FB"/>
        </w:rPr>
        <w:t xml:space="preserve">The values for the beta-binomial statistic across all product lines for the health plan level measure are all greater than 0.7, indicating the measure has very good reliability. The 10-90th percentile distribution of </w:t>
      </w:r>
      <w:r w:rsidR="00A106E3" w:rsidRPr="00A106E3">
        <w:rPr>
          <w:color w:val="1111FB"/>
        </w:rPr>
        <w:lastRenderedPageBreak/>
        <w:t>health plan level-reliability on this measure show the vast majority of health plans exceeded the minimally accepted threshold of 0.7, and the majority of plans exceeded 0.9. Strong reliability is demonstrated since the majority of variance is due to signal and not to noise.</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89C6DAE" w:rsidR="00696262" w:rsidRPr="00A25024" w:rsidRDefault="0035181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273C1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BB1538C" w:rsidR="000574AB" w:rsidRPr="00A25024" w:rsidRDefault="0035181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273C1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F8465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C44B690" w14:textId="0855D75E" w:rsidR="00B634BC" w:rsidRPr="009752CF" w:rsidRDefault="009C7513" w:rsidP="00B634BC">
      <w:pPr>
        <w:autoSpaceDE w:val="0"/>
        <w:autoSpaceDN w:val="0"/>
        <w:adjustRightInd w:val="0"/>
        <w:spacing w:after="0" w:line="240" w:lineRule="auto"/>
        <w:rPr>
          <w:rFonts w:cstheme="minorHAnsi"/>
          <w:bCs/>
          <w:color w:val="1111FB"/>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B634BC" w:rsidRPr="009752CF">
        <w:rPr>
          <w:rFonts w:cstheme="minorHAnsi"/>
          <w:bCs/>
          <w:color w:val="1111FB"/>
        </w:rPr>
        <w:t xml:space="preserve">We tested for construct validity </w:t>
      </w:r>
      <w:r w:rsidR="00B634BC">
        <w:rPr>
          <w:rFonts w:cstheme="minorHAnsi"/>
          <w:bCs/>
          <w:color w:val="1111FB"/>
        </w:rPr>
        <w:t>of the Comprehensive Diabetes Care (CDC): HbA1c Control (</w:t>
      </w:r>
      <w:r w:rsidR="006F74AA">
        <w:rPr>
          <w:rFonts w:cstheme="minorHAnsi"/>
          <w:bCs/>
          <w:color w:val="1111FB"/>
        </w:rPr>
        <w:t>&lt;8</w:t>
      </w:r>
      <w:r w:rsidR="00B634BC">
        <w:rPr>
          <w:rFonts w:cstheme="minorHAnsi"/>
          <w:bCs/>
          <w:color w:val="1111FB"/>
        </w:rPr>
        <w:t xml:space="preserve">.0%) measure </w:t>
      </w:r>
      <w:r w:rsidR="00B634BC" w:rsidRPr="009752CF">
        <w:rPr>
          <w:rFonts w:cstheme="minorHAnsi"/>
          <w:bCs/>
          <w:color w:val="1111FB"/>
        </w:rPr>
        <w:t>by exploring whether</w:t>
      </w:r>
      <w:r w:rsidR="00B634BC">
        <w:rPr>
          <w:rFonts w:cstheme="minorHAnsi"/>
          <w:bCs/>
          <w:color w:val="1111FB"/>
        </w:rPr>
        <w:t xml:space="preserve"> it </w:t>
      </w:r>
      <w:r w:rsidR="00B634BC" w:rsidRPr="009752CF">
        <w:rPr>
          <w:rFonts w:cstheme="minorHAnsi"/>
          <w:bCs/>
          <w:color w:val="1111FB"/>
        </w:rPr>
        <w:t xml:space="preserve">was correlated with other similar measures of quality hypothesized which are listed below. </w:t>
      </w:r>
    </w:p>
    <w:p w14:paraId="131C85A3" w14:textId="77777777" w:rsidR="00B634BC" w:rsidRPr="009752CF" w:rsidRDefault="00B634BC" w:rsidP="00B634BC">
      <w:pPr>
        <w:pStyle w:val="ListParagraph"/>
        <w:numPr>
          <w:ilvl w:val="0"/>
          <w:numId w:val="30"/>
        </w:numPr>
        <w:autoSpaceDE w:val="0"/>
        <w:autoSpaceDN w:val="0"/>
        <w:adjustRightInd w:val="0"/>
        <w:spacing w:after="0" w:line="240" w:lineRule="auto"/>
        <w:rPr>
          <w:color w:val="1111FB"/>
        </w:rPr>
      </w:pPr>
      <w:r w:rsidRPr="005D23E8">
        <w:rPr>
          <w:color w:val="1111FB"/>
          <w:u w:val="single"/>
        </w:rPr>
        <w:t xml:space="preserve">CDC: Hemoglobin A1c (HbA1c) </w:t>
      </w:r>
      <w:r>
        <w:rPr>
          <w:color w:val="1111FB"/>
          <w:u w:val="single"/>
        </w:rPr>
        <w:t>T</w:t>
      </w:r>
      <w:r w:rsidRPr="005D23E8">
        <w:rPr>
          <w:color w:val="1111FB"/>
          <w:u w:val="single"/>
        </w:rPr>
        <w:t>esting</w:t>
      </w:r>
      <w:r>
        <w:rPr>
          <w:color w:val="1111FB"/>
        </w:rPr>
        <w:t>: The percentage of adults 18-75 with diabetes that had an HbA1c test performed during the measurement year.</w:t>
      </w:r>
    </w:p>
    <w:p w14:paraId="3DFDA5E0" w14:textId="32902C64" w:rsidR="001A3859" w:rsidRPr="001A3859" w:rsidRDefault="001A3859" w:rsidP="001A3859">
      <w:pPr>
        <w:pStyle w:val="ListParagraph"/>
        <w:numPr>
          <w:ilvl w:val="0"/>
          <w:numId w:val="30"/>
        </w:numPr>
        <w:spacing w:after="0" w:line="240" w:lineRule="auto"/>
        <w:textAlignment w:val="baseline"/>
        <w:rPr>
          <w:rFonts w:eastAsia="Times New Roman" w:cstheme="minorHAnsi"/>
          <w:i/>
          <w:iCs/>
          <w:color w:val="1111FB"/>
        </w:rPr>
      </w:pPr>
      <w:r>
        <w:rPr>
          <w:rFonts w:eastAsia="Times New Roman" w:cstheme="minorHAnsi"/>
          <w:color w:val="1111FB"/>
          <w:u w:val="single"/>
        </w:rPr>
        <w:t xml:space="preserve">CDC: </w:t>
      </w:r>
      <w:r w:rsidRPr="0082641F">
        <w:rPr>
          <w:rFonts w:eastAsia="Times New Roman" w:cstheme="minorHAnsi"/>
          <w:color w:val="1111FB"/>
          <w:u w:val="single"/>
        </w:rPr>
        <w:t>HbA1c Poor Control (&gt; 9.0%)</w:t>
      </w:r>
      <w:r w:rsidRPr="0082641F">
        <w:rPr>
          <w:rFonts w:eastAsia="Times New Roman" w:cstheme="minorHAnsi"/>
          <w:color w:val="1111FB"/>
        </w:rPr>
        <w:t>:</w:t>
      </w:r>
      <w:r w:rsidRPr="001E2710">
        <w:rPr>
          <w:rFonts w:eastAsia="Times New Roman" w:cstheme="minorHAnsi"/>
          <w:color w:val="1111FB"/>
        </w:rPr>
        <w:t> The percentage of adults 18-75 with diabetes whose most recent HbA1c level is &gt;9</w:t>
      </w:r>
      <w:r>
        <w:rPr>
          <w:rFonts w:eastAsia="Times New Roman" w:cstheme="minorHAnsi"/>
          <w:color w:val="1111FB"/>
        </w:rPr>
        <w:t>% during the measurement year.</w:t>
      </w:r>
    </w:p>
    <w:p w14:paraId="3C702EB9" w14:textId="77777777" w:rsidR="00B634BC" w:rsidRPr="009752CF" w:rsidRDefault="00B634BC" w:rsidP="00B634BC">
      <w:pPr>
        <w:pStyle w:val="ListParagraph"/>
        <w:numPr>
          <w:ilvl w:val="0"/>
          <w:numId w:val="30"/>
        </w:numPr>
        <w:autoSpaceDE w:val="0"/>
        <w:autoSpaceDN w:val="0"/>
        <w:adjustRightInd w:val="0"/>
        <w:spacing w:after="0" w:line="240" w:lineRule="auto"/>
        <w:rPr>
          <w:color w:val="1111FB"/>
        </w:rPr>
      </w:pPr>
      <w:r w:rsidRPr="005D23E8">
        <w:rPr>
          <w:color w:val="1111FB"/>
          <w:u w:val="single"/>
        </w:rPr>
        <w:t xml:space="preserve">CDC: Eye </w:t>
      </w:r>
      <w:r>
        <w:rPr>
          <w:color w:val="1111FB"/>
          <w:u w:val="single"/>
        </w:rPr>
        <w:t>E</w:t>
      </w:r>
      <w:r w:rsidRPr="005D23E8">
        <w:rPr>
          <w:color w:val="1111FB"/>
          <w:u w:val="single"/>
        </w:rPr>
        <w:t>xam (</w:t>
      </w:r>
      <w:r>
        <w:rPr>
          <w:color w:val="1111FB"/>
          <w:u w:val="single"/>
        </w:rPr>
        <w:t>R</w:t>
      </w:r>
      <w:r w:rsidRPr="005D23E8">
        <w:rPr>
          <w:color w:val="1111FB"/>
          <w:u w:val="single"/>
        </w:rPr>
        <w:t xml:space="preserve">etinal) </w:t>
      </w:r>
      <w:r>
        <w:rPr>
          <w:color w:val="1111FB"/>
          <w:u w:val="single"/>
        </w:rPr>
        <w:t>P</w:t>
      </w:r>
      <w:r w:rsidRPr="005D23E8">
        <w:rPr>
          <w:color w:val="1111FB"/>
          <w:u w:val="single"/>
        </w:rPr>
        <w:t>erformed</w:t>
      </w:r>
      <w:r>
        <w:rPr>
          <w:color w:val="1111FB"/>
        </w:rPr>
        <w:t>: The percentage of adults 18-75 with diabetes that had an eye screening for diabetic retinal disease during the measurement year.</w:t>
      </w:r>
    </w:p>
    <w:p w14:paraId="36BD3A70" w14:textId="77777777" w:rsidR="00B634BC" w:rsidRPr="009752CF" w:rsidRDefault="00B634BC" w:rsidP="00B634BC">
      <w:pPr>
        <w:pStyle w:val="ListParagraph"/>
        <w:numPr>
          <w:ilvl w:val="0"/>
          <w:numId w:val="30"/>
        </w:numPr>
        <w:autoSpaceDE w:val="0"/>
        <w:autoSpaceDN w:val="0"/>
        <w:adjustRightInd w:val="0"/>
        <w:spacing w:after="0" w:line="240" w:lineRule="auto"/>
        <w:rPr>
          <w:color w:val="1111FB"/>
        </w:rPr>
      </w:pPr>
      <w:r w:rsidRPr="005D23E8">
        <w:rPr>
          <w:color w:val="1111FB"/>
          <w:u w:val="single"/>
        </w:rPr>
        <w:t xml:space="preserve">CDC: Medical </w:t>
      </w:r>
      <w:r>
        <w:rPr>
          <w:color w:val="1111FB"/>
          <w:u w:val="single"/>
        </w:rPr>
        <w:t>A</w:t>
      </w:r>
      <w:r w:rsidRPr="005D23E8">
        <w:rPr>
          <w:color w:val="1111FB"/>
          <w:u w:val="single"/>
        </w:rPr>
        <w:t xml:space="preserve">ttention for </w:t>
      </w:r>
      <w:r>
        <w:rPr>
          <w:color w:val="1111FB"/>
          <w:u w:val="single"/>
        </w:rPr>
        <w:t>N</w:t>
      </w:r>
      <w:r w:rsidRPr="005D23E8">
        <w:rPr>
          <w:color w:val="1111FB"/>
          <w:u w:val="single"/>
        </w:rPr>
        <w:t>ephropathy</w:t>
      </w:r>
      <w:r>
        <w:rPr>
          <w:color w:val="1111FB"/>
        </w:rPr>
        <w:t>: The percentage of adults 18-75 with diabetes that had a nephropathy screening test or evidence of nephropathy during the measurement year.</w:t>
      </w:r>
    </w:p>
    <w:p w14:paraId="14779C41" w14:textId="2C38688C" w:rsidR="00B634BC" w:rsidRDefault="00B634BC" w:rsidP="00B634BC">
      <w:pPr>
        <w:pStyle w:val="ListParagraph"/>
        <w:numPr>
          <w:ilvl w:val="0"/>
          <w:numId w:val="30"/>
        </w:numPr>
        <w:autoSpaceDE w:val="0"/>
        <w:autoSpaceDN w:val="0"/>
        <w:adjustRightInd w:val="0"/>
        <w:spacing w:after="0" w:line="240" w:lineRule="auto"/>
        <w:rPr>
          <w:color w:val="1111FB"/>
        </w:rPr>
      </w:pPr>
      <w:r w:rsidRPr="005D23E8">
        <w:rPr>
          <w:color w:val="1111FB"/>
          <w:u w:val="single"/>
        </w:rPr>
        <w:t>CDC: B</w:t>
      </w:r>
      <w:r>
        <w:rPr>
          <w:color w:val="1111FB"/>
          <w:u w:val="single"/>
        </w:rPr>
        <w:t>lood Pressure</w:t>
      </w:r>
      <w:r w:rsidRPr="005D23E8">
        <w:rPr>
          <w:color w:val="1111FB"/>
          <w:u w:val="single"/>
        </w:rPr>
        <w:t xml:space="preserve"> </w:t>
      </w:r>
      <w:r>
        <w:rPr>
          <w:color w:val="1111FB"/>
          <w:u w:val="single"/>
        </w:rPr>
        <w:t>C</w:t>
      </w:r>
      <w:r w:rsidRPr="005D23E8">
        <w:rPr>
          <w:color w:val="1111FB"/>
          <w:u w:val="single"/>
        </w:rPr>
        <w:t>ontrol (&lt;140/90 mm Hg)</w:t>
      </w:r>
      <w:r>
        <w:rPr>
          <w:color w:val="1111FB"/>
        </w:rPr>
        <w:t>: The percentage of adults 18-75 with diabetes whose most recent blood pressure level taken during the measurement year is &lt;140/90 mm Hg.</w:t>
      </w:r>
    </w:p>
    <w:p w14:paraId="0B0F8DF1" w14:textId="45B1E74C" w:rsidR="006E540D" w:rsidRDefault="006E540D" w:rsidP="006E540D">
      <w:pPr>
        <w:autoSpaceDE w:val="0"/>
        <w:autoSpaceDN w:val="0"/>
        <w:adjustRightInd w:val="0"/>
        <w:spacing w:after="0" w:line="240" w:lineRule="auto"/>
        <w:rPr>
          <w:color w:val="1111FB"/>
        </w:rPr>
      </w:pPr>
    </w:p>
    <w:p w14:paraId="5503333D" w14:textId="6E380756" w:rsidR="006E540D" w:rsidRPr="006E540D" w:rsidRDefault="00D54F8A" w:rsidP="006E540D">
      <w:pPr>
        <w:autoSpaceDE w:val="0"/>
        <w:autoSpaceDN w:val="0"/>
        <w:adjustRightInd w:val="0"/>
        <w:spacing w:after="0" w:line="240" w:lineRule="auto"/>
        <w:rPr>
          <w:color w:val="1111FB"/>
        </w:rPr>
      </w:pPr>
      <w:r w:rsidRPr="00D54F8A">
        <w:rPr>
          <w:color w:val="1111FB"/>
        </w:rPr>
        <w:t>These measures were chosen for construct validity because they are similarly focused on a population with diabetes (type 1 and type 2) and focus on evidenced-based monitoring and treatment for patients with diabetes. We hypothesized that a plan that does well on these measures for diabetes would also do well on this blood pressure control measure for patients who have diabetes.</w:t>
      </w:r>
    </w:p>
    <w:p w14:paraId="036F206A" w14:textId="6335A696" w:rsidR="00072CAB" w:rsidRPr="00D96B86" w:rsidRDefault="00072CAB" w:rsidP="00B634BC">
      <w:pPr>
        <w:autoSpaceDE w:val="0"/>
        <w:autoSpaceDN w:val="0"/>
        <w:adjustRightInd w:val="0"/>
        <w:spacing w:after="0" w:line="240" w:lineRule="auto"/>
        <w:rPr>
          <w:rFonts w:cstheme="minorHAnsi"/>
          <w:bCs/>
          <w:color w:val="1111FB"/>
        </w:rPr>
      </w:pPr>
    </w:p>
    <w:p w14:paraId="42AEF95E" w14:textId="3E70BC61" w:rsidR="2A6A4B2B" w:rsidRDefault="00857CF7" w:rsidP="2A6A4B2B">
      <w:pPr>
        <w:pStyle w:val="paragraph"/>
        <w:spacing w:before="0" w:beforeAutospacing="0" w:after="0" w:afterAutospacing="0"/>
        <w:rPr>
          <w:rStyle w:val="eop"/>
          <w:rFonts w:ascii="Calibri" w:hAnsi="Calibri" w:cs="Calibri"/>
          <w:i/>
          <w:iCs/>
          <w:color w:val="1111FB"/>
          <w:sz w:val="22"/>
          <w:szCs w:val="22"/>
        </w:rPr>
      </w:pPr>
      <w:r w:rsidRPr="00857CF7">
        <w:rPr>
          <w:rFonts w:asciiTheme="minorHAnsi" w:eastAsiaTheme="minorEastAsia" w:hAnsiTheme="minorHAnsi" w:cstheme="minorBidi"/>
          <w:color w:val="1111FB"/>
          <w:sz w:val="22"/>
          <w:szCs w:val="22"/>
        </w:rPr>
        <w:t xml:space="preserve">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w:t>
      </w:r>
      <w:r w:rsidRPr="00857CF7">
        <w:rPr>
          <w:rFonts w:asciiTheme="minorHAnsi" w:eastAsiaTheme="minorEastAsia" w:hAnsiTheme="minorHAnsi" w:cstheme="minorBidi"/>
          <w:color w:val="1111FB"/>
          <w:sz w:val="22"/>
          <w:szCs w:val="22"/>
        </w:rPr>
        <w:lastRenderedPageBreak/>
        <w:t>due to chance alone. We used a threshold of 0.05 to evaluate the test results. P-values less than this threshold imply that it is unlikely that a non-zero coefficient was observed due to chance alone.</w:t>
      </w:r>
    </w:p>
    <w:p w14:paraId="0901AF95" w14:textId="77777777" w:rsidR="00857CF7" w:rsidRDefault="00857CF7" w:rsidP="2A6A4B2B">
      <w:pPr>
        <w:pStyle w:val="paragraph"/>
        <w:spacing w:before="0" w:beforeAutospacing="0" w:after="0" w:afterAutospacing="0"/>
        <w:rPr>
          <w:rStyle w:val="eop"/>
          <w:rFonts w:ascii="Calibri" w:hAnsi="Calibri" w:cs="Calibri"/>
          <w:i/>
          <w:iCs/>
          <w:color w:val="1111FB"/>
          <w:sz w:val="22"/>
          <w:szCs w:val="22"/>
        </w:rPr>
      </w:pPr>
    </w:p>
    <w:p w14:paraId="3346E8CD" w14:textId="05F7A856" w:rsidR="2A6A4B2B" w:rsidRDefault="2A6A4B2B" w:rsidP="2A6A4B2B">
      <w:pPr>
        <w:pStyle w:val="paragraph"/>
        <w:spacing w:before="0" w:beforeAutospacing="0" w:after="0" w:afterAutospacing="0"/>
        <w:rPr>
          <w:rStyle w:val="eop"/>
          <w:rFonts w:ascii="Calibri" w:hAnsi="Calibri" w:cs="Calibri"/>
          <w:color w:val="1111FB"/>
          <w:sz w:val="22"/>
          <w:szCs w:val="22"/>
        </w:rPr>
      </w:pPr>
      <w:r w:rsidRPr="2A6A4B2B">
        <w:rPr>
          <w:rStyle w:val="eop"/>
          <w:rFonts w:ascii="Calibri" w:hAnsi="Calibri" w:cs="Calibri"/>
          <w:i/>
          <w:iCs/>
          <w:color w:val="1111FB"/>
          <w:sz w:val="22"/>
          <w:szCs w:val="22"/>
        </w:rPr>
        <w:t xml:space="preserve">* Note: All HEDIS value sets are updated annually with the most current codes available. The information </w:t>
      </w:r>
      <w:r w:rsidR="0059354F">
        <w:rPr>
          <w:rStyle w:val="eop"/>
          <w:rFonts w:ascii="Calibri" w:hAnsi="Calibri" w:cs="Calibri"/>
          <w:i/>
          <w:iCs/>
          <w:color w:val="1111FB"/>
          <w:sz w:val="22"/>
          <w:szCs w:val="22"/>
        </w:rPr>
        <w:t xml:space="preserve">below details the process we used to convert value sets that used ICD-9 codes to ICD-10 codes in 2015. </w:t>
      </w:r>
      <w:r w:rsidR="00235D6F">
        <w:rPr>
          <w:rStyle w:val="eop"/>
          <w:rFonts w:ascii="Calibri" w:hAnsi="Calibri" w:cs="Calibri"/>
          <w:i/>
          <w:iCs/>
          <w:color w:val="1111FB"/>
          <w:sz w:val="22"/>
          <w:szCs w:val="22"/>
        </w:rPr>
        <w:t>*</w:t>
      </w:r>
    </w:p>
    <w:p w14:paraId="31FD751B" w14:textId="23A0403C" w:rsidR="00BC35E6" w:rsidRDefault="00BC35E6" w:rsidP="00BC35E6">
      <w:pPr>
        <w:pStyle w:val="paragraph"/>
        <w:spacing w:before="0" w:beforeAutospacing="0" w:after="0" w:afterAutospacing="0"/>
        <w:textAlignment w:val="baseline"/>
        <w:rPr>
          <w:rStyle w:val="eop"/>
          <w:rFonts w:ascii="Calibri" w:hAnsi="Calibri" w:cs="Calibri"/>
          <w:color w:val="1111FB"/>
          <w:sz w:val="22"/>
          <w:szCs w:val="22"/>
        </w:rPr>
      </w:pPr>
    </w:p>
    <w:p w14:paraId="55CD00B5" w14:textId="6E0E34E2" w:rsidR="00F1187E" w:rsidRDefault="00F1187E" w:rsidP="00BC35E6">
      <w:pPr>
        <w:pStyle w:val="paragraph"/>
        <w:spacing w:before="0" w:beforeAutospacing="0" w:after="0" w:afterAutospacing="0"/>
        <w:textAlignment w:val="baseline"/>
        <w:rPr>
          <w:rStyle w:val="eop"/>
          <w:rFonts w:ascii="Calibri" w:hAnsi="Calibri" w:cs="Calibri"/>
          <w:color w:val="1111FB"/>
          <w:sz w:val="22"/>
          <w:szCs w:val="22"/>
        </w:rPr>
      </w:pPr>
      <w:r w:rsidRPr="00031940">
        <w:rPr>
          <w:rStyle w:val="eop"/>
          <w:rFonts w:ascii="Calibri" w:hAnsi="Calibri" w:cs="Calibri"/>
          <w:color w:val="1111FB"/>
          <w:sz w:val="22"/>
          <w:szCs w:val="22"/>
          <w:u w:val="single"/>
        </w:rPr>
        <w:t>ICD-10 CONVERSION</w:t>
      </w:r>
      <w:r>
        <w:rPr>
          <w:rStyle w:val="eop"/>
          <w:rFonts w:ascii="Calibri" w:hAnsi="Calibri" w:cs="Calibri"/>
          <w:color w:val="1111FB"/>
          <w:sz w:val="22"/>
          <w:szCs w:val="22"/>
        </w:rPr>
        <w:t>:</w:t>
      </w:r>
    </w:p>
    <w:p w14:paraId="320FB664" w14:textId="326AD700" w:rsidR="00F1187E" w:rsidRDefault="00F1187E" w:rsidP="00BC35E6">
      <w:pPr>
        <w:pStyle w:val="paragraph"/>
        <w:spacing w:before="0" w:beforeAutospacing="0" w:after="0" w:afterAutospacing="0"/>
        <w:textAlignment w:val="baseline"/>
        <w:rPr>
          <w:rStyle w:val="eop"/>
          <w:rFonts w:ascii="Calibri" w:hAnsi="Calibri" w:cs="Calibri"/>
          <w:color w:val="1111FB"/>
          <w:sz w:val="22"/>
          <w:szCs w:val="22"/>
        </w:rPr>
      </w:pPr>
      <w:r>
        <w:rPr>
          <w:rStyle w:val="eop"/>
          <w:rFonts w:ascii="Calibri" w:hAnsi="Calibri" w:cs="Calibri"/>
          <w:color w:val="1111FB"/>
          <w:sz w:val="22"/>
          <w:szCs w:val="22"/>
        </w:rPr>
        <w:t>In preparation for the national implementation of ICD-10 in 2015, NCQA conducted a systematic mapping of all value sets maintained by the organization to ensure the new values used for reporting maintained the reliability, validity, and intent of the original specification.</w:t>
      </w:r>
    </w:p>
    <w:p w14:paraId="6E05955E" w14:textId="77777777" w:rsidR="00F1187E" w:rsidRPr="00F1187E" w:rsidRDefault="00F1187E" w:rsidP="00BC35E6">
      <w:pPr>
        <w:pStyle w:val="paragraph"/>
        <w:spacing w:before="0" w:beforeAutospacing="0" w:after="0" w:afterAutospacing="0"/>
        <w:textAlignment w:val="baseline"/>
        <w:rPr>
          <w:rFonts w:ascii="Segoe UI" w:hAnsi="Segoe UI" w:cs="Segoe UI"/>
          <w:color w:val="1111FB"/>
          <w:sz w:val="18"/>
          <w:szCs w:val="18"/>
        </w:rPr>
      </w:pPr>
    </w:p>
    <w:p w14:paraId="638248F9" w14:textId="77777777" w:rsidR="00BC35E6" w:rsidRPr="00F1187E" w:rsidRDefault="00BC35E6" w:rsidP="00BC35E6">
      <w:pPr>
        <w:pStyle w:val="paragraph"/>
        <w:spacing w:before="0" w:beforeAutospacing="0" w:after="0" w:afterAutospacing="0"/>
        <w:textAlignment w:val="baseline"/>
        <w:rPr>
          <w:rStyle w:val="normaltextrun"/>
          <w:rFonts w:asciiTheme="minorHAnsi" w:hAnsiTheme="minorHAnsi" w:cstheme="minorHAnsi"/>
          <w:color w:val="1111FB"/>
          <w:sz w:val="22"/>
          <w:szCs w:val="22"/>
        </w:rPr>
      </w:pPr>
      <w:r w:rsidRPr="00F1187E">
        <w:rPr>
          <w:rStyle w:val="normaltextrun"/>
          <w:rFonts w:asciiTheme="minorHAnsi" w:hAnsiTheme="minorHAnsi" w:cstheme="minorHAnsi"/>
          <w:color w:val="1111FB"/>
          <w:sz w:val="22"/>
          <w:szCs w:val="22"/>
        </w:rPr>
        <w:t>Steps in ICD-9 to ICD-10 Conversion Process</w:t>
      </w:r>
    </w:p>
    <w:p w14:paraId="18367331" w14:textId="0A810049" w:rsidR="00BC35E6" w:rsidRPr="00D96B86" w:rsidRDefault="00BC35E6" w:rsidP="00BC35E6">
      <w:pPr>
        <w:pStyle w:val="paragraph"/>
        <w:numPr>
          <w:ilvl w:val="0"/>
          <w:numId w:val="32"/>
        </w:numPr>
        <w:spacing w:before="0" w:beforeAutospacing="0" w:after="0" w:afterAutospacing="0"/>
        <w:textAlignment w:val="baseline"/>
        <w:rPr>
          <w:rFonts w:asciiTheme="minorHAnsi" w:hAnsiTheme="minorHAnsi" w:cstheme="minorHAnsi"/>
          <w:color w:val="1111FB"/>
          <w:sz w:val="22"/>
          <w:szCs w:val="22"/>
        </w:rPr>
      </w:pPr>
      <w:r w:rsidRPr="00D96B86">
        <w:rPr>
          <w:rStyle w:val="normaltextrun"/>
          <w:rFonts w:asciiTheme="minorHAnsi" w:hAnsiTheme="minorHAnsi" w:cstheme="minorHAnsi"/>
          <w:color w:val="1111FB"/>
          <w:sz w:val="22"/>
          <w:szCs w:val="22"/>
        </w:rPr>
        <w:t xml:space="preserve">NCQA </w:t>
      </w:r>
      <w:r w:rsidR="00665746">
        <w:rPr>
          <w:rStyle w:val="normaltextrun"/>
          <w:rFonts w:asciiTheme="minorHAnsi" w:hAnsiTheme="minorHAnsi" w:cstheme="minorHAnsi"/>
          <w:color w:val="1111FB"/>
          <w:sz w:val="22"/>
          <w:szCs w:val="22"/>
        </w:rPr>
        <w:t>first identified values sets within the measure that included ICD-9 codes. We used General Equivalence Mapping (GEM) to identify</w:t>
      </w:r>
      <w:r w:rsidRPr="00D96B86">
        <w:rPr>
          <w:rStyle w:val="normaltextrun"/>
          <w:rFonts w:asciiTheme="minorHAnsi" w:hAnsiTheme="minorHAnsi" w:cstheme="minorHAnsi"/>
          <w:color w:val="1111FB"/>
          <w:sz w:val="22"/>
          <w:szCs w:val="22"/>
        </w:rPr>
        <w:t xml:space="preserve"> ICD-10 codes </w:t>
      </w:r>
      <w:r w:rsidR="00665746">
        <w:rPr>
          <w:rStyle w:val="normaltextrun"/>
          <w:rFonts w:asciiTheme="minorHAnsi" w:hAnsiTheme="minorHAnsi" w:cstheme="minorHAnsi"/>
          <w:color w:val="1111FB"/>
          <w:sz w:val="22"/>
          <w:szCs w:val="22"/>
        </w:rPr>
        <w:t xml:space="preserve">that map to ICD-9 codes and reviewed </w:t>
      </w:r>
      <w:r w:rsidRPr="00D96B86">
        <w:rPr>
          <w:rStyle w:val="normaltextrun"/>
          <w:rFonts w:asciiTheme="minorHAnsi" w:hAnsiTheme="minorHAnsi" w:cstheme="minorHAnsi"/>
          <w:color w:val="1111FB"/>
          <w:sz w:val="22"/>
          <w:szCs w:val="22"/>
        </w:rPr>
        <w:t>GEM mapping in both directions (ICD-9 to ICD-10 and ICD-10 to ICD-9) to identify potential trending issues.</w:t>
      </w:r>
      <w:r w:rsidRPr="00D96B86">
        <w:rPr>
          <w:rStyle w:val="eop"/>
          <w:rFonts w:asciiTheme="minorHAnsi" w:hAnsiTheme="minorHAnsi" w:cstheme="minorHAnsi"/>
          <w:color w:val="1111FB"/>
          <w:sz w:val="22"/>
          <w:szCs w:val="22"/>
        </w:rPr>
        <w:t> </w:t>
      </w:r>
    </w:p>
    <w:p w14:paraId="7BEDE681" w14:textId="6672DD45" w:rsidR="00BC35E6" w:rsidRPr="00D96B86" w:rsidRDefault="00BC35E6" w:rsidP="00BC35E6">
      <w:pPr>
        <w:pStyle w:val="paragraph"/>
        <w:numPr>
          <w:ilvl w:val="0"/>
          <w:numId w:val="32"/>
        </w:numPr>
        <w:spacing w:before="0" w:beforeAutospacing="0" w:after="0" w:afterAutospacing="0"/>
        <w:textAlignment w:val="baseline"/>
        <w:rPr>
          <w:rFonts w:asciiTheme="minorHAnsi" w:hAnsiTheme="minorHAnsi" w:cstheme="minorHAnsi"/>
          <w:color w:val="1111FB"/>
          <w:sz w:val="22"/>
          <w:szCs w:val="22"/>
        </w:rPr>
      </w:pPr>
      <w:r w:rsidRPr="00D96B86">
        <w:rPr>
          <w:rStyle w:val="normaltextrun"/>
          <w:rFonts w:asciiTheme="minorHAnsi" w:hAnsiTheme="minorHAnsi" w:cstheme="minorHAnsi"/>
          <w:color w:val="1111FB"/>
          <w:sz w:val="22"/>
          <w:szCs w:val="22"/>
        </w:rPr>
        <w:t xml:space="preserve">NCQA </w:t>
      </w:r>
      <w:r w:rsidR="00665746">
        <w:rPr>
          <w:rStyle w:val="normaltextrun"/>
          <w:rFonts w:asciiTheme="minorHAnsi" w:hAnsiTheme="minorHAnsi" w:cstheme="minorHAnsi"/>
          <w:color w:val="1111FB"/>
          <w:sz w:val="22"/>
          <w:szCs w:val="22"/>
        </w:rPr>
        <w:t>then searched for</w:t>
      </w:r>
      <w:r w:rsidRPr="00D96B86">
        <w:rPr>
          <w:rStyle w:val="normaltextrun"/>
          <w:rFonts w:asciiTheme="minorHAnsi" w:hAnsiTheme="minorHAnsi" w:cstheme="minorHAnsi"/>
          <w:color w:val="1111FB"/>
          <w:sz w:val="22"/>
          <w:szCs w:val="22"/>
        </w:rPr>
        <w:t xml:space="preserve"> additional codes (not identified by GEM mapping step) that should be considered</w:t>
      </w:r>
      <w:r w:rsidR="00665746">
        <w:rPr>
          <w:rStyle w:val="normaltextrun"/>
          <w:rFonts w:asciiTheme="minorHAnsi" w:hAnsiTheme="minorHAnsi" w:cstheme="minorHAnsi"/>
          <w:color w:val="1111FB"/>
          <w:sz w:val="22"/>
          <w:szCs w:val="22"/>
        </w:rPr>
        <w:t xml:space="preserve"> due to the expansion of concepts in ICD-10</w:t>
      </w:r>
      <w:r w:rsidRPr="00D96B86">
        <w:rPr>
          <w:rStyle w:val="normaltextrun"/>
          <w:rFonts w:asciiTheme="minorHAnsi" w:hAnsiTheme="minorHAnsi" w:cstheme="minorHAnsi"/>
          <w:color w:val="1111FB"/>
          <w:sz w:val="22"/>
          <w:szCs w:val="22"/>
        </w:rPr>
        <w:t>. Using ICD-10 tabular list and ICD-10 Index, search</w:t>
      </w:r>
      <w:r w:rsidR="00054903">
        <w:rPr>
          <w:rStyle w:val="normaltextrun"/>
          <w:rFonts w:asciiTheme="minorHAnsi" w:hAnsiTheme="minorHAnsi" w:cstheme="minorHAnsi"/>
          <w:color w:val="1111FB"/>
          <w:sz w:val="22"/>
          <w:szCs w:val="22"/>
        </w:rPr>
        <w:t>es</w:t>
      </w:r>
      <w:r w:rsidRPr="00D96B86">
        <w:rPr>
          <w:rStyle w:val="normaltextrun"/>
          <w:rFonts w:asciiTheme="minorHAnsi" w:hAnsiTheme="minorHAnsi" w:cstheme="minorHAnsi"/>
          <w:color w:val="1111FB"/>
          <w:sz w:val="22"/>
          <w:szCs w:val="22"/>
        </w:rPr>
        <w:t xml:space="preserve"> by diagnosis or procedure name </w:t>
      </w:r>
      <w:r w:rsidR="00054903">
        <w:rPr>
          <w:rStyle w:val="normaltextrun"/>
          <w:rFonts w:asciiTheme="minorHAnsi" w:hAnsiTheme="minorHAnsi" w:cstheme="minorHAnsi"/>
          <w:color w:val="1111FB"/>
          <w:sz w:val="22"/>
          <w:szCs w:val="22"/>
        </w:rPr>
        <w:t xml:space="preserve">were conducted to identify </w:t>
      </w:r>
      <w:r w:rsidRPr="00D96B86">
        <w:rPr>
          <w:rStyle w:val="normaltextrun"/>
          <w:rFonts w:asciiTheme="minorHAnsi" w:hAnsiTheme="minorHAnsi" w:cstheme="minorHAnsi"/>
          <w:color w:val="1111FB"/>
          <w:sz w:val="22"/>
          <w:szCs w:val="22"/>
        </w:rPr>
        <w:t>appropriate codes.</w:t>
      </w:r>
      <w:r w:rsidRPr="00D96B86">
        <w:rPr>
          <w:rStyle w:val="eop"/>
          <w:rFonts w:asciiTheme="minorHAnsi" w:hAnsiTheme="minorHAnsi" w:cstheme="minorHAnsi"/>
          <w:color w:val="1111FB"/>
          <w:sz w:val="22"/>
          <w:szCs w:val="22"/>
        </w:rPr>
        <w:t> </w:t>
      </w:r>
    </w:p>
    <w:p w14:paraId="70B0DC8B" w14:textId="5DF8BB05" w:rsidR="00BC35E6" w:rsidRPr="00D96B86" w:rsidRDefault="00BC35E6" w:rsidP="00BC35E6">
      <w:pPr>
        <w:pStyle w:val="paragraph"/>
        <w:numPr>
          <w:ilvl w:val="0"/>
          <w:numId w:val="32"/>
        </w:numPr>
        <w:spacing w:before="0" w:beforeAutospacing="0" w:after="0" w:afterAutospacing="0"/>
        <w:textAlignment w:val="baseline"/>
        <w:rPr>
          <w:rFonts w:asciiTheme="minorHAnsi" w:hAnsiTheme="minorHAnsi" w:cstheme="minorHAnsi"/>
          <w:color w:val="1111FB"/>
          <w:sz w:val="22"/>
          <w:szCs w:val="22"/>
        </w:rPr>
      </w:pPr>
      <w:r w:rsidRPr="00D96B86">
        <w:rPr>
          <w:rStyle w:val="normaltextrun"/>
          <w:rFonts w:asciiTheme="minorHAnsi" w:hAnsiTheme="minorHAnsi" w:cstheme="minorHAnsi"/>
          <w:color w:val="1111FB"/>
          <w:sz w:val="22"/>
          <w:szCs w:val="22"/>
        </w:rPr>
        <w:t>NCQA HEDIS Expert Coding Panel review</w:t>
      </w:r>
      <w:r w:rsidR="00054903">
        <w:rPr>
          <w:rStyle w:val="normaltextrun"/>
          <w:rFonts w:asciiTheme="minorHAnsi" w:hAnsiTheme="minorHAnsi" w:cstheme="minorHAnsi"/>
          <w:color w:val="1111FB"/>
          <w:sz w:val="22"/>
          <w:szCs w:val="22"/>
        </w:rPr>
        <w:t>:</w:t>
      </w:r>
      <w:r w:rsidRPr="00D96B86">
        <w:rPr>
          <w:rStyle w:val="normaltextrun"/>
          <w:rFonts w:asciiTheme="minorHAnsi" w:hAnsiTheme="minorHAnsi" w:cstheme="minorHAnsi"/>
          <w:color w:val="1111FB"/>
          <w:sz w:val="22"/>
          <w:szCs w:val="22"/>
        </w:rPr>
        <w:t xml:space="preserve"> </w:t>
      </w:r>
      <w:r w:rsidR="00054903">
        <w:rPr>
          <w:rStyle w:val="normaltextrun"/>
          <w:rFonts w:asciiTheme="minorHAnsi" w:hAnsiTheme="minorHAnsi" w:cstheme="minorHAnsi"/>
          <w:color w:val="1111FB"/>
          <w:sz w:val="22"/>
          <w:szCs w:val="22"/>
        </w:rPr>
        <w:t xml:space="preserve">Updated value set </w:t>
      </w:r>
      <w:r w:rsidRPr="00D96B86">
        <w:rPr>
          <w:rStyle w:val="normaltextrun"/>
          <w:rFonts w:asciiTheme="minorHAnsi" w:hAnsiTheme="minorHAnsi" w:cstheme="minorHAnsi"/>
          <w:color w:val="1111FB"/>
          <w:sz w:val="22"/>
          <w:szCs w:val="22"/>
        </w:rPr>
        <w:t xml:space="preserve">recommendations </w:t>
      </w:r>
      <w:r w:rsidR="00895F6B">
        <w:rPr>
          <w:rStyle w:val="normaltextrun"/>
          <w:rFonts w:asciiTheme="minorHAnsi" w:hAnsiTheme="minorHAnsi" w:cstheme="minorHAnsi"/>
          <w:color w:val="1111FB"/>
          <w:sz w:val="22"/>
          <w:szCs w:val="22"/>
        </w:rPr>
        <w:t>were presented for expert review and feedback.</w:t>
      </w:r>
    </w:p>
    <w:p w14:paraId="7C56BF5D" w14:textId="68465A21" w:rsidR="00BC35E6" w:rsidRDefault="00043409" w:rsidP="00BC35E6">
      <w:pPr>
        <w:pStyle w:val="paragraph"/>
        <w:numPr>
          <w:ilvl w:val="0"/>
          <w:numId w:val="32"/>
        </w:numPr>
        <w:spacing w:before="0" w:beforeAutospacing="0" w:after="0" w:afterAutospacing="0"/>
        <w:textAlignment w:val="baseline"/>
        <w:rPr>
          <w:rStyle w:val="normaltextrun"/>
          <w:rFonts w:asciiTheme="minorHAnsi" w:hAnsiTheme="minorHAnsi" w:cstheme="minorHAnsi"/>
          <w:color w:val="1111FB"/>
          <w:sz w:val="22"/>
          <w:szCs w:val="22"/>
        </w:rPr>
      </w:pPr>
      <w:r>
        <w:rPr>
          <w:rStyle w:val="normaltextrun"/>
          <w:rFonts w:asciiTheme="minorHAnsi" w:hAnsiTheme="minorHAnsi" w:cstheme="minorHAnsi"/>
          <w:color w:val="1111FB"/>
          <w:sz w:val="22"/>
          <w:szCs w:val="22"/>
        </w:rPr>
        <w:t>NCQA RMAP clinical review: Due to increase specificity in ICD-10, new codes and definitions require review to confirm the diagnosis or procedure is consis</w:t>
      </w:r>
      <w:r w:rsidR="00B0325F">
        <w:rPr>
          <w:rStyle w:val="normaltextrun"/>
          <w:rFonts w:asciiTheme="minorHAnsi" w:hAnsiTheme="minorHAnsi" w:cstheme="minorHAnsi"/>
          <w:color w:val="1111FB"/>
          <w:sz w:val="22"/>
          <w:szCs w:val="22"/>
        </w:rPr>
        <w:t>tent and appropriate given the scope of the measure.</w:t>
      </w:r>
    </w:p>
    <w:p w14:paraId="6DFC8F35" w14:textId="7C00CE99" w:rsidR="00B0325F" w:rsidRDefault="00B0325F" w:rsidP="00BC35E6">
      <w:pPr>
        <w:pStyle w:val="paragraph"/>
        <w:numPr>
          <w:ilvl w:val="0"/>
          <w:numId w:val="32"/>
        </w:numPr>
        <w:spacing w:before="0" w:beforeAutospacing="0" w:after="0" w:afterAutospacing="0"/>
        <w:textAlignment w:val="baseline"/>
        <w:rPr>
          <w:rStyle w:val="normaltextrun"/>
          <w:rFonts w:asciiTheme="minorHAnsi" w:hAnsiTheme="minorHAnsi" w:cstheme="minorHAnsi"/>
          <w:color w:val="1111FB"/>
          <w:sz w:val="22"/>
          <w:szCs w:val="22"/>
        </w:rPr>
      </w:pPr>
      <w:r>
        <w:rPr>
          <w:rStyle w:val="normaltextrun"/>
          <w:rFonts w:asciiTheme="minorHAnsi" w:hAnsiTheme="minorHAnsi" w:cstheme="minorHAnsi"/>
          <w:color w:val="1111FB"/>
          <w:sz w:val="22"/>
          <w:szCs w:val="22"/>
        </w:rPr>
        <w:t>New value sets containing ICD-10 code recommendations were posted for public review and comment in 2014 and updated in 2015. Comments received were reconciled with additional feedback from HEDIS Expert Coding Panel and MAPs as needed.</w:t>
      </w:r>
    </w:p>
    <w:p w14:paraId="4602BC67" w14:textId="0C80B0FB" w:rsidR="00B0325F" w:rsidRPr="00D96B86" w:rsidRDefault="00B0325F" w:rsidP="00BC35E6">
      <w:pPr>
        <w:pStyle w:val="paragraph"/>
        <w:numPr>
          <w:ilvl w:val="0"/>
          <w:numId w:val="32"/>
        </w:numPr>
        <w:spacing w:before="0" w:beforeAutospacing="0" w:after="0" w:afterAutospacing="0"/>
        <w:textAlignment w:val="baseline"/>
        <w:rPr>
          <w:rFonts w:asciiTheme="minorHAnsi" w:hAnsiTheme="minorHAnsi" w:cstheme="minorHAnsi"/>
          <w:color w:val="1111FB"/>
          <w:sz w:val="22"/>
          <w:szCs w:val="22"/>
        </w:rPr>
      </w:pPr>
      <w:r>
        <w:rPr>
          <w:rStyle w:val="normaltextrun"/>
          <w:rFonts w:asciiTheme="minorHAnsi" w:hAnsiTheme="minorHAnsi" w:cstheme="minorHAnsi"/>
          <w:color w:val="1111FB"/>
          <w:sz w:val="22"/>
          <w:szCs w:val="22"/>
        </w:rPr>
        <w:t>NCQA staff finalized value sets containing ICD-10 codes for publication in 2015.</w:t>
      </w:r>
    </w:p>
    <w:p w14:paraId="26F83B16" w14:textId="77777777" w:rsidR="00BC35E6" w:rsidRPr="00D96B86" w:rsidRDefault="00BC35E6" w:rsidP="00BC35E6">
      <w:pPr>
        <w:pStyle w:val="paragraph"/>
        <w:spacing w:before="0" w:beforeAutospacing="0" w:after="0" w:afterAutospacing="0"/>
        <w:textAlignment w:val="baseline"/>
        <w:rPr>
          <w:rFonts w:ascii="Segoe UI" w:hAnsi="Segoe UI" w:cs="Segoe UI"/>
          <w:color w:val="1111FB"/>
          <w:sz w:val="18"/>
          <w:szCs w:val="18"/>
        </w:rPr>
      </w:pPr>
      <w:r w:rsidRPr="00D96B86">
        <w:rPr>
          <w:rStyle w:val="eop"/>
          <w:rFonts w:ascii="Calibri" w:hAnsi="Calibri" w:cs="Calibri"/>
          <w:color w:val="1111FB"/>
          <w:sz w:val="22"/>
          <w:szCs w:val="22"/>
        </w:rPr>
        <w:t> </w:t>
      </w:r>
    </w:p>
    <w:p w14:paraId="1BFF8ED7" w14:textId="77777777" w:rsidR="00BC35E6" w:rsidRPr="00B0325F" w:rsidRDefault="00BC35E6" w:rsidP="00BC35E6">
      <w:pPr>
        <w:pStyle w:val="paragraph"/>
        <w:spacing w:before="0" w:beforeAutospacing="0" w:after="0" w:afterAutospacing="0"/>
        <w:textAlignment w:val="baseline"/>
        <w:rPr>
          <w:rFonts w:ascii="Segoe UI" w:hAnsi="Segoe UI" w:cs="Segoe UI"/>
          <w:color w:val="1111FB"/>
          <w:sz w:val="18"/>
          <w:szCs w:val="18"/>
        </w:rPr>
      </w:pPr>
      <w:r w:rsidRPr="00B0325F">
        <w:rPr>
          <w:rStyle w:val="normaltextrun"/>
          <w:rFonts w:ascii="Calibri" w:hAnsi="Calibri" w:cs="Calibri"/>
          <w:color w:val="1111FB"/>
          <w:sz w:val="22"/>
          <w:szCs w:val="22"/>
        </w:rPr>
        <w:t>Tools Used to Identify/Map to ICD-10</w:t>
      </w:r>
      <w:r w:rsidRPr="00B0325F">
        <w:rPr>
          <w:rStyle w:val="eop"/>
          <w:rFonts w:ascii="Calibri" w:hAnsi="Calibri" w:cs="Calibri"/>
          <w:color w:val="1111FB"/>
          <w:sz w:val="22"/>
          <w:szCs w:val="22"/>
        </w:rPr>
        <w:t> </w:t>
      </w:r>
    </w:p>
    <w:p w14:paraId="36178B66" w14:textId="77777777" w:rsidR="00BC35E6" w:rsidRPr="00D96B86" w:rsidRDefault="00BC35E6" w:rsidP="00BC35E6">
      <w:pPr>
        <w:pStyle w:val="paragraph"/>
        <w:spacing w:before="0" w:beforeAutospacing="0" w:after="0" w:afterAutospacing="0"/>
        <w:textAlignment w:val="baseline"/>
        <w:rPr>
          <w:rFonts w:ascii="Segoe UI" w:hAnsi="Segoe UI" w:cs="Segoe UI"/>
          <w:color w:val="1111FB"/>
          <w:sz w:val="18"/>
          <w:szCs w:val="18"/>
        </w:rPr>
      </w:pPr>
      <w:r w:rsidRPr="00D96B86">
        <w:rPr>
          <w:rStyle w:val="normaltextrun"/>
          <w:rFonts w:ascii="Calibri" w:hAnsi="Calibri" w:cs="Calibri"/>
          <w:color w:val="1111FB"/>
          <w:sz w:val="22"/>
          <w:szCs w:val="22"/>
        </w:rPr>
        <w:t>All tools used for mapping/code identification from CMS ICD-10 website</w:t>
      </w:r>
      <w:r w:rsidRPr="00D96B86">
        <w:rPr>
          <w:rStyle w:val="eop"/>
          <w:rFonts w:ascii="Calibri" w:hAnsi="Calibri" w:cs="Calibri"/>
          <w:color w:val="1111FB"/>
          <w:sz w:val="22"/>
          <w:szCs w:val="22"/>
        </w:rPr>
        <w:t> </w:t>
      </w:r>
    </w:p>
    <w:p w14:paraId="404B91DC" w14:textId="77777777" w:rsidR="00BC35E6" w:rsidRPr="00D96B86" w:rsidRDefault="00BC35E6" w:rsidP="00BC35E6">
      <w:pPr>
        <w:pStyle w:val="paragraph"/>
        <w:spacing w:before="0" w:beforeAutospacing="0" w:after="0" w:afterAutospacing="0"/>
        <w:textAlignment w:val="baseline"/>
        <w:rPr>
          <w:rFonts w:ascii="Segoe UI" w:hAnsi="Segoe UI" w:cs="Segoe UI"/>
          <w:color w:val="1111FB"/>
          <w:sz w:val="18"/>
          <w:szCs w:val="18"/>
        </w:rPr>
      </w:pPr>
      <w:r w:rsidRPr="00D96B86">
        <w:rPr>
          <w:rStyle w:val="normaltextrun"/>
          <w:rFonts w:ascii="Calibri" w:hAnsi="Calibri" w:cs="Calibri"/>
          <w:color w:val="1111FB"/>
          <w:sz w:val="22"/>
          <w:szCs w:val="22"/>
        </w:rPr>
        <w:t>(http://www.cms.gov/Medicare/Coding/ICD10/2012-ICD-10-CM-and-GEMs.html).</w:t>
      </w:r>
      <w:r w:rsidRPr="00D96B86">
        <w:rPr>
          <w:rStyle w:val="eop"/>
          <w:rFonts w:ascii="Calibri" w:hAnsi="Calibri" w:cs="Calibri"/>
          <w:color w:val="1111FB"/>
          <w:sz w:val="22"/>
          <w:szCs w:val="22"/>
        </w:rPr>
        <w:t> </w:t>
      </w:r>
    </w:p>
    <w:p w14:paraId="6D0D7621" w14:textId="4510F65F" w:rsidR="00C776E3" w:rsidRDefault="00BC35E6" w:rsidP="00BC35E6">
      <w:pPr>
        <w:pStyle w:val="paragraph"/>
        <w:spacing w:before="0" w:beforeAutospacing="0" w:after="0" w:afterAutospacing="0"/>
        <w:textAlignment w:val="baseline"/>
        <w:rPr>
          <w:rStyle w:val="eop"/>
          <w:rFonts w:ascii="Calibri" w:hAnsi="Calibri" w:cs="Calibri"/>
          <w:color w:val="1111FB"/>
          <w:sz w:val="22"/>
          <w:szCs w:val="22"/>
        </w:rPr>
      </w:pPr>
      <w:r w:rsidRPr="00D96B86">
        <w:rPr>
          <w:rStyle w:val="normaltextrun"/>
          <w:rFonts w:ascii="Calibri" w:hAnsi="Calibri" w:cs="Calibri"/>
          <w:color w:val="1111FB"/>
          <w:sz w:val="22"/>
          <w:szCs w:val="22"/>
        </w:rPr>
        <w:t>GEM, ICD-10 Guidelines, ICD-10-CM Tabular List of Diseases and Injuries, ICD-10-PCS Tabular List.</w:t>
      </w:r>
      <w:r w:rsidRPr="00D96B86">
        <w:rPr>
          <w:rStyle w:val="eop"/>
          <w:rFonts w:ascii="Calibri" w:hAnsi="Calibri" w:cs="Calibri"/>
          <w:color w:val="1111FB"/>
          <w:sz w:val="22"/>
          <w:szCs w:val="22"/>
        </w:rPr>
        <w:t> </w:t>
      </w:r>
    </w:p>
    <w:p w14:paraId="36C881D7" w14:textId="72D435DA" w:rsidR="00FA2071" w:rsidRDefault="00FA2071" w:rsidP="00BC35E6">
      <w:pPr>
        <w:pStyle w:val="paragraph"/>
        <w:spacing w:before="0" w:beforeAutospacing="0" w:after="0" w:afterAutospacing="0"/>
        <w:textAlignment w:val="baseline"/>
        <w:rPr>
          <w:rStyle w:val="eop"/>
          <w:rFonts w:ascii="Calibri" w:hAnsi="Calibri" w:cs="Calibri"/>
          <w:color w:val="1111FB"/>
          <w:sz w:val="22"/>
          <w:szCs w:val="22"/>
        </w:rPr>
      </w:pPr>
    </w:p>
    <w:p w14:paraId="5222F098" w14:textId="1997C317" w:rsidR="00FA2071" w:rsidRPr="003348E4" w:rsidRDefault="00FA2071" w:rsidP="00BC35E6">
      <w:pPr>
        <w:pStyle w:val="paragraph"/>
        <w:spacing w:before="0" w:beforeAutospacing="0" w:after="0" w:afterAutospacing="0"/>
        <w:textAlignment w:val="baseline"/>
        <w:rPr>
          <w:rStyle w:val="eop"/>
          <w:rFonts w:ascii="Calibri" w:hAnsi="Calibri" w:cs="Calibri"/>
          <w:color w:val="1111FB"/>
          <w:sz w:val="22"/>
          <w:szCs w:val="22"/>
        </w:rPr>
      </w:pPr>
      <w:r w:rsidRPr="003348E4">
        <w:rPr>
          <w:rStyle w:val="eop"/>
          <w:rFonts w:ascii="Calibri" w:hAnsi="Calibri" w:cs="Calibri"/>
          <w:bCs/>
          <w:i/>
          <w:iCs/>
          <w:color w:val="1111FB"/>
          <w:sz w:val="22"/>
          <w:szCs w:val="22"/>
        </w:rPr>
        <w:t>Expert Participation</w:t>
      </w:r>
    </w:p>
    <w:p w14:paraId="6E240C0A" w14:textId="6B3ADF3E" w:rsidR="00FA2071" w:rsidRPr="003348E4" w:rsidRDefault="00FA2071" w:rsidP="00BC35E6">
      <w:pPr>
        <w:pStyle w:val="paragraph"/>
        <w:spacing w:before="0" w:beforeAutospacing="0" w:after="0" w:afterAutospacing="0"/>
        <w:textAlignment w:val="baseline"/>
        <w:rPr>
          <w:rFonts w:ascii="Segoe UI" w:hAnsi="Segoe UI" w:cs="Segoe UI"/>
          <w:color w:val="1111FB"/>
          <w:sz w:val="18"/>
          <w:szCs w:val="18"/>
        </w:rPr>
      </w:pPr>
      <w:r w:rsidRPr="003348E4">
        <w:rPr>
          <w:rStyle w:val="eop"/>
          <w:rFonts w:ascii="Calibri" w:hAnsi="Calibri" w:cs="Calibri"/>
          <w:color w:val="1111FB"/>
          <w:sz w:val="22"/>
          <w:szCs w:val="22"/>
        </w:rPr>
        <w:t xml:space="preserve">The NCQA HEDIS Expert Coding Panel reviewed and provided feedback on staff recommendations. Names and credentials of the experts who served on these panels are listed under </w:t>
      </w:r>
      <w:r w:rsidRPr="003348E4">
        <w:rPr>
          <w:rStyle w:val="eop"/>
          <w:rFonts w:ascii="Calibri" w:hAnsi="Calibri" w:cs="Calibri"/>
          <w:bCs/>
          <w:color w:val="1111FB"/>
          <w:sz w:val="22"/>
          <w:szCs w:val="22"/>
        </w:rPr>
        <w:t>Additional Information, Ad. 1. Workgroup/Expert Panel Involved in Measure Development.</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56D3302B" w14:textId="4C739C9B" w:rsidR="00D2021B" w:rsidRPr="00D2021B" w:rsidRDefault="009C7513" w:rsidP="008F459E">
      <w:pPr>
        <w:autoSpaceDE w:val="0"/>
        <w:autoSpaceDN w:val="0"/>
        <w:adjustRightInd w:val="0"/>
        <w:spacing w:after="0" w:line="240" w:lineRule="auto"/>
        <w:rPr>
          <w:color w:val="1111FB"/>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bookmarkStart w:id="13" w:name="_Hlk502678977"/>
      <w:r w:rsidR="00E208E3" w:rsidRPr="00D96B86">
        <w:rPr>
          <w:color w:val="1111FB"/>
        </w:rPr>
        <w:t>T</w:t>
      </w:r>
      <w:r w:rsidR="00896F44" w:rsidRPr="00D96B86">
        <w:rPr>
          <w:color w:val="1111FB"/>
        </w:rPr>
        <w:t xml:space="preserve">he results from construct validity testing of the health plan level measure are presented by product line in Tables </w:t>
      </w:r>
      <w:r w:rsidR="00E5583A" w:rsidRPr="00D96B86">
        <w:rPr>
          <w:color w:val="1111FB"/>
        </w:rPr>
        <w:t>3</w:t>
      </w:r>
      <w:r w:rsidR="00896F44" w:rsidRPr="00D96B86">
        <w:rPr>
          <w:color w:val="1111FB"/>
        </w:rPr>
        <w:t xml:space="preserve">a, </w:t>
      </w:r>
      <w:r w:rsidR="00E5583A" w:rsidRPr="00D96B86">
        <w:rPr>
          <w:color w:val="1111FB"/>
        </w:rPr>
        <w:t>3</w:t>
      </w:r>
      <w:r w:rsidR="00896F44" w:rsidRPr="00D96B86">
        <w:rPr>
          <w:color w:val="1111FB"/>
        </w:rPr>
        <w:t xml:space="preserve">b, and </w:t>
      </w:r>
      <w:r w:rsidR="00E5583A" w:rsidRPr="00D96B86">
        <w:rPr>
          <w:color w:val="1111FB"/>
        </w:rPr>
        <w:t>3</w:t>
      </w:r>
      <w:r w:rsidR="00896F44" w:rsidRPr="00D96B86">
        <w:rPr>
          <w:color w:val="1111FB"/>
        </w:rPr>
        <w:t>c below.</w:t>
      </w:r>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D2021B" w:rsidRPr="00D96B86" w14:paraId="4091FB2F" w14:textId="77777777" w:rsidTr="0087434E">
        <w:trPr>
          <w:trHeight w:val="197"/>
          <w:jc w:val="center"/>
        </w:trPr>
        <w:tc>
          <w:tcPr>
            <w:tcW w:w="9450" w:type="dxa"/>
            <w:gridSpan w:val="6"/>
            <w:tcBorders>
              <w:top w:val="nil"/>
              <w:left w:val="nil"/>
              <w:bottom w:val="nil"/>
              <w:right w:val="nil"/>
            </w:tcBorders>
          </w:tcPr>
          <w:p w14:paraId="7EEBD109" w14:textId="35B719AD" w:rsidR="00D2021B" w:rsidRDefault="00D2021B" w:rsidP="0087434E">
            <w:pPr>
              <w:spacing w:after="0" w:line="240" w:lineRule="auto"/>
              <w:rPr>
                <w:rFonts w:ascii="Calibri" w:eastAsia="Times New Roman" w:hAnsi="Calibri" w:cs="Calibri"/>
                <w:bCs/>
                <w:color w:val="1111FB"/>
              </w:rPr>
            </w:pPr>
          </w:p>
          <w:p w14:paraId="4C60C489" w14:textId="37609F93" w:rsidR="00D0025C" w:rsidRDefault="00D0025C" w:rsidP="0087434E">
            <w:pPr>
              <w:spacing w:after="0" w:line="240" w:lineRule="auto"/>
              <w:rPr>
                <w:rFonts w:ascii="Calibri" w:eastAsia="Times New Roman" w:hAnsi="Calibri" w:cs="Calibri"/>
                <w:bCs/>
                <w:color w:val="1111FB"/>
              </w:rPr>
            </w:pPr>
          </w:p>
          <w:p w14:paraId="10D6A226" w14:textId="151733D2" w:rsidR="00D0025C" w:rsidRDefault="00D0025C" w:rsidP="0087434E">
            <w:pPr>
              <w:spacing w:after="0" w:line="240" w:lineRule="auto"/>
              <w:rPr>
                <w:rFonts w:ascii="Calibri" w:eastAsia="Times New Roman" w:hAnsi="Calibri" w:cs="Calibri"/>
                <w:bCs/>
                <w:color w:val="1111FB"/>
              </w:rPr>
            </w:pPr>
          </w:p>
          <w:p w14:paraId="362BB29E" w14:textId="45701B22" w:rsidR="00D0025C" w:rsidRDefault="00D0025C" w:rsidP="0087434E">
            <w:pPr>
              <w:spacing w:after="0" w:line="240" w:lineRule="auto"/>
              <w:rPr>
                <w:rFonts w:ascii="Calibri" w:eastAsia="Times New Roman" w:hAnsi="Calibri" w:cs="Calibri"/>
                <w:bCs/>
                <w:color w:val="1111FB"/>
              </w:rPr>
            </w:pPr>
          </w:p>
          <w:p w14:paraId="78CDC8FB" w14:textId="09A43907" w:rsidR="00D0025C" w:rsidRDefault="00D0025C" w:rsidP="0087434E">
            <w:pPr>
              <w:spacing w:after="0" w:line="240" w:lineRule="auto"/>
              <w:rPr>
                <w:rFonts w:ascii="Calibri" w:eastAsia="Times New Roman" w:hAnsi="Calibri" w:cs="Calibri"/>
                <w:bCs/>
                <w:color w:val="1111FB"/>
              </w:rPr>
            </w:pPr>
          </w:p>
          <w:p w14:paraId="7C2C6E1F" w14:textId="77777777" w:rsidR="00D0025C" w:rsidRPr="00D96B86" w:rsidRDefault="00D0025C" w:rsidP="0087434E">
            <w:pPr>
              <w:spacing w:after="0" w:line="240" w:lineRule="auto"/>
              <w:rPr>
                <w:rFonts w:ascii="Calibri" w:eastAsia="Times New Roman" w:hAnsi="Calibri" w:cs="Calibri"/>
                <w:bCs/>
                <w:color w:val="1111FB"/>
              </w:rPr>
            </w:pPr>
          </w:p>
          <w:p w14:paraId="37BF4A4B" w14:textId="1AA2026C" w:rsidR="00D2021B" w:rsidRPr="00D96B86" w:rsidRDefault="00D2021B" w:rsidP="0087434E">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lastRenderedPageBreak/>
              <w:t>Table 3</w:t>
            </w:r>
            <w:r>
              <w:rPr>
                <w:rFonts w:ascii="Calibri" w:eastAsia="Times New Roman" w:hAnsi="Calibri" w:cs="Calibri"/>
                <w:bCs/>
                <w:color w:val="1111FB"/>
              </w:rPr>
              <w:t>a</w:t>
            </w:r>
            <w:r w:rsidRPr="00D96B86">
              <w:rPr>
                <w:rFonts w:ascii="Calibri" w:eastAsia="Times New Roman" w:hAnsi="Calibri" w:cs="Calibri"/>
                <w:bCs/>
                <w:color w:val="1111FB"/>
              </w:rPr>
              <w:t xml:space="preserve">. Correlations among Diabetes Measures in </w:t>
            </w:r>
            <w:r>
              <w:rPr>
                <w:rFonts w:ascii="Calibri" w:eastAsia="Times New Roman" w:hAnsi="Calibri" w:cs="Calibri"/>
                <w:bCs/>
                <w:color w:val="1111FB"/>
              </w:rPr>
              <w:t>Commercial</w:t>
            </w:r>
            <w:r w:rsidRPr="00D96B86">
              <w:rPr>
                <w:rFonts w:ascii="Calibri" w:eastAsia="Times New Roman" w:hAnsi="Calibri" w:cs="Calibri"/>
                <w:bCs/>
                <w:color w:val="1111FB"/>
              </w:rPr>
              <w:t xml:space="preserve"> Health Plans, 2018.</w:t>
            </w:r>
          </w:p>
        </w:tc>
      </w:tr>
      <w:tr w:rsidR="00D2021B" w:rsidRPr="00D96B86" w14:paraId="551B0EB5" w14:textId="77777777" w:rsidTr="0087434E">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3B5E0F0B" w14:textId="77777777" w:rsidR="00D2021B" w:rsidRPr="00D96B86" w:rsidRDefault="00D2021B" w:rsidP="0087434E">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2273F217" w14:textId="77777777" w:rsidR="00D2021B" w:rsidRPr="00D96B86" w:rsidRDefault="00D2021B" w:rsidP="0087434E">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D2021B" w:rsidRPr="00D96B86" w14:paraId="50A2F2E7" w14:textId="77777777" w:rsidTr="0087434E">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0A1011FF" w14:textId="77777777" w:rsidR="00D2021B" w:rsidRPr="00D96B86" w:rsidRDefault="00D2021B" w:rsidP="0087434E">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8F07C1" w14:textId="77777777" w:rsidR="00D2021B" w:rsidRPr="00D96B86" w:rsidRDefault="00D2021B"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7B293FB7" w14:textId="77777777" w:rsidR="00D2021B" w:rsidRPr="00D96B86" w:rsidRDefault="00D2021B"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Poor Control (&gt;9.0%)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787E500E" w14:textId="77777777" w:rsidR="00D2021B" w:rsidRPr="00D96B86" w:rsidRDefault="00D2021B"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20D21D9A" w14:textId="77777777" w:rsidR="00D2021B" w:rsidRPr="00D96B86" w:rsidRDefault="00D2021B"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661CE" w14:textId="77777777" w:rsidR="00D2021B" w:rsidRPr="00D96B86" w:rsidRDefault="00D2021B"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D2021B" w:rsidRPr="00D96B86" w14:paraId="735AB971" w14:textId="77777777" w:rsidTr="00BD3C55">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164D644F" w14:textId="77777777" w:rsidR="00D2021B" w:rsidRPr="00D96B86" w:rsidRDefault="00D2021B" w:rsidP="0087434E">
            <w:pPr>
              <w:spacing w:after="0" w:line="240" w:lineRule="auto"/>
              <w:rPr>
                <w:rFonts w:ascii="Calibri" w:eastAsia="Times New Roman" w:hAnsi="Calibri" w:cs="Calibri"/>
                <w:color w:val="1111FB"/>
              </w:rPr>
            </w:pPr>
            <w:r w:rsidRPr="00D96B86">
              <w:rPr>
                <w:rFonts w:ascii="Calibri" w:eastAsia="Times New Roman" w:hAnsi="Calibri" w:cs="Calibri"/>
                <w:color w:val="1111FB"/>
              </w:rPr>
              <w:t>HbA1c Control (&lt;8.0%)</w:t>
            </w:r>
          </w:p>
        </w:tc>
        <w:tc>
          <w:tcPr>
            <w:tcW w:w="1256" w:type="dxa"/>
            <w:tcBorders>
              <w:top w:val="nil"/>
              <w:left w:val="nil"/>
              <w:bottom w:val="single" w:sz="4" w:space="0" w:color="auto"/>
              <w:right w:val="single" w:sz="4" w:space="0" w:color="auto"/>
            </w:tcBorders>
            <w:shd w:val="clear" w:color="auto" w:fill="auto"/>
            <w:noWrap/>
            <w:vAlign w:val="center"/>
          </w:tcPr>
          <w:p w14:paraId="320DDCC1" w14:textId="518896D1" w:rsidR="00D2021B" w:rsidRPr="00D96B86" w:rsidRDefault="00AF70A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0.3571</w:t>
            </w:r>
          </w:p>
        </w:tc>
        <w:tc>
          <w:tcPr>
            <w:tcW w:w="1642" w:type="dxa"/>
            <w:tcBorders>
              <w:top w:val="nil"/>
              <w:left w:val="nil"/>
              <w:bottom w:val="single" w:sz="4" w:space="0" w:color="auto"/>
              <w:right w:val="single" w:sz="4" w:space="0" w:color="auto"/>
            </w:tcBorders>
            <w:shd w:val="clear" w:color="auto" w:fill="auto"/>
            <w:noWrap/>
            <w:vAlign w:val="center"/>
          </w:tcPr>
          <w:p w14:paraId="58DA987A" w14:textId="3628166D" w:rsidR="00D2021B" w:rsidRPr="00D96B86" w:rsidRDefault="00AF70A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-0.9896</w:t>
            </w:r>
          </w:p>
        </w:tc>
        <w:tc>
          <w:tcPr>
            <w:tcW w:w="1159" w:type="dxa"/>
            <w:tcBorders>
              <w:top w:val="nil"/>
              <w:left w:val="nil"/>
              <w:bottom w:val="single" w:sz="4" w:space="0" w:color="auto"/>
              <w:right w:val="single" w:sz="4" w:space="0" w:color="auto"/>
            </w:tcBorders>
            <w:shd w:val="clear" w:color="auto" w:fill="auto"/>
            <w:noWrap/>
            <w:vAlign w:val="center"/>
          </w:tcPr>
          <w:p w14:paraId="55185B48" w14:textId="3F88BDF7" w:rsidR="00D2021B" w:rsidRPr="00D96B86" w:rsidRDefault="00AF70A6"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0.4217</w:t>
            </w:r>
          </w:p>
        </w:tc>
        <w:tc>
          <w:tcPr>
            <w:tcW w:w="1944" w:type="dxa"/>
            <w:tcBorders>
              <w:top w:val="nil"/>
              <w:left w:val="nil"/>
              <w:bottom w:val="single" w:sz="4" w:space="0" w:color="auto"/>
              <w:right w:val="single" w:sz="4" w:space="0" w:color="auto"/>
            </w:tcBorders>
            <w:shd w:val="clear" w:color="auto" w:fill="auto"/>
            <w:vAlign w:val="center"/>
          </w:tcPr>
          <w:p w14:paraId="2272C6A1" w14:textId="4054B220" w:rsidR="00D2021B" w:rsidRPr="00D96B86" w:rsidRDefault="00384493"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0.3738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83AD06D" w14:textId="79EF457D" w:rsidR="00D2021B" w:rsidRPr="00D96B86" w:rsidRDefault="00384493"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0.8882</w:t>
            </w:r>
          </w:p>
        </w:tc>
      </w:tr>
    </w:tbl>
    <w:p w14:paraId="1F2CC0F8" w14:textId="4F015555" w:rsidR="00896F44" w:rsidRPr="00D2021B" w:rsidRDefault="00D2021B" w:rsidP="008F459E">
      <w:pPr>
        <w:autoSpaceDE w:val="0"/>
        <w:autoSpaceDN w:val="0"/>
        <w:adjustRightInd w:val="0"/>
        <w:spacing w:after="0" w:line="240" w:lineRule="auto"/>
        <w:rPr>
          <w:color w:val="1111FB"/>
        </w:rPr>
      </w:pPr>
      <w:r w:rsidRPr="00D96B86">
        <w:rPr>
          <w:rFonts w:ascii="Calibri" w:eastAsia="Times New Roman" w:hAnsi="Calibri" w:cs="Calibri"/>
          <w:color w:val="1111FB"/>
        </w:rPr>
        <w:t xml:space="preserve">Note: All correlations are significant at </w:t>
      </w:r>
      <w:r w:rsidRPr="00D96B86">
        <w:rPr>
          <w:color w:val="1111FB"/>
        </w:rPr>
        <w:t>p&lt;0.0001</w:t>
      </w:r>
      <w:bookmarkEnd w:id="13"/>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D96B86" w:rsidRPr="00D96B86" w14:paraId="4918303E" w14:textId="77777777" w:rsidTr="00D2021B">
        <w:trPr>
          <w:trHeight w:val="197"/>
          <w:jc w:val="center"/>
        </w:trPr>
        <w:tc>
          <w:tcPr>
            <w:tcW w:w="9450" w:type="dxa"/>
            <w:gridSpan w:val="6"/>
            <w:tcBorders>
              <w:top w:val="nil"/>
              <w:left w:val="nil"/>
              <w:bottom w:val="nil"/>
              <w:right w:val="nil"/>
            </w:tcBorders>
          </w:tcPr>
          <w:p w14:paraId="12F3A07F" w14:textId="77777777" w:rsidR="00896F44" w:rsidRPr="00D96B86" w:rsidRDefault="00896F44" w:rsidP="008F459E">
            <w:pPr>
              <w:spacing w:after="0" w:line="240" w:lineRule="auto"/>
              <w:rPr>
                <w:rFonts w:ascii="Calibri" w:eastAsia="Times New Roman" w:hAnsi="Calibri" w:cs="Calibri"/>
                <w:bCs/>
                <w:color w:val="1111FB"/>
              </w:rPr>
            </w:pPr>
          </w:p>
          <w:p w14:paraId="2760D6AB" w14:textId="0B0BBBBF" w:rsidR="00896F44" w:rsidRPr="00D96B86" w:rsidRDefault="00896F44" w:rsidP="008F459E">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t xml:space="preserve">Table </w:t>
            </w:r>
            <w:r w:rsidR="00E5583A" w:rsidRPr="00D96B86">
              <w:rPr>
                <w:rFonts w:ascii="Calibri" w:eastAsia="Times New Roman" w:hAnsi="Calibri" w:cs="Calibri"/>
                <w:bCs/>
                <w:color w:val="1111FB"/>
              </w:rPr>
              <w:t>3b</w:t>
            </w:r>
            <w:r w:rsidRPr="00D96B86">
              <w:rPr>
                <w:rFonts w:ascii="Calibri" w:eastAsia="Times New Roman" w:hAnsi="Calibri" w:cs="Calibri"/>
                <w:bCs/>
                <w:color w:val="1111FB"/>
              </w:rPr>
              <w:t xml:space="preserve">. </w:t>
            </w:r>
            <w:bookmarkStart w:id="14" w:name="_Hlk502681837"/>
            <w:r w:rsidRPr="00D96B86">
              <w:rPr>
                <w:rFonts w:ascii="Calibri" w:eastAsia="Times New Roman" w:hAnsi="Calibri" w:cs="Calibri"/>
                <w:bCs/>
                <w:color w:val="1111FB"/>
              </w:rPr>
              <w:t>Correlations among Diabetes Measures in Medicaid Health Plans</w:t>
            </w:r>
            <w:bookmarkEnd w:id="14"/>
            <w:r w:rsidR="006C4D17" w:rsidRPr="00D96B86">
              <w:rPr>
                <w:rFonts w:ascii="Calibri" w:eastAsia="Times New Roman" w:hAnsi="Calibri" w:cs="Calibri"/>
                <w:bCs/>
                <w:color w:val="1111FB"/>
              </w:rPr>
              <w:t>, 201</w:t>
            </w:r>
            <w:r w:rsidR="006A2713" w:rsidRPr="00D96B86">
              <w:rPr>
                <w:rFonts w:ascii="Calibri" w:eastAsia="Times New Roman" w:hAnsi="Calibri" w:cs="Calibri"/>
                <w:bCs/>
                <w:color w:val="1111FB"/>
              </w:rPr>
              <w:t>8</w:t>
            </w:r>
            <w:r w:rsidR="006C4D17" w:rsidRPr="00D96B86">
              <w:rPr>
                <w:rFonts w:ascii="Calibri" w:eastAsia="Times New Roman" w:hAnsi="Calibri" w:cs="Calibri"/>
                <w:bCs/>
                <w:color w:val="1111FB"/>
              </w:rPr>
              <w:t>.</w:t>
            </w:r>
          </w:p>
        </w:tc>
      </w:tr>
      <w:tr w:rsidR="00D96B86" w:rsidRPr="00D96B86" w14:paraId="036C3E86" w14:textId="77777777" w:rsidTr="00D2021B">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3FFF975C" w14:textId="77777777" w:rsidR="00896F44" w:rsidRPr="00D96B86" w:rsidRDefault="00896F44" w:rsidP="008F459E">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4B5E8049" w14:textId="77777777" w:rsidR="00896F44" w:rsidRPr="00D96B86" w:rsidRDefault="00896F44" w:rsidP="008F459E">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D2021B" w:rsidRPr="00D96B86" w14:paraId="68895460" w14:textId="77777777" w:rsidTr="00D2021B">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6AA75186" w14:textId="77777777" w:rsidR="00D2021B" w:rsidRPr="00D96B86" w:rsidRDefault="00D2021B" w:rsidP="008F459E">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FEF8062" w14:textId="77777777" w:rsidR="00D2021B" w:rsidRPr="00D96B86" w:rsidRDefault="00D2021B" w:rsidP="008F459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121D0F5D" w14:textId="77777777" w:rsidR="00D2021B" w:rsidRPr="00D96B86" w:rsidRDefault="00D2021B" w:rsidP="008F459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Poor Control (&gt;9.0%)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7FE31B81" w14:textId="77777777" w:rsidR="00D2021B" w:rsidRPr="00D96B86" w:rsidRDefault="00D2021B" w:rsidP="008F459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46A310F5" w14:textId="77777777" w:rsidR="00D2021B" w:rsidRPr="00D96B86" w:rsidRDefault="00D2021B" w:rsidP="008F459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E72D3" w14:textId="77777777" w:rsidR="00D2021B" w:rsidRPr="00D96B86" w:rsidRDefault="00D2021B" w:rsidP="008F459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D2021B" w:rsidRPr="00D96B86" w14:paraId="70B98B67" w14:textId="77777777" w:rsidTr="00BD3C55">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7776D039" w14:textId="77777777" w:rsidR="00D2021B" w:rsidRPr="00D96B86" w:rsidRDefault="00D2021B" w:rsidP="008F459E">
            <w:pPr>
              <w:spacing w:after="0" w:line="240" w:lineRule="auto"/>
              <w:rPr>
                <w:rFonts w:ascii="Calibri" w:eastAsia="Times New Roman" w:hAnsi="Calibri" w:cs="Calibri"/>
                <w:color w:val="1111FB"/>
              </w:rPr>
            </w:pPr>
            <w:r w:rsidRPr="00D96B86">
              <w:rPr>
                <w:rFonts w:ascii="Calibri" w:eastAsia="Times New Roman" w:hAnsi="Calibri" w:cs="Calibri"/>
                <w:color w:val="1111FB"/>
              </w:rPr>
              <w:t>HbA1c Control (&lt;8.0%)</w:t>
            </w:r>
          </w:p>
        </w:tc>
        <w:tc>
          <w:tcPr>
            <w:tcW w:w="1256" w:type="dxa"/>
            <w:tcBorders>
              <w:top w:val="nil"/>
              <w:left w:val="nil"/>
              <w:bottom w:val="single" w:sz="4" w:space="0" w:color="auto"/>
              <w:right w:val="single" w:sz="4" w:space="0" w:color="auto"/>
            </w:tcBorders>
            <w:shd w:val="clear" w:color="auto" w:fill="auto"/>
            <w:noWrap/>
            <w:vAlign w:val="center"/>
          </w:tcPr>
          <w:p w14:paraId="241F0362" w14:textId="1639C0FE" w:rsidR="00D2021B" w:rsidRPr="00D96B86" w:rsidRDefault="00384493" w:rsidP="008F459E">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2A4762">
              <w:rPr>
                <w:rFonts w:ascii="Calibri" w:eastAsia="Times New Roman" w:hAnsi="Calibri" w:cs="Calibri"/>
                <w:color w:val="1111FB"/>
              </w:rPr>
              <w:t>6656</w:t>
            </w:r>
          </w:p>
        </w:tc>
        <w:tc>
          <w:tcPr>
            <w:tcW w:w="1642" w:type="dxa"/>
            <w:tcBorders>
              <w:top w:val="nil"/>
              <w:left w:val="nil"/>
              <w:bottom w:val="single" w:sz="4" w:space="0" w:color="auto"/>
              <w:right w:val="single" w:sz="4" w:space="0" w:color="auto"/>
            </w:tcBorders>
            <w:shd w:val="clear" w:color="auto" w:fill="auto"/>
            <w:noWrap/>
            <w:vAlign w:val="center"/>
          </w:tcPr>
          <w:p w14:paraId="54D19700" w14:textId="0D52310A" w:rsidR="00D2021B" w:rsidRPr="00D96B86" w:rsidRDefault="002A4762" w:rsidP="008F459E">
            <w:pPr>
              <w:spacing w:after="0" w:line="240" w:lineRule="auto"/>
              <w:jc w:val="center"/>
              <w:rPr>
                <w:rFonts w:ascii="Calibri" w:eastAsia="Times New Roman" w:hAnsi="Calibri" w:cs="Calibri"/>
                <w:color w:val="1111FB"/>
              </w:rPr>
            </w:pPr>
            <w:r>
              <w:rPr>
                <w:rFonts w:ascii="Calibri" w:eastAsia="Times New Roman" w:hAnsi="Calibri" w:cs="Calibri"/>
                <w:color w:val="1111FB"/>
              </w:rPr>
              <w:t>-0.9868</w:t>
            </w:r>
          </w:p>
        </w:tc>
        <w:tc>
          <w:tcPr>
            <w:tcW w:w="1159" w:type="dxa"/>
            <w:tcBorders>
              <w:top w:val="nil"/>
              <w:left w:val="nil"/>
              <w:bottom w:val="single" w:sz="4" w:space="0" w:color="auto"/>
              <w:right w:val="single" w:sz="4" w:space="0" w:color="auto"/>
            </w:tcBorders>
            <w:shd w:val="clear" w:color="auto" w:fill="auto"/>
            <w:noWrap/>
            <w:vAlign w:val="center"/>
          </w:tcPr>
          <w:p w14:paraId="079AB105" w14:textId="599DC770" w:rsidR="00D2021B" w:rsidRPr="00D96B86" w:rsidRDefault="002A4762" w:rsidP="008F459E">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3C1DBB">
              <w:rPr>
                <w:rFonts w:ascii="Calibri" w:eastAsia="Times New Roman" w:hAnsi="Calibri" w:cs="Calibri"/>
                <w:color w:val="1111FB"/>
              </w:rPr>
              <w:t>6210</w:t>
            </w:r>
          </w:p>
        </w:tc>
        <w:tc>
          <w:tcPr>
            <w:tcW w:w="1944" w:type="dxa"/>
            <w:tcBorders>
              <w:top w:val="nil"/>
              <w:left w:val="nil"/>
              <w:bottom w:val="single" w:sz="4" w:space="0" w:color="auto"/>
              <w:right w:val="single" w:sz="4" w:space="0" w:color="auto"/>
            </w:tcBorders>
            <w:shd w:val="clear" w:color="auto" w:fill="auto"/>
            <w:vAlign w:val="center"/>
          </w:tcPr>
          <w:p w14:paraId="5485D45F" w14:textId="303C1952" w:rsidR="00D2021B" w:rsidRPr="00D96B86" w:rsidRDefault="003C1DBB" w:rsidP="008F459E">
            <w:pPr>
              <w:spacing w:after="0" w:line="240" w:lineRule="auto"/>
              <w:jc w:val="center"/>
              <w:rPr>
                <w:rFonts w:ascii="Calibri" w:eastAsia="Times New Roman" w:hAnsi="Calibri" w:cs="Calibri"/>
                <w:color w:val="1111FB"/>
              </w:rPr>
            </w:pPr>
            <w:r>
              <w:rPr>
                <w:rFonts w:ascii="Calibri" w:eastAsia="Times New Roman" w:hAnsi="Calibri" w:cs="Calibri"/>
                <w:color w:val="1111FB"/>
              </w:rPr>
              <w:t>0.3297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D312C43" w14:textId="36C661C7" w:rsidR="00D2021B" w:rsidRPr="00D96B86" w:rsidRDefault="003C1DBB" w:rsidP="008F459E">
            <w:pPr>
              <w:spacing w:after="0" w:line="240" w:lineRule="auto"/>
              <w:jc w:val="center"/>
              <w:rPr>
                <w:rFonts w:ascii="Calibri" w:eastAsia="Times New Roman" w:hAnsi="Calibri" w:cs="Calibri"/>
                <w:color w:val="1111FB"/>
              </w:rPr>
            </w:pPr>
            <w:r>
              <w:rPr>
                <w:rFonts w:ascii="Calibri" w:eastAsia="Times New Roman" w:hAnsi="Calibri" w:cs="Calibri"/>
                <w:color w:val="1111FB"/>
              </w:rPr>
              <w:t>0.7562</w:t>
            </w:r>
          </w:p>
        </w:tc>
      </w:tr>
    </w:tbl>
    <w:p w14:paraId="7BB16901" w14:textId="32A7091D" w:rsidR="00BD3C55" w:rsidRPr="00BD3C55" w:rsidRDefault="00896F44" w:rsidP="008F459E">
      <w:pPr>
        <w:autoSpaceDE w:val="0"/>
        <w:autoSpaceDN w:val="0"/>
        <w:adjustRightInd w:val="0"/>
        <w:spacing w:after="0" w:line="240" w:lineRule="auto"/>
        <w:rPr>
          <w:color w:val="1111FB"/>
        </w:rPr>
      </w:pPr>
      <w:r w:rsidRPr="00D96B86">
        <w:rPr>
          <w:rFonts w:ascii="Calibri" w:eastAsia="Times New Roman" w:hAnsi="Calibri" w:cs="Calibri"/>
          <w:color w:val="1111FB"/>
        </w:rPr>
        <w:t xml:space="preserve">Note: All correlations are significant at </w:t>
      </w:r>
      <w:r w:rsidRPr="00D96B86">
        <w:rPr>
          <w:color w:val="1111FB"/>
        </w:rPr>
        <w:t>p&lt;0.000</w:t>
      </w:r>
      <w:r w:rsidR="00E5583A" w:rsidRPr="00D96B86">
        <w:rPr>
          <w:color w:val="1111FB"/>
        </w:rPr>
        <w:t>1</w:t>
      </w:r>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BD3C55" w:rsidRPr="00D96B86" w14:paraId="21AC5788" w14:textId="77777777" w:rsidTr="0087434E">
        <w:trPr>
          <w:trHeight w:val="197"/>
          <w:jc w:val="center"/>
        </w:trPr>
        <w:tc>
          <w:tcPr>
            <w:tcW w:w="9450" w:type="dxa"/>
            <w:gridSpan w:val="6"/>
            <w:tcBorders>
              <w:top w:val="nil"/>
              <w:left w:val="nil"/>
              <w:bottom w:val="nil"/>
              <w:right w:val="nil"/>
            </w:tcBorders>
          </w:tcPr>
          <w:p w14:paraId="00A8ED65" w14:textId="77777777" w:rsidR="00BD3C55" w:rsidRPr="00D96B86" w:rsidRDefault="00BD3C55" w:rsidP="0087434E">
            <w:pPr>
              <w:spacing w:after="0" w:line="240" w:lineRule="auto"/>
              <w:rPr>
                <w:rFonts w:ascii="Calibri" w:eastAsia="Times New Roman" w:hAnsi="Calibri" w:cs="Calibri"/>
                <w:bCs/>
                <w:color w:val="1111FB"/>
              </w:rPr>
            </w:pPr>
          </w:p>
          <w:p w14:paraId="6BA7DBE9" w14:textId="2E0F9C57" w:rsidR="00BD3C55" w:rsidRPr="00D96B86" w:rsidRDefault="00BD3C55" w:rsidP="0087434E">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t>Table 3</w:t>
            </w:r>
            <w:r>
              <w:rPr>
                <w:rFonts w:ascii="Calibri" w:eastAsia="Times New Roman" w:hAnsi="Calibri" w:cs="Calibri"/>
                <w:bCs/>
                <w:color w:val="1111FB"/>
              </w:rPr>
              <w:t>c</w:t>
            </w:r>
            <w:r w:rsidRPr="00D96B86">
              <w:rPr>
                <w:rFonts w:ascii="Calibri" w:eastAsia="Times New Roman" w:hAnsi="Calibri" w:cs="Calibri"/>
                <w:bCs/>
                <w:color w:val="1111FB"/>
              </w:rPr>
              <w:t>. Correlations among Diabetes Measures in Medica</w:t>
            </w:r>
            <w:r>
              <w:rPr>
                <w:rFonts w:ascii="Calibri" w:eastAsia="Times New Roman" w:hAnsi="Calibri" w:cs="Calibri"/>
                <w:bCs/>
                <w:color w:val="1111FB"/>
              </w:rPr>
              <w:t>re</w:t>
            </w:r>
            <w:r w:rsidRPr="00D96B86">
              <w:rPr>
                <w:rFonts w:ascii="Calibri" w:eastAsia="Times New Roman" w:hAnsi="Calibri" w:cs="Calibri"/>
                <w:bCs/>
                <w:color w:val="1111FB"/>
              </w:rPr>
              <w:t xml:space="preserve"> Health Plans, 2018.</w:t>
            </w:r>
          </w:p>
        </w:tc>
      </w:tr>
      <w:tr w:rsidR="00BD3C55" w:rsidRPr="00D96B86" w14:paraId="35B2C52D" w14:textId="77777777" w:rsidTr="0087434E">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6BA6D259" w14:textId="77777777" w:rsidR="00BD3C55" w:rsidRPr="00D96B86" w:rsidRDefault="00BD3C55" w:rsidP="0087434E">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79E08748" w14:textId="77777777" w:rsidR="00BD3C55" w:rsidRPr="00D96B86" w:rsidRDefault="00BD3C55" w:rsidP="0087434E">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BD3C55" w:rsidRPr="00D96B86" w14:paraId="049A3AEC" w14:textId="77777777" w:rsidTr="0087434E">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2643181B" w14:textId="77777777" w:rsidR="00BD3C55" w:rsidRPr="00D96B86" w:rsidRDefault="00BD3C55" w:rsidP="0087434E">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008598" w14:textId="77777777" w:rsidR="00BD3C55" w:rsidRPr="00D96B86" w:rsidRDefault="00BD3C55"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6A12047D" w14:textId="77777777" w:rsidR="00BD3C55" w:rsidRPr="00D96B86" w:rsidRDefault="00BD3C55"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Poor Control (&gt;9.0%)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50431B62" w14:textId="77777777" w:rsidR="00BD3C55" w:rsidRPr="00D96B86" w:rsidRDefault="00BD3C55"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397E4EA0" w14:textId="77777777" w:rsidR="00BD3C55" w:rsidRPr="00D96B86" w:rsidRDefault="00BD3C55"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B29AA" w14:textId="77777777" w:rsidR="00BD3C55" w:rsidRPr="00D96B86" w:rsidRDefault="00BD3C55" w:rsidP="0087434E">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BD3C55" w:rsidRPr="00D96B86" w14:paraId="3676D985" w14:textId="77777777" w:rsidTr="00BD3C55">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2BD3333F" w14:textId="77777777" w:rsidR="00BD3C55" w:rsidRPr="00D96B86" w:rsidRDefault="00BD3C55" w:rsidP="0087434E">
            <w:pPr>
              <w:spacing w:after="0" w:line="240" w:lineRule="auto"/>
              <w:rPr>
                <w:rFonts w:ascii="Calibri" w:eastAsia="Times New Roman" w:hAnsi="Calibri" w:cs="Calibri"/>
                <w:color w:val="1111FB"/>
              </w:rPr>
            </w:pPr>
            <w:r w:rsidRPr="00D96B86">
              <w:rPr>
                <w:rFonts w:ascii="Calibri" w:eastAsia="Times New Roman" w:hAnsi="Calibri" w:cs="Calibri"/>
                <w:color w:val="1111FB"/>
              </w:rPr>
              <w:t>HbA1c Control (&lt;8.0%)</w:t>
            </w:r>
          </w:p>
        </w:tc>
        <w:tc>
          <w:tcPr>
            <w:tcW w:w="1256" w:type="dxa"/>
            <w:tcBorders>
              <w:top w:val="nil"/>
              <w:left w:val="nil"/>
              <w:bottom w:val="single" w:sz="4" w:space="0" w:color="auto"/>
              <w:right w:val="single" w:sz="4" w:space="0" w:color="auto"/>
            </w:tcBorders>
            <w:shd w:val="clear" w:color="auto" w:fill="auto"/>
            <w:noWrap/>
            <w:vAlign w:val="center"/>
          </w:tcPr>
          <w:p w14:paraId="6061C49D" w14:textId="34E49859" w:rsidR="00BD3C55" w:rsidRPr="00D96B86" w:rsidRDefault="00703FFF"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0.5646</w:t>
            </w:r>
          </w:p>
        </w:tc>
        <w:tc>
          <w:tcPr>
            <w:tcW w:w="1642" w:type="dxa"/>
            <w:tcBorders>
              <w:top w:val="nil"/>
              <w:left w:val="nil"/>
              <w:bottom w:val="single" w:sz="4" w:space="0" w:color="auto"/>
              <w:right w:val="single" w:sz="4" w:space="0" w:color="auto"/>
            </w:tcBorders>
            <w:shd w:val="clear" w:color="auto" w:fill="auto"/>
            <w:noWrap/>
            <w:vAlign w:val="center"/>
          </w:tcPr>
          <w:p w14:paraId="21C094E0" w14:textId="7D5CF528" w:rsidR="00BD3C55" w:rsidRPr="00D96B86" w:rsidRDefault="00703FFF"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-0.9657</w:t>
            </w:r>
          </w:p>
        </w:tc>
        <w:tc>
          <w:tcPr>
            <w:tcW w:w="1159" w:type="dxa"/>
            <w:tcBorders>
              <w:top w:val="nil"/>
              <w:left w:val="nil"/>
              <w:bottom w:val="single" w:sz="4" w:space="0" w:color="auto"/>
              <w:right w:val="single" w:sz="4" w:space="0" w:color="auto"/>
            </w:tcBorders>
            <w:shd w:val="clear" w:color="auto" w:fill="auto"/>
            <w:noWrap/>
            <w:vAlign w:val="center"/>
          </w:tcPr>
          <w:p w14:paraId="741C270B" w14:textId="7F733BC7" w:rsidR="00BD3C55" w:rsidRPr="00D96B86" w:rsidRDefault="00703FFF"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0.5881</w:t>
            </w:r>
          </w:p>
        </w:tc>
        <w:tc>
          <w:tcPr>
            <w:tcW w:w="1944" w:type="dxa"/>
            <w:tcBorders>
              <w:top w:val="nil"/>
              <w:left w:val="nil"/>
              <w:bottom w:val="single" w:sz="4" w:space="0" w:color="auto"/>
              <w:right w:val="single" w:sz="4" w:space="0" w:color="auto"/>
            </w:tcBorders>
            <w:shd w:val="clear" w:color="auto" w:fill="auto"/>
            <w:vAlign w:val="center"/>
          </w:tcPr>
          <w:p w14:paraId="7712D0BF" w14:textId="0508153C" w:rsidR="00BD3C55" w:rsidRPr="00D96B86" w:rsidRDefault="00005AE1"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0.4348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7DF240D" w14:textId="38D36D7A" w:rsidR="00BD3C55" w:rsidRPr="00D96B86" w:rsidRDefault="00005AE1" w:rsidP="0087434E">
            <w:pPr>
              <w:spacing w:after="0" w:line="240" w:lineRule="auto"/>
              <w:jc w:val="center"/>
              <w:rPr>
                <w:rFonts w:ascii="Calibri" w:eastAsia="Times New Roman" w:hAnsi="Calibri" w:cs="Calibri"/>
                <w:color w:val="1111FB"/>
              </w:rPr>
            </w:pPr>
            <w:r>
              <w:rPr>
                <w:rFonts w:ascii="Calibri" w:eastAsia="Times New Roman" w:hAnsi="Calibri" w:cs="Calibri"/>
                <w:color w:val="1111FB"/>
              </w:rPr>
              <w:t>0.5832</w:t>
            </w:r>
          </w:p>
        </w:tc>
      </w:tr>
    </w:tbl>
    <w:p w14:paraId="1925EFD2" w14:textId="6016341D" w:rsidR="00896F44" w:rsidRPr="00D96B86" w:rsidRDefault="00E5583A" w:rsidP="008F459E">
      <w:pPr>
        <w:autoSpaceDE w:val="0"/>
        <w:autoSpaceDN w:val="0"/>
        <w:adjustRightInd w:val="0"/>
        <w:spacing w:after="0" w:line="240" w:lineRule="auto"/>
        <w:rPr>
          <w:rFonts w:ascii="Calibri" w:eastAsia="Times New Roman" w:hAnsi="Calibri" w:cs="Calibri"/>
          <w:color w:val="1111FB"/>
        </w:rPr>
      </w:pPr>
      <w:r w:rsidRPr="00D96B86">
        <w:rPr>
          <w:rFonts w:ascii="Calibri" w:eastAsia="Times New Roman" w:hAnsi="Calibri" w:cs="Calibri"/>
          <w:color w:val="1111FB"/>
        </w:rPr>
        <w:t xml:space="preserve">Note: All correlations are significant at </w:t>
      </w:r>
      <w:r w:rsidRPr="00D96B86">
        <w:rPr>
          <w:color w:val="1111FB"/>
        </w:rPr>
        <w:t>p&lt;0.0001</w:t>
      </w:r>
    </w:p>
    <w:p w14:paraId="113BB1FF" w14:textId="2F559FCD" w:rsidR="00164488" w:rsidRPr="00CF360D" w:rsidRDefault="00164488" w:rsidP="00DB3627">
      <w:pPr>
        <w:autoSpaceDE w:val="0"/>
        <w:autoSpaceDN w:val="0"/>
        <w:adjustRightInd w:val="0"/>
        <w:spacing w:after="0" w:line="240" w:lineRule="auto"/>
        <w:rPr>
          <w:rFonts w:cstheme="minorHAnsi"/>
          <w:b/>
          <w:bCs/>
          <w:sz w:val="20"/>
          <w:szCs w:val="20"/>
        </w:rPr>
      </w:pPr>
    </w:p>
    <w:p w14:paraId="1284D221" w14:textId="77777777" w:rsidR="00CF360D" w:rsidRDefault="009C7513" w:rsidP="00CF360D">
      <w:pPr>
        <w:pStyle w:val="paragraph"/>
        <w:spacing w:before="0" w:beforeAutospacing="0" w:after="0" w:afterAutospacing="0"/>
        <w:textAlignment w:val="baseline"/>
        <w:rPr>
          <w:rFonts w:asciiTheme="minorHAnsi" w:hAnsiTheme="minorHAnsi" w:cstheme="minorHAnsi"/>
          <w:color w:val="1111FB"/>
          <w:sz w:val="22"/>
          <w:szCs w:val="22"/>
        </w:rPr>
      </w:pPr>
      <w:r w:rsidRPr="00CF360D">
        <w:rPr>
          <w:rFonts w:asciiTheme="minorHAnsi" w:hAnsiTheme="minorHAnsi" w:cstheme="minorHAnsi"/>
          <w:b/>
          <w:bCs/>
          <w:sz w:val="22"/>
          <w:szCs w:val="22"/>
        </w:rPr>
        <w:t>2b1</w:t>
      </w:r>
      <w:r w:rsidR="00092566" w:rsidRPr="00CF360D">
        <w:rPr>
          <w:rFonts w:asciiTheme="minorHAnsi" w:hAnsiTheme="minorHAnsi" w:cstheme="minorHAnsi"/>
          <w:b/>
          <w:bCs/>
          <w:sz w:val="22"/>
          <w:szCs w:val="22"/>
        </w:rPr>
        <w:t>.</w:t>
      </w:r>
      <w:r w:rsidR="007757CE" w:rsidRPr="00CF360D">
        <w:rPr>
          <w:rFonts w:asciiTheme="minorHAnsi" w:hAnsiTheme="minorHAnsi" w:cstheme="minorHAnsi"/>
          <w:b/>
          <w:bCs/>
          <w:sz w:val="22"/>
          <w:szCs w:val="22"/>
        </w:rPr>
        <w:t xml:space="preserve">4. </w:t>
      </w:r>
      <w:r w:rsidR="000B2DF7" w:rsidRPr="00CF360D">
        <w:rPr>
          <w:rFonts w:asciiTheme="minorHAnsi" w:hAnsiTheme="minorHAnsi" w:cstheme="minorHAnsi"/>
          <w:b/>
          <w:bCs/>
          <w:sz w:val="22"/>
          <w:szCs w:val="22"/>
        </w:rPr>
        <w:t xml:space="preserve">What is your interpretation of the results </w:t>
      </w:r>
      <w:r w:rsidR="007422FD" w:rsidRPr="00CF360D">
        <w:rPr>
          <w:rFonts w:asciiTheme="minorHAnsi" w:hAnsiTheme="minorHAnsi" w:cstheme="minorHAnsi"/>
          <w:b/>
          <w:bCs/>
          <w:sz w:val="22"/>
          <w:szCs w:val="22"/>
        </w:rPr>
        <w:t>in terms of demonstrating validity</w:t>
      </w:r>
      <w:r w:rsidR="007422FD" w:rsidRPr="00CF360D">
        <w:rPr>
          <w:rFonts w:asciiTheme="minorHAnsi" w:hAnsiTheme="minorHAnsi" w:cstheme="minorHAnsi"/>
          <w:bCs/>
          <w:sz w:val="22"/>
          <w:szCs w:val="22"/>
        </w:rPr>
        <w:t xml:space="preserve">? </w:t>
      </w:r>
      <w:r w:rsidR="000B2DF7" w:rsidRPr="00CF360D">
        <w:rPr>
          <w:rFonts w:asciiTheme="minorHAnsi" w:hAnsiTheme="minorHAnsi" w:cstheme="minorHAnsi"/>
          <w:bCs/>
          <w:sz w:val="22"/>
          <w:szCs w:val="22"/>
        </w:rPr>
        <w:t>(i</w:t>
      </w:r>
      <w:r w:rsidR="000B2DF7" w:rsidRPr="00CF360D">
        <w:rPr>
          <w:rFonts w:asciiTheme="minorHAnsi" w:hAnsiTheme="minorHAnsi" w:cstheme="minorHAnsi"/>
          <w:bCs/>
          <w:i/>
          <w:sz w:val="22"/>
          <w:szCs w:val="22"/>
        </w:rPr>
        <w:t>.e., what do the results mean and what are the norms for the test conducted</w:t>
      </w:r>
      <w:r w:rsidR="00A25024" w:rsidRPr="00CF360D">
        <w:rPr>
          <w:rFonts w:asciiTheme="minorHAnsi" w:hAnsiTheme="minorHAnsi" w:cstheme="minorHAnsi"/>
          <w:bCs/>
          <w:i/>
          <w:sz w:val="22"/>
          <w:szCs w:val="22"/>
        </w:rPr>
        <w:t>?</w:t>
      </w:r>
      <w:r w:rsidR="000B2DF7" w:rsidRPr="00CF360D">
        <w:rPr>
          <w:rFonts w:asciiTheme="minorHAnsi" w:hAnsiTheme="minorHAnsi" w:cstheme="minorHAnsi"/>
          <w:bCs/>
          <w:sz w:val="22"/>
          <w:szCs w:val="22"/>
        </w:rPr>
        <w:t>)</w:t>
      </w:r>
      <w:r w:rsidR="007422FD" w:rsidRPr="00A25024">
        <w:rPr>
          <w:rFonts w:cstheme="minorHAnsi"/>
          <w:bCs/>
        </w:rPr>
        <w:br/>
      </w:r>
      <w:bookmarkStart w:id="15" w:name="_Hlk502681013"/>
      <w:r w:rsidR="00CF360D" w:rsidRPr="001A1AC8">
        <w:rPr>
          <w:rFonts w:asciiTheme="minorHAnsi" w:hAnsiTheme="minorHAnsi" w:cstheme="minorHAnsi"/>
          <w:color w:val="1111FB"/>
          <w:sz w:val="22"/>
          <w:szCs w:val="22"/>
        </w:rPr>
        <w:t xml:space="preserve">Across all product lines, the correlations are moderate to </w:t>
      </w:r>
      <w:r w:rsidR="00CF360D">
        <w:rPr>
          <w:rFonts w:asciiTheme="minorHAnsi" w:hAnsiTheme="minorHAnsi" w:cstheme="minorHAnsi"/>
          <w:color w:val="1111FB"/>
          <w:sz w:val="22"/>
          <w:szCs w:val="22"/>
        </w:rPr>
        <w:t xml:space="preserve">very </w:t>
      </w:r>
      <w:r w:rsidR="00CF360D" w:rsidRPr="001A1AC8">
        <w:rPr>
          <w:rFonts w:asciiTheme="minorHAnsi" w:hAnsiTheme="minorHAnsi" w:cstheme="minorHAnsi"/>
          <w:color w:val="1111FB"/>
          <w:sz w:val="22"/>
          <w:szCs w:val="22"/>
        </w:rPr>
        <w:t xml:space="preserve">strong and statistically significant. These results confirm the hypothesis that </w:t>
      </w:r>
      <w:r w:rsidR="00CF360D">
        <w:rPr>
          <w:rFonts w:asciiTheme="minorHAnsi" w:hAnsiTheme="minorHAnsi" w:cstheme="minorHAnsi"/>
          <w:color w:val="1111FB"/>
          <w:sz w:val="22"/>
          <w:szCs w:val="22"/>
        </w:rPr>
        <w:t xml:space="preserve">plan performance on </w:t>
      </w:r>
      <w:r w:rsidR="00CF360D" w:rsidRPr="001A1AC8">
        <w:rPr>
          <w:rFonts w:asciiTheme="minorHAnsi" w:hAnsiTheme="minorHAnsi" w:cstheme="minorHAnsi"/>
          <w:color w:val="1111FB"/>
          <w:sz w:val="22"/>
          <w:szCs w:val="22"/>
        </w:rPr>
        <w:t>the</w:t>
      </w:r>
      <w:r w:rsidR="00CF360D">
        <w:rPr>
          <w:rFonts w:asciiTheme="minorHAnsi" w:hAnsiTheme="minorHAnsi" w:cstheme="minorHAnsi"/>
          <w:color w:val="1111FB"/>
          <w:sz w:val="22"/>
          <w:szCs w:val="22"/>
        </w:rPr>
        <w:t>se</w:t>
      </w:r>
      <w:r w:rsidR="00CF360D" w:rsidRPr="001A1AC8">
        <w:rPr>
          <w:rFonts w:asciiTheme="minorHAnsi" w:hAnsiTheme="minorHAnsi" w:cstheme="minorHAnsi"/>
          <w:color w:val="1111FB"/>
          <w:sz w:val="22"/>
          <w:szCs w:val="22"/>
        </w:rPr>
        <w:t xml:space="preserve"> diabetes measures are correlated with each other. Coefficients with absolute value of less than .3 are generally considered indicative of weak associations. Absolute values of .3 to .59 are considered moderate associations, absolute values of .6 to .69 indicate a strong positive relationship, and absolute values of .7 or higher indicate a very strong positive relationship. These correlation results suggest that at the plan level the measure has sufficient validity.</w:t>
      </w:r>
    </w:p>
    <w:p w14:paraId="0C7DF28A" w14:textId="77777777" w:rsidR="00CF360D" w:rsidRDefault="00CF360D" w:rsidP="00CF360D">
      <w:pPr>
        <w:pStyle w:val="paragraph"/>
        <w:spacing w:before="0" w:beforeAutospacing="0" w:after="0" w:afterAutospacing="0"/>
        <w:textAlignment w:val="baseline"/>
        <w:rPr>
          <w:rFonts w:asciiTheme="minorHAnsi" w:hAnsiTheme="minorHAnsi" w:cstheme="minorHAnsi"/>
          <w:color w:val="1111FB"/>
          <w:sz w:val="22"/>
          <w:szCs w:val="22"/>
        </w:rPr>
      </w:pPr>
    </w:p>
    <w:p w14:paraId="56CE5499" w14:textId="77777777" w:rsidR="00CF360D" w:rsidRDefault="00CF360D" w:rsidP="00CF360D">
      <w:pPr>
        <w:spacing w:after="0" w:line="240" w:lineRule="auto"/>
        <w:rPr>
          <w:i/>
          <w:iCs/>
          <w:color w:val="1111FB"/>
        </w:rPr>
      </w:pPr>
      <w:r w:rsidRPr="00D96B86">
        <w:rPr>
          <w:i/>
          <w:iCs/>
          <w:color w:val="1111FB"/>
        </w:rPr>
        <w:t>Note: Correlation values with the HbA1c Poor Control measure are all negative because it is a “lower is better quality” measure, while the other measures are all "higher is better".</w:t>
      </w:r>
      <w:r>
        <w:rPr>
          <w:i/>
          <w:iCs/>
          <w:color w:val="1111FB"/>
        </w:rPr>
        <w:t xml:space="preserve"> All other measures show that plans that higher rates on one measure will have high rates on the other.</w:t>
      </w:r>
    </w:p>
    <w:bookmarkEnd w:id="15"/>
    <w:p w14:paraId="4583CFAF" w14:textId="21BFDA5E" w:rsidR="00AB7FC3" w:rsidRPr="00D96B86" w:rsidRDefault="00AB7FC3" w:rsidP="00DB3627">
      <w:pPr>
        <w:autoSpaceDE w:val="0"/>
        <w:autoSpaceDN w:val="0"/>
        <w:adjustRightInd w:val="0"/>
        <w:spacing w:after="0" w:line="240" w:lineRule="auto"/>
        <w:rPr>
          <w:rFonts w:cstheme="minorHAnsi"/>
          <w:bCs/>
          <w:color w:val="1111FB"/>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1EE399B9" w:rsidR="00097012" w:rsidRPr="00A25024" w:rsidRDefault="00A65159"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009C7513">
        <w:rPr>
          <w:rFonts w:cstheme="minorHAnsi"/>
          <w:b/>
          <w:bCs/>
        </w:rPr>
        <w:t>.</w:t>
      </w:r>
      <w:r w:rsidR="00021170" w:rsidRPr="00A25024">
        <w:rPr>
          <w:rFonts w:cstheme="minorHAnsi"/>
          <w:b/>
          <w:bCs/>
        </w:rPr>
        <w:t xml:space="preserve"> </w:t>
      </w:r>
      <w:r w:rsidR="00CF34F5" w:rsidRPr="3C795A04">
        <w:rPr>
          <w:b/>
        </w:rPr>
        <w:t>EXCLUSIONS 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F9CAC45" w14:textId="2ACB6AEB" w:rsidR="009854F9" w:rsidRDefault="00092566" w:rsidP="009854F9">
      <w:pPr>
        <w:autoSpaceDE w:val="0"/>
        <w:autoSpaceDN w:val="0"/>
        <w:adjustRightInd w:val="0"/>
        <w:spacing w:after="0" w:line="240" w:lineRule="auto"/>
        <w:rPr>
          <w:rFonts w:cstheme="minorHAnsi"/>
          <w:bCs/>
          <w:color w:val="1111FB"/>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r>
      <w:r w:rsidR="009854F9">
        <w:rPr>
          <w:rFonts w:cstheme="minorHAnsi"/>
          <w:bCs/>
          <w:color w:val="1111FB"/>
        </w:rPr>
        <w:t>We did not perform testing of the following exclusions for this submission:</w:t>
      </w:r>
    </w:p>
    <w:p w14:paraId="75D94C09" w14:textId="37814AF0" w:rsidR="009854F9" w:rsidRDefault="009854F9" w:rsidP="009854F9">
      <w:pPr>
        <w:pStyle w:val="ListParagraph"/>
        <w:numPr>
          <w:ilvl w:val="0"/>
          <w:numId w:val="35"/>
        </w:numPr>
        <w:autoSpaceDE w:val="0"/>
        <w:autoSpaceDN w:val="0"/>
        <w:adjustRightInd w:val="0"/>
        <w:spacing w:after="0" w:line="240" w:lineRule="auto"/>
        <w:rPr>
          <w:rFonts w:cstheme="minorHAnsi"/>
          <w:bCs/>
          <w:color w:val="1111FB"/>
        </w:rPr>
      </w:pPr>
      <w:r>
        <w:rPr>
          <w:rFonts w:cstheme="minorHAnsi"/>
          <w:bCs/>
          <w:color w:val="1111FB"/>
        </w:rPr>
        <w:t>Gestational diabetes</w:t>
      </w:r>
    </w:p>
    <w:p w14:paraId="769F001D" w14:textId="4EAD019E" w:rsidR="009854F9" w:rsidRDefault="009854F9" w:rsidP="009854F9">
      <w:pPr>
        <w:pStyle w:val="ListParagraph"/>
        <w:numPr>
          <w:ilvl w:val="0"/>
          <w:numId w:val="35"/>
        </w:numPr>
        <w:autoSpaceDE w:val="0"/>
        <w:autoSpaceDN w:val="0"/>
        <w:adjustRightInd w:val="0"/>
        <w:spacing w:after="0" w:line="240" w:lineRule="auto"/>
        <w:rPr>
          <w:rFonts w:cstheme="minorHAnsi"/>
          <w:bCs/>
          <w:color w:val="1111FB"/>
        </w:rPr>
      </w:pPr>
      <w:r>
        <w:rPr>
          <w:rFonts w:cstheme="minorHAnsi"/>
          <w:bCs/>
          <w:color w:val="1111FB"/>
        </w:rPr>
        <w:t>Steroid-induced diabetes</w:t>
      </w:r>
    </w:p>
    <w:p w14:paraId="255BE2C7" w14:textId="77777777" w:rsidR="009854F9" w:rsidRDefault="009854F9" w:rsidP="009854F9">
      <w:pPr>
        <w:autoSpaceDE w:val="0"/>
        <w:autoSpaceDN w:val="0"/>
        <w:adjustRightInd w:val="0"/>
        <w:spacing w:after="0" w:line="240" w:lineRule="auto"/>
        <w:rPr>
          <w:rFonts w:cstheme="minorHAnsi"/>
          <w:bCs/>
          <w:color w:val="1111FB"/>
        </w:rPr>
      </w:pPr>
    </w:p>
    <w:p w14:paraId="4D908ED0" w14:textId="77777777" w:rsidR="00CF5759" w:rsidRPr="00CF5759" w:rsidRDefault="00CF5759" w:rsidP="00CF5759">
      <w:pPr>
        <w:autoSpaceDE w:val="0"/>
        <w:autoSpaceDN w:val="0"/>
        <w:adjustRightInd w:val="0"/>
        <w:spacing w:after="0" w:line="240" w:lineRule="auto"/>
        <w:rPr>
          <w:rFonts w:cstheme="minorHAnsi"/>
          <w:bCs/>
          <w:color w:val="1111FB"/>
        </w:rPr>
      </w:pPr>
      <w:r w:rsidRPr="00CF5759">
        <w:rPr>
          <w:rFonts w:cstheme="minorHAnsi"/>
          <w:bCs/>
          <w:color w:val="1111FB"/>
        </w:rPr>
        <w:t>NCQA engaged expert panels to inform the face validity of these exclusions for this measure, which aligns with evidence focused on the general population of people with Type I or Type II diabetes. This measure has been reviewed by NCQA’s Diabetes Measurement Advisory Panel, Cardiovascular Measurement Advisory Panel, Technical Measurement Advisory Panel, and the Committee on Performance Measurement. The measure also received public comment feedback upon initial development.</w:t>
      </w:r>
    </w:p>
    <w:p w14:paraId="3DC39A5A" w14:textId="77777777" w:rsidR="00CF5759" w:rsidRPr="00CF5759" w:rsidRDefault="00CF5759" w:rsidP="00CF5759">
      <w:pPr>
        <w:autoSpaceDE w:val="0"/>
        <w:autoSpaceDN w:val="0"/>
        <w:adjustRightInd w:val="0"/>
        <w:spacing w:after="0" w:line="240" w:lineRule="auto"/>
        <w:rPr>
          <w:rFonts w:cstheme="minorHAnsi"/>
          <w:bCs/>
          <w:color w:val="1111FB"/>
        </w:rPr>
      </w:pPr>
    </w:p>
    <w:p w14:paraId="140551E7" w14:textId="77777777" w:rsidR="00CF5759" w:rsidRPr="00CF5759" w:rsidRDefault="00CF5759" w:rsidP="00CF5759">
      <w:pPr>
        <w:autoSpaceDE w:val="0"/>
        <w:autoSpaceDN w:val="0"/>
        <w:adjustRightInd w:val="0"/>
        <w:spacing w:after="0" w:line="240" w:lineRule="auto"/>
        <w:rPr>
          <w:rFonts w:cstheme="minorHAnsi"/>
          <w:bCs/>
          <w:color w:val="1111FB"/>
          <w:u w:val="single"/>
        </w:rPr>
      </w:pPr>
      <w:r w:rsidRPr="00CF5759">
        <w:rPr>
          <w:rFonts w:cstheme="minorHAnsi"/>
          <w:bCs/>
          <w:color w:val="1111FB"/>
          <w:u w:val="single"/>
        </w:rPr>
        <w:t>Hospice, I-SNPs and Long-Term Care Institutions</w:t>
      </w:r>
    </w:p>
    <w:p w14:paraId="44CDC9DA" w14:textId="182059C7" w:rsidR="00372AAB" w:rsidRDefault="00CF5759" w:rsidP="00CF5759">
      <w:pPr>
        <w:autoSpaceDE w:val="0"/>
        <w:autoSpaceDN w:val="0"/>
        <w:adjustRightInd w:val="0"/>
        <w:spacing w:after="0" w:line="240" w:lineRule="auto"/>
        <w:rPr>
          <w:rFonts w:cstheme="minorHAnsi"/>
          <w:bCs/>
          <w:color w:val="1111FB"/>
        </w:rPr>
      </w:pPr>
      <w:r w:rsidRPr="00CF5759">
        <w:rPr>
          <w:rFonts w:cstheme="minorHAnsi"/>
          <w:bCs/>
          <w:color w:val="1111FB"/>
        </w:rPr>
        <w:t>These exclusions were also not formally tested for this submission. This measure is designed to be scientifically valid and feasible for comparing the quality of care provided to general populations, such as healthy older adults or those with a single condition. Patients receiving hospice, enrolled in an I-SNP, or residing in a long-term care institution would likely have different care needs and quality concerns, therefore they are excluded from this measure.</w:t>
      </w:r>
    </w:p>
    <w:p w14:paraId="2C20D7A0" w14:textId="77777777" w:rsidR="00CF5759" w:rsidRDefault="00CF5759" w:rsidP="00CF5759">
      <w:pPr>
        <w:autoSpaceDE w:val="0"/>
        <w:autoSpaceDN w:val="0"/>
        <w:adjustRightInd w:val="0"/>
        <w:spacing w:after="0" w:line="240" w:lineRule="auto"/>
        <w:rPr>
          <w:rFonts w:cstheme="minorHAnsi"/>
          <w:bCs/>
          <w:color w:val="1111FB"/>
        </w:rPr>
      </w:pPr>
    </w:p>
    <w:p w14:paraId="25C57C06" w14:textId="77777777" w:rsidR="00372AAB" w:rsidRPr="001E266C" w:rsidRDefault="00372AAB" w:rsidP="00372AAB">
      <w:pPr>
        <w:autoSpaceDE w:val="0"/>
        <w:autoSpaceDN w:val="0"/>
        <w:adjustRightInd w:val="0"/>
        <w:spacing w:after="0" w:line="240" w:lineRule="auto"/>
        <w:rPr>
          <w:rFonts w:cstheme="minorHAnsi"/>
          <w:bCs/>
          <w:color w:val="1111FB"/>
          <w:u w:val="single"/>
        </w:rPr>
      </w:pPr>
      <w:r w:rsidRPr="001E266C">
        <w:rPr>
          <w:rFonts w:cstheme="minorHAnsi"/>
          <w:bCs/>
          <w:color w:val="1111FB"/>
          <w:u w:val="single"/>
        </w:rPr>
        <w:t>Advanced Illness and Frailty</w:t>
      </w:r>
    </w:p>
    <w:p w14:paraId="2433C521" w14:textId="13B90F80" w:rsidR="00372AAB" w:rsidRPr="00B8407D" w:rsidRDefault="00372AAB" w:rsidP="00372AAB">
      <w:pPr>
        <w:autoSpaceDE w:val="0"/>
        <w:autoSpaceDN w:val="0"/>
        <w:adjustRightInd w:val="0"/>
        <w:spacing w:after="0" w:line="240" w:lineRule="auto"/>
        <w:rPr>
          <w:rFonts w:cstheme="minorHAnsi"/>
          <w:bCs/>
          <w:color w:val="1111FB"/>
        </w:rPr>
      </w:pPr>
      <w:r>
        <w:rPr>
          <w:rFonts w:cstheme="minorHAnsi"/>
          <w:bCs/>
          <w:color w:val="1111FB"/>
        </w:rPr>
        <w:t xml:space="preserve">For HEDIS 2019 (measurement year 2018), NCQA added exclusions for </w:t>
      </w:r>
      <w:r w:rsidRPr="00971197">
        <w:rPr>
          <w:rFonts w:cstheme="minorHAnsi"/>
          <w:bCs/>
          <w:color w:val="1111FB"/>
        </w:rPr>
        <w:t>advanced illness and frailty</w:t>
      </w:r>
      <w:r>
        <w:rPr>
          <w:rFonts w:cstheme="minorHAnsi"/>
          <w:bCs/>
          <w:color w:val="1111FB"/>
        </w:rPr>
        <w:t xml:space="preserve"> to the </w:t>
      </w:r>
      <w:r w:rsidRPr="005F5840">
        <w:rPr>
          <w:rFonts w:cstheme="minorHAnsi"/>
          <w:bCs/>
          <w:color w:val="1111FB"/>
        </w:rPr>
        <w:t>Comprehensive Diabetes Care: HbA1c Control (</w:t>
      </w:r>
      <w:r w:rsidR="00A25B21">
        <w:rPr>
          <w:rFonts w:cstheme="minorHAnsi"/>
          <w:bCs/>
          <w:color w:val="1111FB"/>
        </w:rPr>
        <w:t>&lt;8</w:t>
      </w:r>
      <w:r w:rsidRPr="005F5840">
        <w:rPr>
          <w:rFonts w:cstheme="minorHAnsi"/>
          <w:bCs/>
          <w:color w:val="1111FB"/>
        </w:rPr>
        <w:t>.0%)</w:t>
      </w:r>
      <w:r w:rsidRPr="00813048">
        <w:rPr>
          <w:rFonts w:cstheme="minorHAnsi"/>
          <w:bCs/>
          <w:color w:val="1111FB"/>
        </w:rPr>
        <w:t xml:space="preserve"> </w:t>
      </w:r>
      <w:r w:rsidRPr="0016114C">
        <w:rPr>
          <w:rFonts w:cstheme="minorHAnsi"/>
          <w:bCs/>
          <w:color w:val="1111FB"/>
        </w:rPr>
        <w:t>measur</w:t>
      </w:r>
      <w:r>
        <w:rPr>
          <w:rFonts w:cstheme="minorHAnsi"/>
          <w:bCs/>
          <w:color w:val="1111FB"/>
        </w:rPr>
        <w:t xml:space="preserve">e. NCQA decided to explore implementing these exclusions, recognizing that for </w:t>
      </w:r>
      <w:r w:rsidRPr="006B52C5">
        <w:rPr>
          <w:rFonts w:cstheme="minorHAnsi"/>
          <w:bCs/>
          <w:color w:val="1111FB"/>
        </w:rPr>
        <w:t xml:space="preserve">individuals with </w:t>
      </w:r>
      <w:r>
        <w:rPr>
          <w:rFonts w:cstheme="minorHAnsi"/>
          <w:bCs/>
          <w:color w:val="1111FB"/>
        </w:rPr>
        <w:t xml:space="preserve">limited </w:t>
      </w:r>
      <w:r w:rsidRPr="006B52C5">
        <w:rPr>
          <w:rFonts w:cstheme="minorHAnsi"/>
          <w:bCs/>
          <w:color w:val="1111FB"/>
        </w:rPr>
        <w:t xml:space="preserve">life expectancy, advanced illness </w:t>
      </w:r>
      <w:r>
        <w:rPr>
          <w:rFonts w:cstheme="minorHAnsi"/>
          <w:bCs/>
          <w:color w:val="1111FB"/>
        </w:rPr>
        <w:t>and</w:t>
      </w:r>
      <w:r w:rsidRPr="006B52C5">
        <w:rPr>
          <w:rFonts w:cstheme="minorHAnsi"/>
          <w:bCs/>
          <w:color w:val="1111FB"/>
        </w:rPr>
        <w:t xml:space="preserve"> </w:t>
      </w:r>
      <w:r>
        <w:rPr>
          <w:rFonts w:cstheme="minorHAnsi"/>
          <w:bCs/>
          <w:color w:val="1111FB"/>
        </w:rPr>
        <w:t>frailty,</w:t>
      </w:r>
      <w:r w:rsidRPr="006B52C5">
        <w:rPr>
          <w:rFonts w:cstheme="minorHAnsi"/>
          <w:bCs/>
          <w:color w:val="1111FB"/>
        </w:rPr>
        <w:t xml:space="preserve"> the </w:t>
      </w:r>
      <w:r>
        <w:rPr>
          <w:rFonts w:cstheme="minorHAnsi"/>
          <w:bCs/>
          <w:color w:val="1111FB"/>
        </w:rPr>
        <w:t>focus of</w:t>
      </w:r>
      <w:r w:rsidRPr="006B52C5">
        <w:rPr>
          <w:rFonts w:cstheme="minorHAnsi"/>
          <w:bCs/>
          <w:color w:val="1111FB"/>
        </w:rPr>
        <w:t xml:space="preserve"> this measure may not be</w:t>
      </w:r>
      <w:r>
        <w:rPr>
          <w:rFonts w:cstheme="minorHAnsi"/>
          <w:bCs/>
          <w:color w:val="1111FB"/>
        </w:rPr>
        <w:t xml:space="preserve"> clinically appropriate,</w:t>
      </w:r>
      <w:r w:rsidRPr="006B52C5">
        <w:rPr>
          <w:rFonts w:cstheme="minorHAnsi"/>
          <w:bCs/>
          <w:color w:val="1111FB"/>
        </w:rPr>
        <w:t xml:space="preserve"> relevant or in line with the patient’s goals of care. </w:t>
      </w:r>
      <w:r>
        <w:rPr>
          <w:rFonts w:cstheme="minorHAnsi"/>
          <w:bCs/>
          <w:color w:val="1111FB"/>
        </w:rPr>
        <w:t>We</w:t>
      </w:r>
      <w:r w:rsidRPr="00B8407D">
        <w:rPr>
          <w:rFonts w:cstheme="minorHAnsi"/>
          <w:bCs/>
          <w:color w:val="1111FB"/>
        </w:rPr>
        <w:t xml:space="preserve"> performed a review of literature on different approaches to defining advanced illness and used this, along with feedback received from expert work groups, measurement advisory panels and public comment to create a list of illnesses, conditions and service codes to be included in testing. The conditions included: dementia and other neurodegenerative conditions, emphysema, end stage renal disease (ESRD), heart failure, liver failure, metastatic cancer, pulmonary fibrosis and respiratory failure. </w:t>
      </w:r>
    </w:p>
    <w:p w14:paraId="711E3962" w14:textId="77777777" w:rsidR="00372AAB" w:rsidRPr="00B8407D" w:rsidRDefault="00372AAB" w:rsidP="00372AAB">
      <w:pPr>
        <w:autoSpaceDE w:val="0"/>
        <w:autoSpaceDN w:val="0"/>
        <w:adjustRightInd w:val="0"/>
        <w:spacing w:after="0" w:line="240" w:lineRule="auto"/>
        <w:rPr>
          <w:rFonts w:cstheme="minorHAnsi"/>
          <w:bCs/>
          <w:color w:val="1111FB"/>
        </w:rPr>
      </w:pPr>
    </w:p>
    <w:p w14:paraId="2F8C5FDC" w14:textId="77777777" w:rsidR="00372AAB" w:rsidRDefault="00372AAB" w:rsidP="00372AAB">
      <w:pPr>
        <w:autoSpaceDE w:val="0"/>
        <w:autoSpaceDN w:val="0"/>
        <w:adjustRightInd w:val="0"/>
        <w:spacing w:after="0" w:line="240" w:lineRule="auto"/>
        <w:rPr>
          <w:rFonts w:cstheme="minorHAnsi"/>
          <w:bCs/>
          <w:color w:val="1111FB"/>
        </w:rPr>
      </w:pPr>
      <w:r w:rsidRPr="00B8407D">
        <w:rPr>
          <w:rFonts w:cstheme="minorHAnsi"/>
          <w:bCs/>
          <w:color w:val="1111FB"/>
        </w:rPr>
        <w:t>NCQA then conducted a search of ICD-9 and ICD-10 codes that were relevant to each of the conditions to create value sets for testing. To identify those with dementia, NCQA also included drug codes for medications such as donepezil hydrochloride and galantamine hydrobromide, to capture those who may not carry a diagnosis of dementia but are prescribed a drug for treatment.</w:t>
      </w:r>
    </w:p>
    <w:p w14:paraId="37464D1E" w14:textId="77777777" w:rsidR="00372AAB" w:rsidRDefault="00372AAB" w:rsidP="00372AAB">
      <w:pPr>
        <w:autoSpaceDE w:val="0"/>
        <w:autoSpaceDN w:val="0"/>
        <w:adjustRightInd w:val="0"/>
        <w:spacing w:after="0" w:line="240" w:lineRule="auto"/>
        <w:rPr>
          <w:rFonts w:cstheme="minorHAnsi"/>
          <w:bCs/>
          <w:color w:val="1111FB"/>
        </w:rPr>
      </w:pPr>
    </w:p>
    <w:p w14:paraId="1BC299A6" w14:textId="77777777" w:rsidR="00974BAC" w:rsidRDefault="00974BAC" w:rsidP="00974BAC">
      <w:pPr>
        <w:autoSpaceDE w:val="0"/>
        <w:autoSpaceDN w:val="0"/>
        <w:adjustRightInd w:val="0"/>
        <w:spacing w:after="0" w:line="240" w:lineRule="auto"/>
        <w:rPr>
          <w:rFonts w:cstheme="minorHAnsi"/>
          <w:bCs/>
          <w:color w:val="1111FB"/>
        </w:rPr>
      </w:pPr>
      <w:r w:rsidRPr="00CC346E">
        <w:rPr>
          <w:rFonts w:cstheme="minorHAnsi"/>
          <w:bCs/>
          <w:color w:val="1111FB"/>
        </w:rPr>
        <w:t>The proxy for frailty was developed based on previously studied approaches</w:t>
      </w:r>
      <w:r>
        <w:rPr>
          <w:rStyle w:val="FootnoteReference"/>
          <w:bCs/>
          <w:color w:val="1111FB"/>
        </w:rPr>
        <w:footnoteReference w:id="2"/>
      </w:r>
      <w:r>
        <w:rPr>
          <w:rFonts w:cstheme="minorHAnsi"/>
          <w:bCs/>
          <w:color w:val="1111FB"/>
          <w:vertAlign w:val="superscript"/>
        </w:rPr>
        <w:t xml:space="preserve">, </w:t>
      </w:r>
      <w:r>
        <w:rPr>
          <w:rStyle w:val="FootnoteReference"/>
          <w:bCs/>
          <w:color w:val="1111FB"/>
        </w:rPr>
        <w:footnoteReference w:id="3"/>
      </w:r>
      <w:r>
        <w:rPr>
          <w:rFonts w:cstheme="minorHAnsi"/>
          <w:bCs/>
          <w:color w:val="1111FB"/>
          <w:vertAlign w:val="superscript"/>
        </w:rPr>
        <w:t xml:space="preserve">, </w:t>
      </w:r>
      <w:r>
        <w:rPr>
          <w:rStyle w:val="FootnoteReference"/>
          <w:bCs/>
          <w:color w:val="1111FB"/>
        </w:rPr>
        <w:footnoteReference w:id="4"/>
      </w:r>
      <w:r>
        <w:rPr>
          <w:rFonts w:cstheme="minorHAnsi"/>
          <w:bCs/>
          <w:color w:val="1111FB"/>
        </w:rPr>
        <w:t xml:space="preserve"> </w:t>
      </w:r>
      <w:r w:rsidRPr="00CC346E">
        <w:rPr>
          <w:rFonts w:cstheme="minorHAnsi"/>
          <w:bCs/>
          <w:color w:val="1111FB"/>
        </w:rPr>
        <w:t xml:space="preserve">and feedback received from expert work groups and measurement advisory panels. The proxy is comprised of HCPCS, ICD-9 and ICD-10 codes for diagnoses or services that can indicate when an individual is frail or dependent in </w:t>
      </w:r>
      <w:r w:rsidRPr="00CC346E">
        <w:rPr>
          <w:rFonts w:cstheme="minorHAnsi"/>
          <w:bCs/>
          <w:color w:val="1111FB"/>
        </w:rPr>
        <w:lastRenderedPageBreak/>
        <w:t>activities of daily living. Examples include: gait abnormality, abnormal loss of weight and underweight, adult failure to thrive, debility, fall, pressure ulcer, durable medical equipment (hospital bed, walker, portable or home oxygen, wheelchair), bed confinement, palliative care and age-related physical debility. Members met the frailty proxy criteria if they had a claim for any of the codes included in the frailty code set in the measurement year</w:t>
      </w:r>
      <w:r>
        <w:rPr>
          <w:rFonts w:cstheme="minorHAnsi"/>
          <w:bCs/>
          <w:color w:val="1111FB"/>
        </w:rPr>
        <w:t>.</w:t>
      </w:r>
    </w:p>
    <w:p w14:paraId="450FE022" w14:textId="77777777" w:rsidR="00372AAB" w:rsidRDefault="00372AAB" w:rsidP="00372AAB">
      <w:pPr>
        <w:autoSpaceDE w:val="0"/>
        <w:autoSpaceDN w:val="0"/>
        <w:adjustRightInd w:val="0"/>
        <w:spacing w:after="0" w:line="240" w:lineRule="auto"/>
        <w:rPr>
          <w:rFonts w:cstheme="minorHAnsi"/>
          <w:bCs/>
          <w:color w:val="1111FB"/>
        </w:rPr>
      </w:pPr>
    </w:p>
    <w:p w14:paraId="6B83E6CC" w14:textId="77777777" w:rsidR="00272237" w:rsidRPr="00272237" w:rsidRDefault="00272237" w:rsidP="00272237">
      <w:pPr>
        <w:autoSpaceDE w:val="0"/>
        <w:autoSpaceDN w:val="0"/>
        <w:adjustRightInd w:val="0"/>
        <w:spacing w:after="0" w:line="240" w:lineRule="auto"/>
        <w:rPr>
          <w:rFonts w:cstheme="minorHAnsi"/>
          <w:bCs/>
          <w:color w:val="1111FB"/>
        </w:rPr>
      </w:pPr>
      <w:r w:rsidRPr="00272237">
        <w:rPr>
          <w:rFonts w:cstheme="minorHAnsi"/>
          <w:bCs/>
          <w:color w:val="1111FB"/>
        </w:rPr>
        <w:t>To determine the feasibility and impact of applying this exclusion to the measure, NCQA used a research database that consisted of two years of inpatient, outpatient, and pharmacy claims for members age 18 and older enrolled in a sample of Medicare Advantage plans (N=25). NCQA compared several approaches for identifying the advanced illness and frailty populations, examining different age ranges and diagnosis positions and their impact on the denominator. The results of those queries along with input from the expert work groups, measurement advisory panels and public comment led us to determine that the best approach for identifying the advanced illness and frailty population that should be excluded from the measure was to apply the following criteria:</w:t>
      </w:r>
    </w:p>
    <w:p w14:paraId="2AA42743" w14:textId="5000606C" w:rsidR="00372AAB" w:rsidRPr="00272237" w:rsidRDefault="00272237" w:rsidP="00272237">
      <w:pPr>
        <w:pStyle w:val="ListParagraph"/>
        <w:numPr>
          <w:ilvl w:val="0"/>
          <w:numId w:val="37"/>
        </w:numPr>
        <w:autoSpaceDE w:val="0"/>
        <w:autoSpaceDN w:val="0"/>
        <w:adjustRightInd w:val="0"/>
        <w:spacing w:after="0" w:line="240" w:lineRule="auto"/>
        <w:rPr>
          <w:rFonts w:cstheme="minorHAnsi"/>
          <w:bCs/>
          <w:color w:val="1111FB"/>
        </w:rPr>
      </w:pPr>
      <w:r w:rsidRPr="00272237">
        <w:rPr>
          <w:rFonts w:cstheme="minorHAnsi"/>
          <w:bCs/>
          <w:color w:val="1111FB"/>
        </w:rPr>
        <w:t>Adults 66 and older as of December 31 of the measurement year (all product lines) with frailty and advanced illness</w:t>
      </w:r>
    </w:p>
    <w:p w14:paraId="4DD40869" w14:textId="77777777" w:rsidR="00DD105F" w:rsidRPr="00A25024" w:rsidRDefault="00DD105F" w:rsidP="002209FC">
      <w:pPr>
        <w:autoSpaceDE w:val="0"/>
        <w:autoSpaceDN w:val="0"/>
        <w:adjustRightInd w:val="0"/>
        <w:spacing w:after="0" w:line="240" w:lineRule="auto"/>
        <w:rPr>
          <w:rFonts w:cstheme="minorHAnsi"/>
          <w:bCs/>
        </w:rPr>
      </w:pPr>
    </w:p>
    <w:p w14:paraId="7D311E4C" w14:textId="27BD4ABC" w:rsidR="001F30E4" w:rsidRDefault="00092566" w:rsidP="001F30E4">
      <w:pPr>
        <w:autoSpaceDE w:val="0"/>
        <w:autoSpaceDN w:val="0"/>
        <w:adjustRightInd w:val="0"/>
        <w:spacing w:after="0" w:line="240" w:lineRule="auto"/>
        <w:rPr>
          <w:rFonts w:cstheme="minorHAnsi"/>
          <w:bCs/>
          <w:color w:val="1111FB"/>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1F30E4">
        <w:rPr>
          <w:rFonts w:cstheme="minorHAnsi"/>
          <w:bCs/>
          <w:color w:val="1111FB"/>
        </w:rPr>
        <w:t xml:space="preserve">Table 4 shows the results of applying the exclusion of adults </w:t>
      </w:r>
      <w:r w:rsidR="001F30E4" w:rsidRPr="00E21623">
        <w:rPr>
          <w:rFonts w:cstheme="minorHAnsi"/>
          <w:bCs/>
          <w:color w:val="1111FB"/>
        </w:rPr>
        <w:t>66</w:t>
      </w:r>
      <w:r w:rsidR="001F30E4">
        <w:rPr>
          <w:rFonts w:cstheme="minorHAnsi"/>
          <w:bCs/>
          <w:color w:val="1111FB"/>
        </w:rPr>
        <w:t xml:space="preserve"> and older</w:t>
      </w:r>
      <w:r w:rsidR="001F30E4" w:rsidRPr="00E21623">
        <w:rPr>
          <w:rFonts w:cstheme="minorHAnsi"/>
          <w:bCs/>
          <w:color w:val="1111FB"/>
        </w:rPr>
        <w:t xml:space="preserve"> with advanced illness and frailty </w:t>
      </w:r>
      <w:r w:rsidR="001F30E4">
        <w:rPr>
          <w:rFonts w:cstheme="minorHAnsi"/>
          <w:bCs/>
          <w:color w:val="1111FB"/>
        </w:rPr>
        <w:t xml:space="preserve">to the </w:t>
      </w:r>
      <w:r w:rsidR="001F30E4" w:rsidRPr="005F5840">
        <w:rPr>
          <w:rFonts w:cstheme="minorHAnsi"/>
          <w:bCs/>
          <w:color w:val="1111FB"/>
        </w:rPr>
        <w:t xml:space="preserve">Comprehensive Diabetes Care: HbA1c </w:t>
      </w:r>
      <w:r w:rsidR="00F13107">
        <w:rPr>
          <w:rFonts w:cstheme="minorHAnsi"/>
          <w:bCs/>
          <w:color w:val="1111FB"/>
        </w:rPr>
        <w:t xml:space="preserve"> </w:t>
      </w:r>
      <w:r w:rsidR="001F30E4" w:rsidRPr="005F5840">
        <w:rPr>
          <w:rFonts w:cstheme="minorHAnsi"/>
          <w:bCs/>
          <w:color w:val="1111FB"/>
        </w:rPr>
        <w:t xml:space="preserve">Control </w:t>
      </w:r>
      <w:r w:rsidR="001F30E4">
        <w:rPr>
          <w:rFonts w:cstheme="minorHAnsi"/>
          <w:bCs/>
          <w:color w:val="1111FB"/>
        </w:rPr>
        <w:t>&lt;8</w:t>
      </w:r>
      <w:r w:rsidR="001F30E4" w:rsidRPr="005F5840">
        <w:rPr>
          <w:rFonts w:cstheme="minorHAnsi"/>
          <w:bCs/>
          <w:color w:val="1111FB"/>
        </w:rPr>
        <w:t>.0%)</w:t>
      </w:r>
      <w:r w:rsidR="001F30E4" w:rsidRPr="00813048">
        <w:rPr>
          <w:rFonts w:cstheme="minorHAnsi"/>
          <w:bCs/>
          <w:color w:val="1111FB"/>
        </w:rPr>
        <w:t xml:space="preserve"> </w:t>
      </w:r>
      <w:r w:rsidR="001F30E4" w:rsidRPr="0016114C">
        <w:rPr>
          <w:rFonts w:cstheme="minorHAnsi"/>
          <w:bCs/>
          <w:color w:val="1111FB"/>
        </w:rPr>
        <w:t>measur</w:t>
      </w:r>
      <w:r w:rsidR="001F30E4">
        <w:rPr>
          <w:rFonts w:cstheme="minorHAnsi"/>
          <w:bCs/>
          <w:color w:val="1111FB"/>
        </w:rPr>
        <w:t xml:space="preserve">e. </w:t>
      </w:r>
    </w:p>
    <w:p w14:paraId="60644D08" w14:textId="77777777" w:rsidR="001F30E4" w:rsidRDefault="001F30E4" w:rsidP="001F30E4">
      <w:pPr>
        <w:autoSpaceDE w:val="0"/>
        <w:autoSpaceDN w:val="0"/>
        <w:adjustRightInd w:val="0"/>
        <w:spacing w:after="0" w:line="240" w:lineRule="auto"/>
        <w:rPr>
          <w:rFonts w:cstheme="minorHAnsi"/>
          <w:bCs/>
          <w:color w:val="1111FB"/>
        </w:rPr>
      </w:pPr>
    </w:p>
    <w:p w14:paraId="02EC1CD4" w14:textId="77777777" w:rsidR="001F30E4" w:rsidRDefault="001F30E4" w:rsidP="001F30E4">
      <w:pPr>
        <w:autoSpaceDE w:val="0"/>
        <w:autoSpaceDN w:val="0"/>
        <w:adjustRightInd w:val="0"/>
        <w:spacing w:after="0" w:line="240" w:lineRule="auto"/>
        <w:rPr>
          <w:rFonts w:cstheme="minorHAnsi"/>
          <w:bCs/>
          <w:color w:val="1111FB"/>
        </w:rPr>
      </w:pPr>
      <w:r>
        <w:rPr>
          <w:rFonts w:cstheme="minorHAnsi"/>
          <w:bCs/>
          <w:color w:val="1111FB"/>
        </w:rPr>
        <w:t>Table 4. Impact of applying the advanced illness and f</w:t>
      </w:r>
      <w:r w:rsidRPr="0095437C">
        <w:rPr>
          <w:rFonts w:cstheme="minorHAnsi"/>
          <w:bCs/>
          <w:color w:val="1111FB"/>
        </w:rPr>
        <w:t>railty</w:t>
      </w:r>
      <w:r>
        <w:rPr>
          <w:rFonts w:cstheme="minorHAnsi"/>
          <w:bCs/>
          <w:color w:val="1111FB"/>
        </w:rPr>
        <w:t xml:space="preserve"> for patients aged 66 and older </w:t>
      </w:r>
    </w:p>
    <w:tbl>
      <w:tblPr>
        <w:tblpPr w:leftFromText="180" w:rightFromText="180" w:vertAnchor="text" w:tblpY="50"/>
        <w:tblW w:w="3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1530"/>
        <w:gridCol w:w="1350"/>
      </w:tblGrid>
      <w:tr w:rsidR="001F30E4" w:rsidRPr="00E17872" w14:paraId="01E09D54" w14:textId="77777777" w:rsidTr="00A84375">
        <w:trPr>
          <w:trHeight w:val="825"/>
        </w:trPr>
        <w:tc>
          <w:tcPr>
            <w:tcW w:w="965" w:type="dxa"/>
            <w:shd w:val="clear" w:color="auto" w:fill="D9D9D9" w:themeFill="background1" w:themeFillShade="D9"/>
            <w:noWrap/>
            <w:vAlign w:val="center"/>
            <w:hideMark/>
          </w:tcPr>
          <w:p w14:paraId="371A9A3A" w14:textId="77777777" w:rsidR="001F30E4" w:rsidRPr="00836A38" w:rsidRDefault="001F30E4" w:rsidP="00A84375">
            <w:pPr>
              <w:autoSpaceDE w:val="0"/>
              <w:autoSpaceDN w:val="0"/>
              <w:adjustRightInd w:val="0"/>
              <w:spacing w:after="0" w:line="240" w:lineRule="auto"/>
              <w:jc w:val="center"/>
              <w:rPr>
                <w:rFonts w:cstheme="minorHAnsi"/>
                <w:bCs/>
                <w:color w:val="1111FB"/>
              </w:rPr>
            </w:pPr>
            <w:r w:rsidRPr="00836A38">
              <w:rPr>
                <w:rFonts w:cstheme="minorHAnsi"/>
                <w:bCs/>
                <w:color w:val="1111FB"/>
              </w:rPr>
              <w:t>Number of Plans</w:t>
            </w:r>
          </w:p>
          <w:p w14:paraId="129B792B" w14:textId="77777777" w:rsidR="001F30E4" w:rsidRPr="00836A38" w:rsidRDefault="001F30E4" w:rsidP="00A84375">
            <w:pPr>
              <w:autoSpaceDE w:val="0"/>
              <w:autoSpaceDN w:val="0"/>
              <w:adjustRightInd w:val="0"/>
              <w:spacing w:after="0" w:line="240" w:lineRule="auto"/>
              <w:jc w:val="center"/>
              <w:rPr>
                <w:rFonts w:cstheme="minorHAnsi"/>
                <w:bCs/>
                <w:color w:val="1111FB"/>
              </w:rPr>
            </w:pPr>
            <w:r w:rsidRPr="00E17872">
              <w:rPr>
                <w:rFonts w:cstheme="minorHAnsi"/>
                <w:bCs/>
                <w:color w:val="1111FB"/>
              </w:rPr>
              <w:t>(</w:t>
            </w:r>
            <w:r w:rsidRPr="00836A38">
              <w:rPr>
                <w:rFonts w:cstheme="minorHAnsi"/>
                <w:bCs/>
                <w:color w:val="1111FB"/>
              </w:rPr>
              <w:t>N</w:t>
            </w:r>
            <w:r w:rsidRPr="00E17872">
              <w:rPr>
                <w:rFonts w:cstheme="minorHAnsi"/>
                <w:bCs/>
                <w:color w:val="1111FB"/>
              </w:rPr>
              <w:t>)</w:t>
            </w:r>
          </w:p>
        </w:tc>
        <w:tc>
          <w:tcPr>
            <w:tcW w:w="1530" w:type="dxa"/>
            <w:shd w:val="clear" w:color="auto" w:fill="D9D9D9" w:themeFill="background1" w:themeFillShade="D9"/>
            <w:vAlign w:val="center"/>
            <w:hideMark/>
          </w:tcPr>
          <w:p w14:paraId="718425C8" w14:textId="77777777" w:rsidR="001F30E4" w:rsidRPr="00E17872" w:rsidRDefault="001F30E4" w:rsidP="00A84375">
            <w:pPr>
              <w:autoSpaceDE w:val="0"/>
              <w:autoSpaceDN w:val="0"/>
              <w:adjustRightInd w:val="0"/>
              <w:spacing w:after="0" w:line="240" w:lineRule="auto"/>
              <w:jc w:val="center"/>
              <w:rPr>
                <w:rFonts w:cstheme="minorHAnsi"/>
                <w:bCs/>
                <w:color w:val="1111FB"/>
              </w:rPr>
            </w:pPr>
            <w:r w:rsidRPr="00836A38">
              <w:rPr>
                <w:rFonts w:cstheme="minorHAnsi"/>
                <w:bCs/>
                <w:color w:val="1111FB"/>
              </w:rPr>
              <w:t xml:space="preserve">Average Number </w:t>
            </w:r>
            <w:r w:rsidRPr="00E17872">
              <w:rPr>
                <w:rFonts w:cstheme="minorHAnsi"/>
                <w:bCs/>
                <w:color w:val="1111FB"/>
              </w:rPr>
              <w:t>Excluded</w:t>
            </w:r>
          </w:p>
          <w:p w14:paraId="75AA6E93" w14:textId="77777777" w:rsidR="001F30E4" w:rsidRPr="00836A38" w:rsidRDefault="001F30E4" w:rsidP="00A84375">
            <w:pPr>
              <w:autoSpaceDE w:val="0"/>
              <w:autoSpaceDN w:val="0"/>
              <w:adjustRightInd w:val="0"/>
              <w:spacing w:after="0" w:line="240" w:lineRule="auto"/>
              <w:jc w:val="center"/>
              <w:rPr>
                <w:rFonts w:cstheme="minorHAnsi"/>
                <w:bCs/>
                <w:color w:val="1111FB"/>
              </w:rPr>
            </w:pPr>
          </w:p>
        </w:tc>
        <w:tc>
          <w:tcPr>
            <w:tcW w:w="1350" w:type="dxa"/>
            <w:shd w:val="clear" w:color="auto" w:fill="D9D9D9" w:themeFill="background1" w:themeFillShade="D9"/>
            <w:vAlign w:val="center"/>
            <w:hideMark/>
          </w:tcPr>
          <w:p w14:paraId="26610699" w14:textId="77777777" w:rsidR="001F30E4" w:rsidRPr="00E17872" w:rsidRDefault="001F30E4" w:rsidP="00A84375">
            <w:pPr>
              <w:autoSpaceDE w:val="0"/>
              <w:autoSpaceDN w:val="0"/>
              <w:adjustRightInd w:val="0"/>
              <w:spacing w:after="0" w:line="240" w:lineRule="auto"/>
              <w:jc w:val="center"/>
              <w:rPr>
                <w:rFonts w:cstheme="minorHAnsi"/>
                <w:bCs/>
                <w:color w:val="1111FB"/>
              </w:rPr>
            </w:pPr>
            <w:r w:rsidRPr="00836A38">
              <w:rPr>
                <w:rFonts w:cstheme="minorHAnsi"/>
                <w:bCs/>
                <w:color w:val="1111FB"/>
              </w:rPr>
              <w:t>Average % Removed by</w:t>
            </w:r>
            <w:r w:rsidRPr="00E17872">
              <w:rPr>
                <w:rFonts w:cstheme="minorHAnsi"/>
                <w:bCs/>
                <w:color w:val="1111FB"/>
              </w:rPr>
              <w:t xml:space="preserve"> Exclusion</w:t>
            </w:r>
          </w:p>
          <w:p w14:paraId="7346E589" w14:textId="77777777" w:rsidR="001F30E4" w:rsidRPr="00836A38" w:rsidRDefault="001F30E4" w:rsidP="00A84375">
            <w:pPr>
              <w:autoSpaceDE w:val="0"/>
              <w:autoSpaceDN w:val="0"/>
              <w:adjustRightInd w:val="0"/>
              <w:spacing w:after="0" w:line="240" w:lineRule="auto"/>
              <w:jc w:val="center"/>
              <w:rPr>
                <w:rFonts w:cstheme="minorHAnsi"/>
                <w:bCs/>
                <w:color w:val="1111FB"/>
              </w:rPr>
            </w:pPr>
          </w:p>
        </w:tc>
      </w:tr>
      <w:tr w:rsidR="001F30E4" w:rsidRPr="00836A38" w14:paraId="030C2A88" w14:textId="77777777" w:rsidTr="00A84375">
        <w:trPr>
          <w:trHeight w:val="274"/>
        </w:trPr>
        <w:tc>
          <w:tcPr>
            <w:tcW w:w="965" w:type="dxa"/>
            <w:shd w:val="clear" w:color="auto" w:fill="auto"/>
            <w:hideMark/>
          </w:tcPr>
          <w:p w14:paraId="21004A01" w14:textId="77777777" w:rsidR="001F30E4" w:rsidRPr="00836A38" w:rsidRDefault="001F30E4" w:rsidP="00A84375">
            <w:pPr>
              <w:autoSpaceDE w:val="0"/>
              <w:autoSpaceDN w:val="0"/>
              <w:adjustRightInd w:val="0"/>
              <w:spacing w:after="0" w:line="240" w:lineRule="auto"/>
              <w:jc w:val="center"/>
              <w:rPr>
                <w:rFonts w:cstheme="minorHAnsi"/>
                <w:color w:val="0000FF"/>
              </w:rPr>
            </w:pPr>
            <w:r w:rsidRPr="00E1593E">
              <w:rPr>
                <w:color w:val="0000FF"/>
              </w:rPr>
              <w:t>25</w:t>
            </w:r>
          </w:p>
        </w:tc>
        <w:tc>
          <w:tcPr>
            <w:tcW w:w="1530" w:type="dxa"/>
            <w:shd w:val="clear" w:color="auto" w:fill="auto"/>
            <w:noWrap/>
            <w:hideMark/>
          </w:tcPr>
          <w:p w14:paraId="2323BB78" w14:textId="77777777" w:rsidR="001F30E4" w:rsidRPr="00836A38" w:rsidRDefault="001F30E4" w:rsidP="00A84375">
            <w:pPr>
              <w:autoSpaceDE w:val="0"/>
              <w:autoSpaceDN w:val="0"/>
              <w:adjustRightInd w:val="0"/>
              <w:spacing w:after="0" w:line="240" w:lineRule="auto"/>
              <w:jc w:val="center"/>
              <w:rPr>
                <w:rFonts w:cstheme="minorHAnsi"/>
                <w:color w:val="0000FF"/>
              </w:rPr>
            </w:pPr>
            <w:r w:rsidRPr="00E1593E">
              <w:rPr>
                <w:color w:val="0000FF"/>
              </w:rPr>
              <w:t>350</w:t>
            </w:r>
          </w:p>
        </w:tc>
        <w:tc>
          <w:tcPr>
            <w:tcW w:w="1350" w:type="dxa"/>
            <w:shd w:val="clear" w:color="auto" w:fill="auto"/>
            <w:noWrap/>
            <w:hideMark/>
          </w:tcPr>
          <w:p w14:paraId="2CDBB06E" w14:textId="77777777" w:rsidR="001F30E4" w:rsidRPr="00836A38" w:rsidRDefault="001F30E4" w:rsidP="00A84375">
            <w:pPr>
              <w:autoSpaceDE w:val="0"/>
              <w:autoSpaceDN w:val="0"/>
              <w:adjustRightInd w:val="0"/>
              <w:spacing w:after="0" w:line="240" w:lineRule="auto"/>
              <w:jc w:val="center"/>
              <w:rPr>
                <w:rFonts w:cstheme="minorHAnsi"/>
                <w:color w:val="0000FF"/>
              </w:rPr>
            </w:pPr>
            <w:r w:rsidRPr="00E1593E">
              <w:rPr>
                <w:color w:val="0000FF"/>
              </w:rPr>
              <w:t>2.0</w:t>
            </w:r>
          </w:p>
        </w:tc>
      </w:tr>
    </w:tbl>
    <w:p w14:paraId="04C84A39" w14:textId="77777777" w:rsidR="001F30E4" w:rsidRPr="00AD782C" w:rsidRDefault="001F30E4" w:rsidP="001F30E4">
      <w:pPr>
        <w:autoSpaceDE w:val="0"/>
        <w:autoSpaceDN w:val="0"/>
        <w:adjustRightInd w:val="0"/>
        <w:spacing w:after="0" w:line="240" w:lineRule="auto"/>
        <w:rPr>
          <w:rFonts w:cstheme="minorHAnsi"/>
          <w:color w:val="1111FB"/>
        </w:rPr>
      </w:pPr>
    </w:p>
    <w:p w14:paraId="12D423A3" w14:textId="77777777" w:rsidR="001F30E4" w:rsidRPr="009D3882" w:rsidRDefault="001F30E4" w:rsidP="001F30E4">
      <w:pPr>
        <w:autoSpaceDE w:val="0"/>
        <w:autoSpaceDN w:val="0"/>
        <w:adjustRightInd w:val="0"/>
        <w:spacing w:after="0" w:line="240" w:lineRule="auto"/>
        <w:rPr>
          <w:rFonts w:cstheme="minorHAnsi"/>
          <w:bCs/>
          <w:sz w:val="12"/>
        </w:rPr>
      </w:pPr>
    </w:p>
    <w:p w14:paraId="6F67CDCA" w14:textId="77777777" w:rsidR="001F30E4" w:rsidRDefault="001F30E4" w:rsidP="001F30E4">
      <w:pPr>
        <w:autoSpaceDE w:val="0"/>
        <w:autoSpaceDN w:val="0"/>
        <w:adjustRightInd w:val="0"/>
        <w:spacing w:after="0" w:line="240" w:lineRule="auto"/>
        <w:rPr>
          <w:rFonts w:cstheme="minorHAnsi"/>
          <w:b/>
          <w:bCs/>
        </w:rPr>
      </w:pPr>
    </w:p>
    <w:p w14:paraId="7C4EA811" w14:textId="77777777" w:rsidR="001F30E4" w:rsidRDefault="001F30E4" w:rsidP="001F30E4">
      <w:pPr>
        <w:autoSpaceDE w:val="0"/>
        <w:autoSpaceDN w:val="0"/>
        <w:adjustRightInd w:val="0"/>
        <w:spacing w:after="0" w:line="240" w:lineRule="auto"/>
        <w:rPr>
          <w:rFonts w:cstheme="minorHAnsi"/>
          <w:b/>
          <w:bCs/>
        </w:rPr>
      </w:pPr>
    </w:p>
    <w:p w14:paraId="70928923" w14:textId="77777777" w:rsidR="001F30E4" w:rsidRDefault="001F30E4" w:rsidP="001F30E4">
      <w:pPr>
        <w:autoSpaceDE w:val="0"/>
        <w:autoSpaceDN w:val="0"/>
        <w:adjustRightInd w:val="0"/>
        <w:spacing w:after="0" w:line="240" w:lineRule="auto"/>
        <w:rPr>
          <w:rFonts w:cstheme="minorHAnsi"/>
          <w:b/>
        </w:rPr>
      </w:pPr>
    </w:p>
    <w:p w14:paraId="7993D1F3" w14:textId="0A6C70D4" w:rsidR="00327D86" w:rsidRPr="0096525C" w:rsidRDefault="00327D86" w:rsidP="00327D8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734F2BE7" w14:textId="71047830" w:rsidR="00327D86" w:rsidRDefault="00092566" w:rsidP="00327D86">
      <w:pPr>
        <w:autoSpaceDE w:val="0"/>
        <w:autoSpaceDN w:val="0"/>
        <w:adjustRightInd w:val="0"/>
        <w:spacing w:after="0" w:line="240" w:lineRule="auto"/>
        <w:rPr>
          <w:rFonts w:cstheme="minorHAnsi"/>
          <w:bCs/>
          <w:color w:val="4F81BD" w:themeColor="accent1"/>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42C8CCD9" w14:textId="77777777" w:rsidR="00B72116" w:rsidRPr="00B72116" w:rsidRDefault="00B72116" w:rsidP="00B72116">
      <w:pPr>
        <w:autoSpaceDE w:val="0"/>
        <w:autoSpaceDN w:val="0"/>
        <w:adjustRightInd w:val="0"/>
        <w:spacing w:after="0" w:line="240" w:lineRule="auto"/>
        <w:rPr>
          <w:rFonts w:cstheme="minorHAnsi"/>
          <w:bCs/>
          <w:color w:val="1111FB"/>
          <w:u w:val="single"/>
        </w:rPr>
      </w:pPr>
      <w:r w:rsidRPr="00B72116">
        <w:rPr>
          <w:rFonts w:cstheme="minorHAnsi"/>
          <w:bCs/>
          <w:color w:val="1111FB"/>
          <w:u w:val="single"/>
        </w:rPr>
        <w:t>Advanced Illness and Frailty</w:t>
      </w:r>
    </w:p>
    <w:p w14:paraId="0C3E746F" w14:textId="23E8C752" w:rsidR="00A25B21" w:rsidRPr="00B72116" w:rsidRDefault="00B72116" w:rsidP="00B72116">
      <w:pPr>
        <w:autoSpaceDE w:val="0"/>
        <w:autoSpaceDN w:val="0"/>
        <w:adjustRightInd w:val="0"/>
        <w:spacing w:after="0" w:line="240" w:lineRule="auto"/>
        <w:rPr>
          <w:rFonts w:cstheme="minorHAnsi"/>
          <w:bCs/>
        </w:rPr>
      </w:pPr>
      <w:r w:rsidRPr="00B72116">
        <w:rPr>
          <w:rFonts w:cstheme="minorHAnsi"/>
          <w:bCs/>
          <w:color w:val="1111FB"/>
        </w:rPr>
        <w:t xml:space="preserve">The advanced illness and frailty exclusion had a small impact on the eligible population: 2.0% on average were removed for advance illness and frailty. Feedback from NCQA’s expert work groups and measurement advisory panels, as well as public comment feedback, supported the application of this exclusion to the Comprehensive Diabetes Care: HbA1c </w:t>
      </w:r>
      <w:r>
        <w:rPr>
          <w:rFonts w:cstheme="minorHAnsi"/>
          <w:bCs/>
          <w:color w:val="1111FB"/>
        </w:rPr>
        <w:t>Control (&lt;8</w:t>
      </w:r>
      <w:r w:rsidRPr="00B72116">
        <w:rPr>
          <w:rFonts w:cstheme="minorHAnsi"/>
          <w:bCs/>
          <w:color w:val="1111FB"/>
        </w:rPr>
        <w:t>.0%) measure for clinical reasons. By implementing this exclusion, those providing care to patients with advanced illness and frailty can focus on care that is more appropriate for their conditions and health status. Attention can be more focused on quality measures that capture services and care processes that are most relevant for this population (e.g., improving care transitions, getting follow-up after acute care episodes, or avoiding preventable hospitalizations).</w:t>
      </w:r>
    </w:p>
    <w:p w14:paraId="2C6F1096" w14:textId="2E28B30A" w:rsidR="00327D86" w:rsidRDefault="00327D86" w:rsidP="00DB3627">
      <w:pPr>
        <w:autoSpaceDE w:val="0"/>
        <w:autoSpaceDN w:val="0"/>
        <w:adjustRightInd w:val="0"/>
        <w:spacing w:after="0" w:line="240" w:lineRule="auto"/>
        <w:rPr>
          <w:rFonts w:cstheme="minorHAnsi"/>
          <w:bCs/>
        </w:rPr>
      </w:pPr>
    </w:p>
    <w:p w14:paraId="0CABCFE9" w14:textId="1D5DA426"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FB3874" w:rsidRDefault="00092566" w:rsidP="00AC1D8E">
      <w:pPr>
        <w:autoSpaceDE w:val="0"/>
        <w:autoSpaceDN w:val="0"/>
        <w:adjustRightInd w:val="0"/>
        <w:spacing w:after="0" w:line="240" w:lineRule="auto"/>
        <w:rPr>
          <w:rFonts w:cstheme="minorHAnsi"/>
          <w:b/>
          <w:bCs/>
          <w:i/>
        </w:rPr>
      </w:pPr>
      <w:bookmarkStart w:id="16" w:name="section2b4"/>
      <w:bookmarkEnd w:id="16"/>
      <w:r w:rsidRPr="00FB3874">
        <w:rPr>
          <w:rFonts w:cstheme="minorHAnsi"/>
          <w:b/>
          <w:bCs/>
        </w:rPr>
        <w:t>2b</w:t>
      </w:r>
      <w:r w:rsidR="009C7513" w:rsidRPr="00FB3874">
        <w:rPr>
          <w:rFonts w:cstheme="minorHAnsi"/>
          <w:b/>
          <w:bCs/>
        </w:rPr>
        <w:t>3</w:t>
      </w:r>
      <w:r w:rsidRPr="00FB3874">
        <w:rPr>
          <w:rFonts w:cstheme="minorHAnsi"/>
          <w:b/>
          <w:bCs/>
        </w:rPr>
        <w:t>. RISK ADJUSTMENT/STRATIFICATION FOR OUTCOME OR RESOURCE USE MEASURES</w:t>
      </w:r>
      <w:r w:rsidRPr="00FB3874">
        <w:rPr>
          <w:rFonts w:cstheme="minorHAnsi"/>
          <w:bCs/>
        </w:rPr>
        <w:br/>
      </w:r>
      <w:r w:rsidR="00AC1D8E" w:rsidRPr="00FB3874">
        <w:rPr>
          <w:rFonts w:cstheme="minorHAnsi"/>
          <w:b/>
          <w:bCs/>
          <w:i/>
          <w:highlight w:val="green"/>
        </w:rPr>
        <w:t>If not an intermediate or health outcome</w:t>
      </w:r>
      <w:r w:rsidR="00127C06" w:rsidRPr="00FB3874">
        <w:rPr>
          <w:rFonts w:cstheme="minorHAnsi"/>
          <w:b/>
          <w:bCs/>
          <w:i/>
          <w:highlight w:val="green"/>
        </w:rPr>
        <w:t>,</w:t>
      </w:r>
      <w:r w:rsidR="00AC1D8E" w:rsidRPr="00FB3874">
        <w:rPr>
          <w:rFonts w:cstheme="minorHAnsi"/>
          <w:b/>
          <w:bCs/>
          <w:i/>
          <w:highlight w:val="green"/>
        </w:rPr>
        <w:t xml:space="preserve"> </w:t>
      </w:r>
      <w:r w:rsidR="00127C06" w:rsidRPr="00FB3874">
        <w:rPr>
          <w:rFonts w:cstheme="minorHAnsi"/>
          <w:b/>
          <w:bCs/>
          <w:i/>
          <w:highlight w:val="green"/>
        </w:rPr>
        <w:t xml:space="preserve">or PRO-PM, </w:t>
      </w:r>
      <w:r w:rsidR="00AC1D8E" w:rsidRPr="00FB3874">
        <w:rPr>
          <w:rFonts w:cstheme="minorHAnsi"/>
          <w:b/>
          <w:bCs/>
          <w:i/>
          <w:highlight w:val="green"/>
        </w:rPr>
        <w:t xml:space="preserve">or resource use measure, </w:t>
      </w:r>
      <w:r w:rsidR="00BE592D" w:rsidRPr="00FB3874">
        <w:rPr>
          <w:rFonts w:cstheme="minorHAnsi"/>
          <w:b/>
          <w:bCs/>
          <w:i/>
          <w:highlight w:val="green"/>
        </w:rPr>
        <w:t xml:space="preserve">skip to section </w:t>
      </w:r>
      <w:hyperlink w:anchor="section2b5" w:history="1">
        <w:r w:rsidR="00BE592D" w:rsidRPr="00FB3874">
          <w:rPr>
            <w:rStyle w:val="Hyperlink"/>
            <w:rFonts w:cstheme="minorHAnsi"/>
            <w:b/>
            <w:bCs/>
            <w:i/>
            <w:highlight w:val="green"/>
          </w:rPr>
          <w:t>2b</w:t>
        </w:r>
        <w:r w:rsidR="00565946" w:rsidRPr="00FB3874">
          <w:rPr>
            <w:rStyle w:val="Hyperlink"/>
            <w:rFonts w:cstheme="minorHAnsi"/>
            <w:b/>
            <w:bCs/>
            <w:i/>
            <w:highlight w:val="green"/>
          </w:rPr>
          <w:t>4</w:t>
        </w:r>
      </w:hyperlink>
      <w:r w:rsidR="00BE592D" w:rsidRPr="00FB3874">
        <w:rPr>
          <w:rFonts w:cstheme="minorHAnsi"/>
          <w:b/>
          <w:bCs/>
          <w:i/>
          <w:highlight w:val="green"/>
        </w:rPr>
        <w:t>.</w:t>
      </w:r>
    </w:p>
    <w:p w14:paraId="0CABCFEB" w14:textId="77777777" w:rsidR="008871A9" w:rsidRPr="00FB3874" w:rsidRDefault="008871A9" w:rsidP="00092566">
      <w:pPr>
        <w:autoSpaceDE w:val="0"/>
        <w:autoSpaceDN w:val="0"/>
        <w:adjustRightInd w:val="0"/>
        <w:spacing w:after="0" w:line="240" w:lineRule="auto"/>
        <w:rPr>
          <w:rFonts w:cstheme="minorHAnsi"/>
          <w:b/>
          <w:bCs/>
        </w:rPr>
      </w:pPr>
    </w:p>
    <w:p w14:paraId="0CABCFEC" w14:textId="166E6E8B" w:rsidR="00743E46" w:rsidRPr="00FB3874" w:rsidRDefault="00092566" w:rsidP="00092566">
      <w:pPr>
        <w:autoSpaceDE w:val="0"/>
        <w:autoSpaceDN w:val="0"/>
        <w:adjustRightInd w:val="0"/>
        <w:spacing w:after="0" w:line="240" w:lineRule="auto"/>
        <w:rPr>
          <w:rFonts w:cstheme="minorHAnsi"/>
          <w:b/>
          <w:bCs/>
        </w:rPr>
      </w:pPr>
      <w:r w:rsidRPr="00FB3874">
        <w:rPr>
          <w:rFonts w:cstheme="minorHAnsi"/>
          <w:b/>
          <w:bCs/>
        </w:rPr>
        <w:t>2b</w:t>
      </w:r>
      <w:r w:rsidR="009C7513" w:rsidRPr="00FB3874">
        <w:rPr>
          <w:rFonts w:cstheme="minorHAnsi"/>
          <w:b/>
          <w:bCs/>
        </w:rPr>
        <w:t>3</w:t>
      </w:r>
      <w:r w:rsidRPr="00FB3874">
        <w:rPr>
          <w:rFonts w:cstheme="minorHAnsi"/>
          <w:b/>
          <w:bCs/>
        </w:rPr>
        <w:t xml:space="preserve">.1. </w:t>
      </w:r>
      <w:r w:rsidR="00743E46" w:rsidRPr="00FB3874">
        <w:rPr>
          <w:rFonts w:cstheme="minorHAnsi"/>
          <w:b/>
          <w:bCs/>
        </w:rPr>
        <w:t>What method of controlling for differences in case mix is used?</w:t>
      </w:r>
    </w:p>
    <w:p w14:paraId="0CABCFED" w14:textId="7191A414" w:rsidR="00033038" w:rsidRPr="00FB3874" w:rsidRDefault="0035181D"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41943" w:rsidRPr="00FB3874">
            <w:rPr>
              <w:rFonts w:ascii="Segoe UI Symbol" w:eastAsia="MS Gothic" w:hAnsi="Segoe UI Symbol" w:cs="Segoe UI Symbol"/>
              <w:bCs/>
              <w:color w:val="0000FF"/>
            </w:rPr>
            <w:t>☒</w:t>
          </w:r>
        </w:sdtContent>
      </w:sdt>
      <w:r w:rsidR="00033038" w:rsidRPr="00FB3874">
        <w:rPr>
          <w:rFonts w:eastAsia="MS Mincho" w:cstheme="minorHAnsi"/>
          <w:b/>
          <w:bCs/>
          <w:color w:val="0000FF"/>
        </w:rPr>
        <w:t xml:space="preserve"> </w:t>
      </w:r>
      <w:r w:rsidR="00033038" w:rsidRPr="00FB3874">
        <w:rPr>
          <w:rFonts w:cstheme="minorHAnsi"/>
          <w:b/>
          <w:bCs/>
        </w:rPr>
        <w:t>No risk adjustment or stratification</w:t>
      </w:r>
    </w:p>
    <w:p w14:paraId="0CABCFEE" w14:textId="77777777" w:rsidR="00743E46" w:rsidRPr="00FB3874" w:rsidRDefault="0035181D"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FB3874">
            <w:rPr>
              <w:rFonts w:ascii="Segoe UI Symbol" w:eastAsia="MS Gothic" w:hAnsi="Segoe UI Symbol" w:cs="Segoe UI Symbol"/>
              <w:bCs/>
              <w:color w:val="0000FF"/>
            </w:rPr>
            <w:t>☐</w:t>
          </w:r>
        </w:sdtContent>
      </w:sdt>
      <w:r w:rsidR="006574D2" w:rsidRPr="00FB3874">
        <w:rPr>
          <w:rFonts w:cstheme="minorHAnsi"/>
          <w:bCs/>
          <w:color w:val="0000FF"/>
        </w:rPr>
        <w:t xml:space="preserve"> </w:t>
      </w:r>
      <w:r w:rsidR="00743E46" w:rsidRPr="00FB3874">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FB3874">
            <w:rPr>
              <w:rStyle w:val="PlaceholderText"/>
              <w:rFonts w:cstheme="minorHAnsi"/>
            </w:rPr>
            <w:t>Click here to enter number of factors</w:t>
          </w:r>
        </w:sdtContent>
      </w:sdt>
      <w:r w:rsidR="00E562C0" w:rsidRPr="00FB3874">
        <w:rPr>
          <w:rStyle w:val="Style4"/>
          <w:rFonts w:asciiTheme="minorHAnsi" w:hAnsiTheme="minorHAnsi" w:cstheme="minorHAnsi"/>
          <w:u w:val="none"/>
        </w:rPr>
        <w:t xml:space="preserve"> </w:t>
      </w:r>
      <w:r w:rsidR="00743E46" w:rsidRPr="00FB3874">
        <w:rPr>
          <w:rFonts w:cstheme="minorHAnsi"/>
          <w:b/>
          <w:bCs/>
        </w:rPr>
        <w:t>risk factors</w:t>
      </w:r>
    </w:p>
    <w:p w14:paraId="0CABCFEF" w14:textId="77777777" w:rsidR="00743E46" w:rsidRPr="00FB3874" w:rsidRDefault="0035181D"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FB3874">
            <w:rPr>
              <w:rFonts w:ascii="Segoe UI Symbol" w:eastAsia="MS Gothic" w:hAnsi="Segoe UI Symbol" w:cs="Segoe UI Symbol"/>
              <w:bCs/>
              <w:color w:val="0000FF"/>
            </w:rPr>
            <w:t>☐</w:t>
          </w:r>
        </w:sdtContent>
      </w:sdt>
      <w:r w:rsidR="000414E8" w:rsidRPr="00FB3874">
        <w:rPr>
          <w:rFonts w:eastAsia="MS Mincho" w:cstheme="minorHAnsi"/>
          <w:b/>
          <w:bCs/>
          <w:color w:val="0000FF"/>
        </w:rPr>
        <w:t xml:space="preserve"> </w:t>
      </w:r>
      <w:r w:rsidR="00743E46" w:rsidRPr="00FB3874">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FB3874">
            <w:rPr>
              <w:rStyle w:val="PlaceholderText"/>
              <w:rFonts w:cstheme="minorHAnsi"/>
            </w:rPr>
            <w:t>Click here to enter number of categories</w:t>
          </w:r>
        </w:sdtContent>
      </w:sdt>
      <w:r w:rsidR="00E562C0" w:rsidRPr="00FB3874">
        <w:rPr>
          <w:rStyle w:val="Style4"/>
          <w:rFonts w:asciiTheme="minorHAnsi" w:hAnsiTheme="minorHAnsi" w:cstheme="minorHAnsi"/>
          <w:u w:val="none"/>
        </w:rPr>
        <w:t xml:space="preserve"> </w:t>
      </w:r>
      <w:r w:rsidR="00C33F2E" w:rsidRPr="00FB3874">
        <w:rPr>
          <w:rFonts w:cstheme="minorHAnsi"/>
          <w:b/>
          <w:bCs/>
        </w:rPr>
        <w:t xml:space="preserve">risk </w:t>
      </w:r>
      <w:r w:rsidR="00743E46" w:rsidRPr="00FB3874">
        <w:rPr>
          <w:rFonts w:cstheme="minorHAnsi"/>
          <w:b/>
          <w:bCs/>
        </w:rPr>
        <w:t>categories</w:t>
      </w:r>
    </w:p>
    <w:p w14:paraId="0CABCFF0" w14:textId="77777777" w:rsidR="00743E46" w:rsidRPr="00FB3874" w:rsidRDefault="0035181D"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FB3874">
            <w:rPr>
              <w:rFonts w:ascii="Segoe UI Symbol" w:eastAsia="MS Gothic" w:hAnsi="Segoe UI Symbol" w:cs="Segoe UI Symbol"/>
              <w:bCs/>
              <w:color w:val="0000FF"/>
            </w:rPr>
            <w:t>☐</w:t>
          </w:r>
        </w:sdtContent>
      </w:sdt>
      <w:r w:rsidR="000414E8" w:rsidRPr="00FB3874">
        <w:rPr>
          <w:rFonts w:eastAsia="MS Mincho" w:cstheme="minorHAnsi"/>
          <w:b/>
          <w:bCs/>
          <w:color w:val="0000FF"/>
        </w:rPr>
        <w:t xml:space="preserve"> </w:t>
      </w:r>
      <w:r w:rsidR="00743E46" w:rsidRPr="00FB3874">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FB3874">
            <w:rPr>
              <w:rStyle w:val="PlaceholderText"/>
              <w:rFonts w:cstheme="minorHAnsi"/>
            </w:rPr>
            <w:t>Click here to enter description</w:t>
          </w:r>
        </w:sdtContent>
      </w:sdt>
    </w:p>
    <w:p w14:paraId="0CABCFF1" w14:textId="77777777" w:rsidR="00743E46" w:rsidRPr="00FB3874" w:rsidRDefault="00743E46" w:rsidP="00BC4C6E">
      <w:pPr>
        <w:autoSpaceDE w:val="0"/>
        <w:autoSpaceDN w:val="0"/>
        <w:adjustRightInd w:val="0"/>
        <w:spacing w:after="0" w:line="240" w:lineRule="auto"/>
        <w:rPr>
          <w:rFonts w:cstheme="minorHAnsi"/>
          <w:b/>
          <w:bCs/>
        </w:rPr>
      </w:pPr>
    </w:p>
    <w:p w14:paraId="373E03B3" w14:textId="1A7E448B" w:rsidR="00BC4C6E" w:rsidRPr="0096525C" w:rsidRDefault="000B7D57" w:rsidP="0096525C">
      <w:pPr>
        <w:autoSpaceDE w:val="0"/>
        <w:autoSpaceDN w:val="0"/>
        <w:adjustRightInd w:val="0"/>
        <w:spacing w:after="0" w:line="240" w:lineRule="auto"/>
        <w:rPr>
          <w:rFonts w:cstheme="minorHAnsi"/>
          <w:bCs/>
        </w:rPr>
      </w:pPr>
      <w:r w:rsidRPr="00FB3874">
        <w:rPr>
          <w:rFonts w:cstheme="minorHAnsi"/>
          <w:b/>
          <w:bCs/>
        </w:rPr>
        <w:t>2b</w:t>
      </w:r>
      <w:r w:rsidR="009C7513" w:rsidRPr="00FB3874">
        <w:rPr>
          <w:rFonts w:cstheme="minorHAnsi"/>
          <w:b/>
          <w:bCs/>
        </w:rPr>
        <w:t>3</w:t>
      </w:r>
      <w:r w:rsidRPr="00FB3874">
        <w:rPr>
          <w:rFonts w:cstheme="minorHAnsi"/>
          <w:b/>
          <w:bCs/>
        </w:rPr>
        <w:t xml:space="preserve">.1.1 </w:t>
      </w:r>
      <w:r w:rsidR="00F34FAB" w:rsidRPr="00FB3874">
        <w:rPr>
          <w:rFonts w:eastAsia="MS Mincho" w:cstheme="minorHAnsi"/>
          <w:b/>
          <w:bCs/>
        </w:rPr>
        <w:t xml:space="preserve">If using a statistical risk model, provide detailed risk model specifications, including the risk model method, risk factors, coefficients, equations, codes with descriptors, and definitions. </w:t>
      </w:r>
    </w:p>
    <w:p w14:paraId="5C29616A" w14:textId="00C8ED23" w:rsidR="00BC4C6E" w:rsidRPr="0096525C" w:rsidRDefault="00BC4C6E" w:rsidP="00FB3874">
      <w:pPr>
        <w:spacing w:after="0" w:line="240" w:lineRule="auto"/>
        <w:rPr>
          <w:rFonts w:cstheme="minorHAnsi"/>
          <w:bCs/>
          <w:color w:val="1111FB"/>
        </w:rPr>
      </w:pPr>
      <w:r w:rsidRPr="0096525C">
        <w:rPr>
          <w:rFonts w:cstheme="minorHAnsi"/>
          <w:bCs/>
          <w:color w:val="1111FB"/>
        </w:rPr>
        <w:t>N/A</w:t>
      </w:r>
    </w:p>
    <w:p w14:paraId="0FFC97BC" w14:textId="77777777" w:rsidR="00BC4C6E" w:rsidRPr="00FB3874" w:rsidRDefault="00BC4C6E" w:rsidP="00FB3874">
      <w:pPr>
        <w:spacing w:after="0" w:line="240" w:lineRule="auto"/>
        <w:rPr>
          <w:rFonts w:cstheme="minorHAnsi"/>
          <w:bCs/>
          <w:color w:val="4F81BD" w:themeColor="accent1"/>
        </w:rPr>
      </w:pPr>
    </w:p>
    <w:p w14:paraId="43693B17" w14:textId="21F84CB6" w:rsidR="00FB3874" w:rsidRDefault="00DF4FAD" w:rsidP="0096525C">
      <w:pPr>
        <w:spacing w:after="0"/>
        <w:rPr>
          <w:rFonts w:cstheme="minorHAnsi"/>
          <w:bCs/>
          <w:color w:val="1111FB"/>
        </w:rPr>
      </w:pPr>
      <w:r w:rsidRPr="00865EDA">
        <w:rPr>
          <w:rFonts w:ascii="Calibri" w:hAnsi="Calibri" w:cs="Calibri"/>
          <w:b/>
          <w:bCs/>
        </w:rPr>
        <w:t xml:space="preserve">2b3.2. If an outcome or resource use component measure is </w:t>
      </w:r>
      <w:r w:rsidRPr="00865EDA">
        <w:rPr>
          <w:rFonts w:ascii="Calibri" w:hAnsi="Calibri" w:cs="Calibri"/>
          <w:b/>
          <w:bCs/>
          <w:u w:val="single"/>
        </w:rPr>
        <w:t>not risk adjusted or stratified</w:t>
      </w:r>
      <w:r w:rsidRPr="00865EDA">
        <w:rPr>
          <w:rFonts w:ascii="Calibri" w:hAnsi="Calibri" w:cs="Calibri"/>
          <w:b/>
          <w:bCs/>
        </w:rPr>
        <w:t xml:space="preserve">, provide </w:t>
      </w:r>
      <w:r w:rsidRPr="00865EDA">
        <w:rPr>
          <w:rFonts w:ascii="Calibri" w:hAnsi="Calibri" w:cs="Calibri"/>
          <w:b/>
          <w:bCs/>
          <w:u w:val="single"/>
        </w:rPr>
        <w:t>rationale and analyses</w:t>
      </w:r>
      <w:r w:rsidRPr="00865EDA">
        <w:rPr>
          <w:rFonts w:ascii="Calibri" w:hAnsi="Calibri" w:cs="Calibri"/>
          <w:b/>
          <w:bCs/>
        </w:rPr>
        <w:t xml:space="preserve"> to demonstrate that controlling for differences in patient characteristics (case mix) is not needed to achieve fair comparisons across measured entities</w:t>
      </w:r>
      <w:r w:rsidRPr="00865EDA">
        <w:rPr>
          <w:rFonts w:ascii="Calibri" w:hAnsi="Calibri" w:cs="Calibri"/>
          <w:bCs/>
        </w:rPr>
        <w:t>.</w:t>
      </w:r>
      <w:r w:rsidR="009D3882" w:rsidRPr="00FB3874">
        <w:rPr>
          <w:rFonts w:cstheme="minorHAnsi"/>
          <w:bCs/>
        </w:rPr>
        <w:br/>
      </w:r>
      <w:r w:rsidR="00303B58">
        <w:rPr>
          <w:rFonts w:cstheme="minorHAnsi"/>
          <w:bCs/>
          <w:color w:val="1111FB"/>
        </w:rPr>
        <w:t>NCQA recognizes that there is a growing body of literature that might support risk adjustment or stratification of intermediate outcome measures. However, at this time, NCQA does not currently risk adjust this measure given the potential to mask poor performance and disparities in care.</w:t>
      </w:r>
    </w:p>
    <w:p w14:paraId="1A9A25E8" w14:textId="77777777" w:rsidR="00303B58" w:rsidRDefault="00303B58" w:rsidP="0096525C">
      <w:pPr>
        <w:spacing w:after="0"/>
        <w:rPr>
          <w:rFonts w:cstheme="minorHAnsi"/>
          <w:bCs/>
          <w:color w:val="1111FB"/>
        </w:rPr>
      </w:pPr>
    </w:p>
    <w:p w14:paraId="5316A463" w14:textId="72481862" w:rsidR="00303B58" w:rsidRPr="00733F6E" w:rsidRDefault="00733F6E" w:rsidP="00733F6E">
      <w:pPr>
        <w:spacing w:after="0" w:line="240" w:lineRule="auto"/>
        <w:rPr>
          <w:color w:val="1111FB"/>
        </w:rPr>
      </w:pPr>
      <w:r w:rsidRPr="76A55E9B">
        <w:rPr>
          <w:color w:val="1111FB"/>
        </w:rPr>
        <w:t>NCQA conducted a study on</w:t>
      </w:r>
      <w:r w:rsidR="00156E55" w:rsidRPr="76A55E9B">
        <w:rPr>
          <w:color w:val="1111FB"/>
        </w:rPr>
        <w:t xml:space="preserve"> a </w:t>
      </w:r>
      <w:r w:rsidR="00DD3D64" w:rsidRPr="76A55E9B">
        <w:rPr>
          <w:color w:val="1111FB"/>
        </w:rPr>
        <w:t>measure similar to the Comprehensive Diabetes Care: HbA1c Control (&lt;8.0%) measure</w:t>
      </w:r>
      <w:r w:rsidR="002A3FE5" w:rsidRPr="76A55E9B">
        <w:rPr>
          <w:color w:val="1111FB"/>
        </w:rPr>
        <w:t>,</w:t>
      </w:r>
      <w:r w:rsidR="00DD3D64" w:rsidRPr="76A55E9B">
        <w:rPr>
          <w:color w:val="1111FB"/>
        </w:rPr>
        <w:t xml:space="preserve"> </w:t>
      </w:r>
      <w:r w:rsidRPr="76A55E9B">
        <w:rPr>
          <w:color w:val="1111FB"/>
        </w:rPr>
        <w:t xml:space="preserve">the </w:t>
      </w:r>
      <w:bookmarkStart w:id="17" w:name="_Hlk15459693"/>
      <w:r w:rsidRPr="76A55E9B">
        <w:rPr>
          <w:color w:val="1111FB"/>
        </w:rPr>
        <w:t xml:space="preserve">Comprehensive Diabetes Care: </w:t>
      </w:r>
      <w:bookmarkEnd w:id="17"/>
      <w:r w:rsidR="00180958" w:rsidRPr="76A55E9B">
        <w:rPr>
          <w:color w:val="1111FB"/>
        </w:rPr>
        <w:t xml:space="preserve">HbA1c Poor Control (&gt;9.0%) </w:t>
      </w:r>
      <w:r w:rsidRPr="76A55E9B">
        <w:rPr>
          <w:color w:val="1111FB"/>
        </w:rPr>
        <w:t>measure</w:t>
      </w:r>
      <w:r w:rsidR="002A2745" w:rsidRPr="76A55E9B">
        <w:rPr>
          <w:color w:val="1111FB"/>
        </w:rPr>
        <w:t>,</w:t>
      </w:r>
      <w:r w:rsidRPr="76A55E9B">
        <w:rPr>
          <w:color w:val="1111FB"/>
        </w:rPr>
        <w:t xml:space="preserve"> among Medicare Advantage plans to assess whether to account for a member’s socioeconomic status (SES) when comparing plan performance. A qualitative assessment included key informant interviews exploring ways in which SES may affect performance on this and other select HEDIS measures, and whether there was a conceptual basis for case-mix adjustment or other strategies. In the quantitative analysis, we assessed whether SES affected plan performance, using member low-income status, dual eligibility, and disability as proxies for SES. For this measure, adjusting for SES did not have a meaningful impact on results. When adjusting for disparity in performance between low- and high-SES populations, plan ranks were not substantially impacted. When accounting for clinical and demographic factors, we found that low-SES beneficiaries were as likely, or more likely, to receive recommended care as high-SES beneficiaries. Our results suggest there is neither a conceptual nor empirical basis for risk adjustment for </w:t>
      </w:r>
      <w:r w:rsidR="00647712" w:rsidRPr="76A55E9B">
        <w:rPr>
          <w:color w:val="1111FB"/>
        </w:rPr>
        <w:t>the Comprehensive Diabetes Care: HbA1c Poor Control (&gt;9.0%) measure</w:t>
      </w:r>
      <w:r w:rsidRPr="76A55E9B">
        <w:rPr>
          <w:color w:val="1111FB"/>
        </w:rPr>
        <w:t>.</w:t>
      </w:r>
      <w:r w:rsidR="00303B58" w:rsidRPr="76A55E9B">
        <w:rPr>
          <w:color w:val="1111FB"/>
        </w:rPr>
        <w:t xml:space="preserve"> </w:t>
      </w:r>
      <w:r w:rsidR="00647712" w:rsidRPr="76A55E9B">
        <w:rPr>
          <w:color w:val="1111FB"/>
        </w:rPr>
        <w:t>Given the similarit</w:t>
      </w:r>
      <w:r w:rsidR="00163171" w:rsidRPr="76A55E9B">
        <w:rPr>
          <w:color w:val="1111FB"/>
        </w:rPr>
        <w:t>ies</w:t>
      </w:r>
      <w:r w:rsidR="00647712" w:rsidRPr="76A55E9B">
        <w:rPr>
          <w:color w:val="1111FB"/>
        </w:rPr>
        <w:t xml:space="preserve"> </w:t>
      </w:r>
      <w:r w:rsidR="00163171" w:rsidRPr="76A55E9B">
        <w:rPr>
          <w:color w:val="1111FB"/>
        </w:rPr>
        <w:t xml:space="preserve">between the </w:t>
      </w:r>
      <w:r w:rsidR="00647712" w:rsidRPr="76A55E9B">
        <w:rPr>
          <w:color w:val="1111FB"/>
        </w:rPr>
        <w:t xml:space="preserve">Poor Control measure and the </w:t>
      </w:r>
      <w:r w:rsidR="001A33E0" w:rsidRPr="76A55E9B">
        <w:rPr>
          <w:color w:val="1111FB"/>
        </w:rPr>
        <w:t>Comprehensive Diabetes Care: HbA1c Control (&lt;8.0%)</w:t>
      </w:r>
      <w:r w:rsidR="003A47BB" w:rsidRPr="76A55E9B">
        <w:rPr>
          <w:color w:val="1111FB"/>
        </w:rPr>
        <w:t xml:space="preserve"> measure, </w:t>
      </w:r>
      <w:r w:rsidR="00163171" w:rsidRPr="76A55E9B">
        <w:rPr>
          <w:color w:val="1111FB"/>
        </w:rPr>
        <w:t xml:space="preserve">we concluded that the </w:t>
      </w:r>
      <w:r w:rsidR="009B5433" w:rsidRPr="76A55E9B">
        <w:rPr>
          <w:color w:val="1111FB"/>
        </w:rPr>
        <w:t>findings</w:t>
      </w:r>
      <w:r w:rsidR="00163171" w:rsidRPr="76A55E9B">
        <w:rPr>
          <w:color w:val="1111FB"/>
        </w:rPr>
        <w:t xml:space="preserve"> of the study are applicable to the latter measure</w:t>
      </w:r>
      <w:r w:rsidR="009B5433" w:rsidRPr="76A55E9B">
        <w:rPr>
          <w:color w:val="1111FB"/>
        </w:rPr>
        <w:t xml:space="preserve"> as well.</w:t>
      </w:r>
    </w:p>
    <w:p w14:paraId="7A846024" w14:textId="77777777" w:rsidR="00FB3874" w:rsidRPr="00FB3874" w:rsidRDefault="00FB3874" w:rsidP="00FB3874">
      <w:pPr>
        <w:spacing w:after="0" w:line="240" w:lineRule="auto"/>
        <w:rPr>
          <w:rFonts w:cstheme="minorHAnsi"/>
          <w:b/>
          <w:bCs/>
        </w:rPr>
      </w:pPr>
    </w:p>
    <w:p w14:paraId="735CCD83" w14:textId="01702FEB" w:rsidR="00525E70" w:rsidRPr="0096525C" w:rsidRDefault="009C7513" w:rsidP="00525E70">
      <w:pPr>
        <w:spacing w:after="0" w:line="240" w:lineRule="auto"/>
        <w:rPr>
          <w:rFonts w:cstheme="minorHAnsi"/>
          <w:bCs/>
        </w:rPr>
      </w:pPr>
      <w:r w:rsidRPr="00FB3874">
        <w:rPr>
          <w:rFonts w:cstheme="minorHAnsi"/>
          <w:b/>
          <w:bCs/>
        </w:rPr>
        <w:t>2b3</w:t>
      </w:r>
      <w:r w:rsidR="00092566" w:rsidRPr="00FB3874">
        <w:rPr>
          <w:rFonts w:cstheme="minorHAnsi"/>
          <w:b/>
          <w:bCs/>
        </w:rPr>
        <w:t>.3</w:t>
      </w:r>
      <w:r w:rsidR="00275563" w:rsidRPr="00FB3874">
        <w:rPr>
          <w:rFonts w:cstheme="minorHAnsi"/>
          <w:b/>
          <w:bCs/>
        </w:rPr>
        <w:t>a</w:t>
      </w:r>
      <w:r w:rsidR="00092566" w:rsidRPr="00FB3874">
        <w:rPr>
          <w:rFonts w:cstheme="minorHAnsi"/>
          <w:b/>
          <w:bCs/>
        </w:rPr>
        <w:t xml:space="preserve">. </w:t>
      </w:r>
      <w:r w:rsidR="00927027" w:rsidRPr="00FB3874">
        <w:rPr>
          <w:rFonts w:cstheme="minorHAnsi"/>
          <w:b/>
          <w:bCs/>
        </w:rPr>
        <w:t>Describe</w:t>
      </w:r>
      <w:r w:rsidR="00092566" w:rsidRPr="00FB3874">
        <w:rPr>
          <w:rFonts w:cstheme="minorHAnsi"/>
          <w:b/>
          <w:bCs/>
        </w:rPr>
        <w:t xml:space="preserve"> the conceptual/clinical </w:t>
      </w:r>
      <w:r w:rsidR="00092566" w:rsidRPr="00FB3874">
        <w:rPr>
          <w:rFonts w:cstheme="minorHAnsi"/>
          <w:b/>
          <w:bCs/>
          <w:u w:val="single"/>
        </w:rPr>
        <w:t>and</w:t>
      </w:r>
      <w:r w:rsidR="00092566" w:rsidRPr="00FB3874">
        <w:rPr>
          <w:rFonts w:cstheme="minorHAnsi"/>
          <w:b/>
          <w:bCs/>
        </w:rPr>
        <w:t xml:space="preserve"> statistical methods and criteria used to select </w:t>
      </w:r>
      <w:r w:rsidR="005363F1" w:rsidRPr="00FB3874">
        <w:rPr>
          <w:rFonts w:cstheme="minorHAnsi"/>
          <w:b/>
          <w:bCs/>
        </w:rPr>
        <w:t xml:space="preserve">patient </w:t>
      </w:r>
      <w:r w:rsidR="00092566" w:rsidRPr="00FB3874">
        <w:rPr>
          <w:rFonts w:cstheme="minorHAnsi"/>
          <w:b/>
          <w:bCs/>
        </w:rPr>
        <w:t xml:space="preserve">factors </w:t>
      </w:r>
      <w:r w:rsidR="0021054A" w:rsidRPr="00FB3874">
        <w:rPr>
          <w:rFonts w:cstheme="minorHAnsi"/>
          <w:b/>
          <w:bCs/>
        </w:rPr>
        <w:t>(</w:t>
      </w:r>
      <w:r w:rsidR="00E967AD" w:rsidRPr="00FB3874">
        <w:rPr>
          <w:rFonts w:cstheme="minorHAnsi"/>
          <w:b/>
          <w:bCs/>
        </w:rPr>
        <w:t xml:space="preserve">clinical factors or </w:t>
      </w:r>
      <w:r w:rsidR="00AF2D68" w:rsidRPr="00FB3874">
        <w:rPr>
          <w:rFonts w:cstheme="minorHAnsi"/>
          <w:b/>
          <w:bCs/>
        </w:rPr>
        <w:t xml:space="preserve">social risk </w:t>
      </w:r>
      <w:r w:rsidR="0021054A" w:rsidRPr="00FB3874">
        <w:rPr>
          <w:rFonts w:cstheme="minorHAnsi"/>
          <w:b/>
          <w:bCs/>
        </w:rPr>
        <w:t xml:space="preserve">factors) </w:t>
      </w:r>
      <w:r w:rsidR="00092566" w:rsidRPr="00FB3874">
        <w:rPr>
          <w:rFonts w:cstheme="minorHAnsi"/>
          <w:b/>
          <w:bCs/>
        </w:rPr>
        <w:t>used in the statistical risk model or for stratification by risk</w:t>
      </w:r>
      <w:r w:rsidR="00927027" w:rsidRPr="00FB3874">
        <w:rPr>
          <w:rFonts w:cstheme="minorHAnsi"/>
          <w:b/>
          <w:bCs/>
        </w:rPr>
        <w:t xml:space="preserve"> </w:t>
      </w:r>
      <w:r w:rsidR="00092566" w:rsidRPr="00FB3874">
        <w:rPr>
          <w:rFonts w:cstheme="minorHAnsi"/>
          <w:bCs/>
        </w:rPr>
        <w:t>(</w:t>
      </w:r>
      <w:r w:rsidR="00092566" w:rsidRPr="00FB3874">
        <w:rPr>
          <w:rFonts w:cstheme="minorHAnsi"/>
          <w:bCs/>
          <w:i/>
        </w:rPr>
        <w:t xml:space="preserve">e.g., potential factors identified in </w:t>
      </w:r>
      <w:r w:rsidR="005363F1" w:rsidRPr="00FB3874">
        <w:rPr>
          <w:rFonts w:cstheme="minorHAnsi"/>
          <w:bCs/>
          <w:i/>
        </w:rPr>
        <w:t xml:space="preserve">the </w:t>
      </w:r>
      <w:r w:rsidR="00092566" w:rsidRPr="00FB3874">
        <w:rPr>
          <w:rFonts w:cstheme="minorHAnsi"/>
          <w:bCs/>
          <w:i/>
        </w:rPr>
        <w:t>literature and/or expert panel; regression analysis; statistical significance of p&lt;0.10; correlation of x or higher</w:t>
      </w:r>
      <w:r w:rsidR="005363F1" w:rsidRPr="00FB3874">
        <w:rPr>
          <w:rFonts w:cstheme="minorHAnsi"/>
          <w:bCs/>
          <w:i/>
        </w:rPr>
        <w:t>; patient factors should be present at the start of care</w:t>
      </w:r>
      <w:r w:rsidR="00092566" w:rsidRPr="00FB3874">
        <w:rPr>
          <w:rFonts w:cstheme="minorHAnsi"/>
          <w:bCs/>
        </w:rPr>
        <w:t>)</w:t>
      </w:r>
      <w:r w:rsidR="00AF2D68" w:rsidRPr="00FB3874">
        <w:rPr>
          <w:rFonts w:cstheme="minorHAnsi"/>
          <w:bCs/>
        </w:rPr>
        <w:t xml:space="preserve">  </w:t>
      </w:r>
      <w:r w:rsidR="00AF2D68" w:rsidRPr="00FB3874">
        <w:rPr>
          <w:rFonts w:cstheme="minorHAnsi"/>
          <w:b/>
          <w:bCs/>
        </w:rPr>
        <w:t>Also discuss any “ordering” of risk factor inclusion</w:t>
      </w:r>
      <w:r w:rsidR="00CE284E" w:rsidRPr="00FB3874">
        <w:rPr>
          <w:rFonts w:cstheme="minorHAnsi"/>
          <w:bCs/>
        </w:rPr>
        <w:t>; for example, a</w:t>
      </w:r>
      <w:r w:rsidR="00AF2D68" w:rsidRPr="00FB3874">
        <w:rPr>
          <w:rFonts w:cstheme="minorHAnsi"/>
          <w:bCs/>
        </w:rPr>
        <w:t>re social risk factors added after all clinical factors?</w:t>
      </w:r>
      <w:r w:rsidR="00092566" w:rsidRPr="00FB3874">
        <w:rPr>
          <w:rFonts w:cstheme="minorHAnsi"/>
          <w:bCs/>
        </w:rPr>
        <w:br/>
      </w:r>
      <w:r w:rsidR="00525E70" w:rsidRPr="0096525C">
        <w:rPr>
          <w:rFonts w:cs="Calibri"/>
          <w:bCs/>
          <w:color w:val="1111FB"/>
        </w:rPr>
        <w:t>N/A</w:t>
      </w:r>
    </w:p>
    <w:p w14:paraId="10E66FD4" w14:textId="77777777" w:rsidR="00525E70" w:rsidRPr="00FB3874" w:rsidRDefault="00525E70" w:rsidP="00FB3874">
      <w:pPr>
        <w:spacing w:after="0" w:line="240" w:lineRule="auto"/>
        <w:rPr>
          <w:rFonts w:cstheme="minorHAnsi"/>
          <w:bCs/>
        </w:rPr>
      </w:pPr>
    </w:p>
    <w:p w14:paraId="4260792A" w14:textId="019483A8" w:rsidR="00275563" w:rsidRPr="00FB3874" w:rsidRDefault="00275563" w:rsidP="00FB3874">
      <w:pPr>
        <w:autoSpaceDE w:val="0"/>
        <w:autoSpaceDN w:val="0"/>
        <w:adjustRightInd w:val="0"/>
        <w:spacing w:after="0" w:line="240" w:lineRule="auto"/>
        <w:rPr>
          <w:rFonts w:cstheme="minorHAnsi"/>
          <w:b/>
          <w:bCs/>
        </w:rPr>
      </w:pPr>
      <w:r w:rsidRPr="00FB3874">
        <w:rPr>
          <w:rFonts w:cstheme="minorHAnsi"/>
          <w:b/>
          <w:bCs/>
        </w:rPr>
        <w:t xml:space="preserve">2b3.3b. How was the conceptual model </w:t>
      </w:r>
      <w:r w:rsidR="00CE284E" w:rsidRPr="00FB3874">
        <w:rPr>
          <w:rFonts w:cstheme="minorHAnsi"/>
          <w:b/>
          <w:bCs/>
        </w:rPr>
        <w:t xml:space="preserve">of how social risk impacts this outcome </w:t>
      </w:r>
      <w:r w:rsidRPr="00FB3874">
        <w:rPr>
          <w:rFonts w:cstheme="minorHAnsi"/>
          <w:b/>
          <w:bCs/>
        </w:rPr>
        <w:t>developed?  Please check all that apply:</w:t>
      </w:r>
    </w:p>
    <w:p w14:paraId="2B47DA83" w14:textId="30659D6E" w:rsidR="00275563" w:rsidRPr="00FB3874" w:rsidRDefault="0035181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FB3874">
            <w:rPr>
              <w:rFonts w:ascii="Segoe UI Symbol" w:eastAsia="MS Gothic" w:hAnsi="Segoe UI Symbol" w:cs="Segoe UI Symbol"/>
              <w:bCs/>
              <w:color w:val="0000FF"/>
            </w:rPr>
            <w:t>☐</w:t>
          </w:r>
        </w:sdtContent>
      </w:sdt>
      <w:r w:rsidR="00275563" w:rsidRPr="00FB3874">
        <w:rPr>
          <w:rFonts w:eastAsia="MS Mincho" w:cstheme="minorHAnsi"/>
          <w:b/>
          <w:bCs/>
          <w:color w:val="0000FF"/>
        </w:rPr>
        <w:t xml:space="preserve"> </w:t>
      </w:r>
      <w:r w:rsidR="00CE284E" w:rsidRPr="00FB3874">
        <w:rPr>
          <w:rFonts w:cstheme="minorHAnsi"/>
          <w:b/>
          <w:bCs/>
        </w:rPr>
        <w:t>Published l</w:t>
      </w:r>
      <w:r w:rsidR="00275563" w:rsidRPr="00FB3874">
        <w:rPr>
          <w:rFonts w:cstheme="minorHAnsi"/>
          <w:b/>
          <w:bCs/>
        </w:rPr>
        <w:t>iterature</w:t>
      </w:r>
    </w:p>
    <w:p w14:paraId="7E969A3E" w14:textId="6BA683BB" w:rsidR="00275563" w:rsidRPr="00FB3874" w:rsidRDefault="0035181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FB3874">
            <w:rPr>
              <w:rFonts w:ascii="Segoe UI Symbol" w:eastAsia="MS Gothic" w:hAnsi="Segoe UI Symbol" w:cs="Segoe UI Symbol"/>
              <w:bCs/>
              <w:color w:val="0000FF"/>
            </w:rPr>
            <w:t>☐</w:t>
          </w:r>
        </w:sdtContent>
      </w:sdt>
      <w:r w:rsidR="00275563" w:rsidRPr="00FB3874">
        <w:rPr>
          <w:rFonts w:cstheme="minorHAnsi"/>
          <w:bCs/>
          <w:color w:val="0000FF"/>
        </w:rPr>
        <w:t xml:space="preserve"> </w:t>
      </w:r>
      <w:r w:rsidR="00CE284E" w:rsidRPr="00FB3874">
        <w:rPr>
          <w:rFonts w:cstheme="minorHAnsi"/>
          <w:b/>
          <w:bCs/>
        </w:rPr>
        <w:t>Internal d</w:t>
      </w:r>
      <w:r w:rsidR="00275563" w:rsidRPr="00FB3874">
        <w:rPr>
          <w:rFonts w:cstheme="minorHAnsi"/>
          <w:b/>
          <w:bCs/>
        </w:rPr>
        <w:t>ata</w:t>
      </w:r>
      <w:r w:rsidR="00CE284E" w:rsidRPr="00FB3874">
        <w:rPr>
          <w:rFonts w:cstheme="minorHAnsi"/>
          <w:b/>
          <w:bCs/>
        </w:rPr>
        <w:t xml:space="preserve"> analysis</w:t>
      </w:r>
    </w:p>
    <w:p w14:paraId="72A847BD" w14:textId="1489D6C2" w:rsidR="00275563" w:rsidRPr="00FB3874" w:rsidRDefault="0035181D"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FB3874">
            <w:rPr>
              <w:rFonts w:ascii="Segoe UI Symbol" w:eastAsia="MS Gothic" w:hAnsi="Segoe UI Symbol" w:cs="Segoe UI Symbol"/>
              <w:bCs/>
              <w:color w:val="0000FF"/>
            </w:rPr>
            <w:t>☐</w:t>
          </w:r>
        </w:sdtContent>
      </w:sdt>
      <w:r w:rsidR="00275563" w:rsidRPr="00FB3874">
        <w:rPr>
          <w:rFonts w:eastAsia="MS Mincho" w:cstheme="minorHAnsi"/>
          <w:b/>
          <w:bCs/>
          <w:color w:val="0000FF"/>
        </w:rPr>
        <w:t xml:space="preserve"> </w:t>
      </w:r>
      <w:r w:rsidR="00275563" w:rsidRPr="00FB3874">
        <w:rPr>
          <w:rFonts w:cstheme="minorHAnsi"/>
          <w:b/>
          <w:bCs/>
        </w:rPr>
        <w:t>Other (please describe)</w:t>
      </w:r>
    </w:p>
    <w:p w14:paraId="7C5644B4" w14:textId="77777777" w:rsidR="00275563" w:rsidRPr="00FB3874" w:rsidRDefault="00275563" w:rsidP="00001D73">
      <w:pPr>
        <w:autoSpaceDE w:val="0"/>
        <w:autoSpaceDN w:val="0"/>
        <w:adjustRightInd w:val="0"/>
        <w:spacing w:after="0" w:line="240" w:lineRule="auto"/>
        <w:rPr>
          <w:rFonts w:cstheme="minorHAnsi"/>
          <w:b/>
          <w:bCs/>
        </w:rPr>
      </w:pPr>
    </w:p>
    <w:p w14:paraId="44F3436B" w14:textId="7054C7BC" w:rsidR="00525E70" w:rsidRPr="0096525C" w:rsidRDefault="009C7513" w:rsidP="0096525C">
      <w:pPr>
        <w:autoSpaceDE w:val="0"/>
        <w:autoSpaceDN w:val="0"/>
        <w:adjustRightInd w:val="0"/>
        <w:spacing w:after="0" w:line="240" w:lineRule="auto"/>
        <w:rPr>
          <w:rFonts w:cstheme="minorHAnsi"/>
          <w:b/>
          <w:bCs/>
        </w:rPr>
      </w:pPr>
      <w:r w:rsidRPr="00FB3874">
        <w:rPr>
          <w:rFonts w:cstheme="minorHAnsi"/>
          <w:b/>
          <w:bCs/>
        </w:rPr>
        <w:t>2b3</w:t>
      </w:r>
      <w:r w:rsidR="00092566" w:rsidRPr="00FB3874">
        <w:rPr>
          <w:rFonts w:cstheme="minorHAnsi"/>
          <w:b/>
          <w:bCs/>
        </w:rPr>
        <w:t>.4</w:t>
      </w:r>
      <w:r w:rsidR="00193F21" w:rsidRPr="00FB3874">
        <w:rPr>
          <w:rFonts w:cstheme="minorHAnsi"/>
          <w:b/>
          <w:bCs/>
        </w:rPr>
        <w:t>a</w:t>
      </w:r>
      <w:r w:rsidR="00092566" w:rsidRPr="00FB3874">
        <w:rPr>
          <w:rFonts w:cstheme="minorHAnsi"/>
          <w:b/>
          <w:bCs/>
        </w:rPr>
        <w:t>. What were the statistical results of the analyses used to select risk factors?</w:t>
      </w:r>
      <w:r w:rsidR="00001D73" w:rsidRPr="00FB3874">
        <w:rPr>
          <w:rFonts w:cstheme="minorHAnsi"/>
          <w:b/>
          <w:bCs/>
        </w:rPr>
        <w:br/>
      </w:r>
      <w:r w:rsidR="00525E70" w:rsidRPr="0096525C">
        <w:rPr>
          <w:rFonts w:cs="Calibri"/>
          <w:bCs/>
          <w:color w:val="1111FB"/>
        </w:rPr>
        <w:t>N/A</w:t>
      </w:r>
    </w:p>
    <w:p w14:paraId="0FE0FA69" w14:textId="77777777" w:rsidR="00525E70" w:rsidRPr="00FB3874" w:rsidRDefault="00525E70" w:rsidP="00001D73">
      <w:pPr>
        <w:autoSpaceDE w:val="0"/>
        <w:autoSpaceDN w:val="0"/>
        <w:adjustRightInd w:val="0"/>
        <w:spacing w:after="0" w:line="240" w:lineRule="auto"/>
        <w:rPr>
          <w:rFonts w:cstheme="minorHAnsi"/>
          <w:b/>
          <w:bCs/>
        </w:rPr>
      </w:pPr>
    </w:p>
    <w:p w14:paraId="0CABCFF8" w14:textId="350A0D85" w:rsidR="00001D73" w:rsidRPr="00FB3874" w:rsidRDefault="009C7513" w:rsidP="00E160D8">
      <w:pPr>
        <w:autoSpaceDE w:val="0"/>
        <w:autoSpaceDN w:val="0"/>
        <w:adjustRightInd w:val="0"/>
        <w:spacing w:after="0" w:line="240" w:lineRule="auto"/>
        <w:rPr>
          <w:rFonts w:cstheme="minorHAnsi"/>
          <w:b/>
          <w:bCs/>
        </w:rPr>
      </w:pPr>
      <w:r w:rsidRPr="00FB3874">
        <w:rPr>
          <w:rFonts w:cstheme="minorHAnsi"/>
          <w:b/>
          <w:bCs/>
        </w:rPr>
        <w:t>2b3</w:t>
      </w:r>
      <w:r w:rsidR="00C1695E" w:rsidRPr="00FB3874">
        <w:rPr>
          <w:rFonts w:cstheme="minorHAnsi"/>
          <w:b/>
          <w:bCs/>
        </w:rPr>
        <w:t xml:space="preserve">.4b. Describe the analyses and interpretation resulting in the decision to select </w:t>
      </w:r>
      <w:r w:rsidR="00AF2D68" w:rsidRPr="00FB3874">
        <w:rPr>
          <w:rFonts w:cstheme="minorHAnsi"/>
          <w:b/>
          <w:bCs/>
        </w:rPr>
        <w:t>social risk</w:t>
      </w:r>
      <w:r w:rsidR="00C1695E" w:rsidRPr="00FB3874">
        <w:rPr>
          <w:rFonts w:cstheme="minorHAnsi"/>
          <w:b/>
          <w:bCs/>
        </w:rPr>
        <w:t xml:space="preserve"> factors </w:t>
      </w:r>
      <w:r w:rsidR="00C1695E" w:rsidRPr="00FB3874">
        <w:rPr>
          <w:rFonts w:cstheme="minorHAnsi"/>
          <w:bCs/>
          <w:i/>
        </w:rPr>
        <w:t>(e.g. prevalence of the factor across measured entities, empirical association with the outcome, contribution of unique variation in the outcome, assessment of between-unit effects and within-unit effects</w:t>
      </w:r>
      <w:r w:rsidR="00CE284E" w:rsidRPr="00FB3874">
        <w:rPr>
          <w:rFonts w:cstheme="minorHAnsi"/>
          <w:bCs/>
          <w:i/>
        </w:rPr>
        <w:t xml:space="preserve">.)  </w:t>
      </w:r>
      <w:r w:rsidR="00CE284E" w:rsidRPr="00FB3874">
        <w:rPr>
          <w:rFonts w:cstheme="minorHAnsi"/>
          <w:b/>
          <w:bCs/>
        </w:rPr>
        <w:t>Also describe the</w:t>
      </w:r>
      <w:r w:rsidR="00AF2D68" w:rsidRPr="00FB3874">
        <w:rPr>
          <w:rFonts w:cstheme="minorHAnsi"/>
          <w:b/>
          <w:bCs/>
        </w:rPr>
        <w:t xml:space="preserve"> impact of adjusting for social risk (or not) on providers</w:t>
      </w:r>
      <w:r w:rsidR="00CE284E" w:rsidRPr="00FB3874">
        <w:rPr>
          <w:rFonts w:cstheme="minorHAnsi"/>
          <w:b/>
          <w:bCs/>
        </w:rPr>
        <w:t xml:space="preserve"> at high or low extremes of risk.</w:t>
      </w:r>
    </w:p>
    <w:p w14:paraId="54C80B5D" w14:textId="77777777" w:rsidR="00525E70" w:rsidRPr="0096525C" w:rsidRDefault="00525E70" w:rsidP="00E160D8">
      <w:pPr>
        <w:spacing w:after="0" w:line="240" w:lineRule="auto"/>
        <w:rPr>
          <w:rFonts w:cs="Calibri"/>
          <w:bCs/>
          <w:color w:val="1111FB"/>
        </w:rPr>
      </w:pPr>
      <w:r w:rsidRPr="0096525C">
        <w:rPr>
          <w:rFonts w:cs="Calibri"/>
          <w:bCs/>
          <w:color w:val="1111FB"/>
        </w:rPr>
        <w:t>N/A</w:t>
      </w:r>
    </w:p>
    <w:p w14:paraId="13664093" w14:textId="77777777" w:rsidR="00525E70" w:rsidRPr="00001D73" w:rsidRDefault="00525E70" w:rsidP="00E160D8">
      <w:pPr>
        <w:autoSpaceDE w:val="0"/>
        <w:autoSpaceDN w:val="0"/>
        <w:adjustRightInd w:val="0"/>
        <w:spacing w:after="0" w:line="240" w:lineRule="auto"/>
        <w:rPr>
          <w:rFonts w:cstheme="minorHAnsi"/>
          <w:b/>
          <w:bCs/>
        </w:rPr>
      </w:pPr>
    </w:p>
    <w:p w14:paraId="7D6F1A62" w14:textId="576D88A7" w:rsidR="00F84545" w:rsidRPr="0096525C" w:rsidRDefault="009C7513" w:rsidP="0096525C">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F84545" w:rsidRPr="0096525C">
        <w:rPr>
          <w:rFonts w:cs="Calibri"/>
          <w:bCs/>
          <w:color w:val="1111FB"/>
        </w:rPr>
        <w:t>N/A</w:t>
      </w:r>
    </w:p>
    <w:p w14:paraId="023319BD" w14:textId="77777777" w:rsidR="00F84545" w:rsidRPr="00A25024" w:rsidRDefault="00F84545" w:rsidP="00E160D8">
      <w:pPr>
        <w:autoSpaceDE w:val="0"/>
        <w:autoSpaceDN w:val="0"/>
        <w:adjustRightInd w:val="0"/>
        <w:spacing w:after="0" w:line="240" w:lineRule="auto"/>
        <w:rPr>
          <w:rFonts w:cstheme="minorHAnsi"/>
          <w:bCs/>
        </w:rPr>
      </w:pPr>
    </w:p>
    <w:p w14:paraId="0CABCFFB" w14:textId="78FCA6D3" w:rsidR="00E1508F" w:rsidRDefault="00001D73" w:rsidP="00E160D8">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E160D8">
      <w:pPr>
        <w:autoSpaceDE w:val="0"/>
        <w:autoSpaceDN w:val="0"/>
        <w:adjustRightInd w:val="0"/>
        <w:spacing w:after="0" w:line="240" w:lineRule="auto"/>
        <w:rPr>
          <w:rFonts w:cstheme="minorHAnsi"/>
          <w:b/>
          <w:bCs/>
        </w:rPr>
      </w:pPr>
    </w:p>
    <w:p w14:paraId="0CABCFFD" w14:textId="79D5D7A7" w:rsidR="00001D73" w:rsidRPr="00E160D8" w:rsidRDefault="00743E46" w:rsidP="00E160D8">
      <w:pPr>
        <w:autoSpaceDE w:val="0"/>
        <w:autoSpaceDN w:val="0"/>
        <w:adjustRightInd w:val="0"/>
        <w:spacing w:after="0" w:line="240" w:lineRule="auto"/>
        <w:rPr>
          <w:rFonts w:cstheme="minorHAnsi"/>
          <w:b/>
          <w:bCs/>
          <w:color w:val="808080" w:themeColor="background1" w:themeShade="80"/>
        </w:rPr>
      </w:pPr>
      <w:r w:rsidRPr="00E160D8">
        <w:rPr>
          <w:rFonts w:cstheme="minorHAnsi"/>
          <w:b/>
          <w:bCs/>
          <w:color w:val="808080" w:themeColor="background1" w:themeShade="80"/>
        </w:rPr>
        <w:t>2b</w:t>
      </w:r>
      <w:r w:rsidR="009C7513" w:rsidRPr="00E160D8">
        <w:rPr>
          <w:rFonts w:cstheme="minorHAnsi"/>
          <w:b/>
          <w:bCs/>
          <w:color w:val="808080" w:themeColor="background1" w:themeShade="80"/>
        </w:rPr>
        <w:t>3</w:t>
      </w:r>
      <w:r w:rsidRPr="00E160D8">
        <w:rPr>
          <w:rFonts w:cstheme="minorHAnsi"/>
          <w:b/>
          <w:bCs/>
          <w:color w:val="808080" w:themeColor="background1" w:themeShade="80"/>
        </w:rPr>
        <w:t xml:space="preserve">.6. </w:t>
      </w:r>
      <w:r w:rsidR="00001D73" w:rsidRPr="00E160D8">
        <w:rPr>
          <w:rFonts w:cstheme="minorHAnsi"/>
          <w:b/>
          <w:bCs/>
          <w:color w:val="808080" w:themeColor="background1" w:themeShade="80"/>
        </w:rPr>
        <w:t xml:space="preserve">Statistical </w:t>
      </w:r>
      <w:r w:rsidR="00092566" w:rsidRPr="00E160D8">
        <w:rPr>
          <w:rFonts w:cstheme="minorHAnsi"/>
          <w:b/>
          <w:bCs/>
          <w:color w:val="808080" w:themeColor="background1" w:themeShade="80"/>
        </w:rPr>
        <w:t>Risk Model Discrimination Statistics</w:t>
      </w:r>
      <w:r w:rsidR="003605B4" w:rsidRPr="00E160D8">
        <w:rPr>
          <w:rFonts w:cstheme="minorHAnsi"/>
          <w:bCs/>
          <w:color w:val="808080" w:themeColor="background1" w:themeShade="80"/>
        </w:rPr>
        <w:t xml:space="preserve"> (</w:t>
      </w:r>
      <w:r w:rsidR="003605B4" w:rsidRPr="00E160D8">
        <w:rPr>
          <w:rFonts w:cstheme="minorHAnsi"/>
          <w:bCs/>
          <w:i/>
          <w:color w:val="808080" w:themeColor="background1" w:themeShade="80"/>
        </w:rPr>
        <w:t>e.g., c-statistic, R-squared</w:t>
      </w:r>
      <w:r w:rsidR="003605B4" w:rsidRPr="00E160D8">
        <w:rPr>
          <w:rFonts w:cstheme="minorHAnsi"/>
          <w:bCs/>
          <w:color w:val="808080" w:themeColor="background1" w:themeShade="80"/>
        </w:rPr>
        <w:t>)</w:t>
      </w:r>
      <w:r w:rsidRPr="00E160D8">
        <w:rPr>
          <w:rFonts w:cstheme="minorHAnsi"/>
          <w:b/>
          <w:bCs/>
          <w:color w:val="808080" w:themeColor="background1" w:themeShade="80"/>
        </w:rPr>
        <w:t>:</w:t>
      </w:r>
      <w:r w:rsidR="00092566" w:rsidRPr="00E160D8">
        <w:rPr>
          <w:rFonts w:cstheme="minorHAnsi"/>
          <w:b/>
          <w:bCs/>
          <w:color w:val="808080" w:themeColor="background1" w:themeShade="80"/>
        </w:rPr>
        <w:t xml:space="preserve">  </w:t>
      </w:r>
      <w:r w:rsidR="00092566" w:rsidRPr="00E160D8">
        <w:rPr>
          <w:rFonts w:cstheme="minorHAnsi"/>
          <w:b/>
          <w:color w:val="808080" w:themeColor="background1" w:themeShade="80"/>
        </w:rPr>
        <w:br/>
      </w:r>
    </w:p>
    <w:p w14:paraId="0CABCFFE" w14:textId="57E7DDD4" w:rsidR="00001D73" w:rsidRPr="00E160D8" w:rsidRDefault="009C7513" w:rsidP="00E160D8">
      <w:pPr>
        <w:autoSpaceDE w:val="0"/>
        <w:autoSpaceDN w:val="0"/>
        <w:adjustRightInd w:val="0"/>
        <w:spacing w:after="0" w:line="240" w:lineRule="auto"/>
        <w:rPr>
          <w:rFonts w:cstheme="minorHAnsi"/>
          <w:b/>
          <w:bCs/>
          <w:color w:val="808080" w:themeColor="background1" w:themeShade="80"/>
        </w:rPr>
      </w:pPr>
      <w:r w:rsidRPr="00E160D8">
        <w:rPr>
          <w:rFonts w:cstheme="minorHAnsi"/>
          <w:b/>
          <w:bCs/>
          <w:color w:val="808080" w:themeColor="background1" w:themeShade="80"/>
        </w:rPr>
        <w:t>2b3</w:t>
      </w:r>
      <w:r w:rsidR="00743E46" w:rsidRPr="00E160D8">
        <w:rPr>
          <w:rFonts w:cstheme="minorHAnsi"/>
          <w:b/>
          <w:bCs/>
          <w:color w:val="808080" w:themeColor="background1" w:themeShade="80"/>
        </w:rPr>
        <w:t>.7</w:t>
      </w:r>
      <w:r w:rsidR="00001D73" w:rsidRPr="00E160D8">
        <w:rPr>
          <w:rFonts w:cstheme="minorHAnsi"/>
          <w:b/>
          <w:bCs/>
          <w:color w:val="808080" w:themeColor="background1" w:themeShade="80"/>
        </w:rPr>
        <w:t xml:space="preserve">. </w:t>
      </w:r>
      <w:r w:rsidR="00743E46" w:rsidRPr="00E160D8">
        <w:rPr>
          <w:rFonts w:cstheme="minorHAnsi"/>
          <w:b/>
          <w:bCs/>
          <w:color w:val="808080" w:themeColor="background1" w:themeShade="80"/>
        </w:rPr>
        <w:t xml:space="preserve">Statistical </w:t>
      </w:r>
      <w:r w:rsidR="00092566" w:rsidRPr="00E160D8">
        <w:rPr>
          <w:rFonts w:cstheme="minorHAnsi"/>
          <w:b/>
          <w:bCs/>
          <w:color w:val="808080" w:themeColor="background1" w:themeShade="80"/>
        </w:rPr>
        <w:t>Risk Model Calibration Statistics</w:t>
      </w:r>
      <w:r w:rsidR="003605B4" w:rsidRPr="00E160D8">
        <w:rPr>
          <w:rFonts w:cstheme="minorHAnsi"/>
          <w:b/>
          <w:bCs/>
          <w:color w:val="808080" w:themeColor="background1" w:themeShade="80"/>
        </w:rPr>
        <w:t xml:space="preserve"> </w:t>
      </w:r>
      <w:r w:rsidR="003605B4" w:rsidRPr="00E160D8">
        <w:rPr>
          <w:rFonts w:cstheme="minorHAnsi"/>
          <w:bCs/>
          <w:color w:val="808080" w:themeColor="background1" w:themeShade="80"/>
        </w:rPr>
        <w:t>(</w:t>
      </w:r>
      <w:r w:rsidR="003605B4" w:rsidRPr="00E160D8">
        <w:rPr>
          <w:rFonts w:cstheme="minorHAnsi"/>
          <w:bCs/>
          <w:i/>
          <w:color w:val="808080" w:themeColor="background1" w:themeShade="80"/>
        </w:rPr>
        <w:t>e.g., Hosmer-</w:t>
      </w:r>
      <w:proofErr w:type="spellStart"/>
      <w:r w:rsidR="003605B4" w:rsidRPr="00E160D8">
        <w:rPr>
          <w:rFonts w:cstheme="minorHAnsi"/>
          <w:bCs/>
          <w:i/>
          <w:color w:val="808080" w:themeColor="background1" w:themeShade="80"/>
        </w:rPr>
        <w:t>Lemeshow</w:t>
      </w:r>
      <w:proofErr w:type="spellEnd"/>
      <w:r w:rsidR="003605B4" w:rsidRPr="00E160D8">
        <w:rPr>
          <w:rFonts w:cstheme="minorHAnsi"/>
          <w:bCs/>
          <w:i/>
          <w:color w:val="808080" w:themeColor="background1" w:themeShade="80"/>
        </w:rPr>
        <w:t xml:space="preserve"> statistic</w:t>
      </w:r>
      <w:r w:rsidR="003605B4" w:rsidRPr="00E160D8">
        <w:rPr>
          <w:rFonts w:cstheme="minorHAnsi"/>
          <w:bCs/>
          <w:color w:val="808080" w:themeColor="background1" w:themeShade="80"/>
        </w:rPr>
        <w:t>)</w:t>
      </w:r>
      <w:r w:rsidR="00092566" w:rsidRPr="00E160D8">
        <w:rPr>
          <w:rFonts w:cstheme="minorHAnsi"/>
          <w:bCs/>
          <w:color w:val="808080" w:themeColor="background1" w:themeShade="80"/>
        </w:rPr>
        <w:t xml:space="preserve">:  </w:t>
      </w:r>
      <w:r w:rsidR="00092566" w:rsidRPr="00E160D8">
        <w:rPr>
          <w:rFonts w:cstheme="minorHAnsi"/>
          <w:bCs/>
          <w:color w:val="808080" w:themeColor="background1" w:themeShade="80"/>
        </w:rPr>
        <w:br/>
      </w:r>
    </w:p>
    <w:p w14:paraId="0CABCFFF" w14:textId="7ECFB7AA" w:rsidR="00743E46" w:rsidRPr="00E160D8" w:rsidRDefault="009C7513" w:rsidP="00E160D8">
      <w:pPr>
        <w:autoSpaceDE w:val="0"/>
        <w:autoSpaceDN w:val="0"/>
        <w:adjustRightInd w:val="0"/>
        <w:spacing w:after="0" w:line="240" w:lineRule="auto"/>
        <w:rPr>
          <w:rFonts w:cstheme="minorHAnsi"/>
          <w:b/>
          <w:color w:val="808080" w:themeColor="background1" w:themeShade="80"/>
        </w:rPr>
      </w:pPr>
      <w:r w:rsidRPr="00E160D8">
        <w:rPr>
          <w:rFonts w:cstheme="minorHAnsi"/>
          <w:b/>
          <w:bCs/>
          <w:color w:val="808080" w:themeColor="background1" w:themeShade="80"/>
        </w:rPr>
        <w:t>2b3</w:t>
      </w:r>
      <w:r w:rsidR="00743E46" w:rsidRPr="00E160D8">
        <w:rPr>
          <w:rFonts w:cstheme="minorHAnsi"/>
          <w:b/>
          <w:bCs/>
          <w:color w:val="808080" w:themeColor="background1" w:themeShade="80"/>
        </w:rPr>
        <w:t>.8</w:t>
      </w:r>
      <w:r w:rsidR="00001D73" w:rsidRPr="00E160D8">
        <w:rPr>
          <w:rFonts w:cstheme="minorHAnsi"/>
          <w:b/>
          <w:bCs/>
          <w:color w:val="808080" w:themeColor="background1" w:themeShade="80"/>
        </w:rPr>
        <w:t xml:space="preserve">. </w:t>
      </w:r>
      <w:r w:rsidR="00743E46" w:rsidRPr="00E160D8">
        <w:rPr>
          <w:rFonts w:cstheme="minorHAnsi"/>
          <w:b/>
          <w:bCs/>
          <w:color w:val="808080" w:themeColor="background1" w:themeShade="80"/>
        </w:rPr>
        <w:t xml:space="preserve">Statistical </w:t>
      </w:r>
      <w:r w:rsidR="00092566" w:rsidRPr="00E160D8">
        <w:rPr>
          <w:rFonts w:cstheme="minorHAnsi"/>
          <w:b/>
          <w:bCs/>
          <w:color w:val="808080" w:themeColor="background1" w:themeShade="80"/>
        </w:rPr>
        <w:t>Risk Model Calibration – Risk decile plots or calibration curves</w:t>
      </w:r>
      <w:r w:rsidR="00092566" w:rsidRPr="00E160D8">
        <w:rPr>
          <w:rFonts w:cstheme="minorHAnsi"/>
          <w:bCs/>
          <w:color w:val="808080" w:themeColor="background1" w:themeShade="80"/>
        </w:rPr>
        <w:t>:</w:t>
      </w:r>
      <w:r w:rsidR="00092566" w:rsidRPr="00E160D8">
        <w:rPr>
          <w:rFonts w:cstheme="minorHAnsi"/>
          <w:bCs/>
          <w:color w:val="808080" w:themeColor="background1" w:themeShade="80"/>
        </w:rPr>
        <w:br/>
      </w:r>
    </w:p>
    <w:p w14:paraId="0CABD000" w14:textId="2277C090" w:rsidR="00092566" w:rsidRPr="00E160D8" w:rsidRDefault="009C7513" w:rsidP="00E160D8">
      <w:pPr>
        <w:autoSpaceDE w:val="0"/>
        <w:autoSpaceDN w:val="0"/>
        <w:adjustRightInd w:val="0"/>
        <w:spacing w:after="0" w:line="240" w:lineRule="auto"/>
        <w:rPr>
          <w:rFonts w:cstheme="minorHAnsi"/>
          <w:bCs/>
          <w:color w:val="808080" w:themeColor="background1" w:themeShade="80"/>
        </w:rPr>
      </w:pPr>
      <w:bookmarkStart w:id="18" w:name="question2b49"/>
      <w:bookmarkEnd w:id="18"/>
      <w:r w:rsidRPr="00E160D8">
        <w:rPr>
          <w:rFonts w:cstheme="minorHAnsi"/>
          <w:b/>
          <w:color w:val="808080" w:themeColor="background1" w:themeShade="80"/>
        </w:rPr>
        <w:t>2b3</w:t>
      </w:r>
      <w:r w:rsidR="00743E46" w:rsidRPr="00E160D8">
        <w:rPr>
          <w:rFonts w:cstheme="minorHAnsi"/>
          <w:b/>
          <w:color w:val="808080" w:themeColor="background1" w:themeShade="80"/>
        </w:rPr>
        <w:t>.9</w:t>
      </w:r>
      <w:r w:rsidR="00001D73" w:rsidRPr="00E160D8">
        <w:rPr>
          <w:rFonts w:cstheme="minorHAnsi"/>
          <w:b/>
          <w:color w:val="808080" w:themeColor="background1" w:themeShade="80"/>
        </w:rPr>
        <w:t xml:space="preserve">. Results of </w:t>
      </w:r>
      <w:r w:rsidR="00092566" w:rsidRPr="00E160D8">
        <w:rPr>
          <w:rFonts w:cstheme="minorHAnsi"/>
          <w:b/>
          <w:color w:val="808080" w:themeColor="background1" w:themeShade="80"/>
        </w:rPr>
        <w:t>Risk Stratification Analysis</w:t>
      </w:r>
      <w:r w:rsidR="00092566" w:rsidRPr="00E160D8">
        <w:rPr>
          <w:rFonts w:cstheme="minorHAnsi"/>
          <w:color w:val="808080" w:themeColor="background1" w:themeShade="80"/>
        </w:rPr>
        <w:t xml:space="preserve">: </w:t>
      </w:r>
      <w:r w:rsidR="00092566" w:rsidRPr="00E160D8">
        <w:rPr>
          <w:rFonts w:cstheme="minorHAnsi"/>
          <w:bCs/>
          <w:color w:val="808080" w:themeColor="background1" w:themeShade="80"/>
        </w:rPr>
        <w:t xml:space="preserve"> </w:t>
      </w:r>
    </w:p>
    <w:p w14:paraId="2AC85FBF" w14:textId="77777777" w:rsidR="00E160D8" w:rsidRDefault="00E160D8" w:rsidP="00E160D8">
      <w:pPr>
        <w:autoSpaceDE w:val="0"/>
        <w:autoSpaceDN w:val="0"/>
        <w:adjustRightInd w:val="0"/>
        <w:spacing w:after="0" w:line="240" w:lineRule="auto"/>
        <w:rPr>
          <w:rFonts w:cstheme="minorHAnsi"/>
          <w:b/>
          <w:bCs/>
          <w:color w:val="808080" w:themeColor="background1" w:themeShade="80"/>
        </w:rPr>
      </w:pPr>
    </w:p>
    <w:p w14:paraId="0CABD003" w14:textId="79D70DAF" w:rsidR="00092566" w:rsidRPr="00E160D8" w:rsidRDefault="009C7513" w:rsidP="00E160D8">
      <w:pPr>
        <w:autoSpaceDE w:val="0"/>
        <w:autoSpaceDN w:val="0"/>
        <w:adjustRightInd w:val="0"/>
        <w:spacing w:after="0" w:line="240" w:lineRule="auto"/>
        <w:rPr>
          <w:rFonts w:cstheme="minorHAnsi"/>
          <w:color w:val="808080" w:themeColor="background1" w:themeShade="80"/>
        </w:rPr>
      </w:pPr>
      <w:r w:rsidRPr="00E160D8">
        <w:rPr>
          <w:rFonts w:cstheme="minorHAnsi"/>
          <w:b/>
          <w:bCs/>
          <w:color w:val="808080" w:themeColor="background1" w:themeShade="80"/>
        </w:rPr>
        <w:t>2b3</w:t>
      </w:r>
      <w:r w:rsidR="00743E46" w:rsidRPr="00E160D8">
        <w:rPr>
          <w:rFonts w:cstheme="minorHAnsi"/>
          <w:b/>
          <w:bCs/>
          <w:color w:val="808080" w:themeColor="background1" w:themeShade="80"/>
        </w:rPr>
        <w:t>.10</w:t>
      </w:r>
      <w:r w:rsidR="00001D73" w:rsidRPr="00E160D8">
        <w:rPr>
          <w:rFonts w:cstheme="minorHAnsi"/>
          <w:b/>
          <w:bCs/>
          <w:color w:val="808080" w:themeColor="background1" w:themeShade="80"/>
        </w:rPr>
        <w:t xml:space="preserve">. </w:t>
      </w:r>
      <w:r w:rsidR="00092566" w:rsidRPr="00E160D8">
        <w:rPr>
          <w:rFonts w:cstheme="minorHAnsi"/>
          <w:b/>
          <w:bCs/>
          <w:color w:val="808080" w:themeColor="background1" w:themeShade="80"/>
        </w:rPr>
        <w:t>What is your interpretation of the results in terms of demonstrating adequacy of controlling for differences in patient characteristics (case mix)?</w:t>
      </w:r>
      <w:r w:rsidR="00092566" w:rsidRPr="00E160D8">
        <w:rPr>
          <w:rFonts w:cstheme="minorHAnsi"/>
          <w:bCs/>
          <w:color w:val="808080" w:themeColor="background1" w:themeShade="80"/>
        </w:rPr>
        <w:t xml:space="preserve"> (i</w:t>
      </w:r>
      <w:r w:rsidR="00092566" w:rsidRPr="00E160D8">
        <w:rPr>
          <w:rFonts w:cstheme="minorHAnsi"/>
          <w:bCs/>
          <w:i/>
          <w:color w:val="808080" w:themeColor="background1" w:themeShade="80"/>
        </w:rPr>
        <w:t>.e., what do the results mean and what are the norms for the test conducted</w:t>
      </w:r>
      <w:r w:rsidR="00092566" w:rsidRPr="00E160D8">
        <w:rPr>
          <w:rFonts w:cstheme="minorHAnsi"/>
          <w:bCs/>
          <w:color w:val="808080" w:themeColor="background1" w:themeShade="80"/>
        </w:rPr>
        <w:t>)</w:t>
      </w:r>
      <w:r w:rsidR="00092566" w:rsidRPr="00E160D8">
        <w:rPr>
          <w:rFonts w:cstheme="minorHAnsi"/>
          <w:bCs/>
          <w:color w:val="808080" w:themeColor="background1" w:themeShade="80"/>
        </w:rPr>
        <w:br/>
      </w:r>
    </w:p>
    <w:p w14:paraId="2788981D" w14:textId="4B00C452" w:rsidR="00F177D6" w:rsidRDefault="009C7513" w:rsidP="00E76DD5">
      <w:pPr>
        <w:spacing w:after="0" w:line="240" w:lineRule="auto"/>
        <w:rPr>
          <w:rFonts w:cstheme="minorHAnsi"/>
          <w:color w:val="808080" w:themeColor="background1" w:themeShade="80"/>
        </w:rPr>
      </w:pPr>
      <w:r w:rsidRPr="00E160D8">
        <w:rPr>
          <w:rFonts w:cstheme="minorHAnsi"/>
          <w:b/>
          <w:color w:val="808080" w:themeColor="background1" w:themeShade="80"/>
          <w:highlight w:val="green"/>
        </w:rPr>
        <w:t>2b3</w:t>
      </w:r>
      <w:r w:rsidR="009B1A15" w:rsidRPr="00E160D8">
        <w:rPr>
          <w:rFonts w:cstheme="minorHAnsi"/>
          <w:b/>
          <w:color w:val="808080" w:themeColor="background1" w:themeShade="80"/>
          <w:highlight w:val="green"/>
        </w:rPr>
        <w:t>.11.</w:t>
      </w:r>
      <w:r w:rsidR="009B1A15" w:rsidRPr="00E160D8">
        <w:rPr>
          <w:rFonts w:cstheme="minorHAnsi"/>
          <w:color w:val="808080" w:themeColor="background1" w:themeShade="80"/>
          <w:highlight w:val="green"/>
        </w:rPr>
        <w:t xml:space="preserve"> </w:t>
      </w:r>
      <w:r w:rsidR="00092566" w:rsidRPr="00E160D8">
        <w:rPr>
          <w:rFonts w:cstheme="minorHAnsi"/>
          <w:b/>
          <w:color w:val="808080" w:themeColor="background1" w:themeShade="80"/>
          <w:highlight w:val="green"/>
        </w:rPr>
        <w:t>Optional</w:t>
      </w:r>
      <w:r w:rsidR="009B1A15" w:rsidRPr="00E160D8">
        <w:rPr>
          <w:rFonts w:cstheme="minorHAnsi"/>
          <w:b/>
          <w:color w:val="808080" w:themeColor="background1" w:themeShade="80"/>
          <w:highlight w:val="green"/>
        </w:rPr>
        <w:t xml:space="preserve"> Additional Testing</w:t>
      </w:r>
      <w:r w:rsidR="004756E1" w:rsidRPr="00E160D8">
        <w:rPr>
          <w:rFonts w:cstheme="minorHAnsi"/>
          <w:b/>
          <w:color w:val="808080" w:themeColor="background1" w:themeShade="80"/>
          <w:highlight w:val="green"/>
        </w:rPr>
        <w:t xml:space="preserve"> for Risk Adjustment</w:t>
      </w:r>
      <w:r w:rsidR="00092566" w:rsidRPr="00E160D8">
        <w:rPr>
          <w:rFonts w:cstheme="minorHAnsi"/>
          <w:b/>
          <w:color w:val="808080" w:themeColor="background1" w:themeShade="80"/>
        </w:rPr>
        <w:t xml:space="preserve"> </w:t>
      </w:r>
      <w:r w:rsidR="00092566" w:rsidRPr="00E160D8">
        <w:rPr>
          <w:rFonts w:cstheme="minorHAnsi"/>
          <w:color w:val="808080" w:themeColor="background1" w:themeShade="80"/>
        </w:rPr>
        <w:t>(</w:t>
      </w:r>
      <w:r w:rsidR="00092566" w:rsidRPr="00E160D8">
        <w:rPr>
          <w:rFonts w:cstheme="minorHAnsi"/>
          <w:i/>
          <w:color w:val="808080" w:themeColor="background1" w:themeShade="80"/>
          <w:u w:val="single"/>
        </w:rPr>
        <w:t>not required</w:t>
      </w:r>
      <w:r w:rsidR="00092566" w:rsidRPr="00E160D8">
        <w:rPr>
          <w:rFonts w:cstheme="minorHAnsi"/>
          <w:i/>
          <w:color w:val="808080" w:themeColor="background1" w:themeShade="80"/>
        </w:rPr>
        <w:t>, but would provide additional support of adequacy of risk model</w:t>
      </w:r>
      <w:r w:rsidR="009B1A15" w:rsidRPr="00E160D8">
        <w:rPr>
          <w:rFonts w:cstheme="minorHAnsi"/>
          <w:i/>
          <w:color w:val="808080" w:themeColor="background1" w:themeShade="80"/>
        </w:rPr>
        <w:t>, e.g., testing of risk model in another data se</w:t>
      </w:r>
      <w:r w:rsidR="002408E4" w:rsidRPr="00E160D8">
        <w:rPr>
          <w:rFonts w:cstheme="minorHAnsi"/>
          <w:i/>
          <w:color w:val="808080" w:themeColor="background1" w:themeShade="80"/>
        </w:rPr>
        <w:t>t</w:t>
      </w:r>
      <w:r w:rsidR="009B1A15" w:rsidRPr="00E160D8">
        <w:rPr>
          <w:rFonts w:cstheme="minorHAnsi"/>
          <w:i/>
          <w:color w:val="808080" w:themeColor="background1" w:themeShade="80"/>
        </w:rPr>
        <w:t>; sensitivity analysis for missing data</w:t>
      </w:r>
      <w:r w:rsidR="002408E4" w:rsidRPr="00E160D8">
        <w:rPr>
          <w:rFonts w:cstheme="minorHAnsi"/>
          <w:i/>
          <w:color w:val="808080" w:themeColor="background1" w:themeShade="80"/>
        </w:rPr>
        <w:t>;</w:t>
      </w:r>
      <w:r w:rsidR="009B1A15" w:rsidRPr="00E160D8">
        <w:rPr>
          <w:rFonts w:cstheme="minorHAnsi"/>
          <w:i/>
          <w:color w:val="808080" w:themeColor="background1" w:themeShade="80"/>
        </w:rPr>
        <w:t xml:space="preserve"> other methods</w:t>
      </w:r>
      <w:r w:rsidR="008F7E67" w:rsidRPr="00E160D8">
        <w:rPr>
          <w:rFonts w:cstheme="minorHAnsi"/>
          <w:i/>
          <w:color w:val="808080" w:themeColor="background1" w:themeShade="80"/>
        </w:rPr>
        <w:t xml:space="preserve"> that were assessed</w:t>
      </w:r>
      <w:r w:rsidR="009B1A15" w:rsidRPr="00E160D8">
        <w:rPr>
          <w:rFonts w:cstheme="minorHAnsi"/>
          <w:color w:val="808080" w:themeColor="background1" w:themeShade="80"/>
        </w:rPr>
        <w:t>)</w:t>
      </w:r>
    </w:p>
    <w:p w14:paraId="77786077" w14:textId="77777777" w:rsidR="00E76DD5" w:rsidRPr="00E76DD5" w:rsidRDefault="00E76DD5" w:rsidP="00E76DD5">
      <w:pPr>
        <w:spacing w:after="0" w:line="240" w:lineRule="auto"/>
        <w:rPr>
          <w:rFonts w:cstheme="minorHAnsi"/>
          <w:color w:val="808080" w:themeColor="background1" w:themeShade="80"/>
        </w:rPr>
      </w:pPr>
    </w:p>
    <w:p w14:paraId="0CABD006" w14:textId="61F24D33"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9" w:name="section2b5"/>
      <w:bookmarkEnd w:id="19"/>
      <w:r>
        <w:rPr>
          <w:rFonts w:cstheme="minorHAnsi"/>
          <w:b/>
          <w:bCs/>
        </w:rPr>
        <w:t>2b4</w:t>
      </w:r>
      <w:r w:rsidR="00D61410" w:rsidRPr="00A25024">
        <w:rPr>
          <w:rFonts w:cstheme="minorHAnsi"/>
          <w:b/>
          <w:bCs/>
        </w:rPr>
        <w:t>. IDENTIFICATION OF STATISTICALLY SIGNIFICANT &amp; MEANINGFUL DIFFERENCES IN PERFORMANCE</w:t>
      </w:r>
    </w:p>
    <w:p w14:paraId="07A7D3F8" w14:textId="6ADD0B4C" w:rsidR="00CF6F64" w:rsidRPr="00E76DD5" w:rsidRDefault="009C7513" w:rsidP="00CF6F64">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bookmarkStart w:id="20" w:name="_Hlk502842076"/>
      <w:r w:rsidR="00CF6F64" w:rsidRPr="00E76DD5">
        <w:rPr>
          <w:color w:val="1111FB"/>
        </w:rPr>
        <w:t>To demonstrate meaningful differences in performance, NCQA calculates an inter-quartile range (IQR) for each measure. The IQR provides a measure of the dispersion of performance. The IQR can be interpreted as the difference between the 25</w:t>
      </w:r>
      <w:r w:rsidR="00D21EEE" w:rsidRPr="00E76DD5">
        <w:rPr>
          <w:color w:val="1111FB"/>
          <w:vertAlign w:val="superscript"/>
        </w:rPr>
        <w:t>th</w:t>
      </w:r>
      <w:r w:rsidR="00D21EEE" w:rsidRPr="00E76DD5">
        <w:rPr>
          <w:color w:val="1111FB"/>
        </w:rPr>
        <w:t xml:space="preserve"> </w:t>
      </w:r>
      <w:r w:rsidR="00CF6F64" w:rsidRPr="00E76DD5">
        <w:rPr>
          <w:color w:val="1111FB"/>
        </w:rPr>
        <w:t>and 75</w:t>
      </w:r>
      <w:r w:rsidR="00D21EEE" w:rsidRPr="00E76DD5">
        <w:rPr>
          <w:color w:val="1111FB"/>
          <w:vertAlign w:val="superscript"/>
        </w:rPr>
        <w:t>th</w:t>
      </w:r>
      <w:r w:rsidR="00D21EEE" w:rsidRPr="00E76DD5">
        <w:rPr>
          <w:color w:val="1111FB"/>
        </w:rPr>
        <w:t xml:space="preserve"> </w:t>
      </w:r>
      <w:r w:rsidR="00CF6F64" w:rsidRPr="00E76DD5">
        <w:rPr>
          <w:color w:val="1111FB"/>
        </w:rPr>
        <w:t xml:space="preserve">percentile on a measure.  </w:t>
      </w:r>
    </w:p>
    <w:p w14:paraId="4C7B8DC9" w14:textId="77777777" w:rsidR="00CF6F64" w:rsidRPr="00E76DD5" w:rsidRDefault="00CF6F64" w:rsidP="00CF6F64">
      <w:pPr>
        <w:autoSpaceDE w:val="0"/>
        <w:autoSpaceDN w:val="0"/>
        <w:adjustRightInd w:val="0"/>
        <w:spacing w:after="0" w:line="240" w:lineRule="auto"/>
        <w:rPr>
          <w:rFonts w:cstheme="minorHAnsi"/>
          <w:bCs/>
          <w:color w:val="1111FB"/>
        </w:rPr>
      </w:pPr>
    </w:p>
    <w:p w14:paraId="3AFB36CE" w14:textId="77777777" w:rsidR="00CF6F64" w:rsidRPr="00E76DD5" w:rsidRDefault="00CF6F64" w:rsidP="00CF6F64">
      <w:pPr>
        <w:autoSpaceDE w:val="0"/>
        <w:autoSpaceDN w:val="0"/>
        <w:adjustRightInd w:val="0"/>
        <w:spacing w:after="0" w:line="240" w:lineRule="auto"/>
        <w:rPr>
          <w:color w:val="1111FB"/>
        </w:rPr>
      </w:pPr>
      <w:r w:rsidRPr="00E76DD5">
        <w:rPr>
          <w:color w:val="1111FB"/>
        </w:rPr>
        <w:lastRenderedPageBreak/>
        <w:t>To determine if this difference is statistically significant, NCQA calculates an independent sample t-test of the performance difference between two randomly selected plans at the 25</w:t>
      </w:r>
      <w:r w:rsidRPr="00E76DD5">
        <w:rPr>
          <w:color w:val="1111FB"/>
          <w:vertAlign w:val="superscript"/>
        </w:rPr>
        <w:t>th</w:t>
      </w:r>
      <w:r w:rsidRPr="00E76DD5">
        <w:rPr>
          <w:color w:val="1111FB"/>
        </w:rPr>
        <w:t xml:space="preserve"> and 75</w:t>
      </w:r>
      <w:r w:rsidRPr="00E76DD5">
        <w:rPr>
          <w:color w:val="1111FB"/>
          <w:vertAlign w:val="superscript"/>
        </w:rPr>
        <w:t>th</w:t>
      </w:r>
      <w:r w:rsidRPr="00E76DD5">
        <w:rPr>
          <w:color w:val="1111FB"/>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bookmarkEnd w:id="20"/>
    <w:p w14:paraId="0CABD009" w14:textId="77777777" w:rsidR="00D61410" w:rsidRPr="00563DAA" w:rsidRDefault="00D61410" w:rsidP="00D61410">
      <w:pPr>
        <w:autoSpaceDE w:val="0"/>
        <w:autoSpaceDN w:val="0"/>
        <w:adjustRightInd w:val="0"/>
        <w:spacing w:after="0" w:line="240" w:lineRule="auto"/>
        <w:rPr>
          <w:rFonts w:cstheme="minorHAnsi"/>
          <w:bCs/>
          <w:color w:val="4F81BD" w:themeColor="accent1"/>
        </w:rPr>
      </w:pPr>
    </w:p>
    <w:p w14:paraId="0CABD00A" w14:textId="20533B8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3CEE2C0" w14:textId="1AF264F0" w:rsidR="00426B9E" w:rsidRPr="004F2D0C" w:rsidRDefault="00E359B8" w:rsidP="00E359B8">
      <w:pPr>
        <w:autoSpaceDE w:val="0"/>
        <w:autoSpaceDN w:val="0"/>
        <w:adjustRightInd w:val="0"/>
        <w:spacing w:after="0" w:line="240" w:lineRule="auto"/>
        <w:rPr>
          <w:rFonts w:cstheme="minorHAnsi"/>
          <w:bCs/>
          <w:color w:val="1111FB"/>
        </w:rPr>
      </w:pPr>
      <w:r w:rsidRPr="004F2D0C">
        <w:rPr>
          <w:rFonts w:cstheme="minorHAnsi"/>
          <w:bCs/>
          <w:color w:val="1111FB"/>
        </w:rPr>
        <w:t xml:space="preserve">Table </w:t>
      </w:r>
      <w:r w:rsidR="00DE72E6">
        <w:rPr>
          <w:rFonts w:cstheme="minorHAnsi"/>
          <w:bCs/>
          <w:color w:val="1111FB"/>
        </w:rPr>
        <w:t>4</w:t>
      </w:r>
      <w:r w:rsidRPr="004F2D0C">
        <w:rPr>
          <w:rFonts w:cstheme="minorHAnsi"/>
          <w:bCs/>
          <w:color w:val="1111FB"/>
        </w:rPr>
        <w:t>. Variation in Performance for commercial, Medicaid, and Medicare health plans</w:t>
      </w:r>
      <w:r w:rsidR="00001358" w:rsidRPr="004F2D0C">
        <w:rPr>
          <w:rFonts w:cstheme="minorHAnsi"/>
          <w:bCs/>
          <w:color w:val="1111FB"/>
        </w:rPr>
        <w:t>, 2018.</w:t>
      </w:r>
    </w:p>
    <w:tbl>
      <w:tblPr>
        <w:tblW w:w="9648" w:type="dxa"/>
        <w:jc w:val="center"/>
        <w:tblLook w:val="04A0" w:firstRow="1" w:lastRow="0" w:firstColumn="1" w:lastColumn="0" w:noHBand="0" w:noVBand="1"/>
      </w:tblPr>
      <w:tblGrid>
        <w:gridCol w:w="1287"/>
        <w:gridCol w:w="551"/>
        <w:gridCol w:w="967"/>
        <w:gridCol w:w="927"/>
        <w:gridCol w:w="751"/>
        <w:gridCol w:w="751"/>
        <w:gridCol w:w="751"/>
        <w:gridCol w:w="751"/>
        <w:gridCol w:w="751"/>
        <w:gridCol w:w="751"/>
        <w:gridCol w:w="1410"/>
      </w:tblGrid>
      <w:tr w:rsidR="00E24187" w:rsidRPr="004F2D0C" w14:paraId="3B97F8D9" w14:textId="77777777" w:rsidTr="554744CE">
        <w:trPr>
          <w:trHeight w:val="300"/>
          <w:jc w:val="center"/>
        </w:trPr>
        <w:tc>
          <w:tcPr>
            <w:tcW w:w="1287" w:type="dxa"/>
            <w:tcBorders>
              <w:top w:val="single" w:sz="4" w:space="0" w:color="auto"/>
              <w:left w:val="single" w:sz="4" w:space="0" w:color="auto"/>
              <w:bottom w:val="single" w:sz="4" w:space="0" w:color="auto"/>
              <w:right w:val="single" w:sz="4" w:space="0" w:color="auto"/>
            </w:tcBorders>
          </w:tcPr>
          <w:p w14:paraId="4F717F17" w14:textId="2AC7AB5B" w:rsidR="00E24187" w:rsidRPr="004F2D0C" w:rsidRDefault="00E24187" w:rsidP="00826E75">
            <w:pPr>
              <w:spacing w:after="0" w:line="240" w:lineRule="auto"/>
              <w:jc w:val="center"/>
              <w:rPr>
                <w:rFonts w:ascii="Calibri" w:eastAsia="Times New Roman" w:hAnsi="Calibri" w:cs="Times New Roman"/>
                <w:b/>
                <w:bCs/>
                <w:color w:val="1111FB"/>
              </w:rPr>
            </w:pPr>
            <w:r>
              <w:rPr>
                <w:rFonts w:cstheme="minorHAnsi"/>
                <w:b/>
                <w:bCs/>
                <w:color w:val="1111FB"/>
              </w:rPr>
              <w:t>Plan Type</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14:paraId="0C42E8C4"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N</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7DE87188" w14:textId="096DFD69" w:rsidR="00E24187" w:rsidRPr="004F2D0C" w:rsidRDefault="554744CE" w:rsidP="554744CE">
            <w:pPr>
              <w:spacing w:after="0" w:line="240" w:lineRule="auto"/>
              <w:jc w:val="center"/>
              <w:rPr>
                <w:rFonts w:ascii="Calibri" w:eastAsia="Times New Roman" w:hAnsi="Calibri" w:cs="Times New Roman"/>
                <w:b/>
                <w:bCs/>
                <w:color w:val="1111FB"/>
              </w:rPr>
            </w:pPr>
            <w:r w:rsidRPr="554744CE">
              <w:rPr>
                <w:rFonts w:ascii="Calibri" w:eastAsia="Times New Roman" w:hAnsi="Calibri" w:cs="Times New Roman"/>
                <w:b/>
                <w:bCs/>
                <w:color w:val="1111FB"/>
              </w:rPr>
              <w:t>Average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14:paraId="5958666E"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St Dev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F5E7A94"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P10th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569159D4"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P25th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1300098"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P50th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4993943F"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P75th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3DAB043C"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P90th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64CE5959" w14:textId="77777777"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IQR (%)</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5B468638" w14:textId="0664FD53" w:rsidR="00E24187" w:rsidRPr="004F2D0C" w:rsidRDefault="00E24187" w:rsidP="00826E75">
            <w:pPr>
              <w:spacing w:after="0" w:line="240" w:lineRule="auto"/>
              <w:jc w:val="center"/>
              <w:rPr>
                <w:rFonts w:ascii="Calibri" w:eastAsia="Times New Roman" w:hAnsi="Calibri" w:cs="Times New Roman"/>
                <w:b/>
                <w:bCs/>
                <w:color w:val="1111FB"/>
              </w:rPr>
            </w:pPr>
            <w:r w:rsidRPr="004F2D0C">
              <w:rPr>
                <w:rFonts w:ascii="Calibri" w:eastAsia="Times New Roman" w:hAnsi="Calibri" w:cs="Times New Roman"/>
                <w:b/>
                <w:bCs/>
                <w:color w:val="1111FB"/>
              </w:rPr>
              <w:t>p-value</w:t>
            </w:r>
          </w:p>
        </w:tc>
      </w:tr>
      <w:tr w:rsidR="00E24187" w:rsidRPr="004F2D0C" w14:paraId="638A8C57" w14:textId="77777777" w:rsidTr="554744CE">
        <w:trPr>
          <w:trHeight w:val="300"/>
          <w:jc w:val="center"/>
        </w:trPr>
        <w:tc>
          <w:tcPr>
            <w:tcW w:w="1287" w:type="dxa"/>
            <w:tcBorders>
              <w:top w:val="nil"/>
              <w:left w:val="single" w:sz="4" w:space="0" w:color="auto"/>
              <w:bottom w:val="single" w:sz="4" w:space="0" w:color="auto"/>
              <w:right w:val="single" w:sz="4" w:space="0" w:color="auto"/>
            </w:tcBorders>
          </w:tcPr>
          <w:p w14:paraId="22BAD267" w14:textId="490587BE" w:rsidR="00E24187" w:rsidRPr="004F2D0C" w:rsidRDefault="00E24187" w:rsidP="00826E75">
            <w:pPr>
              <w:spacing w:after="0" w:line="240" w:lineRule="auto"/>
              <w:rPr>
                <w:rFonts w:ascii="Calibri" w:eastAsia="Times New Roman" w:hAnsi="Calibri" w:cs="Times New Roman"/>
                <w:color w:val="1111FB"/>
              </w:rPr>
            </w:pPr>
            <w:r w:rsidRPr="00D84CB3">
              <w:rPr>
                <w:rFonts w:cstheme="minorHAnsi"/>
                <w:bCs/>
                <w:color w:val="1111FB"/>
              </w:rPr>
              <w:t>Commercial</w:t>
            </w:r>
          </w:p>
        </w:tc>
        <w:tc>
          <w:tcPr>
            <w:tcW w:w="551" w:type="dxa"/>
            <w:tcBorders>
              <w:top w:val="nil"/>
              <w:left w:val="nil"/>
              <w:bottom w:val="single" w:sz="4" w:space="0" w:color="auto"/>
              <w:right w:val="single" w:sz="4" w:space="0" w:color="auto"/>
            </w:tcBorders>
            <w:shd w:val="clear" w:color="auto" w:fill="auto"/>
            <w:noWrap/>
          </w:tcPr>
          <w:p w14:paraId="3808984D" w14:textId="0AC85B1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401</w:t>
            </w:r>
          </w:p>
        </w:tc>
        <w:tc>
          <w:tcPr>
            <w:tcW w:w="967" w:type="dxa"/>
            <w:tcBorders>
              <w:top w:val="nil"/>
              <w:left w:val="nil"/>
              <w:bottom w:val="single" w:sz="4" w:space="0" w:color="auto"/>
              <w:right w:val="single" w:sz="4" w:space="0" w:color="auto"/>
            </w:tcBorders>
            <w:shd w:val="clear" w:color="auto" w:fill="auto"/>
            <w:noWrap/>
          </w:tcPr>
          <w:p w14:paraId="3CC782C9" w14:textId="3F8FDEB7"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54.48</w:t>
            </w:r>
          </w:p>
        </w:tc>
        <w:tc>
          <w:tcPr>
            <w:tcW w:w="927" w:type="dxa"/>
            <w:tcBorders>
              <w:top w:val="nil"/>
              <w:left w:val="nil"/>
              <w:bottom w:val="single" w:sz="4" w:space="0" w:color="auto"/>
              <w:right w:val="single" w:sz="4" w:space="0" w:color="auto"/>
            </w:tcBorders>
            <w:shd w:val="clear" w:color="auto" w:fill="auto"/>
            <w:noWrap/>
          </w:tcPr>
          <w:p w14:paraId="4CF1376E" w14:textId="580951D8"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14.59</w:t>
            </w:r>
          </w:p>
        </w:tc>
        <w:tc>
          <w:tcPr>
            <w:tcW w:w="751" w:type="dxa"/>
            <w:tcBorders>
              <w:top w:val="nil"/>
              <w:left w:val="nil"/>
              <w:bottom w:val="single" w:sz="4" w:space="0" w:color="auto"/>
              <w:right w:val="single" w:sz="4" w:space="0" w:color="auto"/>
            </w:tcBorders>
            <w:shd w:val="clear" w:color="auto" w:fill="auto"/>
            <w:noWrap/>
          </w:tcPr>
          <w:p w14:paraId="5CE84BB4" w14:textId="0C4444E5"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36.87</w:t>
            </w:r>
          </w:p>
        </w:tc>
        <w:tc>
          <w:tcPr>
            <w:tcW w:w="751" w:type="dxa"/>
            <w:tcBorders>
              <w:top w:val="nil"/>
              <w:left w:val="nil"/>
              <w:bottom w:val="single" w:sz="4" w:space="0" w:color="auto"/>
              <w:right w:val="single" w:sz="4" w:space="0" w:color="auto"/>
            </w:tcBorders>
            <w:shd w:val="clear" w:color="auto" w:fill="auto"/>
            <w:noWrap/>
          </w:tcPr>
          <w:p w14:paraId="56AD22F0" w14:textId="7A76BD4F"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52.31</w:t>
            </w:r>
          </w:p>
        </w:tc>
        <w:tc>
          <w:tcPr>
            <w:tcW w:w="751" w:type="dxa"/>
            <w:tcBorders>
              <w:top w:val="nil"/>
              <w:left w:val="nil"/>
              <w:bottom w:val="single" w:sz="4" w:space="0" w:color="auto"/>
              <w:right w:val="single" w:sz="4" w:space="0" w:color="auto"/>
            </w:tcBorders>
            <w:shd w:val="clear" w:color="auto" w:fill="auto"/>
            <w:noWrap/>
          </w:tcPr>
          <w:p w14:paraId="4B223644" w14:textId="24043EEC"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58.39</w:t>
            </w:r>
          </w:p>
        </w:tc>
        <w:tc>
          <w:tcPr>
            <w:tcW w:w="751" w:type="dxa"/>
            <w:tcBorders>
              <w:top w:val="nil"/>
              <w:left w:val="nil"/>
              <w:bottom w:val="single" w:sz="4" w:space="0" w:color="auto"/>
              <w:right w:val="single" w:sz="4" w:space="0" w:color="auto"/>
            </w:tcBorders>
            <w:shd w:val="clear" w:color="auto" w:fill="auto"/>
            <w:noWrap/>
          </w:tcPr>
          <w:p w14:paraId="7A88A9D0" w14:textId="47CFB91A"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63.11</w:t>
            </w:r>
          </w:p>
        </w:tc>
        <w:tc>
          <w:tcPr>
            <w:tcW w:w="751" w:type="dxa"/>
            <w:tcBorders>
              <w:top w:val="nil"/>
              <w:left w:val="nil"/>
              <w:bottom w:val="single" w:sz="4" w:space="0" w:color="auto"/>
              <w:right w:val="single" w:sz="4" w:space="0" w:color="auto"/>
            </w:tcBorders>
            <w:shd w:val="clear" w:color="auto" w:fill="auto"/>
            <w:noWrap/>
          </w:tcPr>
          <w:p w14:paraId="67E78BF8" w14:textId="45EFEA36"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66.18</w:t>
            </w:r>
          </w:p>
        </w:tc>
        <w:tc>
          <w:tcPr>
            <w:tcW w:w="751" w:type="dxa"/>
            <w:tcBorders>
              <w:top w:val="nil"/>
              <w:left w:val="nil"/>
              <w:bottom w:val="single" w:sz="4" w:space="0" w:color="auto"/>
              <w:right w:val="single" w:sz="4" w:space="0" w:color="auto"/>
            </w:tcBorders>
            <w:shd w:val="clear" w:color="auto" w:fill="auto"/>
            <w:noWrap/>
          </w:tcPr>
          <w:p w14:paraId="38F1893A" w14:textId="6A4786C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10.80</w:t>
            </w:r>
          </w:p>
        </w:tc>
        <w:tc>
          <w:tcPr>
            <w:tcW w:w="1410" w:type="dxa"/>
            <w:tcBorders>
              <w:top w:val="nil"/>
              <w:left w:val="nil"/>
              <w:bottom w:val="single" w:sz="4" w:space="0" w:color="auto"/>
              <w:right w:val="single" w:sz="4" w:space="0" w:color="auto"/>
            </w:tcBorders>
            <w:shd w:val="clear" w:color="auto" w:fill="auto"/>
            <w:noWrap/>
          </w:tcPr>
          <w:p w14:paraId="252A51A2" w14:textId="4A618445"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Calibri" w:eastAsia="Times New Roman" w:hAnsi="Calibri" w:cs="Times New Roman"/>
                <w:color w:val="1111FB"/>
              </w:rPr>
              <w:t>&lt;0.0</w:t>
            </w:r>
            <w:r>
              <w:rPr>
                <w:rFonts w:ascii="Calibri" w:eastAsia="Times New Roman" w:hAnsi="Calibri" w:cs="Times New Roman"/>
                <w:color w:val="1111FB"/>
              </w:rPr>
              <w:t>001</w:t>
            </w:r>
          </w:p>
        </w:tc>
      </w:tr>
      <w:tr w:rsidR="00E24187" w:rsidRPr="004F2D0C" w14:paraId="6E495C2D" w14:textId="77777777" w:rsidTr="554744CE">
        <w:trPr>
          <w:trHeight w:val="300"/>
          <w:jc w:val="center"/>
        </w:trPr>
        <w:tc>
          <w:tcPr>
            <w:tcW w:w="1287" w:type="dxa"/>
            <w:tcBorders>
              <w:top w:val="nil"/>
              <w:left w:val="single" w:sz="4" w:space="0" w:color="auto"/>
              <w:bottom w:val="single" w:sz="4" w:space="0" w:color="auto"/>
              <w:right w:val="single" w:sz="4" w:space="0" w:color="auto"/>
            </w:tcBorders>
          </w:tcPr>
          <w:p w14:paraId="0DF7221F" w14:textId="74355B03" w:rsidR="00E24187" w:rsidRPr="004F2D0C" w:rsidRDefault="00E24187" w:rsidP="00826E75">
            <w:pPr>
              <w:spacing w:after="0" w:line="240" w:lineRule="auto"/>
              <w:rPr>
                <w:rFonts w:ascii="Calibri" w:eastAsia="Times New Roman" w:hAnsi="Calibri" w:cs="Times New Roman"/>
                <w:color w:val="1111FB"/>
              </w:rPr>
            </w:pPr>
            <w:r w:rsidRPr="00D84CB3">
              <w:rPr>
                <w:rFonts w:cstheme="minorHAnsi"/>
                <w:bCs/>
                <w:color w:val="1111FB"/>
              </w:rPr>
              <w:t xml:space="preserve">Medicaid </w:t>
            </w:r>
          </w:p>
        </w:tc>
        <w:tc>
          <w:tcPr>
            <w:tcW w:w="551" w:type="dxa"/>
            <w:tcBorders>
              <w:top w:val="nil"/>
              <w:left w:val="nil"/>
              <w:bottom w:val="single" w:sz="4" w:space="0" w:color="auto"/>
              <w:right w:val="single" w:sz="4" w:space="0" w:color="auto"/>
            </w:tcBorders>
            <w:shd w:val="clear" w:color="auto" w:fill="auto"/>
            <w:noWrap/>
          </w:tcPr>
          <w:p w14:paraId="335507D1" w14:textId="6C063A23"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250</w:t>
            </w:r>
          </w:p>
        </w:tc>
        <w:tc>
          <w:tcPr>
            <w:tcW w:w="967" w:type="dxa"/>
            <w:tcBorders>
              <w:top w:val="nil"/>
              <w:left w:val="nil"/>
              <w:bottom w:val="single" w:sz="4" w:space="0" w:color="auto"/>
              <w:right w:val="single" w:sz="4" w:space="0" w:color="auto"/>
            </w:tcBorders>
            <w:shd w:val="clear" w:color="auto" w:fill="auto"/>
            <w:noWrap/>
          </w:tcPr>
          <w:p w14:paraId="6019A468" w14:textId="0D5FDF96"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48.74</w:t>
            </w:r>
          </w:p>
        </w:tc>
        <w:tc>
          <w:tcPr>
            <w:tcW w:w="927" w:type="dxa"/>
            <w:tcBorders>
              <w:top w:val="nil"/>
              <w:left w:val="nil"/>
              <w:bottom w:val="single" w:sz="4" w:space="0" w:color="auto"/>
              <w:right w:val="single" w:sz="4" w:space="0" w:color="auto"/>
            </w:tcBorders>
            <w:shd w:val="clear" w:color="auto" w:fill="auto"/>
            <w:noWrap/>
          </w:tcPr>
          <w:p w14:paraId="52C50E8F" w14:textId="37A0053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11.54</w:t>
            </w:r>
          </w:p>
        </w:tc>
        <w:tc>
          <w:tcPr>
            <w:tcW w:w="751" w:type="dxa"/>
            <w:tcBorders>
              <w:top w:val="nil"/>
              <w:left w:val="nil"/>
              <w:bottom w:val="single" w:sz="4" w:space="0" w:color="auto"/>
              <w:right w:val="single" w:sz="4" w:space="0" w:color="auto"/>
            </w:tcBorders>
            <w:shd w:val="clear" w:color="auto" w:fill="auto"/>
            <w:noWrap/>
          </w:tcPr>
          <w:p w14:paraId="6CCC698D" w14:textId="3213C016"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34.54</w:t>
            </w:r>
          </w:p>
        </w:tc>
        <w:tc>
          <w:tcPr>
            <w:tcW w:w="751" w:type="dxa"/>
            <w:tcBorders>
              <w:top w:val="nil"/>
              <w:left w:val="nil"/>
              <w:bottom w:val="single" w:sz="4" w:space="0" w:color="auto"/>
              <w:right w:val="single" w:sz="4" w:space="0" w:color="auto"/>
            </w:tcBorders>
            <w:shd w:val="clear" w:color="auto" w:fill="auto"/>
            <w:noWrap/>
          </w:tcPr>
          <w:p w14:paraId="78FA2BBF" w14:textId="3849730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44.04</w:t>
            </w:r>
          </w:p>
        </w:tc>
        <w:tc>
          <w:tcPr>
            <w:tcW w:w="751" w:type="dxa"/>
            <w:tcBorders>
              <w:top w:val="nil"/>
              <w:left w:val="nil"/>
              <w:bottom w:val="single" w:sz="4" w:space="0" w:color="auto"/>
              <w:right w:val="single" w:sz="4" w:space="0" w:color="auto"/>
            </w:tcBorders>
            <w:shd w:val="clear" w:color="auto" w:fill="auto"/>
            <w:noWrap/>
          </w:tcPr>
          <w:p w14:paraId="306D4363" w14:textId="51EEBA47"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51.22</w:t>
            </w:r>
          </w:p>
        </w:tc>
        <w:tc>
          <w:tcPr>
            <w:tcW w:w="751" w:type="dxa"/>
            <w:tcBorders>
              <w:top w:val="nil"/>
              <w:left w:val="nil"/>
              <w:bottom w:val="single" w:sz="4" w:space="0" w:color="auto"/>
              <w:right w:val="single" w:sz="4" w:space="0" w:color="auto"/>
            </w:tcBorders>
            <w:shd w:val="clear" w:color="auto" w:fill="auto"/>
            <w:noWrap/>
          </w:tcPr>
          <w:p w14:paraId="6ABEF053" w14:textId="06FCFE8E"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55.96</w:t>
            </w:r>
          </w:p>
        </w:tc>
        <w:tc>
          <w:tcPr>
            <w:tcW w:w="751" w:type="dxa"/>
            <w:tcBorders>
              <w:top w:val="nil"/>
              <w:left w:val="nil"/>
              <w:bottom w:val="single" w:sz="4" w:space="0" w:color="auto"/>
              <w:right w:val="single" w:sz="4" w:space="0" w:color="auto"/>
            </w:tcBorders>
            <w:shd w:val="clear" w:color="auto" w:fill="auto"/>
            <w:noWrap/>
          </w:tcPr>
          <w:p w14:paraId="3A16854E" w14:textId="1FF8F4CF"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60.68</w:t>
            </w:r>
          </w:p>
        </w:tc>
        <w:tc>
          <w:tcPr>
            <w:tcW w:w="751" w:type="dxa"/>
            <w:tcBorders>
              <w:top w:val="nil"/>
              <w:left w:val="nil"/>
              <w:bottom w:val="single" w:sz="4" w:space="0" w:color="auto"/>
              <w:right w:val="single" w:sz="4" w:space="0" w:color="auto"/>
            </w:tcBorders>
            <w:shd w:val="clear" w:color="auto" w:fill="auto"/>
            <w:noWrap/>
          </w:tcPr>
          <w:p w14:paraId="0D04E36C" w14:textId="550A0889"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11.92</w:t>
            </w:r>
          </w:p>
        </w:tc>
        <w:tc>
          <w:tcPr>
            <w:tcW w:w="1410" w:type="dxa"/>
            <w:tcBorders>
              <w:top w:val="nil"/>
              <w:left w:val="nil"/>
              <w:bottom w:val="single" w:sz="4" w:space="0" w:color="auto"/>
              <w:right w:val="single" w:sz="4" w:space="0" w:color="auto"/>
            </w:tcBorders>
            <w:shd w:val="clear" w:color="auto" w:fill="auto"/>
            <w:noWrap/>
          </w:tcPr>
          <w:p w14:paraId="0F9550CC" w14:textId="0DC74E3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Calibri" w:eastAsia="Times New Roman" w:hAnsi="Calibri" w:cs="Times New Roman"/>
                <w:color w:val="1111FB"/>
              </w:rPr>
              <w:t>&lt;0.0</w:t>
            </w:r>
            <w:r>
              <w:rPr>
                <w:rFonts w:ascii="Calibri" w:eastAsia="Times New Roman" w:hAnsi="Calibri" w:cs="Times New Roman"/>
                <w:color w:val="1111FB"/>
              </w:rPr>
              <w:t>001</w:t>
            </w:r>
          </w:p>
        </w:tc>
      </w:tr>
      <w:tr w:rsidR="00E24187" w:rsidRPr="004F2D0C" w14:paraId="39ADFF70" w14:textId="77777777" w:rsidTr="554744CE">
        <w:trPr>
          <w:trHeight w:val="300"/>
          <w:jc w:val="center"/>
        </w:trPr>
        <w:tc>
          <w:tcPr>
            <w:tcW w:w="1287" w:type="dxa"/>
            <w:tcBorders>
              <w:top w:val="nil"/>
              <w:left w:val="single" w:sz="4" w:space="0" w:color="auto"/>
              <w:bottom w:val="single" w:sz="4" w:space="0" w:color="auto"/>
              <w:right w:val="single" w:sz="4" w:space="0" w:color="auto"/>
            </w:tcBorders>
          </w:tcPr>
          <w:p w14:paraId="1B871A12" w14:textId="3DF17DDF" w:rsidR="00E24187" w:rsidRPr="004F2D0C" w:rsidRDefault="00E24187" w:rsidP="00826E75">
            <w:pPr>
              <w:spacing w:after="0" w:line="240" w:lineRule="auto"/>
              <w:rPr>
                <w:rFonts w:ascii="Calibri" w:eastAsia="Times New Roman" w:hAnsi="Calibri" w:cs="Times New Roman"/>
                <w:color w:val="1111FB"/>
              </w:rPr>
            </w:pPr>
            <w:r w:rsidRPr="00D84CB3">
              <w:rPr>
                <w:rFonts w:cstheme="minorHAnsi"/>
                <w:bCs/>
                <w:color w:val="1111FB"/>
              </w:rPr>
              <w:t>Medicare</w:t>
            </w:r>
          </w:p>
        </w:tc>
        <w:tc>
          <w:tcPr>
            <w:tcW w:w="551" w:type="dxa"/>
            <w:tcBorders>
              <w:top w:val="nil"/>
              <w:left w:val="nil"/>
              <w:bottom w:val="single" w:sz="4" w:space="0" w:color="auto"/>
              <w:right w:val="single" w:sz="4" w:space="0" w:color="auto"/>
            </w:tcBorders>
            <w:shd w:val="clear" w:color="auto" w:fill="auto"/>
            <w:noWrap/>
          </w:tcPr>
          <w:p w14:paraId="42B6E42D" w14:textId="5322C310"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477</w:t>
            </w:r>
          </w:p>
        </w:tc>
        <w:tc>
          <w:tcPr>
            <w:tcW w:w="967" w:type="dxa"/>
            <w:tcBorders>
              <w:top w:val="nil"/>
              <w:left w:val="nil"/>
              <w:bottom w:val="single" w:sz="4" w:space="0" w:color="auto"/>
              <w:right w:val="single" w:sz="4" w:space="0" w:color="auto"/>
            </w:tcBorders>
            <w:shd w:val="clear" w:color="auto" w:fill="auto"/>
            <w:noWrap/>
          </w:tcPr>
          <w:p w14:paraId="7D5C691C" w14:textId="32112D73"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66.69</w:t>
            </w:r>
          </w:p>
        </w:tc>
        <w:tc>
          <w:tcPr>
            <w:tcW w:w="927" w:type="dxa"/>
            <w:tcBorders>
              <w:top w:val="nil"/>
              <w:left w:val="nil"/>
              <w:bottom w:val="single" w:sz="4" w:space="0" w:color="auto"/>
              <w:right w:val="single" w:sz="4" w:space="0" w:color="auto"/>
            </w:tcBorders>
            <w:shd w:val="clear" w:color="auto" w:fill="auto"/>
            <w:noWrap/>
          </w:tcPr>
          <w:p w14:paraId="5D396469" w14:textId="10F46E9D"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11.52</w:t>
            </w:r>
          </w:p>
        </w:tc>
        <w:tc>
          <w:tcPr>
            <w:tcW w:w="751" w:type="dxa"/>
            <w:tcBorders>
              <w:top w:val="nil"/>
              <w:left w:val="nil"/>
              <w:bottom w:val="single" w:sz="4" w:space="0" w:color="auto"/>
              <w:right w:val="single" w:sz="4" w:space="0" w:color="auto"/>
            </w:tcBorders>
            <w:shd w:val="clear" w:color="auto" w:fill="auto"/>
            <w:noWrap/>
          </w:tcPr>
          <w:p w14:paraId="7DCDF91E" w14:textId="3ABCDCFE"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52.55</w:t>
            </w:r>
          </w:p>
        </w:tc>
        <w:tc>
          <w:tcPr>
            <w:tcW w:w="751" w:type="dxa"/>
            <w:tcBorders>
              <w:top w:val="nil"/>
              <w:left w:val="nil"/>
              <w:bottom w:val="single" w:sz="4" w:space="0" w:color="auto"/>
              <w:right w:val="single" w:sz="4" w:space="0" w:color="auto"/>
            </w:tcBorders>
            <w:shd w:val="clear" w:color="auto" w:fill="auto"/>
            <w:noWrap/>
          </w:tcPr>
          <w:p w14:paraId="61DAE018" w14:textId="74CE28E8"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62.53</w:t>
            </w:r>
          </w:p>
        </w:tc>
        <w:tc>
          <w:tcPr>
            <w:tcW w:w="751" w:type="dxa"/>
            <w:tcBorders>
              <w:top w:val="nil"/>
              <w:left w:val="nil"/>
              <w:bottom w:val="single" w:sz="4" w:space="0" w:color="auto"/>
              <w:right w:val="single" w:sz="4" w:space="0" w:color="auto"/>
            </w:tcBorders>
            <w:shd w:val="clear" w:color="auto" w:fill="auto"/>
            <w:noWrap/>
          </w:tcPr>
          <w:p w14:paraId="24D3DDA6" w14:textId="4E6D07C4"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69.59</w:t>
            </w:r>
          </w:p>
        </w:tc>
        <w:tc>
          <w:tcPr>
            <w:tcW w:w="751" w:type="dxa"/>
            <w:tcBorders>
              <w:top w:val="nil"/>
              <w:left w:val="nil"/>
              <w:bottom w:val="single" w:sz="4" w:space="0" w:color="auto"/>
              <w:right w:val="single" w:sz="4" w:space="0" w:color="auto"/>
            </w:tcBorders>
            <w:shd w:val="clear" w:color="auto" w:fill="auto"/>
            <w:noWrap/>
          </w:tcPr>
          <w:p w14:paraId="6EEAF67A" w14:textId="32BE347A"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73.97</w:t>
            </w:r>
          </w:p>
        </w:tc>
        <w:tc>
          <w:tcPr>
            <w:tcW w:w="751" w:type="dxa"/>
            <w:tcBorders>
              <w:top w:val="nil"/>
              <w:left w:val="nil"/>
              <w:bottom w:val="single" w:sz="4" w:space="0" w:color="auto"/>
              <w:right w:val="single" w:sz="4" w:space="0" w:color="auto"/>
            </w:tcBorders>
            <w:shd w:val="clear" w:color="auto" w:fill="auto"/>
            <w:noWrap/>
          </w:tcPr>
          <w:p w14:paraId="46FEA9F8" w14:textId="2CD45ED9"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77.88</w:t>
            </w:r>
          </w:p>
        </w:tc>
        <w:tc>
          <w:tcPr>
            <w:tcW w:w="751" w:type="dxa"/>
            <w:tcBorders>
              <w:top w:val="nil"/>
              <w:left w:val="nil"/>
              <w:bottom w:val="single" w:sz="4" w:space="0" w:color="auto"/>
              <w:right w:val="single" w:sz="4" w:space="0" w:color="auto"/>
            </w:tcBorders>
            <w:shd w:val="clear" w:color="auto" w:fill="auto"/>
            <w:noWrap/>
          </w:tcPr>
          <w:p w14:paraId="32CB6E7B" w14:textId="7CF648DB"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Tahoma" w:hAnsi="Tahoma" w:cs="Tahoma"/>
                <w:color w:val="1111FB"/>
                <w:sz w:val="20"/>
                <w:szCs w:val="20"/>
              </w:rPr>
              <w:t>11.44</w:t>
            </w:r>
          </w:p>
        </w:tc>
        <w:tc>
          <w:tcPr>
            <w:tcW w:w="1410" w:type="dxa"/>
            <w:tcBorders>
              <w:top w:val="nil"/>
              <w:left w:val="nil"/>
              <w:bottom w:val="single" w:sz="4" w:space="0" w:color="auto"/>
              <w:right w:val="single" w:sz="4" w:space="0" w:color="auto"/>
            </w:tcBorders>
            <w:shd w:val="clear" w:color="auto" w:fill="auto"/>
            <w:noWrap/>
          </w:tcPr>
          <w:p w14:paraId="415A20ED" w14:textId="6CD03D40" w:rsidR="00E24187" w:rsidRPr="004F2D0C" w:rsidRDefault="00E24187" w:rsidP="00826E75">
            <w:pPr>
              <w:spacing w:after="0" w:line="240" w:lineRule="auto"/>
              <w:jc w:val="center"/>
              <w:rPr>
                <w:rFonts w:ascii="Calibri" w:eastAsia="Times New Roman" w:hAnsi="Calibri" w:cs="Times New Roman"/>
                <w:color w:val="1111FB"/>
              </w:rPr>
            </w:pPr>
            <w:r w:rsidRPr="004F2D0C">
              <w:rPr>
                <w:rFonts w:ascii="Calibri" w:eastAsia="Times New Roman" w:hAnsi="Calibri" w:cs="Times New Roman"/>
                <w:color w:val="1111FB"/>
              </w:rPr>
              <w:t>&lt;0.0</w:t>
            </w:r>
            <w:r>
              <w:rPr>
                <w:rFonts w:ascii="Calibri" w:eastAsia="Times New Roman" w:hAnsi="Calibri" w:cs="Times New Roman"/>
                <w:color w:val="1111FB"/>
              </w:rPr>
              <w:t>001</w:t>
            </w:r>
          </w:p>
        </w:tc>
      </w:tr>
    </w:tbl>
    <w:p w14:paraId="632D2F45" w14:textId="77777777" w:rsidR="00426B9E" w:rsidRPr="004F2D0C" w:rsidRDefault="00426B9E" w:rsidP="00426B9E">
      <w:pPr>
        <w:autoSpaceDE w:val="0"/>
        <w:autoSpaceDN w:val="0"/>
        <w:adjustRightInd w:val="0"/>
        <w:spacing w:after="0" w:line="240" w:lineRule="auto"/>
        <w:rPr>
          <w:color w:val="1111FB"/>
        </w:rPr>
      </w:pPr>
      <w:r w:rsidRPr="004F2D0C">
        <w:rPr>
          <w:color w:val="1111FB"/>
        </w:rPr>
        <w:t>N = total number of plans reporting data</w:t>
      </w:r>
    </w:p>
    <w:p w14:paraId="577B6420" w14:textId="77777777" w:rsidR="00426B9E" w:rsidRPr="004F2D0C" w:rsidRDefault="00426B9E" w:rsidP="00426B9E">
      <w:pPr>
        <w:autoSpaceDE w:val="0"/>
        <w:autoSpaceDN w:val="0"/>
        <w:adjustRightInd w:val="0"/>
        <w:spacing w:after="0" w:line="240" w:lineRule="auto"/>
        <w:rPr>
          <w:color w:val="1111FB"/>
        </w:rPr>
      </w:pPr>
      <w:r w:rsidRPr="004F2D0C">
        <w:rPr>
          <w:color w:val="1111FB"/>
        </w:rPr>
        <w:t>IQR: Interquartile range</w:t>
      </w:r>
    </w:p>
    <w:p w14:paraId="43CB8A15" w14:textId="28431DDB" w:rsidR="00AD604B" w:rsidRDefault="00426B9E" w:rsidP="00AD604B">
      <w:pPr>
        <w:widowControl w:val="0"/>
        <w:spacing w:after="0" w:line="240" w:lineRule="auto"/>
        <w:rPr>
          <w:color w:val="1111FB"/>
        </w:rPr>
      </w:pPr>
      <w:r w:rsidRPr="004F2D0C">
        <w:rPr>
          <w:color w:val="1111FB"/>
        </w:rPr>
        <w:t>p-value: p value of independent samples t-test comparing plans at the 25</w:t>
      </w:r>
      <w:r w:rsidRPr="004F2D0C">
        <w:rPr>
          <w:color w:val="1111FB"/>
          <w:vertAlign w:val="superscript"/>
        </w:rPr>
        <w:t>th</w:t>
      </w:r>
      <w:r w:rsidRPr="004F2D0C">
        <w:rPr>
          <w:color w:val="1111FB"/>
        </w:rPr>
        <w:t xml:space="preserve"> percentile to plans at the 75</w:t>
      </w:r>
      <w:r w:rsidRPr="004F2D0C">
        <w:rPr>
          <w:color w:val="1111FB"/>
          <w:vertAlign w:val="superscript"/>
        </w:rPr>
        <w:t>th</w:t>
      </w:r>
      <w:r w:rsidRPr="004F2D0C">
        <w:rPr>
          <w:color w:val="1111FB"/>
        </w:rPr>
        <w:t xml:space="preserve"> percentile</w:t>
      </w:r>
    </w:p>
    <w:p w14:paraId="31DD1E38" w14:textId="0ADD2503" w:rsidR="00AD604B" w:rsidRDefault="00AD604B" w:rsidP="00AD604B">
      <w:pPr>
        <w:widowControl w:val="0"/>
        <w:spacing w:after="0" w:line="240" w:lineRule="auto"/>
        <w:rPr>
          <w:color w:val="1111FB"/>
        </w:rPr>
      </w:pPr>
    </w:p>
    <w:p w14:paraId="60E18F52" w14:textId="59314992" w:rsidR="00AD604B" w:rsidRPr="00AD604B" w:rsidRDefault="00AD604B" w:rsidP="00AD604B">
      <w:pPr>
        <w:widowControl w:val="0"/>
        <w:spacing w:after="0" w:line="240" w:lineRule="auto"/>
        <w:rPr>
          <w:color w:val="1111FB"/>
        </w:rPr>
      </w:pPr>
      <w:r>
        <w:rPr>
          <w:color w:val="1111FB"/>
        </w:rPr>
        <w:t>Box plots for HEDIS 2019 (Measurement year 2018) Variation in Performance Across Health Plans are included below for your reference.</w:t>
      </w:r>
    </w:p>
    <w:p w14:paraId="23C5A3B8" w14:textId="730900EB" w:rsidR="00A37536" w:rsidRPr="002C7846" w:rsidRDefault="000D5C01" w:rsidP="002C7846">
      <w:pPr>
        <w:autoSpaceDE w:val="0"/>
        <w:autoSpaceDN w:val="0"/>
        <w:adjustRightInd w:val="0"/>
        <w:spacing w:after="0" w:line="240" w:lineRule="auto"/>
        <w:rPr>
          <w:rFonts w:cstheme="minorHAnsi"/>
          <w:bCs/>
        </w:rPr>
      </w:pPr>
      <w:r>
        <w:rPr>
          <w:rFonts w:cstheme="minorHAnsi"/>
          <w:bCs/>
          <w:noProof/>
        </w:rPr>
        <w:drawing>
          <wp:inline distT="0" distB="0" distL="0" distR="0" wp14:anchorId="1F9BBE14" wp14:editId="1A3B76DD">
            <wp:extent cx="4988885" cy="3741663"/>
            <wp:effectExtent l="19050" t="19050" r="2159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4992031" cy="3744023"/>
                    </a:xfrm>
                    <a:prstGeom prst="rect">
                      <a:avLst/>
                    </a:prstGeom>
                    <a:noFill/>
                    <a:ln>
                      <a:solidFill>
                        <a:schemeClr val="tx1"/>
                      </a:solidFill>
                    </a:ln>
                  </pic:spPr>
                </pic:pic>
              </a:graphicData>
            </a:graphic>
          </wp:inline>
        </w:drawing>
      </w:r>
    </w:p>
    <w:p w14:paraId="4DB17457" w14:textId="77777777" w:rsidR="000D5C01" w:rsidRDefault="000D5C01" w:rsidP="000D5C01">
      <w:pPr>
        <w:autoSpaceDE w:val="0"/>
        <w:autoSpaceDN w:val="0"/>
        <w:adjustRightInd w:val="0"/>
        <w:spacing w:after="0" w:line="240" w:lineRule="auto"/>
        <w:rPr>
          <w:rFonts w:cstheme="minorHAnsi"/>
          <w:bCs/>
        </w:rPr>
      </w:pPr>
      <w:r>
        <w:rPr>
          <w:rFonts w:cstheme="minorHAnsi"/>
          <w:bCs/>
          <w:noProof/>
        </w:rPr>
        <w:lastRenderedPageBreak/>
        <w:drawing>
          <wp:inline distT="0" distB="0" distL="0" distR="0" wp14:anchorId="5B5D4481" wp14:editId="64557191">
            <wp:extent cx="4840029" cy="3630021"/>
            <wp:effectExtent l="19050" t="19050" r="17780"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tretch>
                      <a:fillRect/>
                    </a:stretch>
                  </pic:blipFill>
                  <pic:spPr bwMode="auto">
                    <a:xfrm>
                      <a:off x="0" y="0"/>
                      <a:ext cx="4844769" cy="3633576"/>
                    </a:xfrm>
                    <a:prstGeom prst="rect">
                      <a:avLst/>
                    </a:prstGeom>
                    <a:noFill/>
                    <a:ln>
                      <a:solidFill>
                        <a:schemeClr val="tx1"/>
                      </a:solidFill>
                    </a:ln>
                  </pic:spPr>
                </pic:pic>
              </a:graphicData>
            </a:graphic>
          </wp:inline>
        </w:drawing>
      </w:r>
    </w:p>
    <w:p w14:paraId="45C5F89F" w14:textId="77777777" w:rsidR="00263606" w:rsidRDefault="00263606" w:rsidP="000D5C01">
      <w:pPr>
        <w:autoSpaceDE w:val="0"/>
        <w:autoSpaceDN w:val="0"/>
        <w:adjustRightInd w:val="0"/>
        <w:spacing w:after="0" w:line="240" w:lineRule="auto"/>
        <w:rPr>
          <w:rFonts w:cstheme="minorHAnsi"/>
          <w:bCs/>
        </w:rPr>
      </w:pPr>
    </w:p>
    <w:p w14:paraId="620E3238" w14:textId="09FE2A44" w:rsidR="00263606" w:rsidRDefault="00263606" w:rsidP="000D5C01">
      <w:pPr>
        <w:autoSpaceDE w:val="0"/>
        <w:autoSpaceDN w:val="0"/>
        <w:adjustRightInd w:val="0"/>
        <w:spacing w:after="0" w:line="240" w:lineRule="auto"/>
        <w:rPr>
          <w:rFonts w:cstheme="minorHAnsi"/>
          <w:bCs/>
        </w:rPr>
      </w:pPr>
      <w:r w:rsidRPr="00263606">
        <w:rPr>
          <w:rFonts w:cstheme="minorHAnsi"/>
          <w:bCs/>
          <w:noProof/>
        </w:rPr>
        <w:drawing>
          <wp:inline distT="0" distB="0" distL="0" distR="0" wp14:anchorId="31FDF98A" wp14:editId="602DCE7B">
            <wp:extent cx="4912151" cy="3678865"/>
            <wp:effectExtent l="0" t="0" r="3175" b="0"/>
            <wp:docPr id="2" name="Picture 2" descr="H:\QMRG\Analysis Outputs\FYA REEVAL 2019\CDC\Medicare\boxplot_medicare_cdc_34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MRG\Analysis Outputs\FYA REEVAL 2019\CDC\Medicare\boxplot_medicare_cdc_3418.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19073" cy="3684049"/>
                    </a:xfrm>
                    <a:prstGeom prst="rect">
                      <a:avLst/>
                    </a:prstGeom>
                    <a:noFill/>
                    <a:ln>
                      <a:noFill/>
                    </a:ln>
                  </pic:spPr>
                </pic:pic>
              </a:graphicData>
            </a:graphic>
          </wp:inline>
        </w:drawing>
      </w:r>
    </w:p>
    <w:p w14:paraId="27616D8B" w14:textId="77777777" w:rsidR="000D5C01" w:rsidRPr="000D5C01" w:rsidRDefault="000D5C01" w:rsidP="000D5C01">
      <w:pPr>
        <w:autoSpaceDE w:val="0"/>
        <w:autoSpaceDN w:val="0"/>
        <w:adjustRightInd w:val="0"/>
        <w:spacing w:after="0" w:line="240" w:lineRule="auto"/>
        <w:rPr>
          <w:rFonts w:cstheme="minorHAnsi"/>
          <w:bCs/>
          <w:color w:val="1111FB"/>
        </w:rPr>
      </w:pPr>
    </w:p>
    <w:p w14:paraId="600A9607" w14:textId="1767D43E" w:rsidR="008949E8" w:rsidRPr="00125E44" w:rsidRDefault="009C7513" w:rsidP="008949E8">
      <w:pPr>
        <w:autoSpaceDE w:val="0"/>
        <w:autoSpaceDN w:val="0"/>
        <w:adjustRightInd w:val="0"/>
        <w:spacing w:after="0" w:line="240" w:lineRule="auto"/>
        <w:rPr>
          <w:rFonts w:cstheme="minorHAnsi"/>
          <w:bCs/>
          <w:color w:val="1111FB"/>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8949E8" w:rsidRPr="00125E44">
        <w:rPr>
          <w:color w:val="1111FB"/>
        </w:rPr>
        <w:lastRenderedPageBreak/>
        <w:t>The results above indicate there is meaningful difference in performance. Across all product lines, the difference between the 25</w:t>
      </w:r>
      <w:r w:rsidR="008949E8" w:rsidRPr="00125E44">
        <w:rPr>
          <w:color w:val="1111FB"/>
          <w:vertAlign w:val="superscript"/>
        </w:rPr>
        <w:t>th</w:t>
      </w:r>
      <w:r w:rsidR="008949E8" w:rsidRPr="00125E44">
        <w:rPr>
          <w:color w:val="1111FB"/>
        </w:rPr>
        <w:t xml:space="preserve"> and 75</w:t>
      </w:r>
      <w:r w:rsidR="008949E8" w:rsidRPr="00125E44">
        <w:rPr>
          <w:color w:val="1111FB"/>
          <w:vertAlign w:val="superscript"/>
        </w:rPr>
        <w:t>th</w:t>
      </w:r>
      <w:r w:rsidR="008949E8" w:rsidRPr="00125E44">
        <w:rPr>
          <w:color w:val="1111FB"/>
        </w:rPr>
        <w:t xml:space="preserve"> percentile</w:t>
      </w:r>
      <w:r w:rsidR="00867860" w:rsidRPr="00125E44">
        <w:rPr>
          <w:color w:val="1111FB"/>
        </w:rPr>
        <w:t xml:space="preserve"> (better performance)</w:t>
      </w:r>
      <w:r w:rsidR="008949E8" w:rsidRPr="00125E44">
        <w:rPr>
          <w:color w:val="1111FB"/>
        </w:rPr>
        <w:t xml:space="preserve"> is statistically significant.</w:t>
      </w:r>
    </w:p>
    <w:p w14:paraId="43243B7A" w14:textId="77777777" w:rsidR="008949E8" w:rsidRPr="00125E44" w:rsidRDefault="008949E8" w:rsidP="00D61410">
      <w:pPr>
        <w:autoSpaceDE w:val="0"/>
        <w:autoSpaceDN w:val="0"/>
        <w:adjustRightInd w:val="0"/>
        <w:spacing w:after="0" w:line="240" w:lineRule="auto"/>
        <w:rPr>
          <w:rFonts w:cstheme="minorHAnsi"/>
          <w:bCs/>
          <w:color w:val="1111FB"/>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5CD4F820" w14:textId="77777777" w:rsidR="00694BDA" w:rsidRPr="00AF0B95" w:rsidRDefault="00694BDA" w:rsidP="006E0953">
      <w:pPr>
        <w:autoSpaceDE w:val="0"/>
        <w:autoSpaceDN w:val="0"/>
        <w:adjustRightInd w:val="0"/>
        <w:spacing w:after="0" w:line="240" w:lineRule="auto"/>
        <w:rPr>
          <w:rFonts w:cstheme="minorHAnsi"/>
          <w:b/>
        </w:rPr>
      </w:pPr>
      <w:r w:rsidRPr="00AF0B95">
        <w:rPr>
          <w:rFonts w:cstheme="minorHAnsi"/>
          <w:b/>
        </w:rPr>
        <w:t xml:space="preserve">2b5. COMPARABILITY OF PERFORMANCE SCORES WHEN MORE THAN ONE SET OF SPECIFICATIONS </w:t>
      </w:r>
    </w:p>
    <w:p w14:paraId="0CABD00F" w14:textId="77777777" w:rsidR="00567D12" w:rsidRPr="00AF0B95" w:rsidRDefault="00567D12" w:rsidP="006E0953">
      <w:pPr>
        <w:spacing w:after="0" w:line="240" w:lineRule="auto"/>
        <w:rPr>
          <w:rFonts w:cstheme="minorHAnsi"/>
          <w:b/>
          <w:bCs/>
        </w:rPr>
      </w:pPr>
      <w:r w:rsidRPr="00AF0B95">
        <w:rPr>
          <w:rFonts w:cstheme="minorHAnsi"/>
          <w:b/>
          <w:bCs/>
          <w:i/>
          <w:highlight w:val="green"/>
        </w:rPr>
        <w:t xml:space="preserve">If only one set of specifications, this section can be </w:t>
      </w:r>
      <w:r w:rsidR="00BE592D" w:rsidRPr="00AF0B95">
        <w:rPr>
          <w:rFonts w:cstheme="minorHAnsi"/>
          <w:b/>
          <w:bCs/>
          <w:i/>
          <w:highlight w:val="green"/>
        </w:rPr>
        <w:t>skipped</w:t>
      </w:r>
      <w:r w:rsidR="00BE592D" w:rsidRPr="00AF0B95">
        <w:rPr>
          <w:rFonts w:cstheme="minorHAnsi"/>
          <w:b/>
          <w:bCs/>
          <w:i/>
        </w:rPr>
        <w:t>.</w:t>
      </w:r>
    </w:p>
    <w:p w14:paraId="0CABD010" w14:textId="77777777" w:rsidR="00567D12" w:rsidRPr="00AF0B95" w:rsidRDefault="00567D12" w:rsidP="006E0953">
      <w:pPr>
        <w:autoSpaceDE w:val="0"/>
        <w:autoSpaceDN w:val="0"/>
        <w:adjustRightInd w:val="0"/>
        <w:spacing w:after="0" w:line="240" w:lineRule="auto"/>
        <w:rPr>
          <w:rFonts w:cstheme="minorHAnsi"/>
          <w:b/>
          <w:bCs/>
        </w:rPr>
      </w:pPr>
    </w:p>
    <w:p w14:paraId="0CABD011" w14:textId="52777D4F" w:rsidR="00052A6F" w:rsidRPr="00AF0B95" w:rsidRDefault="002B2116" w:rsidP="006E0953">
      <w:pPr>
        <w:autoSpaceDE w:val="0"/>
        <w:autoSpaceDN w:val="0"/>
        <w:adjustRightInd w:val="0"/>
        <w:spacing w:after="0" w:line="240" w:lineRule="auto"/>
        <w:rPr>
          <w:rFonts w:cstheme="minorHAnsi"/>
          <w:bCs/>
          <w:i/>
        </w:rPr>
      </w:pPr>
      <w:r w:rsidRPr="00AF0B95">
        <w:rPr>
          <w:rFonts w:cstheme="minorHAnsi"/>
          <w:b/>
          <w:bCs/>
          <w:u w:val="single"/>
        </w:rPr>
        <w:t>Note</w:t>
      </w:r>
      <w:r w:rsidRPr="00AF0B95">
        <w:rPr>
          <w:rFonts w:cstheme="minorHAnsi"/>
          <w:bCs/>
          <w:i/>
        </w:rPr>
        <w:t xml:space="preserve">: </w:t>
      </w:r>
      <w:r w:rsidR="00F1412B" w:rsidRPr="00AF0B95">
        <w:rPr>
          <w:rFonts w:eastAsiaTheme="minorHAnsi" w:cstheme="minorHAnsi"/>
          <w:i/>
          <w:iCs/>
        </w:rPr>
        <w:t xml:space="preserve">This item is directed to measures that are risk-adjusted (with or without </w:t>
      </w:r>
      <w:r w:rsidR="00AF2D68" w:rsidRPr="00AF0B95">
        <w:rPr>
          <w:rFonts w:eastAsiaTheme="minorHAnsi" w:cstheme="minorHAnsi"/>
          <w:i/>
          <w:iCs/>
        </w:rPr>
        <w:t>social risk</w:t>
      </w:r>
      <w:r w:rsidR="00F1412B" w:rsidRPr="00AF0B95">
        <w:rPr>
          <w:rFonts w:eastAsiaTheme="minorHAnsi" w:cstheme="minorHAnsi"/>
          <w:i/>
          <w:iCs/>
        </w:rPr>
        <w:t xml:space="preserve"> factors) </w:t>
      </w:r>
      <w:r w:rsidR="00F1412B" w:rsidRPr="00AF0B95">
        <w:rPr>
          <w:rFonts w:eastAsiaTheme="minorHAnsi" w:cstheme="minorHAnsi"/>
          <w:b/>
          <w:i/>
          <w:iCs/>
        </w:rPr>
        <w:t>OR</w:t>
      </w:r>
      <w:r w:rsidR="00F1412B" w:rsidRPr="00AF0B95">
        <w:rPr>
          <w:rFonts w:eastAsiaTheme="minorHAnsi" w:cstheme="minorHAnsi"/>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AF0B95">
        <w:rPr>
          <w:rFonts w:eastAsiaTheme="minorHAnsi" w:cstheme="minorHAnsi"/>
          <w:b/>
          <w:bCs/>
          <w:i/>
          <w:iCs/>
        </w:rPr>
        <w:t xml:space="preserve">Comparability is not required when comparing performance scores with and without </w:t>
      </w:r>
      <w:r w:rsidR="00AF2D68" w:rsidRPr="00AF0B95">
        <w:rPr>
          <w:rFonts w:eastAsiaTheme="minorHAnsi" w:cstheme="minorHAnsi"/>
          <w:b/>
          <w:bCs/>
          <w:i/>
          <w:iCs/>
        </w:rPr>
        <w:t>social risk</w:t>
      </w:r>
      <w:r w:rsidR="00F1412B" w:rsidRPr="00AF0B95">
        <w:rPr>
          <w:rFonts w:eastAsiaTheme="minorHAnsi" w:cstheme="minorHAnsi"/>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4C134098" w:rsidR="000F06B5" w:rsidRDefault="006152F3" w:rsidP="006E0953">
      <w:pPr>
        <w:autoSpaceDE w:val="0"/>
        <w:autoSpaceDN w:val="0"/>
        <w:adjustRightInd w:val="0"/>
        <w:spacing w:after="0" w:line="240" w:lineRule="auto"/>
        <w:rPr>
          <w:rFonts w:cstheme="minorHAnsi"/>
          <w:bCs/>
          <w:color w:val="1111FB"/>
        </w:rPr>
      </w:pPr>
      <w:r>
        <w:rPr>
          <w:rFonts w:cstheme="minorHAnsi"/>
          <w:bCs/>
          <w:color w:val="1111FB"/>
        </w:rPr>
        <w:t xml:space="preserve">The Comprehensive Diabetes Care: HbA1c Control (&lt;8.0%) measure has only one set of specifications. </w:t>
      </w:r>
    </w:p>
    <w:p w14:paraId="7420F8A6" w14:textId="77777777" w:rsidR="006152F3" w:rsidRPr="006152F3" w:rsidRDefault="006152F3" w:rsidP="006E0953">
      <w:pPr>
        <w:autoSpaceDE w:val="0"/>
        <w:autoSpaceDN w:val="0"/>
        <w:adjustRightInd w:val="0"/>
        <w:spacing w:after="0" w:line="240" w:lineRule="auto"/>
        <w:rPr>
          <w:rFonts w:cstheme="minorHAnsi"/>
          <w:bCs/>
          <w:color w:val="1111FB"/>
        </w:rPr>
      </w:pPr>
    </w:p>
    <w:p w14:paraId="0CABD014" w14:textId="670A1C8D" w:rsidR="000F06B5" w:rsidRPr="006152F3" w:rsidRDefault="009C7513" w:rsidP="006E0953">
      <w:pPr>
        <w:autoSpaceDE w:val="0"/>
        <w:autoSpaceDN w:val="0"/>
        <w:adjustRightInd w:val="0"/>
        <w:spacing w:after="0" w:line="240" w:lineRule="auto"/>
        <w:rPr>
          <w:rFonts w:cstheme="minorHAnsi"/>
          <w:bCs/>
          <w:color w:val="1111FB"/>
        </w:rPr>
      </w:pPr>
      <w:r w:rsidRPr="00AF0B95">
        <w:rPr>
          <w:rFonts w:cstheme="minorHAnsi"/>
          <w:b/>
          <w:bCs/>
        </w:rPr>
        <w:t>2b5</w:t>
      </w:r>
      <w:r w:rsidR="00E1508F" w:rsidRPr="00AF0B95">
        <w:rPr>
          <w:rFonts w:cstheme="minorHAnsi"/>
          <w:b/>
          <w:bCs/>
        </w:rPr>
        <w:t xml:space="preserve">.1. </w:t>
      </w:r>
      <w:r w:rsidR="008871A9" w:rsidRPr="00AF0B95">
        <w:rPr>
          <w:rFonts w:cstheme="minorHAnsi"/>
          <w:b/>
          <w:bCs/>
        </w:rPr>
        <w:t xml:space="preserve">Describe the method of </w:t>
      </w:r>
      <w:r w:rsidR="000F06B5" w:rsidRPr="00AF0B95">
        <w:rPr>
          <w:rFonts w:cstheme="minorHAnsi"/>
          <w:b/>
          <w:bCs/>
        </w:rPr>
        <w:t>testing conducted</w:t>
      </w:r>
      <w:r w:rsidR="008871A9" w:rsidRPr="00AF0B95">
        <w:rPr>
          <w:rFonts w:cstheme="minorHAnsi"/>
          <w:b/>
          <w:bCs/>
        </w:rPr>
        <w:t xml:space="preserve"> to </w:t>
      </w:r>
      <w:r w:rsidR="00F1412B" w:rsidRPr="00AF0B95">
        <w:rPr>
          <w:rFonts w:cstheme="minorHAnsi"/>
          <w:b/>
          <w:bCs/>
        </w:rPr>
        <w:t>compare</w:t>
      </w:r>
      <w:r w:rsidR="004B6CEE" w:rsidRPr="00AF0B95">
        <w:rPr>
          <w:rFonts w:cstheme="minorHAnsi"/>
          <w:b/>
          <w:bCs/>
        </w:rPr>
        <w:t xml:space="preserve"> performance scores </w:t>
      </w:r>
      <w:r w:rsidR="00A35F8F" w:rsidRPr="00AF0B95">
        <w:rPr>
          <w:rFonts w:cstheme="minorHAnsi"/>
          <w:b/>
          <w:bCs/>
        </w:rPr>
        <w:t xml:space="preserve">for the same entities </w:t>
      </w:r>
      <w:r w:rsidR="00287649" w:rsidRPr="00AF0B95">
        <w:rPr>
          <w:rFonts w:cstheme="minorHAnsi"/>
          <w:b/>
          <w:bCs/>
        </w:rPr>
        <w:t xml:space="preserve">across the different </w:t>
      </w:r>
      <w:r w:rsidR="00864CA8" w:rsidRPr="00AF0B95">
        <w:rPr>
          <w:rFonts w:cstheme="minorHAnsi"/>
          <w:b/>
          <w:bCs/>
        </w:rPr>
        <w:t>data</w:t>
      </w:r>
      <w:r w:rsidR="0028114D" w:rsidRPr="00AF0B95">
        <w:rPr>
          <w:rFonts w:cstheme="minorHAnsi"/>
          <w:b/>
          <w:bCs/>
        </w:rPr>
        <w:t xml:space="preserve"> </w:t>
      </w:r>
      <w:r w:rsidR="00864CA8" w:rsidRPr="00AF0B95">
        <w:rPr>
          <w:rFonts w:cstheme="minorHAnsi"/>
          <w:b/>
          <w:bCs/>
        </w:rPr>
        <w:t>sources/</w:t>
      </w:r>
      <w:r w:rsidR="00287649" w:rsidRPr="00AF0B95">
        <w:rPr>
          <w:rFonts w:cstheme="minorHAnsi"/>
          <w:b/>
          <w:bCs/>
        </w:rPr>
        <w:t>specifications</w:t>
      </w:r>
      <w:r w:rsidR="000F06B5" w:rsidRPr="00AF0B95">
        <w:rPr>
          <w:rFonts w:cstheme="minorHAnsi"/>
          <w:bCs/>
        </w:rPr>
        <w:t xml:space="preserve"> (</w:t>
      </w:r>
      <w:r w:rsidR="008871A9" w:rsidRPr="00AF0B95">
        <w:rPr>
          <w:rFonts w:cstheme="minorHAnsi"/>
          <w:bCs/>
          <w:i/>
        </w:rPr>
        <w:t>describe the steps―do not just name a method</w:t>
      </w:r>
      <w:r w:rsidR="006C3A4F" w:rsidRPr="00AF0B95">
        <w:rPr>
          <w:rFonts w:cstheme="minorHAnsi"/>
          <w:bCs/>
          <w:i/>
        </w:rPr>
        <w:t>; what statistical analysis was used</w:t>
      </w:r>
      <w:r w:rsidR="000F06B5" w:rsidRPr="00AF0B95">
        <w:rPr>
          <w:rFonts w:cstheme="minorHAnsi"/>
          <w:bCs/>
        </w:rPr>
        <w:t>)</w:t>
      </w:r>
      <w:r w:rsidR="000F06B5" w:rsidRPr="00AF0B95">
        <w:rPr>
          <w:rFonts w:cstheme="minorHAnsi"/>
          <w:bCs/>
        </w:rPr>
        <w:br/>
      </w:r>
      <w:r w:rsidR="006152F3">
        <w:rPr>
          <w:rFonts w:cstheme="minorHAnsi"/>
          <w:bCs/>
          <w:color w:val="1111FB"/>
        </w:rPr>
        <w:t>N/A</w:t>
      </w:r>
    </w:p>
    <w:p w14:paraId="25035AA1" w14:textId="77777777" w:rsidR="006152F3" w:rsidRPr="00AF0B95" w:rsidRDefault="006152F3" w:rsidP="006E0953">
      <w:pPr>
        <w:autoSpaceDE w:val="0"/>
        <w:autoSpaceDN w:val="0"/>
        <w:adjustRightInd w:val="0"/>
        <w:spacing w:after="0" w:line="240" w:lineRule="auto"/>
        <w:rPr>
          <w:rFonts w:cstheme="minorHAnsi"/>
          <w:bCs/>
        </w:rPr>
      </w:pPr>
    </w:p>
    <w:p w14:paraId="0CABD016" w14:textId="594A7812" w:rsidR="00E1508F" w:rsidRDefault="009C7513" w:rsidP="006E0953">
      <w:pPr>
        <w:autoSpaceDE w:val="0"/>
        <w:autoSpaceDN w:val="0"/>
        <w:adjustRightInd w:val="0"/>
        <w:spacing w:after="0" w:line="240" w:lineRule="auto"/>
        <w:rPr>
          <w:rFonts w:cstheme="minorHAnsi"/>
          <w:bCs/>
          <w:color w:val="1111FB"/>
        </w:rPr>
      </w:pPr>
      <w:r w:rsidRPr="00AF0B95">
        <w:rPr>
          <w:rFonts w:cstheme="minorHAnsi"/>
          <w:b/>
          <w:bCs/>
        </w:rPr>
        <w:t>2b5</w:t>
      </w:r>
      <w:r w:rsidR="00E1508F" w:rsidRPr="00AF0B95">
        <w:rPr>
          <w:rFonts w:cstheme="minorHAnsi"/>
          <w:b/>
          <w:bCs/>
        </w:rPr>
        <w:t xml:space="preserve">.2. </w:t>
      </w:r>
      <w:r w:rsidR="000F06B5" w:rsidRPr="00AF0B95">
        <w:rPr>
          <w:rFonts w:cstheme="minorHAnsi"/>
          <w:b/>
          <w:bCs/>
        </w:rPr>
        <w:t xml:space="preserve">What were the statistical results </w:t>
      </w:r>
      <w:r w:rsidR="00A35F8F" w:rsidRPr="00AF0B95">
        <w:rPr>
          <w:rFonts w:cstheme="minorHAnsi"/>
          <w:b/>
          <w:bCs/>
        </w:rPr>
        <w:t>from testing</w:t>
      </w:r>
      <w:r w:rsidR="000F06B5" w:rsidRPr="00AF0B95">
        <w:rPr>
          <w:rFonts w:cstheme="minorHAnsi"/>
          <w:b/>
          <w:bCs/>
        </w:rPr>
        <w:t xml:space="preserve"> comparability of performance scores for the same entities when using different </w:t>
      </w:r>
      <w:r w:rsidR="00864CA8" w:rsidRPr="00AF0B95">
        <w:rPr>
          <w:rFonts w:cstheme="minorHAnsi"/>
          <w:b/>
          <w:bCs/>
        </w:rPr>
        <w:t>data sources/</w:t>
      </w:r>
      <w:r w:rsidR="000F06B5" w:rsidRPr="00AF0B95">
        <w:rPr>
          <w:rFonts w:cstheme="minorHAnsi"/>
          <w:b/>
          <w:bCs/>
        </w:rPr>
        <w:t>specifications?</w:t>
      </w:r>
      <w:r w:rsidR="000F06B5" w:rsidRPr="00AF0B95">
        <w:rPr>
          <w:rFonts w:cstheme="minorHAnsi"/>
          <w:bCs/>
        </w:rPr>
        <w:t xml:space="preserve"> </w:t>
      </w:r>
      <w:r w:rsidR="00287649" w:rsidRPr="00AF0B95">
        <w:rPr>
          <w:rFonts w:cstheme="minorHAnsi"/>
          <w:bCs/>
        </w:rPr>
        <w:t>(</w:t>
      </w:r>
      <w:r w:rsidR="00287649" w:rsidRPr="00AF0B95">
        <w:rPr>
          <w:rFonts w:cstheme="minorHAnsi"/>
          <w:bCs/>
          <w:i/>
        </w:rPr>
        <w:t>e.g., correlation</w:t>
      </w:r>
      <w:r w:rsidR="006C3A4F" w:rsidRPr="00AF0B95">
        <w:rPr>
          <w:rFonts w:cstheme="minorHAnsi"/>
          <w:bCs/>
          <w:i/>
        </w:rPr>
        <w:t>, rank order</w:t>
      </w:r>
      <w:r w:rsidR="00287649" w:rsidRPr="00AF0B95">
        <w:rPr>
          <w:rFonts w:cstheme="minorHAnsi"/>
          <w:bCs/>
        </w:rPr>
        <w:t>)</w:t>
      </w:r>
      <w:r w:rsidR="000F06B5" w:rsidRPr="00AF0B95">
        <w:rPr>
          <w:rFonts w:cstheme="minorHAnsi"/>
          <w:bCs/>
        </w:rPr>
        <w:br/>
      </w:r>
      <w:r w:rsidR="006152F3">
        <w:rPr>
          <w:rFonts w:cstheme="minorHAnsi"/>
          <w:bCs/>
          <w:color w:val="1111FB"/>
        </w:rPr>
        <w:t>N/A</w:t>
      </w:r>
    </w:p>
    <w:p w14:paraId="5FFAA7FB" w14:textId="77777777" w:rsidR="006152F3" w:rsidRPr="006152F3" w:rsidRDefault="006152F3" w:rsidP="006E0953">
      <w:pPr>
        <w:autoSpaceDE w:val="0"/>
        <w:autoSpaceDN w:val="0"/>
        <w:adjustRightInd w:val="0"/>
        <w:spacing w:after="0" w:line="240" w:lineRule="auto"/>
        <w:rPr>
          <w:rFonts w:cstheme="minorHAnsi"/>
          <w:bCs/>
          <w:color w:val="1111FB"/>
        </w:rPr>
      </w:pPr>
    </w:p>
    <w:p w14:paraId="0CABD017" w14:textId="034F42F6" w:rsidR="0079180E" w:rsidRDefault="009C7513" w:rsidP="006E0953">
      <w:pPr>
        <w:autoSpaceDE w:val="0"/>
        <w:autoSpaceDN w:val="0"/>
        <w:adjustRightInd w:val="0"/>
        <w:spacing w:after="0" w:line="240" w:lineRule="auto"/>
        <w:rPr>
          <w:rFonts w:cstheme="minorHAnsi"/>
          <w:bCs/>
          <w:color w:val="1111FB"/>
        </w:rPr>
      </w:pPr>
      <w:r w:rsidRPr="00AF0B95">
        <w:rPr>
          <w:rFonts w:cstheme="minorHAnsi"/>
          <w:b/>
          <w:bCs/>
        </w:rPr>
        <w:t>2b5</w:t>
      </w:r>
      <w:r w:rsidR="00E1508F" w:rsidRPr="00AF0B95">
        <w:rPr>
          <w:rFonts w:cstheme="minorHAnsi"/>
          <w:b/>
          <w:bCs/>
        </w:rPr>
        <w:t xml:space="preserve">.3. </w:t>
      </w:r>
      <w:r w:rsidR="002B0C3A" w:rsidRPr="00AF0B95">
        <w:rPr>
          <w:rFonts w:cstheme="minorHAnsi"/>
          <w:b/>
          <w:bCs/>
        </w:rPr>
        <w:t xml:space="preserve">What is your interpretation of the results </w:t>
      </w:r>
      <w:r w:rsidR="00A35F8F" w:rsidRPr="00AF0B95">
        <w:rPr>
          <w:rFonts w:cstheme="minorHAnsi"/>
          <w:b/>
          <w:bCs/>
        </w:rPr>
        <w:t xml:space="preserve">in terms of </w:t>
      </w:r>
      <w:r w:rsidR="00F1412B" w:rsidRPr="00AF0B95">
        <w:rPr>
          <w:rFonts w:cstheme="minorHAnsi"/>
          <w:b/>
          <w:bCs/>
        </w:rPr>
        <w:t>the differences in</w:t>
      </w:r>
      <w:r w:rsidR="002B0C3A" w:rsidRPr="00AF0B95">
        <w:rPr>
          <w:rFonts w:cstheme="minorHAnsi"/>
          <w:b/>
          <w:bCs/>
        </w:rPr>
        <w:t xml:space="preserve"> performance measure scores </w:t>
      </w:r>
      <w:r w:rsidR="00287649" w:rsidRPr="00AF0B95">
        <w:rPr>
          <w:rFonts w:cstheme="minorHAnsi"/>
          <w:b/>
          <w:bCs/>
        </w:rPr>
        <w:t xml:space="preserve">for the same entities across the different </w:t>
      </w:r>
      <w:r w:rsidR="00864CA8" w:rsidRPr="00AF0B95">
        <w:rPr>
          <w:rFonts w:cstheme="minorHAnsi"/>
          <w:b/>
          <w:bCs/>
        </w:rPr>
        <w:t>data sources/</w:t>
      </w:r>
      <w:r w:rsidR="00287649" w:rsidRPr="00AF0B95">
        <w:rPr>
          <w:rFonts w:cstheme="minorHAnsi"/>
          <w:b/>
          <w:bCs/>
        </w:rPr>
        <w:t>specifications</w:t>
      </w:r>
      <w:r w:rsidR="002B0C3A" w:rsidRPr="00AF0B95">
        <w:rPr>
          <w:rFonts w:cstheme="minorHAnsi"/>
          <w:b/>
          <w:bCs/>
        </w:rPr>
        <w:t>?</w:t>
      </w:r>
      <w:r w:rsidR="00A35F8F" w:rsidRPr="00AF0B95">
        <w:rPr>
          <w:rFonts w:cstheme="minorHAnsi"/>
          <w:bCs/>
        </w:rPr>
        <w:t xml:space="preserve"> </w:t>
      </w:r>
      <w:r w:rsidR="002B0C3A" w:rsidRPr="00AF0B95">
        <w:rPr>
          <w:rFonts w:cstheme="minorHAnsi"/>
          <w:bCs/>
        </w:rPr>
        <w:t>(i</w:t>
      </w:r>
      <w:r w:rsidR="002B0C3A" w:rsidRPr="00AF0B95">
        <w:rPr>
          <w:rFonts w:cstheme="minorHAnsi"/>
          <w:bCs/>
          <w:i/>
        </w:rPr>
        <w:t>.e., what do the results mean and what are the norms for the test conducted</w:t>
      </w:r>
      <w:r w:rsidR="002B0C3A" w:rsidRPr="00AF0B95">
        <w:rPr>
          <w:rFonts w:cstheme="minorHAnsi"/>
          <w:bCs/>
        </w:rPr>
        <w:t>)</w:t>
      </w:r>
      <w:r w:rsidR="00A35F8F" w:rsidRPr="00AF0B95">
        <w:rPr>
          <w:rFonts w:cstheme="minorHAnsi"/>
          <w:bCs/>
        </w:rPr>
        <w:br/>
      </w:r>
      <w:r w:rsidR="006152F3">
        <w:rPr>
          <w:rFonts w:cstheme="minorHAnsi"/>
          <w:bCs/>
          <w:color w:val="1111FB"/>
        </w:rPr>
        <w:t>N/A</w:t>
      </w:r>
    </w:p>
    <w:p w14:paraId="32555437" w14:textId="77777777" w:rsidR="006152F3" w:rsidRPr="006152F3" w:rsidRDefault="006152F3" w:rsidP="006E0953">
      <w:pPr>
        <w:autoSpaceDE w:val="0"/>
        <w:autoSpaceDN w:val="0"/>
        <w:adjustRightInd w:val="0"/>
        <w:spacing w:after="0" w:line="240" w:lineRule="auto"/>
        <w:rPr>
          <w:rFonts w:cstheme="minorHAnsi"/>
          <w:bCs/>
          <w:color w:val="1111FB"/>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5B59F79" w14:textId="77777777" w:rsidR="00473FDA" w:rsidRPr="00A77620" w:rsidRDefault="00473FDA" w:rsidP="00473FDA">
      <w:pPr>
        <w:autoSpaceDE w:val="0"/>
        <w:autoSpaceDN w:val="0"/>
        <w:adjustRightInd w:val="0"/>
        <w:spacing w:after="0" w:line="240" w:lineRule="auto"/>
        <w:rPr>
          <w:b/>
        </w:rPr>
      </w:pPr>
      <w:r w:rsidRPr="3C795A04">
        <w:rPr>
          <w:b/>
        </w:rPr>
        <w:t xml:space="preserve">2b6. MISSING DATA ANALYSIS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FE69870" w14:textId="2D912723" w:rsidR="00930438" w:rsidRPr="000C68ED" w:rsidRDefault="009C7513" w:rsidP="00930438">
      <w:pPr>
        <w:autoSpaceDE w:val="0"/>
        <w:autoSpaceDN w:val="0"/>
        <w:adjustRightInd w:val="0"/>
        <w:spacing w:after="0" w:line="240" w:lineRule="auto"/>
        <w:rPr>
          <w:rFonts w:cstheme="minorHAnsi"/>
          <w:bCs/>
          <w:color w:val="1111FB"/>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930438" w:rsidRPr="000C68ED">
        <w:rPr>
          <w:rFonts w:cstheme="minorHAnsi"/>
          <w:bCs/>
          <w:color w:val="1111FB"/>
        </w:rPr>
        <w:t>HEDIS measures apply</w:t>
      </w:r>
      <w:r w:rsidR="00930438" w:rsidRPr="000C68ED">
        <w:rPr>
          <w:color w:val="1111FB"/>
        </w:rPr>
        <w:t xml:space="preserve"> to enrolled members in a health plan, and NCQA has a rigorous audit process to ensure the eligible population and numerator events for each measure are correctly identified and reported. The audit process is designed to verify primary data sources used to populate measures and ensure specifications are correctly implemented. </w:t>
      </w:r>
    </w:p>
    <w:p w14:paraId="0C72CB65" w14:textId="77777777" w:rsidR="00930438" w:rsidRPr="000C68ED" w:rsidRDefault="00930438" w:rsidP="00930438">
      <w:pPr>
        <w:autoSpaceDE w:val="0"/>
        <w:autoSpaceDN w:val="0"/>
        <w:adjustRightInd w:val="0"/>
        <w:spacing w:after="0" w:line="240" w:lineRule="auto"/>
        <w:rPr>
          <w:rFonts w:cstheme="minorHAnsi"/>
          <w:bCs/>
          <w:color w:val="1111FB"/>
        </w:rPr>
      </w:pPr>
    </w:p>
    <w:p w14:paraId="2AF198D7" w14:textId="77777777" w:rsidR="00930438" w:rsidRPr="000C68ED" w:rsidRDefault="00930438" w:rsidP="00930438">
      <w:pPr>
        <w:autoSpaceDE w:val="0"/>
        <w:autoSpaceDN w:val="0"/>
        <w:adjustRightInd w:val="0"/>
        <w:spacing w:after="0" w:line="240" w:lineRule="auto"/>
        <w:rPr>
          <w:color w:val="1111FB"/>
        </w:rPr>
      </w:pPr>
      <w:r w:rsidRPr="000C68ED">
        <w:rPr>
          <w:color w:val="1111FB"/>
        </w:rPr>
        <w:t xml:space="preserve">The HEDIS Compliance Audit addresses the following functions:  </w:t>
      </w:r>
    </w:p>
    <w:p w14:paraId="11813DF6" w14:textId="77777777" w:rsidR="00930438" w:rsidRPr="000C68ED" w:rsidRDefault="00930438" w:rsidP="00930438">
      <w:pPr>
        <w:autoSpaceDE w:val="0"/>
        <w:autoSpaceDN w:val="0"/>
        <w:adjustRightInd w:val="0"/>
        <w:spacing w:after="0" w:line="240" w:lineRule="auto"/>
        <w:rPr>
          <w:color w:val="1111FB"/>
        </w:rPr>
      </w:pPr>
      <w:r w:rsidRPr="000C68ED">
        <w:rPr>
          <w:color w:val="1111FB"/>
        </w:rPr>
        <w:t xml:space="preserve">- Information practices and control procedures </w:t>
      </w:r>
    </w:p>
    <w:p w14:paraId="2632AF48" w14:textId="77777777" w:rsidR="00930438" w:rsidRPr="000C68ED" w:rsidRDefault="00930438" w:rsidP="00930438">
      <w:pPr>
        <w:autoSpaceDE w:val="0"/>
        <w:autoSpaceDN w:val="0"/>
        <w:adjustRightInd w:val="0"/>
        <w:spacing w:after="0" w:line="240" w:lineRule="auto"/>
        <w:rPr>
          <w:color w:val="1111FB"/>
        </w:rPr>
      </w:pPr>
      <w:r w:rsidRPr="000C68ED">
        <w:rPr>
          <w:color w:val="1111FB"/>
        </w:rPr>
        <w:t xml:space="preserve">- Sampling methods and procedures </w:t>
      </w:r>
    </w:p>
    <w:p w14:paraId="017B1761" w14:textId="77777777" w:rsidR="00930438" w:rsidRPr="000C68ED" w:rsidRDefault="00930438" w:rsidP="00930438">
      <w:pPr>
        <w:autoSpaceDE w:val="0"/>
        <w:autoSpaceDN w:val="0"/>
        <w:adjustRightInd w:val="0"/>
        <w:spacing w:after="0" w:line="240" w:lineRule="auto"/>
        <w:rPr>
          <w:color w:val="1111FB"/>
        </w:rPr>
      </w:pPr>
      <w:r w:rsidRPr="000C68ED">
        <w:rPr>
          <w:color w:val="1111FB"/>
        </w:rPr>
        <w:lastRenderedPageBreak/>
        <w:t xml:space="preserve">- Data integrity </w:t>
      </w:r>
    </w:p>
    <w:p w14:paraId="6A3C9CE2" w14:textId="77777777" w:rsidR="00930438" w:rsidRPr="000C68ED" w:rsidRDefault="00930438" w:rsidP="00930438">
      <w:pPr>
        <w:autoSpaceDE w:val="0"/>
        <w:autoSpaceDN w:val="0"/>
        <w:adjustRightInd w:val="0"/>
        <w:spacing w:after="0" w:line="240" w:lineRule="auto"/>
        <w:rPr>
          <w:color w:val="1111FB"/>
        </w:rPr>
      </w:pPr>
      <w:r w:rsidRPr="000C68ED">
        <w:rPr>
          <w:color w:val="1111FB"/>
        </w:rPr>
        <w:t xml:space="preserve">- Compliance with HEDIS specifications </w:t>
      </w:r>
    </w:p>
    <w:p w14:paraId="325B703B" w14:textId="77777777" w:rsidR="00930438" w:rsidRPr="000C68ED" w:rsidRDefault="00930438" w:rsidP="00930438">
      <w:pPr>
        <w:autoSpaceDE w:val="0"/>
        <w:autoSpaceDN w:val="0"/>
        <w:adjustRightInd w:val="0"/>
        <w:spacing w:after="0" w:line="240" w:lineRule="auto"/>
        <w:rPr>
          <w:color w:val="1111FB"/>
        </w:rPr>
      </w:pPr>
      <w:r w:rsidRPr="000C68ED">
        <w:rPr>
          <w:color w:val="1111FB"/>
        </w:rPr>
        <w:t xml:space="preserve">- Analytic file production  </w:t>
      </w:r>
    </w:p>
    <w:p w14:paraId="78ED5C79" w14:textId="77777777" w:rsidR="00930438" w:rsidRPr="000C68ED" w:rsidRDefault="00930438" w:rsidP="00930438">
      <w:pPr>
        <w:autoSpaceDE w:val="0"/>
        <w:autoSpaceDN w:val="0"/>
        <w:adjustRightInd w:val="0"/>
        <w:spacing w:after="0" w:line="240" w:lineRule="auto"/>
        <w:rPr>
          <w:rFonts w:cstheme="minorHAnsi"/>
          <w:bCs/>
          <w:color w:val="1111FB"/>
        </w:rPr>
      </w:pPr>
      <w:r w:rsidRPr="000C68ED">
        <w:rPr>
          <w:color w:val="1111FB"/>
        </w:rPr>
        <w:t>- Reporting and documentation</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53C13D09" w14:textId="26912FCE" w:rsidR="005C20EA" w:rsidRPr="000C68ED" w:rsidRDefault="009C7513" w:rsidP="005C20EA">
      <w:pPr>
        <w:autoSpaceDE w:val="0"/>
        <w:autoSpaceDN w:val="0"/>
        <w:adjustRightInd w:val="0"/>
        <w:spacing w:after="0" w:line="240" w:lineRule="auto"/>
        <w:rPr>
          <w:rFonts w:cstheme="minorHAnsi"/>
          <w:bCs/>
          <w:color w:val="1111FB"/>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5C20EA" w:rsidRPr="000C68ED">
        <w:rPr>
          <w:rFonts w:cstheme="minorHAnsi"/>
          <w:bCs/>
          <w:color w:val="1111FB"/>
        </w:rPr>
        <w:t>HEDIS addresses missing</w:t>
      </w:r>
      <w:r w:rsidR="005C20EA" w:rsidRPr="000C68ED">
        <w:rPr>
          <w:color w:val="1111FB"/>
        </w:rPr>
        <w:t xml:space="preserve">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 Once measures are added to HEDIS, NCQA conducts a first-year analysis to assess the measure’s feasibility once widely implemented in the field. This analysis includes an assessment of how many plans report valid rates vs. rates that are materially biased (or have other issues, such as small denominators). These considerations are weighed in the deliberation process before measures are approved for public reporting.</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20" w14:textId="453039F4" w:rsidR="00BA053B"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35E5FA0" w14:textId="18843017" w:rsidR="00377542" w:rsidRPr="00DD0081" w:rsidRDefault="00377542" w:rsidP="00377542">
      <w:pPr>
        <w:autoSpaceDE w:val="0"/>
        <w:autoSpaceDN w:val="0"/>
        <w:adjustRightInd w:val="0"/>
        <w:spacing w:after="0" w:line="240" w:lineRule="auto"/>
        <w:rPr>
          <w:color w:val="1111FB"/>
        </w:rPr>
      </w:pPr>
      <w:r w:rsidRPr="76A55E9B">
        <w:rPr>
          <w:color w:val="1111FB"/>
        </w:rPr>
        <w:t>The denominator of this measure is identified using claims data and not subject to difference between response or nonresponse. This measure goes through the NCQA audit process each year to identify potential errors or bias in results. Only performances rates that have been reviewed and determined not to be “materially biased” are reported and used.</w:t>
      </w:r>
    </w:p>
    <w:p w14:paraId="37C10358" w14:textId="61368377" w:rsidR="00FF515B" w:rsidRPr="007F623C" w:rsidRDefault="00FF515B" w:rsidP="00377542">
      <w:pPr>
        <w:autoSpaceDE w:val="0"/>
        <w:autoSpaceDN w:val="0"/>
        <w:adjustRightInd w:val="0"/>
        <w:spacing w:after="0" w:line="240" w:lineRule="auto"/>
        <w:rPr>
          <w:rFonts w:cstheme="minorHAnsi"/>
          <w:color w:val="1111FB"/>
        </w:rPr>
      </w:pPr>
    </w:p>
    <w:sectPr w:rsidR="00FF515B" w:rsidRPr="007F623C"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05BE3C" w14:textId="77777777" w:rsidR="00A048CB" w:rsidRDefault="00A048CB" w:rsidP="005C73CA">
      <w:pPr>
        <w:spacing w:after="0" w:line="240" w:lineRule="auto"/>
      </w:pPr>
      <w:r>
        <w:separator/>
      </w:r>
    </w:p>
  </w:endnote>
  <w:endnote w:type="continuationSeparator" w:id="0">
    <w:p w14:paraId="3D3D67A5" w14:textId="77777777" w:rsidR="00A048CB" w:rsidRDefault="00A048CB" w:rsidP="005C73CA">
      <w:pPr>
        <w:spacing w:after="0" w:line="240" w:lineRule="auto"/>
      </w:pPr>
      <w:r>
        <w:continuationSeparator/>
      </w:r>
    </w:p>
  </w:endnote>
  <w:endnote w:type="continuationNotice" w:id="1">
    <w:p w14:paraId="4E9673D2" w14:textId="77777777" w:rsidR="00A048CB" w:rsidRDefault="00A048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54134747" w:rsidR="00A64EBF" w:rsidRDefault="000C0FF8">
    <w:pPr>
      <w:pStyle w:val="Footer"/>
    </w:pPr>
    <w:r>
      <w:t xml:space="preserve">Version </w:t>
    </w:r>
    <w:r w:rsidR="00450C58">
      <w:t>7</w:t>
    </w:r>
    <w:r>
      <w:t>.</w:t>
    </w:r>
    <w:r w:rsidR="00D369E9">
      <w:t>1</w:t>
    </w:r>
    <w:r w:rsidR="00193F21">
      <w:ptab w:relativeTo="margin" w:alignment="right" w:leader="none"/>
    </w:r>
    <w:r w:rsidR="00193F21">
      <w:fldChar w:fldCharType="begin"/>
    </w:r>
    <w:r w:rsidR="00193F21">
      <w:instrText xml:space="preserve"> PAGE   \* MERGEFORMAT </w:instrText>
    </w:r>
    <w:r w:rsidR="00193F21">
      <w:fldChar w:fldCharType="separate"/>
    </w:r>
    <w:r w:rsidR="005D2579">
      <w:rPr>
        <w:noProof/>
      </w:rPr>
      <w:t>1</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9A1FF" w14:textId="77777777" w:rsidR="00A048CB" w:rsidRDefault="00A048CB" w:rsidP="005C73CA">
      <w:pPr>
        <w:spacing w:after="0" w:line="240" w:lineRule="auto"/>
      </w:pPr>
      <w:r>
        <w:separator/>
      </w:r>
    </w:p>
  </w:footnote>
  <w:footnote w:type="continuationSeparator" w:id="0">
    <w:p w14:paraId="293FB362" w14:textId="77777777" w:rsidR="00A048CB" w:rsidRDefault="00A048CB" w:rsidP="005C73CA">
      <w:pPr>
        <w:spacing w:after="0" w:line="240" w:lineRule="auto"/>
      </w:pPr>
      <w:r>
        <w:continuationSeparator/>
      </w:r>
    </w:p>
  </w:footnote>
  <w:footnote w:type="continuationNotice" w:id="1">
    <w:p w14:paraId="7DA85E5F" w14:textId="77777777" w:rsidR="00A048CB" w:rsidRDefault="00A048CB">
      <w:pPr>
        <w:spacing w:after="0" w:line="240" w:lineRule="auto"/>
      </w:pPr>
    </w:p>
  </w:footnote>
  <w:footnote w:id="2">
    <w:p w14:paraId="138D4196" w14:textId="77777777" w:rsidR="00974BAC" w:rsidRPr="00750855" w:rsidRDefault="00974BAC" w:rsidP="00974BAC">
      <w:pPr>
        <w:pStyle w:val="FootnoteText"/>
        <w:rPr>
          <w:rFonts w:asciiTheme="minorHAnsi" w:hAnsiTheme="minorHAnsi" w:cstheme="minorHAnsi"/>
          <w:color w:val="1111FB"/>
        </w:rPr>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Faurot, K.R., Funk, M.J., Pate, V., Brookhart, M.A., Patrick, A., Hanson, L.C., Castillo, W.C., Stürmer, T. 2015. Using Claims Data to Predict Dependency in Activities of Daily Living as a Proxy for Frailty. Pharmacoepidemiology and Drug Safety. 24(1): 59-66.</w:t>
      </w:r>
    </w:p>
  </w:footnote>
  <w:footnote w:id="3">
    <w:p w14:paraId="2D19C786" w14:textId="77777777" w:rsidR="00974BAC" w:rsidRPr="00750855" w:rsidRDefault="00974BAC" w:rsidP="00974BAC">
      <w:pPr>
        <w:pStyle w:val="FootnoteText"/>
        <w:rPr>
          <w:rFonts w:asciiTheme="minorHAnsi" w:hAnsiTheme="minorHAnsi" w:cstheme="minorHAnsi"/>
          <w:color w:val="1111FB"/>
        </w:rPr>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Segal, J.B., Chang, H.Y., Du, Y., Walston, J.D., Carlson, M.C., </w:t>
      </w:r>
      <w:r w:rsidRPr="00750855">
        <w:rPr>
          <w:rFonts w:asciiTheme="minorHAnsi" w:hAnsiTheme="minorHAnsi" w:cstheme="minorHAnsi"/>
          <w:color w:val="1111FB"/>
        </w:rPr>
        <w:t>Varadhan, R. 2017. Development of a</w:t>
      </w:r>
    </w:p>
    <w:p w14:paraId="510823B7" w14:textId="77777777" w:rsidR="00974BAC" w:rsidRPr="00750855" w:rsidRDefault="00974BAC" w:rsidP="00974BAC">
      <w:pPr>
        <w:pStyle w:val="FootnoteText"/>
        <w:rPr>
          <w:rFonts w:asciiTheme="minorHAnsi" w:hAnsiTheme="minorHAnsi" w:cstheme="minorHAnsi"/>
          <w:color w:val="1111FB"/>
        </w:rPr>
      </w:pPr>
      <w:r w:rsidRPr="00750855">
        <w:rPr>
          <w:rFonts w:asciiTheme="minorHAnsi" w:hAnsiTheme="minorHAnsi" w:cstheme="minorHAnsi"/>
          <w:color w:val="1111FB"/>
        </w:rPr>
        <w:t>Claims-Based Frailty Indicator Anchored to a Well-Established Frailty Phenotype. Medical Care. 55(7): 716-722.</w:t>
      </w:r>
    </w:p>
  </w:footnote>
  <w:footnote w:id="4">
    <w:p w14:paraId="404EFA9F" w14:textId="77777777" w:rsidR="00974BAC" w:rsidRDefault="00974BAC" w:rsidP="00974BAC">
      <w:pPr>
        <w:pStyle w:val="FootnoteText"/>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Davidoff A.J., A. </w:t>
      </w:r>
      <w:r w:rsidRPr="00750855">
        <w:rPr>
          <w:rFonts w:asciiTheme="minorHAnsi" w:hAnsiTheme="minorHAnsi" w:cstheme="minorHAnsi"/>
          <w:color w:val="1111FB"/>
        </w:rPr>
        <w:t>Hurrida, I.H. Zuckerman, S.M. Lichtman, N. Pandya, A. Hussain, F. Hendrick, J.P. Weiner, X. Ke, M.J. Edelman. 2013. A Novel Approach to Improve Health Status Measurement in Observational Claims-Based Studies of Cancer Treatment and Outcomes. J Geriatr Oncol. 4(2):157–165.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891F87"/>
    <w:multiLevelType w:val="hybridMultilevel"/>
    <w:tmpl w:val="8CA4F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FC148D"/>
    <w:multiLevelType w:val="hybridMultilevel"/>
    <w:tmpl w:val="17DE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D0AD8"/>
    <w:multiLevelType w:val="multilevel"/>
    <w:tmpl w:val="4B44F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C463710"/>
    <w:multiLevelType w:val="hybridMultilevel"/>
    <w:tmpl w:val="224C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4EF727B"/>
    <w:multiLevelType w:val="hybridMultilevel"/>
    <w:tmpl w:val="854E79E8"/>
    <w:lvl w:ilvl="0" w:tplc="AD3A11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7C7A2E"/>
    <w:multiLevelType w:val="hybridMultilevel"/>
    <w:tmpl w:val="1F0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26519C"/>
    <w:multiLevelType w:val="hybridMultilevel"/>
    <w:tmpl w:val="2430A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86B2E15"/>
    <w:multiLevelType w:val="hybridMultilevel"/>
    <w:tmpl w:val="3B686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3"/>
  </w:num>
  <w:num w:numId="4">
    <w:abstractNumId w:val="8"/>
  </w:num>
  <w:num w:numId="5">
    <w:abstractNumId w:val="2"/>
  </w:num>
  <w:num w:numId="6">
    <w:abstractNumId w:val="1"/>
  </w:num>
  <w:num w:numId="7">
    <w:abstractNumId w:val="5"/>
  </w:num>
  <w:num w:numId="8">
    <w:abstractNumId w:val="26"/>
  </w:num>
  <w:num w:numId="9">
    <w:abstractNumId w:val="13"/>
  </w:num>
  <w:num w:numId="10">
    <w:abstractNumId w:val="33"/>
  </w:num>
  <w:num w:numId="11">
    <w:abstractNumId w:val="16"/>
  </w:num>
  <w:num w:numId="12">
    <w:abstractNumId w:val="31"/>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1"/>
  </w:num>
  <w:num w:numId="17">
    <w:abstractNumId w:val="32"/>
  </w:num>
  <w:num w:numId="18">
    <w:abstractNumId w:val="29"/>
  </w:num>
  <w:num w:numId="19">
    <w:abstractNumId w:val="27"/>
  </w:num>
  <w:num w:numId="20">
    <w:abstractNumId w:val="21"/>
  </w:num>
  <w:num w:numId="21">
    <w:abstractNumId w:val="25"/>
  </w:num>
  <w:num w:numId="22">
    <w:abstractNumId w:val="20"/>
  </w:num>
  <w:num w:numId="23">
    <w:abstractNumId w:val="9"/>
  </w:num>
  <w:num w:numId="24">
    <w:abstractNumId w:val="18"/>
  </w:num>
  <w:num w:numId="25">
    <w:abstractNumId w:val="17"/>
  </w:num>
  <w:num w:numId="26">
    <w:abstractNumId w:val="35"/>
  </w:num>
  <w:num w:numId="27">
    <w:abstractNumId w:val="0"/>
  </w:num>
  <w:num w:numId="28">
    <w:abstractNumId w:val="12"/>
  </w:num>
  <w:num w:numId="29">
    <w:abstractNumId w:val="22"/>
  </w:num>
  <w:num w:numId="30">
    <w:abstractNumId w:val="28"/>
  </w:num>
  <w:num w:numId="31">
    <w:abstractNumId w:val="19"/>
  </w:num>
  <w:num w:numId="32">
    <w:abstractNumId w:val="10"/>
  </w:num>
  <w:num w:numId="33">
    <w:abstractNumId w:val="30"/>
  </w:num>
  <w:num w:numId="34">
    <w:abstractNumId w:val="4"/>
  </w:num>
  <w:num w:numId="35">
    <w:abstractNumId w:val="14"/>
  </w:num>
  <w:num w:numId="36">
    <w:abstractNumId w:val="3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023"/>
    <w:rsid w:val="00001159"/>
    <w:rsid w:val="00001358"/>
    <w:rsid w:val="00001D73"/>
    <w:rsid w:val="00003469"/>
    <w:rsid w:val="00003E62"/>
    <w:rsid w:val="00005AE1"/>
    <w:rsid w:val="0001094F"/>
    <w:rsid w:val="000145CF"/>
    <w:rsid w:val="00021170"/>
    <w:rsid w:val="0002128B"/>
    <w:rsid w:val="00024DFD"/>
    <w:rsid w:val="00025477"/>
    <w:rsid w:val="00027AB8"/>
    <w:rsid w:val="00027FFB"/>
    <w:rsid w:val="0003011C"/>
    <w:rsid w:val="000309DD"/>
    <w:rsid w:val="00031414"/>
    <w:rsid w:val="00031940"/>
    <w:rsid w:val="00033038"/>
    <w:rsid w:val="00033D63"/>
    <w:rsid w:val="0003436F"/>
    <w:rsid w:val="000414E8"/>
    <w:rsid w:val="00043409"/>
    <w:rsid w:val="0004593A"/>
    <w:rsid w:val="00050A3E"/>
    <w:rsid w:val="00052A6F"/>
    <w:rsid w:val="00053F02"/>
    <w:rsid w:val="00053F4C"/>
    <w:rsid w:val="00054903"/>
    <w:rsid w:val="0005612B"/>
    <w:rsid w:val="00056CE2"/>
    <w:rsid w:val="000574AB"/>
    <w:rsid w:val="0006147A"/>
    <w:rsid w:val="0006234F"/>
    <w:rsid w:val="00072CAB"/>
    <w:rsid w:val="000775F8"/>
    <w:rsid w:val="00080CF7"/>
    <w:rsid w:val="000851B2"/>
    <w:rsid w:val="00092566"/>
    <w:rsid w:val="000968F8"/>
    <w:rsid w:val="00097012"/>
    <w:rsid w:val="000A41CE"/>
    <w:rsid w:val="000A6955"/>
    <w:rsid w:val="000A7657"/>
    <w:rsid w:val="000B032A"/>
    <w:rsid w:val="000B1590"/>
    <w:rsid w:val="000B2DF7"/>
    <w:rsid w:val="000B3880"/>
    <w:rsid w:val="000B7D57"/>
    <w:rsid w:val="000C036D"/>
    <w:rsid w:val="000C0FF8"/>
    <w:rsid w:val="000C68ED"/>
    <w:rsid w:val="000D2722"/>
    <w:rsid w:val="000D4883"/>
    <w:rsid w:val="000D5C01"/>
    <w:rsid w:val="000D7948"/>
    <w:rsid w:val="000D7C84"/>
    <w:rsid w:val="000E4E13"/>
    <w:rsid w:val="000E78F6"/>
    <w:rsid w:val="000F034A"/>
    <w:rsid w:val="000F06B5"/>
    <w:rsid w:val="000F1B7A"/>
    <w:rsid w:val="000F39E9"/>
    <w:rsid w:val="00104B45"/>
    <w:rsid w:val="00105D8B"/>
    <w:rsid w:val="00107C77"/>
    <w:rsid w:val="00113012"/>
    <w:rsid w:val="0011342F"/>
    <w:rsid w:val="001202E9"/>
    <w:rsid w:val="0012454F"/>
    <w:rsid w:val="00125273"/>
    <w:rsid w:val="0012575E"/>
    <w:rsid w:val="00125E44"/>
    <w:rsid w:val="00127C06"/>
    <w:rsid w:val="00127FAF"/>
    <w:rsid w:val="00133A9B"/>
    <w:rsid w:val="001357D1"/>
    <w:rsid w:val="00136095"/>
    <w:rsid w:val="00145149"/>
    <w:rsid w:val="00145D4F"/>
    <w:rsid w:val="0014773C"/>
    <w:rsid w:val="001550D0"/>
    <w:rsid w:val="00156E55"/>
    <w:rsid w:val="001630D5"/>
    <w:rsid w:val="00163171"/>
    <w:rsid w:val="00164488"/>
    <w:rsid w:val="0017098D"/>
    <w:rsid w:val="001724C4"/>
    <w:rsid w:val="00173672"/>
    <w:rsid w:val="00174A11"/>
    <w:rsid w:val="0017696D"/>
    <w:rsid w:val="0017767D"/>
    <w:rsid w:val="00180958"/>
    <w:rsid w:val="001848FC"/>
    <w:rsid w:val="00185E12"/>
    <w:rsid w:val="00193F21"/>
    <w:rsid w:val="001969C5"/>
    <w:rsid w:val="00196B54"/>
    <w:rsid w:val="001A33E0"/>
    <w:rsid w:val="001A3859"/>
    <w:rsid w:val="001A6CDD"/>
    <w:rsid w:val="001C12EE"/>
    <w:rsid w:val="001C7B02"/>
    <w:rsid w:val="001D0714"/>
    <w:rsid w:val="001E16D2"/>
    <w:rsid w:val="001E4DD4"/>
    <w:rsid w:val="001E5863"/>
    <w:rsid w:val="001E69DC"/>
    <w:rsid w:val="001F169D"/>
    <w:rsid w:val="001F1DA1"/>
    <w:rsid w:val="001F30E4"/>
    <w:rsid w:val="001F6F93"/>
    <w:rsid w:val="001F7A20"/>
    <w:rsid w:val="0021054A"/>
    <w:rsid w:val="0021195A"/>
    <w:rsid w:val="00213383"/>
    <w:rsid w:val="00216B94"/>
    <w:rsid w:val="00220250"/>
    <w:rsid w:val="002209FC"/>
    <w:rsid w:val="00221AB0"/>
    <w:rsid w:val="00222444"/>
    <w:rsid w:val="0022691B"/>
    <w:rsid w:val="00230F01"/>
    <w:rsid w:val="00232163"/>
    <w:rsid w:val="00235D6F"/>
    <w:rsid w:val="002376F8"/>
    <w:rsid w:val="002379B9"/>
    <w:rsid w:val="002408E4"/>
    <w:rsid w:val="00241591"/>
    <w:rsid w:val="0024257A"/>
    <w:rsid w:val="0024635E"/>
    <w:rsid w:val="00250B4F"/>
    <w:rsid w:val="00252963"/>
    <w:rsid w:val="0025762F"/>
    <w:rsid w:val="00263606"/>
    <w:rsid w:val="00272237"/>
    <w:rsid w:val="00273C14"/>
    <w:rsid w:val="00275563"/>
    <w:rsid w:val="0028114D"/>
    <w:rsid w:val="00287649"/>
    <w:rsid w:val="00287E84"/>
    <w:rsid w:val="0029286C"/>
    <w:rsid w:val="0029300E"/>
    <w:rsid w:val="00293703"/>
    <w:rsid w:val="0029426E"/>
    <w:rsid w:val="002949F9"/>
    <w:rsid w:val="002A2221"/>
    <w:rsid w:val="002A2745"/>
    <w:rsid w:val="002A3FE5"/>
    <w:rsid w:val="002A4762"/>
    <w:rsid w:val="002B0C3A"/>
    <w:rsid w:val="002B2116"/>
    <w:rsid w:val="002B2D9B"/>
    <w:rsid w:val="002B3309"/>
    <w:rsid w:val="002B5016"/>
    <w:rsid w:val="002B67B3"/>
    <w:rsid w:val="002B742C"/>
    <w:rsid w:val="002B7F4D"/>
    <w:rsid w:val="002C1573"/>
    <w:rsid w:val="002C285C"/>
    <w:rsid w:val="002C7846"/>
    <w:rsid w:val="002C7BE4"/>
    <w:rsid w:val="002D3412"/>
    <w:rsid w:val="002D417D"/>
    <w:rsid w:val="002D5E5D"/>
    <w:rsid w:val="002E0B36"/>
    <w:rsid w:val="002E78A0"/>
    <w:rsid w:val="002F2687"/>
    <w:rsid w:val="002F48E1"/>
    <w:rsid w:val="002F4F3B"/>
    <w:rsid w:val="00303B58"/>
    <w:rsid w:val="00304C86"/>
    <w:rsid w:val="003059EB"/>
    <w:rsid w:val="003116AC"/>
    <w:rsid w:val="00315567"/>
    <w:rsid w:val="00317DAA"/>
    <w:rsid w:val="00327D86"/>
    <w:rsid w:val="00330144"/>
    <w:rsid w:val="00334329"/>
    <w:rsid w:val="003348E4"/>
    <w:rsid w:val="0033684D"/>
    <w:rsid w:val="0034475F"/>
    <w:rsid w:val="00345CBA"/>
    <w:rsid w:val="00346245"/>
    <w:rsid w:val="00346B27"/>
    <w:rsid w:val="0035181D"/>
    <w:rsid w:val="003544A2"/>
    <w:rsid w:val="00356267"/>
    <w:rsid w:val="00356BAD"/>
    <w:rsid w:val="003605B4"/>
    <w:rsid w:val="003627AC"/>
    <w:rsid w:val="00366914"/>
    <w:rsid w:val="003719BD"/>
    <w:rsid w:val="00372AAB"/>
    <w:rsid w:val="00372FE3"/>
    <w:rsid w:val="003755CB"/>
    <w:rsid w:val="00377542"/>
    <w:rsid w:val="00377E1B"/>
    <w:rsid w:val="00383F85"/>
    <w:rsid w:val="00384493"/>
    <w:rsid w:val="00387BA1"/>
    <w:rsid w:val="003A0F67"/>
    <w:rsid w:val="003A306C"/>
    <w:rsid w:val="003A47BB"/>
    <w:rsid w:val="003A7DE7"/>
    <w:rsid w:val="003B1006"/>
    <w:rsid w:val="003C1DBB"/>
    <w:rsid w:val="003C5F11"/>
    <w:rsid w:val="003C6A70"/>
    <w:rsid w:val="003D294B"/>
    <w:rsid w:val="003D6401"/>
    <w:rsid w:val="003E1863"/>
    <w:rsid w:val="003E63F8"/>
    <w:rsid w:val="0041606D"/>
    <w:rsid w:val="00416962"/>
    <w:rsid w:val="004206A8"/>
    <w:rsid w:val="004236AD"/>
    <w:rsid w:val="00426B9E"/>
    <w:rsid w:val="004348CC"/>
    <w:rsid w:val="00434EB6"/>
    <w:rsid w:val="00444C74"/>
    <w:rsid w:val="00450C58"/>
    <w:rsid w:val="004658FF"/>
    <w:rsid w:val="00471CE9"/>
    <w:rsid w:val="00473FDA"/>
    <w:rsid w:val="00474ED7"/>
    <w:rsid w:val="004756E1"/>
    <w:rsid w:val="0048008A"/>
    <w:rsid w:val="00483E94"/>
    <w:rsid w:val="00484120"/>
    <w:rsid w:val="004853A0"/>
    <w:rsid w:val="00496B5F"/>
    <w:rsid w:val="004A0BFC"/>
    <w:rsid w:val="004A2E10"/>
    <w:rsid w:val="004B17FF"/>
    <w:rsid w:val="004B1BA0"/>
    <w:rsid w:val="004B6CEE"/>
    <w:rsid w:val="004C2443"/>
    <w:rsid w:val="004C498F"/>
    <w:rsid w:val="004C5D29"/>
    <w:rsid w:val="004C681A"/>
    <w:rsid w:val="004D3003"/>
    <w:rsid w:val="004D4D8A"/>
    <w:rsid w:val="004F2D0C"/>
    <w:rsid w:val="004F68EE"/>
    <w:rsid w:val="005038D5"/>
    <w:rsid w:val="00505E0A"/>
    <w:rsid w:val="00511BA4"/>
    <w:rsid w:val="005149E7"/>
    <w:rsid w:val="00517D63"/>
    <w:rsid w:val="005232D6"/>
    <w:rsid w:val="00525E70"/>
    <w:rsid w:val="005333CC"/>
    <w:rsid w:val="005363F1"/>
    <w:rsid w:val="00537C1B"/>
    <w:rsid w:val="00541943"/>
    <w:rsid w:val="0055007C"/>
    <w:rsid w:val="00554922"/>
    <w:rsid w:val="00555282"/>
    <w:rsid w:val="005560E7"/>
    <w:rsid w:val="005612CC"/>
    <w:rsid w:val="00563029"/>
    <w:rsid w:val="00563DAA"/>
    <w:rsid w:val="00565946"/>
    <w:rsid w:val="00567D12"/>
    <w:rsid w:val="00576062"/>
    <w:rsid w:val="0059354F"/>
    <w:rsid w:val="0059559F"/>
    <w:rsid w:val="0059562E"/>
    <w:rsid w:val="00597EAB"/>
    <w:rsid w:val="005A4824"/>
    <w:rsid w:val="005A49FF"/>
    <w:rsid w:val="005A7634"/>
    <w:rsid w:val="005B6F04"/>
    <w:rsid w:val="005C0447"/>
    <w:rsid w:val="005C20EA"/>
    <w:rsid w:val="005C721C"/>
    <w:rsid w:val="005C739F"/>
    <w:rsid w:val="005C73CA"/>
    <w:rsid w:val="005D2579"/>
    <w:rsid w:val="005D4768"/>
    <w:rsid w:val="005E2CAB"/>
    <w:rsid w:val="005E429E"/>
    <w:rsid w:val="005F084E"/>
    <w:rsid w:val="005F39DD"/>
    <w:rsid w:val="00601ED4"/>
    <w:rsid w:val="006030BC"/>
    <w:rsid w:val="00612866"/>
    <w:rsid w:val="006152F3"/>
    <w:rsid w:val="00616EB5"/>
    <w:rsid w:val="00617097"/>
    <w:rsid w:val="006232E1"/>
    <w:rsid w:val="006269D4"/>
    <w:rsid w:val="006327D8"/>
    <w:rsid w:val="00632D86"/>
    <w:rsid w:val="0064070A"/>
    <w:rsid w:val="00643A01"/>
    <w:rsid w:val="00644984"/>
    <w:rsid w:val="00647712"/>
    <w:rsid w:val="00651D44"/>
    <w:rsid w:val="006574D2"/>
    <w:rsid w:val="00663563"/>
    <w:rsid w:val="00665746"/>
    <w:rsid w:val="006676D4"/>
    <w:rsid w:val="00667D03"/>
    <w:rsid w:val="00672ADA"/>
    <w:rsid w:val="00675535"/>
    <w:rsid w:val="00681359"/>
    <w:rsid w:val="006864AD"/>
    <w:rsid w:val="0069157C"/>
    <w:rsid w:val="00694BDA"/>
    <w:rsid w:val="00696262"/>
    <w:rsid w:val="00697512"/>
    <w:rsid w:val="006A183C"/>
    <w:rsid w:val="006A2713"/>
    <w:rsid w:val="006B50E3"/>
    <w:rsid w:val="006B5717"/>
    <w:rsid w:val="006C3A4F"/>
    <w:rsid w:val="006C4845"/>
    <w:rsid w:val="006C4D17"/>
    <w:rsid w:val="006C6309"/>
    <w:rsid w:val="006D5A78"/>
    <w:rsid w:val="006D6BC1"/>
    <w:rsid w:val="006E0953"/>
    <w:rsid w:val="006E2BFC"/>
    <w:rsid w:val="006E540D"/>
    <w:rsid w:val="006E5C57"/>
    <w:rsid w:val="006F206C"/>
    <w:rsid w:val="006F22A5"/>
    <w:rsid w:val="006F74AA"/>
    <w:rsid w:val="00702C73"/>
    <w:rsid w:val="00703FFF"/>
    <w:rsid w:val="00713394"/>
    <w:rsid w:val="00724677"/>
    <w:rsid w:val="00725AC2"/>
    <w:rsid w:val="00732880"/>
    <w:rsid w:val="00733F6E"/>
    <w:rsid w:val="007357D8"/>
    <w:rsid w:val="007416B9"/>
    <w:rsid w:val="007421D1"/>
    <w:rsid w:val="007422FD"/>
    <w:rsid w:val="00743E46"/>
    <w:rsid w:val="00746A16"/>
    <w:rsid w:val="00747C45"/>
    <w:rsid w:val="00756FDB"/>
    <w:rsid w:val="007629B6"/>
    <w:rsid w:val="007665BF"/>
    <w:rsid w:val="00771B2A"/>
    <w:rsid w:val="007757CE"/>
    <w:rsid w:val="00775800"/>
    <w:rsid w:val="00777F72"/>
    <w:rsid w:val="00781140"/>
    <w:rsid w:val="0078380A"/>
    <w:rsid w:val="0078619E"/>
    <w:rsid w:val="0079180E"/>
    <w:rsid w:val="007950CC"/>
    <w:rsid w:val="0079538B"/>
    <w:rsid w:val="007961B8"/>
    <w:rsid w:val="00797624"/>
    <w:rsid w:val="007A4828"/>
    <w:rsid w:val="007B093D"/>
    <w:rsid w:val="007B2069"/>
    <w:rsid w:val="007B6D82"/>
    <w:rsid w:val="007C04A1"/>
    <w:rsid w:val="007C21FA"/>
    <w:rsid w:val="007C2340"/>
    <w:rsid w:val="007D13B1"/>
    <w:rsid w:val="007D2824"/>
    <w:rsid w:val="007D4351"/>
    <w:rsid w:val="007D7019"/>
    <w:rsid w:val="007E18DB"/>
    <w:rsid w:val="007E6F1C"/>
    <w:rsid w:val="007F623C"/>
    <w:rsid w:val="0080048F"/>
    <w:rsid w:val="00801075"/>
    <w:rsid w:val="00801887"/>
    <w:rsid w:val="00802575"/>
    <w:rsid w:val="00804C69"/>
    <w:rsid w:val="008059B7"/>
    <w:rsid w:val="0080711D"/>
    <w:rsid w:val="008155CD"/>
    <w:rsid w:val="00817677"/>
    <w:rsid w:val="00817D5F"/>
    <w:rsid w:val="00826E75"/>
    <w:rsid w:val="00833325"/>
    <w:rsid w:val="00840A41"/>
    <w:rsid w:val="00842F3C"/>
    <w:rsid w:val="008505D1"/>
    <w:rsid w:val="00850CDA"/>
    <w:rsid w:val="00855158"/>
    <w:rsid w:val="00857CF7"/>
    <w:rsid w:val="00857EE8"/>
    <w:rsid w:val="0086464B"/>
    <w:rsid w:val="008647FC"/>
    <w:rsid w:val="00864CA8"/>
    <w:rsid w:val="00865E2D"/>
    <w:rsid w:val="00867860"/>
    <w:rsid w:val="00870E6C"/>
    <w:rsid w:val="0087434E"/>
    <w:rsid w:val="00875846"/>
    <w:rsid w:val="00884486"/>
    <w:rsid w:val="008871A9"/>
    <w:rsid w:val="00890A51"/>
    <w:rsid w:val="008916BA"/>
    <w:rsid w:val="00892176"/>
    <w:rsid w:val="008949E8"/>
    <w:rsid w:val="00895F6B"/>
    <w:rsid w:val="00896F44"/>
    <w:rsid w:val="008A1DB7"/>
    <w:rsid w:val="008A403A"/>
    <w:rsid w:val="008A4C13"/>
    <w:rsid w:val="008B5581"/>
    <w:rsid w:val="008B604D"/>
    <w:rsid w:val="008B64C5"/>
    <w:rsid w:val="008C54A9"/>
    <w:rsid w:val="008C5AB9"/>
    <w:rsid w:val="008E21B5"/>
    <w:rsid w:val="008E67C3"/>
    <w:rsid w:val="008F459E"/>
    <w:rsid w:val="008F589F"/>
    <w:rsid w:val="008F76A9"/>
    <w:rsid w:val="008F7E67"/>
    <w:rsid w:val="00900DBF"/>
    <w:rsid w:val="009048B9"/>
    <w:rsid w:val="00904E91"/>
    <w:rsid w:val="0091254E"/>
    <w:rsid w:val="00915886"/>
    <w:rsid w:val="009214DC"/>
    <w:rsid w:val="00927027"/>
    <w:rsid w:val="00930438"/>
    <w:rsid w:val="009344BA"/>
    <w:rsid w:val="00941975"/>
    <w:rsid w:val="00946E61"/>
    <w:rsid w:val="00947F78"/>
    <w:rsid w:val="00953234"/>
    <w:rsid w:val="0095573E"/>
    <w:rsid w:val="00961EAF"/>
    <w:rsid w:val="0096278F"/>
    <w:rsid w:val="0096525C"/>
    <w:rsid w:val="00970FB6"/>
    <w:rsid w:val="009726E1"/>
    <w:rsid w:val="00972A04"/>
    <w:rsid w:val="00974BAC"/>
    <w:rsid w:val="00977591"/>
    <w:rsid w:val="00980E75"/>
    <w:rsid w:val="009854F9"/>
    <w:rsid w:val="00994BE0"/>
    <w:rsid w:val="009A25B1"/>
    <w:rsid w:val="009A4608"/>
    <w:rsid w:val="009A6A57"/>
    <w:rsid w:val="009A70BF"/>
    <w:rsid w:val="009B1A15"/>
    <w:rsid w:val="009B4334"/>
    <w:rsid w:val="009B5433"/>
    <w:rsid w:val="009C0852"/>
    <w:rsid w:val="009C13CA"/>
    <w:rsid w:val="009C32C6"/>
    <w:rsid w:val="009C665F"/>
    <w:rsid w:val="009C7513"/>
    <w:rsid w:val="009D2E8B"/>
    <w:rsid w:val="009D3882"/>
    <w:rsid w:val="009D7E38"/>
    <w:rsid w:val="009E095B"/>
    <w:rsid w:val="009E1846"/>
    <w:rsid w:val="009E78FF"/>
    <w:rsid w:val="00A01494"/>
    <w:rsid w:val="00A048CB"/>
    <w:rsid w:val="00A106E3"/>
    <w:rsid w:val="00A22FA9"/>
    <w:rsid w:val="00A25024"/>
    <w:rsid w:val="00A25B21"/>
    <w:rsid w:val="00A32B15"/>
    <w:rsid w:val="00A35F8F"/>
    <w:rsid w:val="00A37536"/>
    <w:rsid w:val="00A41377"/>
    <w:rsid w:val="00A4263D"/>
    <w:rsid w:val="00A46B6B"/>
    <w:rsid w:val="00A509B8"/>
    <w:rsid w:val="00A52AB9"/>
    <w:rsid w:val="00A53BB1"/>
    <w:rsid w:val="00A6210B"/>
    <w:rsid w:val="00A64EBF"/>
    <w:rsid w:val="00A65159"/>
    <w:rsid w:val="00A65831"/>
    <w:rsid w:val="00A71200"/>
    <w:rsid w:val="00A7323A"/>
    <w:rsid w:val="00A831A8"/>
    <w:rsid w:val="00A831B4"/>
    <w:rsid w:val="00A84375"/>
    <w:rsid w:val="00A97798"/>
    <w:rsid w:val="00AA5213"/>
    <w:rsid w:val="00AA65A6"/>
    <w:rsid w:val="00AB0600"/>
    <w:rsid w:val="00AB7FC3"/>
    <w:rsid w:val="00AC1D8E"/>
    <w:rsid w:val="00AC48FA"/>
    <w:rsid w:val="00AC592F"/>
    <w:rsid w:val="00AD0240"/>
    <w:rsid w:val="00AD4137"/>
    <w:rsid w:val="00AD604B"/>
    <w:rsid w:val="00AE7FDB"/>
    <w:rsid w:val="00AF0B95"/>
    <w:rsid w:val="00AF2D68"/>
    <w:rsid w:val="00AF70A6"/>
    <w:rsid w:val="00B0325F"/>
    <w:rsid w:val="00B037BA"/>
    <w:rsid w:val="00B0409F"/>
    <w:rsid w:val="00B05054"/>
    <w:rsid w:val="00B14660"/>
    <w:rsid w:val="00B20139"/>
    <w:rsid w:val="00B218DA"/>
    <w:rsid w:val="00B23E42"/>
    <w:rsid w:val="00B342FA"/>
    <w:rsid w:val="00B53E8B"/>
    <w:rsid w:val="00B57E0F"/>
    <w:rsid w:val="00B6332E"/>
    <w:rsid w:val="00B634BC"/>
    <w:rsid w:val="00B72116"/>
    <w:rsid w:val="00B774D2"/>
    <w:rsid w:val="00B8015A"/>
    <w:rsid w:val="00B82A57"/>
    <w:rsid w:val="00B92FAD"/>
    <w:rsid w:val="00BA053B"/>
    <w:rsid w:val="00BB35AE"/>
    <w:rsid w:val="00BC03A1"/>
    <w:rsid w:val="00BC0D25"/>
    <w:rsid w:val="00BC35E6"/>
    <w:rsid w:val="00BC4C6E"/>
    <w:rsid w:val="00BD2505"/>
    <w:rsid w:val="00BD3C55"/>
    <w:rsid w:val="00BE447C"/>
    <w:rsid w:val="00BE592D"/>
    <w:rsid w:val="00BF52B0"/>
    <w:rsid w:val="00BF5697"/>
    <w:rsid w:val="00C14CCC"/>
    <w:rsid w:val="00C1695E"/>
    <w:rsid w:val="00C22C1C"/>
    <w:rsid w:val="00C33F2E"/>
    <w:rsid w:val="00C34359"/>
    <w:rsid w:val="00C34936"/>
    <w:rsid w:val="00C34C14"/>
    <w:rsid w:val="00C355B9"/>
    <w:rsid w:val="00C37EF1"/>
    <w:rsid w:val="00C401C4"/>
    <w:rsid w:val="00C41680"/>
    <w:rsid w:val="00C4622A"/>
    <w:rsid w:val="00C60A25"/>
    <w:rsid w:val="00C765C5"/>
    <w:rsid w:val="00C775CE"/>
    <w:rsid w:val="00C776E3"/>
    <w:rsid w:val="00C82479"/>
    <w:rsid w:val="00C867F0"/>
    <w:rsid w:val="00CA06D8"/>
    <w:rsid w:val="00CA345A"/>
    <w:rsid w:val="00CA3C63"/>
    <w:rsid w:val="00CB49FF"/>
    <w:rsid w:val="00CB53A5"/>
    <w:rsid w:val="00CC02CF"/>
    <w:rsid w:val="00CC086A"/>
    <w:rsid w:val="00CC2F82"/>
    <w:rsid w:val="00CD0E24"/>
    <w:rsid w:val="00CD0F66"/>
    <w:rsid w:val="00CD364B"/>
    <w:rsid w:val="00CD4735"/>
    <w:rsid w:val="00CE23B8"/>
    <w:rsid w:val="00CE284E"/>
    <w:rsid w:val="00CE50D7"/>
    <w:rsid w:val="00CF34F5"/>
    <w:rsid w:val="00CF360D"/>
    <w:rsid w:val="00CF4CBE"/>
    <w:rsid w:val="00CF5759"/>
    <w:rsid w:val="00CF6F64"/>
    <w:rsid w:val="00D0025C"/>
    <w:rsid w:val="00D00344"/>
    <w:rsid w:val="00D151D7"/>
    <w:rsid w:val="00D1754D"/>
    <w:rsid w:val="00D2021B"/>
    <w:rsid w:val="00D21924"/>
    <w:rsid w:val="00D21EEE"/>
    <w:rsid w:val="00D2223F"/>
    <w:rsid w:val="00D274A4"/>
    <w:rsid w:val="00D277AF"/>
    <w:rsid w:val="00D31163"/>
    <w:rsid w:val="00D320B1"/>
    <w:rsid w:val="00D323E3"/>
    <w:rsid w:val="00D33AFD"/>
    <w:rsid w:val="00D36489"/>
    <w:rsid w:val="00D369E9"/>
    <w:rsid w:val="00D42195"/>
    <w:rsid w:val="00D50704"/>
    <w:rsid w:val="00D52296"/>
    <w:rsid w:val="00D54F8A"/>
    <w:rsid w:val="00D5760A"/>
    <w:rsid w:val="00D61410"/>
    <w:rsid w:val="00D6591C"/>
    <w:rsid w:val="00D7248B"/>
    <w:rsid w:val="00D72516"/>
    <w:rsid w:val="00D8181D"/>
    <w:rsid w:val="00D968D8"/>
    <w:rsid w:val="00D96B86"/>
    <w:rsid w:val="00DA563D"/>
    <w:rsid w:val="00DA7277"/>
    <w:rsid w:val="00DB3627"/>
    <w:rsid w:val="00DB4724"/>
    <w:rsid w:val="00DB6944"/>
    <w:rsid w:val="00DC4746"/>
    <w:rsid w:val="00DD105F"/>
    <w:rsid w:val="00DD1D3D"/>
    <w:rsid w:val="00DD3D64"/>
    <w:rsid w:val="00DD455C"/>
    <w:rsid w:val="00DD5FA6"/>
    <w:rsid w:val="00DD64BB"/>
    <w:rsid w:val="00DD773F"/>
    <w:rsid w:val="00DE5A1F"/>
    <w:rsid w:val="00DE7149"/>
    <w:rsid w:val="00DE72E6"/>
    <w:rsid w:val="00DF30C6"/>
    <w:rsid w:val="00DF4FAD"/>
    <w:rsid w:val="00E0314C"/>
    <w:rsid w:val="00E1508F"/>
    <w:rsid w:val="00E160D8"/>
    <w:rsid w:val="00E208E3"/>
    <w:rsid w:val="00E24187"/>
    <w:rsid w:val="00E261DF"/>
    <w:rsid w:val="00E27240"/>
    <w:rsid w:val="00E27EDD"/>
    <w:rsid w:val="00E30584"/>
    <w:rsid w:val="00E310B9"/>
    <w:rsid w:val="00E359B8"/>
    <w:rsid w:val="00E35ADA"/>
    <w:rsid w:val="00E37E1B"/>
    <w:rsid w:val="00E47F21"/>
    <w:rsid w:val="00E5159E"/>
    <w:rsid w:val="00E5583A"/>
    <w:rsid w:val="00E562C0"/>
    <w:rsid w:val="00E57FAF"/>
    <w:rsid w:val="00E672D6"/>
    <w:rsid w:val="00E76024"/>
    <w:rsid w:val="00E76DD5"/>
    <w:rsid w:val="00E82945"/>
    <w:rsid w:val="00E83697"/>
    <w:rsid w:val="00E856A2"/>
    <w:rsid w:val="00E967AD"/>
    <w:rsid w:val="00E96884"/>
    <w:rsid w:val="00EA45B7"/>
    <w:rsid w:val="00EA5435"/>
    <w:rsid w:val="00EA5F47"/>
    <w:rsid w:val="00EB3573"/>
    <w:rsid w:val="00EB455E"/>
    <w:rsid w:val="00EC5358"/>
    <w:rsid w:val="00EC79DE"/>
    <w:rsid w:val="00ED4ACE"/>
    <w:rsid w:val="00EE4D35"/>
    <w:rsid w:val="00EF2DA7"/>
    <w:rsid w:val="00F1187E"/>
    <w:rsid w:val="00F13107"/>
    <w:rsid w:val="00F1412B"/>
    <w:rsid w:val="00F15BFA"/>
    <w:rsid w:val="00F177D6"/>
    <w:rsid w:val="00F328C9"/>
    <w:rsid w:val="00F34FAB"/>
    <w:rsid w:val="00F4124F"/>
    <w:rsid w:val="00F435AA"/>
    <w:rsid w:val="00F44786"/>
    <w:rsid w:val="00F52BCB"/>
    <w:rsid w:val="00F5305F"/>
    <w:rsid w:val="00F5738A"/>
    <w:rsid w:val="00F612D4"/>
    <w:rsid w:val="00F61328"/>
    <w:rsid w:val="00F7389E"/>
    <w:rsid w:val="00F7751A"/>
    <w:rsid w:val="00F77F1D"/>
    <w:rsid w:val="00F84545"/>
    <w:rsid w:val="00F84659"/>
    <w:rsid w:val="00F87CCB"/>
    <w:rsid w:val="00F93907"/>
    <w:rsid w:val="00FA033C"/>
    <w:rsid w:val="00FA1470"/>
    <w:rsid w:val="00FA2071"/>
    <w:rsid w:val="00FA48C7"/>
    <w:rsid w:val="00FA4C9C"/>
    <w:rsid w:val="00FB3874"/>
    <w:rsid w:val="00FB51FB"/>
    <w:rsid w:val="00FB670D"/>
    <w:rsid w:val="00FB73C1"/>
    <w:rsid w:val="00FC147A"/>
    <w:rsid w:val="00FD5C15"/>
    <w:rsid w:val="00FE6829"/>
    <w:rsid w:val="00FF515B"/>
    <w:rsid w:val="00FF6ED6"/>
    <w:rsid w:val="2A6A4B2B"/>
    <w:rsid w:val="39EF6864"/>
    <w:rsid w:val="554744CE"/>
    <w:rsid w:val="76A55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13B1C3DC-7D6C-41AE-9088-14769436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BC35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C35E6"/>
  </w:style>
  <w:style w:type="character" w:customStyle="1" w:styleId="eop">
    <w:name w:val="eop"/>
    <w:basedOn w:val="DefaultParagraphFont"/>
    <w:rsid w:val="00BC3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55B38"/>
    <w:rsid w:val="00127222"/>
    <w:rsid w:val="00137971"/>
    <w:rsid w:val="001736D7"/>
    <w:rsid w:val="00190AF4"/>
    <w:rsid w:val="00223FA3"/>
    <w:rsid w:val="002A288F"/>
    <w:rsid w:val="002C65A7"/>
    <w:rsid w:val="002F052A"/>
    <w:rsid w:val="00350176"/>
    <w:rsid w:val="003840F0"/>
    <w:rsid w:val="003D7880"/>
    <w:rsid w:val="00437537"/>
    <w:rsid w:val="004D785E"/>
    <w:rsid w:val="00513FC9"/>
    <w:rsid w:val="0053654E"/>
    <w:rsid w:val="005B7A4C"/>
    <w:rsid w:val="00610196"/>
    <w:rsid w:val="00632A7E"/>
    <w:rsid w:val="00632AB6"/>
    <w:rsid w:val="00730B33"/>
    <w:rsid w:val="00772B2A"/>
    <w:rsid w:val="007C672A"/>
    <w:rsid w:val="007D4368"/>
    <w:rsid w:val="00822666"/>
    <w:rsid w:val="00823ECC"/>
    <w:rsid w:val="00826796"/>
    <w:rsid w:val="00866A5F"/>
    <w:rsid w:val="00866C97"/>
    <w:rsid w:val="009017AE"/>
    <w:rsid w:val="009C542D"/>
    <w:rsid w:val="00A01A18"/>
    <w:rsid w:val="00A95183"/>
    <w:rsid w:val="00AB4AF7"/>
    <w:rsid w:val="00AD7C4F"/>
    <w:rsid w:val="00B445F5"/>
    <w:rsid w:val="00BD0C43"/>
    <w:rsid w:val="00BD40CB"/>
    <w:rsid w:val="00C06C1C"/>
    <w:rsid w:val="00C362A2"/>
    <w:rsid w:val="00C90121"/>
    <w:rsid w:val="00C96E73"/>
    <w:rsid w:val="00CA1FE8"/>
    <w:rsid w:val="00CA344F"/>
    <w:rsid w:val="00CA660C"/>
    <w:rsid w:val="00CA7BC3"/>
    <w:rsid w:val="00D1676E"/>
    <w:rsid w:val="00DC0246"/>
    <w:rsid w:val="00DE460D"/>
    <w:rsid w:val="00E13DBD"/>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DBD"/>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5BEB47CD10446A5A4490E19EED06A45">
    <w:name w:val="85BEB47CD10446A5A4490E19EED06A45"/>
    <w:rsid w:val="00E13DBD"/>
    <w:pPr>
      <w:spacing w:after="160" w:line="259" w:lineRule="auto"/>
    </w:pPr>
  </w:style>
  <w:style w:type="paragraph" w:customStyle="1" w:styleId="5A11A6AEC3A14104A6B0D7099001F19C">
    <w:name w:val="5A11A6AEC3A14104A6B0D7099001F19C"/>
    <w:rsid w:val="00E13D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schemas.microsoft.com/office/2006/documentManagement/types"/>
    <ds:schemaRef ds:uri="76bce2c7-2e52-4525-a6e0-24f8a73e605d"/>
    <ds:schemaRef ds:uri="http://schemas.openxmlformats.org/package/2006/metadata/core-properties"/>
    <ds:schemaRef ds:uri="http://www.w3.org/XML/1998/namespace"/>
    <ds:schemaRef ds:uri="http://purl.org/dc/terms/"/>
    <ds:schemaRef ds:uri="http://schemas.microsoft.com/office/2006/metadata/properties"/>
    <ds:schemaRef ds:uri="http://purl.org/dc/elements/1.1/"/>
    <ds:schemaRef ds:uri="http://purl.org/dc/dcmitype/"/>
    <ds:schemaRef ds:uri="http://schemas.microsoft.com/office/infopath/2007/PartnerControls"/>
    <ds:schemaRef ds:uri="64615f93-1352-4a7e-b7a8-3b07e39b2009"/>
  </ds:schemaRefs>
</ds:datastoreItem>
</file>

<file path=customXml/itemProps3.xml><?xml version="1.0" encoding="utf-8"?>
<ds:datastoreItem xmlns:ds="http://schemas.openxmlformats.org/officeDocument/2006/customXml" ds:itemID="{6E4E36F0-E74A-4240-A055-1991D037E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3324CB-8590-4678-BE78-B46D77159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6635</Words>
  <Characters>37822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Brittany Wade</cp:lastModifiedBy>
  <cp:revision>2</cp:revision>
  <dcterms:created xsi:type="dcterms:W3CDTF">2019-11-08T18:09:00Z</dcterms:created>
  <dcterms:modified xsi:type="dcterms:W3CDTF">2019-11-08T18:09:00Z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