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2C01335C"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383C5A">
            <w:rPr>
              <w:rStyle w:val="Style1"/>
            </w:rPr>
            <w:t>0575</w:t>
          </w:r>
        </w:sdtContent>
      </w:sdt>
    </w:p>
    <w:p w14:paraId="55B8DA2F" w14:textId="59D77542"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383C5A">
            <w:rPr>
              <w:rStyle w:val="Style1"/>
            </w:rPr>
            <w:t>Comprehensive Diabetes Care: Hemoglobin A1c (HbA1c) Control (&lt;8.0%)</w:t>
          </w:r>
        </w:sdtContent>
      </w:sdt>
    </w:p>
    <w:p w14:paraId="55B8DA30" w14:textId="26AE6BA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383C5A">
            <w:rPr>
              <w:rStyle w:val="Style1"/>
            </w:rPr>
            <w:t>Comprehensive Diabetes Care</w:t>
          </w:r>
        </w:sdtContent>
      </w:sdt>
    </w:p>
    <w:p w14:paraId="55B8DA31" w14:textId="4DF28900"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8-01T00:00:00Z">
            <w:dateFormat w:val="M/d/yyyy"/>
            <w:lid w:val="en-US"/>
            <w:storeMappedDataAs w:val="dateTime"/>
            <w:calendar w:val="gregorian"/>
          </w:date>
        </w:sdtPr>
        <w:sdtEndPr>
          <w:rPr>
            <w:rStyle w:val="DefaultParagraphFont"/>
            <w:noProof/>
            <w:color w:val="auto"/>
            <w:u w:val="none"/>
          </w:rPr>
        </w:sdtEndPr>
        <w:sdtContent>
          <w:r w:rsidR="00383C5A">
            <w:rPr>
              <w:rStyle w:val="Style2"/>
            </w:rPr>
            <w:t>8/1/2019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ascii="Symbol" w:eastAsia="Symbol" w:hAnsi="Symbol" w:cs="Symbol"/>
                <w:sz w:val="20"/>
                <w:szCs w:val="20"/>
              </w:rPr>
              <w:t></w:t>
            </w:r>
            <w:r w:rsidRPr="003B1CC5">
              <w:rPr>
                <w:rFonts w:eastAsia="Calibri" w:cs="Calibri"/>
                <w:sz w:val="20"/>
                <w:szCs w:val="20"/>
              </w:rPr>
              <w:t xml:space="preserve"> identify problem/potential problem </w:t>
            </w:r>
            <w:r w:rsidRPr="003B1CC5">
              <w:rPr>
                <w:rFonts w:ascii="Symbol" w:eastAsia="Symbol" w:hAnsi="Symbol" w:cs="Symbol"/>
                <w:sz w:val="20"/>
                <w:szCs w:val="20"/>
              </w:rPr>
              <w:t></w:t>
            </w:r>
            <w:r w:rsidRPr="003B1CC5">
              <w:rPr>
                <w:rFonts w:eastAsia="Calibri" w:cs="Calibri"/>
                <w:sz w:val="20"/>
                <w:szCs w:val="20"/>
              </w:rPr>
              <w:t xml:space="preserve"> choose/plan intervention (with patient input) </w:t>
            </w:r>
            <w:r w:rsidRPr="003B1CC5">
              <w:rPr>
                <w:rFonts w:ascii="Symbol" w:eastAsia="Symbol" w:hAnsi="Symbol" w:cs="Symbol"/>
                <w:sz w:val="20"/>
                <w:szCs w:val="20"/>
              </w:rPr>
              <w:t></w:t>
            </w:r>
            <w:r w:rsidRPr="003B1CC5">
              <w:rPr>
                <w:rFonts w:eastAsia="Calibri" w:cs="Calibri"/>
                <w:sz w:val="20"/>
                <w:szCs w:val="20"/>
              </w:rPr>
              <w:t xml:space="preserve"> provide intervention </w:t>
            </w:r>
            <w:r w:rsidRPr="003B1CC5">
              <w:rPr>
                <w:rFonts w:ascii="Symbol" w:eastAsia="Symbol" w:hAnsi="Symbol" w:cs="Symbol"/>
                <w:sz w:val="20"/>
                <w:szCs w:val="20"/>
              </w:rPr>
              <w:t></w:t>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397F3E"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397F3E"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117D0BFB" w:rsidR="00496AF8" w:rsidRPr="003B1CC5" w:rsidRDefault="00397F3E" w:rsidP="004E7215">
      <w:pPr>
        <w:rPr>
          <w:bCs/>
        </w:rPr>
      </w:pPr>
      <w:sdt>
        <w:sdtPr>
          <w:rPr>
            <w:bCs/>
            <w:color w:val="0000FF"/>
          </w:rPr>
          <w:id w:val="-720977531"/>
          <w14:checkbox>
            <w14:checked w14:val="1"/>
            <w14:checkedState w14:val="2612" w14:font="MS Gothic"/>
            <w14:uncheckedState w14:val="2610" w14:font="MS Gothic"/>
          </w14:checkbox>
        </w:sdtPr>
        <w:sdtEndPr/>
        <w:sdtContent>
          <w:r w:rsidR="003138F3">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397F3E"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397F3E"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397F3E"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55B8DA5B" w14:textId="79AA2390" w:rsidR="002B06BD" w:rsidRPr="003138F3" w:rsidRDefault="003138F3" w:rsidP="004128B1">
      <w:pPr>
        <w:ind w:left="432" w:hanging="72"/>
        <w:rPr>
          <w:color w:val="0000FF"/>
        </w:rPr>
      </w:pPr>
      <w:r>
        <w:rPr>
          <w:color w:val="0000FF"/>
        </w:rPr>
        <w:t xml:space="preserve">Adults with diabetes (type 1 or 2) &gt;&gt;&gt; HbA1c test (screening) is performed &gt;&gt;&gt; Test (screening) results are evaluated </w:t>
      </w:r>
      <w:r w:rsidRPr="00DC001E">
        <w:rPr>
          <w:color w:val="0000FF"/>
        </w:rPr>
        <w:t>for adequate control &gt;&gt;&gt; HbA1c results (&lt;8.0%) &gt;&gt;&gt; Health provider determines treatment to maintain HbA1c</w:t>
      </w:r>
      <w:r>
        <w:rPr>
          <w:color w:val="0000FF"/>
        </w:rPr>
        <w:t xml:space="preserve"> to desirable level &gt;&gt;&gt; improvement in HbA1c level and/or quality of life (desired outcome).</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91B3A6A" w:rsidR="004922E4" w:rsidRPr="000440C0" w:rsidRDefault="000440C0" w:rsidP="002E2177">
      <w:pPr>
        <w:ind w:left="432" w:hanging="432"/>
        <w:rPr>
          <w:bCs/>
          <w:color w:val="0000FF"/>
        </w:rPr>
      </w:pPr>
      <w:r w:rsidRPr="000440C0">
        <w:rPr>
          <w:bCs/>
          <w:color w:val="0000FF"/>
        </w:rPr>
        <w:tab/>
        <w:t>N/A</w:t>
      </w:r>
    </w:p>
    <w:p w14:paraId="55B8DA5D" w14:textId="77777777" w:rsidR="00676BD4" w:rsidRDefault="00676BD4" w:rsidP="002E2177">
      <w:pPr>
        <w:ind w:left="432" w:hanging="432"/>
        <w:rPr>
          <w:b/>
          <w:color w:val="0000FF"/>
        </w:rPr>
      </w:pPr>
    </w:p>
    <w:p w14:paraId="55B8DA5E" w14:textId="77777777" w:rsidR="00F90F82" w:rsidRDefault="00F90F82" w:rsidP="002E2177">
      <w:pPr>
        <w:ind w:left="432" w:hanging="432"/>
        <w:rPr>
          <w:b/>
          <w:color w:val="0000FF"/>
        </w:rPr>
      </w:pP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r w:rsidR="005857F8" w:rsidRPr="003B1CC5">
        <w:rPr>
          <w:b/>
          <w:iCs/>
        </w:rPr>
        <w:t>or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55B8DA64" w14:textId="129DD26E" w:rsidR="00D14F0B" w:rsidRPr="00BB4FEF" w:rsidRDefault="00BB4FEF" w:rsidP="00BB4FEF">
      <w:pPr>
        <w:ind w:left="0" w:firstLine="432"/>
        <w:rPr>
          <w:iCs/>
          <w:color w:val="0000FF"/>
        </w:rPr>
      </w:pPr>
      <w:r>
        <w:rPr>
          <w:iCs/>
          <w:color w:val="0000FF"/>
        </w:rPr>
        <w:t>N/A</w:t>
      </w: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lastRenderedPageBreak/>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37B7802A" w:rsidR="00A9011D" w:rsidRPr="00A9011D" w:rsidRDefault="00397F3E" w:rsidP="00A9011D">
      <w:pPr>
        <w:ind w:left="0" w:firstLine="0"/>
        <w:rPr>
          <w:rFonts w:ascii="Calibri" w:eastAsia="Calibri" w:hAnsi="Calibri" w:cs="Times New Roman"/>
        </w:rPr>
      </w:pPr>
      <w:sdt>
        <w:sdtPr>
          <w:rPr>
            <w:bCs/>
            <w:color w:val="0000FF"/>
          </w:rPr>
          <w:id w:val="436639890"/>
          <w14:checkbox>
            <w14:checked w14:val="1"/>
            <w14:checkedState w14:val="2612" w14:font="MS Gothic"/>
            <w14:uncheckedState w14:val="2610" w14:font="MS Gothic"/>
          </w14:checkbox>
        </w:sdtPr>
        <w:sdtEndPr/>
        <w:sdtContent>
          <w:r w:rsidR="00030049">
            <w:rPr>
              <w:rFonts w:ascii="MS Gothic" w:eastAsia="MS Gothic" w:hAnsi="MS Gothic" w:hint="eastAsia"/>
              <w:bCs/>
              <w:color w:val="0000FF"/>
            </w:rPr>
            <w:t>☒</w:t>
          </w:r>
        </w:sdtContent>
      </w:sdt>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206A1246" w:rsidR="00A9011D" w:rsidRPr="00A9011D" w:rsidRDefault="00397F3E" w:rsidP="00A9011D">
      <w:pPr>
        <w:ind w:left="0" w:firstLine="0"/>
        <w:rPr>
          <w:rFonts w:ascii="Calibri" w:eastAsia="Calibri" w:hAnsi="Calibri" w:cs="Times New Roman"/>
          <w:b/>
          <w:i/>
        </w:rPr>
      </w:pPr>
      <w:sdt>
        <w:sdtPr>
          <w:rPr>
            <w:rFonts w:ascii="MS Gothic" w:eastAsia="MS Gothic" w:hAnsi="MS Gothic"/>
            <w:bCs/>
            <w:color w:val="0000FF"/>
          </w:rPr>
          <w:id w:val="-2059072906"/>
          <w14:checkbox>
            <w14:checked w14:val="0"/>
            <w14:checkedState w14:val="2612" w14:font="MS Gothic"/>
            <w14:uncheckedState w14:val="2610" w14:font="MS Gothic"/>
          </w14:checkbox>
        </w:sdtPr>
        <w:sdtEndPr/>
        <w:sdtContent>
          <w:r w:rsidR="00030049" w:rsidRPr="00D73685">
            <w:rPr>
              <w:rFonts w:ascii="MS Gothic" w:eastAsia="MS Gothic" w:hAnsi="MS Gothic" w:hint="eastAsia"/>
              <w:bCs/>
              <w:color w:val="0000FF"/>
            </w:rPr>
            <w:t>☐</w:t>
          </w:r>
        </w:sdtContent>
      </w:sdt>
      <w:r w:rsidR="00030049" w:rsidRPr="00A9011D">
        <w:rPr>
          <w:rFonts w:ascii="Calibri" w:eastAsia="Calibri" w:hAnsi="Calibri" w:cs="Times New Roman"/>
        </w:rPr>
        <w:t xml:space="preserve"> </w:t>
      </w:r>
      <w:r w:rsidR="00A9011D" w:rsidRPr="00A9011D">
        <w:rPr>
          <w:rFonts w:ascii="Calibri" w:eastAsia="Calibri" w:hAnsi="Calibri" w:cs="Times New Roman"/>
        </w:rPr>
        <w:t>US Preventive Services Task Force Recommendation</w:t>
      </w:r>
    </w:p>
    <w:p w14:paraId="55B8DA6B" w14:textId="46CB3CEA" w:rsidR="00A9011D" w:rsidRPr="00A9011D" w:rsidRDefault="00397F3E" w:rsidP="00A9011D">
      <w:pPr>
        <w:ind w:left="0" w:firstLine="0"/>
        <w:rPr>
          <w:rFonts w:ascii="Calibri" w:eastAsia="Calibri" w:hAnsi="Calibri" w:cs="Times New Roman"/>
        </w:rPr>
      </w:pPr>
      <w:sdt>
        <w:sdtPr>
          <w:rPr>
            <w:rFonts w:ascii="MS Gothic" w:eastAsia="MS Gothic" w:hAnsi="MS Gothic"/>
            <w:bCs/>
            <w:color w:val="0000FF"/>
          </w:rPr>
          <w:id w:val="760869584"/>
          <w14:checkbox>
            <w14:checked w14:val="0"/>
            <w14:checkedState w14:val="2612" w14:font="MS Gothic"/>
            <w14:uncheckedState w14:val="2610" w14:font="MS Gothic"/>
          </w14:checkbox>
        </w:sdtPr>
        <w:sdtEndPr/>
        <w:sdtContent>
          <w:r w:rsidR="00030049" w:rsidRPr="00D73685">
            <w:rPr>
              <w:rFonts w:ascii="MS Gothic" w:eastAsia="MS Gothic" w:hAnsi="MS Gothic" w:hint="eastAsia"/>
              <w:bCs/>
              <w:color w:val="0000FF"/>
            </w:rPr>
            <w:t>☐</w:t>
          </w:r>
        </w:sdtContent>
      </w:sdt>
      <w:r w:rsidR="00A9011D" w:rsidRPr="00A9011D">
        <w:rPr>
          <w:rFonts w:ascii="Calibri" w:eastAsia="Calibri" w:hAnsi="Calibri" w:cs="Times New Roman"/>
        </w:rPr>
        <w:t xml:space="preserve"> Other systematic review and grading of the body of evidence (</w:t>
      </w:r>
      <w:r w:rsidR="00A9011D" w:rsidRPr="00A9011D">
        <w:rPr>
          <w:rFonts w:ascii="Calibri" w:eastAsia="Calibri" w:hAnsi="Calibri" w:cs="Times New Roman"/>
          <w:i/>
        </w:rPr>
        <w:t>e.g., Cochrane Collaboration, AHRQ Evidence Practice Center</w:t>
      </w:r>
      <w:r w:rsidR="00A9011D" w:rsidRPr="00A9011D">
        <w:rPr>
          <w:rFonts w:ascii="Calibri" w:eastAsia="Calibri" w:hAnsi="Calibri" w:cs="Times New Roman"/>
        </w:rPr>
        <w:t xml:space="preserve">) </w:t>
      </w:r>
    </w:p>
    <w:p w14:paraId="55B8DA6C" w14:textId="5C11B13B" w:rsidR="00A9011D" w:rsidRPr="000F4A7F" w:rsidRDefault="00397F3E" w:rsidP="002E2177">
      <w:pPr>
        <w:ind w:left="0" w:firstLine="0"/>
        <w:rPr>
          <w:rFonts w:ascii="Calibri" w:eastAsia="Calibri" w:hAnsi="Calibri" w:cs="Times New Roman"/>
        </w:rPr>
      </w:pPr>
      <w:sdt>
        <w:sdtPr>
          <w:rPr>
            <w:rFonts w:ascii="MS Gothic" w:eastAsia="MS Gothic" w:hAnsi="MS Gothic"/>
            <w:bCs/>
            <w:color w:val="0000FF"/>
          </w:rPr>
          <w:id w:val="-43291654"/>
          <w14:checkbox>
            <w14:checked w14:val="0"/>
            <w14:checkedState w14:val="2612" w14:font="MS Gothic"/>
            <w14:uncheckedState w14:val="2610" w14:font="MS Gothic"/>
          </w14:checkbox>
        </w:sdtPr>
        <w:sdtEndPr/>
        <w:sdtContent>
          <w:r w:rsidR="00030049" w:rsidRPr="00D73685">
            <w:rPr>
              <w:rFonts w:ascii="MS Gothic" w:eastAsia="MS Gothic" w:hAnsi="MS Gothic" w:hint="eastAsia"/>
              <w:bCs/>
              <w:color w:val="0000FF"/>
            </w:rPr>
            <w:t>☐</w:t>
          </w:r>
        </w:sdtContent>
      </w:sdt>
      <w:r w:rsidR="00A9011D"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p w14:paraId="68FF9D38" w14:textId="566C60B3" w:rsidR="00433D86" w:rsidRDefault="00433D86" w:rsidP="00433D86">
      <w:pPr>
        <w:ind w:left="0" w:firstLine="0"/>
        <w:rPr>
          <w:color w:val="0000FF"/>
        </w:rPr>
      </w:pPr>
      <w:r>
        <w:rPr>
          <w:color w:val="0000FF"/>
        </w:rPr>
        <w:t>Table 1. American Diabetes Association (ADA) Guidelines</w:t>
      </w:r>
    </w:p>
    <w:tbl>
      <w:tblPr>
        <w:tblStyle w:val="TableGrid"/>
        <w:tblW w:w="0" w:type="auto"/>
        <w:tblLook w:val="04A0" w:firstRow="1" w:lastRow="0" w:firstColumn="1" w:lastColumn="0" w:noHBand="0" w:noVBand="1"/>
      </w:tblPr>
      <w:tblGrid>
        <w:gridCol w:w="2875"/>
        <w:gridCol w:w="6384"/>
      </w:tblGrid>
      <w:tr w:rsidR="00DA369B" w14:paraId="0BEA4A01" w14:textId="77777777" w:rsidTr="00793E60">
        <w:tc>
          <w:tcPr>
            <w:tcW w:w="2875" w:type="dxa"/>
          </w:tcPr>
          <w:p w14:paraId="77B25539" w14:textId="77777777" w:rsidR="00DA369B" w:rsidRPr="00AB4ECE" w:rsidRDefault="00DA369B" w:rsidP="00793E60">
            <w:pPr>
              <w:ind w:left="0" w:firstLine="0"/>
              <w:rPr>
                <w:b/>
              </w:rPr>
            </w:pPr>
            <w:r w:rsidRPr="00AB4ECE">
              <w:rPr>
                <w:b/>
              </w:rPr>
              <w:t>Source of Systematic Review:</w:t>
            </w:r>
          </w:p>
          <w:p w14:paraId="0F7C689E" w14:textId="77777777" w:rsidR="00DA369B" w:rsidRPr="00AB4ECE" w:rsidRDefault="00DA369B" w:rsidP="00793E60">
            <w:pPr>
              <w:pStyle w:val="ListParagraph"/>
              <w:numPr>
                <w:ilvl w:val="0"/>
                <w:numId w:val="9"/>
              </w:numPr>
              <w:rPr>
                <w:b/>
              </w:rPr>
            </w:pPr>
            <w:r w:rsidRPr="00AB4ECE">
              <w:rPr>
                <w:b/>
              </w:rPr>
              <w:t>Title</w:t>
            </w:r>
          </w:p>
          <w:p w14:paraId="32C62115" w14:textId="77777777" w:rsidR="00DA369B" w:rsidRPr="00AB4ECE" w:rsidRDefault="00DA369B" w:rsidP="00793E60">
            <w:pPr>
              <w:pStyle w:val="ListParagraph"/>
              <w:numPr>
                <w:ilvl w:val="0"/>
                <w:numId w:val="9"/>
              </w:numPr>
              <w:rPr>
                <w:b/>
              </w:rPr>
            </w:pPr>
            <w:r w:rsidRPr="00AB4ECE">
              <w:rPr>
                <w:b/>
              </w:rPr>
              <w:t>Author</w:t>
            </w:r>
          </w:p>
          <w:p w14:paraId="75EFF87E" w14:textId="77777777" w:rsidR="00DA369B" w:rsidRPr="00AB4ECE" w:rsidRDefault="00DA369B" w:rsidP="00793E60">
            <w:pPr>
              <w:pStyle w:val="ListParagraph"/>
              <w:numPr>
                <w:ilvl w:val="0"/>
                <w:numId w:val="9"/>
              </w:numPr>
              <w:rPr>
                <w:b/>
              </w:rPr>
            </w:pPr>
            <w:r w:rsidRPr="00AB4ECE">
              <w:rPr>
                <w:b/>
              </w:rPr>
              <w:t>Date</w:t>
            </w:r>
          </w:p>
          <w:p w14:paraId="121D001F" w14:textId="77777777" w:rsidR="00DA369B" w:rsidRPr="00AB4ECE" w:rsidRDefault="00DA369B" w:rsidP="00793E60">
            <w:pPr>
              <w:pStyle w:val="ListParagraph"/>
              <w:numPr>
                <w:ilvl w:val="0"/>
                <w:numId w:val="9"/>
              </w:numPr>
              <w:rPr>
                <w:b/>
              </w:rPr>
            </w:pPr>
            <w:r w:rsidRPr="00AB4ECE">
              <w:rPr>
                <w:b/>
              </w:rPr>
              <w:t>Citation, including page number</w:t>
            </w:r>
          </w:p>
          <w:p w14:paraId="7D9A72F5" w14:textId="77777777" w:rsidR="00DA369B" w:rsidRPr="00AB4ECE" w:rsidRDefault="00DA369B" w:rsidP="00793E60">
            <w:pPr>
              <w:pStyle w:val="ListParagraph"/>
              <w:numPr>
                <w:ilvl w:val="0"/>
                <w:numId w:val="9"/>
              </w:numPr>
              <w:rPr>
                <w:b/>
              </w:rPr>
            </w:pPr>
            <w:r w:rsidRPr="00AB4ECE">
              <w:rPr>
                <w:b/>
              </w:rPr>
              <w:t>URL</w:t>
            </w:r>
          </w:p>
        </w:tc>
        <w:tc>
          <w:tcPr>
            <w:tcW w:w="6323" w:type="dxa"/>
          </w:tcPr>
          <w:p w14:paraId="29392F12" w14:textId="77777777" w:rsidR="00DA369B" w:rsidRDefault="00DA369B" w:rsidP="00793E60">
            <w:pPr>
              <w:pStyle w:val="ListParagraph"/>
              <w:numPr>
                <w:ilvl w:val="0"/>
                <w:numId w:val="9"/>
              </w:numPr>
              <w:spacing w:after="0" w:line="240" w:lineRule="auto"/>
              <w:rPr>
                <w:bCs/>
                <w:color w:val="0000FF"/>
              </w:rPr>
            </w:pPr>
            <w:r>
              <w:rPr>
                <w:bCs/>
                <w:color w:val="0000FF"/>
              </w:rPr>
              <w:t>Standards of Medical Care in Diabetes–2019.</w:t>
            </w:r>
          </w:p>
          <w:p w14:paraId="11CF8801" w14:textId="77777777" w:rsidR="00DA369B" w:rsidRDefault="00DA369B" w:rsidP="00793E60">
            <w:pPr>
              <w:pStyle w:val="ListParagraph"/>
              <w:numPr>
                <w:ilvl w:val="0"/>
                <w:numId w:val="9"/>
              </w:numPr>
              <w:spacing w:after="0" w:line="240" w:lineRule="auto"/>
              <w:rPr>
                <w:bCs/>
                <w:color w:val="0000FF"/>
              </w:rPr>
            </w:pPr>
            <w:r>
              <w:rPr>
                <w:bCs/>
                <w:color w:val="0000FF"/>
              </w:rPr>
              <w:t>American Diabetes Association</w:t>
            </w:r>
          </w:p>
          <w:p w14:paraId="61A14642" w14:textId="77777777" w:rsidR="00DA369B" w:rsidRDefault="00DA369B" w:rsidP="00793E60">
            <w:pPr>
              <w:pStyle w:val="ListParagraph"/>
              <w:numPr>
                <w:ilvl w:val="0"/>
                <w:numId w:val="9"/>
              </w:numPr>
              <w:spacing w:after="0" w:line="240" w:lineRule="auto"/>
              <w:rPr>
                <w:bCs/>
                <w:color w:val="0000FF"/>
              </w:rPr>
            </w:pPr>
            <w:r>
              <w:rPr>
                <w:bCs/>
                <w:color w:val="0000FF"/>
              </w:rPr>
              <w:t>January 2019</w:t>
            </w:r>
          </w:p>
          <w:p w14:paraId="03113F27" w14:textId="77777777" w:rsidR="00DA369B" w:rsidRDefault="00DA369B" w:rsidP="00793E60">
            <w:pPr>
              <w:pStyle w:val="ListParagraph"/>
              <w:numPr>
                <w:ilvl w:val="0"/>
                <w:numId w:val="9"/>
              </w:numPr>
              <w:spacing w:after="0" w:line="240" w:lineRule="auto"/>
              <w:rPr>
                <w:bCs/>
                <w:color w:val="0000FF"/>
              </w:rPr>
            </w:pPr>
            <w:r>
              <w:rPr>
                <w:bCs/>
                <w:color w:val="0000FF"/>
              </w:rPr>
              <w:t xml:space="preserve">The American Diabetes Association’s Standards of Medical Care in Diabetes—2019. Diabetes Care </w:t>
            </w:r>
            <w:r>
              <w:rPr>
                <w:bCs/>
                <w:i/>
                <w:iCs/>
                <w:color w:val="0000FF"/>
              </w:rPr>
              <w:t>2019 Jan; 37(1): 11-34</w:t>
            </w:r>
            <w:r>
              <w:rPr>
                <w:bCs/>
                <w:color w:val="0000FF"/>
              </w:rPr>
              <w:t xml:space="preserve">. </w:t>
            </w:r>
            <w:hyperlink r:id="rId15" w:history="1">
              <w:r w:rsidRPr="00E21A48">
                <w:rPr>
                  <w:rStyle w:val="Hyperlink"/>
                  <w:bCs/>
                </w:rPr>
                <w:t>https://doi.org/10.2337/cd18-0105</w:t>
              </w:r>
            </w:hyperlink>
            <w:r w:rsidRPr="002249BB">
              <w:rPr>
                <w:bCs/>
                <w:color w:val="0000FF"/>
              </w:rPr>
              <w:t xml:space="preserve"> </w:t>
            </w:r>
          </w:p>
          <w:p w14:paraId="47B0613B" w14:textId="77777777" w:rsidR="00DA369B" w:rsidRPr="001865BA" w:rsidRDefault="00DA369B" w:rsidP="00793E60">
            <w:pPr>
              <w:pStyle w:val="ListParagraph"/>
              <w:numPr>
                <w:ilvl w:val="0"/>
                <w:numId w:val="9"/>
              </w:numPr>
              <w:spacing w:after="0" w:line="240" w:lineRule="auto"/>
              <w:rPr>
                <w:bCs/>
                <w:color w:val="0000FF"/>
              </w:rPr>
            </w:pPr>
            <w:r>
              <w:t xml:space="preserve">URL: </w:t>
            </w:r>
            <w:hyperlink r:id="rId16" w:history="1">
              <w:r w:rsidRPr="004A6CB7">
                <w:rPr>
                  <w:rStyle w:val="Hyperlink"/>
                </w:rPr>
                <w:t>https://care.diabetesjournals.org/content/42/Supplement_1</w:t>
              </w:r>
            </w:hyperlink>
          </w:p>
          <w:p w14:paraId="548EF8C4" w14:textId="77777777" w:rsidR="00DA369B" w:rsidRPr="002249BB" w:rsidRDefault="00DA369B" w:rsidP="00793E60">
            <w:pPr>
              <w:pStyle w:val="ListParagraph"/>
              <w:spacing w:after="0" w:line="240" w:lineRule="auto"/>
              <w:ind w:firstLine="0"/>
              <w:rPr>
                <w:bCs/>
                <w:color w:val="0000FF"/>
              </w:rPr>
            </w:pPr>
          </w:p>
        </w:tc>
      </w:tr>
      <w:tr w:rsidR="00DA369B" w14:paraId="64A653CD" w14:textId="77777777" w:rsidTr="00793E60">
        <w:tc>
          <w:tcPr>
            <w:tcW w:w="2875" w:type="dxa"/>
          </w:tcPr>
          <w:p w14:paraId="3625B0D3" w14:textId="77777777" w:rsidR="00DA369B" w:rsidRDefault="00DA369B" w:rsidP="00793E60">
            <w:pPr>
              <w:ind w:left="0" w:firstLine="0"/>
            </w:pPr>
            <w:r>
              <w:t>Quote the guideline or recommendation verbatim about the process, structure or intermediate outcome being measured. If not a guideline, summarize the conclusions from the SR.</w:t>
            </w:r>
          </w:p>
        </w:tc>
        <w:tc>
          <w:tcPr>
            <w:tcW w:w="6323" w:type="dxa"/>
          </w:tcPr>
          <w:p w14:paraId="5EFD6BC9" w14:textId="77777777" w:rsidR="00DA369B" w:rsidRPr="00FA7D18" w:rsidRDefault="00DA369B" w:rsidP="00793E60">
            <w:pPr>
              <w:ind w:left="0" w:firstLine="0"/>
              <w:rPr>
                <w:color w:val="0000FF"/>
                <w:u w:val="single"/>
              </w:rPr>
            </w:pPr>
            <w:r w:rsidRPr="00FA7D18">
              <w:rPr>
                <w:color w:val="0000FF"/>
                <w:u w:val="single"/>
              </w:rPr>
              <w:t>Recommendations (2019)</w:t>
            </w:r>
            <w:r>
              <w:rPr>
                <w:color w:val="0000FF"/>
                <w:u w:val="single"/>
              </w:rPr>
              <w:t>:</w:t>
            </w:r>
          </w:p>
          <w:p w14:paraId="3B1CF5C1" w14:textId="77777777" w:rsidR="00DA369B" w:rsidRPr="0095035C" w:rsidRDefault="00DA369B" w:rsidP="00793E60">
            <w:pPr>
              <w:pStyle w:val="ListParagraph"/>
              <w:numPr>
                <w:ilvl w:val="0"/>
                <w:numId w:val="12"/>
              </w:numPr>
              <w:spacing w:after="0" w:line="240" w:lineRule="auto"/>
              <w:rPr>
                <w:rFonts w:cstheme="minorHAnsi"/>
                <w:color w:val="0000FF"/>
              </w:rPr>
            </w:pPr>
            <w:r>
              <w:rPr>
                <w:color w:val="0000FF"/>
              </w:rPr>
              <w:t xml:space="preserve">A reasonable A1C goal for many nonpregnant </w:t>
            </w:r>
            <w:r w:rsidRPr="0095035C">
              <w:rPr>
                <w:rFonts w:cstheme="minorHAnsi"/>
                <w:color w:val="0000FF"/>
              </w:rPr>
              <w:t>adults is &lt;7% (53 mmol/mol). (Grade A)</w:t>
            </w:r>
          </w:p>
          <w:p w14:paraId="610CD0FE" w14:textId="77777777" w:rsidR="00DA369B" w:rsidRPr="00A35CCB" w:rsidRDefault="00DA369B" w:rsidP="00793E60">
            <w:pPr>
              <w:pStyle w:val="ListParagraph"/>
              <w:numPr>
                <w:ilvl w:val="0"/>
                <w:numId w:val="12"/>
              </w:numPr>
              <w:spacing w:after="0" w:line="240" w:lineRule="auto"/>
              <w:rPr>
                <w:rFonts w:cstheme="minorHAnsi"/>
                <w:color w:val="0000FF"/>
              </w:rPr>
            </w:pPr>
            <w:r w:rsidRPr="0095035C">
              <w:rPr>
                <w:rFonts w:cstheme="minorHAnsi"/>
                <w:color w:val="0000FF"/>
              </w:rPr>
              <w:t xml:space="preserve">Providers might reasonably suggest more stringent A1C goals (such as &lt;6.5% </w:t>
            </w:r>
            <w:r w:rsidRPr="0095035C">
              <w:rPr>
                <w:rFonts w:cstheme="minorHAnsi"/>
                <w:color w:val="0000FF"/>
                <w:shd w:val="clear" w:color="auto" w:fill="FFFFFF"/>
              </w:rPr>
              <w:t xml:space="preserve">[48 mmol/mol]) for selected individual patients if this can be achieved without significant hypoglycemia or other adverse effects of treatment (i.e., polypharmacy). Appropriate patients might include those with short duration of diabetes, type 2 diabetes treated </w:t>
            </w:r>
            <w:r w:rsidRPr="00A35CCB">
              <w:rPr>
                <w:rFonts w:cstheme="minorHAnsi"/>
                <w:color w:val="0000FF"/>
                <w:shd w:val="clear" w:color="auto" w:fill="FFFFFF"/>
              </w:rPr>
              <w:t>with lifestyle or metformin only, long life expectancy, or no significant cardiovascular disease. (Grade C)</w:t>
            </w:r>
          </w:p>
          <w:p w14:paraId="43BA7EFC" w14:textId="77777777" w:rsidR="00DA369B" w:rsidRPr="008E3B16" w:rsidRDefault="00DA369B" w:rsidP="00793E60">
            <w:pPr>
              <w:pStyle w:val="ListParagraph"/>
              <w:numPr>
                <w:ilvl w:val="0"/>
                <w:numId w:val="12"/>
              </w:numPr>
              <w:spacing w:after="0" w:line="240" w:lineRule="auto"/>
              <w:rPr>
                <w:color w:val="0000FF"/>
              </w:rPr>
            </w:pPr>
            <w:r w:rsidRPr="00A35CCB">
              <w:rPr>
                <w:rFonts w:cstheme="minorHAnsi"/>
                <w:color w:val="0000FF"/>
                <w:shd w:val="clear" w:color="auto" w:fill="FFFFFF"/>
              </w:rPr>
              <w:t>Less stringent A1C goals (such as &lt;8% [64 mmol/mol]) may be appropriate for patients with a history of level 3 hypoglycemia (altered mental and/or physical state requiring assistance), limited life expectancy, advanced microvascular or macrovascular complications, extensive comorbid conditions, or long-standing diabetes in whom the goal is difficult to achieve despite diabetes self-management education, appropriate glucose monitoring, and effective doses of multiple glucose-lowering agents including in</w:t>
            </w:r>
            <w:r>
              <w:rPr>
                <w:rFonts w:cstheme="minorHAnsi"/>
                <w:color w:val="0000FF"/>
                <w:shd w:val="clear" w:color="auto" w:fill="FFFFFF"/>
              </w:rPr>
              <w:t>sulin. (Grade B)</w:t>
            </w:r>
          </w:p>
        </w:tc>
      </w:tr>
      <w:tr w:rsidR="00DA369B" w14:paraId="237E0597" w14:textId="77777777" w:rsidTr="00793E60">
        <w:tc>
          <w:tcPr>
            <w:tcW w:w="2875" w:type="dxa"/>
          </w:tcPr>
          <w:p w14:paraId="5BE9B989" w14:textId="77777777" w:rsidR="00DA369B" w:rsidRDefault="00DA369B" w:rsidP="00793E60">
            <w:pPr>
              <w:ind w:left="0" w:firstLine="0"/>
            </w:pPr>
            <w:r>
              <w:t xml:space="preserve">Grade assigned to the </w:t>
            </w:r>
            <w:r w:rsidRPr="004E7215">
              <w:rPr>
                <w:b/>
              </w:rPr>
              <w:t>evidence</w:t>
            </w:r>
            <w:r>
              <w:t xml:space="preserve"> associated with the recommendation with the definition of the grade</w:t>
            </w:r>
          </w:p>
        </w:tc>
        <w:tc>
          <w:tcPr>
            <w:tcW w:w="6323" w:type="dxa"/>
          </w:tcPr>
          <w:p w14:paraId="307FA359" w14:textId="77777777" w:rsidR="00DA369B" w:rsidRDefault="00DA369B" w:rsidP="00793E60">
            <w:pPr>
              <w:ind w:left="0" w:firstLine="0"/>
              <w:rPr>
                <w:color w:val="0000FF"/>
              </w:rPr>
            </w:pPr>
            <w:r>
              <w:rPr>
                <w:color w:val="0000FF"/>
              </w:rPr>
              <w:t>The grades assigned by ADA to the guideline varied by the guideline recommendation. The grades varied from A – C. See question above for the grade given to each guideline.</w:t>
            </w:r>
          </w:p>
          <w:p w14:paraId="2BAA5A5C" w14:textId="77777777" w:rsidR="00DA369B" w:rsidRDefault="00DA369B" w:rsidP="00793E60">
            <w:pPr>
              <w:ind w:left="0" w:firstLine="0"/>
              <w:rPr>
                <w:color w:val="0000FF"/>
              </w:rPr>
            </w:pPr>
          </w:p>
          <w:p w14:paraId="41594AC5" w14:textId="77777777" w:rsidR="00DA369B" w:rsidRPr="009E0E81" w:rsidRDefault="00DA369B" w:rsidP="00793E60">
            <w:pPr>
              <w:ind w:left="0" w:firstLine="0"/>
              <w:rPr>
                <w:color w:val="0000FF"/>
              </w:rPr>
            </w:pPr>
            <w:r w:rsidRPr="009E0E81">
              <w:rPr>
                <w:color w:val="0000FF"/>
                <w:u w:val="single"/>
              </w:rPr>
              <w:lastRenderedPageBreak/>
              <w:t>Level of Evidence &amp; Description</w:t>
            </w:r>
            <w:r w:rsidRPr="009E0E81">
              <w:rPr>
                <w:color w:val="0000FF"/>
              </w:rPr>
              <w:t>:</w:t>
            </w:r>
          </w:p>
          <w:p w14:paraId="19964F1F" w14:textId="77777777" w:rsidR="00DA369B" w:rsidRDefault="00DA369B" w:rsidP="00793E60">
            <w:pPr>
              <w:ind w:left="0" w:firstLine="0"/>
              <w:rPr>
                <w:color w:val="0000FF"/>
              </w:rPr>
            </w:pPr>
            <w:r>
              <w:rPr>
                <w:color w:val="0000FF"/>
              </w:rPr>
              <w:t xml:space="preserve">Level </w:t>
            </w:r>
            <w:r w:rsidRPr="009E0E81">
              <w:rPr>
                <w:color w:val="0000FF"/>
              </w:rPr>
              <w:t>A</w:t>
            </w:r>
          </w:p>
          <w:p w14:paraId="36660CCA" w14:textId="77777777" w:rsidR="00DA369B" w:rsidRPr="00707B75" w:rsidRDefault="00DA369B" w:rsidP="00DA369B">
            <w:pPr>
              <w:pStyle w:val="ListParagraph"/>
              <w:numPr>
                <w:ilvl w:val="0"/>
                <w:numId w:val="25"/>
              </w:numPr>
              <w:spacing w:after="0" w:line="240" w:lineRule="auto"/>
              <w:rPr>
                <w:color w:val="0000FF"/>
              </w:rPr>
            </w:pPr>
            <w:r w:rsidRPr="00707B75">
              <w:rPr>
                <w:color w:val="0000FF"/>
              </w:rPr>
              <w:t>Clear evidence from well-conducted, generalizable, randomized controlled trials that are adequately powered, including:</w:t>
            </w:r>
          </w:p>
          <w:p w14:paraId="04056187" w14:textId="77777777" w:rsidR="00DA369B" w:rsidRPr="009E0E81" w:rsidRDefault="00DA369B" w:rsidP="00DA369B">
            <w:pPr>
              <w:pStyle w:val="ListParagraph"/>
              <w:numPr>
                <w:ilvl w:val="0"/>
                <w:numId w:val="29"/>
              </w:numPr>
              <w:spacing w:after="0" w:line="240" w:lineRule="auto"/>
              <w:rPr>
                <w:color w:val="0000FF"/>
              </w:rPr>
            </w:pPr>
            <w:r w:rsidRPr="009E0E81">
              <w:rPr>
                <w:color w:val="0000FF"/>
              </w:rPr>
              <w:t>Evidence from a well-conducted multicenter trial</w:t>
            </w:r>
          </w:p>
          <w:p w14:paraId="5D7B17BC" w14:textId="77777777" w:rsidR="00DA369B" w:rsidRPr="009E0E81" w:rsidRDefault="00DA369B" w:rsidP="00DA369B">
            <w:pPr>
              <w:pStyle w:val="ListParagraph"/>
              <w:numPr>
                <w:ilvl w:val="0"/>
                <w:numId w:val="29"/>
              </w:numPr>
              <w:spacing w:after="0" w:line="240" w:lineRule="auto"/>
              <w:rPr>
                <w:color w:val="0000FF"/>
              </w:rPr>
            </w:pPr>
            <w:r w:rsidRPr="009E0E81">
              <w:rPr>
                <w:color w:val="0000FF"/>
              </w:rPr>
              <w:t>Evidence from a meta-analysis that incorporated quality ratings in the analysis</w:t>
            </w:r>
          </w:p>
          <w:p w14:paraId="564A8121" w14:textId="77777777" w:rsidR="00DA369B" w:rsidRPr="009E0E81" w:rsidRDefault="00DA369B" w:rsidP="00DA369B">
            <w:pPr>
              <w:pStyle w:val="ListParagraph"/>
              <w:numPr>
                <w:ilvl w:val="0"/>
                <w:numId w:val="25"/>
              </w:numPr>
              <w:spacing w:after="0" w:line="240" w:lineRule="auto"/>
              <w:rPr>
                <w:color w:val="0000FF"/>
              </w:rPr>
            </w:pPr>
            <w:r w:rsidRPr="009E0E81">
              <w:rPr>
                <w:color w:val="0000FF"/>
              </w:rPr>
              <w:t>Compelling nonexperimental evidence, i.e., the “all or none” rule developed by the Centre for Evidence-Based Medicine at Oxford</w:t>
            </w:r>
          </w:p>
          <w:p w14:paraId="0348B62B" w14:textId="77777777" w:rsidR="00DA369B" w:rsidRPr="009E0E81" w:rsidRDefault="00DA369B" w:rsidP="00DA369B">
            <w:pPr>
              <w:pStyle w:val="ListParagraph"/>
              <w:numPr>
                <w:ilvl w:val="0"/>
                <w:numId w:val="25"/>
              </w:numPr>
              <w:spacing w:after="0" w:line="240" w:lineRule="auto"/>
              <w:rPr>
                <w:color w:val="0000FF"/>
              </w:rPr>
            </w:pPr>
            <w:r w:rsidRPr="009E0E81">
              <w:rPr>
                <w:color w:val="0000FF"/>
              </w:rPr>
              <w:t>Supportive evidence from well-conducted randomized controlled trials that are adequately powered, including:</w:t>
            </w:r>
          </w:p>
          <w:p w14:paraId="178147AC" w14:textId="77777777" w:rsidR="00DA369B" w:rsidRPr="009E0E81" w:rsidRDefault="00DA369B" w:rsidP="00DA369B">
            <w:pPr>
              <w:pStyle w:val="ListParagraph"/>
              <w:numPr>
                <w:ilvl w:val="0"/>
                <w:numId w:val="30"/>
              </w:numPr>
              <w:spacing w:after="0" w:line="240" w:lineRule="auto"/>
              <w:rPr>
                <w:color w:val="0000FF"/>
              </w:rPr>
            </w:pPr>
            <w:r w:rsidRPr="009E0E81">
              <w:rPr>
                <w:color w:val="0000FF"/>
              </w:rPr>
              <w:t>Evidence from a well-conducted trial at one or more institutions</w:t>
            </w:r>
          </w:p>
          <w:p w14:paraId="55A73FDE" w14:textId="77777777" w:rsidR="00DA369B" w:rsidRPr="009E0E81" w:rsidRDefault="00DA369B" w:rsidP="00DA369B">
            <w:pPr>
              <w:pStyle w:val="ListParagraph"/>
              <w:numPr>
                <w:ilvl w:val="0"/>
                <w:numId w:val="30"/>
              </w:numPr>
              <w:spacing w:after="0" w:line="240" w:lineRule="auto"/>
              <w:rPr>
                <w:color w:val="0000FF"/>
              </w:rPr>
            </w:pPr>
            <w:r w:rsidRPr="009E0E81">
              <w:rPr>
                <w:color w:val="0000FF"/>
              </w:rPr>
              <w:t>Evidence from a meta-analysis that incorporated quality ratings in the analysis</w:t>
            </w:r>
          </w:p>
          <w:p w14:paraId="0C4A02D7" w14:textId="77777777" w:rsidR="00DA369B" w:rsidRDefault="00DA369B" w:rsidP="00793E60">
            <w:pPr>
              <w:ind w:left="0" w:firstLine="0"/>
              <w:rPr>
                <w:color w:val="0000FF"/>
              </w:rPr>
            </w:pPr>
            <w:r>
              <w:rPr>
                <w:color w:val="0000FF"/>
              </w:rPr>
              <w:t xml:space="preserve">Level </w:t>
            </w:r>
            <w:r w:rsidRPr="009E0E81">
              <w:rPr>
                <w:color w:val="0000FF"/>
              </w:rPr>
              <w:t>B</w:t>
            </w:r>
          </w:p>
          <w:p w14:paraId="0E5BA7C2" w14:textId="77777777" w:rsidR="00DA369B" w:rsidRPr="009E0E81" w:rsidRDefault="00DA369B" w:rsidP="00DA369B">
            <w:pPr>
              <w:pStyle w:val="ListParagraph"/>
              <w:numPr>
                <w:ilvl w:val="0"/>
                <w:numId w:val="25"/>
              </w:numPr>
              <w:spacing w:after="0" w:line="240" w:lineRule="auto"/>
              <w:rPr>
                <w:color w:val="0000FF"/>
              </w:rPr>
            </w:pPr>
            <w:r w:rsidRPr="009E0E81">
              <w:rPr>
                <w:color w:val="0000FF"/>
              </w:rPr>
              <w:t>Supportive evidence from well-conducted cohort studies, including:</w:t>
            </w:r>
          </w:p>
          <w:p w14:paraId="6D3F730C" w14:textId="77777777" w:rsidR="00DA369B" w:rsidRPr="009E0E81" w:rsidRDefault="00DA369B" w:rsidP="00DA369B">
            <w:pPr>
              <w:pStyle w:val="ListParagraph"/>
              <w:numPr>
                <w:ilvl w:val="0"/>
                <w:numId w:val="31"/>
              </w:numPr>
              <w:spacing w:after="0" w:line="240" w:lineRule="auto"/>
              <w:rPr>
                <w:color w:val="0000FF"/>
              </w:rPr>
            </w:pPr>
            <w:r w:rsidRPr="009E0E81">
              <w:rPr>
                <w:color w:val="0000FF"/>
              </w:rPr>
              <w:t>Evidence from a well-conducted prospective cohort study or registry</w:t>
            </w:r>
          </w:p>
          <w:p w14:paraId="362D8EB1" w14:textId="77777777" w:rsidR="00DA369B" w:rsidRPr="009E0E81" w:rsidRDefault="00DA369B" w:rsidP="00DA369B">
            <w:pPr>
              <w:pStyle w:val="ListParagraph"/>
              <w:numPr>
                <w:ilvl w:val="0"/>
                <w:numId w:val="31"/>
              </w:numPr>
              <w:spacing w:after="0" w:line="240" w:lineRule="auto"/>
              <w:rPr>
                <w:color w:val="0000FF"/>
              </w:rPr>
            </w:pPr>
            <w:r w:rsidRPr="009E0E81">
              <w:rPr>
                <w:color w:val="0000FF"/>
              </w:rPr>
              <w:t>Evidence from a well-conducted meta-analysis of cohort studies</w:t>
            </w:r>
          </w:p>
          <w:p w14:paraId="0CC7F58B" w14:textId="77777777" w:rsidR="00DA369B" w:rsidRPr="009E0E81" w:rsidRDefault="00DA369B" w:rsidP="00DA369B">
            <w:pPr>
              <w:pStyle w:val="ListParagraph"/>
              <w:numPr>
                <w:ilvl w:val="0"/>
                <w:numId w:val="25"/>
              </w:numPr>
              <w:spacing w:after="0" w:line="240" w:lineRule="auto"/>
              <w:rPr>
                <w:color w:val="0000FF"/>
              </w:rPr>
            </w:pPr>
            <w:r w:rsidRPr="009E0E81">
              <w:rPr>
                <w:color w:val="0000FF"/>
              </w:rPr>
              <w:t>Supportive evidence from a well-conducted case-control study</w:t>
            </w:r>
          </w:p>
          <w:p w14:paraId="6E2395C8" w14:textId="77777777" w:rsidR="00DA369B" w:rsidRPr="009E0E81" w:rsidRDefault="00DA369B" w:rsidP="00793E60">
            <w:pPr>
              <w:ind w:left="0" w:firstLine="0"/>
              <w:rPr>
                <w:color w:val="0000FF"/>
              </w:rPr>
            </w:pPr>
          </w:p>
          <w:p w14:paraId="66361403" w14:textId="77777777" w:rsidR="00DA369B" w:rsidRDefault="00DA369B" w:rsidP="00793E60">
            <w:pPr>
              <w:ind w:left="0" w:firstLine="0"/>
              <w:rPr>
                <w:color w:val="0000FF"/>
              </w:rPr>
            </w:pPr>
            <w:r>
              <w:rPr>
                <w:color w:val="0000FF"/>
              </w:rPr>
              <w:t xml:space="preserve">Level </w:t>
            </w:r>
            <w:r w:rsidRPr="009E0E81">
              <w:rPr>
                <w:color w:val="0000FF"/>
              </w:rPr>
              <w:t>C</w:t>
            </w:r>
          </w:p>
          <w:p w14:paraId="43AAA8C2" w14:textId="77777777" w:rsidR="00DA369B" w:rsidRPr="009E0E81" w:rsidRDefault="00DA369B" w:rsidP="00DA369B">
            <w:pPr>
              <w:pStyle w:val="ListParagraph"/>
              <w:numPr>
                <w:ilvl w:val="0"/>
                <w:numId w:val="25"/>
              </w:numPr>
              <w:spacing w:after="0" w:line="240" w:lineRule="auto"/>
              <w:rPr>
                <w:color w:val="0000FF"/>
              </w:rPr>
            </w:pPr>
            <w:r w:rsidRPr="009E0E81">
              <w:rPr>
                <w:color w:val="0000FF"/>
              </w:rPr>
              <w:t>Supportive evidence from poorly controlled or uncontrolled studies, including:</w:t>
            </w:r>
          </w:p>
          <w:p w14:paraId="0518E303" w14:textId="77777777" w:rsidR="00DA369B" w:rsidRPr="00A872F8" w:rsidRDefault="00DA369B" w:rsidP="00DA369B">
            <w:pPr>
              <w:pStyle w:val="ListParagraph"/>
              <w:numPr>
                <w:ilvl w:val="0"/>
                <w:numId w:val="32"/>
              </w:numPr>
              <w:spacing w:after="0" w:line="240" w:lineRule="auto"/>
              <w:rPr>
                <w:color w:val="0000FF"/>
              </w:rPr>
            </w:pPr>
            <w:r w:rsidRPr="009E0E81">
              <w:rPr>
                <w:color w:val="0000FF"/>
              </w:rPr>
              <w:t xml:space="preserve">Evidence from randomized clinical trials with one or </w:t>
            </w:r>
            <w:r w:rsidRPr="00A872F8">
              <w:rPr>
                <w:color w:val="0000FF"/>
              </w:rPr>
              <w:t>more major or three or more minor methodological flaws that could invalidate the results</w:t>
            </w:r>
          </w:p>
          <w:p w14:paraId="26C996F9" w14:textId="77777777" w:rsidR="00DA369B" w:rsidRPr="00A872F8" w:rsidRDefault="00DA369B" w:rsidP="00DA369B">
            <w:pPr>
              <w:pStyle w:val="ListParagraph"/>
              <w:numPr>
                <w:ilvl w:val="0"/>
                <w:numId w:val="32"/>
              </w:numPr>
              <w:spacing w:after="0" w:line="240" w:lineRule="auto"/>
              <w:rPr>
                <w:color w:val="0000FF"/>
              </w:rPr>
            </w:pPr>
            <w:r w:rsidRPr="00A872F8">
              <w:rPr>
                <w:color w:val="0000FF"/>
              </w:rPr>
              <w:t>Evidence from observational studies with high potential for bias (such as case series with comparison to historical controls)</w:t>
            </w:r>
          </w:p>
          <w:p w14:paraId="1EB1A0BB" w14:textId="77777777" w:rsidR="00DA369B" w:rsidRDefault="00DA369B" w:rsidP="00DA369B">
            <w:pPr>
              <w:pStyle w:val="ListParagraph"/>
              <w:numPr>
                <w:ilvl w:val="0"/>
                <w:numId w:val="32"/>
              </w:numPr>
              <w:spacing w:after="0" w:line="240" w:lineRule="auto"/>
              <w:rPr>
                <w:color w:val="0000FF"/>
              </w:rPr>
            </w:pPr>
            <w:r w:rsidRPr="00A872F8">
              <w:rPr>
                <w:color w:val="0000FF"/>
              </w:rPr>
              <w:t>Evidence from case series or case reports</w:t>
            </w:r>
          </w:p>
          <w:p w14:paraId="1F6FEA58" w14:textId="77777777" w:rsidR="00DA369B" w:rsidRPr="00A872F8" w:rsidRDefault="00DA369B" w:rsidP="00DA369B">
            <w:pPr>
              <w:pStyle w:val="ListParagraph"/>
              <w:numPr>
                <w:ilvl w:val="0"/>
                <w:numId w:val="25"/>
              </w:numPr>
              <w:spacing w:after="0" w:line="240" w:lineRule="auto"/>
              <w:rPr>
                <w:color w:val="0000FF"/>
              </w:rPr>
            </w:pPr>
            <w:r w:rsidRPr="00A872F8">
              <w:rPr>
                <w:color w:val="0000FF"/>
              </w:rPr>
              <w:t>Conflicting evidence with the weight of evidence supporting the recommendation</w:t>
            </w:r>
          </w:p>
        </w:tc>
      </w:tr>
      <w:tr w:rsidR="00DA369B" w14:paraId="66433668" w14:textId="77777777" w:rsidTr="00793E60">
        <w:tc>
          <w:tcPr>
            <w:tcW w:w="2875" w:type="dxa"/>
          </w:tcPr>
          <w:p w14:paraId="34A9409B" w14:textId="77777777" w:rsidR="00DA369B" w:rsidRDefault="00DA369B" w:rsidP="00793E60">
            <w:pPr>
              <w:ind w:left="0" w:firstLine="0"/>
            </w:pPr>
            <w:r>
              <w:lastRenderedPageBreak/>
              <w:t>Provide all other grades and definitions from the evidence grading system</w:t>
            </w:r>
          </w:p>
        </w:tc>
        <w:tc>
          <w:tcPr>
            <w:tcW w:w="6323" w:type="dxa"/>
          </w:tcPr>
          <w:p w14:paraId="5C20507A" w14:textId="77777777" w:rsidR="00DA369B" w:rsidRDefault="00DA369B" w:rsidP="00793E60">
            <w:pPr>
              <w:ind w:left="0" w:firstLine="0"/>
              <w:rPr>
                <w:color w:val="0000FF"/>
              </w:rPr>
            </w:pPr>
            <w:r>
              <w:rPr>
                <w:color w:val="0000FF"/>
              </w:rPr>
              <w:t>Level of Evidence &amp; Description:</w:t>
            </w:r>
          </w:p>
          <w:p w14:paraId="5EBC2DD0" w14:textId="77777777" w:rsidR="00DA369B" w:rsidRDefault="00DA369B" w:rsidP="00793E60">
            <w:pPr>
              <w:ind w:left="0" w:firstLine="0"/>
              <w:rPr>
                <w:color w:val="0000FF"/>
              </w:rPr>
            </w:pPr>
            <w:r>
              <w:rPr>
                <w:color w:val="0000FF"/>
              </w:rPr>
              <w:t>Level E</w:t>
            </w:r>
          </w:p>
          <w:p w14:paraId="74366810" w14:textId="77777777" w:rsidR="00DA369B" w:rsidRPr="00315EB9" w:rsidRDefault="00DA369B" w:rsidP="00DA369B">
            <w:pPr>
              <w:pStyle w:val="ListParagraph"/>
              <w:numPr>
                <w:ilvl w:val="0"/>
                <w:numId w:val="25"/>
              </w:numPr>
              <w:spacing w:after="0" w:line="240" w:lineRule="auto"/>
              <w:rPr>
                <w:color w:val="0000FF"/>
              </w:rPr>
            </w:pPr>
            <w:r>
              <w:rPr>
                <w:color w:val="0000FF"/>
              </w:rPr>
              <w:t>Expert consensus or clinical experience</w:t>
            </w:r>
          </w:p>
        </w:tc>
      </w:tr>
      <w:tr w:rsidR="00DA369B" w14:paraId="4E65C247" w14:textId="77777777" w:rsidTr="00793E60">
        <w:tc>
          <w:tcPr>
            <w:tcW w:w="2875" w:type="dxa"/>
          </w:tcPr>
          <w:p w14:paraId="3B8B12B7" w14:textId="77777777" w:rsidR="00DA369B" w:rsidRDefault="00DA369B" w:rsidP="00793E60">
            <w:pPr>
              <w:ind w:left="0" w:firstLine="0"/>
            </w:pPr>
            <w:r>
              <w:t xml:space="preserve">Grade assigned to the </w:t>
            </w:r>
            <w:r w:rsidRPr="004E7215">
              <w:rPr>
                <w:b/>
              </w:rPr>
              <w:t>recommendation</w:t>
            </w:r>
            <w:r>
              <w:t xml:space="preserve"> with definition of the grade</w:t>
            </w:r>
          </w:p>
        </w:tc>
        <w:tc>
          <w:tcPr>
            <w:tcW w:w="6323" w:type="dxa"/>
          </w:tcPr>
          <w:p w14:paraId="6159D5A3" w14:textId="77777777" w:rsidR="00DA369B" w:rsidRPr="00315EB9" w:rsidRDefault="00DA369B" w:rsidP="00793E60">
            <w:pPr>
              <w:ind w:left="0" w:firstLine="0"/>
              <w:rPr>
                <w:color w:val="0000FF"/>
              </w:rPr>
            </w:pPr>
            <w:r>
              <w:rPr>
                <w:color w:val="0000FF"/>
              </w:rPr>
              <w:t>No additional grading was provided, grades assigned to evidence is the same with grades assigned to recommendations.</w:t>
            </w:r>
          </w:p>
        </w:tc>
      </w:tr>
      <w:tr w:rsidR="00DA369B" w14:paraId="77541AD7" w14:textId="77777777" w:rsidTr="00793E60">
        <w:tc>
          <w:tcPr>
            <w:tcW w:w="2875" w:type="dxa"/>
          </w:tcPr>
          <w:p w14:paraId="30DB057F" w14:textId="77777777" w:rsidR="00DA369B" w:rsidRDefault="00DA369B" w:rsidP="00793E60">
            <w:pPr>
              <w:ind w:left="0" w:firstLine="0"/>
            </w:pPr>
            <w:r>
              <w:t xml:space="preserve">Provide all other grades and definitions from the </w:t>
            </w:r>
            <w:r>
              <w:lastRenderedPageBreak/>
              <w:t>recommendation grading system</w:t>
            </w:r>
          </w:p>
        </w:tc>
        <w:tc>
          <w:tcPr>
            <w:tcW w:w="6323" w:type="dxa"/>
          </w:tcPr>
          <w:p w14:paraId="5D6E9B99" w14:textId="77777777" w:rsidR="00DA369B" w:rsidRPr="00315EB9" w:rsidRDefault="00DA369B" w:rsidP="00793E60">
            <w:pPr>
              <w:ind w:left="0" w:firstLine="0"/>
              <w:rPr>
                <w:color w:val="0000FF"/>
              </w:rPr>
            </w:pPr>
            <w:r>
              <w:rPr>
                <w:color w:val="0000FF"/>
              </w:rPr>
              <w:lastRenderedPageBreak/>
              <w:t>No additional grading was provided, grades assigned to evidence is the same with grades assigned to recommendations.</w:t>
            </w:r>
          </w:p>
        </w:tc>
      </w:tr>
      <w:tr w:rsidR="00DA369B" w14:paraId="03D84093" w14:textId="77777777" w:rsidTr="00793E60">
        <w:tc>
          <w:tcPr>
            <w:tcW w:w="2875" w:type="dxa"/>
          </w:tcPr>
          <w:p w14:paraId="70969746" w14:textId="77777777" w:rsidR="00DA369B" w:rsidRDefault="00DA369B" w:rsidP="00793E60">
            <w:pPr>
              <w:ind w:left="0" w:firstLine="0"/>
            </w:pPr>
            <w:r>
              <w:t>Body of evidence:</w:t>
            </w:r>
          </w:p>
          <w:p w14:paraId="5C364B4B" w14:textId="77777777" w:rsidR="00DA369B" w:rsidRDefault="00DA369B" w:rsidP="00793E60">
            <w:pPr>
              <w:pStyle w:val="ListParagraph"/>
              <w:numPr>
                <w:ilvl w:val="0"/>
                <w:numId w:val="10"/>
              </w:numPr>
            </w:pPr>
            <w:r>
              <w:t>Quantity – how many studies?</w:t>
            </w:r>
          </w:p>
          <w:p w14:paraId="29F3679F" w14:textId="77777777" w:rsidR="00DA369B" w:rsidRDefault="00DA369B" w:rsidP="00793E60">
            <w:pPr>
              <w:pStyle w:val="ListParagraph"/>
              <w:numPr>
                <w:ilvl w:val="0"/>
                <w:numId w:val="10"/>
              </w:numPr>
            </w:pPr>
            <w:r>
              <w:t>Quality – what type of studies?</w:t>
            </w:r>
          </w:p>
        </w:tc>
        <w:tc>
          <w:tcPr>
            <w:tcW w:w="6323" w:type="dxa"/>
          </w:tcPr>
          <w:p w14:paraId="79DAFD66" w14:textId="77777777" w:rsidR="00DA369B" w:rsidRPr="0039528F" w:rsidRDefault="00DA369B" w:rsidP="00793E60">
            <w:pPr>
              <w:ind w:left="0" w:firstLine="0"/>
              <w:rPr>
                <w:color w:val="0000FF"/>
                <w:u w:val="single"/>
              </w:rPr>
            </w:pPr>
            <w:r w:rsidRPr="0039528F">
              <w:rPr>
                <w:color w:val="0000FF"/>
                <w:u w:val="single"/>
              </w:rPr>
              <w:t xml:space="preserve">Quantity and Quality </w:t>
            </w:r>
          </w:p>
          <w:p w14:paraId="61382C90" w14:textId="77777777" w:rsidR="00DA369B" w:rsidRDefault="00DA369B" w:rsidP="00793E60">
            <w:pPr>
              <w:ind w:left="0" w:firstLine="0"/>
              <w:rPr>
                <w:color w:val="0000FF"/>
              </w:rPr>
            </w:pPr>
            <w:r w:rsidRPr="00F34478">
              <w:rPr>
                <w:color w:val="0000FF"/>
              </w:rPr>
              <w:t xml:space="preserve">The ADA references </w:t>
            </w:r>
            <w:r>
              <w:rPr>
                <w:color w:val="0000FF"/>
              </w:rPr>
              <w:t>several</w:t>
            </w:r>
            <w:r w:rsidRPr="00F34478">
              <w:rPr>
                <w:color w:val="0000FF"/>
              </w:rPr>
              <w:t xml:space="preserve"> randomized controlled trials </w:t>
            </w:r>
            <w:r>
              <w:rPr>
                <w:color w:val="0000FF"/>
              </w:rPr>
              <w:t xml:space="preserve">of varying size </w:t>
            </w:r>
            <w:r w:rsidRPr="00F34478">
              <w:rPr>
                <w:color w:val="0000FF"/>
              </w:rPr>
              <w:t xml:space="preserve">to support the recommendations around </w:t>
            </w:r>
            <w:r>
              <w:rPr>
                <w:color w:val="0000FF"/>
              </w:rPr>
              <w:t>glycemic targets</w:t>
            </w:r>
            <w:r w:rsidRPr="00F34478">
              <w:rPr>
                <w:color w:val="0000FF"/>
              </w:rPr>
              <w:t>:</w:t>
            </w:r>
          </w:p>
          <w:p w14:paraId="4312698D" w14:textId="77777777" w:rsidR="00DA369B" w:rsidRDefault="00DA369B" w:rsidP="00DA369B">
            <w:pPr>
              <w:pStyle w:val="ListParagraph"/>
              <w:numPr>
                <w:ilvl w:val="0"/>
                <w:numId w:val="33"/>
              </w:numPr>
              <w:rPr>
                <w:color w:val="0000FF"/>
              </w:rPr>
            </w:pPr>
            <w:r>
              <w:rPr>
                <w:color w:val="0000FF"/>
              </w:rPr>
              <w:t>Diabetes Control and Complications (DCCT) – 1441 Type 1 DM patients</w:t>
            </w:r>
          </w:p>
          <w:p w14:paraId="34682CE0" w14:textId="77777777" w:rsidR="00DA369B" w:rsidRDefault="00DA369B" w:rsidP="00DA369B">
            <w:pPr>
              <w:pStyle w:val="ListParagraph"/>
              <w:numPr>
                <w:ilvl w:val="0"/>
                <w:numId w:val="33"/>
              </w:numPr>
              <w:rPr>
                <w:color w:val="0000FF"/>
              </w:rPr>
            </w:pPr>
            <w:r>
              <w:rPr>
                <w:color w:val="0000FF"/>
              </w:rPr>
              <w:t>Epidemiology of Diabetes Interventions and Complications (EDIC) – 1394 Type 1 DM patients</w:t>
            </w:r>
          </w:p>
          <w:p w14:paraId="1B8E615F" w14:textId="77777777" w:rsidR="00DA369B" w:rsidRDefault="00DA369B" w:rsidP="00DA369B">
            <w:pPr>
              <w:pStyle w:val="ListParagraph"/>
              <w:numPr>
                <w:ilvl w:val="0"/>
                <w:numId w:val="33"/>
              </w:numPr>
              <w:rPr>
                <w:color w:val="0000FF"/>
              </w:rPr>
            </w:pPr>
            <w:r>
              <w:rPr>
                <w:color w:val="0000FF"/>
              </w:rPr>
              <w:t>Kumamoto – 110 Type 2 DM patients</w:t>
            </w:r>
          </w:p>
          <w:p w14:paraId="403A44BD" w14:textId="77777777" w:rsidR="00DA369B" w:rsidRDefault="00DA369B" w:rsidP="00DA369B">
            <w:pPr>
              <w:pStyle w:val="ListParagraph"/>
              <w:numPr>
                <w:ilvl w:val="0"/>
                <w:numId w:val="33"/>
              </w:numPr>
              <w:rPr>
                <w:color w:val="0000FF"/>
              </w:rPr>
            </w:pPr>
            <w:r>
              <w:rPr>
                <w:color w:val="0000FF"/>
              </w:rPr>
              <w:t>UK Prospective Diabetes Study - 3867 Type 2 DM patients</w:t>
            </w:r>
          </w:p>
          <w:p w14:paraId="166BEE97" w14:textId="77777777" w:rsidR="00DA369B" w:rsidRDefault="00DA369B" w:rsidP="00DA369B">
            <w:pPr>
              <w:pStyle w:val="ListParagraph"/>
              <w:numPr>
                <w:ilvl w:val="0"/>
                <w:numId w:val="33"/>
              </w:numPr>
              <w:rPr>
                <w:color w:val="0000FF"/>
              </w:rPr>
            </w:pPr>
            <w:r>
              <w:rPr>
                <w:color w:val="0000FF"/>
              </w:rPr>
              <w:t>Action to Control Cardiovascular Risk in Diabetes (ACCORD) – 10251 Type 2 DM patients</w:t>
            </w:r>
          </w:p>
          <w:p w14:paraId="45ACC7DC" w14:textId="77777777" w:rsidR="00DA369B" w:rsidRDefault="00DA369B" w:rsidP="00DA369B">
            <w:pPr>
              <w:pStyle w:val="ListParagraph"/>
              <w:numPr>
                <w:ilvl w:val="0"/>
                <w:numId w:val="33"/>
              </w:numPr>
              <w:rPr>
                <w:color w:val="0000FF"/>
              </w:rPr>
            </w:pPr>
            <w:r>
              <w:rPr>
                <w:color w:val="0000FF"/>
              </w:rPr>
              <w:t>Action in Diabetes and Vascular Disease (ADVANCE) – 11140 Type 2 DM patients</w:t>
            </w:r>
          </w:p>
          <w:p w14:paraId="107C14D2" w14:textId="77777777" w:rsidR="00DA369B" w:rsidRDefault="00DA369B" w:rsidP="00DA369B">
            <w:pPr>
              <w:pStyle w:val="ListParagraph"/>
              <w:numPr>
                <w:ilvl w:val="0"/>
                <w:numId w:val="33"/>
              </w:numPr>
              <w:rPr>
                <w:color w:val="0000FF"/>
              </w:rPr>
            </w:pPr>
            <w:r>
              <w:rPr>
                <w:color w:val="0000FF"/>
              </w:rPr>
              <w:t>Veterans Affairs Diabetes Trial (VADT) – 673 Type 2 DM patients</w:t>
            </w:r>
          </w:p>
          <w:p w14:paraId="03378439" w14:textId="77777777" w:rsidR="00DA369B" w:rsidRPr="00F60845" w:rsidRDefault="00DA369B" w:rsidP="00793E60">
            <w:pPr>
              <w:ind w:left="0" w:firstLine="0"/>
              <w:rPr>
                <w:color w:val="0000FF"/>
              </w:rPr>
            </w:pPr>
          </w:p>
        </w:tc>
      </w:tr>
      <w:tr w:rsidR="00DA369B" w14:paraId="3226BC44" w14:textId="77777777" w:rsidTr="00793E60">
        <w:tc>
          <w:tcPr>
            <w:tcW w:w="2875" w:type="dxa"/>
          </w:tcPr>
          <w:p w14:paraId="1A31EDEC" w14:textId="77777777" w:rsidR="00DA369B" w:rsidRDefault="00DA369B" w:rsidP="00793E60">
            <w:pPr>
              <w:ind w:left="0" w:firstLine="0"/>
            </w:pPr>
            <w:r>
              <w:t xml:space="preserve">Estimates of benefit and consistency across studies </w:t>
            </w:r>
          </w:p>
        </w:tc>
        <w:tc>
          <w:tcPr>
            <w:tcW w:w="6323" w:type="dxa"/>
          </w:tcPr>
          <w:p w14:paraId="088128C8" w14:textId="77777777" w:rsidR="00DA369B" w:rsidRDefault="00DA369B" w:rsidP="00793E60">
            <w:pPr>
              <w:ind w:left="0" w:firstLine="0"/>
              <w:rPr>
                <w:color w:val="0000FF"/>
              </w:rPr>
            </w:pPr>
            <w:r w:rsidRPr="00ED411F">
              <w:rPr>
                <w:color w:val="0000FF"/>
              </w:rPr>
              <w:t xml:space="preserve">Below is an excerpt of </w:t>
            </w:r>
            <w:r>
              <w:rPr>
                <w:color w:val="0000FF"/>
              </w:rPr>
              <w:t>the ADA</w:t>
            </w:r>
            <w:r w:rsidRPr="00ED411F">
              <w:rPr>
                <w:color w:val="0000FF"/>
              </w:rPr>
              <w:t xml:space="preserve"> discussion of </w:t>
            </w:r>
            <w:r>
              <w:rPr>
                <w:color w:val="0000FF"/>
              </w:rPr>
              <w:t>benefit estimated in these studies</w:t>
            </w:r>
            <w:r w:rsidRPr="00ED411F">
              <w:rPr>
                <w:color w:val="0000FF"/>
              </w:rPr>
              <w:t>:</w:t>
            </w:r>
          </w:p>
          <w:p w14:paraId="5E0631C5" w14:textId="77777777" w:rsidR="00DA369B" w:rsidRDefault="00DA369B" w:rsidP="00793E60">
            <w:pPr>
              <w:ind w:left="0" w:firstLine="0"/>
              <w:rPr>
                <w:color w:val="0000FF"/>
              </w:rPr>
            </w:pPr>
          </w:p>
          <w:p w14:paraId="2EB04219" w14:textId="77777777" w:rsidR="00DA369B" w:rsidRDefault="00DA369B" w:rsidP="00793E60">
            <w:pPr>
              <w:ind w:left="0" w:firstLine="0"/>
              <w:rPr>
                <w:color w:val="0000FF"/>
              </w:rPr>
            </w:pPr>
            <w:r w:rsidRPr="00ED411F">
              <w:rPr>
                <w:color w:val="0000FF"/>
              </w:rPr>
              <w:t>“</w:t>
            </w:r>
            <w:r w:rsidRPr="00EF7F19">
              <w:rPr>
                <w:color w:val="0000FF"/>
              </w:rPr>
              <w:t>A1C and Microvascular Complications</w:t>
            </w:r>
          </w:p>
          <w:p w14:paraId="3AE48E0D" w14:textId="77777777" w:rsidR="00DA369B" w:rsidRDefault="00DA369B" w:rsidP="00793E60">
            <w:pPr>
              <w:ind w:left="0" w:firstLine="0"/>
              <w:rPr>
                <w:color w:val="0000FF"/>
              </w:rPr>
            </w:pPr>
          </w:p>
          <w:p w14:paraId="6D2A61CF" w14:textId="77777777" w:rsidR="00DA369B" w:rsidRPr="00ED411F" w:rsidRDefault="00DA369B" w:rsidP="00793E60">
            <w:pPr>
              <w:ind w:left="0" w:firstLine="0"/>
              <w:rPr>
                <w:color w:val="0000FF"/>
              </w:rPr>
            </w:pPr>
            <w:r w:rsidRPr="00ED411F">
              <w:rPr>
                <w:color w:val="0000FF"/>
              </w:rPr>
              <w:t>Hyperglycemia defines diabetes, and glycemic control is fundamental to diabetes management. The Diabetes Control and Complications Trial (DCCT), a prospective randomized controlled trial of intensive (mean A1C about 7% [53 mmol/mol]) versus standard (mean A1C about 9% [75 mmol/mol]) glycemic control in patients with type 1 diabetes, showed definitively that better glycemic control is associated with 50–76% reductions in rates of development and progression of microvascular (retinopathy, neuropathy, and diabetic kidney disease) complications. Follow-up of the DCCT cohorts in the Epidemiology of Diabetes Interventions and Complications (EDIC) study demonstrated persistence of these microvascular benefits over two decades despite the fact that the glycemic separation between the treatment groups diminished and disappeared during follow-up.</w:t>
            </w:r>
          </w:p>
          <w:p w14:paraId="0DF74148" w14:textId="77777777" w:rsidR="00DA369B" w:rsidRPr="00ED411F" w:rsidRDefault="00DA369B" w:rsidP="00793E60">
            <w:pPr>
              <w:ind w:left="0" w:firstLine="0"/>
              <w:rPr>
                <w:color w:val="0000FF"/>
              </w:rPr>
            </w:pPr>
          </w:p>
          <w:p w14:paraId="61901D07" w14:textId="77777777" w:rsidR="00DA369B" w:rsidRPr="00ED411F" w:rsidRDefault="00DA369B" w:rsidP="00793E60">
            <w:pPr>
              <w:ind w:left="0" w:firstLine="0"/>
              <w:rPr>
                <w:color w:val="0000FF"/>
              </w:rPr>
            </w:pPr>
            <w:r w:rsidRPr="00ED411F">
              <w:rPr>
                <w:color w:val="0000FF"/>
              </w:rPr>
              <w:t>The Kumamoto Study and UK Prospective Diabetes Study (UKPDS) confirmed that intensive glycemic control significantly decreased rates of microvascular complications in patients with short-duration type 2 diabetes. Long-term follow-up of the UKPDS cohorts showed enduring effects of early glycemic control on most microvascular complications.</w:t>
            </w:r>
          </w:p>
          <w:p w14:paraId="70B68662" w14:textId="77777777" w:rsidR="00DA369B" w:rsidRPr="00ED411F" w:rsidRDefault="00DA369B" w:rsidP="00793E60">
            <w:pPr>
              <w:ind w:left="0" w:firstLine="0"/>
              <w:rPr>
                <w:color w:val="0000FF"/>
              </w:rPr>
            </w:pPr>
          </w:p>
          <w:p w14:paraId="254E4C93" w14:textId="77777777" w:rsidR="00DA369B" w:rsidRPr="00ED411F" w:rsidRDefault="00DA369B" w:rsidP="00793E60">
            <w:pPr>
              <w:ind w:left="0" w:firstLine="0"/>
              <w:rPr>
                <w:color w:val="0000FF"/>
              </w:rPr>
            </w:pPr>
            <w:r w:rsidRPr="00ED411F">
              <w:rPr>
                <w:color w:val="0000FF"/>
              </w:rPr>
              <w:lastRenderedPageBreak/>
              <w:t>Therefore, achieving A1C targets of &lt;7% (53 mmol/mol) has been shown to reduce microvascular complications of type 1 and type 2 diabetes when instituted early in the course of disease. Epidemiologic analyses of the DCCT and UKPDS demonstrate a curvilinear relationship between A1C and microvascular complications. Such analyses suggest that, on a population level, the greatest number of complications will be averted by taking patients from very poor control to fair/good control. These analyses also suggest that further lowering of A1C from 7% to 6% [53 mmol/mol to 42 mmol/mol] is associated with further reduction in the risk of microvascular complications, although the absolute risk reductions become much smaller. Given the substantially increased risk of hypoglycemia in type 1 diabetes trials and with polypharmacy in type 2 diabetes, the risks of lower glycemic targets may outweigh the potential benefits on microvascular complications.</w:t>
            </w:r>
          </w:p>
          <w:p w14:paraId="47DC5754" w14:textId="77777777" w:rsidR="00DA369B" w:rsidRPr="00ED411F" w:rsidRDefault="00DA369B" w:rsidP="00793E60">
            <w:pPr>
              <w:ind w:left="0" w:firstLine="0"/>
              <w:rPr>
                <w:color w:val="0000FF"/>
              </w:rPr>
            </w:pPr>
          </w:p>
          <w:p w14:paraId="6B0F06A2" w14:textId="77777777" w:rsidR="00DA369B" w:rsidRDefault="00DA369B" w:rsidP="00793E60">
            <w:pPr>
              <w:ind w:left="0" w:firstLine="0"/>
              <w:rPr>
                <w:color w:val="0000FF"/>
              </w:rPr>
            </w:pPr>
            <w:r w:rsidRPr="00ED411F">
              <w:rPr>
                <w:color w:val="0000FF"/>
              </w:rPr>
              <w:t xml:space="preserve">Three landmark trials (Action to Control Cardiovascular Risk in Diabetes [ACCORD], Action in Diabetes and Vascular Disease: </w:t>
            </w:r>
            <w:proofErr w:type="spellStart"/>
            <w:r w:rsidRPr="00ED411F">
              <w:rPr>
                <w:color w:val="0000FF"/>
              </w:rPr>
              <w:t>Preterax</w:t>
            </w:r>
            <w:proofErr w:type="spellEnd"/>
            <w:r w:rsidRPr="00ED411F">
              <w:rPr>
                <w:color w:val="0000FF"/>
              </w:rPr>
              <w:t xml:space="preserve"> and </w:t>
            </w:r>
            <w:proofErr w:type="spellStart"/>
            <w:r w:rsidRPr="00ED411F">
              <w:rPr>
                <w:color w:val="0000FF"/>
              </w:rPr>
              <w:t>Diamicron</w:t>
            </w:r>
            <w:proofErr w:type="spellEnd"/>
            <w:r w:rsidRPr="00ED411F">
              <w:rPr>
                <w:color w:val="0000FF"/>
              </w:rPr>
              <w:t xml:space="preserve"> MR Controlled Evaluation [ADVANCE], and Veterans Affairs Diabetes Trial [VADT]) were conducted to test the effects of near normalization of blood glucose on cardiovascular outcomes in individuals with long-standing type 2 diabetes and either known cardiovascular disease (CVD) or high cardiovascular risk. These trials showed that lower A1C levels were associated with reduced onset or progression of some microvascular complications.</w:t>
            </w:r>
            <w:r>
              <w:rPr>
                <w:color w:val="0000FF"/>
              </w:rPr>
              <w:t>”</w:t>
            </w:r>
          </w:p>
          <w:p w14:paraId="3A7E5BE1" w14:textId="77777777" w:rsidR="00DA369B" w:rsidRDefault="00DA369B" w:rsidP="00793E60">
            <w:pPr>
              <w:ind w:left="0" w:firstLine="0"/>
              <w:rPr>
                <w:color w:val="0000FF"/>
              </w:rPr>
            </w:pPr>
          </w:p>
          <w:p w14:paraId="1C97974A" w14:textId="77777777" w:rsidR="00DA369B" w:rsidRDefault="00DA369B" w:rsidP="00793E60">
            <w:pPr>
              <w:ind w:left="0" w:firstLine="0"/>
              <w:rPr>
                <w:color w:val="0000FF"/>
              </w:rPr>
            </w:pPr>
            <w:r>
              <w:rPr>
                <w:color w:val="0000FF"/>
              </w:rPr>
              <w:t>“</w:t>
            </w:r>
            <w:r w:rsidRPr="00504431">
              <w:rPr>
                <w:color w:val="0000FF"/>
              </w:rPr>
              <w:t>A1C and Cardiovascular Disease Outcomes</w:t>
            </w:r>
          </w:p>
          <w:p w14:paraId="7E93AF78" w14:textId="77777777" w:rsidR="00DA369B" w:rsidRDefault="00DA369B" w:rsidP="00793E60">
            <w:pPr>
              <w:ind w:left="0" w:firstLine="0"/>
              <w:rPr>
                <w:color w:val="0000FF"/>
              </w:rPr>
            </w:pPr>
          </w:p>
          <w:p w14:paraId="02BF9AA4" w14:textId="77777777" w:rsidR="00DA369B" w:rsidRDefault="00DA369B" w:rsidP="00793E60">
            <w:pPr>
              <w:ind w:left="0" w:firstLine="0"/>
              <w:rPr>
                <w:color w:val="0000FF"/>
              </w:rPr>
            </w:pPr>
            <w:r w:rsidRPr="00DD4B95">
              <w:rPr>
                <w:color w:val="0000FF"/>
              </w:rPr>
              <w:t>CVD is a more common cause of death than microvascular complications in populations with diabetes. There is evidence for a cardiovascular benefit of intensive glycemic control after long-term follow-up of cohorts treated early in the course of type 1 diabetes. In the DCCT, there was a trend toward lower risk of CVD events with intensive control. In the 9-year post-DCCT follow-up of the EDIC cohort, participants previously randomized to the intensive arm had a significant 57% reduction in the risk of nonfatal myocardial infarction (MI), stroke, or cardiovascular death compared with those previously randomized to the standard arm. The benefit of intensive glycemic control in this cohort with type 1 diabetes has been shown to persist for several decades and to be associated with a modest reduction in all-cause mortality.</w:t>
            </w:r>
            <w:r>
              <w:rPr>
                <w:color w:val="0000FF"/>
              </w:rPr>
              <w:t>”</w:t>
            </w:r>
          </w:p>
          <w:p w14:paraId="0B9C256D" w14:textId="77777777" w:rsidR="00DA369B" w:rsidRDefault="00DA369B" w:rsidP="00793E60">
            <w:pPr>
              <w:ind w:left="0" w:firstLine="0"/>
              <w:rPr>
                <w:color w:val="0000FF"/>
              </w:rPr>
            </w:pPr>
          </w:p>
          <w:p w14:paraId="005481A6" w14:textId="77777777" w:rsidR="00DA369B" w:rsidRDefault="00DA369B" w:rsidP="00793E60">
            <w:pPr>
              <w:ind w:left="0" w:firstLine="0"/>
              <w:rPr>
                <w:color w:val="0000FF"/>
              </w:rPr>
            </w:pPr>
            <w:r>
              <w:rPr>
                <w:color w:val="0000FF"/>
              </w:rPr>
              <w:t>“</w:t>
            </w:r>
            <w:r w:rsidRPr="00710062">
              <w:rPr>
                <w:color w:val="0000FF"/>
              </w:rPr>
              <w:t>Cardiovascular Disease and Type 2 Diabetes</w:t>
            </w:r>
          </w:p>
          <w:p w14:paraId="44FE6682" w14:textId="77777777" w:rsidR="00DA369B" w:rsidRDefault="00DA369B" w:rsidP="00793E60">
            <w:pPr>
              <w:ind w:left="0" w:firstLine="0"/>
              <w:rPr>
                <w:color w:val="0000FF"/>
              </w:rPr>
            </w:pPr>
          </w:p>
          <w:p w14:paraId="6EAF5010" w14:textId="77777777" w:rsidR="00DA369B" w:rsidRPr="00EB31A7" w:rsidRDefault="00DA369B" w:rsidP="00793E60">
            <w:pPr>
              <w:ind w:left="0" w:firstLine="0"/>
              <w:rPr>
                <w:color w:val="0000FF"/>
              </w:rPr>
            </w:pPr>
            <w:r w:rsidRPr="00EB31A7">
              <w:rPr>
                <w:color w:val="0000FF"/>
              </w:rPr>
              <w:t xml:space="preserve">In type 2 diabetes, there is evidence that more intensive treatment of glycemia in newly diagnosed patients may reduce long-term CVD rates. During the UKPDS, there was a 16% reduction in CVD events (combined fatal or nonfatal MI and sudden death) in the intensive </w:t>
            </w:r>
            <w:r w:rsidRPr="00EB31A7">
              <w:rPr>
                <w:color w:val="0000FF"/>
              </w:rPr>
              <w:lastRenderedPageBreak/>
              <w:t>glycemic control arm that did not reach statistical significance (P = 0.052), and there was no suggestion of benefit on other CVD outcomes (e.g., stroke). However, after 10 years of observational follow-up, those originally randomized to intensive glycemic control had significant long-term reductions in MI (15% with sulfonylurea or insulin as initial pharmacotherapy, 33% with metformin as initial pharmacotherapy) and in all-cause mortality (13% and 27%, respectively).</w:t>
            </w:r>
          </w:p>
          <w:p w14:paraId="569F580B" w14:textId="77777777" w:rsidR="00DA369B" w:rsidRPr="00EB31A7" w:rsidRDefault="00DA369B" w:rsidP="00793E60">
            <w:pPr>
              <w:ind w:left="0" w:firstLine="0"/>
              <w:rPr>
                <w:color w:val="0000FF"/>
              </w:rPr>
            </w:pPr>
          </w:p>
          <w:p w14:paraId="3A017CEE" w14:textId="77777777" w:rsidR="00DA369B" w:rsidRPr="00EB31A7" w:rsidRDefault="00DA369B" w:rsidP="00793E60">
            <w:pPr>
              <w:ind w:left="0" w:firstLine="0"/>
              <w:rPr>
                <w:color w:val="0000FF"/>
              </w:rPr>
            </w:pPr>
            <w:r w:rsidRPr="00EB31A7">
              <w:rPr>
                <w:color w:val="0000FF"/>
              </w:rPr>
              <w:t>ACCORD, ADVANCE, and VADT suggested no significant reduction in CVD outcomes with intensive glycemic control in participants followed for shorter durations (3.5–5.6 years) and who had more advanced type 2 diabetes than UKPDS participants. All three trials were conducted in relatively older participants with longer known duration of diabetes (mean duration 8–11 years) and either CVD or multiple cardiovascular risk factors. The target A1C among intensive-control subjects was &lt;6% (42 mmol/mol) in ACCORD, &lt;6.5% (48 mmol/mol) in ADVANCE, and a 1.5% reduction in A1C compared with control subjects in VADT, with achieved A1C of 6.4% vs. 7.5% (46 mmol/mol vs. 58 mmol/mol) in ACCORD, 6.5% vs. 7.3% (48 mmol/mol vs. 56 mmol/mol) in ADVANCE, and 6.9% vs. 8.4% (52 mmol/mol vs. 68 mmol/mol) in VADT. Details of these studies are reviewed extensively in “Intensive Glycemic Control and the Prevention of Cardiovascular Events: Implications of the ACCORD, ADVANCE, and VA Diabetes Trials”.</w:t>
            </w:r>
          </w:p>
          <w:p w14:paraId="6622959E" w14:textId="77777777" w:rsidR="00DA369B" w:rsidRPr="00EB31A7" w:rsidRDefault="00DA369B" w:rsidP="00793E60">
            <w:pPr>
              <w:ind w:left="0" w:firstLine="0"/>
              <w:rPr>
                <w:color w:val="0000FF"/>
              </w:rPr>
            </w:pPr>
          </w:p>
          <w:p w14:paraId="57D2C276" w14:textId="77777777" w:rsidR="00DA369B" w:rsidRPr="00EB31A7" w:rsidRDefault="00DA369B" w:rsidP="00793E60">
            <w:pPr>
              <w:ind w:left="0" w:firstLine="0"/>
              <w:rPr>
                <w:color w:val="0000FF"/>
              </w:rPr>
            </w:pPr>
            <w:r w:rsidRPr="00EB31A7">
              <w:rPr>
                <w:color w:val="0000FF"/>
              </w:rPr>
              <w:t>The glycemic control comparison in ACCORD was halted early due to an increased mortality rate in the intensive compared with the standard treatment arm (1.41% vs. 1.14% per year; hazard ratio 1.22 [95% CI 1.01–1.46]), with a similar increase in cardiovascular deaths. Analysis of the ACCORD data did not identify a clear explanation for the excess mortality in the intensive treatment arm.</w:t>
            </w:r>
          </w:p>
          <w:p w14:paraId="4B7B1091" w14:textId="77777777" w:rsidR="00DA369B" w:rsidRPr="00EB31A7" w:rsidRDefault="00DA369B" w:rsidP="00793E60">
            <w:pPr>
              <w:ind w:left="0" w:firstLine="0"/>
              <w:rPr>
                <w:color w:val="0000FF"/>
              </w:rPr>
            </w:pPr>
          </w:p>
          <w:p w14:paraId="4B377380" w14:textId="77777777" w:rsidR="00DA369B" w:rsidRPr="00EB31A7" w:rsidRDefault="00DA369B" w:rsidP="00793E60">
            <w:pPr>
              <w:ind w:left="0" w:firstLine="0"/>
              <w:rPr>
                <w:color w:val="0000FF"/>
              </w:rPr>
            </w:pPr>
            <w:r w:rsidRPr="00EB31A7">
              <w:rPr>
                <w:color w:val="0000FF"/>
              </w:rPr>
              <w:t>Longer-term follow-up has shown no evidence of cardiovascular benefit or harm in the ADVANCE trial. The end-stage renal disease rate was lower in the intensive treatment group over follow-up. However, 10-year follow-up of the VADT cohort showed a reduction in the risk of cardiovascular events (52.7 [control group] vs. 44.1 [intervention group] events per 1,000 person-years) with no benefit in cardiovascular or overall mortality. Heterogeneity of mortality effects across studies was noted, which may reflect differences in glycemic targets, therapeutic approaches, and population characteristics.</w:t>
            </w:r>
          </w:p>
          <w:p w14:paraId="2956D3C3" w14:textId="77777777" w:rsidR="00DA369B" w:rsidRPr="00EB31A7" w:rsidRDefault="00DA369B" w:rsidP="00793E60">
            <w:pPr>
              <w:ind w:left="0" w:firstLine="0"/>
              <w:rPr>
                <w:color w:val="0000FF"/>
              </w:rPr>
            </w:pPr>
          </w:p>
          <w:p w14:paraId="0306A6A7" w14:textId="77777777" w:rsidR="00DA369B" w:rsidRDefault="00DA369B" w:rsidP="00793E60">
            <w:pPr>
              <w:ind w:left="0" w:firstLine="0"/>
              <w:rPr>
                <w:color w:val="0000FF"/>
              </w:rPr>
            </w:pPr>
            <w:r w:rsidRPr="00EB31A7">
              <w:rPr>
                <w:color w:val="0000FF"/>
              </w:rPr>
              <w:t xml:space="preserve">Mortality findings in ACCORD and subgroup analyses of VADT suggest that the potential risks of intensive glycemic control may outweigh its benefits in higher-risk patients. In all three trials, severe hypoglycemia was significantly more likely in participants who were </w:t>
            </w:r>
            <w:r w:rsidRPr="00EB31A7">
              <w:rPr>
                <w:color w:val="0000FF"/>
              </w:rPr>
              <w:lastRenderedPageBreak/>
              <w:t>randomly assigned to the intensive glycemic control arm. Those patients with long duration of diabetes, a known history of hypoglycemia, advanced atherosclerosis, or advanced age/frailty may benefit from less aggressive targets.</w:t>
            </w:r>
            <w:r>
              <w:rPr>
                <w:color w:val="0000FF"/>
              </w:rPr>
              <w:t>”</w:t>
            </w:r>
          </w:p>
          <w:p w14:paraId="3133FABC" w14:textId="77777777" w:rsidR="00DA369B" w:rsidRPr="009937FD" w:rsidRDefault="00DA369B" w:rsidP="00793E60">
            <w:pPr>
              <w:ind w:left="0" w:firstLine="0"/>
              <w:rPr>
                <w:color w:val="0000FF"/>
              </w:rPr>
            </w:pPr>
          </w:p>
        </w:tc>
      </w:tr>
      <w:tr w:rsidR="00DA369B" w14:paraId="47E4967C" w14:textId="77777777" w:rsidTr="00793E60">
        <w:tc>
          <w:tcPr>
            <w:tcW w:w="2875" w:type="dxa"/>
          </w:tcPr>
          <w:p w14:paraId="13114F81" w14:textId="77777777" w:rsidR="00DA369B" w:rsidRDefault="00DA369B" w:rsidP="00793E60">
            <w:pPr>
              <w:ind w:left="0" w:firstLine="0"/>
            </w:pPr>
            <w:r>
              <w:lastRenderedPageBreak/>
              <w:t>What harms were identified?</w:t>
            </w:r>
          </w:p>
        </w:tc>
        <w:tc>
          <w:tcPr>
            <w:tcW w:w="6323" w:type="dxa"/>
          </w:tcPr>
          <w:p w14:paraId="1A23B054" w14:textId="77777777" w:rsidR="00DA369B" w:rsidRDefault="00DA369B" w:rsidP="00793E60">
            <w:pPr>
              <w:ind w:left="0" w:firstLine="0"/>
              <w:rPr>
                <w:color w:val="0000FF"/>
              </w:rPr>
            </w:pPr>
            <w:r>
              <w:rPr>
                <w:color w:val="0000FF"/>
              </w:rPr>
              <w:t>Below is an excerpt from the ADA discussion of the harms identified in these studies:</w:t>
            </w:r>
          </w:p>
          <w:p w14:paraId="66303D49" w14:textId="77777777" w:rsidR="00DA369B" w:rsidRDefault="00DA369B" w:rsidP="00793E60">
            <w:pPr>
              <w:ind w:left="0" w:firstLine="0"/>
              <w:rPr>
                <w:color w:val="0000FF"/>
              </w:rPr>
            </w:pPr>
            <w:r>
              <w:rPr>
                <w:color w:val="0000FF"/>
              </w:rPr>
              <w:t xml:space="preserve"> </w:t>
            </w:r>
          </w:p>
          <w:p w14:paraId="63AC1141" w14:textId="77777777" w:rsidR="00DA369B" w:rsidRDefault="00DA369B" w:rsidP="00793E60">
            <w:pPr>
              <w:ind w:left="0" w:firstLine="0"/>
              <w:rPr>
                <w:color w:val="0000FF"/>
              </w:rPr>
            </w:pPr>
            <w:r>
              <w:rPr>
                <w:color w:val="0000FF"/>
              </w:rPr>
              <w:t>“</w:t>
            </w:r>
            <w:r w:rsidRPr="00F14301">
              <w:rPr>
                <w:color w:val="0000FF"/>
              </w:rPr>
              <w:t>The concerning mortality findings in the ACCORD trial and the relatively intense efforts required to achieve near euglycemia should also be considered when setting glycemic targets for individuals with longstanding diabetes such as those studied in ACCORD, ADVANCE, and VADT. Findings from these studies suggest caution is needed in treating diabetes aggressively to near-normal A1C goals in people with long-standing type 2 diabetes with or at significant risk of CVD. However, on the basis of physician judgment and patient preferences, select patients, especially those with little comorbidity and long life expectancy, may benefit from adopting more intensive glycemic targets (e.g., A1C target &lt;6.5% [48 mmol/mol]) if they can achieve it safely without hypoglycemia or significant therapeutic burden.</w:t>
            </w:r>
            <w:r>
              <w:rPr>
                <w:color w:val="0000FF"/>
              </w:rPr>
              <w:t>”</w:t>
            </w:r>
          </w:p>
          <w:p w14:paraId="5B1ECE7E" w14:textId="77777777" w:rsidR="00DA369B" w:rsidRPr="009937FD" w:rsidRDefault="00DA369B" w:rsidP="00793E60">
            <w:pPr>
              <w:ind w:left="0" w:firstLine="0"/>
              <w:rPr>
                <w:color w:val="0000FF"/>
              </w:rPr>
            </w:pPr>
          </w:p>
        </w:tc>
      </w:tr>
      <w:tr w:rsidR="00DA369B" w14:paraId="062E18DA" w14:textId="77777777" w:rsidTr="00793E60">
        <w:tc>
          <w:tcPr>
            <w:tcW w:w="2875" w:type="dxa"/>
          </w:tcPr>
          <w:p w14:paraId="276DDD4D" w14:textId="77777777" w:rsidR="00DA369B" w:rsidRDefault="00DA369B" w:rsidP="00793E60">
            <w:pPr>
              <w:ind w:left="0" w:firstLine="0"/>
            </w:pPr>
            <w:r>
              <w:t>Identify any new studies conducted since the SR. Do the new studies change the conclusions from the SR?</w:t>
            </w:r>
          </w:p>
        </w:tc>
        <w:tc>
          <w:tcPr>
            <w:tcW w:w="6323" w:type="dxa"/>
          </w:tcPr>
          <w:p w14:paraId="3CCFAD09" w14:textId="77777777" w:rsidR="00DA369B" w:rsidRPr="009937FD" w:rsidRDefault="00DA369B" w:rsidP="00793E60">
            <w:pPr>
              <w:ind w:left="0" w:firstLine="0"/>
              <w:rPr>
                <w:color w:val="0000FF"/>
              </w:rPr>
            </w:pPr>
            <w:r>
              <w:rPr>
                <w:color w:val="0000FF"/>
              </w:rPr>
              <w:t>There have been no new studies that contradict the current body of evidence.</w:t>
            </w:r>
          </w:p>
        </w:tc>
      </w:tr>
    </w:tbl>
    <w:p w14:paraId="16C6847A" w14:textId="58D500CE" w:rsidR="00DA369B" w:rsidRDefault="00DA369B" w:rsidP="00433D86">
      <w:pPr>
        <w:ind w:left="0" w:firstLine="0"/>
        <w:rPr>
          <w:color w:val="0000FF"/>
        </w:rPr>
      </w:pPr>
    </w:p>
    <w:p w14:paraId="049FCB83" w14:textId="77777777" w:rsidR="00433D86" w:rsidRDefault="00433D86" w:rsidP="00433D86">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77777777" w:rsidR="000E5C93" w:rsidRPr="000E5C93" w:rsidRDefault="000E5C93" w:rsidP="002E2177">
      <w:pPr>
        <w:ind w:left="0" w:firstLine="0"/>
        <w:rPr>
          <w:color w:val="0070C0"/>
        </w:rPr>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55B8DA9A" w14:textId="2CB511C9" w:rsidR="000E5C93" w:rsidRDefault="00433D86" w:rsidP="002E2177">
      <w:pPr>
        <w:ind w:left="0" w:firstLine="0"/>
        <w:rPr>
          <w:bCs/>
          <w:color w:val="0000FF"/>
        </w:rPr>
      </w:pPr>
      <w:r>
        <w:rPr>
          <w:bCs/>
          <w:color w:val="0000FF"/>
        </w:rPr>
        <w:tab/>
        <w:t>N/A</w:t>
      </w:r>
    </w:p>
    <w:p w14:paraId="39781C32" w14:textId="77777777" w:rsidR="00433D86" w:rsidRPr="00433D86" w:rsidRDefault="00433D86" w:rsidP="002E2177">
      <w:pPr>
        <w:ind w:left="0" w:firstLine="0"/>
        <w:rPr>
          <w:bCs/>
          <w:color w:val="0000FF"/>
        </w:rPr>
      </w:pP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55B8DA9C" w14:textId="247C25FD" w:rsidR="00837121" w:rsidRDefault="00433D86" w:rsidP="002E2177">
      <w:pPr>
        <w:ind w:left="0" w:firstLine="0"/>
        <w:rPr>
          <w:color w:val="0000FF"/>
        </w:rPr>
      </w:pPr>
      <w:r>
        <w:rPr>
          <w:color w:val="0000FF"/>
        </w:rPr>
        <w:tab/>
        <w:t>N/A</w:t>
      </w:r>
    </w:p>
    <w:p w14:paraId="49CA30A1" w14:textId="77777777" w:rsidR="00433D86" w:rsidRPr="00433D86" w:rsidRDefault="00433D86" w:rsidP="002E2177">
      <w:pPr>
        <w:ind w:left="0" w:firstLine="0"/>
        <w:rPr>
          <w:color w:val="0000FF"/>
        </w:rPr>
      </w:pPr>
    </w:p>
    <w:p w14:paraId="55B8DA9D" w14:textId="6CB86288" w:rsidR="00837121" w:rsidRDefault="000E5C93" w:rsidP="002E2177">
      <w:pPr>
        <w:ind w:left="0" w:firstLine="0"/>
        <w:rPr>
          <w:bCs/>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78A8F7A2" w14:textId="1697F0CD" w:rsidR="00433D86" w:rsidRPr="00433D86" w:rsidRDefault="00433D86" w:rsidP="002E2177">
      <w:pPr>
        <w:ind w:left="0" w:firstLine="0"/>
        <w:rPr>
          <w:bCs/>
          <w:color w:val="0000FF"/>
        </w:rPr>
      </w:pPr>
      <w:r>
        <w:rPr>
          <w:bCs/>
        </w:rPr>
        <w:tab/>
      </w:r>
      <w:r>
        <w:rPr>
          <w:bCs/>
          <w:color w:val="0000FF"/>
        </w:rPr>
        <w:t>N/A</w:t>
      </w:r>
    </w:p>
    <w:sectPr w:rsidR="00433D86" w:rsidRPr="00433D86">
      <w:headerReference w:type="default" r:id="rId1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73047" w14:textId="77777777" w:rsidR="001A64E4" w:rsidRDefault="001A64E4" w:rsidP="007E37A5">
      <w:r>
        <w:separator/>
      </w:r>
    </w:p>
  </w:endnote>
  <w:endnote w:type="continuationSeparator" w:id="0">
    <w:p w14:paraId="0EF4B20B" w14:textId="77777777" w:rsidR="001A64E4" w:rsidRDefault="001A64E4" w:rsidP="007E37A5">
      <w:r>
        <w:continuationSeparator/>
      </w:r>
    </w:p>
  </w:endnote>
  <w:endnote w:type="continuationNotice" w:id="1">
    <w:p w14:paraId="4681EEB2" w14:textId="77777777" w:rsidR="001A64E4" w:rsidRDefault="001A64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34664EBC" w:rsidR="00440687" w:rsidRDefault="00440687">
    <w:pPr>
      <w:pStyle w:val="Footer"/>
    </w:pPr>
    <w:r w:rsidRPr="00395263">
      <w:t xml:space="preserve">Version </w:t>
    </w:r>
    <w:r w:rsidR="00DC7F67">
      <w:t>7.1</w:t>
    </w:r>
    <w:r w:rsidR="00F63E8D">
      <w:t xml:space="preserve"> </w:t>
    </w:r>
    <w:r w:rsidRPr="00395263">
      <w:t xml:space="preserve"> </w:t>
    </w:r>
    <w:r w:rsidR="00CC0F87">
      <w:t>9/6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75285A">
      <w:rPr>
        <w:noProof/>
      </w:rPr>
      <w:t>1</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CA719F" w14:textId="77777777" w:rsidR="001A64E4" w:rsidRDefault="001A64E4" w:rsidP="007E37A5">
      <w:r>
        <w:separator/>
      </w:r>
    </w:p>
  </w:footnote>
  <w:footnote w:type="continuationSeparator" w:id="0">
    <w:p w14:paraId="6964AD87" w14:textId="77777777" w:rsidR="001A64E4" w:rsidRDefault="001A64E4" w:rsidP="007E37A5">
      <w:r>
        <w:continuationSeparator/>
      </w:r>
    </w:p>
  </w:footnote>
  <w:footnote w:type="continuationNotice" w:id="1">
    <w:p w14:paraId="0970A06D" w14:textId="77777777" w:rsidR="001A64E4" w:rsidRDefault="001A64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F57D1"/>
    <w:multiLevelType w:val="hybridMultilevel"/>
    <w:tmpl w:val="6D827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036109"/>
    <w:multiLevelType w:val="hybridMultilevel"/>
    <w:tmpl w:val="C3808E28"/>
    <w:lvl w:ilvl="0" w:tplc="E7F2EEB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C16CEC"/>
    <w:multiLevelType w:val="hybridMultilevel"/>
    <w:tmpl w:val="D5D02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1D18C8"/>
    <w:multiLevelType w:val="hybridMultilevel"/>
    <w:tmpl w:val="9BEEA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58B7BA6"/>
    <w:multiLevelType w:val="hybridMultilevel"/>
    <w:tmpl w:val="ED9659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A13874"/>
    <w:multiLevelType w:val="hybridMultilevel"/>
    <w:tmpl w:val="F490BC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355485"/>
    <w:multiLevelType w:val="hybridMultilevel"/>
    <w:tmpl w:val="AB1E4C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F35CDD"/>
    <w:multiLevelType w:val="hybridMultilevel"/>
    <w:tmpl w:val="9B745A6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FBB4392"/>
    <w:multiLevelType w:val="hybridMultilevel"/>
    <w:tmpl w:val="0D9ED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3B9007A"/>
    <w:multiLevelType w:val="hybridMultilevel"/>
    <w:tmpl w:val="1116B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040735"/>
    <w:multiLevelType w:val="hybridMultilevel"/>
    <w:tmpl w:val="759C558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A202329"/>
    <w:multiLevelType w:val="hybridMultilevel"/>
    <w:tmpl w:val="47DC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C4E397C"/>
    <w:multiLevelType w:val="hybridMultilevel"/>
    <w:tmpl w:val="31A275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E935B3B"/>
    <w:multiLevelType w:val="hybridMultilevel"/>
    <w:tmpl w:val="225A3BD0"/>
    <w:lvl w:ilvl="0" w:tplc="E7F2EEB4">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D4C18A1"/>
    <w:multiLevelType w:val="hybridMultilevel"/>
    <w:tmpl w:val="F6328EB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16D5A19"/>
    <w:multiLevelType w:val="hybridMultilevel"/>
    <w:tmpl w:val="97202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342FD0"/>
    <w:multiLevelType w:val="hybridMultilevel"/>
    <w:tmpl w:val="AF90BE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3CF51E9"/>
    <w:multiLevelType w:val="hybridMultilevel"/>
    <w:tmpl w:val="D63C6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447A58"/>
    <w:multiLevelType w:val="hybridMultilevel"/>
    <w:tmpl w:val="B6FEAB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0276FE"/>
    <w:multiLevelType w:val="hybridMultilevel"/>
    <w:tmpl w:val="7A5EE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BA37E99"/>
    <w:multiLevelType w:val="hybridMultilevel"/>
    <w:tmpl w:val="F60CA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952666"/>
    <w:multiLevelType w:val="hybridMultilevel"/>
    <w:tmpl w:val="61B84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3C3EA4"/>
    <w:multiLevelType w:val="hybridMultilevel"/>
    <w:tmpl w:val="CE064CE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5"/>
  </w:num>
  <w:num w:numId="2">
    <w:abstractNumId w:val="21"/>
  </w:num>
  <w:num w:numId="3">
    <w:abstractNumId w:val="4"/>
  </w:num>
  <w:num w:numId="4">
    <w:abstractNumId w:val="8"/>
  </w:num>
  <w:num w:numId="5">
    <w:abstractNumId w:val="12"/>
  </w:num>
  <w:num w:numId="6">
    <w:abstractNumId w:val="11"/>
  </w:num>
  <w:num w:numId="7">
    <w:abstractNumId w:val="26"/>
  </w:num>
  <w:num w:numId="8">
    <w:abstractNumId w:val="25"/>
  </w:num>
  <w:num w:numId="9">
    <w:abstractNumId w:val="28"/>
  </w:num>
  <w:num w:numId="10">
    <w:abstractNumId w:val="3"/>
  </w:num>
  <w:num w:numId="11">
    <w:abstractNumId w:val="19"/>
  </w:num>
  <w:num w:numId="12">
    <w:abstractNumId w:val="0"/>
  </w:num>
  <w:num w:numId="13">
    <w:abstractNumId w:val="16"/>
  </w:num>
  <w:num w:numId="14">
    <w:abstractNumId w:val="6"/>
  </w:num>
  <w:num w:numId="15">
    <w:abstractNumId w:val="23"/>
  </w:num>
  <w:num w:numId="16">
    <w:abstractNumId w:val="31"/>
  </w:num>
  <w:num w:numId="17">
    <w:abstractNumId w:val="29"/>
  </w:num>
  <w:num w:numId="18">
    <w:abstractNumId w:val="30"/>
  </w:num>
  <w:num w:numId="19">
    <w:abstractNumId w:val="13"/>
  </w:num>
  <w:num w:numId="20">
    <w:abstractNumId w:val="22"/>
  </w:num>
  <w:num w:numId="21">
    <w:abstractNumId w:val="18"/>
  </w:num>
  <w:num w:numId="22">
    <w:abstractNumId w:val="1"/>
  </w:num>
  <w:num w:numId="23">
    <w:abstractNumId w:val="7"/>
  </w:num>
  <w:num w:numId="24">
    <w:abstractNumId w:val="2"/>
  </w:num>
  <w:num w:numId="25">
    <w:abstractNumId w:val="24"/>
  </w:num>
  <w:num w:numId="26">
    <w:abstractNumId w:val="17"/>
  </w:num>
  <w:num w:numId="27">
    <w:abstractNumId w:val="32"/>
  </w:num>
  <w:num w:numId="28">
    <w:abstractNumId w:val="9"/>
  </w:num>
  <w:num w:numId="29">
    <w:abstractNumId w:val="27"/>
  </w:num>
  <w:num w:numId="30">
    <w:abstractNumId w:val="20"/>
  </w:num>
  <w:num w:numId="31">
    <w:abstractNumId w:val="14"/>
  </w:num>
  <w:num w:numId="32">
    <w:abstractNumId w:val="5"/>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07EFC"/>
    <w:rsid w:val="0001076E"/>
    <w:rsid w:val="00013A60"/>
    <w:rsid w:val="00015986"/>
    <w:rsid w:val="000160E6"/>
    <w:rsid w:val="0002376B"/>
    <w:rsid w:val="00024526"/>
    <w:rsid w:val="00030049"/>
    <w:rsid w:val="00030F43"/>
    <w:rsid w:val="00031CF5"/>
    <w:rsid w:val="00037DA1"/>
    <w:rsid w:val="00040DCF"/>
    <w:rsid w:val="000440C0"/>
    <w:rsid w:val="00052C0B"/>
    <w:rsid w:val="00061CF3"/>
    <w:rsid w:val="00063601"/>
    <w:rsid w:val="00073079"/>
    <w:rsid w:val="0007593F"/>
    <w:rsid w:val="00084B67"/>
    <w:rsid w:val="00095EC9"/>
    <w:rsid w:val="00096A37"/>
    <w:rsid w:val="000A0810"/>
    <w:rsid w:val="000B6256"/>
    <w:rsid w:val="000B627F"/>
    <w:rsid w:val="000D2192"/>
    <w:rsid w:val="000D649E"/>
    <w:rsid w:val="000D6D06"/>
    <w:rsid w:val="000E5C93"/>
    <w:rsid w:val="000F4A7F"/>
    <w:rsid w:val="00110BAB"/>
    <w:rsid w:val="001128DB"/>
    <w:rsid w:val="00114166"/>
    <w:rsid w:val="00114848"/>
    <w:rsid w:val="00120934"/>
    <w:rsid w:val="00125ED9"/>
    <w:rsid w:val="001279CF"/>
    <w:rsid w:val="00132070"/>
    <w:rsid w:val="00141875"/>
    <w:rsid w:val="0014347E"/>
    <w:rsid w:val="00154438"/>
    <w:rsid w:val="00154C68"/>
    <w:rsid w:val="001551F6"/>
    <w:rsid w:val="0015535B"/>
    <w:rsid w:val="001613EE"/>
    <w:rsid w:val="00162036"/>
    <w:rsid w:val="001632DD"/>
    <w:rsid w:val="00170A70"/>
    <w:rsid w:val="00176E60"/>
    <w:rsid w:val="00183153"/>
    <w:rsid w:val="00184852"/>
    <w:rsid w:val="00193ACC"/>
    <w:rsid w:val="00194913"/>
    <w:rsid w:val="00194D9A"/>
    <w:rsid w:val="001A196B"/>
    <w:rsid w:val="001A64E4"/>
    <w:rsid w:val="001A6D05"/>
    <w:rsid w:val="001B38BF"/>
    <w:rsid w:val="001B39DC"/>
    <w:rsid w:val="001B4B5B"/>
    <w:rsid w:val="001B772D"/>
    <w:rsid w:val="001B79FF"/>
    <w:rsid w:val="001C0E03"/>
    <w:rsid w:val="001C1F95"/>
    <w:rsid w:val="001C3A3D"/>
    <w:rsid w:val="001D5B5D"/>
    <w:rsid w:val="001D7197"/>
    <w:rsid w:val="001D76CF"/>
    <w:rsid w:val="001E6153"/>
    <w:rsid w:val="00201FF9"/>
    <w:rsid w:val="00205857"/>
    <w:rsid w:val="002230A7"/>
    <w:rsid w:val="00235ADC"/>
    <w:rsid w:val="00236F87"/>
    <w:rsid w:val="00250A76"/>
    <w:rsid w:val="002653AB"/>
    <w:rsid w:val="00265702"/>
    <w:rsid w:val="002662B2"/>
    <w:rsid w:val="002717C7"/>
    <w:rsid w:val="002773F8"/>
    <w:rsid w:val="002875E9"/>
    <w:rsid w:val="00287EB3"/>
    <w:rsid w:val="002A0B17"/>
    <w:rsid w:val="002A43E6"/>
    <w:rsid w:val="002A47BA"/>
    <w:rsid w:val="002A6777"/>
    <w:rsid w:val="002B06BD"/>
    <w:rsid w:val="002C0E48"/>
    <w:rsid w:val="002C6F04"/>
    <w:rsid w:val="002D1C6A"/>
    <w:rsid w:val="002D251C"/>
    <w:rsid w:val="002D75A9"/>
    <w:rsid w:val="002E2177"/>
    <w:rsid w:val="002E2E41"/>
    <w:rsid w:val="002E78CD"/>
    <w:rsid w:val="002F20A7"/>
    <w:rsid w:val="002F4B8B"/>
    <w:rsid w:val="003008F4"/>
    <w:rsid w:val="00302B1D"/>
    <w:rsid w:val="00307FA5"/>
    <w:rsid w:val="00312197"/>
    <w:rsid w:val="003138F3"/>
    <w:rsid w:val="00324D64"/>
    <w:rsid w:val="00351272"/>
    <w:rsid w:val="00352B52"/>
    <w:rsid w:val="0035760D"/>
    <w:rsid w:val="0036288B"/>
    <w:rsid w:val="00363ECC"/>
    <w:rsid w:val="0038051F"/>
    <w:rsid w:val="00383C5A"/>
    <w:rsid w:val="0039020B"/>
    <w:rsid w:val="003940EF"/>
    <w:rsid w:val="00395263"/>
    <w:rsid w:val="003956E0"/>
    <w:rsid w:val="0039609A"/>
    <w:rsid w:val="00397500"/>
    <w:rsid w:val="00397F3E"/>
    <w:rsid w:val="003A5672"/>
    <w:rsid w:val="003B1CC5"/>
    <w:rsid w:val="003B34E5"/>
    <w:rsid w:val="003B65CE"/>
    <w:rsid w:val="003D26A7"/>
    <w:rsid w:val="003D6721"/>
    <w:rsid w:val="003E039E"/>
    <w:rsid w:val="003E3AE6"/>
    <w:rsid w:val="0040230E"/>
    <w:rsid w:val="004128B1"/>
    <w:rsid w:val="0041662F"/>
    <w:rsid w:val="00422917"/>
    <w:rsid w:val="00433D86"/>
    <w:rsid w:val="00440687"/>
    <w:rsid w:val="0044131D"/>
    <w:rsid w:val="00441ADA"/>
    <w:rsid w:val="00445CEE"/>
    <w:rsid w:val="00453C7D"/>
    <w:rsid w:val="00457E46"/>
    <w:rsid w:val="00463BCF"/>
    <w:rsid w:val="004774B7"/>
    <w:rsid w:val="00477DDB"/>
    <w:rsid w:val="004922E4"/>
    <w:rsid w:val="00496AF8"/>
    <w:rsid w:val="004A575D"/>
    <w:rsid w:val="004B65C6"/>
    <w:rsid w:val="004B6D23"/>
    <w:rsid w:val="004B6E32"/>
    <w:rsid w:val="004D1DC7"/>
    <w:rsid w:val="004D4676"/>
    <w:rsid w:val="004E6928"/>
    <w:rsid w:val="004E7215"/>
    <w:rsid w:val="004F7949"/>
    <w:rsid w:val="004F7D7E"/>
    <w:rsid w:val="00500B0C"/>
    <w:rsid w:val="005122DB"/>
    <w:rsid w:val="0052405B"/>
    <w:rsid w:val="00537150"/>
    <w:rsid w:val="00540984"/>
    <w:rsid w:val="00543851"/>
    <w:rsid w:val="005456B2"/>
    <w:rsid w:val="0055559D"/>
    <w:rsid w:val="005569AE"/>
    <w:rsid w:val="00563420"/>
    <w:rsid w:val="0056661E"/>
    <w:rsid w:val="005740B3"/>
    <w:rsid w:val="00575BE3"/>
    <w:rsid w:val="005857F8"/>
    <w:rsid w:val="005B0D18"/>
    <w:rsid w:val="005B12C3"/>
    <w:rsid w:val="005B17D2"/>
    <w:rsid w:val="005B409D"/>
    <w:rsid w:val="005B52D7"/>
    <w:rsid w:val="005C0EAD"/>
    <w:rsid w:val="005C2316"/>
    <w:rsid w:val="005D0FDB"/>
    <w:rsid w:val="005D25E9"/>
    <w:rsid w:val="005D442F"/>
    <w:rsid w:val="005D6D59"/>
    <w:rsid w:val="005E3C05"/>
    <w:rsid w:val="005F676B"/>
    <w:rsid w:val="006057BF"/>
    <w:rsid w:val="0061327A"/>
    <w:rsid w:val="00617390"/>
    <w:rsid w:val="00617D17"/>
    <w:rsid w:val="00623420"/>
    <w:rsid w:val="00630406"/>
    <w:rsid w:val="00634768"/>
    <w:rsid w:val="0063596F"/>
    <w:rsid w:val="006422E3"/>
    <w:rsid w:val="006459DA"/>
    <w:rsid w:val="00666053"/>
    <w:rsid w:val="006709EB"/>
    <w:rsid w:val="00672824"/>
    <w:rsid w:val="00676BD4"/>
    <w:rsid w:val="0068184A"/>
    <w:rsid w:val="00684F28"/>
    <w:rsid w:val="006A0249"/>
    <w:rsid w:val="006A7BCE"/>
    <w:rsid w:val="006B5C51"/>
    <w:rsid w:val="006C76CB"/>
    <w:rsid w:val="006C7F30"/>
    <w:rsid w:val="006D43FF"/>
    <w:rsid w:val="006E3225"/>
    <w:rsid w:val="006E6FDD"/>
    <w:rsid w:val="006F4B7F"/>
    <w:rsid w:val="006F760B"/>
    <w:rsid w:val="00701CC3"/>
    <w:rsid w:val="007042E9"/>
    <w:rsid w:val="00706CD7"/>
    <w:rsid w:val="007129A8"/>
    <w:rsid w:val="00713397"/>
    <w:rsid w:val="0071378B"/>
    <w:rsid w:val="00722DD4"/>
    <w:rsid w:val="00724801"/>
    <w:rsid w:val="007258AE"/>
    <w:rsid w:val="00734949"/>
    <w:rsid w:val="00736AEC"/>
    <w:rsid w:val="00736E0F"/>
    <w:rsid w:val="007434FA"/>
    <w:rsid w:val="0074470A"/>
    <w:rsid w:val="00750780"/>
    <w:rsid w:val="0075285A"/>
    <w:rsid w:val="007573F0"/>
    <w:rsid w:val="00765156"/>
    <w:rsid w:val="00766436"/>
    <w:rsid w:val="00767669"/>
    <w:rsid w:val="00767F3A"/>
    <w:rsid w:val="00773485"/>
    <w:rsid w:val="00776E8F"/>
    <w:rsid w:val="00776F6D"/>
    <w:rsid w:val="00793E60"/>
    <w:rsid w:val="007A0A19"/>
    <w:rsid w:val="007A10E4"/>
    <w:rsid w:val="007C0297"/>
    <w:rsid w:val="007C1887"/>
    <w:rsid w:val="007D4775"/>
    <w:rsid w:val="007D5DC6"/>
    <w:rsid w:val="007E37A5"/>
    <w:rsid w:val="007E3FC3"/>
    <w:rsid w:val="007E50DA"/>
    <w:rsid w:val="007F2DA0"/>
    <w:rsid w:val="007F49D8"/>
    <w:rsid w:val="007F6BA9"/>
    <w:rsid w:val="00805940"/>
    <w:rsid w:val="00812067"/>
    <w:rsid w:val="008121B5"/>
    <w:rsid w:val="0081599C"/>
    <w:rsid w:val="0083247C"/>
    <w:rsid w:val="00837121"/>
    <w:rsid w:val="008427DB"/>
    <w:rsid w:val="008471E5"/>
    <w:rsid w:val="00847BBC"/>
    <w:rsid w:val="00850C35"/>
    <w:rsid w:val="00851466"/>
    <w:rsid w:val="00863E43"/>
    <w:rsid w:val="008647C3"/>
    <w:rsid w:val="008659ED"/>
    <w:rsid w:val="00866449"/>
    <w:rsid w:val="00867966"/>
    <w:rsid w:val="008708DC"/>
    <w:rsid w:val="00870987"/>
    <w:rsid w:val="0087564A"/>
    <w:rsid w:val="00881160"/>
    <w:rsid w:val="00881B88"/>
    <w:rsid w:val="00882A2E"/>
    <w:rsid w:val="0088371C"/>
    <w:rsid w:val="008A1521"/>
    <w:rsid w:val="008A2460"/>
    <w:rsid w:val="008A45F3"/>
    <w:rsid w:val="008A62DD"/>
    <w:rsid w:val="008B2D86"/>
    <w:rsid w:val="008B44DE"/>
    <w:rsid w:val="008B51D9"/>
    <w:rsid w:val="008B6232"/>
    <w:rsid w:val="008B652E"/>
    <w:rsid w:val="008C4002"/>
    <w:rsid w:val="008D05B7"/>
    <w:rsid w:val="008D4451"/>
    <w:rsid w:val="008E3046"/>
    <w:rsid w:val="008F1DC6"/>
    <w:rsid w:val="008F6F51"/>
    <w:rsid w:val="0090415E"/>
    <w:rsid w:val="00905C5B"/>
    <w:rsid w:val="009139BC"/>
    <w:rsid w:val="00923295"/>
    <w:rsid w:val="00925F11"/>
    <w:rsid w:val="00935265"/>
    <w:rsid w:val="00942870"/>
    <w:rsid w:val="00944741"/>
    <w:rsid w:val="0094689F"/>
    <w:rsid w:val="009477D6"/>
    <w:rsid w:val="00952310"/>
    <w:rsid w:val="00953ED3"/>
    <w:rsid w:val="00964145"/>
    <w:rsid w:val="00965FF6"/>
    <w:rsid w:val="009846D6"/>
    <w:rsid w:val="00984C5F"/>
    <w:rsid w:val="0098657F"/>
    <w:rsid w:val="00994D2B"/>
    <w:rsid w:val="009A3236"/>
    <w:rsid w:val="009B5A93"/>
    <w:rsid w:val="009B5BEA"/>
    <w:rsid w:val="009C139B"/>
    <w:rsid w:val="009C291F"/>
    <w:rsid w:val="009C32B5"/>
    <w:rsid w:val="009D0FA8"/>
    <w:rsid w:val="009E37BD"/>
    <w:rsid w:val="009E386A"/>
    <w:rsid w:val="009E6B86"/>
    <w:rsid w:val="00A026B7"/>
    <w:rsid w:val="00A03301"/>
    <w:rsid w:val="00A119D5"/>
    <w:rsid w:val="00A12762"/>
    <w:rsid w:val="00A13867"/>
    <w:rsid w:val="00A13D87"/>
    <w:rsid w:val="00A177F1"/>
    <w:rsid w:val="00A26FED"/>
    <w:rsid w:val="00A421D4"/>
    <w:rsid w:val="00A44FF0"/>
    <w:rsid w:val="00A47A15"/>
    <w:rsid w:val="00A50E55"/>
    <w:rsid w:val="00A65C45"/>
    <w:rsid w:val="00A67EB1"/>
    <w:rsid w:val="00A75367"/>
    <w:rsid w:val="00A77C7B"/>
    <w:rsid w:val="00A8425C"/>
    <w:rsid w:val="00A9011D"/>
    <w:rsid w:val="00A9197A"/>
    <w:rsid w:val="00A91A47"/>
    <w:rsid w:val="00A95D2B"/>
    <w:rsid w:val="00AA20D0"/>
    <w:rsid w:val="00AA3505"/>
    <w:rsid w:val="00AA5510"/>
    <w:rsid w:val="00AA5587"/>
    <w:rsid w:val="00AA64FA"/>
    <w:rsid w:val="00AA6785"/>
    <w:rsid w:val="00AB0251"/>
    <w:rsid w:val="00AB4ECE"/>
    <w:rsid w:val="00AC01C0"/>
    <w:rsid w:val="00AC1E53"/>
    <w:rsid w:val="00AD6019"/>
    <w:rsid w:val="00AD79C8"/>
    <w:rsid w:val="00AE04F7"/>
    <w:rsid w:val="00AE6CE0"/>
    <w:rsid w:val="00AF3618"/>
    <w:rsid w:val="00AF3682"/>
    <w:rsid w:val="00B03AE9"/>
    <w:rsid w:val="00B058A6"/>
    <w:rsid w:val="00B117D0"/>
    <w:rsid w:val="00B13998"/>
    <w:rsid w:val="00B35C5F"/>
    <w:rsid w:val="00B439DD"/>
    <w:rsid w:val="00B52E0F"/>
    <w:rsid w:val="00B52F78"/>
    <w:rsid w:val="00B54B2E"/>
    <w:rsid w:val="00B73769"/>
    <w:rsid w:val="00B74629"/>
    <w:rsid w:val="00B91F58"/>
    <w:rsid w:val="00B93882"/>
    <w:rsid w:val="00BA579E"/>
    <w:rsid w:val="00BB1EEA"/>
    <w:rsid w:val="00BB32D7"/>
    <w:rsid w:val="00BB4FEF"/>
    <w:rsid w:val="00BC6B4D"/>
    <w:rsid w:val="00BD05FD"/>
    <w:rsid w:val="00BD6DAF"/>
    <w:rsid w:val="00BE1DE9"/>
    <w:rsid w:val="00BE2295"/>
    <w:rsid w:val="00BE6373"/>
    <w:rsid w:val="00BF533A"/>
    <w:rsid w:val="00C10329"/>
    <w:rsid w:val="00C359E0"/>
    <w:rsid w:val="00C41794"/>
    <w:rsid w:val="00C46677"/>
    <w:rsid w:val="00C47C8B"/>
    <w:rsid w:val="00C5180E"/>
    <w:rsid w:val="00C54E40"/>
    <w:rsid w:val="00C55D34"/>
    <w:rsid w:val="00C55F56"/>
    <w:rsid w:val="00C57BA4"/>
    <w:rsid w:val="00C613EB"/>
    <w:rsid w:val="00C64990"/>
    <w:rsid w:val="00C67BDE"/>
    <w:rsid w:val="00C71C1A"/>
    <w:rsid w:val="00C80223"/>
    <w:rsid w:val="00C83C35"/>
    <w:rsid w:val="00C84623"/>
    <w:rsid w:val="00CA6244"/>
    <w:rsid w:val="00CB06C9"/>
    <w:rsid w:val="00CB1E41"/>
    <w:rsid w:val="00CB271C"/>
    <w:rsid w:val="00CC0F87"/>
    <w:rsid w:val="00CD16E7"/>
    <w:rsid w:val="00CE12E5"/>
    <w:rsid w:val="00CE4F96"/>
    <w:rsid w:val="00CF0AB1"/>
    <w:rsid w:val="00CF4B9B"/>
    <w:rsid w:val="00CF55E6"/>
    <w:rsid w:val="00CF772F"/>
    <w:rsid w:val="00D048DB"/>
    <w:rsid w:val="00D14F0B"/>
    <w:rsid w:val="00D178CA"/>
    <w:rsid w:val="00D3305F"/>
    <w:rsid w:val="00D3311C"/>
    <w:rsid w:val="00D53405"/>
    <w:rsid w:val="00D5457B"/>
    <w:rsid w:val="00D72995"/>
    <w:rsid w:val="00D73685"/>
    <w:rsid w:val="00D8016C"/>
    <w:rsid w:val="00DA369B"/>
    <w:rsid w:val="00DA62EF"/>
    <w:rsid w:val="00DA7FA2"/>
    <w:rsid w:val="00DC001E"/>
    <w:rsid w:val="00DC2D8D"/>
    <w:rsid w:val="00DC53D2"/>
    <w:rsid w:val="00DC7F67"/>
    <w:rsid w:val="00DE1F5D"/>
    <w:rsid w:val="00DE47C9"/>
    <w:rsid w:val="00DE50D8"/>
    <w:rsid w:val="00DF278A"/>
    <w:rsid w:val="00E1664B"/>
    <w:rsid w:val="00E22E00"/>
    <w:rsid w:val="00E26E5C"/>
    <w:rsid w:val="00E27918"/>
    <w:rsid w:val="00E30D12"/>
    <w:rsid w:val="00E3394E"/>
    <w:rsid w:val="00E35241"/>
    <w:rsid w:val="00E37E94"/>
    <w:rsid w:val="00E41417"/>
    <w:rsid w:val="00E42FAA"/>
    <w:rsid w:val="00E536D3"/>
    <w:rsid w:val="00E57BE2"/>
    <w:rsid w:val="00E616F3"/>
    <w:rsid w:val="00E61EE8"/>
    <w:rsid w:val="00E62A95"/>
    <w:rsid w:val="00E676A0"/>
    <w:rsid w:val="00E746A2"/>
    <w:rsid w:val="00E842A0"/>
    <w:rsid w:val="00E90D06"/>
    <w:rsid w:val="00E93B80"/>
    <w:rsid w:val="00E97E59"/>
    <w:rsid w:val="00EA7725"/>
    <w:rsid w:val="00EA79C9"/>
    <w:rsid w:val="00EB578D"/>
    <w:rsid w:val="00EB66AC"/>
    <w:rsid w:val="00EC0EA0"/>
    <w:rsid w:val="00EC1225"/>
    <w:rsid w:val="00EC2247"/>
    <w:rsid w:val="00EC55E6"/>
    <w:rsid w:val="00ED49F3"/>
    <w:rsid w:val="00EE1F87"/>
    <w:rsid w:val="00EE2136"/>
    <w:rsid w:val="00EE3931"/>
    <w:rsid w:val="00EE45A3"/>
    <w:rsid w:val="00EE5AF6"/>
    <w:rsid w:val="00EF11E5"/>
    <w:rsid w:val="00EF2CEF"/>
    <w:rsid w:val="00EF69E9"/>
    <w:rsid w:val="00EF6F55"/>
    <w:rsid w:val="00F03B01"/>
    <w:rsid w:val="00F1092D"/>
    <w:rsid w:val="00F156AA"/>
    <w:rsid w:val="00F156FF"/>
    <w:rsid w:val="00F32339"/>
    <w:rsid w:val="00F42C20"/>
    <w:rsid w:val="00F431D8"/>
    <w:rsid w:val="00F54D46"/>
    <w:rsid w:val="00F60D88"/>
    <w:rsid w:val="00F60E9A"/>
    <w:rsid w:val="00F63E8D"/>
    <w:rsid w:val="00F67706"/>
    <w:rsid w:val="00F76F97"/>
    <w:rsid w:val="00F81FE3"/>
    <w:rsid w:val="00F83A04"/>
    <w:rsid w:val="00F90F82"/>
    <w:rsid w:val="00F9214C"/>
    <w:rsid w:val="00F92D75"/>
    <w:rsid w:val="00F97327"/>
    <w:rsid w:val="00FA296F"/>
    <w:rsid w:val="00FA7323"/>
    <w:rsid w:val="00FB1299"/>
    <w:rsid w:val="00FB20A9"/>
    <w:rsid w:val="00FC1377"/>
    <w:rsid w:val="00FC301D"/>
    <w:rsid w:val="00FC32D3"/>
    <w:rsid w:val="00FD48D2"/>
    <w:rsid w:val="00FD4D82"/>
    <w:rsid w:val="00FE06CB"/>
    <w:rsid w:val="00FE1980"/>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5B8DA2C"/>
  <w15:docId w15:val="{44AD61A3-36BE-4544-A09C-39B49DC15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NormalWeb">
    <w:name w:val="Normal (Web)"/>
    <w:basedOn w:val="Normal"/>
    <w:uiPriority w:val="99"/>
    <w:unhideWhenUsed/>
    <w:rsid w:val="00433D86"/>
    <w:pPr>
      <w:spacing w:before="100" w:beforeAutospacing="1" w:after="100" w:afterAutospacing="1"/>
      <w:ind w:left="0" w:firstLine="0"/>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170A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are.diabetesjournals.org/content/42/Supplement_1"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s://doi.org/10.2337/cd18-0105"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F47A0"/>
    <w:rsid w:val="002B5F47"/>
    <w:rsid w:val="003A1E4B"/>
    <w:rsid w:val="00455EB5"/>
    <w:rsid w:val="00461C1C"/>
    <w:rsid w:val="004E2027"/>
    <w:rsid w:val="005F21F3"/>
    <w:rsid w:val="008307AA"/>
    <w:rsid w:val="008F6A9B"/>
    <w:rsid w:val="00A06DDC"/>
    <w:rsid w:val="00A77B15"/>
    <w:rsid w:val="00B770F2"/>
    <w:rsid w:val="00BE0F2D"/>
    <w:rsid w:val="00C03643"/>
    <w:rsid w:val="00C2797F"/>
    <w:rsid w:val="00C80225"/>
    <w:rsid w:val="00D228C9"/>
    <w:rsid w:val="00D2552B"/>
    <w:rsid w:val="00D75B64"/>
    <w:rsid w:val="00DB5324"/>
    <w:rsid w:val="00DD5FA0"/>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terms/"/>
    <ds:schemaRef ds:uri="64615f93-1352-4a7e-b7a8-3b07e39b2009"/>
    <ds:schemaRef ds:uri="http://www.w3.org/XML/1998/namespace"/>
    <ds:schemaRef ds:uri="http://purl.org/dc/elements/1.1/"/>
    <ds:schemaRef ds:uri="76bce2c7-2e52-4525-a6e0-24f8a73e605d"/>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schemas.microsoft.com/office/infopath/2007/PartnerControls"/>
  </ds:schemaRefs>
</ds:datastoreItem>
</file>

<file path=customXml/itemProps2.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3.xml><?xml version="1.0" encoding="utf-8"?>
<ds:datastoreItem xmlns:ds="http://schemas.openxmlformats.org/officeDocument/2006/customXml" ds:itemID="{D56BE918-1588-4E15-876A-1979FFFE26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383A24-42DC-43BF-AB86-27D0A5240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3121</Words>
  <Characters>17793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20873</CharactersWithSpaces>
  <SharedDoc>false</SharedDoc>
  <HLinks>
    <vt:vector size="72" baseType="variant">
      <vt:variant>
        <vt:i4>2424834</vt:i4>
      </vt:variant>
      <vt:variant>
        <vt:i4>33</vt:i4>
      </vt:variant>
      <vt:variant>
        <vt:i4>0</vt:i4>
      </vt:variant>
      <vt:variant>
        <vt:i4>5</vt:i4>
      </vt:variant>
      <vt:variant>
        <vt:lpwstr>https://care.diabetesjournals.org/content/42/Supplement_1</vt:lpwstr>
      </vt:variant>
      <vt:variant>
        <vt:lpwstr/>
      </vt:variant>
      <vt:variant>
        <vt:i4>5177360</vt:i4>
      </vt:variant>
      <vt:variant>
        <vt:i4>30</vt:i4>
      </vt:variant>
      <vt:variant>
        <vt:i4>0</vt:i4>
      </vt:variant>
      <vt:variant>
        <vt:i4>5</vt:i4>
      </vt:variant>
      <vt:variant>
        <vt:lpwstr>https://doi.org/10.2337/cd18-0105</vt:lpwstr>
      </vt:variant>
      <vt:variant>
        <vt:lpwstr/>
      </vt:variant>
      <vt:variant>
        <vt:i4>6619257</vt:i4>
      </vt:variant>
      <vt:variant>
        <vt:i4>27</vt:i4>
      </vt:variant>
      <vt:variant>
        <vt:i4>0</vt:i4>
      </vt:variant>
      <vt:variant>
        <vt:i4>5</vt:i4>
      </vt:variant>
      <vt:variant>
        <vt:lpwstr>http://www.aqaalliance.org/files/PrinciplesofEfficiencyMeasurementApril2006.doc</vt:lpwstr>
      </vt:variant>
      <vt:variant>
        <vt:lpwstr/>
      </vt:variant>
      <vt:variant>
        <vt:i4>4587580</vt:i4>
      </vt:variant>
      <vt:variant>
        <vt:i4>24</vt:i4>
      </vt:variant>
      <vt:variant>
        <vt:i4>0</vt:i4>
      </vt:variant>
      <vt:variant>
        <vt:i4>5</vt:i4>
      </vt:variant>
      <vt:variant>
        <vt:lpwstr>http://www.qualityforum.org/Publications/2010/01/Measurement_Framework__Evaluating_Efficiency_Across_Patient-Focused_Episodes_of_Care.aspx</vt:lpwstr>
      </vt:variant>
      <vt:variant>
        <vt:lpwstr/>
      </vt:variant>
      <vt:variant>
        <vt:i4>5373974</vt:i4>
      </vt:variant>
      <vt:variant>
        <vt:i4>21</vt:i4>
      </vt:variant>
      <vt:variant>
        <vt:i4>0</vt:i4>
      </vt:variant>
      <vt:variant>
        <vt:i4>5</vt:i4>
      </vt:variant>
      <vt:variant>
        <vt:lpwstr>http://www.gradeworkinggroup.org/</vt:lpwstr>
      </vt:variant>
      <vt:variant>
        <vt:lpwstr/>
      </vt:variant>
      <vt:variant>
        <vt:i4>655386</vt:i4>
      </vt:variant>
      <vt:variant>
        <vt:i4>18</vt:i4>
      </vt:variant>
      <vt:variant>
        <vt:i4>0</vt:i4>
      </vt:variant>
      <vt:variant>
        <vt:i4>5</vt:i4>
      </vt:variant>
      <vt:variant>
        <vt:lpwstr/>
      </vt:variant>
      <vt:variant>
        <vt:lpwstr>Note6</vt:lpwstr>
      </vt:variant>
      <vt:variant>
        <vt:i4>655386</vt:i4>
      </vt:variant>
      <vt:variant>
        <vt:i4>15</vt:i4>
      </vt:variant>
      <vt:variant>
        <vt:i4>0</vt:i4>
      </vt:variant>
      <vt:variant>
        <vt:i4>5</vt:i4>
      </vt:variant>
      <vt:variant>
        <vt:lpwstr/>
      </vt:variant>
      <vt:variant>
        <vt:lpwstr>Note4</vt:lpwstr>
      </vt:variant>
      <vt:variant>
        <vt:i4>655386</vt:i4>
      </vt:variant>
      <vt:variant>
        <vt:i4>12</vt:i4>
      </vt:variant>
      <vt:variant>
        <vt:i4>0</vt:i4>
      </vt:variant>
      <vt:variant>
        <vt:i4>5</vt:i4>
      </vt:variant>
      <vt:variant>
        <vt:lpwstr/>
      </vt:variant>
      <vt:variant>
        <vt:lpwstr>Note4</vt:lpwstr>
      </vt:variant>
      <vt:variant>
        <vt:i4>655386</vt:i4>
      </vt:variant>
      <vt:variant>
        <vt:i4>9</vt:i4>
      </vt:variant>
      <vt:variant>
        <vt:i4>0</vt:i4>
      </vt:variant>
      <vt:variant>
        <vt:i4>5</vt:i4>
      </vt:variant>
      <vt:variant>
        <vt:lpwstr/>
      </vt:variant>
      <vt:variant>
        <vt:lpwstr>Note5</vt:lpwstr>
      </vt:variant>
      <vt:variant>
        <vt:i4>655386</vt:i4>
      </vt:variant>
      <vt:variant>
        <vt:i4>6</vt:i4>
      </vt:variant>
      <vt:variant>
        <vt:i4>0</vt:i4>
      </vt:variant>
      <vt:variant>
        <vt:i4>5</vt:i4>
      </vt:variant>
      <vt:variant>
        <vt:lpwstr/>
      </vt:variant>
      <vt:variant>
        <vt:lpwstr>Note4</vt:lpwstr>
      </vt:variant>
      <vt:variant>
        <vt:i4>655386</vt:i4>
      </vt:variant>
      <vt:variant>
        <vt:i4>3</vt:i4>
      </vt:variant>
      <vt:variant>
        <vt:i4>0</vt:i4>
      </vt:variant>
      <vt:variant>
        <vt:i4>5</vt:i4>
      </vt:variant>
      <vt:variant>
        <vt:lpwstr/>
      </vt:variant>
      <vt:variant>
        <vt:lpwstr>Note3</vt:lpwstr>
      </vt:variant>
      <vt:variant>
        <vt:i4>5177423</vt:i4>
      </vt:variant>
      <vt:variant>
        <vt:i4>0</vt:i4>
      </vt:variant>
      <vt:variant>
        <vt:i4>0</vt:i4>
      </vt:variant>
      <vt:variant>
        <vt:i4>5</vt:i4>
      </vt:variant>
      <vt:variant>
        <vt:lpwstr>http://www.qualityforum.org/Measuring_Performance/Submitting_Standards.aspx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cp:lastModifiedBy>Brittany Wade</cp:lastModifiedBy>
  <cp:revision>2</cp:revision>
  <dcterms:created xsi:type="dcterms:W3CDTF">2019-11-08T17:56:00Z</dcterms:created>
  <dcterms:modified xsi:type="dcterms:W3CDTF">2019-11-08T17:56:00Z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