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37F6A20D"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15616F">
            <w:rPr>
              <w:rStyle w:val="Style1"/>
            </w:rPr>
            <w:t>0037</w:t>
          </w:r>
        </w:sdtContent>
      </w:sdt>
    </w:p>
    <w:p w14:paraId="0CABCF56" w14:textId="66F2425A"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Fonts w:cstheme="minorHAnsi"/>
                <w:noProof/>
              </w:rPr>
              <w:id w:val="546412652"/>
              <w:placeholder>
                <w:docPart w:val="64D8ACEB8CDD42158980357EDD2CAA1F"/>
              </w:placeholder>
            </w:sdtPr>
            <w:sdtEndPr>
              <w:rPr>
                <w:rStyle w:val="Style1"/>
              </w:rPr>
            </w:sdtEndPr>
            <w:sdtContent>
              <w:r w:rsidR="00CE25D4">
                <w:rPr>
                  <w:rStyle w:val="Style1"/>
                  <w:rFonts w:cstheme="minorHAnsi"/>
                </w:rPr>
                <w:t>Osteoporosis Testing in Older Women</w:t>
              </w:r>
            </w:sdtContent>
          </w:sdt>
        </w:sdtContent>
      </w:sdt>
    </w:p>
    <w:p w14:paraId="0CABCF57" w14:textId="24889B62"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8-04-09T00:00:00Z">
            <w:dateFormat w:val="M/d/yyyy"/>
            <w:lid w:val="en-US"/>
            <w:storeMappedDataAs w:val="dateTime"/>
            <w:calendar w:val="gregorian"/>
          </w:date>
        </w:sdtPr>
        <w:sdtEndPr>
          <w:rPr>
            <w:rStyle w:val="DefaultParagraphFont"/>
            <w:noProof/>
            <w:color w:val="auto"/>
            <w:u w:val="none"/>
          </w:rPr>
        </w:sdtEndPr>
        <w:sdtContent>
          <w:r w:rsidR="004A471A">
            <w:rPr>
              <w:rStyle w:val="Style2"/>
              <w:rFonts w:cstheme="minorHAnsi"/>
            </w:rPr>
            <w:t>4/9/2018</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D92464"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D92464"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D92464"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D92464"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646137C1" w:rsidR="000B7D57" w:rsidRPr="00C775CE" w:rsidRDefault="00D92464"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646078">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D92464"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D92464"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D92464"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D92464"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D92464"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D92464"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D92464"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D92464"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D92464"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D92464"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D92464"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D92464"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3C156793" w:rsidR="00A01494" w:rsidRPr="000F1B7A" w:rsidRDefault="00D92464" w:rsidP="00DB3627">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EndPr/>
              <w:sdtContent>
                <w:r w:rsidR="005D3F00">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Fonts w:cstheme="minorHAnsi"/>
                  <w:bCs/>
                  <w:color w:val="0000FF"/>
                  <w:sz w:val="21"/>
                  <w:szCs w:val="21"/>
                </w:rPr>
                <w:id w:val="1834251992"/>
                <w:text/>
              </w:sdtPr>
              <w:sdtEndPr/>
              <w:sdtContent>
                <w:r w:rsidR="005D3F00" w:rsidRPr="005D3F00">
                  <w:rPr>
                    <w:rFonts w:cstheme="minorHAnsi"/>
                    <w:bCs/>
                    <w:color w:val="0000FF"/>
                    <w:sz w:val="21"/>
                    <w:szCs w:val="21"/>
                  </w:rPr>
                  <w:t>Patient Reported Data/Survey</w:t>
                </w:r>
              </w:sdtContent>
            </w:sdt>
          </w:p>
        </w:tc>
        <w:tc>
          <w:tcPr>
            <w:tcW w:w="4847" w:type="dxa"/>
          </w:tcPr>
          <w:p w14:paraId="0CABCFAB" w14:textId="7355B0F1" w:rsidR="00A01494" w:rsidRPr="000F1B7A" w:rsidRDefault="00D92464" w:rsidP="00DB3627">
            <w:pPr>
              <w:autoSpaceDE w:val="0"/>
              <w:autoSpaceDN w:val="0"/>
              <w:adjustRightInd w:val="0"/>
              <w:rPr>
                <w:rFonts w:cstheme="minorHAnsi"/>
                <w:bCs/>
              </w:rPr>
            </w:pPr>
            <w:sdt>
              <w:sdtPr>
                <w:rPr>
                  <w:rFonts w:cstheme="minorHAnsi"/>
                  <w:bCs/>
                  <w:color w:val="0000FF"/>
                </w:rPr>
                <w:id w:val="1689098749"/>
                <w14:checkbox>
                  <w14:checked w14:val="1"/>
                  <w14:checkedState w14:val="2612" w14:font="MS Gothic"/>
                  <w14:uncheckedState w14:val="2610" w14:font="MS Gothic"/>
                </w14:checkbox>
              </w:sdtPr>
              <w:sdtEndPr/>
              <w:sdtContent>
                <w:r w:rsidR="005D3F00">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Fonts w:cstheme="minorHAnsi"/>
                  <w:bCs/>
                  <w:color w:val="0000FF"/>
                  <w:sz w:val="21"/>
                  <w:szCs w:val="21"/>
                </w:rPr>
                <w:id w:val="1976178076"/>
                <w:text/>
              </w:sdtPr>
              <w:sdtEndPr/>
              <w:sdtContent>
                <w:r w:rsidR="005D3F00" w:rsidRPr="005D3F00">
                  <w:rPr>
                    <w:rFonts w:cstheme="minorHAnsi"/>
                    <w:bCs/>
                    <w:color w:val="0000FF"/>
                    <w:sz w:val="21"/>
                    <w:szCs w:val="21"/>
                  </w:rPr>
                  <w:t>Patient Reported Data/Survey</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1DB8837A" w14:textId="166215C9" w:rsidR="00880CDD" w:rsidRPr="00880CDD" w:rsidRDefault="00880CDD" w:rsidP="00DB3627">
      <w:pPr>
        <w:autoSpaceDE w:val="0"/>
        <w:autoSpaceDN w:val="0"/>
        <w:adjustRightInd w:val="0"/>
        <w:spacing w:after="0" w:line="240" w:lineRule="auto"/>
        <w:rPr>
          <w:rFonts w:cstheme="minorHAnsi"/>
          <w:color w:val="0070C0"/>
        </w:rPr>
      </w:pPr>
      <w:r w:rsidRPr="00880CDD">
        <w:rPr>
          <w:rFonts w:cstheme="minorHAnsi"/>
          <w:color w:val="0070C0"/>
        </w:rPr>
        <w:t>N/A</w:t>
      </w:r>
    </w:p>
    <w:p w14:paraId="619325E7" w14:textId="77777777" w:rsidR="004A471A" w:rsidRDefault="004A471A" w:rsidP="00DB3627">
      <w:pPr>
        <w:autoSpaceDE w:val="0"/>
        <w:autoSpaceDN w:val="0"/>
        <w:adjustRightInd w:val="0"/>
        <w:spacing w:after="0" w:line="240" w:lineRule="auto"/>
        <w:rPr>
          <w:rFonts w:cstheme="minorHAnsi"/>
          <w:b/>
        </w:rPr>
      </w:pPr>
    </w:p>
    <w:p w14:paraId="0CABCFB0" w14:textId="2642891F"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p>
    <w:p w14:paraId="51E7B1F4" w14:textId="0B1D463B" w:rsidR="004F2758" w:rsidRDefault="004F2758" w:rsidP="004F2758">
      <w:pPr>
        <w:autoSpaceDE w:val="0"/>
        <w:autoSpaceDN w:val="0"/>
        <w:adjustRightInd w:val="0"/>
        <w:spacing w:after="0" w:line="240" w:lineRule="auto"/>
        <w:rPr>
          <w:rFonts w:cs="Times New Roman"/>
          <w:b/>
          <w:bCs/>
          <w:color w:val="FF0000"/>
          <w:u w:val="single"/>
        </w:rPr>
      </w:pPr>
      <w:r w:rsidRPr="004F2758">
        <w:rPr>
          <w:rFonts w:cs="Times New Roman"/>
          <w:b/>
          <w:bCs/>
          <w:color w:val="FF0000"/>
          <w:u w:val="single"/>
        </w:rPr>
        <w:t>2018 Submission:</w:t>
      </w:r>
    </w:p>
    <w:p w14:paraId="7D1BF41C" w14:textId="2336EE8E" w:rsidR="004F2758" w:rsidRPr="004F2758" w:rsidRDefault="004F2758" w:rsidP="004F2758">
      <w:pPr>
        <w:autoSpaceDE w:val="0"/>
        <w:autoSpaceDN w:val="0"/>
        <w:adjustRightInd w:val="0"/>
        <w:spacing w:after="0" w:line="240" w:lineRule="auto"/>
        <w:rPr>
          <w:rFonts w:cs="Times New Roman"/>
          <w:bCs/>
          <w:color w:val="FF0000"/>
        </w:rPr>
      </w:pPr>
      <w:r w:rsidRPr="004F2758">
        <w:rPr>
          <w:rFonts w:cs="Times New Roman"/>
          <w:bCs/>
          <w:color w:val="FF0000"/>
        </w:rPr>
        <w:t>Sample 3: 2016</w:t>
      </w:r>
    </w:p>
    <w:p w14:paraId="08E2A024" w14:textId="77777777" w:rsidR="004F2758" w:rsidRDefault="004F2758" w:rsidP="004A471A">
      <w:pPr>
        <w:autoSpaceDE w:val="0"/>
        <w:autoSpaceDN w:val="0"/>
        <w:adjustRightInd w:val="0"/>
        <w:spacing w:after="0" w:line="240" w:lineRule="auto"/>
        <w:rPr>
          <w:rFonts w:cstheme="minorHAnsi"/>
          <w:b/>
          <w:color w:val="0070C0"/>
          <w:u w:val="single"/>
        </w:rPr>
      </w:pPr>
    </w:p>
    <w:p w14:paraId="287101C5" w14:textId="17D6074C" w:rsidR="004A471A" w:rsidRPr="00880CDD" w:rsidRDefault="004A471A" w:rsidP="004A471A">
      <w:pPr>
        <w:autoSpaceDE w:val="0"/>
        <w:autoSpaceDN w:val="0"/>
        <w:adjustRightInd w:val="0"/>
        <w:spacing w:after="0" w:line="240" w:lineRule="auto"/>
        <w:rPr>
          <w:rFonts w:cstheme="minorHAnsi"/>
          <w:b/>
          <w:color w:val="0070C0"/>
          <w:u w:val="single"/>
        </w:rPr>
      </w:pPr>
      <w:r w:rsidRPr="00880CDD">
        <w:rPr>
          <w:rFonts w:cstheme="minorHAnsi"/>
          <w:b/>
          <w:color w:val="0070C0"/>
          <w:u w:val="single"/>
        </w:rPr>
        <w:t>2014 submission:</w:t>
      </w:r>
    </w:p>
    <w:p w14:paraId="74FFFCAB" w14:textId="77777777" w:rsidR="004A471A" w:rsidRPr="004A471A" w:rsidRDefault="004A471A" w:rsidP="004A471A">
      <w:pPr>
        <w:autoSpaceDE w:val="0"/>
        <w:autoSpaceDN w:val="0"/>
        <w:adjustRightInd w:val="0"/>
        <w:spacing w:after="0" w:line="240" w:lineRule="auto"/>
        <w:rPr>
          <w:rFonts w:cstheme="minorHAnsi"/>
          <w:color w:val="0070C0"/>
        </w:rPr>
      </w:pPr>
      <w:r w:rsidRPr="004A471A">
        <w:rPr>
          <w:rFonts w:cstheme="minorHAnsi"/>
          <w:color w:val="0070C0"/>
        </w:rPr>
        <w:t>Sample 1: 2005</w:t>
      </w:r>
    </w:p>
    <w:p w14:paraId="1B8D2BA7" w14:textId="77777777" w:rsidR="004A471A" w:rsidRPr="004A471A" w:rsidRDefault="004A471A" w:rsidP="004A471A">
      <w:pPr>
        <w:autoSpaceDE w:val="0"/>
        <w:autoSpaceDN w:val="0"/>
        <w:adjustRightInd w:val="0"/>
        <w:spacing w:after="0" w:line="240" w:lineRule="auto"/>
        <w:rPr>
          <w:rFonts w:cstheme="minorHAnsi"/>
          <w:color w:val="0070C0"/>
        </w:rPr>
      </w:pPr>
      <w:r w:rsidRPr="004A471A">
        <w:rPr>
          <w:rFonts w:cstheme="minorHAnsi"/>
          <w:color w:val="0070C0"/>
        </w:rPr>
        <w:t>Sample 2: 2012</w:t>
      </w:r>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D92464"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D92464"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D92464"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D92464"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7777777" w:rsidR="000414E8" w:rsidRPr="00A01494" w:rsidRDefault="00D92464"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7777777" w:rsidR="000414E8" w:rsidRPr="00A01494" w:rsidRDefault="00D92464"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429E72E8" w:rsidR="000414E8" w:rsidRPr="00A01494" w:rsidRDefault="00D92464" w:rsidP="00D61410">
            <w:pPr>
              <w:autoSpaceDE w:val="0"/>
              <w:autoSpaceDN w:val="0"/>
              <w:adjustRightInd w:val="0"/>
              <w:rPr>
                <w:rFonts w:cstheme="minorHAnsi"/>
                <w:bCs/>
              </w:rPr>
            </w:pPr>
            <w:sdt>
              <w:sdtPr>
                <w:rPr>
                  <w:rFonts w:cstheme="minorHAnsi"/>
                  <w:bCs/>
                  <w:color w:val="0000FF"/>
                </w:rPr>
                <w:id w:val="275535217"/>
                <w14:checkbox>
                  <w14:checked w14:val="1"/>
                  <w14:checkedState w14:val="2612" w14:font="MS Gothic"/>
                  <w14:uncheckedState w14:val="2610" w14:font="MS Gothic"/>
                </w14:checkbox>
              </w:sdtPr>
              <w:sdtEndPr/>
              <w:sdtContent>
                <w:r w:rsidR="007F5567">
                  <w:rPr>
                    <w:rFonts w:ascii="MS Gothic" w:eastAsia="MS Gothic" w:hAnsi="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5A65EF3" w:rsidR="000414E8" w:rsidRPr="00A01494" w:rsidRDefault="00D92464" w:rsidP="00D61410">
            <w:pPr>
              <w:autoSpaceDE w:val="0"/>
              <w:autoSpaceDN w:val="0"/>
              <w:adjustRightInd w:val="0"/>
              <w:rPr>
                <w:rFonts w:cstheme="minorHAnsi"/>
                <w:bCs/>
              </w:rPr>
            </w:pPr>
            <w:sdt>
              <w:sdtPr>
                <w:rPr>
                  <w:rFonts w:cstheme="minorHAnsi"/>
                  <w:bCs/>
                  <w:color w:val="0000FF"/>
                </w:rPr>
                <w:id w:val="1896924375"/>
                <w14:checkbox>
                  <w14:checked w14:val="1"/>
                  <w14:checkedState w14:val="2612" w14:font="MS Gothic"/>
                  <w14:uncheckedState w14:val="2610" w14:font="MS Gothic"/>
                </w14:checkbox>
              </w:sdtPr>
              <w:sdtEndPr/>
              <w:sdtContent>
                <w:r w:rsidR="007F5567">
                  <w:rPr>
                    <w:rFonts w:ascii="MS Gothic" w:eastAsia="MS Gothic" w:hAnsi="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D92464"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D92464"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2FFC6B24" w14:textId="02275A16" w:rsidR="00195D09" w:rsidRPr="004F2758" w:rsidRDefault="004F2758" w:rsidP="00195D09">
      <w:pPr>
        <w:autoSpaceDE w:val="0"/>
        <w:autoSpaceDN w:val="0"/>
        <w:adjustRightInd w:val="0"/>
        <w:spacing w:after="0" w:line="240" w:lineRule="auto"/>
        <w:rPr>
          <w:rFonts w:cs="Times New Roman"/>
          <w:b/>
          <w:bCs/>
          <w:color w:val="FF0000"/>
          <w:u w:val="single"/>
        </w:rPr>
      </w:pPr>
      <w:r w:rsidRPr="004F2758">
        <w:rPr>
          <w:rFonts w:cs="Times New Roman"/>
          <w:b/>
          <w:bCs/>
          <w:color w:val="FF0000"/>
          <w:u w:val="single"/>
        </w:rPr>
        <w:t>2018 Submission:</w:t>
      </w:r>
    </w:p>
    <w:p w14:paraId="3AB7BD4F" w14:textId="2CD0CE48" w:rsidR="004F2758" w:rsidRPr="003B6A39" w:rsidRDefault="004F2758" w:rsidP="00195D09">
      <w:pPr>
        <w:autoSpaceDE w:val="0"/>
        <w:autoSpaceDN w:val="0"/>
        <w:adjustRightInd w:val="0"/>
        <w:spacing w:after="0" w:line="240" w:lineRule="auto"/>
        <w:rPr>
          <w:rFonts w:cs="Times New Roman"/>
          <w:bCs/>
          <w:color w:val="FF0000"/>
        </w:rPr>
      </w:pPr>
      <w:r w:rsidRPr="003B6A39">
        <w:rPr>
          <w:rFonts w:cs="Times New Roman"/>
          <w:b/>
          <w:bCs/>
          <w:color w:val="FF0000"/>
        </w:rPr>
        <w:t>Sample 3:</w:t>
      </w:r>
      <w:r w:rsidR="0006262B" w:rsidRPr="003B6A39">
        <w:rPr>
          <w:rFonts w:cs="Times New Roman"/>
          <w:b/>
          <w:bCs/>
          <w:color w:val="FF0000"/>
        </w:rPr>
        <w:t xml:space="preserve"> </w:t>
      </w:r>
      <w:r w:rsidR="0006262B">
        <w:rPr>
          <w:rFonts w:cs="Times New Roman"/>
          <w:bCs/>
          <w:color w:val="FF0000"/>
        </w:rPr>
        <w:t xml:space="preserve">To </w:t>
      </w:r>
      <w:r w:rsidR="003B6A39">
        <w:rPr>
          <w:rFonts w:cs="Times New Roman"/>
          <w:bCs/>
          <w:color w:val="FF0000"/>
        </w:rPr>
        <w:t xml:space="preserve">test the incidence of the </w:t>
      </w:r>
      <w:r w:rsidR="0006262B" w:rsidRPr="003B6A39">
        <w:rPr>
          <w:rFonts w:cs="Times New Roman"/>
          <w:bCs/>
          <w:color w:val="FF0000"/>
        </w:rPr>
        <w:t>exclusion for individuals receiving hospice care</w:t>
      </w:r>
      <w:r w:rsidR="003B6A39">
        <w:rPr>
          <w:rFonts w:cs="Times New Roman"/>
          <w:bCs/>
          <w:color w:val="FF0000"/>
        </w:rPr>
        <w:t xml:space="preserve"> (first incorporated into the measures in 2016)</w:t>
      </w:r>
      <w:r w:rsidR="0006262B" w:rsidRPr="003B6A39">
        <w:rPr>
          <w:rFonts w:cs="Times New Roman"/>
          <w:bCs/>
          <w:color w:val="FF0000"/>
        </w:rPr>
        <w:t>, we used data from Medicare health plans submitting Health Outcome Survey data to be reported in HEDIS for measuremen</w:t>
      </w:r>
      <w:r w:rsidR="003B6A39" w:rsidRPr="003B6A39">
        <w:rPr>
          <w:rFonts w:cs="Times New Roman"/>
          <w:bCs/>
          <w:color w:val="FF0000"/>
        </w:rPr>
        <w:t>t year 2016</w:t>
      </w:r>
      <w:r w:rsidR="0006262B" w:rsidRPr="003B6A39">
        <w:rPr>
          <w:rFonts w:cs="Times New Roman"/>
          <w:bCs/>
          <w:color w:val="FF0000"/>
        </w:rPr>
        <w:t>. The plans were nationally</w:t>
      </w:r>
      <w:r w:rsidR="007279FA">
        <w:rPr>
          <w:rFonts w:cs="Times New Roman"/>
          <w:bCs/>
          <w:color w:val="FF0000"/>
        </w:rPr>
        <w:t xml:space="preserve"> representative and included 463</w:t>
      </w:r>
      <w:r w:rsidR="0006262B" w:rsidRPr="003B6A39">
        <w:rPr>
          <w:rFonts w:cs="Times New Roman"/>
          <w:bCs/>
          <w:color w:val="FF0000"/>
        </w:rPr>
        <w:t xml:space="preserve"> PPO and HMO plans.</w:t>
      </w:r>
    </w:p>
    <w:p w14:paraId="3BEBFF2F" w14:textId="77777777" w:rsidR="00195D09" w:rsidRDefault="00195D09" w:rsidP="00195D09">
      <w:pPr>
        <w:autoSpaceDE w:val="0"/>
        <w:autoSpaceDN w:val="0"/>
        <w:adjustRightInd w:val="0"/>
        <w:spacing w:after="0" w:line="240" w:lineRule="auto"/>
        <w:rPr>
          <w:rFonts w:cs="Times New Roman"/>
          <w:b/>
          <w:bCs/>
          <w:color w:val="0070C0"/>
          <w:u w:val="single"/>
        </w:rPr>
      </w:pPr>
    </w:p>
    <w:p w14:paraId="09AA5B56" w14:textId="3396D166" w:rsidR="00195D09" w:rsidRDefault="00195D09" w:rsidP="00195D09">
      <w:pPr>
        <w:autoSpaceDE w:val="0"/>
        <w:autoSpaceDN w:val="0"/>
        <w:adjustRightInd w:val="0"/>
        <w:spacing w:after="0" w:line="240" w:lineRule="auto"/>
        <w:rPr>
          <w:rFonts w:cs="Times New Roman"/>
          <w:b/>
          <w:bCs/>
          <w:color w:val="0070C0"/>
          <w:u w:val="single"/>
        </w:rPr>
      </w:pPr>
      <w:r>
        <w:rPr>
          <w:rFonts w:cs="Times New Roman"/>
          <w:b/>
          <w:bCs/>
          <w:color w:val="0070C0"/>
          <w:u w:val="single"/>
        </w:rPr>
        <w:t>2014 submission:</w:t>
      </w:r>
    </w:p>
    <w:p w14:paraId="537863DF" w14:textId="14BA8264" w:rsidR="00195D09" w:rsidRPr="00195D09" w:rsidRDefault="00195D09" w:rsidP="00195D09">
      <w:pPr>
        <w:autoSpaceDE w:val="0"/>
        <w:autoSpaceDN w:val="0"/>
        <w:adjustRightInd w:val="0"/>
        <w:spacing w:after="0" w:line="240" w:lineRule="auto"/>
        <w:rPr>
          <w:rFonts w:cs="Times New Roman"/>
          <w:bCs/>
          <w:color w:val="0070C0"/>
        </w:rPr>
      </w:pPr>
      <w:r w:rsidRPr="004A471A">
        <w:rPr>
          <w:rFonts w:cs="Times New Roman"/>
          <w:b/>
          <w:bCs/>
          <w:color w:val="0070C0"/>
        </w:rPr>
        <w:t>Sample 1:</w:t>
      </w:r>
      <w:r w:rsidR="004F2758" w:rsidRPr="004F2758">
        <w:rPr>
          <w:rFonts w:cs="Times New Roman"/>
          <w:b/>
          <w:bCs/>
          <w:color w:val="0070C0"/>
        </w:rPr>
        <w:t xml:space="preserve"> </w:t>
      </w:r>
      <w:r w:rsidRPr="00195D09">
        <w:rPr>
          <w:rFonts w:cs="Times New Roman"/>
          <w:bCs/>
          <w:color w:val="0070C0"/>
        </w:rPr>
        <w:t xml:space="preserve">To test data element reliability and validity, NCQA contracted with RTI to conduct four rounds of cognitive testing between January and May 2005 in Raleigh and Durham, North Carolina, and Waltham, Massachusetts. Six respondents in each round for a total of 24 completed interviews. There were two rounds of concept testing to identify which terms used to describe osteoporosis and osteoporosis testing were recognized and understood by respondents. Using the terms identified in Rounds 1 and 2, the osteoporosis survey question was then tested in Rounds 3 and 4. </w:t>
      </w:r>
    </w:p>
    <w:p w14:paraId="4C9C3CE6" w14:textId="77777777" w:rsidR="00195D09" w:rsidRPr="00195D09" w:rsidRDefault="00195D09" w:rsidP="00195D09">
      <w:pPr>
        <w:autoSpaceDE w:val="0"/>
        <w:autoSpaceDN w:val="0"/>
        <w:adjustRightInd w:val="0"/>
        <w:spacing w:after="0" w:line="240" w:lineRule="auto"/>
        <w:rPr>
          <w:rFonts w:cs="Times New Roman"/>
          <w:bCs/>
          <w:color w:val="0070C0"/>
        </w:rPr>
      </w:pPr>
    </w:p>
    <w:p w14:paraId="20D92A0F" w14:textId="77777777" w:rsidR="00195D09" w:rsidRPr="00195D09" w:rsidRDefault="00195D09" w:rsidP="00195D09">
      <w:pPr>
        <w:autoSpaceDE w:val="0"/>
        <w:autoSpaceDN w:val="0"/>
        <w:adjustRightInd w:val="0"/>
        <w:spacing w:after="0" w:line="240" w:lineRule="auto"/>
        <w:rPr>
          <w:rFonts w:cs="Times New Roman"/>
          <w:bCs/>
          <w:color w:val="0070C0"/>
        </w:rPr>
      </w:pPr>
      <w:r w:rsidRPr="004A471A">
        <w:rPr>
          <w:rFonts w:cs="Times New Roman"/>
          <w:b/>
          <w:bCs/>
          <w:color w:val="0070C0"/>
        </w:rPr>
        <w:t>Sample 2:</w:t>
      </w:r>
      <w:r w:rsidRPr="00195D09">
        <w:rPr>
          <w:rFonts w:cs="Times New Roman"/>
          <w:b/>
          <w:bCs/>
          <w:color w:val="0070C0"/>
        </w:rPr>
        <w:t xml:space="preserve"> </w:t>
      </w:r>
      <w:r w:rsidRPr="00195D09">
        <w:rPr>
          <w:rFonts w:cs="Times New Roman"/>
          <w:bCs/>
          <w:color w:val="0070C0"/>
        </w:rPr>
        <w:t xml:space="preserve">This measure was tested for reliability, empirical validity, meaningful difference in performance and missing data using data from Medicare health plans submitting Health Outcome Survey data to be reported in HEDIS for measurement year 2012. The plans were nationally representative and included 495 PPO and HMO plans. </w:t>
      </w:r>
    </w:p>
    <w:p w14:paraId="0CABCFC8" w14:textId="77777777" w:rsidR="002B5016" w:rsidRPr="00A25024" w:rsidRDefault="002B5016" w:rsidP="00DB3627">
      <w:pPr>
        <w:autoSpaceDE w:val="0"/>
        <w:autoSpaceDN w:val="0"/>
        <w:adjustRightInd w:val="0"/>
        <w:spacing w:after="0" w:line="240" w:lineRule="auto"/>
        <w:rPr>
          <w:rFonts w:cstheme="minorHAnsi"/>
          <w:bCs/>
        </w:rPr>
      </w:pPr>
    </w:p>
    <w:p w14:paraId="54716FDC" w14:textId="77777777" w:rsidR="003B6A39" w:rsidRPr="004F2758" w:rsidRDefault="002B5016" w:rsidP="003B6A39">
      <w:pPr>
        <w:autoSpaceDE w:val="0"/>
        <w:autoSpaceDN w:val="0"/>
        <w:adjustRightInd w:val="0"/>
        <w:spacing w:after="0" w:line="240" w:lineRule="auto"/>
        <w:rPr>
          <w:rFonts w:cs="Times New Roman"/>
          <w:b/>
          <w:bCs/>
          <w:color w:val="FF0000"/>
          <w:u w:val="single"/>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r w:rsidR="003B6A39" w:rsidRPr="004F2758">
        <w:rPr>
          <w:rFonts w:cs="Times New Roman"/>
          <w:b/>
          <w:bCs/>
          <w:color w:val="FF0000"/>
          <w:u w:val="single"/>
        </w:rPr>
        <w:t>2018 Submission:</w:t>
      </w:r>
    </w:p>
    <w:p w14:paraId="07888DC8" w14:textId="61F5DBE9" w:rsidR="005B09FA" w:rsidRPr="003B6A39" w:rsidRDefault="003B6A39" w:rsidP="005B09FA">
      <w:pPr>
        <w:autoSpaceDE w:val="0"/>
        <w:autoSpaceDN w:val="0"/>
        <w:adjustRightInd w:val="0"/>
        <w:spacing w:after="0" w:line="240" w:lineRule="auto"/>
        <w:rPr>
          <w:rFonts w:cs="Times New Roman"/>
          <w:color w:val="FF0000"/>
        </w:rPr>
      </w:pPr>
      <w:r w:rsidRPr="003B6A39">
        <w:rPr>
          <w:rFonts w:cs="Times New Roman"/>
          <w:b/>
          <w:bCs/>
          <w:color w:val="FF0000"/>
        </w:rPr>
        <w:t>Sample 3</w:t>
      </w:r>
      <w:r w:rsidRPr="003B6A39">
        <w:rPr>
          <w:rFonts w:cs="Times New Roman"/>
          <w:color w:val="FF0000"/>
        </w:rPr>
        <w:t>: In</w:t>
      </w:r>
      <w:r>
        <w:rPr>
          <w:rFonts w:cs="Times New Roman"/>
          <w:color w:val="FF0000"/>
        </w:rPr>
        <w:t xml:space="preserve"> 2016</w:t>
      </w:r>
      <w:r w:rsidRPr="003B6A39">
        <w:rPr>
          <w:rFonts w:cs="Times New Roman"/>
          <w:color w:val="FF0000"/>
        </w:rPr>
        <w:t xml:space="preserve">, this measure was collected from </w:t>
      </w:r>
      <w:r w:rsidR="007E2FCF">
        <w:rPr>
          <w:rFonts w:cs="Times New Roman"/>
          <w:color w:val="FF0000"/>
        </w:rPr>
        <w:t>302,404</w:t>
      </w:r>
      <w:r w:rsidRPr="003B6A39">
        <w:rPr>
          <w:rFonts w:cs="Times New Roman"/>
          <w:color w:val="FF0000"/>
        </w:rPr>
        <w:t xml:space="preserve"> survey responders (patients) </w:t>
      </w:r>
      <w:r w:rsidRPr="00CE288A">
        <w:rPr>
          <w:rFonts w:cs="Times New Roman"/>
          <w:color w:val="FF0000"/>
        </w:rPr>
        <w:t xml:space="preserve">from </w:t>
      </w:r>
      <w:r w:rsidR="00CE288A" w:rsidRPr="00CE288A">
        <w:rPr>
          <w:rFonts w:cs="Times New Roman"/>
          <w:color w:val="FF0000"/>
        </w:rPr>
        <w:t>463</w:t>
      </w:r>
      <w:r w:rsidRPr="003B6A39">
        <w:rPr>
          <w:rFonts w:cs="Times New Roman"/>
          <w:color w:val="FF0000"/>
        </w:rPr>
        <w:t xml:space="preserve"> health plans. A sample was drawn from each health plan’s population </w:t>
      </w:r>
      <w:r w:rsidR="007E2FCF">
        <w:rPr>
          <w:rFonts w:cs="Times New Roman"/>
          <w:color w:val="FF0000"/>
        </w:rPr>
        <w:t xml:space="preserve">based on the plan </w:t>
      </w:r>
      <w:r w:rsidR="007E2FCF" w:rsidRPr="007E2FCF">
        <w:rPr>
          <w:rFonts w:cs="Times New Roman"/>
          <w:color w:val="FF0000"/>
        </w:rPr>
        <w:t xml:space="preserve">size </w:t>
      </w:r>
      <w:r w:rsidRPr="007E2FCF">
        <w:rPr>
          <w:rFonts w:cs="Times New Roman"/>
          <w:color w:val="FF0000"/>
        </w:rPr>
        <w:t>(</w:t>
      </w:r>
      <w:r w:rsidR="007E2FCF">
        <w:rPr>
          <w:rFonts w:cs="Times New Roman"/>
          <w:color w:val="FF0000"/>
        </w:rPr>
        <w:t xml:space="preserve">500 to </w:t>
      </w:r>
      <w:r w:rsidRPr="007E2FCF">
        <w:rPr>
          <w:rFonts w:cs="Times New Roman"/>
          <w:color w:val="FF0000"/>
        </w:rPr>
        <w:t>1,200</w:t>
      </w:r>
      <w:r w:rsidR="007E2FCF">
        <w:rPr>
          <w:rFonts w:cs="Times New Roman"/>
          <w:color w:val="FF0000"/>
        </w:rPr>
        <w:t xml:space="preserve"> patients</w:t>
      </w:r>
      <w:r w:rsidRPr="003B6A39">
        <w:rPr>
          <w:rFonts w:cs="Times New Roman"/>
          <w:color w:val="FF0000"/>
        </w:rPr>
        <w:t xml:space="preserve"> per health plan </w:t>
      </w:r>
      <w:r w:rsidR="007E2FCF">
        <w:rPr>
          <w:rFonts w:cs="Times New Roman"/>
          <w:color w:val="FF0000"/>
        </w:rPr>
        <w:t xml:space="preserve">are </w:t>
      </w:r>
      <w:r w:rsidRPr="003B6A39">
        <w:rPr>
          <w:rFonts w:cs="Times New Roman"/>
          <w:color w:val="FF0000"/>
        </w:rPr>
        <w:t>sampled</w:t>
      </w:r>
      <w:r w:rsidR="007E2FCF">
        <w:rPr>
          <w:rFonts w:cs="Times New Roman"/>
          <w:color w:val="FF0000"/>
        </w:rPr>
        <w:t xml:space="preserve"> depending on plan size</w:t>
      </w:r>
      <w:r w:rsidRPr="003B6A39">
        <w:rPr>
          <w:rFonts w:cs="Times New Roman"/>
          <w:color w:val="FF0000"/>
        </w:rPr>
        <w:t>)</w:t>
      </w:r>
      <w:r>
        <w:rPr>
          <w:rFonts w:cs="Times New Roman"/>
          <w:color w:val="FF0000"/>
        </w:rPr>
        <w:t>.</w:t>
      </w:r>
    </w:p>
    <w:p w14:paraId="4F9756A9" w14:textId="77777777" w:rsidR="003B6A39" w:rsidRDefault="003B6A39" w:rsidP="005B09FA">
      <w:pPr>
        <w:autoSpaceDE w:val="0"/>
        <w:autoSpaceDN w:val="0"/>
        <w:adjustRightInd w:val="0"/>
        <w:spacing w:after="0" w:line="240" w:lineRule="auto"/>
        <w:rPr>
          <w:rFonts w:cs="Times New Roman"/>
          <w:b/>
          <w:bCs/>
          <w:color w:val="0070C0"/>
          <w:u w:val="single"/>
        </w:rPr>
      </w:pPr>
    </w:p>
    <w:p w14:paraId="75EEED3D" w14:textId="79642CE9" w:rsidR="005B09FA" w:rsidRDefault="005B09FA" w:rsidP="005B09FA">
      <w:pPr>
        <w:autoSpaceDE w:val="0"/>
        <w:autoSpaceDN w:val="0"/>
        <w:adjustRightInd w:val="0"/>
        <w:spacing w:after="0" w:line="240" w:lineRule="auto"/>
        <w:rPr>
          <w:rFonts w:cs="Times New Roman"/>
          <w:b/>
          <w:bCs/>
          <w:color w:val="0070C0"/>
          <w:u w:val="single"/>
        </w:rPr>
      </w:pPr>
      <w:r>
        <w:rPr>
          <w:rFonts w:cs="Times New Roman"/>
          <w:b/>
          <w:bCs/>
          <w:color w:val="0070C0"/>
          <w:u w:val="single"/>
        </w:rPr>
        <w:t>2014 submission:</w:t>
      </w:r>
    </w:p>
    <w:p w14:paraId="50D3E5B1" w14:textId="77777777" w:rsidR="005B09FA" w:rsidRPr="005B09FA" w:rsidRDefault="005B09FA" w:rsidP="005B09FA">
      <w:pPr>
        <w:spacing w:after="0" w:line="240" w:lineRule="auto"/>
        <w:rPr>
          <w:rFonts w:cs="Times New Roman"/>
          <w:color w:val="0070C0"/>
        </w:rPr>
      </w:pPr>
      <w:r w:rsidRPr="004A471A">
        <w:rPr>
          <w:rFonts w:cs="Times New Roman"/>
          <w:b/>
          <w:bCs/>
          <w:color w:val="0070C0"/>
        </w:rPr>
        <w:t>Sample 1:</w:t>
      </w:r>
      <w:r w:rsidRPr="004A471A">
        <w:rPr>
          <w:rFonts w:cs="Times New Roman"/>
          <w:bCs/>
          <w:color w:val="0070C0"/>
        </w:rPr>
        <w:t xml:space="preserve"> Four</w:t>
      </w:r>
      <w:r w:rsidRPr="005B09FA">
        <w:rPr>
          <w:rFonts w:cs="Times New Roman"/>
          <w:bCs/>
          <w:color w:val="0070C0"/>
        </w:rPr>
        <w:t xml:space="preserve"> rounds of cognitive testing took place between January and May 2005. Six respondents were interviewed in each round for a total of 24 completed interviews. The first two rounds of testing were done to identify which terms used to describe osteoporosis and osteoporosis testing were recognized and understood by respondents. The survey question was then tested in rounds three and four and were based off of the terms that were identified in rounds one and two. </w:t>
      </w:r>
      <w:r w:rsidRPr="005B09FA">
        <w:rPr>
          <w:rFonts w:cs="Times New Roman"/>
          <w:color w:val="0070C0"/>
        </w:rPr>
        <w:t xml:space="preserve">Participants were recruited for each round of cognitive testing from senior centers, senior housing, physical therapy, wellness centers, physicians’ offices and by word of mouth. In addition, announcements were placed about the study in local newspapers. Respondents were also required to have seen a health care provider during the past year. For the fourth round of testing, women aged 65 and older who had been diagnosed with osteoporosis were recruited. Round four included two women 65-75 years of age and four women who were over the age of 75. Respondents in round four were also diverse on their level of education. One respondent had less than high school, one had some high school, three were high school graduates or had their GED, and one woman had a four-year college degree or more. </w:t>
      </w:r>
    </w:p>
    <w:p w14:paraId="6C1F8B85" w14:textId="77777777" w:rsidR="005B09FA" w:rsidRPr="005B09FA" w:rsidRDefault="005B09FA" w:rsidP="005B09FA">
      <w:pPr>
        <w:spacing w:after="0" w:line="240" w:lineRule="auto"/>
        <w:rPr>
          <w:rFonts w:cs="Times New Roman"/>
          <w:color w:val="0070C0"/>
        </w:rPr>
      </w:pPr>
    </w:p>
    <w:p w14:paraId="11384D74" w14:textId="77777777" w:rsidR="005B09FA" w:rsidRPr="005B09FA" w:rsidRDefault="005B09FA" w:rsidP="005B09FA">
      <w:pPr>
        <w:autoSpaceDE w:val="0"/>
        <w:autoSpaceDN w:val="0"/>
        <w:adjustRightInd w:val="0"/>
        <w:spacing w:after="0" w:line="240" w:lineRule="auto"/>
        <w:rPr>
          <w:rFonts w:cs="Times New Roman"/>
          <w:color w:val="0070C0"/>
        </w:rPr>
      </w:pPr>
      <w:r w:rsidRPr="004A471A">
        <w:rPr>
          <w:rFonts w:cs="Times New Roman"/>
          <w:b/>
          <w:bCs/>
          <w:color w:val="0070C0"/>
        </w:rPr>
        <w:t>Sample 2</w:t>
      </w:r>
      <w:r w:rsidRPr="004A471A">
        <w:rPr>
          <w:rFonts w:cs="Times New Roman"/>
          <w:color w:val="0070C0"/>
        </w:rPr>
        <w:t>: In</w:t>
      </w:r>
      <w:r w:rsidRPr="005B09FA">
        <w:rPr>
          <w:rFonts w:cs="Times New Roman"/>
          <w:color w:val="0070C0"/>
        </w:rPr>
        <w:t xml:space="preserve"> 2012, this measure was collected from 297,974 survey responders (patients) from 495 health plans. A sample was drawn from each health plan’s population (1,200 beneficiaries per health plan sampled). Table 1 below lists the demographic characteristics of the 2012 cohort.</w:t>
      </w:r>
    </w:p>
    <w:p w14:paraId="3800106A" w14:textId="77777777" w:rsidR="005B09FA" w:rsidRPr="005B09FA" w:rsidRDefault="005B09FA" w:rsidP="005B09FA">
      <w:pPr>
        <w:autoSpaceDE w:val="0"/>
        <w:autoSpaceDN w:val="0"/>
        <w:adjustRightInd w:val="0"/>
        <w:spacing w:after="0" w:line="240" w:lineRule="auto"/>
        <w:rPr>
          <w:rFonts w:cs="Times New Roman"/>
          <w:color w:val="0070C0"/>
        </w:rPr>
      </w:pPr>
    </w:p>
    <w:p w14:paraId="758291F7" w14:textId="77777777" w:rsidR="005B09FA" w:rsidRPr="005B09FA" w:rsidRDefault="005B09FA" w:rsidP="005B09FA">
      <w:pPr>
        <w:autoSpaceDE w:val="0"/>
        <w:autoSpaceDN w:val="0"/>
        <w:adjustRightInd w:val="0"/>
        <w:spacing w:after="0" w:line="240" w:lineRule="auto"/>
        <w:rPr>
          <w:rFonts w:cs="Times New Roman"/>
          <w:b/>
          <w:color w:val="0070C0"/>
        </w:rPr>
      </w:pPr>
      <w:r w:rsidRPr="005B09FA">
        <w:rPr>
          <w:rFonts w:cs="Times New Roman"/>
          <w:b/>
          <w:color w:val="0070C0"/>
        </w:rPr>
        <w:t>Table 1: Demographic Characteristics of Sample 2 (Health Outcome Survey 2012 Cohort)</w:t>
      </w:r>
    </w:p>
    <w:tbl>
      <w:tblPr>
        <w:tblW w:w="4579" w:type="dxa"/>
        <w:tblInd w:w="163" w:type="dxa"/>
        <w:tblLook w:val="04A0" w:firstRow="1" w:lastRow="0" w:firstColumn="1" w:lastColumn="0" w:noHBand="0" w:noVBand="1"/>
      </w:tblPr>
      <w:tblGrid>
        <w:gridCol w:w="1102"/>
        <w:gridCol w:w="2425"/>
        <w:gridCol w:w="1052"/>
      </w:tblGrid>
      <w:tr w:rsidR="005B09FA" w:rsidRPr="005B09FA" w14:paraId="3D0929A9" w14:textId="77777777" w:rsidTr="005B09FA">
        <w:trPr>
          <w:trHeight w:val="288"/>
          <w:tblHeader/>
        </w:trPr>
        <w:tc>
          <w:tcPr>
            <w:tcW w:w="110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CFA79A1" w14:textId="77777777" w:rsidR="005B09FA" w:rsidRPr="005B09FA" w:rsidRDefault="005B09FA">
            <w:pPr>
              <w:keepNext/>
              <w:keepLines/>
              <w:spacing w:after="0" w:line="240" w:lineRule="auto"/>
              <w:jc w:val="center"/>
              <w:rPr>
                <w:rFonts w:ascii="Arial" w:hAnsi="Arial" w:cs="Arial"/>
                <w:b/>
                <w:bCs/>
                <w:color w:val="0070C0"/>
                <w:sz w:val="20"/>
                <w:szCs w:val="20"/>
                <w:lang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7018E06A" w14:textId="77777777" w:rsidR="005B09FA" w:rsidRPr="005B09FA" w:rsidRDefault="005B09FA">
            <w:pPr>
              <w:keepNext/>
              <w:keepLines/>
              <w:spacing w:after="0" w:line="240" w:lineRule="auto"/>
              <w:jc w:val="center"/>
              <w:rPr>
                <w:rFonts w:ascii="Arial" w:hAnsi="Arial" w:cs="Arial"/>
                <w:b/>
                <w:bCs/>
                <w:color w:val="0070C0"/>
                <w:sz w:val="20"/>
                <w:szCs w:val="20"/>
                <w:lang w:eastAsia="zh-CN"/>
              </w:rPr>
            </w:pPr>
          </w:p>
        </w:tc>
        <w:tc>
          <w:tcPr>
            <w:tcW w:w="1052" w:type="dxa"/>
            <w:tcBorders>
              <w:top w:val="single" w:sz="4" w:space="0" w:color="auto"/>
              <w:left w:val="single" w:sz="12" w:space="0" w:color="auto"/>
              <w:bottom w:val="single" w:sz="4" w:space="0" w:color="auto"/>
              <w:right w:val="single" w:sz="4" w:space="0" w:color="auto"/>
            </w:tcBorders>
            <w:shd w:val="clear" w:color="auto" w:fill="DBE5F1" w:themeFill="accent1" w:themeFillTint="33"/>
            <w:noWrap/>
            <w:vAlign w:val="bottom"/>
            <w:hideMark/>
          </w:tcPr>
          <w:p w14:paraId="056634ED" w14:textId="77777777" w:rsidR="005B09FA" w:rsidRPr="005B09FA" w:rsidRDefault="005B09FA">
            <w:pPr>
              <w:keepNext/>
              <w:keepLines/>
              <w:spacing w:after="0" w:line="240" w:lineRule="auto"/>
              <w:jc w:val="center"/>
              <w:rPr>
                <w:rFonts w:ascii="Arial" w:hAnsi="Arial" w:cs="Arial"/>
                <w:b/>
                <w:bCs/>
                <w:color w:val="0070C0"/>
                <w:sz w:val="20"/>
                <w:szCs w:val="20"/>
                <w:lang w:eastAsia="zh-CN"/>
              </w:rPr>
            </w:pPr>
            <w:r w:rsidRPr="005B09FA">
              <w:rPr>
                <w:rFonts w:ascii="Arial" w:hAnsi="Arial" w:cs="Arial"/>
                <w:b/>
                <w:bCs/>
                <w:color w:val="0070C0"/>
                <w:sz w:val="20"/>
                <w:szCs w:val="20"/>
                <w:lang w:eastAsia="zh-CN"/>
              </w:rPr>
              <w:t>%</w:t>
            </w:r>
          </w:p>
        </w:tc>
      </w:tr>
      <w:tr w:rsidR="005B09FA" w14:paraId="00DA2016" w14:textId="77777777" w:rsidTr="005B09FA">
        <w:trPr>
          <w:trHeight w:val="288"/>
        </w:trPr>
        <w:tc>
          <w:tcPr>
            <w:tcW w:w="1102" w:type="dxa"/>
            <w:vMerge w:val="restart"/>
            <w:tcBorders>
              <w:top w:val="single" w:sz="4" w:space="0" w:color="auto"/>
              <w:left w:val="single" w:sz="8" w:space="0" w:color="auto"/>
              <w:bottom w:val="single" w:sz="8" w:space="0" w:color="auto"/>
              <w:right w:val="single" w:sz="8" w:space="0" w:color="auto"/>
            </w:tcBorders>
            <w:hideMark/>
          </w:tcPr>
          <w:p w14:paraId="23900FC3" w14:textId="77777777" w:rsidR="005B09FA" w:rsidRPr="004A471A" w:rsidRDefault="005B09FA">
            <w:pPr>
              <w:keepNext/>
              <w:keepLines/>
              <w:spacing w:after="0" w:line="240" w:lineRule="auto"/>
              <w:rPr>
                <w:rFonts w:cs="Times New Roman"/>
                <w:color w:val="0070C0"/>
              </w:rPr>
            </w:pPr>
            <w:r w:rsidRPr="004A471A">
              <w:rPr>
                <w:rFonts w:cs="Times New Roman"/>
                <w:color w:val="0070C0"/>
              </w:rPr>
              <w:t>Age</w:t>
            </w:r>
          </w:p>
        </w:tc>
        <w:tc>
          <w:tcPr>
            <w:tcW w:w="2425" w:type="dxa"/>
            <w:tcBorders>
              <w:top w:val="single" w:sz="4" w:space="0" w:color="auto"/>
              <w:left w:val="single" w:sz="8" w:space="0" w:color="auto"/>
              <w:bottom w:val="single" w:sz="8" w:space="0" w:color="auto"/>
              <w:right w:val="single" w:sz="8" w:space="0" w:color="auto"/>
            </w:tcBorders>
            <w:vAlign w:val="center"/>
            <w:hideMark/>
          </w:tcPr>
          <w:p w14:paraId="68B97DBC" w14:textId="77777777" w:rsidR="005B09FA" w:rsidRPr="004A471A" w:rsidRDefault="005B09FA">
            <w:pPr>
              <w:keepNext/>
              <w:keepLines/>
              <w:spacing w:after="0" w:line="240" w:lineRule="auto"/>
              <w:rPr>
                <w:rFonts w:cs="Times New Roman"/>
                <w:color w:val="0070C0"/>
              </w:rPr>
            </w:pPr>
            <w:r w:rsidRPr="004A471A">
              <w:rPr>
                <w:rFonts w:cs="Times New Roman"/>
                <w:color w:val="0070C0"/>
              </w:rPr>
              <w:t>Under 65</w:t>
            </w:r>
          </w:p>
        </w:tc>
        <w:tc>
          <w:tcPr>
            <w:tcW w:w="1052" w:type="dxa"/>
            <w:tcBorders>
              <w:top w:val="single" w:sz="4" w:space="0" w:color="auto"/>
              <w:left w:val="single" w:sz="12" w:space="0" w:color="auto"/>
              <w:bottom w:val="single" w:sz="8" w:space="0" w:color="auto"/>
              <w:right w:val="single" w:sz="8" w:space="0" w:color="auto"/>
            </w:tcBorders>
            <w:noWrap/>
            <w:vAlign w:val="center"/>
            <w:hideMark/>
          </w:tcPr>
          <w:p w14:paraId="2F198398" w14:textId="77777777" w:rsidR="005B09FA" w:rsidRPr="004A471A" w:rsidRDefault="005B09FA">
            <w:pPr>
              <w:spacing w:after="0" w:line="240" w:lineRule="auto"/>
              <w:jc w:val="center"/>
              <w:rPr>
                <w:rFonts w:cs="Times New Roman"/>
                <w:color w:val="0070C0"/>
              </w:rPr>
            </w:pPr>
            <w:r w:rsidRPr="004A471A">
              <w:rPr>
                <w:rFonts w:cs="Times New Roman"/>
                <w:color w:val="0070C0"/>
              </w:rPr>
              <w:t>15.5</w:t>
            </w:r>
          </w:p>
        </w:tc>
      </w:tr>
      <w:tr w:rsidR="005B09FA" w14:paraId="4914B214" w14:textId="77777777" w:rsidTr="005B09FA">
        <w:trPr>
          <w:trHeight w:val="288"/>
        </w:trPr>
        <w:tc>
          <w:tcPr>
            <w:tcW w:w="0" w:type="auto"/>
            <w:vMerge/>
            <w:tcBorders>
              <w:top w:val="single" w:sz="4" w:space="0" w:color="auto"/>
              <w:left w:val="single" w:sz="8" w:space="0" w:color="auto"/>
              <w:bottom w:val="single" w:sz="8" w:space="0" w:color="auto"/>
              <w:right w:val="single" w:sz="8" w:space="0" w:color="auto"/>
            </w:tcBorders>
            <w:vAlign w:val="center"/>
            <w:hideMark/>
          </w:tcPr>
          <w:p w14:paraId="4B0D9281" w14:textId="77777777" w:rsidR="005B09FA" w:rsidRPr="004A471A" w:rsidRDefault="005B09FA">
            <w:pPr>
              <w:spacing w:after="0"/>
              <w:rPr>
                <w:rFonts w:cs="Times New Roman"/>
                <w:color w:val="0070C0"/>
              </w:rPr>
            </w:pPr>
          </w:p>
        </w:tc>
        <w:tc>
          <w:tcPr>
            <w:tcW w:w="2425" w:type="dxa"/>
            <w:tcBorders>
              <w:top w:val="single" w:sz="4" w:space="0" w:color="auto"/>
              <w:left w:val="single" w:sz="8" w:space="0" w:color="auto"/>
              <w:bottom w:val="single" w:sz="8" w:space="0" w:color="auto"/>
              <w:right w:val="single" w:sz="8" w:space="0" w:color="auto"/>
            </w:tcBorders>
            <w:vAlign w:val="center"/>
            <w:hideMark/>
          </w:tcPr>
          <w:p w14:paraId="62BA46A3" w14:textId="77777777" w:rsidR="005B09FA" w:rsidRPr="004A471A" w:rsidRDefault="005B09FA">
            <w:pPr>
              <w:keepNext/>
              <w:keepLines/>
              <w:spacing w:after="0" w:line="240" w:lineRule="auto"/>
              <w:rPr>
                <w:rFonts w:cs="Times New Roman"/>
                <w:color w:val="0070C0"/>
              </w:rPr>
            </w:pPr>
            <w:r w:rsidRPr="004A471A">
              <w:rPr>
                <w:rFonts w:cs="Times New Roman"/>
                <w:color w:val="0070C0"/>
              </w:rPr>
              <w:t xml:space="preserve">65–69 </w:t>
            </w:r>
          </w:p>
        </w:tc>
        <w:tc>
          <w:tcPr>
            <w:tcW w:w="1052" w:type="dxa"/>
            <w:tcBorders>
              <w:top w:val="single" w:sz="4" w:space="0" w:color="auto"/>
              <w:left w:val="single" w:sz="12" w:space="0" w:color="auto"/>
              <w:bottom w:val="single" w:sz="8" w:space="0" w:color="auto"/>
              <w:right w:val="single" w:sz="8" w:space="0" w:color="auto"/>
            </w:tcBorders>
            <w:noWrap/>
            <w:vAlign w:val="center"/>
            <w:hideMark/>
          </w:tcPr>
          <w:p w14:paraId="1F34D679" w14:textId="77777777" w:rsidR="005B09FA" w:rsidRPr="004A471A" w:rsidRDefault="005B09FA">
            <w:pPr>
              <w:spacing w:after="0" w:line="240" w:lineRule="auto"/>
              <w:jc w:val="center"/>
              <w:rPr>
                <w:rFonts w:cs="Times New Roman"/>
                <w:color w:val="0070C0"/>
              </w:rPr>
            </w:pPr>
            <w:r w:rsidRPr="004A471A">
              <w:rPr>
                <w:rFonts w:cs="Times New Roman"/>
                <w:color w:val="0070C0"/>
              </w:rPr>
              <w:t>25.4</w:t>
            </w:r>
          </w:p>
        </w:tc>
      </w:tr>
      <w:tr w:rsidR="005B09FA" w14:paraId="35CA6B3D" w14:textId="77777777" w:rsidTr="005B09FA">
        <w:trPr>
          <w:trHeight w:val="288"/>
        </w:trPr>
        <w:tc>
          <w:tcPr>
            <w:tcW w:w="0" w:type="auto"/>
            <w:vMerge/>
            <w:tcBorders>
              <w:top w:val="single" w:sz="4" w:space="0" w:color="auto"/>
              <w:left w:val="single" w:sz="8" w:space="0" w:color="auto"/>
              <w:bottom w:val="single" w:sz="8" w:space="0" w:color="auto"/>
              <w:right w:val="single" w:sz="8" w:space="0" w:color="auto"/>
            </w:tcBorders>
            <w:vAlign w:val="center"/>
            <w:hideMark/>
          </w:tcPr>
          <w:p w14:paraId="3A00861A" w14:textId="77777777" w:rsidR="005B09FA" w:rsidRPr="004A471A" w:rsidRDefault="005B09FA">
            <w:pPr>
              <w:spacing w:after="0"/>
              <w:rPr>
                <w:rFonts w:cs="Times New Roman"/>
                <w:color w:val="0070C0"/>
              </w:rPr>
            </w:pPr>
          </w:p>
        </w:tc>
        <w:tc>
          <w:tcPr>
            <w:tcW w:w="2425" w:type="dxa"/>
            <w:tcBorders>
              <w:top w:val="single" w:sz="4" w:space="0" w:color="auto"/>
              <w:left w:val="single" w:sz="8" w:space="0" w:color="auto"/>
              <w:bottom w:val="single" w:sz="8" w:space="0" w:color="auto"/>
              <w:right w:val="single" w:sz="8" w:space="0" w:color="auto"/>
            </w:tcBorders>
            <w:vAlign w:val="center"/>
            <w:hideMark/>
          </w:tcPr>
          <w:p w14:paraId="41256F4F" w14:textId="77777777" w:rsidR="005B09FA" w:rsidRPr="004A471A" w:rsidRDefault="005B09FA">
            <w:pPr>
              <w:keepNext/>
              <w:keepLines/>
              <w:spacing w:after="0" w:line="240" w:lineRule="auto"/>
              <w:rPr>
                <w:rFonts w:cs="Times New Roman"/>
                <w:color w:val="0070C0"/>
              </w:rPr>
            </w:pPr>
            <w:r w:rsidRPr="004A471A">
              <w:rPr>
                <w:rFonts w:cs="Times New Roman"/>
                <w:color w:val="0070C0"/>
              </w:rPr>
              <w:t xml:space="preserve">70–74 </w:t>
            </w:r>
          </w:p>
        </w:tc>
        <w:tc>
          <w:tcPr>
            <w:tcW w:w="1052" w:type="dxa"/>
            <w:tcBorders>
              <w:top w:val="single" w:sz="4" w:space="0" w:color="auto"/>
              <w:left w:val="single" w:sz="12" w:space="0" w:color="auto"/>
              <w:bottom w:val="single" w:sz="8" w:space="0" w:color="auto"/>
              <w:right w:val="single" w:sz="8" w:space="0" w:color="auto"/>
            </w:tcBorders>
            <w:noWrap/>
            <w:vAlign w:val="center"/>
            <w:hideMark/>
          </w:tcPr>
          <w:p w14:paraId="542BF7B3" w14:textId="77777777" w:rsidR="005B09FA" w:rsidRPr="004A471A" w:rsidRDefault="005B09FA">
            <w:pPr>
              <w:spacing w:after="0" w:line="240" w:lineRule="auto"/>
              <w:jc w:val="center"/>
              <w:rPr>
                <w:rFonts w:cs="Times New Roman"/>
                <w:color w:val="0070C0"/>
              </w:rPr>
            </w:pPr>
            <w:r w:rsidRPr="004A471A">
              <w:rPr>
                <w:rFonts w:cs="Times New Roman"/>
                <w:color w:val="0070C0"/>
              </w:rPr>
              <w:t>22.1</w:t>
            </w:r>
          </w:p>
        </w:tc>
      </w:tr>
      <w:tr w:rsidR="005B09FA" w14:paraId="5F63488B" w14:textId="77777777" w:rsidTr="005B09FA">
        <w:trPr>
          <w:trHeight w:val="288"/>
        </w:trPr>
        <w:tc>
          <w:tcPr>
            <w:tcW w:w="0" w:type="auto"/>
            <w:vMerge/>
            <w:tcBorders>
              <w:top w:val="single" w:sz="4" w:space="0" w:color="auto"/>
              <w:left w:val="single" w:sz="8" w:space="0" w:color="auto"/>
              <w:bottom w:val="single" w:sz="8" w:space="0" w:color="auto"/>
              <w:right w:val="single" w:sz="8" w:space="0" w:color="auto"/>
            </w:tcBorders>
            <w:vAlign w:val="center"/>
            <w:hideMark/>
          </w:tcPr>
          <w:p w14:paraId="3180DB80" w14:textId="77777777" w:rsidR="005B09FA" w:rsidRPr="004A471A" w:rsidRDefault="005B09FA">
            <w:pPr>
              <w:spacing w:after="0"/>
              <w:rPr>
                <w:rFonts w:cs="Times New Roman"/>
                <w:color w:val="0070C0"/>
              </w:rPr>
            </w:pPr>
          </w:p>
        </w:tc>
        <w:tc>
          <w:tcPr>
            <w:tcW w:w="2425" w:type="dxa"/>
            <w:tcBorders>
              <w:top w:val="single" w:sz="4" w:space="0" w:color="auto"/>
              <w:left w:val="single" w:sz="8" w:space="0" w:color="auto"/>
              <w:bottom w:val="single" w:sz="8" w:space="0" w:color="auto"/>
              <w:right w:val="single" w:sz="8" w:space="0" w:color="auto"/>
            </w:tcBorders>
            <w:vAlign w:val="center"/>
            <w:hideMark/>
          </w:tcPr>
          <w:p w14:paraId="37719D42" w14:textId="77777777" w:rsidR="005B09FA" w:rsidRPr="004A471A" w:rsidRDefault="005B09FA">
            <w:pPr>
              <w:keepNext/>
              <w:keepLines/>
              <w:spacing w:after="0" w:line="240" w:lineRule="auto"/>
              <w:rPr>
                <w:rFonts w:cs="Times New Roman"/>
                <w:color w:val="0070C0"/>
              </w:rPr>
            </w:pPr>
            <w:r w:rsidRPr="004A471A">
              <w:rPr>
                <w:rFonts w:cs="Times New Roman"/>
                <w:color w:val="0070C0"/>
              </w:rPr>
              <w:t xml:space="preserve">75–79 </w:t>
            </w:r>
          </w:p>
        </w:tc>
        <w:tc>
          <w:tcPr>
            <w:tcW w:w="1052" w:type="dxa"/>
            <w:tcBorders>
              <w:top w:val="single" w:sz="4" w:space="0" w:color="auto"/>
              <w:left w:val="single" w:sz="12" w:space="0" w:color="auto"/>
              <w:bottom w:val="single" w:sz="8" w:space="0" w:color="auto"/>
              <w:right w:val="single" w:sz="8" w:space="0" w:color="auto"/>
            </w:tcBorders>
            <w:noWrap/>
            <w:vAlign w:val="center"/>
            <w:hideMark/>
          </w:tcPr>
          <w:p w14:paraId="1CAACC10" w14:textId="77777777" w:rsidR="005B09FA" w:rsidRPr="004A471A" w:rsidRDefault="005B09FA">
            <w:pPr>
              <w:spacing w:after="0" w:line="240" w:lineRule="auto"/>
              <w:jc w:val="center"/>
              <w:rPr>
                <w:rFonts w:cs="Times New Roman"/>
                <w:color w:val="0070C0"/>
              </w:rPr>
            </w:pPr>
            <w:r w:rsidRPr="004A471A">
              <w:rPr>
                <w:rFonts w:cs="Times New Roman"/>
                <w:color w:val="0070C0"/>
              </w:rPr>
              <w:t>16.3</w:t>
            </w:r>
          </w:p>
        </w:tc>
      </w:tr>
      <w:tr w:rsidR="005B09FA" w14:paraId="50818BAF" w14:textId="77777777" w:rsidTr="005B09FA">
        <w:trPr>
          <w:trHeight w:val="288"/>
        </w:trPr>
        <w:tc>
          <w:tcPr>
            <w:tcW w:w="0" w:type="auto"/>
            <w:vMerge/>
            <w:tcBorders>
              <w:top w:val="single" w:sz="4" w:space="0" w:color="auto"/>
              <w:left w:val="single" w:sz="8" w:space="0" w:color="auto"/>
              <w:bottom w:val="single" w:sz="8" w:space="0" w:color="auto"/>
              <w:right w:val="single" w:sz="8" w:space="0" w:color="auto"/>
            </w:tcBorders>
            <w:vAlign w:val="center"/>
            <w:hideMark/>
          </w:tcPr>
          <w:p w14:paraId="7EE2E850" w14:textId="77777777" w:rsidR="005B09FA" w:rsidRPr="004A471A" w:rsidRDefault="005B09FA">
            <w:pPr>
              <w:spacing w:after="0"/>
              <w:rPr>
                <w:rFonts w:cs="Times New Roman"/>
                <w:color w:val="0070C0"/>
              </w:rPr>
            </w:pPr>
          </w:p>
        </w:tc>
        <w:tc>
          <w:tcPr>
            <w:tcW w:w="2425" w:type="dxa"/>
            <w:tcBorders>
              <w:top w:val="single" w:sz="4" w:space="0" w:color="auto"/>
              <w:left w:val="single" w:sz="8" w:space="0" w:color="auto"/>
              <w:bottom w:val="single" w:sz="8" w:space="0" w:color="auto"/>
              <w:right w:val="single" w:sz="8" w:space="0" w:color="auto"/>
            </w:tcBorders>
            <w:vAlign w:val="center"/>
            <w:hideMark/>
          </w:tcPr>
          <w:p w14:paraId="61F753E0" w14:textId="77777777" w:rsidR="005B09FA" w:rsidRPr="004A471A" w:rsidRDefault="005B09FA">
            <w:pPr>
              <w:keepNext/>
              <w:keepLines/>
              <w:spacing w:after="0" w:line="240" w:lineRule="auto"/>
              <w:rPr>
                <w:rFonts w:cs="Times New Roman"/>
                <w:color w:val="0070C0"/>
              </w:rPr>
            </w:pPr>
            <w:r w:rsidRPr="004A471A">
              <w:rPr>
                <w:rFonts w:cs="Times New Roman"/>
                <w:color w:val="0070C0"/>
              </w:rPr>
              <w:t>80 and older</w:t>
            </w:r>
          </w:p>
        </w:tc>
        <w:tc>
          <w:tcPr>
            <w:tcW w:w="1052" w:type="dxa"/>
            <w:tcBorders>
              <w:top w:val="single" w:sz="4" w:space="0" w:color="auto"/>
              <w:left w:val="single" w:sz="12" w:space="0" w:color="auto"/>
              <w:bottom w:val="single" w:sz="8" w:space="0" w:color="auto"/>
              <w:right w:val="single" w:sz="8" w:space="0" w:color="auto"/>
            </w:tcBorders>
            <w:noWrap/>
            <w:vAlign w:val="center"/>
            <w:hideMark/>
          </w:tcPr>
          <w:p w14:paraId="68599A4E" w14:textId="77777777" w:rsidR="005B09FA" w:rsidRPr="004A471A" w:rsidRDefault="005B09FA">
            <w:pPr>
              <w:spacing w:after="0" w:line="240" w:lineRule="auto"/>
              <w:jc w:val="center"/>
              <w:rPr>
                <w:rFonts w:cs="Times New Roman"/>
                <w:color w:val="0070C0"/>
              </w:rPr>
            </w:pPr>
            <w:r w:rsidRPr="004A471A">
              <w:rPr>
                <w:rFonts w:cs="Times New Roman"/>
                <w:color w:val="0070C0"/>
              </w:rPr>
              <w:t>20.8</w:t>
            </w:r>
          </w:p>
        </w:tc>
      </w:tr>
      <w:tr w:rsidR="005B09FA" w14:paraId="232EEFD2" w14:textId="77777777" w:rsidTr="005B09FA">
        <w:trPr>
          <w:trHeight w:val="288"/>
        </w:trPr>
        <w:tc>
          <w:tcPr>
            <w:tcW w:w="1102" w:type="dxa"/>
            <w:vMerge w:val="restart"/>
            <w:tcBorders>
              <w:top w:val="single" w:sz="4" w:space="0" w:color="auto"/>
              <w:left w:val="single" w:sz="8" w:space="0" w:color="auto"/>
              <w:bottom w:val="single" w:sz="8" w:space="0" w:color="auto"/>
              <w:right w:val="single" w:sz="8" w:space="0" w:color="auto"/>
            </w:tcBorders>
            <w:hideMark/>
          </w:tcPr>
          <w:p w14:paraId="14D8A141" w14:textId="77777777" w:rsidR="005B09FA" w:rsidRPr="004A471A" w:rsidRDefault="005B09FA">
            <w:pPr>
              <w:keepNext/>
              <w:keepLines/>
              <w:spacing w:after="0" w:line="240" w:lineRule="auto"/>
              <w:rPr>
                <w:rFonts w:cs="Times New Roman"/>
                <w:color w:val="0070C0"/>
              </w:rPr>
            </w:pPr>
            <w:r w:rsidRPr="004A471A">
              <w:rPr>
                <w:rFonts w:cs="Times New Roman"/>
                <w:color w:val="0070C0"/>
              </w:rPr>
              <w:t>Gender</w:t>
            </w:r>
          </w:p>
        </w:tc>
        <w:tc>
          <w:tcPr>
            <w:tcW w:w="2425" w:type="dxa"/>
            <w:tcBorders>
              <w:top w:val="single" w:sz="4" w:space="0" w:color="auto"/>
              <w:left w:val="single" w:sz="8" w:space="0" w:color="auto"/>
              <w:bottom w:val="single" w:sz="8" w:space="0" w:color="auto"/>
              <w:right w:val="single" w:sz="8" w:space="0" w:color="auto"/>
            </w:tcBorders>
            <w:vAlign w:val="center"/>
            <w:hideMark/>
          </w:tcPr>
          <w:p w14:paraId="55AEE492" w14:textId="77777777" w:rsidR="005B09FA" w:rsidRPr="004A471A" w:rsidRDefault="005B09FA">
            <w:pPr>
              <w:keepNext/>
              <w:keepLines/>
              <w:spacing w:after="0" w:line="240" w:lineRule="auto"/>
              <w:rPr>
                <w:rFonts w:cs="Times New Roman"/>
                <w:color w:val="0070C0"/>
              </w:rPr>
            </w:pPr>
            <w:r w:rsidRPr="004A471A">
              <w:rPr>
                <w:rFonts w:cs="Times New Roman"/>
                <w:color w:val="0070C0"/>
              </w:rPr>
              <w:t xml:space="preserve">Male </w:t>
            </w:r>
          </w:p>
        </w:tc>
        <w:tc>
          <w:tcPr>
            <w:tcW w:w="1052" w:type="dxa"/>
            <w:tcBorders>
              <w:top w:val="single" w:sz="4" w:space="0" w:color="auto"/>
              <w:left w:val="single" w:sz="12" w:space="0" w:color="auto"/>
              <w:bottom w:val="single" w:sz="8" w:space="0" w:color="auto"/>
              <w:right w:val="single" w:sz="8" w:space="0" w:color="auto"/>
            </w:tcBorders>
            <w:noWrap/>
            <w:vAlign w:val="center"/>
            <w:hideMark/>
          </w:tcPr>
          <w:p w14:paraId="3183AA74" w14:textId="77777777" w:rsidR="005B09FA" w:rsidRPr="004A471A" w:rsidRDefault="005B09FA">
            <w:pPr>
              <w:spacing w:after="0" w:line="240" w:lineRule="auto"/>
              <w:jc w:val="center"/>
              <w:rPr>
                <w:rFonts w:cs="Times New Roman"/>
                <w:color w:val="0070C0"/>
              </w:rPr>
            </w:pPr>
            <w:r w:rsidRPr="004A471A">
              <w:rPr>
                <w:rFonts w:cs="Times New Roman"/>
                <w:color w:val="0070C0"/>
              </w:rPr>
              <w:t>42.5</w:t>
            </w:r>
          </w:p>
        </w:tc>
      </w:tr>
      <w:tr w:rsidR="005B09FA" w14:paraId="2202A4E1" w14:textId="77777777" w:rsidTr="005B09FA">
        <w:trPr>
          <w:trHeight w:val="288"/>
        </w:trPr>
        <w:tc>
          <w:tcPr>
            <w:tcW w:w="0" w:type="auto"/>
            <w:vMerge/>
            <w:tcBorders>
              <w:top w:val="single" w:sz="4" w:space="0" w:color="auto"/>
              <w:left w:val="single" w:sz="8" w:space="0" w:color="auto"/>
              <w:bottom w:val="single" w:sz="8" w:space="0" w:color="auto"/>
              <w:right w:val="single" w:sz="8" w:space="0" w:color="auto"/>
            </w:tcBorders>
            <w:vAlign w:val="center"/>
            <w:hideMark/>
          </w:tcPr>
          <w:p w14:paraId="5AB3104C" w14:textId="77777777" w:rsidR="005B09FA" w:rsidRPr="004A471A" w:rsidRDefault="005B09FA">
            <w:pPr>
              <w:spacing w:after="0"/>
              <w:rPr>
                <w:rFonts w:cs="Times New Roman"/>
                <w:color w:val="0070C0"/>
              </w:rPr>
            </w:pPr>
          </w:p>
        </w:tc>
        <w:tc>
          <w:tcPr>
            <w:tcW w:w="2425" w:type="dxa"/>
            <w:tcBorders>
              <w:top w:val="single" w:sz="4" w:space="0" w:color="auto"/>
              <w:left w:val="single" w:sz="8" w:space="0" w:color="auto"/>
              <w:bottom w:val="single" w:sz="8" w:space="0" w:color="auto"/>
              <w:right w:val="single" w:sz="8" w:space="0" w:color="auto"/>
            </w:tcBorders>
            <w:vAlign w:val="center"/>
            <w:hideMark/>
          </w:tcPr>
          <w:p w14:paraId="2285189D" w14:textId="77777777" w:rsidR="005B09FA" w:rsidRPr="004A471A" w:rsidRDefault="005B09FA">
            <w:pPr>
              <w:keepNext/>
              <w:keepLines/>
              <w:spacing w:after="0" w:line="240" w:lineRule="auto"/>
              <w:rPr>
                <w:rFonts w:cs="Times New Roman"/>
                <w:color w:val="0070C0"/>
              </w:rPr>
            </w:pPr>
            <w:r w:rsidRPr="004A471A">
              <w:rPr>
                <w:rFonts w:cs="Times New Roman"/>
                <w:color w:val="0070C0"/>
              </w:rPr>
              <w:t xml:space="preserve">Female </w:t>
            </w:r>
          </w:p>
        </w:tc>
        <w:tc>
          <w:tcPr>
            <w:tcW w:w="1052" w:type="dxa"/>
            <w:tcBorders>
              <w:top w:val="single" w:sz="4" w:space="0" w:color="auto"/>
              <w:left w:val="single" w:sz="12" w:space="0" w:color="auto"/>
              <w:bottom w:val="single" w:sz="8" w:space="0" w:color="auto"/>
              <w:right w:val="single" w:sz="8" w:space="0" w:color="auto"/>
            </w:tcBorders>
            <w:noWrap/>
            <w:vAlign w:val="center"/>
            <w:hideMark/>
          </w:tcPr>
          <w:p w14:paraId="670E132D" w14:textId="77777777" w:rsidR="005B09FA" w:rsidRPr="004A471A" w:rsidRDefault="005B09FA">
            <w:pPr>
              <w:spacing w:after="0" w:line="240" w:lineRule="auto"/>
              <w:jc w:val="center"/>
              <w:rPr>
                <w:rFonts w:cs="Times New Roman"/>
                <w:color w:val="0070C0"/>
              </w:rPr>
            </w:pPr>
            <w:r w:rsidRPr="004A471A">
              <w:rPr>
                <w:rFonts w:cs="Times New Roman"/>
                <w:color w:val="0070C0"/>
              </w:rPr>
              <w:t>57.5</w:t>
            </w:r>
          </w:p>
        </w:tc>
      </w:tr>
      <w:tr w:rsidR="005B09FA" w14:paraId="69919F7D" w14:textId="77777777" w:rsidTr="005B09FA">
        <w:trPr>
          <w:trHeight w:val="288"/>
        </w:trPr>
        <w:tc>
          <w:tcPr>
            <w:tcW w:w="1102" w:type="dxa"/>
            <w:vMerge w:val="restart"/>
            <w:tcBorders>
              <w:top w:val="single" w:sz="4" w:space="0" w:color="auto"/>
              <w:left w:val="single" w:sz="8" w:space="0" w:color="auto"/>
              <w:bottom w:val="single" w:sz="8" w:space="0" w:color="auto"/>
              <w:right w:val="single" w:sz="8" w:space="0" w:color="auto"/>
            </w:tcBorders>
            <w:hideMark/>
          </w:tcPr>
          <w:p w14:paraId="5A7C050F" w14:textId="77777777" w:rsidR="005B09FA" w:rsidRPr="004A471A" w:rsidRDefault="005B09FA">
            <w:pPr>
              <w:keepNext/>
              <w:keepLines/>
              <w:spacing w:after="0" w:line="240" w:lineRule="auto"/>
              <w:rPr>
                <w:rFonts w:cs="Times New Roman"/>
                <w:color w:val="0070C0"/>
              </w:rPr>
            </w:pPr>
            <w:r w:rsidRPr="004A471A">
              <w:rPr>
                <w:rFonts w:cs="Times New Roman"/>
                <w:color w:val="0070C0"/>
              </w:rPr>
              <w:t>Race</w:t>
            </w:r>
          </w:p>
        </w:tc>
        <w:tc>
          <w:tcPr>
            <w:tcW w:w="2425" w:type="dxa"/>
            <w:tcBorders>
              <w:top w:val="single" w:sz="4" w:space="0" w:color="auto"/>
              <w:left w:val="single" w:sz="8" w:space="0" w:color="auto"/>
              <w:bottom w:val="single" w:sz="8" w:space="0" w:color="auto"/>
              <w:right w:val="single" w:sz="8" w:space="0" w:color="auto"/>
            </w:tcBorders>
            <w:vAlign w:val="center"/>
            <w:hideMark/>
          </w:tcPr>
          <w:p w14:paraId="62DAE890" w14:textId="77777777" w:rsidR="005B09FA" w:rsidRPr="004A471A" w:rsidRDefault="005B09FA">
            <w:pPr>
              <w:keepNext/>
              <w:keepLines/>
              <w:spacing w:after="0" w:line="240" w:lineRule="auto"/>
              <w:rPr>
                <w:rFonts w:cs="Times New Roman"/>
                <w:color w:val="0070C0"/>
              </w:rPr>
            </w:pPr>
            <w:r w:rsidRPr="004A471A">
              <w:rPr>
                <w:rFonts w:cs="Times New Roman"/>
                <w:color w:val="0070C0"/>
              </w:rPr>
              <w:t xml:space="preserve">Hispanic </w:t>
            </w:r>
          </w:p>
        </w:tc>
        <w:tc>
          <w:tcPr>
            <w:tcW w:w="1052" w:type="dxa"/>
            <w:tcBorders>
              <w:top w:val="single" w:sz="4" w:space="0" w:color="auto"/>
              <w:left w:val="single" w:sz="12" w:space="0" w:color="auto"/>
              <w:bottom w:val="single" w:sz="8" w:space="0" w:color="auto"/>
              <w:right w:val="single" w:sz="8" w:space="0" w:color="auto"/>
            </w:tcBorders>
            <w:noWrap/>
            <w:vAlign w:val="center"/>
            <w:hideMark/>
          </w:tcPr>
          <w:p w14:paraId="0318CD88" w14:textId="77777777" w:rsidR="005B09FA" w:rsidRPr="004A471A" w:rsidRDefault="005B09FA">
            <w:pPr>
              <w:spacing w:after="0" w:line="240" w:lineRule="auto"/>
              <w:jc w:val="center"/>
              <w:rPr>
                <w:rFonts w:cs="Times New Roman"/>
                <w:color w:val="0070C0"/>
              </w:rPr>
            </w:pPr>
            <w:r w:rsidRPr="004A471A">
              <w:rPr>
                <w:rFonts w:cs="Times New Roman"/>
                <w:color w:val="0070C0"/>
              </w:rPr>
              <w:t>3.2</w:t>
            </w:r>
          </w:p>
        </w:tc>
      </w:tr>
      <w:tr w:rsidR="005B09FA" w14:paraId="1195C25B" w14:textId="77777777" w:rsidTr="005B09FA">
        <w:trPr>
          <w:trHeight w:val="288"/>
        </w:trPr>
        <w:tc>
          <w:tcPr>
            <w:tcW w:w="0" w:type="auto"/>
            <w:vMerge/>
            <w:tcBorders>
              <w:top w:val="single" w:sz="4" w:space="0" w:color="auto"/>
              <w:left w:val="single" w:sz="8" w:space="0" w:color="auto"/>
              <w:bottom w:val="single" w:sz="8" w:space="0" w:color="auto"/>
              <w:right w:val="single" w:sz="8" w:space="0" w:color="auto"/>
            </w:tcBorders>
            <w:vAlign w:val="center"/>
            <w:hideMark/>
          </w:tcPr>
          <w:p w14:paraId="12A06A63" w14:textId="77777777" w:rsidR="005B09FA" w:rsidRPr="004A471A" w:rsidRDefault="005B09FA">
            <w:pPr>
              <w:spacing w:after="0"/>
              <w:rPr>
                <w:rFonts w:cs="Times New Roman"/>
                <w:color w:val="0070C0"/>
              </w:rPr>
            </w:pPr>
          </w:p>
        </w:tc>
        <w:tc>
          <w:tcPr>
            <w:tcW w:w="2425" w:type="dxa"/>
            <w:tcBorders>
              <w:top w:val="single" w:sz="4" w:space="0" w:color="auto"/>
              <w:left w:val="single" w:sz="8" w:space="0" w:color="auto"/>
              <w:bottom w:val="single" w:sz="8" w:space="0" w:color="auto"/>
              <w:right w:val="single" w:sz="8" w:space="0" w:color="auto"/>
            </w:tcBorders>
            <w:vAlign w:val="center"/>
            <w:hideMark/>
          </w:tcPr>
          <w:p w14:paraId="2F1E18A1" w14:textId="77777777" w:rsidR="005B09FA" w:rsidRPr="004A471A" w:rsidRDefault="005B09FA">
            <w:pPr>
              <w:keepNext/>
              <w:keepLines/>
              <w:spacing w:after="0" w:line="240" w:lineRule="auto"/>
              <w:rPr>
                <w:rFonts w:cs="Times New Roman"/>
                <w:color w:val="0070C0"/>
              </w:rPr>
            </w:pPr>
            <w:r w:rsidRPr="004A471A">
              <w:rPr>
                <w:rFonts w:cs="Times New Roman"/>
                <w:color w:val="0070C0"/>
              </w:rPr>
              <w:t>North American Native</w:t>
            </w:r>
          </w:p>
        </w:tc>
        <w:tc>
          <w:tcPr>
            <w:tcW w:w="1052" w:type="dxa"/>
            <w:tcBorders>
              <w:top w:val="single" w:sz="4" w:space="0" w:color="auto"/>
              <w:left w:val="single" w:sz="12" w:space="0" w:color="auto"/>
              <w:bottom w:val="single" w:sz="8" w:space="0" w:color="auto"/>
              <w:right w:val="single" w:sz="8" w:space="0" w:color="auto"/>
            </w:tcBorders>
            <w:noWrap/>
            <w:vAlign w:val="center"/>
            <w:hideMark/>
          </w:tcPr>
          <w:p w14:paraId="30A3A8F6" w14:textId="77777777" w:rsidR="005B09FA" w:rsidRPr="004A471A" w:rsidRDefault="005B09FA">
            <w:pPr>
              <w:spacing w:after="0" w:line="240" w:lineRule="auto"/>
              <w:jc w:val="center"/>
              <w:rPr>
                <w:rFonts w:cs="Times New Roman"/>
                <w:color w:val="0070C0"/>
              </w:rPr>
            </w:pPr>
            <w:r w:rsidRPr="004A471A">
              <w:rPr>
                <w:rFonts w:cs="Times New Roman"/>
                <w:color w:val="0070C0"/>
              </w:rPr>
              <w:t>0.3</w:t>
            </w:r>
          </w:p>
        </w:tc>
      </w:tr>
      <w:tr w:rsidR="005B09FA" w14:paraId="4B07119D" w14:textId="77777777" w:rsidTr="005B09FA">
        <w:trPr>
          <w:trHeight w:val="288"/>
        </w:trPr>
        <w:tc>
          <w:tcPr>
            <w:tcW w:w="0" w:type="auto"/>
            <w:vMerge/>
            <w:tcBorders>
              <w:top w:val="single" w:sz="4" w:space="0" w:color="auto"/>
              <w:left w:val="single" w:sz="8" w:space="0" w:color="auto"/>
              <w:bottom w:val="single" w:sz="8" w:space="0" w:color="auto"/>
              <w:right w:val="single" w:sz="8" w:space="0" w:color="auto"/>
            </w:tcBorders>
            <w:vAlign w:val="center"/>
            <w:hideMark/>
          </w:tcPr>
          <w:p w14:paraId="394DE07F" w14:textId="77777777" w:rsidR="005B09FA" w:rsidRPr="004A471A" w:rsidRDefault="005B09FA">
            <w:pPr>
              <w:spacing w:after="0"/>
              <w:rPr>
                <w:rFonts w:cs="Times New Roman"/>
                <w:color w:val="0070C0"/>
              </w:rPr>
            </w:pPr>
          </w:p>
        </w:tc>
        <w:tc>
          <w:tcPr>
            <w:tcW w:w="2425" w:type="dxa"/>
            <w:tcBorders>
              <w:top w:val="single" w:sz="4" w:space="0" w:color="auto"/>
              <w:left w:val="single" w:sz="8" w:space="0" w:color="auto"/>
              <w:bottom w:val="single" w:sz="8" w:space="0" w:color="auto"/>
              <w:right w:val="single" w:sz="8" w:space="0" w:color="auto"/>
            </w:tcBorders>
            <w:vAlign w:val="center"/>
            <w:hideMark/>
          </w:tcPr>
          <w:p w14:paraId="7BAA2DE4" w14:textId="77777777" w:rsidR="005B09FA" w:rsidRPr="004A471A" w:rsidRDefault="005B09FA">
            <w:pPr>
              <w:keepNext/>
              <w:keepLines/>
              <w:spacing w:after="0" w:line="240" w:lineRule="auto"/>
              <w:rPr>
                <w:rFonts w:cs="Times New Roman"/>
                <w:color w:val="0070C0"/>
              </w:rPr>
            </w:pPr>
            <w:r w:rsidRPr="004A471A">
              <w:rPr>
                <w:rFonts w:cs="Times New Roman"/>
                <w:color w:val="0070C0"/>
              </w:rPr>
              <w:t>Asian</w:t>
            </w:r>
          </w:p>
        </w:tc>
        <w:tc>
          <w:tcPr>
            <w:tcW w:w="1052" w:type="dxa"/>
            <w:tcBorders>
              <w:top w:val="single" w:sz="4" w:space="0" w:color="auto"/>
              <w:left w:val="single" w:sz="12" w:space="0" w:color="auto"/>
              <w:bottom w:val="single" w:sz="8" w:space="0" w:color="auto"/>
              <w:right w:val="single" w:sz="8" w:space="0" w:color="auto"/>
            </w:tcBorders>
            <w:noWrap/>
            <w:vAlign w:val="center"/>
            <w:hideMark/>
          </w:tcPr>
          <w:p w14:paraId="4AAF8827" w14:textId="77777777" w:rsidR="005B09FA" w:rsidRPr="004A471A" w:rsidRDefault="005B09FA">
            <w:pPr>
              <w:spacing w:after="0" w:line="240" w:lineRule="auto"/>
              <w:jc w:val="center"/>
              <w:rPr>
                <w:rFonts w:cs="Times New Roman"/>
                <w:color w:val="0070C0"/>
              </w:rPr>
            </w:pPr>
            <w:r w:rsidRPr="004A471A">
              <w:rPr>
                <w:rFonts w:cs="Times New Roman"/>
                <w:color w:val="0070C0"/>
              </w:rPr>
              <w:t>2.2</w:t>
            </w:r>
          </w:p>
        </w:tc>
      </w:tr>
      <w:tr w:rsidR="005B09FA" w14:paraId="47791F01" w14:textId="77777777" w:rsidTr="005B09FA">
        <w:trPr>
          <w:trHeight w:val="288"/>
        </w:trPr>
        <w:tc>
          <w:tcPr>
            <w:tcW w:w="0" w:type="auto"/>
            <w:vMerge/>
            <w:tcBorders>
              <w:top w:val="single" w:sz="4" w:space="0" w:color="auto"/>
              <w:left w:val="single" w:sz="8" w:space="0" w:color="auto"/>
              <w:bottom w:val="single" w:sz="8" w:space="0" w:color="auto"/>
              <w:right w:val="single" w:sz="8" w:space="0" w:color="auto"/>
            </w:tcBorders>
            <w:vAlign w:val="center"/>
            <w:hideMark/>
          </w:tcPr>
          <w:p w14:paraId="693B9EE1" w14:textId="77777777" w:rsidR="005B09FA" w:rsidRPr="004A471A" w:rsidRDefault="005B09FA">
            <w:pPr>
              <w:spacing w:after="0"/>
              <w:rPr>
                <w:rFonts w:cs="Times New Roman"/>
                <w:color w:val="0070C0"/>
              </w:rPr>
            </w:pPr>
          </w:p>
        </w:tc>
        <w:tc>
          <w:tcPr>
            <w:tcW w:w="2425" w:type="dxa"/>
            <w:tcBorders>
              <w:top w:val="single" w:sz="4" w:space="0" w:color="auto"/>
              <w:left w:val="single" w:sz="8" w:space="0" w:color="auto"/>
              <w:bottom w:val="single" w:sz="8" w:space="0" w:color="auto"/>
              <w:right w:val="single" w:sz="8" w:space="0" w:color="auto"/>
            </w:tcBorders>
            <w:vAlign w:val="center"/>
            <w:hideMark/>
          </w:tcPr>
          <w:p w14:paraId="2F4B1EB1" w14:textId="77777777" w:rsidR="005B09FA" w:rsidRPr="004A471A" w:rsidRDefault="005B09FA">
            <w:pPr>
              <w:keepNext/>
              <w:keepLines/>
              <w:spacing w:after="0" w:line="240" w:lineRule="auto"/>
              <w:rPr>
                <w:rFonts w:cs="Times New Roman"/>
                <w:color w:val="0070C0"/>
              </w:rPr>
            </w:pPr>
            <w:r w:rsidRPr="004A471A">
              <w:rPr>
                <w:rFonts w:cs="Times New Roman"/>
                <w:color w:val="0070C0"/>
              </w:rPr>
              <w:t>Black</w:t>
            </w:r>
          </w:p>
        </w:tc>
        <w:tc>
          <w:tcPr>
            <w:tcW w:w="1052" w:type="dxa"/>
            <w:tcBorders>
              <w:top w:val="single" w:sz="4" w:space="0" w:color="auto"/>
              <w:left w:val="single" w:sz="12" w:space="0" w:color="auto"/>
              <w:bottom w:val="single" w:sz="8" w:space="0" w:color="auto"/>
              <w:right w:val="single" w:sz="8" w:space="0" w:color="auto"/>
            </w:tcBorders>
            <w:noWrap/>
            <w:vAlign w:val="center"/>
            <w:hideMark/>
          </w:tcPr>
          <w:p w14:paraId="6FE536ED" w14:textId="77777777" w:rsidR="005B09FA" w:rsidRPr="004A471A" w:rsidRDefault="005B09FA">
            <w:pPr>
              <w:spacing w:after="0" w:line="240" w:lineRule="auto"/>
              <w:jc w:val="center"/>
              <w:rPr>
                <w:rFonts w:cs="Times New Roman"/>
                <w:color w:val="0070C0"/>
              </w:rPr>
            </w:pPr>
            <w:r w:rsidRPr="004A471A">
              <w:rPr>
                <w:rFonts w:cs="Times New Roman"/>
                <w:color w:val="0070C0"/>
              </w:rPr>
              <w:t>12.2</w:t>
            </w:r>
          </w:p>
        </w:tc>
      </w:tr>
      <w:tr w:rsidR="005B09FA" w14:paraId="3ECD9687" w14:textId="77777777" w:rsidTr="005B09FA">
        <w:trPr>
          <w:trHeight w:val="288"/>
        </w:trPr>
        <w:tc>
          <w:tcPr>
            <w:tcW w:w="0" w:type="auto"/>
            <w:vMerge/>
            <w:tcBorders>
              <w:top w:val="single" w:sz="4" w:space="0" w:color="auto"/>
              <w:left w:val="single" w:sz="8" w:space="0" w:color="auto"/>
              <w:bottom w:val="single" w:sz="8" w:space="0" w:color="auto"/>
              <w:right w:val="single" w:sz="8" w:space="0" w:color="auto"/>
            </w:tcBorders>
            <w:vAlign w:val="center"/>
            <w:hideMark/>
          </w:tcPr>
          <w:p w14:paraId="0CA73B6A" w14:textId="77777777" w:rsidR="005B09FA" w:rsidRPr="004A471A" w:rsidRDefault="005B09FA">
            <w:pPr>
              <w:spacing w:after="0"/>
              <w:rPr>
                <w:rFonts w:cs="Times New Roman"/>
                <w:color w:val="0070C0"/>
              </w:rPr>
            </w:pPr>
          </w:p>
        </w:tc>
        <w:tc>
          <w:tcPr>
            <w:tcW w:w="2425" w:type="dxa"/>
            <w:tcBorders>
              <w:top w:val="single" w:sz="4" w:space="0" w:color="auto"/>
              <w:left w:val="single" w:sz="8" w:space="0" w:color="auto"/>
              <w:bottom w:val="single" w:sz="8" w:space="0" w:color="auto"/>
              <w:right w:val="single" w:sz="8" w:space="0" w:color="auto"/>
            </w:tcBorders>
            <w:vAlign w:val="center"/>
            <w:hideMark/>
          </w:tcPr>
          <w:p w14:paraId="069F0104" w14:textId="77777777" w:rsidR="005B09FA" w:rsidRPr="004A471A" w:rsidRDefault="005B09FA">
            <w:pPr>
              <w:keepNext/>
              <w:keepLines/>
              <w:spacing w:after="0" w:line="240" w:lineRule="auto"/>
              <w:rPr>
                <w:rFonts w:cs="Times New Roman"/>
                <w:color w:val="0070C0"/>
              </w:rPr>
            </w:pPr>
            <w:r w:rsidRPr="004A471A">
              <w:rPr>
                <w:rFonts w:cs="Times New Roman"/>
                <w:color w:val="0070C0"/>
              </w:rPr>
              <w:t xml:space="preserve">White </w:t>
            </w:r>
          </w:p>
        </w:tc>
        <w:tc>
          <w:tcPr>
            <w:tcW w:w="1052" w:type="dxa"/>
            <w:tcBorders>
              <w:top w:val="single" w:sz="4" w:space="0" w:color="auto"/>
              <w:left w:val="single" w:sz="12" w:space="0" w:color="auto"/>
              <w:bottom w:val="single" w:sz="8" w:space="0" w:color="auto"/>
              <w:right w:val="single" w:sz="8" w:space="0" w:color="auto"/>
            </w:tcBorders>
            <w:noWrap/>
            <w:vAlign w:val="center"/>
            <w:hideMark/>
          </w:tcPr>
          <w:p w14:paraId="1CF6B013" w14:textId="77777777" w:rsidR="005B09FA" w:rsidRPr="004A471A" w:rsidRDefault="005B09FA">
            <w:pPr>
              <w:spacing w:after="0" w:line="240" w:lineRule="auto"/>
              <w:jc w:val="center"/>
              <w:rPr>
                <w:rFonts w:cs="Times New Roman"/>
                <w:color w:val="0070C0"/>
              </w:rPr>
            </w:pPr>
            <w:r w:rsidRPr="004A471A">
              <w:rPr>
                <w:rFonts w:cs="Times New Roman"/>
                <w:color w:val="0070C0"/>
              </w:rPr>
              <w:t>79.6</w:t>
            </w:r>
          </w:p>
        </w:tc>
      </w:tr>
      <w:tr w:rsidR="005B09FA" w14:paraId="710D3C68" w14:textId="77777777" w:rsidTr="005B09FA">
        <w:trPr>
          <w:trHeight w:val="288"/>
        </w:trPr>
        <w:tc>
          <w:tcPr>
            <w:tcW w:w="0" w:type="auto"/>
            <w:vMerge/>
            <w:tcBorders>
              <w:top w:val="single" w:sz="4" w:space="0" w:color="auto"/>
              <w:left w:val="single" w:sz="8" w:space="0" w:color="auto"/>
              <w:bottom w:val="single" w:sz="8" w:space="0" w:color="auto"/>
              <w:right w:val="single" w:sz="8" w:space="0" w:color="auto"/>
            </w:tcBorders>
            <w:vAlign w:val="center"/>
            <w:hideMark/>
          </w:tcPr>
          <w:p w14:paraId="701499C6" w14:textId="77777777" w:rsidR="005B09FA" w:rsidRPr="004A471A" w:rsidRDefault="005B09FA">
            <w:pPr>
              <w:spacing w:after="0"/>
              <w:rPr>
                <w:rFonts w:cs="Times New Roman"/>
                <w:color w:val="0070C0"/>
              </w:rPr>
            </w:pPr>
          </w:p>
        </w:tc>
        <w:tc>
          <w:tcPr>
            <w:tcW w:w="2425" w:type="dxa"/>
            <w:tcBorders>
              <w:top w:val="single" w:sz="4" w:space="0" w:color="auto"/>
              <w:left w:val="single" w:sz="8" w:space="0" w:color="auto"/>
              <w:bottom w:val="single" w:sz="8" w:space="0" w:color="auto"/>
              <w:right w:val="single" w:sz="8" w:space="0" w:color="auto"/>
            </w:tcBorders>
            <w:vAlign w:val="center"/>
            <w:hideMark/>
          </w:tcPr>
          <w:p w14:paraId="615C2DE0" w14:textId="77777777" w:rsidR="005B09FA" w:rsidRPr="004A471A" w:rsidRDefault="005B09FA">
            <w:pPr>
              <w:keepNext/>
              <w:keepLines/>
              <w:spacing w:after="0" w:line="240" w:lineRule="auto"/>
              <w:rPr>
                <w:rFonts w:cs="Times New Roman"/>
                <w:color w:val="0070C0"/>
              </w:rPr>
            </w:pPr>
            <w:r w:rsidRPr="004A471A">
              <w:rPr>
                <w:rFonts w:cs="Times New Roman"/>
                <w:color w:val="0070C0"/>
              </w:rPr>
              <w:t xml:space="preserve">Other </w:t>
            </w:r>
          </w:p>
        </w:tc>
        <w:tc>
          <w:tcPr>
            <w:tcW w:w="1052" w:type="dxa"/>
            <w:tcBorders>
              <w:top w:val="single" w:sz="4" w:space="0" w:color="auto"/>
              <w:left w:val="single" w:sz="12" w:space="0" w:color="auto"/>
              <w:bottom w:val="single" w:sz="8" w:space="0" w:color="auto"/>
              <w:right w:val="single" w:sz="8" w:space="0" w:color="auto"/>
            </w:tcBorders>
            <w:noWrap/>
            <w:vAlign w:val="center"/>
            <w:hideMark/>
          </w:tcPr>
          <w:p w14:paraId="2858C869" w14:textId="77777777" w:rsidR="005B09FA" w:rsidRPr="004A471A" w:rsidRDefault="005B09FA">
            <w:pPr>
              <w:spacing w:after="0" w:line="240" w:lineRule="auto"/>
              <w:jc w:val="center"/>
              <w:rPr>
                <w:rFonts w:cs="Times New Roman"/>
                <w:color w:val="0070C0"/>
              </w:rPr>
            </w:pPr>
            <w:r w:rsidRPr="004A471A">
              <w:rPr>
                <w:rFonts w:cs="Times New Roman"/>
                <w:color w:val="0070C0"/>
              </w:rPr>
              <w:t>2.1</w:t>
            </w:r>
          </w:p>
        </w:tc>
      </w:tr>
      <w:tr w:rsidR="005B09FA" w14:paraId="00A90C94" w14:textId="77777777" w:rsidTr="005B09FA">
        <w:trPr>
          <w:trHeight w:val="288"/>
        </w:trPr>
        <w:tc>
          <w:tcPr>
            <w:tcW w:w="0" w:type="auto"/>
            <w:vMerge/>
            <w:tcBorders>
              <w:top w:val="single" w:sz="4" w:space="0" w:color="auto"/>
              <w:left w:val="single" w:sz="8" w:space="0" w:color="auto"/>
              <w:bottom w:val="single" w:sz="8" w:space="0" w:color="auto"/>
              <w:right w:val="single" w:sz="8" w:space="0" w:color="auto"/>
            </w:tcBorders>
            <w:vAlign w:val="center"/>
            <w:hideMark/>
          </w:tcPr>
          <w:p w14:paraId="23D360F0" w14:textId="77777777" w:rsidR="005B09FA" w:rsidRPr="004A471A" w:rsidRDefault="005B09FA">
            <w:pPr>
              <w:spacing w:after="0"/>
              <w:rPr>
                <w:rFonts w:cs="Times New Roman"/>
                <w:color w:val="0070C0"/>
              </w:rPr>
            </w:pPr>
          </w:p>
        </w:tc>
        <w:tc>
          <w:tcPr>
            <w:tcW w:w="2425" w:type="dxa"/>
            <w:tcBorders>
              <w:top w:val="single" w:sz="4" w:space="0" w:color="auto"/>
              <w:left w:val="single" w:sz="8" w:space="0" w:color="auto"/>
              <w:bottom w:val="single" w:sz="8" w:space="0" w:color="auto"/>
              <w:right w:val="single" w:sz="8" w:space="0" w:color="auto"/>
            </w:tcBorders>
            <w:vAlign w:val="center"/>
            <w:hideMark/>
          </w:tcPr>
          <w:p w14:paraId="7F3A941A" w14:textId="77777777" w:rsidR="005B09FA" w:rsidRPr="004A471A" w:rsidRDefault="005B09FA">
            <w:pPr>
              <w:keepNext/>
              <w:keepLines/>
              <w:spacing w:after="0" w:line="240" w:lineRule="auto"/>
              <w:rPr>
                <w:rFonts w:cs="Times New Roman"/>
                <w:color w:val="0070C0"/>
              </w:rPr>
            </w:pPr>
            <w:r w:rsidRPr="004A471A">
              <w:rPr>
                <w:rFonts w:cs="Times New Roman"/>
                <w:color w:val="0070C0"/>
              </w:rPr>
              <w:t>Unknown</w:t>
            </w:r>
          </w:p>
        </w:tc>
        <w:tc>
          <w:tcPr>
            <w:tcW w:w="1052" w:type="dxa"/>
            <w:tcBorders>
              <w:top w:val="single" w:sz="4" w:space="0" w:color="auto"/>
              <w:left w:val="single" w:sz="12" w:space="0" w:color="auto"/>
              <w:bottom w:val="single" w:sz="8" w:space="0" w:color="auto"/>
              <w:right w:val="single" w:sz="8" w:space="0" w:color="auto"/>
            </w:tcBorders>
            <w:noWrap/>
            <w:vAlign w:val="center"/>
            <w:hideMark/>
          </w:tcPr>
          <w:p w14:paraId="05509D23" w14:textId="77777777" w:rsidR="005B09FA" w:rsidRPr="004A471A" w:rsidRDefault="005B09FA">
            <w:pPr>
              <w:spacing w:after="0" w:line="240" w:lineRule="auto"/>
              <w:jc w:val="center"/>
              <w:rPr>
                <w:rFonts w:cs="Times New Roman"/>
                <w:color w:val="0070C0"/>
              </w:rPr>
            </w:pPr>
            <w:r w:rsidRPr="004A471A">
              <w:rPr>
                <w:rFonts w:cs="Times New Roman"/>
                <w:color w:val="0070C0"/>
              </w:rPr>
              <w:t>0.4</w:t>
            </w:r>
          </w:p>
        </w:tc>
      </w:tr>
    </w:tbl>
    <w:p w14:paraId="0EA78E31" w14:textId="77777777" w:rsidR="005B09FA" w:rsidRDefault="005B09FA" w:rsidP="00DB3627">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7F26D00C" w14:textId="77777777" w:rsidR="003B6A39" w:rsidRPr="004F2758" w:rsidRDefault="003B6A39" w:rsidP="003B6A39">
      <w:pPr>
        <w:autoSpaceDE w:val="0"/>
        <w:autoSpaceDN w:val="0"/>
        <w:adjustRightInd w:val="0"/>
        <w:spacing w:after="0" w:line="240" w:lineRule="auto"/>
        <w:rPr>
          <w:rFonts w:cs="Times New Roman"/>
          <w:b/>
          <w:bCs/>
          <w:color w:val="FF0000"/>
          <w:u w:val="single"/>
        </w:rPr>
      </w:pPr>
      <w:r w:rsidRPr="004F2758">
        <w:rPr>
          <w:rFonts w:cs="Times New Roman"/>
          <w:b/>
          <w:bCs/>
          <w:color w:val="FF0000"/>
          <w:u w:val="single"/>
        </w:rPr>
        <w:t>2018 Submission:</w:t>
      </w:r>
    </w:p>
    <w:p w14:paraId="43B1A658" w14:textId="00F04C12" w:rsidR="003B6A39" w:rsidRDefault="003B6A39" w:rsidP="003B6A39">
      <w:pPr>
        <w:autoSpaceDE w:val="0"/>
        <w:autoSpaceDN w:val="0"/>
        <w:adjustRightInd w:val="0"/>
        <w:spacing w:after="0" w:line="240" w:lineRule="auto"/>
        <w:rPr>
          <w:rFonts w:cs="Times New Roman"/>
          <w:color w:val="FF0000"/>
        </w:rPr>
      </w:pPr>
      <w:r w:rsidRPr="003B6A39">
        <w:rPr>
          <w:rFonts w:cs="Times New Roman"/>
          <w:bCs/>
          <w:color w:val="FF0000"/>
        </w:rPr>
        <w:t>Sample 3</w:t>
      </w:r>
      <w:r>
        <w:rPr>
          <w:rFonts w:cs="Times New Roman"/>
          <w:color w:val="FF0000"/>
        </w:rPr>
        <w:t xml:space="preserve"> was used to test the incidence of the exclusion for individuals receiving hospice care.</w:t>
      </w:r>
    </w:p>
    <w:p w14:paraId="40CACF16" w14:textId="77777777" w:rsidR="003B6A39" w:rsidRDefault="003B6A39" w:rsidP="003B6A39">
      <w:pPr>
        <w:autoSpaceDE w:val="0"/>
        <w:autoSpaceDN w:val="0"/>
        <w:adjustRightInd w:val="0"/>
        <w:spacing w:after="0" w:line="240" w:lineRule="auto"/>
        <w:rPr>
          <w:rFonts w:cs="Times New Roman"/>
          <w:color w:val="FF0000"/>
        </w:rPr>
      </w:pPr>
    </w:p>
    <w:p w14:paraId="699F89E2" w14:textId="136FBDA3" w:rsidR="005B09FA" w:rsidRDefault="005B09FA" w:rsidP="003B6A39">
      <w:pPr>
        <w:autoSpaceDE w:val="0"/>
        <w:autoSpaceDN w:val="0"/>
        <w:adjustRightInd w:val="0"/>
        <w:spacing w:after="0" w:line="240" w:lineRule="auto"/>
        <w:rPr>
          <w:rFonts w:cs="Times New Roman"/>
          <w:b/>
          <w:bCs/>
          <w:color w:val="0070C0"/>
          <w:u w:val="single"/>
        </w:rPr>
      </w:pPr>
      <w:r>
        <w:rPr>
          <w:rFonts w:cs="Times New Roman"/>
          <w:b/>
          <w:bCs/>
          <w:color w:val="0070C0"/>
          <w:u w:val="single"/>
        </w:rPr>
        <w:t>2014 submission:</w:t>
      </w:r>
    </w:p>
    <w:p w14:paraId="547393CA" w14:textId="4EFF71F1" w:rsidR="005B09FA" w:rsidRPr="005B09FA" w:rsidRDefault="005B09FA" w:rsidP="005B09FA">
      <w:pPr>
        <w:autoSpaceDE w:val="0"/>
        <w:autoSpaceDN w:val="0"/>
        <w:adjustRightInd w:val="0"/>
        <w:spacing w:after="0" w:line="240" w:lineRule="auto"/>
        <w:rPr>
          <w:rFonts w:cs="Times New Roman"/>
          <w:bCs/>
          <w:color w:val="0070C0"/>
        </w:rPr>
      </w:pPr>
      <w:r w:rsidRPr="005B09FA">
        <w:rPr>
          <w:rFonts w:cs="Times New Roman"/>
          <w:bCs/>
          <w:color w:val="0070C0"/>
        </w:rPr>
        <w:t>Sample 1 was used to test item-level reliability and validity.</w:t>
      </w:r>
    </w:p>
    <w:p w14:paraId="70F97FDA" w14:textId="77777777" w:rsidR="005B09FA" w:rsidRPr="005B09FA" w:rsidRDefault="005B09FA" w:rsidP="005B09FA">
      <w:pPr>
        <w:autoSpaceDE w:val="0"/>
        <w:autoSpaceDN w:val="0"/>
        <w:adjustRightInd w:val="0"/>
        <w:spacing w:after="0" w:line="240" w:lineRule="auto"/>
        <w:rPr>
          <w:rFonts w:cs="Times New Roman"/>
          <w:bCs/>
          <w:color w:val="0070C0"/>
        </w:rPr>
      </w:pPr>
    </w:p>
    <w:p w14:paraId="2EAAB55F" w14:textId="77777777" w:rsidR="005B09FA" w:rsidRPr="005B09FA" w:rsidRDefault="005B09FA" w:rsidP="005B09FA">
      <w:pPr>
        <w:autoSpaceDE w:val="0"/>
        <w:autoSpaceDN w:val="0"/>
        <w:adjustRightInd w:val="0"/>
        <w:spacing w:after="0" w:line="240" w:lineRule="auto"/>
        <w:rPr>
          <w:rFonts w:cstheme="minorHAnsi"/>
          <w:bCs/>
          <w:color w:val="0070C0"/>
        </w:rPr>
      </w:pPr>
      <w:r w:rsidRPr="005B09FA">
        <w:rPr>
          <w:rFonts w:cs="Times New Roman"/>
          <w:bCs/>
          <w:color w:val="0070C0"/>
        </w:rPr>
        <w:t xml:space="preserve">Sample 2 was used to test reliability, empirical validity, meaningful difference in performance, and missing data. </w:t>
      </w:r>
    </w:p>
    <w:p w14:paraId="65FCDBFF" w14:textId="77777777" w:rsidR="005B09FA" w:rsidRPr="005B09FA" w:rsidRDefault="005B09FA" w:rsidP="005B09FA">
      <w:pPr>
        <w:autoSpaceDE w:val="0"/>
        <w:autoSpaceDN w:val="0"/>
        <w:adjustRightInd w:val="0"/>
        <w:spacing w:after="0" w:line="240" w:lineRule="auto"/>
        <w:rPr>
          <w:rFonts w:cstheme="minorHAnsi"/>
          <w:bCs/>
          <w:color w:val="0070C0"/>
        </w:rPr>
      </w:pPr>
    </w:p>
    <w:p w14:paraId="3090A15A" w14:textId="77777777" w:rsidR="005B09FA" w:rsidRPr="005B09FA" w:rsidRDefault="005B09FA" w:rsidP="005B09FA">
      <w:pPr>
        <w:autoSpaceDE w:val="0"/>
        <w:autoSpaceDN w:val="0"/>
        <w:adjustRightInd w:val="0"/>
        <w:spacing w:after="0" w:line="240" w:lineRule="auto"/>
        <w:rPr>
          <w:rFonts w:cs="Times New Roman"/>
          <w:color w:val="0070C0"/>
        </w:rPr>
      </w:pPr>
      <w:r w:rsidRPr="005B09FA">
        <w:rPr>
          <w:rFonts w:cs="Times New Roman"/>
          <w:bCs/>
          <w:color w:val="0070C0"/>
        </w:rPr>
        <w:t xml:space="preserve">Validity was also demonstrated through a systematic assessment of face validity. </w:t>
      </w:r>
      <w:r w:rsidRPr="005B09FA">
        <w:rPr>
          <w:rFonts w:cs="Times New Roman"/>
          <w:color w:val="0070C0"/>
        </w:rPr>
        <w:t>This measure was systematically</w:t>
      </w:r>
      <w:r w:rsidRPr="005B09FA">
        <w:rPr>
          <w:rFonts w:cs="Times New Roman"/>
          <w:bCs/>
          <w:color w:val="0070C0"/>
        </w:rPr>
        <w:t xml:space="preserve"> evaluated for face validity </w:t>
      </w:r>
      <w:r w:rsidRPr="005B09FA">
        <w:rPr>
          <w:rFonts w:cs="Times New Roman"/>
          <w:color w:val="0070C0"/>
        </w:rPr>
        <w:t>with four panels of experts:</w:t>
      </w:r>
    </w:p>
    <w:p w14:paraId="378AB9C3" w14:textId="77777777" w:rsidR="005B09FA" w:rsidRPr="005B09FA" w:rsidRDefault="005B09FA" w:rsidP="005B09FA">
      <w:pPr>
        <w:pStyle w:val="ListParagraph"/>
        <w:numPr>
          <w:ilvl w:val="0"/>
          <w:numId w:val="30"/>
        </w:numPr>
        <w:autoSpaceDE w:val="0"/>
        <w:autoSpaceDN w:val="0"/>
        <w:adjustRightInd w:val="0"/>
        <w:spacing w:after="0" w:line="240" w:lineRule="auto"/>
        <w:rPr>
          <w:rFonts w:cs="Times New Roman"/>
          <w:color w:val="0070C0"/>
        </w:rPr>
      </w:pPr>
      <w:r w:rsidRPr="005B09FA">
        <w:rPr>
          <w:rFonts w:cs="Times New Roman"/>
          <w:color w:val="0070C0"/>
        </w:rPr>
        <w:t>The Osteoporosis Advisory Workgroup included 5 experts in geriatrics, endocrinology, and osteoporosis.</w:t>
      </w:r>
    </w:p>
    <w:p w14:paraId="60052CEE" w14:textId="77777777" w:rsidR="005B09FA" w:rsidRPr="005B09FA" w:rsidRDefault="005B09FA" w:rsidP="005B09FA">
      <w:pPr>
        <w:pStyle w:val="ListParagraph"/>
        <w:numPr>
          <w:ilvl w:val="0"/>
          <w:numId w:val="30"/>
        </w:numPr>
        <w:autoSpaceDE w:val="0"/>
        <w:autoSpaceDN w:val="0"/>
        <w:adjustRightInd w:val="0"/>
        <w:spacing w:after="0" w:line="240" w:lineRule="auto"/>
        <w:rPr>
          <w:rFonts w:cs="Times New Roman"/>
          <w:color w:val="0070C0"/>
        </w:rPr>
      </w:pPr>
      <w:r w:rsidRPr="005B09FA">
        <w:rPr>
          <w:rFonts w:cs="Times New Roman"/>
          <w:color w:val="0070C0"/>
        </w:rPr>
        <w:t xml:space="preserve">The Geriatric MAP included 13 experts in geriatrics, including representation by consumers, health plans, health care providers and policy makers.  </w:t>
      </w:r>
    </w:p>
    <w:p w14:paraId="41997E0D" w14:textId="77777777" w:rsidR="005B09FA" w:rsidRPr="005B09FA" w:rsidRDefault="005B09FA" w:rsidP="005B09FA">
      <w:pPr>
        <w:pStyle w:val="ListParagraph"/>
        <w:numPr>
          <w:ilvl w:val="0"/>
          <w:numId w:val="30"/>
        </w:numPr>
        <w:autoSpaceDE w:val="0"/>
        <w:autoSpaceDN w:val="0"/>
        <w:adjustRightInd w:val="0"/>
        <w:spacing w:after="0" w:line="240" w:lineRule="auto"/>
        <w:rPr>
          <w:rFonts w:cs="Times New Roman"/>
          <w:color w:val="0070C0"/>
        </w:rPr>
      </w:pPr>
      <w:r w:rsidRPr="005B09FA">
        <w:rPr>
          <w:rFonts w:cs="Times New Roman"/>
          <w:color w:val="0070C0"/>
        </w:rPr>
        <w:t>The Technical Measurement Advisory Panel includes 14 members, including representation by health plans methodologists, clinicians and HEDIS auditors.</w:t>
      </w:r>
    </w:p>
    <w:p w14:paraId="38859F86" w14:textId="77777777" w:rsidR="005B09FA" w:rsidRPr="005B09FA" w:rsidRDefault="005B09FA" w:rsidP="005B09FA">
      <w:pPr>
        <w:pStyle w:val="ListParagraph"/>
        <w:numPr>
          <w:ilvl w:val="0"/>
          <w:numId w:val="30"/>
        </w:numPr>
        <w:autoSpaceDE w:val="0"/>
        <w:autoSpaceDN w:val="0"/>
        <w:adjustRightInd w:val="0"/>
        <w:spacing w:after="0" w:line="240" w:lineRule="auto"/>
        <w:rPr>
          <w:rFonts w:cs="Times New Roman"/>
          <w:color w:val="0070C0"/>
        </w:rPr>
      </w:pPr>
      <w:r w:rsidRPr="005B09FA">
        <w:rPr>
          <w:rFonts w:cs="Times New Roman"/>
          <w:color w:val="0070C0"/>
        </w:rPr>
        <w:t>NCQA’s Committee on Performance Measurement (CPM) oversees the evolution of the measurement set and includes representation by purchasers, consumers, health plans, health care providers and policy makers. This panel is made up of 21 members. The CPM is organized and managed by NCQA and reports to the NCQA Board of Directors and is responsible for advising NCQA staff on the development and maintenance of performance measures. CPM members reflect the diversity of constituencies that performance measurement serves; some bring other perspectives and additional expertise in quality management and the science of measurement.</w:t>
      </w:r>
    </w:p>
    <w:p w14:paraId="7945B99C" w14:textId="77777777" w:rsidR="005B09FA" w:rsidRPr="005B09FA" w:rsidRDefault="005B09FA" w:rsidP="005B09FA">
      <w:pPr>
        <w:autoSpaceDE w:val="0"/>
        <w:autoSpaceDN w:val="0"/>
        <w:adjustRightInd w:val="0"/>
        <w:spacing w:after="0" w:line="240" w:lineRule="auto"/>
        <w:rPr>
          <w:rFonts w:cs="Times New Roman"/>
          <w:b/>
          <w:bCs/>
          <w:color w:val="0070C0"/>
        </w:rPr>
      </w:pPr>
      <w:r w:rsidRPr="005B09FA">
        <w:rPr>
          <w:rFonts w:cs="Times New Roman"/>
          <w:bCs/>
          <w:color w:val="0070C0"/>
        </w:rPr>
        <w:t xml:space="preserve">Per NQF instructions we have described the composition of the expert panels which assessed face validity for this measure. </w:t>
      </w:r>
      <w:r w:rsidRPr="005B09FA">
        <w:rPr>
          <w:rFonts w:cs="Times New Roman"/>
          <w:color w:val="0070C0"/>
        </w:rPr>
        <w:t>See Additional Information: Ad.1. Workgroup/Expert Panel Involved in Measure Development for names and affiliation of expert panels.</w:t>
      </w:r>
    </w:p>
    <w:p w14:paraId="0CABCFCB" w14:textId="77777777" w:rsidR="00E37E1B" w:rsidRDefault="00E37E1B" w:rsidP="00E37E1B">
      <w:pPr>
        <w:autoSpaceDE w:val="0"/>
        <w:autoSpaceDN w:val="0"/>
        <w:adjustRightInd w:val="0"/>
        <w:spacing w:after="0" w:line="240" w:lineRule="auto"/>
        <w:rPr>
          <w:rFonts w:cstheme="minorHAnsi"/>
          <w:bCs/>
        </w:rPr>
      </w:pPr>
    </w:p>
    <w:p w14:paraId="0CABCFCC" w14:textId="03DF3F2A"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0DF079BC" w14:textId="129220D2" w:rsidR="00247818" w:rsidRPr="00247818" w:rsidRDefault="004548D9" w:rsidP="00E37E1B">
      <w:pPr>
        <w:autoSpaceDE w:val="0"/>
        <w:autoSpaceDN w:val="0"/>
        <w:adjustRightInd w:val="0"/>
        <w:spacing w:after="0" w:line="240" w:lineRule="auto"/>
        <w:rPr>
          <w:rFonts w:cs="Times New Roman"/>
          <w:b/>
          <w:color w:val="FF0000"/>
          <w:u w:val="single"/>
        </w:rPr>
      </w:pPr>
      <w:r>
        <w:rPr>
          <w:rFonts w:cs="Times New Roman"/>
          <w:b/>
          <w:color w:val="FF0000"/>
          <w:u w:val="single"/>
        </w:rPr>
        <w:t>2018</w:t>
      </w:r>
      <w:r w:rsidR="00247818" w:rsidRPr="00247818">
        <w:rPr>
          <w:rFonts w:cs="Times New Roman"/>
          <w:b/>
          <w:color w:val="FF0000"/>
          <w:u w:val="single"/>
        </w:rPr>
        <w:t xml:space="preserve"> Submission:</w:t>
      </w:r>
    </w:p>
    <w:p w14:paraId="2686EBED" w14:textId="18158DE0" w:rsidR="004A471A" w:rsidRPr="00B744CA" w:rsidRDefault="004A471A" w:rsidP="00E37E1B">
      <w:pPr>
        <w:autoSpaceDE w:val="0"/>
        <w:autoSpaceDN w:val="0"/>
        <w:adjustRightInd w:val="0"/>
        <w:spacing w:after="0" w:line="240" w:lineRule="auto"/>
        <w:rPr>
          <w:rFonts w:cs="Times New Roman"/>
          <w:color w:val="FF0000"/>
        </w:rPr>
      </w:pPr>
      <w:r w:rsidRPr="00B744CA">
        <w:rPr>
          <w:rFonts w:cs="Times New Roman"/>
          <w:color w:val="FF0000"/>
        </w:rPr>
        <w:t>We did not analyze performance by social risk factors.</w:t>
      </w: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76D9E59F"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72518F">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933226D" w14:textId="77777777" w:rsidR="0072518F" w:rsidRDefault="0072518F" w:rsidP="0072518F">
      <w:pPr>
        <w:autoSpaceDE w:val="0"/>
        <w:autoSpaceDN w:val="0"/>
        <w:adjustRightInd w:val="0"/>
        <w:spacing w:after="0" w:line="240" w:lineRule="auto"/>
        <w:rPr>
          <w:rFonts w:cs="Times New Roman"/>
          <w:b/>
          <w:bCs/>
          <w:color w:val="0070C0"/>
          <w:u w:val="single"/>
        </w:rPr>
      </w:pPr>
      <w:r>
        <w:rPr>
          <w:rFonts w:cs="Times New Roman"/>
          <w:b/>
          <w:bCs/>
          <w:color w:val="0070C0"/>
          <w:u w:val="single"/>
        </w:rPr>
        <w:t>2014 submission:</w:t>
      </w:r>
    </w:p>
    <w:p w14:paraId="69D4A74F" w14:textId="77777777" w:rsidR="0072518F" w:rsidRPr="0072518F" w:rsidRDefault="0072518F" w:rsidP="0072518F">
      <w:pPr>
        <w:spacing w:after="0" w:line="240" w:lineRule="auto"/>
        <w:rPr>
          <w:rFonts w:cs="Times New Roman"/>
          <w:color w:val="0070C0"/>
        </w:rPr>
      </w:pPr>
      <w:r w:rsidRPr="004A471A">
        <w:rPr>
          <w:rFonts w:cs="Times New Roman"/>
          <w:b/>
          <w:bCs/>
          <w:color w:val="0070C0"/>
        </w:rPr>
        <w:t>Reliability Testing of Performance Measure Score</w:t>
      </w:r>
      <w:r w:rsidRPr="004A471A">
        <w:rPr>
          <w:rFonts w:cs="Times New Roman"/>
          <w:color w:val="0070C0"/>
        </w:rPr>
        <w:t>:</w:t>
      </w:r>
      <w:r w:rsidRPr="0072518F">
        <w:rPr>
          <w:rFonts w:cs="Times New Roman"/>
          <w:color w:val="0070C0"/>
        </w:rPr>
        <w:t xml:space="preserve"> In order to assess measure precision in the context of the observed variability across accountable entities, we utilized the reliability estimate proposed by Adams (2009). The following is quoted from the tutorial which focused on provider-level assessment: “Reliability is a key metric of the suitability of a measure for [provider] profiling because it describes how well one can confidently distinguish the performance of one physician from another. Conceptually, it is the ratio of signal to noise. The signal in this case is the proportion of the variability in measured performance that can be explained by real differences in performance. There are three main drivers of reliability: sample size, differences between physicians, and measurement error. At the physician level, sample size can be increased by increasing the number of patients in the physician’s data as well as increasing the number of measures per patient.”  This approach is also relevant to health plans and other accountable entities.  </w:t>
      </w:r>
    </w:p>
    <w:p w14:paraId="1E236F2C" w14:textId="77777777" w:rsidR="0072518F" w:rsidRPr="0072518F" w:rsidRDefault="0072518F" w:rsidP="0072518F">
      <w:pPr>
        <w:spacing w:after="0" w:line="240" w:lineRule="auto"/>
        <w:rPr>
          <w:rFonts w:cs="Times New Roman"/>
          <w:color w:val="0070C0"/>
        </w:rPr>
      </w:pPr>
    </w:p>
    <w:p w14:paraId="506CACEC" w14:textId="77777777" w:rsidR="0072518F" w:rsidRPr="0072518F" w:rsidRDefault="0072518F" w:rsidP="0072518F">
      <w:pPr>
        <w:spacing w:after="0" w:line="240" w:lineRule="auto"/>
        <w:rPr>
          <w:rFonts w:cs="Times New Roman"/>
          <w:color w:val="0070C0"/>
        </w:rPr>
      </w:pPr>
      <w:r w:rsidRPr="0072518F">
        <w:rPr>
          <w:rFonts w:cs="Times New Roman"/>
          <w:color w:val="0070C0"/>
        </w:rPr>
        <w:t xml:space="preserve">Adams’ approach uses a Beta-binomial model to estimate reliability; this model provides a better fit when estimating the reliability of simple pass/fail rate measures as is the case with most HEDIS® measures. The beta-binomial approach accounts for the non-normal distribution of performance within and across accountable entities. Reliability scores vary from 0.0 to 1.0. A score of zero implies that all variation is attributed to measurement error (noise or the individual accountable entity variance) whereas a reliability of 1.0 implies that all variation is caused by a real difference in performance (across accountable entities). </w:t>
      </w:r>
    </w:p>
    <w:p w14:paraId="7432AD94" w14:textId="77777777" w:rsidR="0072518F" w:rsidRPr="0072518F" w:rsidRDefault="0072518F" w:rsidP="0072518F">
      <w:pPr>
        <w:spacing w:after="0" w:line="240" w:lineRule="auto"/>
        <w:rPr>
          <w:rFonts w:cs="Times New Roman"/>
          <w:color w:val="0070C0"/>
        </w:rPr>
      </w:pPr>
    </w:p>
    <w:p w14:paraId="5739EA6B" w14:textId="77777777" w:rsidR="0072518F" w:rsidRPr="0072518F" w:rsidRDefault="0072518F" w:rsidP="0072518F">
      <w:pPr>
        <w:autoSpaceDE w:val="0"/>
        <w:autoSpaceDN w:val="0"/>
        <w:adjustRightInd w:val="0"/>
        <w:spacing w:after="0" w:line="240" w:lineRule="auto"/>
        <w:rPr>
          <w:rFonts w:cs="Times New Roman"/>
          <w:color w:val="0070C0"/>
        </w:rPr>
      </w:pPr>
      <w:r w:rsidRPr="0072518F">
        <w:rPr>
          <w:rFonts w:cs="Times New Roman"/>
          <w:color w:val="0070C0"/>
        </w:rPr>
        <w:t>Adams, J. L. The Reliability of Provider Profiling: A Tutorial. Santa Monica, California: RAND Corporation. TR-653-NCQA, 2009</w:t>
      </w:r>
    </w:p>
    <w:p w14:paraId="63E2FB30" w14:textId="77777777" w:rsidR="0072518F" w:rsidRPr="0072518F" w:rsidRDefault="0072518F" w:rsidP="0072518F">
      <w:pPr>
        <w:autoSpaceDE w:val="0"/>
        <w:autoSpaceDN w:val="0"/>
        <w:adjustRightInd w:val="0"/>
        <w:spacing w:after="0" w:line="240" w:lineRule="auto"/>
        <w:rPr>
          <w:rFonts w:cstheme="minorHAnsi"/>
          <w:bCs/>
          <w:color w:val="0070C0"/>
        </w:rPr>
      </w:pPr>
    </w:p>
    <w:p w14:paraId="37594967" w14:textId="6E44E687" w:rsidR="0072518F" w:rsidRDefault="00092566" w:rsidP="0072518F">
      <w:pPr>
        <w:autoSpaceDE w:val="0"/>
        <w:autoSpaceDN w:val="0"/>
        <w:adjustRightInd w:val="0"/>
        <w:spacing w:after="0" w:line="240" w:lineRule="auto"/>
        <w:rPr>
          <w:rFonts w:cs="Times New Roman"/>
          <w:b/>
          <w:bCs/>
          <w:u w:val="single"/>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14:paraId="38F86AE6" w14:textId="77777777" w:rsidR="0072518F" w:rsidRDefault="0072518F" w:rsidP="0072518F">
      <w:pPr>
        <w:autoSpaceDE w:val="0"/>
        <w:autoSpaceDN w:val="0"/>
        <w:adjustRightInd w:val="0"/>
        <w:spacing w:after="0" w:line="240" w:lineRule="auto"/>
        <w:rPr>
          <w:rFonts w:cs="Times New Roman"/>
          <w:b/>
          <w:bCs/>
          <w:color w:val="0070C0"/>
          <w:u w:val="single"/>
        </w:rPr>
      </w:pPr>
      <w:r>
        <w:rPr>
          <w:rFonts w:cs="Times New Roman"/>
          <w:b/>
          <w:bCs/>
          <w:color w:val="0070C0"/>
          <w:u w:val="single"/>
        </w:rPr>
        <w:t>2014 submission:</w:t>
      </w:r>
    </w:p>
    <w:p w14:paraId="55D0F29E" w14:textId="6B3A5199" w:rsidR="0072518F" w:rsidRPr="00592DA2" w:rsidRDefault="0072518F" w:rsidP="0072518F">
      <w:pPr>
        <w:autoSpaceDE w:val="0"/>
        <w:autoSpaceDN w:val="0"/>
        <w:adjustRightInd w:val="0"/>
        <w:spacing w:after="0" w:line="240" w:lineRule="auto"/>
        <w:rPr>
          <w:rFonts w:cstheme="minorHAnsi"/>
          <w:bCs/>
          <w:i/>
          <w:color w:val="0070C0"/>
        </w:rPr>
      </w:pPr>
      <w:r w:rsidRPr="00592DA2">
        <w:rPr>
          <w:rFonts w:cs="Times New Roman"/>
          <w:b/>
          <w:bCs/>
          <w:color w:val="0070C0"/>
        </w:rPr>
        <w:t>Results of Reliability Testing of Performance Measure Score</w:t>
      </w:r>
      <w:r w:rsidRPr="00592DA2">
        <w:rPr>
          <w:rFonts w:cs="Times New Roman"/>
          <w:b/>
          <w:color w:val="0070C0"/>
        </w:rPr>
        <w:t xml:space="preserve">: </w:t>
      </w:r>
    </w:p>
    <w:p w14:paraId="4BF88578" w14:textId="77777777" w:rsidR="0072518F" w:rsidRPr="0072518F" w:rsidRDefault="0072518F" w:rsidP="0072518F">
      <w:pPr>
        <w:autoSpaceDE w:val="0"/>
        <w:autoSpaceDN w:val="0"/>
        <w:adjustRightInd w:val="0"/>
        <w:spacing w:after="0" w:line="240" w:lineRule="auto"/>
        <w:rPr>
          <w:rFonts w:cstheme="minorHAnsi"/>
          <w:i/>
          <w:color w:val="0070C0"/>
        </w:rPr>
      </w:pPr>
    </w:p>
    <w:p w14:paraId="18251FEB" w14:textId="77777777" w:rsidR="0072518F" w:rsidRPr="0072518F" w:rsidRDefault="0072518F" w:rsidP="0072518F">
      <w:pPr>
        <w:autoSpaceDE w:val="0"/>
        <w:autoSpaceDN w:val="0"/>
        <w:adjustRightInd w:val="0"/>
        <w:spacing w:after="0" w:line="240" w:lineRule="auto"/>
        <w:rPr>
          <w:rFonts w:cstheme="minorHAnsi"/>
          <w:b/>
          <w:bCs/>
          <w:color w:val="0070C0"/>
        </w:rPr>
      </w:pPr>
      <w:r w:rsidRPr="0072518F">
        <w:rPr>
          <w:rFonts w:cstheme="minorHAnsi"/>
          <w:b/>
          <w:bCs/>
          <w:color w:val="0070C0"/>
        </w:rPr>
        <w:t>Table 2: Reliability in Medicare Plans in 2012</w:t>
      </w:r>
    </w:p>
    <w:tbl>
      <w:tblPr>
        <w:tblStyle w:val="TableGrid"/>
        <w:tblW w:w="0" w:type="auto"/>
        <w:tblInd w:w="108" w:type="dxa"/>
        <w:tblLook w:val="04A0" w:firstRow="1" w:lastRow="0" w:firstColumn="1" w:lastColumn="0" w:noHBand="0" w:noVBand="1"/>
      </w:tblPr>
      <w:tblGrid>
        <w:gridCol w:w="1129"/>
        <w:gridCol w:w="1638"/>
        <w:gridCol w:w="1350"/>
        <w:gridCol w:w="1260"/>
        <w:gridCol w:w="1170"/>
        <w:gridCol w:w="1260"/>
        <w:gridCol w:w="1170"/>
      </w:tblGrid>
      <w:tr w:rsidR="0072518F" w14:paraId="6A20E9B6" w14:textId="77777777" w:rsidTr="0072518F">
        <w:tc>
          <w:tcPr>
            <w:tcW w:w="1129" w:type="dxa"/>
            <w:tcBorders>
              <w:top w:val="single" w:sz="4" w:space="0" w:color="auto"/>
              <w:left w:val="single" w:sz="4" w:space="0" w:color="auto"/>
              <w:bottom w:val="single" w:sz="4" w:space="0" w:color="auto"/>
              <w:right w:val="single" w:sz="4" w:space="0" w:color="auto"/>
            </w:tcBorders>
            <w:hideMark/>
          </w:tcPr>
          <w:p w14:paraId="63462D3F" w14:textId="77777777" w:rsidR="0072518F" w:rsidRPr="00592DA2" w:rsidRDefault="0072518F">
            <w:pPr>
              <w:autoSpaceDE w:val="0"/>
              <w:autoSpaceDN w:val="0"/>
              <w:adjustRightInd w:val="0"/>
              <w:jc w:val="center"/>
              <w:rPr>
                <w:rFonts w:cs="Times New Roman"/>
                <w:color w:val="0070C0"/>
              </w:rPr>
            </w:pPr>
            <w:r w:rsidRPr="00592DA2">
              <w:rPr>
                <w:rFonts w:cs="Times New Roman"/>
                <w:color w:val="0070C0"/>
              </w:rPr>
              <w:t># of plans</w:t>
            </w:r>
          </w:p>
        </w:tc>
        <w:tc>
          <w:tcPr>
            <w:tcW w:w="1638" w:type="dxa"/>
            <w:tcBorders>
              <w:top w:val="single" w:sz="4" w:space="0" w:color="auto"/>
              <w:left w:val="single" w:sz="4" w:space="0" w:color="auto"/>
              <w:bottom w:val="single" w:sz="4" w:space="0" w:color="auto"/>
              <w:right w:val="single" w:sz="4" w:space="0" w:color="auto"/>
            </w:tcBorders>
            <w:hideMark/>
          </w:tcPr>
          <w:p w14:paraId="1642B08B" w14:textId="77777777" w:rsidR="0072518F" w:rsidRPr="00592DA2" w:rsidRDefault="0072518F">
            <w:pPr>
              <w:autoSpaceDE w:val="0"/>
              <w:autoSpaceDN w:val="0"/>
              <w:adjustRightInd w:val="0"/>
              <w:jc w:val="center"/>
              <w:rPr>
                <w:rFonts w:cs="Times New Roman"/>
                <w:color w:val="0070C0"/>
              </w:rPr>
            </w:pPr>
            <w:r w:rsidRPr="00592DA2">
              <w:rPr>
                <w:rFonts w:cs="Times New Roman"/>
                <w:color w:val="0070C0"/>
              </w:rPr>
              <w:t>Overall Reliability Score</w:t>
            </w:r>
          </w:p>
        </w:tc>
        <w:tc>
          <w:tcPr>
            <w:tcW w:w="1350" w:type="dxa"/>
            <w:tcBorders>
              <w:top w:val="single" w:sz="4" w:space="0" w:color="auto"/>
              <w:left w:val="single" w:sz="4" w:space="0" w:color="auto"/>
              <w:bottom w:val="single" w:sz="4" w:space="0" w:color="auto"/>
              <w:right w:val="single" w:sz="4" w:space="0" w:color="auto"/>
            </w:tcBorders>
            <w:hideMark/>
          </w:tcPr>
          <w:p w14:paraId="177B7221" w14:textId="77777777" w:rsidR="0072518F" w:rsidRPr="00592DA2" w:rsidRDefault="0072518F">
            <w:pPr>
              <w:autoSpaceDE w:val="0"/>
              <w:autoSpaceDN w:val="0"/>
              <w:adjustRightInd w:val="0"/>
              <w:jc w:val="center"/>
              <w:rPr>
                <w:rFonts w:cs="Times New Roman"/>
                <w:color w:val="0070C0"/>
              </w:rPr>
            </w:pPr>
            <w:r w:rsidRPr="00592DA2">
              <w:rPr>
                <w:rFonts w:cs="Times New Roman"/>
                <w:color w:val="0070C0"/>
              </w:rPr>
              <w:t>10th percentile</w:t>
            </w:r>
          </w:p>
        </w:tc>
        <w:tc>
          <w:tcPr>
            <w:tcW w:w="1260" w:type="dxa"/>
            <w:tcBorders>
              <w:top w:val="single" w:sz="4" w:space="0" w:color="auto"/>
              <w:left w:val="single" w:sz="4" w:space="0" w:color="auto"/>
              <w:bottom w:val="single" w:sz="4" w:space="0" w:color="auto"/>
              <w:right w:val="single" w:sz="4" w:space="0" w:color="auto"/>
            </w:tcBorders>
            <w:hideMark/>
          </w:tcPr>
          <w:p w14:paraId="75D62737" w14:textId="77777777" w:rsidR="0072518F" w:rsidRPr="00592DA2" w:rsidRDefault="0072518F">
            <w:pPr>
              <w:autoSpaceDE w:val="0"/>
              <w:autoSpaceDN w:val="0"/>
              <w:adjustRightInd w:val="0"/>
              <w:jc w:val="center"/>
              <w:rPr>
                <w:rFonts w:cs="Times New Roman"/>
                <w:color w:val="0070C0"/>
              </w:rPr>
            </w:pPr>
            <w:r w:rsidRPr="00592DA2">
              <w:rPr>
                <w:rFonts w:cs="Times New Roman"/>
                <w:color w:val="0070C0"/>
              </w:rPr>
              <w:t>25th percentile</w:t>
            </w:r>
          </w:p>
        </w:tc>
        <w:tc>
          <w:tcPr>
            <w:tcW w:w="1170" w:type="dxa"/>
            <w:tcBorders>
              <w:top w:val="single" w:sz="4" w:space="0" w:color="auto"/>
              <w:left w:val="single" w:sz="4" w:space="0" w:color="auto"/>
              <w:bottom w:val="single" w:sz="4" w:space="0" w:color="auto"/>
              <w:right w:val="single" w:sz="4" w:space="0" w:color="auto"/>
            </w:tcBorders>
            <w:hideMark/>
          </w:tcPr>
          <w:p w14:paraId="33AB50E8" w14:textId="77777777" w:rsidR="0072518F" w:rsidRPr="00592DA2" w:rsidRDefault="0072518F">
            <w:pPr>
              <w:autoSpaceDE w:val="0"/>
              <w:autoSpaceDN w:val="0"/>
              <w:adjustRightInd w:val="0"/>
              <w:jc w:val="center"/>
              <w:rPr>
                <w:rFonts w:cs="Times New Roman"/>
                <w:color w:val="0070C0"/>
              </w:rPr>
            </w:pPr>
            <w:r w:rsidRPr="00592DA2">
              <w:rPr>
                <w:rFonts w:cs="Times New Roman"/>
                <w:color w:val="0070C0"/>
              </w:rPr>
              <w:t>50th percentile</w:t>
            </w:r>
          </w:p>
        </w:tc>
        <w:tc>
          <w:tcPr>
            <w:tcW w:w="1260" w:type="dxa"/>
            <w:tcBorders>
              <w:top w:val="single" w:sz="4" w:space="0" w:color="auto"/>
              <w:left w:val="single" w:sz="4" w:space="0" w:color="auto"/>
              <w:bottom w:val="single" w:sz="4" w:space="0" w:color="auto"/>
              <w:right w:val="single" w:sz="4" w:space="0" w:color="auto"/>
            </w:tcBorders>
            <w:hideMark/>
          </w:tcPr>
          <w:p w14:paraId="4E4BABB9" w14:textId="77777777" w:rsidR="0072518F" w:rsidRPr="00592DA2" w:rsidRDefault="0072518F">
            <w:pPr>
              <w:autoSpaceDE w:val="0"/>
              <w:autoSpaceDN w:val="0"/>
              <w:adjustRightInd w:val="0"/>
              <w:jc w:val="center"/>
              <w:rPr>
                <w:rFonts w:cs="Times New Roman"/>
                <w:color w:val="0070C0"/>
              </w:rPr>
            </w:pPr>
            <w:r w:rsidRPr="00592DA2">
              <w:rPr>
                <w:rFonts w:cs="Times New Roman"/>
                <w:color w:val="0070C0"/>
              </w:rPr>
              <w:t>75th percentile</w:t>
            </w:r>
          </w:p>
        </w:tc>
        <w:tc>
          <w:tcPr>
            <w:tcW w:w="1170" w:type="dxa"/>
            <w:tcBorders>
              <w:top w:val="single" w:sz="4" w:space="0" w:color="auto"/>
              <w:left w:val="single" w:sz="4" w:space="0" w:color="auto"/>
              <w:bottom w:val="single" w:sz="4" w:space="0" w:color="auto"/>
              <w:right w:val="single" w:sz="4" w:space="0" w:color="auto"/>
            </w:tcBorders>
            <w:hideMark/>
          </w:tcPr>
          <w:p w14:paraId="4807B112" w14:textId="77777777" w:rsidR="0072518F" w:rsidRPr="00592DA2" w:rsidRDefault="0072518F">
            <w:pPr>
              <w:autoSpaceDE w:val="0"/>
              <w:autoSpaceDN w:val="0"/>
              <w:adjustRightInd w:val="0"/>
              <w:jc w:val="center"/>
              <w:rPr>
                <w:rFonts w:cs="Times New Roman"/>
                <w:color w:val="0070C0"/>
              </w:rPr>
            </w:pPr>
            <w:r w:rsidRPr="00592DA2">
              <w:rPr>
                <w:rFonts w:cs="Times New Roman"/>
                <w:color w:val="0070C0"/>
              </w:rPr>
              <w:t>90th percentile</w:t>
            </w:r>
          </w:p>
        </w:tc>
      </w:tr>
      <w:tr w:rsidR="0072518F" w14:paraId="74F2025A" w14:textId="77777777" w:rsidTr="0072518F">
        <w:tc>
          <w:tcPr>
            <w:tcW w:w="1129" w:type="dxa"/>
            <w:tcBorders>
              <w:top w:val="single" w:sz="4" w:space="0" w:color="auto"/>
              <w:left w:val="single" w:sz="4" w:space="0" w:color="auto"/>
              <w:bottom w:val="single" w:sz="4" w:space="0" w:color="auto"/>
              <w:right w:val="single" w:sz="4" w:space="0" w:color="auto"/>
            </w:tcBorders>
            <w:hideMark/>
          </w:tcPr>
          <w:p w14:paraId="0BB2D3B8" w14:textId="77777777" w:rsidR="0072518F" w:rsidRPr="00592DA2" w:rsidRDefault="0072518F">
            <w:pPr>
              <w:autoSpaceDE w:val="0"/>
              <w:autoSpaceDN w:val="0"/>
              <w:adjustRightInd w:val="0"/>
              <w:jc w:val="center"/>
              <w:rPr>
                <w:rFonts w:cs="Times New Roman"/>
                <w:color w:val="0070C0"/>
              </w:rPr>
            </w:pPr>
            <w:r w:rsidRPr="00592DA2">
              <w:rPr>
                <w:rFonts w:cs="Times New Roman"/>
                <w:color w:val="0070C0"/>
              </w:rPr>
              <w:t>495</w:t>
            </w:r>
          </w:p>
        </w:tc>
        <w:tc>
          <w:tcPr>
            <w:tcW w:w="1638" w:type="dxa"/>
            <w:tcBorders>
              <w:top w:val="single" w:sz="4" w:space="0" w:color="auto"/>
              <w:left w:val="single" w:sz="4" w:space="0" w:color="auto"/>
              <w:bottom w:val="single" w:sz="4" w:space="0" w:color="auto"/>
              <w:right w:val="single" w:sz="4" w:space="0" w:color="auto"/>
            </w:tcBorders>
            <w:hideMark/>
          </w:tcPr>
          <w:p w14:paraId="66710332" w14:textId="77777777" w:rsidR="0072518F" w:rsidRPr="00592DA2" w:rsidRDefault="0072518F">
            <w:pPr>
              <w:autoSpaceDE w:val="0"/>
              <w:autoSpaceDN w:val="0"/>
              <w:adjustRightInd w:val="0"/>
              <w:jc w:val="center"/>
              <w:rPr>
                <w:rFonts w:cs="Times New Roman"/>
                <w:color w:val="0070C0"/>
              </w:rPr>
            </w:pPr>
            <w:r w:rsidRPr="00592DA2">
              <w:rPr>
                <w:rFonts w:cs="Times New Roman"/>
                <w:color w:val="0070C0"/>
              </w:rPr>
              <w:t>0.995</w:t>
            </w:r>
          </w:p>
        </w:tc>
        <w:tc>
          <w:tcPr>
            <w:tcW w:w="1350" w:type="dxa"/>
            <w:tcBorders>
              <w:top w:val="single" w:sz="4" w:space="0" w:color="auto"/>
              <w:left w:val="single" w:sz="4" w:space="0" w:color="auto"/>
              <w:bottom w:val="single" w:sz="4" w:space="0" w:color="auto"/>
              <w:right w:val="single" w:sz="4" w:space="0" w:color="auto"/>
            </w:tcBorders>
            <w:hideMark/>
          </w:tcPr>
          <w:p w14:paraId="18948EB3" w14:textId="77777777" w:rsidR="0072518F" w:rsidRPr="00592DA2" w:rsidRDefault="0072518F">
            <w:pPr>
              <w:autoSpaceDE w:val="0"/>
              <w:autoSpaceDN w:val="0"/>
              <w:adjustRightInd w:val="0"/>
              <w:jc w:val="center"/>
              <w:rPr>
                <w:rFonts w:cs="Times New Roman"/>
                <w:color w:val="0070C0"/>
              </w:rPr>
            </w:pPr>
            <w:r w:rsidRPr="00592DA2">
              <w:rPr>
                <w:rFonts w:cs="Times New Roman"/>
                <w:color w:val="0070C0"/>
              </w:rPr>
              <w:t>0.994</w:t>
            </w:r>
          </w:p>
        </w:tc>
        <w:tc>
          <w:tcPr>
            <w:tcW w:w="1260" w:type="dxa"/>
            <w:tcBorders>
              <w:top w:val="single" w:sz="4" w:space="0" w:color="auto"/>
              <w:left w:val="single" w:sz="4" w:space="0" w:color="auto"/>
              <w:bottom w:val="single" w:sz="4" w:space="0" w:color="auto"/>
              <w:right w:val="single" w:sz="4" w:space="0" w:color="auto"/>
            </w:tcBorders>
            <w:hideMark/>
          </w:tcPr>
          <w:p w14:paraId="16333455" w14:textId="77777777" w:rsidR="0072518F" w:rsidRPr="00592DA2" w:rsidRDefault="0072518F">
            <w:pPr>
              <w:autoSpaceDE w:val="0"/>
              <w:autoSpaceDN w:val="0"/>
              <w:adjustRightInd w:val="0"/>
              <w:jc w:val="center"/>
              <w:rPr>
                <w:rFonts w:cs="Times New Roman"/>
                <w:color w:val="0070C0"/>
              </w:rPr>
            </w:pPr>
            <w:r w:rsidRPr="00592DA2">
              <w:rPr>
                <w:rFonts w:cs="Times New Roman"/>
                <w:color w:val="0070C0"/>
              </w:rPr>
              <w:t>0.995</w:t>
            </w:r>
          </w:p>
        </w:tc>
        <w:tc>
          <w:tcPr>
            <w:tcW w:w="1170" w:type="dxa"/>
            <w:tcBorders>
              <w:top w:val="single" w:sz="4" w:space="0" w:color="auto"/>
              <w:left w:val="single" w:sz="4" w:space="0" w:color="auto"/>
              <w:bottom w:val="single" w:sz="4" w:space="0" w:color="auto"/>
              <w:right w:val="single" w:sz="4" w:space="0" w:color="auto"/>
            </w:tcBorders>
            <w:hideMark/>
          </w:tcPr>
          <w:p w14:paraId="456B6969" w14:textId="77777777" w:rsidR="0072518F" w:rsidRPr="00592DA2" w:rsidRDefault="0072518F">
            <w:pPr>
              <w:autoSpaceDE w:val="0"/>
              <w:autoSpaceDN w:val="0"/>
              <w:adjustRightInd w:val="0"/>
              <w:jc w:val="center"/>
              <w:rPr>
                <w:rFonts w:cs="Times New Roman"/>
                <w:color w:val="0070C0"/>
              </w:rPr>
            </w:pPr>
            <w:r w:rsidRPr="00592DA2">
              <w:rPr>
                <w:rFonts w:cs="Times New Roman"/>
                <w:color w:val="0070C0"/>
              </w:rPr>
              <w:t>0.996</w:t>
            </w:r>
          </w:p>
        </w:tc>
        <w:tc>
          <w:tcPr>
            <w:tcW w:w="1260" w:type="dxa"/>
            <w:tcBorders>
              <w:top w:val="single" w:sz="4" w:space="0" w:color="auto"/>
              <w:left w:val="single" w:sz="4" w:space="0" w:color="auto"/>
              <w:bottom w:val="single" w:sz="4" w:space="0" w:color="auto"/>
              <w:right w:val="single" w:sz="4" w:space="0" w:color="auto"/>
            </w:tcBorders>
            <w:hideMark/>
          </w:tcPr>
          <w:p w14:paraId="44B7B464" w14:textId="77777777" w:rsidR="0072518F" w:rsidRPr="00592DA2" w:rsidRDefault="0072518F">
            <w:pPr>
              <w:autoSpaceDE w:val="0"/>
              <w:autoSpaceDN w:val="0"/>
              <w:adjustRightInd w:val="0"/>
              <w:jc w:val="center"/>
              <w:rPr>
                <w:rFonts w:cs="Times New Roman"/>
                <w:color w:val="0070C0"/>
              </w:rPr>
            </w:pPr>
            <w:r w:rsidRPr="00592DA2">
              <w:rPr>
                <w:rFonts w:cs="Times New Roman"/>
                <w:color w:val="0070C0"/>
              </w:rPr>
              <w:t>0.997</w:t>
            </w:r>
          </w:p>
        </w:tc>
        <w:tc>
          <w:tcPr>
            <w:tcW w:w="1170" w:type="dxa"/>
            <w:tcBorders>
              <w:top w:val="single" w:sz="4" w:space="0" w:color="auto"/>
              <w:left w:val="single" w:sz="4" w:space="0" w:color="auto"/>
              <w:bottom w:val="single" w:sz="4" w:space="0" w:color="auto"/>
              <w:right w:val="single" w:sz="4" w:space="0" w:color="auto"/>
            </w:tcBorders>
            <w:hideMark/>
          </w:tcPr>
          <w:p w14:paraId="56903299" w14:textId="77777777" w:rsidR="0072518F" w:rsidRPr="00592DA2" w:rsidRDefault="0072518F">
            <w:pPr>
              <w:autoSpaceDE w:val="0"/>
              <w:autoSpaceDN w:val="0"/>
              <w:adjustRightInd w:val="0"/>
              <w:jc w:val="center"/>
              <w:rPr>
                <w:rFonts w:cs="Times New Roman"/>
                <w:color w:val="0070C0"/>
              </w:rPr>
            </w:pPr>
            <w:r w:rsidRPr="00592DA2">
              <w:rPr>
                <w:rFonts w:cs="Times New Roman"/>
                <w:color w:val="0070C0"/>
              </w:rPr>
              <w:t>0.997</w:t>
            </w:r>
          </w:p>
        </w:tc>
      </w:tr>
    </w:tbl>
    <w:p w14:paraId="0CABCFD3" w14:textId="77777777" w:rsidR="007422FD" w:rsidRPr="00A25024" w:rsidRDefault="007422FD" w:rsidP="008C54A9">
      <w:pPr>
        <w:autoSpaceDE w:val="0"/>
        <w:autoSpaceDN w:val="0"/>
        <w:adjustRightInd w:val="0"/>
        <w:spacing w:after="0" w:line="240" w:lineRule="auto"/>
        <w:rPr>
          <w:rFonts w:cstheme="minorHAnsi"/>
          <w:bCs/>
        </w:rPr>
      </w:pPr>
    </w:p>
    <w:p w14:paraId="3D6742DC" w14:textId="16AB6119" w:rsidR="00496DFB" w:rsidRDefault="00092566" w:rsidP="00496DFB">
      <w:pPr>
        <w:autoSpaceDE w:val="0"/>
        <w:autoSpaceDN w:val="0"/>
        <w:adjustRightInd w:val="0"/>
        <w:spacing w:after="0" w:line="240" w:lineRule="auto"/>
        <w:rPr>
          <w:rFonts w:cs="Times New Roman"/>
          <w:b/>
          <w:bCs/>
          <w:color w:val="0070C0"/>
          <w:u w:val="single"/>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496DFB">
        <w:rPr>
          <w:rFonts w:cs="Times New Roman"/>
          <w:b/>
          <w:bCs/>
          <w:color w:val="0070C0"/>
          <w:u w:val="single"/>
        </w:rPr>
        <w:t>2014 submission:</w:t>
      </w:r>
    </w:p>
    <w:p w14:paraId="584D6B7E" w14:textId="77777777" w:rsidR="00496DFB" w:rsidRPr="00496DFB" w:rsidRDefault="00496DFB" w:rsidP="00496DFB">
      <w:pPr>
        <w:pStyle w:val="NoSpacing"/>
        <w:rPr>
          <w:color w:val="0070C0"/>
        </w:rPr>
      </w:pPr>
      <w:r w:rsidRPr="00592DA2">
        <w:rPr>
          <w:rFonts w:cstheme="minorHAnsi"/>
          <w:b/>
          <w:bCs/>
          <w:color w:val="0070C0"/>
        </w:rPr>
        <w:t>Interpretation of measure score reliability testing:</w:t>
      </w:r>
      <w:r w:rsidRPr="00496DFB">
        <w:rPr>
          <w:rFonts w:cstheme="minorHAnsi"/>
          <w:b/>
          <w:bCs/>
          <w:color w:val="0070C0"/>
        </w:rPr>
        <w:t xml:space="preserve"> </w:t>
      </w:r>
      <w:r w:rsidRPr="00496DFB">
        <w:rPr>
          <w:color w:val="0070C0"/>
        </w:rPr>
        <w:t>Reliability scores can vary from 0.0 to 1.0.  A score of zero implies that all variation is attributed to measurement error (noise) whereas a reliability of 1.0 implies that all variation is caused by a real difference in performance (signal). Generally, a minimum reliability score of 0.7 is used to indicate sufficient signal strength to discriminate performance between accountable entities. The reliability output from HEDIS 2012 data shows high overall reliability with a mean individual reliability above .9 for all plans. The lowest individual reliability found among plans was .92, the highest individual reliability was .99. Reliability assesses the degree to which a measure produces stable and consistent results, therefore, there is a high degree of consistency in the results and the variability between plans is most likely due to the performance of plans. Eight plans did not have a denominator of &gt;30 and were not included in the reliability analysis.</w:t>
      </w:r>
    </w:p>
    <w:p w14:paraId="3BAB38A3" w14:textId="77777777" w:rsidR="00496DFB" w:rsidRPr="00496DFB" w:rsidRDefault="00496DFB" w:rsidP="00DB3627">
      <w:pPr>
        <w:autoSpaceDE w:val="0"/>
        <w:autoSpaceDN w:val="0"/>
        <w:adjustRightInd w:val="0"/>
        <w:spacing w:after="0" w:line="240" w:lineRule="auto"/>
        <w:rPr>
          <w:rFonts w:cstheme="minorHAnsi"/>
          <w:bCs/>
          <w:color w:val="0070C0"/>
        </w:rPr>
      </w:pP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37831EC4"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496DFB">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77777777" w:rsidR="00696262" w:rsidRPr="00A25024" w:rsidRDefault="00D92464"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0CD82729" w:rsidR="000574AB" w:rsidRPr="00A25024" w:rsidRDefault="00D92464"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496DFB">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496DFB">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7C8D812C" w14:textId="54DFE24D" w:rsidR="00496DFB" w:rsidRDefault="009C7513" w:rsidP="00496DFB">
      <w:pPr>
        <w:autoSpaceDE w:val="0"/>
        <w:autoSpaceDN w:val="0"/>
        <w:adjustRightInd w:val="0"/>
        <w:spacing w:after="0" w:line="240" w:lineRule="auto"/>
        <w:rPr>
          <w:rFonts w:cs="Times New Roman"/>
          <w:b/>
          <w:bCs/>
          <w:color w:val="0070C0"/>
          <w:u w:val="single"/>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r w:rsidR="00496DFB">
        <w:rPr>
          <w:rFonts w:cs="Times New Roman"/>
          <w:b/>
          <w:bCs/>
          <w:color w:val="0070C0"/>
          <w:u w:val="single"/>
        </w:rPr>
        <w:t>2014 submission:</w:t>
      </w:r>
    </w:p>
    <w:p w14:paraId="314A13AC" w14:textId="77777777" w:rsidR="00496DFB" w:rsidRPr="00496DFB" w:rsidRDefault="00496DFB" w:rsidP="00496DFB">
      <w:pPr>
        <w:autoSpaceDE w:val="0"/>
        <w:autoSpaceDN w:val="0"/>
        <w:adjustRightInd w:val="0"/>
        <w:spacing w:after="0" w:line="240" w:lineRule="auto"/>
        <w:rPr>
          <w:rFonts w:cstheme="minorHAnsi"/>
          <w:bCs/>
          <w:color w:val="0070C0"/>
        </w:rPr>
      </w:pPr>
      <w:r w:rsidRPr="00592DA2">
        <w:rPr>
          <w:rFonts w:cstheme="minorHAnsi"/>
          <w:b/>
          <w:bCs/>
          <w:color w:val="0070C0"/>
        </w:rPr>
        <w:t>Method of Testing Critical Data Element Validity:</w:t>
      </w:r>
      <w:r w:rsidRPr="00592DA2">
        <w:rPr>
          <w:rFonts w:cstheme="minorHAnsi"/>
          <w:bCs/>
          <w:color w:val="0070C0"/>
        </w:rPr>
        <w:t xml:space="preserve"> Cognitive</w:t>
      </w:r>
      <w:r w:rsidRPr="00496DFB">
        <w:rPr>
          <w:rFonts w:cstheme="minorHAnsi"/>
          <w:bCs/>
          <w:color w:val="0070C0"/>
        </w:rPr>
        <w:t xml:space="preserve"> testing is a process used routinely in determining the content validity of survey questions. Through cognitive testing, trained interviewers assess whether respondents understand survey questions, can recall the information being asked of them, and answer the questions correctly given their experiences. Cognitive interviewing involves asking volunteer respondents to answer the survey questions (either on paper or verbally) and then interviewing respondents about their answers to the questions. Interview protocols include specific questions about the respondent’s thought-process when answering the questions. Questions are tested in rounds to allow for revision to the survey questions and interview protocol between testing rounds. Testing was completed by a professional research team at RTI.  The text below describes the specific testing protocol in greater detail:</w:t>
      </w:r>
    </w:p>
    <w:p w14:paraId="01E17605" w14:textId="77777777" w:rsidR="00496DFB" w:rsidRPr="00496DFB" w:rsidRDefault="00496DFB" w:rsidP="00496DFB">
      <w:pPr>
        <w:spacing w:after="0" w:line="240" w:lineRule="auto"/>
        <w:rPr>
          <w:rFonts w:cstheme="minorHAnsi"/>
          <w:color w:val="0070C0"/>
        </w:rPr>
      </w:pPr>
    </w:p>
    <w:p w14:paraId="41794AB3" w14:textId="77777777" w:rsidR="00496DFB" w:rsidRPr="00496DFB" w:rsidRDefault="00496DFB" w:rsidP="00496DFB">
      <w:pPr>
        <w:spacing w:after="0" w:line="240" w:lineRule="auto"/>
        <w:rPr>
          <w:rFonts w:cstheme="minorHAnsi"/>
          <w:color w:val="0070C0"/>
        </w:rPr>
      </w:pPr>
      <w:r w:rsidRPr="00496DFB">
        <w:rPr>
          <w:rFonts w:cstheme="minorHAnsi"/>
          <w:color w:val="0070C0"/>
        </w:rPr>
        <w:t>There were four rounds of testing for this measure. The first two rounds of testing focused on concept testing with the goal of determining whether women were familiar with the term “osteoporosis,” the best term to use as a descriptor of osteoporosis, and the best term to use for osteoporosis testing. We also tested the effectiveness of adding a description of the osteoporosis test.</w:t>
      </w:r>
    </w:p>
    <w:p w14:paraId="6533874D" w14:textId="77777777" w:rsidR="00496DFB" w:rsidRPr="00496DFB" w:rsidRDefault="00496DFB" w:rsidP="00496DFB">
      <w:pPr>
        <w:spacing w:after="0" w:line="240" w:lineRule="auto"/>
        <w:rPr>
          <w:rFonts w:cstheme="minorHAnsi"/>
          <w:color w:val="0070C0"/>
        </w:rPr>
      </w:pPr>
      <w:r w:rsidRPr="00496DFB">
        <w:rPr>
          <w:rFonts w:cstheme="minorHAnsi"/>
          <w:color w:val="0070C0"/>
        </w:rPr>
        <w:t>The following terms were tested in Rounds 1 and 2 (terms that did not test well were dropped for the second round of concept testing):</w:t>
      </w:r>
    </w:p>
    <w:p w14:paraId="04DA7064" w14:textId="77777777" w:rsidR="00496DFB" w:rsidRPr="00496DFB" w:rsidRDefault="00496DFB" w:rsidP="00496DFB">
      <w:pPr>
        <w:spacing w:after="0" w:line="240" w:lineRule="auto"/>
        <w:rPr>
          <w:rFonts w:cstheme="minorHAnsi"/>
          <w:color w:val="0070C0"/>
        </w:rPr>
      </w:pPr>
      <w:r w:rsidRPr="00496DFB">
        <w:rPr>
          <w:rFonts w:cstheme="minorHAnsi"/>
          <w:color w:val="0070C0"/>
        </w:rPr>
        <w:t xml:space="preserve">Osteoporosis (descriptors) </w:t>
      </w:r>
    </w:p>
    <w:p w14:paraId="4B165085" w14:textId="77777777" w:rsidR="00496DFB" w:rsidRPr="00496DFB" w:rsidRDefault="00496DFB" w:rsidP="00496DFB">
      <w:pPr>
        <w:pStyle w:val="ListParagraph"/>
        <w:numPr>
          <w:ilvl w:val="0"/>
          <w:numId w:val="31"/>
        </w:numPr>
        <w:spacing w:after="0" w:line="240" w:lineRule="auto"/>
        <w:rPr>
          <w:rFonts w:cstheme="minorHAnsi"/>
          <w:color w:val="0070C0"/>
        </w:rPr>
      </w:pPr>
      <w:r w:rsidRPr="00496DFB">
        <w:rPr>
          <w:rFonts w:cstheme="minorHAnsi"/>
          <w:color w:val="0070C0"/>
        </w:rPr>
        <w:t>Bone loss</w:t>
      </w:r>
    </w:p>
    <w:p w14:paraId="321BCDE4" w14:textId="77777777" w:rsidR="00496DFB" w:rsidRPr="00496DFB" w:rsidRDefault="00496DFB" w:rsidP="00496DFB">
      <w:pPr>
        <w:pStyle w:val="ListParagraph"/>
        <w:numPr>
          <w:ilvl w:val="0"/>
          <w:numId w:val="31"/>
        </w:numPr>
        <w:spacing w:after="0" w:line="240" w:lineRule="auto"/>
        <w:rPr>
          <w:rFonts w:cstheme="minorHAnsi"/>
          <w:color w:val="0070C0"/>
        </w:rPr>
      </w:pPr>
      <w:r w:rsidRPr="00496DFB">
        <w:rPr>
          <w:rFonts w:cstheme="minorHAnsi"/>
          <w:color w:val="0070C0"/>
        </w:rPr>
        <w:t>Weakening of the bones</w:t>
      </w:r>
    </w:p>
    <w:p w14:paraId="6FB679EB" w14:textId="77777777" w:rsidR="00496DFB" w:rsidRPr="00496DFB" w:rsidRDefault="00496DFB" w:rsidP="00496DFB">
      <w:pPr>
        <w:pStyle w:val="ListParagraph"/>
        <w:numPr>
          <w:ilvl w:val="0"/>
          <w:numId w:val="31"/>
        </w:numPr>
        <w:spacing w:after="0" w:line="240" w:lineRule="auto"/>
        <w:rPr>
          <w:rFonts w:cstheme="minorHAnsi"/>
          <w:color w:val="0070C0"/>
        </w:rPr>
      </w:pPr>
      <w:r w:rsidRPr="00496DFB">
        <w:rPr>
          <w:rFonts w:cstheme="minorHAnsi"/>
          <w:color w:val="0070C0"/>
        </w:rPr>
        <w:t>Thin bones</w:t>
      </w:r>
    </w:p>
    <w:p w14:paraId="46702142" w14:textId="77777777" w:rsidR="00496DFB" w:rsidRPr="00496DFB" w:rsidRDefault="00496DFB" w:rsidP="00496DFB">
      <w:pPr>
        <w:pStyle w:val="ListParagraph"/>
        <w:numPr>
          <w:ilvl w:val="0"/>
          <w:numId w:val="31"/>
        </w:numPr>
        <w:spacing w:after="0" w:line="240" w:lineRule="auto"/>
        <w:rPr>
          <w:rFonts w:cstheme="minorHAnsi"/>
          <w:color w:val="0070C0"/>
        </w:rPr>
      </w:pPr>
      <w:r w:rsidRPr="00496DFB">
        <w:rPr>
          <w:rFonts w:cstheme="minorHAnsi"/>
          <w:color w:val="0070C0"/>
        </w:rPr>
        <w:t>Brittle bones</w:t>
      </w:r>
    </w:p>
    <w:p w14:paraId="56B8C89A" w14:textId="77777777" w:rsidR="00496DFB" w:rsidRPr="00496DFB" w:rsidRDefault="00496DFB" w:rsidP="00496DFB">
      <w:pPr>
        <w:spacing w:after="0" w:line="240" w:lineRule="auto"/>
        <w:rPr>
          <w:rFonts w:cstheme="minorHAnsi"/>
          <w:color w:val="0070C0"/>
        </w:rPr>
      </w:pPr>
    </w:p>
    <w:p w14:paraId="09F49DCE" w14:textId="77777777" w:rsidR="00496DFB" w:rsidRPr="00496DFB" w:rsidRDefault="00496DFB" w:rsidP="00496DFB">
      <w:pPr>
        <w:spacing w:after="0" w:line="240" w:lineRule="auto"/>
        <w:rPr>
          <w:rFonts w:cstheme="minorHAnsi"/>
          <w:color w:val="0070C0"/>
        </w:rPr>
      </w:pPr>
      <w:r w:rsidRPr="00496DFB">
        <w:rPr>
          <w:rFonts w:cstheme="minorHAnsi"/>
          <w:color w:val="0070C0"/>
        </w:rPr>
        <w:t>Osteoporosis testing</w:t>
      </w:r>
    </w:p>
    <w:p w14:paraId="0856A3DB" w14:textId="77777777" w:rsidR="00496DFB" w:rsidRPr="00496DFB" w:rsidRDefault="00496DFB" w:rsidP="00496DFB">
      <w:pPr>
        <w:pStyle w:val="ListParagraph"/>
        <w:numPr>
          <w:ilvl w:val="0"/>
          <w:numId w:val="31"/>
        </w:numPr>
        <w:spacing w:after="0" w:line="240" w:lineRule="auto"/>
        <w:rPr>
          <w:rFonts w:cstheme="minorHAnsi"/>
          <w:color w:val="0070C0"/>
        </w:rPr>
      </w:pPr>
      <w:r w:rsidRPr="00496DFB">
        <w:rPr>
          <w:rFonts w:cstheme="minorHAnsi"/>
          <w:color w:val="0070C0"/>
        </w:rPr>
        <w:t>Bone density test</w:t>
      </w:r>
    </w:p>
    <w:p w14:paraId="7ED8CEFD" w14:textId="77777777" w:rsidR="00496DFB" w:rsidRPr="00496DFB" w:rsidRDefault="00496DFB" w:rsidP="00496DFB">
      <w:pPr>
        <w:pStyle w:val="ListParagraph"/>
        <w:numPr>
          <w:ilvl w:val="0"/>
          <w:numId w:val="31"/>
        </w:numPr>
        <w:spacing w:after="0" w:line="240" w:lineRule="auto"/>
        <w:rPr>
          <w:rFonts w:cstheme="minorHAnsi"/>
          <w:color w:val="0070C0"/>
        </w:rPr>
      </w:pPr>
      <w:r w:rsidRPr="00496DFB">
        <w:rPr>
          <w:rFonts w:cstheme="minorHAnsi"/>
          <w:color w:val="0070C0"/>
        </w:rPr>
        <w:t>Bone scan</w:t>
      </w:r>
    </w:p>
    <w:p w14:paraId="5E89B638" w14:textId="77777777" w:rsidR="00496DFB" w:rsidRPr="00496DFB" w:rsidRDefault="00496DFB" w:rsidP="00496DFB">
      <w:pPr>
        <w:pStyle w:val="ListParagraph"/>
        <w:numPr>
          <w:ilvl w:val="0"/>
          <w:numId w:val="31"/>
        </w:numPr>
        <w:spacing w:after="0" w:line="240" w:lineRule="auto"/>
        <w:rPr>
          <w:rFonts w:cstheme="minorHAnsi"/>
          <w:color w:val="0070C0"/>
        </w:rPr>
      </w:pPr>
      <w:r w:rsidRPr="00496DFB">
        <w:rPr>
          <w:rFonts w:cstheme="minorHAnsi"/>
          <w:color w:val="0070C0"/>
        </w:rPr>
        <w:t>Dexa-scan</w:t>
      </w:r>
    </w:p>
    <w:p w14:paraId="64207B5A" w14:textId="77777777" w:rsidR="00496DFB" w:rsidRPr="00496DFB" w:rsidRDefault="00496DFB" w:rsidP="00496DFB">
      <w:pPr>
        <w:pStyle w:val="ListParagraph"/>
        <w:numPr>
          <w:ilvl w:val="0"/>
          <w:numId w:val="31"/>
        </w:numPr>
        <w:spacing w:after="0" w:line="240" w:lineRule="auto"/>
        <w:rPr>
          <w:rFonts w:cstheme="minorHAnsi"/>
          <w:color w:val="0070C0"/>
        </w:rPr>
      </w:pPr>
      <w:r w:rsidRPr="00496DFB">
        <w:rPr>
          <w:rFonts w:cstheme="minorHAnsi"/>
          <w:color w:val="0070C0"/>
        </w:rPr>
        <w:t>Densitometry</w:t>
      </w:r>
    </w:p>
    <w:p w14:paraId="4D2912F2" w14:textId="77777777" w:rsidR="00496DFB" w:rsidRPr="00496DFB" w:rsidRDefault="00496DFB" w:rsidP="00496DFB">
      <w:pPr>
        <w:pStyle w:val="ListParagraph"/>
        <w:numPr>
          <w:ilvl w:val="0"/>
          <w:numId w:val="31"/>
        </w:numPr>
        <w:spacing w:after="0" w:line="240" w:lineRule="auto"/>
        <w:rPr>
          <w:rFonts w:cstheme="minorHAnsi"/>
          <w:color w:val="0070C0"/>
        </w:rPr>
      </w:pPr>
      <w:r w:rsidRPr="00496DFB">
        <w:rPr>
          <w:rFonts w:cstheme="minorHAnsi"/>
          <w:color w:val="0070C0"/>
        </w:rPr>
        <w:t>Bone mineral test</w:t>
      </w:r>
    </w:p>
    <w:p w14:paraId="3BC8B34B" w14:textId="77777777" w:rsidR="00496DFB" w:rsidRPr="00496DFB" w:rsidRDefault="00496DFB" w:rsidP="00496DFB">
      <w:pPr>
        <w:pStyle w:val="ListParagraph"/>
        <w:numPr>
          <w:ilvl w:val="0"/>
          <w:numId w:val="31"/>
        </w:numPr>
        <w:spacing w:after="0" w:line="240" w:lineRule="auto"/>
        <w:rPr>
          <w:rFonts w:cstheme="minorHAnsi"/>
          <w:color w:val="0070C0"/>
        </w:rPr>
      </w:pPr>
      <w:r w:rsidRPr="00496DFB">
        <w:rPr>
          <w:rFonts w:cstheme="minorHAnsi"/>
          <w:color w:val="0070C0"/>
        </w:rPr>
        <w:t>Bone ultrasound</w:t>
      </w:r>
    </w:p>
    <w:p w14:paraId="1D9314DF" w14:textId="77777777" w:rsidR="00496DFB" w:rsidRPr="00496DFB" w:rsidRDefault="00496DFB" w:rsidP="00496DFB">
      <w:pPr>
        <w:pStyle w:val="ListParagraph"/>
        <w:numPr>
          <w:ilvl w:val="0"/>
          <w:numId w:val="31"/>
        </w:numPr>
        <w:spacing w:after="0" w:line="240" w:lineRule="auto"/>
        <w:rPr>
          <w:rFonts w:cstheme="minorHAnsi"/>
          <w:color w:val="0070C0"/>
        </w:rPr>
      </w:pPr>
      <w:r w:rsidRPr="00496DFB">
        <w:rPr>
          <w:rFonts w:cstheme="minorHAnsi"/>
          <w:color w:val="0070C0"/>
        </w:rPr>
        <w:t>BMD test</w:t>
      </w:r>
    </w:p>
    <w:p w14:paraId="2E947393" w14:textId="77777777" w:rsidR="00496DFB" w:rsidRPr="00496DFB" w:rsidRDefault="00496DFB" w:rsidP="00496DFB">
      <w:pPr>
        <w:autoSpaceDE w:val="0"/>
        <w:autoSpaceDN w:val="0"/>
        <w:adjustRightInd w:val="0"/>
        <w:spacing w:after="0" w:line="240" w:lineRule="auto"/>
        <w:rPr>
          <w:rFonts w:cs="Times New Roman"/>
          <w:color w:val="0070C0"/>
          <w:u w:val="single"/>
        </w:rPr>
      </w:pPr>
    </w:p>
    <w:p w14:paraId="10B261C2" w14:textId="77777777" w:rsidR="00D92464" w:rsidRPr="00247818" w:rsidRDefault="00D92464" w:rsidP="00D92464">
      <w:pPr>
        <w:autoSpaceDE w:val="0"/>
        <w:autoSpaceDN w:val="0"/>
        <w:adjustRightInd w:val="0"/>
        <w:spacing w:after="0" w:line="240" w:lineRule="auto"/>
        <w:rPr>
          <w:rFonts w:cs="Times New Roman"/>
          <w:b/>
          <w:color w:val="FF0000"/>
          <w:u w:val="single"/>
        </w:rPr>
      </w:pPr>
      <w:r>
        <w:rPr>
          <w:rFonts w:cs="Times New Roman"/>
          <w:b/>
          <w:color w:val="FF0000"/>
          <w:u w:val="single"/>
        </w:rPr>
        <w:t>2018</w:t>
      </w:r>
      <w:r w:rsidRPr="00247818">
        <w:rPr>
          <w:rFonts w:cs="Times New Roman"/>
          <w:b/>
          <w:color w:val="FF0000"/>
          <w:u w:val="single"/>
        </w:rPr>
        <w:t xml:space="preserve"> </w:t>
      </w:r>
      <w:r>
        <w:rPr>
          <w:rFonts w:cs="Times New Roman"/>
          <w:b/>
          <w:color w:val="FF0000"/>
          <w:u w:val="single"/>
        </w:rPr>
        <w:t>Submission</w:t>
      </w:r>
      <w:r w:rsidRPr="00247818">
        <w:rPr>
          <w:rFonts w:cs="Times New Roman"/>
          <w:b/>
          <w:color w:val="FF0000"/>
          <w:u w:val="single"/>
        </w:rPr>
        <w:t>:</w:t>
      </w:r>
    </w:p>
    <w:p w14:paraId="46EF29FB" w14:textId="265D067A" w:rsidR="009D491F" w:rsidRPr="00013ECE" w:rsidRDefault="00D92464" w:rsidP="00D92464">
      <w:pPr>
        <w:autoSpaceDE w:val="0"/>
        <w:autoSpaceDN w:val="0"/>
        <w:adjustRightInd w:val="0"/>
        <w:spacing w:after="0" w:line="240" w:lineRule="auto"/>
        <w:rPr>
          <w:rFonts w:eastAsiaTheme="minorHAnsi"/>
          <w:color w:val="FF0000"/>
          <w:szCs w:val="20"/>
        </w:rPr>
      </w:pPr>
      <w:r w:rsidRPr="00EB2B93">
        <w:rPr>
          <w:rFonts w:eastAsiaTheme="minorHAnsi"/>
          <w:b/>
          <w:color w:val="FF0000"/>
          <w:szCs w:val="20"/>
        </w:rPr>
        <w:t xml:space="preserve">Method of assessing face validity: </w:t>
      </w:r>
      <w:r w:rsidR="009D491F" w:rsidRPr="00013ECE">
        <w:rPr>
          <w:rFonts w:eastAsiaTheme="minorHAnsi"/>
          <w:color w:val="FF0000"/>
          <w:szCs w:val="20"/>
        </w:rPr>
        <w:t>We describe below NCQA’s process for both measure development, and maintenance, which includes substantial feedback from 10 standing expert panels and 16 standing Measurement Advisory Panels, review and voting by our Committee on Performance Measurement and NCQA’s Board of Directors. In addition, all new measures and measures undergoing significant revision are included in our annual HEDIS 30-day public comment period, wh</w:t>
      </w:r>
      <w:r w:rsidR="009D491F">
        <w:rPr>
          <w:rFonts w:eastAsiaTheme="minorHAnsi"/>
          <w:color w:val="FF0000"/>
          <w:szCs w:val="20"/>
        </w:rPr>
        <w:t>ich on average receives over 800</w:t>
      </w:r>
      <w:r w:rsidR="009D491F" w:rsidRPr="00013ECE">
        <w:rPr>
          <w:rFonts w:eastAsiaTheme="minorHAnsi"/>
          <w:color w:val="FF0000"/>
          <w:szCs w:val="20"/>
        </w:rPr>
        <w:t xml:space="preserve"> distinct comments from the field including organizations that are measured by NCQA, providers, patients, policy makers and advocates. NCQA refines our measures continuously through feedback received from our Policy Clarification (PCS) Web Portal, which on average receives and responds to over </w:t>
      </w:r>
      <w:r w:rsidR="009D491F">
        <w:rPr>
          <w:rFonts w:eastAsiaTheme="minorHAnsi"/>
          <w:color w:val="FF0000"/>
          <w:szCs w:val="20"/>
        </w:rPr>
        <w:t>3</w:t>
      </w:r>
      <w:r w:rsidR="009D491F" w:rsidRPr="00013ECE">
        <w:rPr>
          <w:rFonts w:eastAsiaTheme="minorHAnsi"/>
          <w:color w:val="FF0000"/>
          <w:szCs w:val="20"/>
        </w:rPr>
        <w:t>,000 inquiries each year.  All HEDIS measures are audited by certified firms according to standards, policies and procedures outlined in HEDIS Volume 7. Combined, these processes which NCQA has used for over 25 years assures that measures we use are valid.</w:t>
      </w:r>
    </w:p>
    <w:p w14:paraId="664F6160" w14:textId="77777777" w:rsidR="009D491F" w:rsidRDefault="009D491F" w:rsidP="00496DFB">
      <w:pPr>
        <w:autoSpaceDE w:val="0"/>
        <w:autoSpaceDN w:val="0"/>
        <w:adjustRightInd w:val="0"/>
        <w:spacing w:after="0" w:line="240" w:lineRule="auto"/>
        <w:rPr>
          <w:rFonts w:cs="Times New Roman"/>
          <w:color w:val="0070C0"/>
        </w:rPr>
      </w:pPr>
    </w:p>
    <w:p w14:paraId="10228999" w14:textId="66690771" w:rsidR="00496DFB" w:rsidRPr="00496DFB" w:rsidRDefault="00496DFB" w:rsidP="00496DFB">
      <w:pPr>
        <w:autoSpaceDE w:val="0"/>
        <w:autoSpaceDN w:val="0"/>
        <w:adjustRightInd w:val="0"/>
        <w:spacing w:after="0" w:line="240" w:lineRule="auto"/>
        <w:rPr>
          <w:rFonts w:cs="Times New Roman"/>
          <w:color w:val="0070C0"/>
        </w:rPr>
      </w:pPr>
      <w:r w:rsidRPr="00496DFB">
        <w:rPr>
          <w:rFonts w:cs="Times New Roman"/>
          <w:color w:val="0070C0"/>
        </w:rPr>
        <w:t xml:space="preserve">NCQA has identified and refined measure management into a standardized process called the HEDIS measure life cycle. </w:t>
      </w:r>
    </w:p>
    <w:p w14:paraId="18057918" w14:textId="77777777" w:rsidR="00496DFB" w:rsidRPr="00496DFB" w:rsidRDefault="00496DFB" w:rsidP="00496DFB">
      <w:pPr>
        <w:autoSpaceDE w:val="0"/>
        <w:autoSpaceDN w:val="0"/>
        <w:adjustRightInd w:val="0"/>
        <w:spacing w:before="120" w:after="0" w:line="240" w:lineRule="auto"/>
        <w:rPr>
          <w:rFonts w:cs="Times New Roman"/>
          <w:color w:val="0070C0"/>
        </w:rPr>
      </w:pPr>
      <w:r w:rsidRPr="00496DFB">
        <w:rPr>
          <w:rFonts w:cs="Times New Roman"/>
          <w:color w:val="0070C0"/>
        </w:rPr>
        <w:t xml:space="preserve">STEP 1: NCQA staff identifies areas of interest or gaps in care. Measurement Advisory Panels (MAPs) participate in this process. Once topics are identified, a literature review is conducted to find supporting documentation on their importance, scientific soundness and feasibility. This information is gathered into a work-up format. Refer to What Makes a Measure “Desirable”? The work-up is vetted by NCQA’s MAPs, the Technical Measurement Advisory Panel (TMAP) and the Committee on Performance Measurement (CPM) as well as other panels as necessary. </w:t>
      </w:r>
    </w:p>
    <w:p w14:paraId="25033E46" w14:textId="77777777" w:rsidR="00496DFB" w:rsidRPr="00496DFB" w:rsidRDefault="00496DFB" w:rsidP="00496DFB">
      <w:pPr>
        <w:autoSpaceDE w:val="0"/>
        <w:autoSpaceDN w:val="0"/>
        <w:adjustRightInd w:val="0"/>
        <w:spacing w:before="120" w:after="0" w:line="240" w:lineRule="auto"/>
        <w:rPr>
          <w:rFonts w:cs="Times New Roman"/>
          <w:color w:val="0070C0"/>
        </w:rPr>
      </w:pPr>
      <w:r w:rsidRPr="00496DFB">
        <w:rPr>
          <w:rFonts w:cs="Times New Roman"/>
          <w:color w:val="0070C0"/>
        </w:rPr>
        <w:t>STEP 2: Development ensures that measures are fully defined and tested before the organization collects them. MAPs participate in this process by helping identify the best measures for assessing health care performance in clinical areas identified in the topic selection phase. Development includes the following tasks: (1) Prepare a detailed conceptual and operational work-up that includes a testing proposal and (2) Collaborate with health plans to conduct field-tests that assess the feasibility and validity of potential measures. The CPM uses testing results and proposed final specifications to determine if the measure will move forward to Public Comment.</w:t>
      </w:r>
    </w:p>
    <w:p w14:paraId="0878D1E2" w14:textId="77777777" w:rsidR="00496DFB" w:rsidRPr="00496DFB" w:rsidRDefault="00496DFB" w:rsidP="00496DFB">
      <w:pPr>
        <w:autoSpaceDE w:val="0"/>
        <w:autoSpaceDN w:val="0"/>
        <w:adjustRightInd w:val="0"/>
        <w:spacing w:before="120" w:after="0" w:line="240" w:lineRule="auto"/>
        <w:rPr>
          <w:rFonts w:cs="Times New Roman"/>
          <w:color w:val="0070C0"/>
        </w:rPr>
      </w:pPr>
      <w:r w:rsidRPr="00496DFB">
        <w:rPr>
          <w:rFonts w:cs="Times New Roman"/>
          <w:color w:val="0070C0"/>
        </w:rPr>
        <w:t xml:space="preserve">STEP 3: Public Comment is a 30-day period of review that allows interested parties to offer feedback to NCQA and the CPM about new measures or about changes to existing measures. </w:t>
      </w:r>
      <w:r w:rsidRPr="00496DFB">
        <w:rPr>
          <w:rFonts w:cs="Times New Roman"/>
          <w:color w:val="0070C0"/>
        </w:rPr>
        <w:br/>
        <w:t xml:space="preserve">NCQA MAPs and technical panels consider all comments and advise NCQA staff on appropriate recommendations brought to the CPM. The CPM reviews all comments before making a final decision about Public Comment measures. New measures and changes to existing measures approved by the CPM will be included in the next HEDIS year and reported as first-year measures. </w:t>
      </w:r>
    </w:p>
    <w:p w14:paraId="1E188566" w14:textId="77777777" w:rsidR="00496DFB" w:rsidRPr="00496DFB" w:rsidRDefault="00496DFB" w:rsidP="00496DFB">
      <w:pPr>
        <w:autoSpaceDE w:val="0"/>
        <w:autoSpaceDN w:val="0"/>
        <w:adjustRightInd w:val="0"/>
        <w:spacing w:before="120" w:after="0" w:line="240" w:lineRule="auto"/>
        <w:rPr>
          <w:rFonts w:cs="Times New Roman"/>
          <w:color w:val="0070C0"/>
        </w:rPr>
      </w:pPr>
      <w:r w:rsidRPr="00496DFB">
        <w:rPr>
          <w:rFonts w:cs="Times New Roman"/>
          <w:color w:val="0070C0"/>
        </w:rPr>
        <w:t>STEP 4: First-year data collection requires organizations to collect, be audited on and report these measures, but results are not publicly reported in the first year and are not included in NCQA’s State of Health Care Quality, Quality Compass or in accreditation scoring.  The first-year distinction guarantees that a measure can be effectively collected, reported and audited before it is used for public accountability or accreditation. This is not testing—the measure was already tested as part of its development—rather, it ensures that there are no unforeseen problems when the measure is implemented in the real world. NCQA’s experience is that the first year of large-scale data collection often reveals unanticipated issues. After collection, reporting and auditing on a one-year introductory basis, NCQA conducts a detailed evaluation of first-year data. The CPM uses evaluation results to decide whether the measure should become publicly reportable or whether it needs further modifications.</w:t>
      </w:r>
    </w:p>
    <w:p w14:paraId="2DC259AC" w14:textId="32E96A4A" w:rsidR="00496DFB" w:rsidRPr="00496DFB" w:rsidRDefault="00496DFB" w:rsidP="00496DFB">
      <w:pPr>
        <w:autoSpaceDE w:val="0"/>
        <w:autoSpaceDN w:val="0"/>
        <w:adjustRightInd w:val="0"/>
        <w:spacing w:before="120" w:after="0" w:line="240" w:lineRule="auto"/>
        <w:rPr>
          <w:rFonts w:cs="Times New Roman"/>
          <w:color w:val="0070C0"/>
        </w:rPr>
      </w:pPr>
      <w:r w:rsidRPr="00496DFB">
        <w:rPr>
          <w:rFonts w:cs="Times New Roman"/>
          <w:color w:val="0070C0"/>
        </w:rPr>
        <w:t xml:space="preserve">STEP 5: Public reporting is based on the first-year measure evaluation results. If the measure is approved, it will be </w:t>
      </w:r>
      <w:r w:rsidR="00592DA2" w:rsidRPr="00496DFB">
        <w:rPr>
          <w:rFonts w:cs="Times New Roman"/>
          <w:color w:val="0070C0"/>
        </w:rPr>
        <w:t>publicly</w:t>
      </w:r>
      <w:r w:rsidRPr="00496DFB">
        <w:rPr>
          <w:rFonts w:cs="Times New Roman"/>
          <w:color w:val="0070C0"/>
        </w:rPr>
        <w:t xml:space="preserve"> reported and may be used for scoring in accreditation. </w:t>
      </w:r>
    </w:p>
    <w:p w14:paraId="13F6D721" w14:textId="77777777" w:rsidR="00496DFB" w:rsidRPr="00496DFB" w:rsidRDefault="00496DFB" w:rsidP="00496DFB">
      <w:pPr>
        <w:autoSpaceDE w:val="0"/>
        <w:autoSpaceDN w:val="0"/>
        <w:adjustRightInd w:val="0"/>
        <w:spacing w:after="0" w:line="240" w:lineRule="auto"/>
        <w:rPr>
          <w:rFonts w:cs="Times New Roman"/>
          <w:color w:val="0070C0"/>
        </w:rPr>
      </w:pPr>
    </w:p>
    <w:p w14:paraId="7FA7D6F0" w14:textId="77777777" w:rsidR="00496DFB" w:rsidRPr="00496DFB" w:rsidRDefault="00496DFB" w:rsidP="00496DFB">
      <w:pPr>
        <w:autoSpaceDE w:val="0"/>
        <w:autoSpaceDN w:val="0"/>
        <w:adjustRightInd w:val="0"/>
        <w:spacing w:after="0" w:line="240" w:lineRule="auto"/>
        <w:rPr>
          <w:rFonts w:cs="Times New Roman"/>
          <w:color w:val="0070C0"/>
        </w:rPr>
      </w:pPr>
      <w:r w:rsidRPr="00496DFB">
        <w:rPr>
          <w:rFonts w:cs="Times New Roman"/>
          <w:color w:val="0070C0"/>
        </w:rPr>
        <w:t xml:space="preserve">STEP 6: Evaluation is the ongoing review of a measure’s performance and recommendations for its modification or retirement. Every measure is reviewed for reevaluation at least every three years. NCQA staff continually monitors the performance of publicly reported measures. Statistical analysis, audit result review and user comments through NCQA’s Policy Clarification Support portal contribute to measure refinement during re-evaluation. Information derived from analyzing the performance of existing measures is used to improve development of the next generation of measures. </w:t>
      </w:r>
    </w:p>
    <w:p w14:paraId="64EDC01A" w14:textId="77777777" w:rsidR="00496DFB" w:rsidRPr="00496DFB" w:rsidRDefault="00496DFB" w:rsidP="00496DFB">
      <w:pPr>
        <w:spacing w:before="120" w:after="0" w:line="240" w:lineRule="auto"/>
        <w:rPr>
          <w:rFonts w:cs="Times New Roman"/>
          <w:color w:val="0070C0"/>
        </w:rPr>
      </w:pPr>
      <w:r w:rsidRPr="00496DFB">
        <w:rPr>
          <w:rFonts w:cs="Times New Roman"/>
          <w:color w:val="0070C0"/>
        </w:rPr>
        <w:t>Each year, NCQA prioritizes measures for re-evaluation and selected measures are researched for changes in clinical guidelines or in the health care delivery systems, and the results from previous years are analyzed. Measure work-ups are updated with new information gathered from the literature review, and the appropriate MAPs review the work-ups and the previous year’s data. If necessary, the measure specification may be updated or the measure may be recommended for retirement. The CPM reviews recommendations from the evaluation process and approves or rejects the recommendation. If approved, the change is included in the next year’s HEDIS Volume 2.</w:t>
      </w:r>
    </w:p>
    <w:p w14:paraId="0FEF9CA9" w14:textId="77777777" w:rsidR="00496DFB" w:rsidRPr="00496DFB" w:rsidRDefault="00496DFB" w:rsidP="00496DFB">
      <w:pPr>
        <w:spacing w:after="0" w:line="240" w:lineRule="auto"/>
        <w:rPr>
          <w:rFonts w:cstheme="minorHAnsi"/>
          <w:color w:val="0070C0"/>
          <w:u w:val="single"/>
        </w:rPr>
      </w:pPr>
    </w:p>
    <w:p w14:paraId="7659B27E" w14:textId="77777777" w:rsidR="00496DFB" w:rsidRPr="00496DFB" w:rsidRDefault="00496DFB" w:rsidP="00496DFB">
      <w:pPr>
        <w:pStyle w:val="Style5"/>
        <w:rPr>
          <w:rFonts w:asciiTheme="minorHAnsi" w:eastAsia="Times New Roman" w:hAnsiTheme="minorHAnsi"/>
          <w:i w:val="0"/>
          <w:color w:val="0070C0"/>
          <w:sz w:val="22"/>
          <w:szCs w:val="22"/>
        </w:rPr>
      </w:pPr>
      <w:r w:rsidRPr="00592DA2">
        <w:rPr>
          <w:rFonts w:asciiTheme="minorHAnsi" w:hAnsiTheme="minorHAnsi"/>
          <w:b/>
          <w:bCs/>
          <w:i w:val="0"/>
          <w:color w:val="0070C0"/>
          <w:sz w:val="22"/>
          <w:szCs w:val="22"/>
        </w:rPr>
        <w:t>Method of Testing Empirical Validity</w:t>
      </w:r>
      <w:r w:rsidRPr="00496DFB">
        <w:rPr>
          <w:rFonts w:asciiTheme="minorHAnsi" w:hAnsiTheme="minorHAnsi"/>
          <w:bCs/>
          <w:i w:val="0"/>
          <w:color w:val="0070C0"/>
          <w:sz w:val="22"/>
          <w:szCs w:val="22"/>
        </w:rPr>
        <w:t>:</w:t>
      </w:r>
      <w:r w:rsidRPr="00496DFB">
        <w:rPr>
          <w:rFonts w:asciiTheme="minorHAnsi" w:hAnsiTheme="minorHAnsi"/>
          <w:bCs/>
          <w:color w:val="0070C0"/>
          <w:sz w:val="22"/>
          <w:szCs w:val="22"/>
        </w:rPr>
        <w:t xml:space="preserve"> </w:t>
      </w:r>
      <w:r w:rsidRPr="00496DFB">
        <w:rPr>
          <w:rFonts w:asciiTheme="minorHAnsi" w:eastAsia="Times New Roman" w:hAnsiTheme="minorHAnsi"/>
          <w:i w:val="0"/>
          <w:color w:val="0070C0"/>
          <w:sz w:val="22"/>
          <w:szCs w:val="22"/>
        </w:rPr>
        <w:t xml:space="preserve">We tested for construct validity by exploring whether performance for this measure was correlated with a similar measure, Osteoporosis Management in Women Who Had a Fracture.  This measure assesses the percentage of women who experienced a fracture and received either bone mineral density test or a prescription for an osteoporosis treatment.  The intent of the Osteoporosis management measure is to assess a health plan’s performance at secondary prevention of osteoporosis related fracture.  We specifically hypothesized that these two measures would be positively correlated (i.e. plans that have high rates of performance for management of osteoporosis will also have high rates of performance for screening of osteoporosis.) To test this correlation we used a Pearson correlation test. </w:t>
      </w:r>
      <w:r w:rsidRPr="00496DFB">
        <w:rPr>
          <w:rFonts w:asciiTheme="minorHAnsi" w:hAnsiTheme="minorHAnsi"/>
          <w:i w:val="0"/>
          <w:color w:val="0070C0"/>
          <w:sz w:val="22"/>
          <w:szCs w:val="22"/>
        </w:rPr>
        <w:t xml:space="preserve">This test estimates the strength of the linear association between two continuous variables; the magnitude of correlation ranges from -1 and +1. A value of 1 indicates a perfect linear dependence in which increasing values on one variable is associated with increasing values of the second variable. A value of 0 indicates no linear association. A value of -1 indicates a perfect linear relationship in which increasing values of the first variable is associated with decreasing values of the second variable. </w:t>
      </w:r>
    </w:p>
    <w:p w14:paraId="0CABCFDD" w14:textId="77777777" w:rsidR="00833325" w:rsidRPr="00A25024" w:rsidRDefault="00833325" w:rsidP="00DB3627">
      <w:pPr>
        <w:autoSpaceDE w:val="0"/>
        <w:autoSpaceDN w:val="0"/>
        <w:adjustRightInd w:val="0"/>
        <w:spacing w:after="0" w:line="240" w:lineRule="auto"/>
        <w:rPr>
          <w:rFonts w:cstheme="minorHAnsi"/>
          <w:bCs/>
        </w:rPr>
      </w:pPr>
    </w:p>
    <w:p w14:paraId="000978CB" w14:textId="75A0BDCA" w:rsidR="00006C1C" w:rsidRDefault="009C7513" w:rsidP="004F2758">
      <w:pPr>
        <w:spacing w:after="0" w:line="240" w:lineRule="auto"/>
        <w:rPr>
          <w:rFonts w:cs="Times New Roman"/>
          <w:b/>
          <w:bCs/>
          <w:color w:val="0070C0"/>
          <w:u w:val="single"/>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006C1C">
        <w:rPr>
          <w:rFonts w:cs="Times New Roman"/>
          <w:b/>
          <w:bCs/>
          <w:color w:val="0070C0"/>
          <w:u w:val="single"/>
        </w:rPr>
        <w:t>2014 submission:</w:t>
      </w:r>
    </w:p>
    <w:p w14:paraId="2327A077" w14:textId="339D3103" w:rsidR="00006C1C" w:rsidRPr="00006C1C" w:rsidRDefault="00006C1C" w:rsidP="00006C1C">
      <w:pPr>
        <w:spacing w:after="0" w:line="240" w:lineRule="auto"/>
        <w:rPr>
          <w:rFonts w:cstheme="minorHAnsi"/>
          <w:color w:val="0070C0"/>
        </w:rPr>
      </w:pPr>
      <w:r w:rsidRPr="00592DA2">
        <w:rPr>
          <w:rFonts w:cstheme="minorHAnsi"/>
          <w:b/>
          <w:color w:val="0070C0"/>
        </w:rPr>
        <w:t>Results of Critical Data Element Validity Testing:</w:t>
      </w:r>
      <w:r w:rsidRPr="00006C1C">
        <w:rPr>
          <w:rFonts w:cstheme="minorHAnsi"/>
          <w:i/>
          <w:color w:val="0070C0"/>
        </w:rPr>
        <w:t xml:space="preserve"> </w:t>
      </w:r>
      <w:r w:rsidRPr="00006C1C">
        <w:rPr>
          <w:rFonts w:cstheme="minorHAnsi"/>
          <w:color w:val="0070C0"/>
        </w:rPr>
        <w:t>Most women had heard the term “osteoporosis” before testing and were usually able to accurately describe it. Several descriptors were tested including “brittle bones,” “bone loss,” and weakening of the bones.” Although not unanimous, most women picked “brittle bones” as their top choice of a descriptor, but even those who did not pick this term as a top choice were still familiar with it and thought it was an accurate way to describe osteoporosis. We tested a long list of terms used to describe the osteoporosis test. Most of the terms were technical and not known by respondents (e.g., DXA-scan, densitometry). The term “bone density test” was the term most familiar to respondents. The effectiveness of adding a description of the test was also examined (“This test may have been done to your back or hip”). All of the respondents found this addition to be helpful.</w:t>
      </w:r>
    </w:p>
    <w:p w14:paraId="4243C28F" w14:textId="77777777" w:rsidR="00006C1C" w:rsidRPr="00006C1C" w:rsidRDefault="00006C1C" w:rsidP="00006C1C">
      <w:pPr>
        <w:spacing w:after="0" w:line="240" w:lineRule="auto"/>
        <w:rPr>
          <w:rFonts w:cstheme="minorHAnsi"/>
          <w:color w:val="0070C0"/>
        </w:rPr>
      </w:pPr>
    </w:p>
    <w:p w14:paraId="3C8BACCF" w14:textId="72747D81" w:rsidR="00006C1C" w:rsidRPr="00592DA2" w:rsidRDefault="00006C1C" w:rsidP="00006C1C">
      <w:pPr>
        <w:spacing w:after="0" w:line="240" w:lineRule="auto"/>
        <w:rPr>
          <w:rFonts w:cstheme="minorHAnsi"/>
          <w:b/>
          <w:color w:val="0070C0"/>
        </w:rPr>
      </w:pPr>
      <w:r w:rsidRPr="00592DA2">
        <w:rPr>
          <w:rFonts w:cstheme="minorHAnsi"/>
          <w:b/>
          <w:color w:val="0070C0"/>
        </w:rPr>
        <w:t xml:space="preserve">Results of </w:t>
      </w:r>
      <w:r w:rsidR="00D92464">
        <w:rPr>
          <w:rFonts w:cstheme="minorHAnsi"/>
          <w:b/>
          <w:color w:val="0070C0"/>
        </w:rPr>
        <w:t>Face Validity Assessment</w:t>
      </w:r>
      <w:r w:rsidRPr="00592DA2">
        <w:rPr>
          <w:rFonts w:cstheme="minorHAnsi"/>
          <w:b/>
          <w:color w:val="0070C0"/>
        </w:rPr>
        <w:t xml:space="preserve">: </w:t>
      </w:r>
    </w:p>
    <w:p w14:paraId="55715844" w14:textId="77777777" w:rsidR="00006C1C" w:rsidRPr="00006C1C" w:rsidRDefault="00006C1C" w:rsidP="00006C1C">
      <w:pPr>
        <w:spacing w:after="0" w:line="240" w:lineRule="auto"/>
        <w:rPr>
          <w:rFonts w:cstheme="minorHAnsi"/>
          <w:color w:val="0070C0"/>
        </w:rPr>
      </w:pPr>
      <w:r w:rsidRPr="00006C1C">
        <w:rPr>
          <w:rFonts w:cstheme="minorHAnsi"/>
          <w:color w:val="0070C0"/>
        </w:rPr>
        <w:t xml:space="preserve">Step 1: </w:t>
      </w:r>
      <w:r w:rsidRPr="00006C1C">
        <w:rPr>
          <w:rFonts w:eastAsia="Times New Roman" w:cstheme="minorHAnsi"/>
          <w:color w:val="0070C0"/>
        </w:rPr>
        <w:t xml:space="preserve">This </w:t>
      </w:r>
      <w:r w:rsidRPr="00006C1C">
        <w:rPr>
          <w:rFonts w:cstheme="minorHAnsi"/>
          <w:color w:val="0070C0"/>
        </w:rPr>
        <w:t xml:space="preserve">measure was developed in 2002 to address under-diagnosis and treatment of osteoporosis in women who had fragility fractures. NCQA, along with the Osteoporosis Technical Subgroup and the </w:t>
      </w:r>
      <w:r w:rsidRPr="00006C1C">
        <w:rPr>
          <w:rFonts w:eastAsia="Times New Roman" w:cstheme="minorHAnsi"/>
          <w:color w:val="0070C0"/>
        </w:rPr>
        <w:t xml:space="preserve">Geriatric </w:t>
      </w:r>
      <w:r w:rsidRPr="00006C1C">
        <w:rPr>
          <w:rFonts w:cstheme="minorHAnsi"/>
          <w:color w:val="0070C0"/>
        </w:rPr>
        <w:t>Measurement Advisory Panel, worked together to assess the most appropriate screening and treatment for women who had a fragility fracture.</w:t>
      </w:r>
    </w:p>
    <w:p w14:paraId="78540516" w14:textId="77777777" w:rsidR="00006C1C" w:rsidRPr="00006C1C" w:rsidRDefault="00006C1C" w:rsidP="00006C1C">
      <w:pPr>
        <w:spacing w:before="120" w:after="0" w:line="240" w:lineRule="auto"/>
        <w:rPr>
          <w:rFonts w:cstheme="minorHAnsi"/>
          <w:color w:val="0070C0"/>
        </w:rPr>
      </w:pPr>
      <w:r w:rsidRPr="00006C1C">
        <w:rPr>
          <w:rFonts w:cstheme="minorHAnsi"/>
          <w:color w:val="0070C0"/>
        </w:rPr>
        <w:t>Step 2: The measure was written and field-tested in 2002. After reviewing field test results, the CPM recommended to send the measure to public comment with a majority vote in January 2003.</w:t>
      </w:r>
    </w:p>
    <w:p w14:paraId="4A541BC5" w14:textId="77777777" w:rsidR="00006C1C" w:rsidRPr="00006C1C" w:rsidRDefault="00006C1C" w:rsidP="00006C1C">
      <w:pPr>
        <w:spacing w:before="120" w:after="0" w:line="240" w:lineRule="auto"/>
        <w:rPr>
          <w:rFonts w:cstheme="minorHAnsi"/>
          <w:color w:val="0070C0"/>
        </w:rPr>
      </w:pPr>
      <w:r w:rsidRPr="00006C1C">
        <w:rPr>
          <w:rFonts w:cstheme="minorHAnsi"/>
          <w:color w:val="0070C0"/>
        </w:rPr>
        <w:t xml:space="preserve">Step 3: The measure was released for Public Comment in 2003 prior to publication in HEDIS. The CPM recommended moving this measure to first year data collection by a majority vote. </w:t>
      </w:r>
    </w:p>
    <w:p w14:paraId="17BA3B4C" w14:textId="77777777" w:rsidR="00006C1C" w:rsidRPr="00006C1C" w:rsidRDefault="00006C1C" w:rsidP="00006C1C">
      <w:pPr>
        <w:spacing w:before="120" w:after="0" w:line="240" w:lineRule="auto"/>
        <w:rPr>
          <w:rFonts w:cstheme="minorHAnsi"/>
          <w:color w:val="0070C0"/>
        </w:rPr>
      </w:pPr>
      <w:r w:rsidRPr="00006C1C">
        <w:rPr>
          <w:rFonts w:cstheme="minorHAnsi"/>
          <w:color w:val="0070C0"/>
        </w:rPr>
        <w:t>Step 4: The measure was introduced in HEDIS 2004. Organizations reported the measures in the first year and the results were analyzed for public reporting in the following year. The CPM recommended moving this measure to public reporting with a majority vote.</w:t>
      </w:r>
    </w:p>
    <w:p w14:paraId="5E818735" w14:textId="77777777" w:rsidR="00006C1C" w:rsidRPr="00006C1C" w:rsidRDefault="00006C1C" w:rsidP="00006C1C">
      <w:pPr>
        <w:spacing w:before="120" w:after="0" w:line="240" w:lineRule="auto"/>
        <w:rPr>
          <w:rFonts w:cstheme="minorHAnsi"/>
          <w:color w:val="0070C0"/>
        </w:rPr>
      </w:pPr>
      <w:r w:rsidRPr="00006C1C">
        <w:rPr>
          <w:rFonts w:cstheme="minorHAnsi"/>
          <w:color w:val="0070C0"/>
        </w:rPr>
        <w:t>Step 5: The measure was re-evaluated in 2013 and reviewed by the Osteoporosis Workgroup and the Geriatric Measurement Advisory Panel. The measure was presented to the CPM in January 2014 and proposed changes to the measure were posted for public comment February-March 2014. The CPM approved the proposed changes to the measure in May 2014 with a majority vote. These changes will go forward for use in HEDIS 2015.</w:t>
      </w:r>
    </w:p>
    <w:p w14:paraId="2A2CE9BA" w14:textId="77777777" w:rsidR="00006C1C" w:rsidRPr="00006C1C" w:rsidRDefault="00006C1C" w:rsidP="00006C1C">
      <w:pPr>
        <w:spacing w:before="120" w:after="0" w:line="240" w:lineRule="auto"/>
        <w:rPr>
          <w:rFonts w:cstheme="minorHAnsi"/>
          <w:color w:val="0070C0"/>
        </w:rPr>
      </w:pPr>
      <w:r w:rsidRPr="00006C1C">
        <w:rPr>
          <w:rFonts w:cstheme="minorHAnsi"/>
          <w:bCs/>
          <w:color w:val="0070C0"/>
        </w:rPr>
        <w:t xml:space="preserve">Conclusion: The measure was deemed to have the desirable attributes of a HEDIS measure (relevance, scientific soundness, and feasibility).  </w:t>
      </w:r>
    </w:p>
    <w:p w14:paraId="180F4683" w14:textId="77777777" w:rsidR="00006C1C" w:rsidRPr="00006C1C" w:rsidRDefault="00006C1C" w:rsidP="00006C1C">
      <w:pPr>
        <w:spacing w:after="0" w:line="240" w:lineRule="auto"/>
        <w:rPr>
          <w:rFonts w:cstheme="minorHAnsi"/>
          <w:color w:val="0070C0"/>
        </w:rPr>
      </w:pPr>
    </w:p>
    <w:p w14:paraId="1D10BD13" w14:textId="77777777" w:rsidR="00006C1C" w:rsidRPr="00006C1C" w:rsidRDefault="00006C1C" w:rsidP="00006C1C">
      <w:pPr>
        <w:spacing w:after="0" w:line="240" w:lineRule="auto"/>
        <w:rPr>
          <w:rFonts w:cstheme="minorHAnsi"/>
          <w:bCs/>
          <w:i/>
          <w:color w:val="0070C0"/>
        </w:rPr>
      </w:pPr>
      <w:r w:rsidRPr="00592DA2">
        <w:rPr>
          <w:rFonts w:cstheme="minorHAnsi"/>
          <w:b/>
          <w:bCs/>
          <w:color w:val="0070C0"/>
        </w:rPr>
        <w:t>Results of Construct Validity Testing</w:t>
      </w:r>
      <w:r w:rsidRPr="00592DA2">
        <w:rPr>
          <w:rFonts w:cstheme="minorHAnsi"/>
          <w:bCs/>
          <w:color w:val="0070C0"/>
        </w:rPr>
        <w:t>: The</w:t>
      </w:r>
      <w:r w:rsidRPr="00006C1C">
        <w:rPr>
          <w:rFonts w:cstheme="minorHAnsi"/>
          <w:bCs/>
          <w:color w:val="0070C0"/>
        </w:rPr>
        <w:t xml:space="preserve"> results in Table 1a indicated that the Osteoporosis Testing measure was significantly (p&lt;.05) correlated with the Osteoporosis Management measure (NQF #0053) in the direction that was hypothesized.</w:t>
      </w:r>
      <w:r w:rsidRPr="00006C1C">
        <w:rPr>
          <w:rFonts w:cstheme="minorHAnsi"/>
          <w:bCs/>
          <w:i/>
          <w:color w:val="0070C0"/>
        </w:rPr>
        <w:t xml:space="preserve"> </w:t>
      </w:r>
    </w:p>
    <w:p w14:paraId="26323F32" w14:textId="77777777" w:rsidR="00006C1C" w:rsidRPr="00006C1C" w:rsidRDefault="00006C1C" w:rsidP="00006C1C">
      <w:pPr>
        <w:spacing w:after="0" w:line="240" w:lineRule="auto"/>
        <w:rPr>
          <w:rFonts w:cstheme="minorHAnsi"/>
          <w:i/>
          <w:color w:val="0070C0"/>
        </w:rPr>
      </w:pPr>
    </w:p>
    <w:tbl>
      <w:tblPr>
        <w:tblW w:w="7920" w:type="dxa"/>
        <w:tblInd w:w="360" w:type="dxa"/>
        <w:tblLayout w:type="fixed"/>
        <w:tblLook w:val="04A0" w:firstRow="1" w:lastRow="0" w:firstColumn="1" w:lastColumn="0" w:noHBand="0" w:noVBand="1"/>
      </w:tblPr>
      <w:tblGrid>
        <w:gridCol w:w="3238"/>
        <w:gridCol w:w="4682"/>
      </w:tblGrid>
      <w:tr w:rsidR="00006C1C" w:rsidRPr="00006C1C" w14:paraId="0B1042B7" w14:textId="77777777" w:rsidTr="00006C1C">
        <w:trPr>
          <w:trHeight w:val="300"/>
        </w:trPr>
        <w:tc>
          <w:tcPr>
            <w:tcW w:w="7917" w:type="dxa"/>
            <w:gridSpan w:val="2"/>
            <w:noWrap/>
            <w:vAlign w:val="bottom"/>
            <w:hideMark/>
          </w:tcPr>
          <w:p w14:paraId="70AF2AF7" w14:textId="77777777" w:rsidR="00006C1C" w:rsidRPr="00006C1C" w:rsidRDefault="00006C1C">
            <w:pPr>
              <w:spacing w:after="0" w:line="240" w:lineRule="auto"/>
              <w:ind w:left="-111"/>
              <w:rPr>
                <w:rFonts w:eastAsia="Times New Roman" w:cs="Calibri"/>
                <w:b/>
                <w:bCs/>
                <w:color w:val="0070C0"/>
              </w:rPr>
            </w:pPr>
            <w:r w:rsidRPr="00006C1C">
              <w:rPr>
                <w:rFonts w:eastAsia="Times New Roman" w:cs="Calibri"/>
                <w:b/>
                <w:bCs/>
                <w:color w:val="0070C0"/>
              </w:rPr>
              <w:t>Table 3: Correlation between Osteoporosis Measures in Medicare Plans - 2012</w:t>
            </w:r>
          </w:p>
        </w:tc>
      </w:tr>
      <w:tr w:rsidR="00006C1C" w14:paraId="5BBA1F3A" w14:textId="77777777" w:rsidTr="00006C1C">
        <w:trPr>
          <w:trHeight w:val="430"/>
        </w:trPr>
        <w:tc>
          <w:tcPr>
            <w:tcW w:w="7917" w:type="dxa"/>
            <w:gridSpan w:val="2"/>
            <w:tcBorders>
              <w:top w:val="single" w:sz="8" w:space="0" w:color="auto"/>
              <w:left w:val="single" w:sz="8" w:space="0" w:color="auto"/>
              <w:bottom w:val="single" w:sz="4" w:space="0" w:color="auto"/>
              <w:right w:val="single" w:sz="4" w:space="0" w:color="auto"/>
            </w:tcBorders>
            <w:vAlign w:val="center"/>
            <w:hideMark/>
          </w:tcPr>
          <w:p w14:paraId="09DC1910" w14:textId="77777777" w:rsidR="00006C1C" w:rsidRPr="00592DA2" w:rsidRDefault="00006C1C">
            <w:pPr>
              <w:spacing w:after="0" w:line="240" w:lineRule="auto"/>
              <w:jc w:val="center"/>
              <w:rPr>
                <w:rFonts w:eastAsia="Times New Roman" w:cs="Calibri"/>
                <w:b/>
                <w:bCs/>
              </w:rPr>
            </w:pPr>
            <w:r w:rsidRPr="00592DA2">
              <w:rPr>
                <w:rFonts w:cstheme="minorHAnsi"/>
                <w:b/>
                <w:bCs/>
                <w:color w:val="0070C0"/>
              </w:rPr>
              <w:t>Pearson Correlation Coefficient</w:t>
            </w:r>
          </w:p>
        </w:tc>
      </w:tr>
      <w:tr w:rsidR="00006C1C" w14:paraId="1D0CFA4B" w14:textId="77777777" w:rsidTr="00006C1C">
        <w:trPr>
          <w:trHeight w:val="620"/>
        </w:trPr>
        <w:tc>
          <w:tcPr>
            <w:tcW w:w="3237" w:type="dxa"/>
            <w:tcBorders>
              <w:top w:val="single" w:sz="4" w:space="0" w:color="auto"/>
              <w:left w:val="single" w:sz="4" w:space="0" w:color="auto"/>
              <w:bottom w:val="single" w:sz="4" w:space="0" w:color="auto"/>
              <w:right w:val="single" w:sz="4" w:space="0" w:color="auto"/>
            </w:tcBorders>
            <w:vAlign w:val="center"/>
          </w:tcPr>
          <w:p w14:paraId="0E4CD88D" w14:textId="77777777" w:rsidR="00006C1C" w:rsidRPr="00592DA2" w:rsidRDefault="00006C1C">
            <w:pPr>
              <w:spacing w:after="0" w:line="240" w:lineRule="auto"/>
              <w:jc w:val="center"/>
              <w:rPr>
                <w:rFonts w:cstheme="minorHAnsi"/>
                <w:bCs/>
                <w:color w:val="0070C0"/>
              </w:rPr>
            </w:pPr>
          </w:p>
        </w:tc>
        <w:tc>
          <w:tcPr>
            <w:tcW w:w="4680" w:type="dxa"/>
            <w:tcBorders>
              <w:top w:val="single" w:sz="4" w:space="0" w:color="auto"/>
              <w:left w:val="single" w:sz="4" w:space="0" w:color="auto"/>
              <w:bottom w:val="single" w:sz="4" w:space="0" w:color="auto"/>
              <w:right w:val="single" w:sz="4" w:space="0" w:color="auto"/>
            </w:tcBorders>
            <w:vAlign w:val="center"/>
            <w:hideMark/>
          </w:tcPr>
          <w:p w14:paraId="351C62F4" w14:textId="77777777" w:rsidR="00006C1C" w:rsidRPr="00592DA2" w:rsidRDefault="00006C1C">
            <w:pPr>
              <w:spacing w:after="0" w:line="240" w:lineRule="auto"/>
              <w:jc w:val="center"/>
              <w:rPr>
                <w:rFonts w:cstheme="minorHAnsi"/>
                <w:bCs/>
                <w:color w:val="0070C0"/>
              </w:rPr>
            </w:pPr>
            <w:r w:rsidRPr="00592DA2">
              <w:rPr>
                <w:rFonts w:cstheme="minorHAnsi"/>
                <w:bCs/>
                <w:color w:val="0070C0"/>
              </w:rPr>
              <w:t>Osteoporosis Testing in Older Women</w:t>
            </w:r>
          </w:p>
        </w:tc>
      </w:tr>
      <w:tr w:rsidR="00006C1C" w14:paraId="21F9E39A" w14:textId="77777777" w:rsidTr="00006C1C">
        <w:trPr>
          <w:trHeight w:val="288"/>
        </w:trPr>
        <w:tc>
          <w:tcPr>
            <w:tcW w:w="3237" w:type="dxa"/>
            <w:tcBorders>
              <w:top w:val="single" w:sz="4" w:space="0" w:color="auto"/>
              <w:left w:val="single" w:sz="4" w:space="0" w:color="auto"/>
              <w:bottom w:val="single" w:sz="4" w:space="0" w:color="auto"/>
              <w:right w:val="single" w:sz="4" w:space="0" w:color="auto"/>
            </w:tcBorders>
            <w:noWrap/>
            <w:vAlign w:val="center"/>
            <w:hideMark/>
          </w:tcPr>
          <w:p w14:paraId="15EAC5F2" w14:textId="77777777" w:rsidR="00006C1C" w:rsidRPr="00592DA2" w:rsidRDefault="00006C1C">
            <w:pPr>
              <w:spacing w:after="0" w:line="240" w:lineRule="auto"/>
              <w:rPr>
                <w:rFonts w:cstheme="minorHAnsi"/>
                <w:bCs/>
                <w:color w:val="0070C0"/>
              </w:rPr>
            </w:pPr>
            <w:r w:rsidRPr="00592DA2">
              <w:rPr>
                <w:rFonts w:cstheme="minorHAnsi"/>
                <w:bCs/>
                <w:color w:val="0070C0"/>
              </w:rPr>
              <w:t>Osteoporosis Management in Women who have had a Fracture</w:t>
            </w:r>
          </w:p>
        </w:tc>
        <w:tc>
          <w:tcPr>
            <w:tcW w:w="4680" w:type="dxa"/>
            <w:tcBorders>
              <w:top w:val="single" w:sz="4" w:space="0" w:color="auto"/>
              <w:left w:val="nil"/>
              <w:bottom w:val="single" w:sz="4" w:space="0" w:color="auto"/>
              <w:right w:val="single" w:sz="4" w:space="0" w:color="auto"/>
            </w:tcBorders>
            <w:noWrap/>
            <w:vAlign w:val="bottom"/>
          </w:tcPr>
          <w:p w14:paraId="6AB89F51" w14:textId="77777777" w:rsidR="00006C1C" w:rsidRPr="00592DA2" w:rsidRDefault="00006C1C">
            <w:pPr>
              <w:spacing w:after="0" w:line="240" w:lineRule="auto"/>
              <w:jc w:val="center"/>
              <w:rPr>
                <w:rFonts w:cstheme="minorHAnsi"/>
                <w:bCs/>
                <w:color w:val="0070C0"/>
              </w:rPr>
            </w:pPr>
          </w:p>
          <w:p w14:paraId="47C4CE6D" w14:textId="77777777" w:rsidR="00006C1C" w:rsidRPr="00592DA2" w:rsidRDefault="00006C1C">
            <w:pPr>
              <w:jc w:val="center"/>
              <w:rPr>
                <w:rFonts w:cstheme="minorHAnsi"/>
                <w:bCs/>
                <w:color w:val="0070C0"/>
              </w:rPr>
            </w:pPr>
            <w:r w:rsidRPr="00592DA2">
              <w:rPr>
                <w:rFonts w:cstheme="minorHAnsi"/>
                <w:bCs/>
                <w:color w:val="0070C0"/>
              </w:rPr>
              <w:t>R=0.27305 ( R Statistic)</w:t>
            </w:r>
          </w:p>
          <w:p w14:paraId="643009EE" w14:textId="77777777" w:rsidR="00006C1C" w:rsidRPr="00592DA2" w:rsidRDefault="00006C1C">
            <w:pPr>
              <w:jc w:val="center"/>
              <w:rPr>
                <w:rFonts w:cstheme="minorHAnsi"/>
                <w:bCs/>
                <w:color w:val="0070C0"/>
              </w:rPr>
            </w:pPr>
            <w:r w:rsidRPr="00592DA2">
              <w:rPr>
                <w:rFonts w:cstheme="minorHAnsi"/>
                <w:bCs/>
                <w:color w:val="0070C0"/>
              </w:rPr>
              <w:t>p&lt;.0001 (significance)</w:t>
            </w:r>
          </w:p>
        </w:tc>
      </w:tr>
    </w:tbl>
    <w:p w14:paraId="0CABCFDE" w14:textId="6F9D7309" w:rsidR="007422FD" w:rsidRPr="00092566" w:rsidRDefault="007422FD" w:rsidP="00092566">
      <w:pPr>
        <w:autoSpaceDE w:val="0"/>
        <w:autoSpaceDN w:val="0"/>
        <w:adjustRightInd w:val="0"/>
        <w:spacing w:after="0" w:line="240" w:lineRule="auto"/>
        <w:rPr>
          <w:rFonts w:cstheme="minorHAnsi"/>
          <w:bCs/>
        </w:rPr>
      </w:pPr>
    </w:p>
    <w:p w14:paraId="351FD5BB" w14:textId="0A53574C" w:rsidR="00006C1C" w:rsidRDefault="009C7513" w:rsidP="00006C1C">
      <w:pPr>
        <w:autoSpaceDE w:val="0"/>
        <w:autoSpaceDN w:val="0"/>
        <w:adjustRightInd w:val="0"/>
        <w:spacing w:after="0" w:line="240" w:lineRule="auto"/>
        <w:rPr>
          <w:rFonts w:cs="Times New Roman"/>
          <w:b/>
          <w:bCs/>
          <w:color w:val="0070C0"/>
          <w:u w:val="single"/>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006C1C">
        <w:rPr>
          <w:rFonts w:cs="Times New Roman"/>
          <w:b/>
          <w:bCs/>
          <w:color w:val="0070C0"/>
          <w:u w:val="single"/>
        </w:rPr>
        <w:t>2014 submission:</w:t>
      </w:r>
    </w:p>
    <w:p w14:paraId="7D0EC00A" w14:textId="1CCD8406" w:rsidR="00006C1C" w:rsidRPr="00006C1C" w:rsidRDefault="00006C1C" w:rsidP="00006C1C">
      <w:pPr>
        <w:autoSpaceDE w:val="0"/>
        <w:autoSpaceDN w:val="0"/>
        <w:adjustRightInd w:val="0"/>
        <w:spacing w:after="0" w:line="240" w:lineRule="auto"/>
        <w:rPr>
          <w:rFonts w:cstheme="minorHAnsi"/>
          <w:bCs/>
          <w:color w:val="0070C0"/>
        </w:rPr>
      </w:pPr>
      <w:r w:rsidRPr="00592DA2">
        <w:rPr>
          <w:rFonts w:cstheme="minorHAnsi"/>
          <w:b/>
          <w:bCs/>
          <w:color w:val="0070C0"/>
        </w:rPr>
        <w:t>Interpretation of Critical Data Element Validity Testing</w:t>
      </w:r>
      <w:r w:rsidRPr="00592DA2">
        <w:rPr>
          <w:rFonts w:cstheme="minorHAnsi"/>
          <w:bCs/>
          <w:color w:val="0070C0"/>
        </w:rPr>
        <w:t>:</w:t>
      </w:r>
      <w:r w:rsidRPr="00006C1C">
        <w:rPr>
          <w:rFonts w:cstheme="minorHAnsi"/>
          <w:bCs/>
          <w:color w:val="0070C0"/>
        </w:rPr>
        <w:t xml:space="preserve"> Cognitive testing showed that the terms used in the measure are understandable and familiar to most women.</w:t>
      </w:r>
    </w:p>
    <w:p w14:paraId="39EA483A" w14:textId="77777777" w:rsidR="00006C1C" w:rsidRPr="00006C1C" w:rsidRDefault="00006C1C" w:rsidP="00006C1C">
      <w:pPr>
        <w:autoSpaceDE w:val="0"/>
        <w:autoSpaceDN w:val="0"/>
        <w:adjustRightInd w:val="0"/>
        <w:spacing w:after="0" w:line="240" w:lineRule="auto"/>
        <w:rPr>
          <w:rFonts w:cstheme="minorHAnsi"/>
          <w:bCs/>
          <w:color w:val="0070C0"/>
        </w:rPr>
      </w:pPr>
    </w:p>
    <w:p w14:paraId="7EAB2B87" w14:textId="4CCBEAC5" w:rsidR="00006C1C" w:rsidRDefault="00006C1C" w:rsidP="00006C1C">
      <w:pPr>
        <w:autoSpaceDE w:val="0"/>
        <w:autoSpaceDN w:val="0"/>
        <w:adjustRightInd w:val="0"/>
        <w:spacing w:after="0" w:line="240" w:lineRule="auto"/>
        <w:rPr>
          <w:rFonts w:cstheme="minorHAnsi"/>
          <w:bCs/>
          <w:color w:val="0070C0"/>
        </w:rPr>
      </w:pPr>
      <w:r w:rsidRPr="00592DA2">
        <w:rPr>
          <w:rFonts w:cstheme="minorHAnsi"/>
          <w:b/>
          <w:bCs/>
          <w:color w:val="0070C0"/>
        </w:rPr>
        <w:t>Interpretation of Construct Validity Testing</w:t>
      </w:r>
      <w:r w:rsidRPr="00592DA2">
        <w:rPr>
          <w:rFonts w:cstheme="minorHAnsi"/>
          <w:bCs/>
          <w:color w:val="0070C0"/>
        </w:rPr>
        <w:t>:</w:t>
      </w:r>
      <w:r w:rsidRPr="00006C1C">
        <w:rPr>
          <w:rFonts w:cstheme="minorHAnsi"/>
          <w:bCs/>
          <w:color w:val="0070C0"/>
        </w:rPr>
        <w:t xml:space="preserve"> Coefficients with absolute value of less than 0.3 are generally considered indicative of weak associations whereas absolute values of 0.3 or higher denote moderate to strong associations. The significance of a correlation coefficient is evaluated by testing the hypothesis that an observed coefficient calculated for the sample is different from zero. The resulting p-value indicates the probability of obtaining a difference at least as large as the one observed due to chance alone. We used a threshold of 0.05 to evaluate the test results. P-values less than this threshold imply that it is unlikely that a non-zero coefficient was observed due to chance alone. </w:t>
      </w:r>
      <w:r w:rsidRPr="00592DA2">
        <w:rPr>
          <w:rFonts w:cstheme="minorHAnsi"/>
          <w:bCs/>
          <w:color w:val="0070C0"/>
        </w:rPr>
        <w:t>The results confirmed the hypothesis that this measure is correlated with the Osteoporosis Testing in Older Women (NQF #0037), suggesting they represent the</w:t>
      </w:r>
      <w:r w:rsidRPr="00006C1C">
        <w:rPr>
          <w:rFonts w:cstheme="minorHAnsi"/>
          <w:bCs/>
          <w:color w:val="0070C0"/>
        </w:rPr>
        <w:t xml:space="preserve"> same underlying construct of quality of care for osteoporosis. Although the association was weak, it was significantly greater than zero. A strong correlation would not be expected in this case due to the different denominators of these two measures.</w:t>
      </w:r>
    </w:p>
    <w:p w14:paraId="45FA5378" w14:textId="77777777" w:rsidR="00D92464" w:rsidRPr="00006C1C" w:rsidRDefault="00D92464" w:rsidP="00006C1C">
      <w:pPr>
        <w:autoSpaceDE w:val="0"/>
        <w:autoSpaceDN w:val="0"/>
        <w:adjustRightInd w:val="0"/>
        <w:spacing w:after="0" w:line="240" w:lineRule="auto"/>
        <w:rPr>
          <w:rFonts w:cstheme="minorHAnsi"/>
          <w:bCs/>
          <w:color w:val="0070C0"/>
        </w:rPr>
      </w:pPr>
    </w:p>
    <w:p w14:paraId="7FE4235E" w14:textId="77777777" w:rsidR="00D92464" w:rsidRPr="00247818" w:rsidRDefault="00D92464" w:rsidP="00D92464">
      <w:pPr>
        <w:autoSpaceDE w:val="0"/>
        <w:autoSpaceDN w:val="0"/>
        <w:adjustRightInd w:val="0"/>
        <w:spacing w:after="0" w:line="240" w:lineRule="auto"/>
        <w:rPr>
          <w:rFonts w:cs="Times New Roman"/>
          <w:b/>
          <w:color w:val="FF0000"/>
          <w:u w:val="single"/>
        </w:rPr>
      </w:pPr>
      <w:r>
        <w:rPr>
          <w:rFonts w:cs="Times New Roman"/>
          <w:b/>
          <w:color w:val="FF0000"/>
          <w:u w:val="single"/>
        </w:rPr>
        <w:t>2018</w:t>
      </w:r>
      <w:r w:rsidRPr="00247818">
        <w:rPr>
          <w:rFonts w:cs="Times New Roman"/>
          <w:b/>
          <w:color w:val="FF0000"/>
          <w:u w:val="single"/>
        </w:rPr>
        <w:t xml:space="preserve"> </w:t>
      </w:r>
      <w:r>
        <w:rPr>
          <w:rFonts w:cs="Times New Roman"/>
          <w:b/>
          <w:color w:val="FF0000"/>
          <w:u w:val="single"/>
        </w:rPr>
        <w:t>Submission</w:t>
      </w:r>
      <w:r w:rsidRPr="00247818">
        <w:rPr>
          <w:rFonts w:cs="Times New Roman"/>
          <w:b/>
          <w:color w:val="FF0000"/>
          <w:u w:val="single"/>
        </w:rPr>
        <w:t>:</w:t>
      </w:r>
    </w:p>
    <w:p w14:paraId="6E2DC628" w14:textId="77777777" w:rsidR="00D92464" w:rsidRPr="009B37B9" w:rsidRDefault="00D92464" w:rsidP="00D92464">
      <w:pPr>
        <w:spacing w:after="0" w:line="240" w:lineRule="auto"/>
        <w:rPr>
          <w:rFonts w:eastAsiaTheme="minorHAnsi"/>
          <w:b/>
          <w:color w:val="FF0000"/>
          <w:szCs w:val="20"/>
        </w:rPr>
      </w:pPr>
      <w:r w:rsidRPr="009B37B9">
        <w:rPr>
          <w:rFonts w:eastAsiaTheme="minorHAnsi"/>
          <w:b/>
          <w:color w:val="FF0000"/>
          <w:szCs w:val="20"/>
        </w:rPr>
        <w:t xml:space="preserve">Interpretation of face validity assessment: </w:t>
      </w:r>
    </w:p>
    <w:p w14:paraId="0CABCFDF" w14:textId="3939AEA0" w:rsidR="007422FD" w:rsidRPr="00D92464" w:rsidRDefault="00D92464" w:rsidP="00DB3627">
      <w:pPr>
        <w:autoSpaceDE w:val="0"/>
        <w:autoSpaceDN w:val="0"/>
        <w:adjustRightInd w:val="0"/>
        <w:spacing w:after="0" w:line="240" w:lineRule="auto"/>
        <w:rPr>
          <w:rFonts w:cstheme="minorHAnsi"/>
          <w:bCs/>
          <w:color w:val="FF0000"/>
          <w:sz w:val="24"/>
        </w:rPr>
      </w:pPr>
      <w:r w:rsidRPr="009B37B9">
        <w:rPr>
          <w:rFonts w:cstheme="minorHAnsi"/>
          <w:bCs/>
          <w:color w:val="FF0000"/>
          <w:szCs w:val="20"/>
        </w:rPr>
        <w:t xml:space="preserve">NCQA’s expert panels, our measurement advisory panels and our Committee on Performance Measurement agreed that </w:t>
      </w:r>
      <w:r w:rsidRPr="009B37B9">
        <w:rPr>
          <w:rFonts w:cstheme="minorHAnsi"/>
          <w:bCs/>
          <w:i/>
          <w:color w:val="FF0000"/>
          <w:szCs w:val="20"/>
        </w:rPr>
        <w:t>Osteoporosis Management in Women Who Had a Fracture</w:t>
      </w:r>
      <w:r w:rsidRPr="009B37B9">
        <w:rPr>
          <w:rFonts w:cstheme="minorHAnsi"/>
          <w:bCs/>
          <w:color w:val="FF0000"/>
          <w:szCs w:val="20"/>
        </w:rPr>
        <w:t xml:space="preserve"> is measuring what it intends to measure and that the results of the measurement allow users to make the correct conclusions about the quality of care that is provided and will accurately differentiate quality across health plans.</w:t>
      </w: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09BF6AD9"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0049A3">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D92464">
        <w:rPr>
          <w:rFonts w:eastAsia="MS Gothic" w:cstheme="minorHAnsi"/>
          <w:b/>
          <w:bCs/>
          <w:color w:val="0000FF"/>
        </w:rPr>
        <w:t>—</w:t>
      </w:r>
      <w:r w:rsidRPr="00D92464">
        <w:rPr>
          <w:rFonts w:cstheme="minorHAnsi"/>
          <w:b/>
          <w:bCs/>
          <w:i/>
        </w:rPr>
        <w:t xml:space="preserve"> </w:t>
      </w:r>
      <w:r w:rsidR="00B037BA" w:rsidRPr="00D92464">
        <w:rPr>
          <w:rFonts w:cstheme="minorHAnsi"/>
          <w:b/>
          <w:bCs/>
          <w:i/>
        </w:rPr>
        <w:t xml:space="preserve">skip </w:t>
      </w:r>
      <w:r w:rsidR="008A4C13" w:rsidRPr="00D92464">
        <w:rPr>
          <w:rFonts w:cstheme="minorHAnsi"/>
          <w:b/>
          <w:bCs/>
          <w:i/>
        </w:rPr>
        <w:t xml:space="preserve">to </w:t>
      </w:r>
      <w:r w:rsidR="00BE592D" w:rsidRPr="00D92464">
        <w:rPr>
          <w:rFonts w:cstheme="minorHAnsi"/>
          <w:b/>
          <w:bCs/>
          <w:i/>
        </w:rPr>
        <w:t xml:space="preserve">section </w:t>
      </w:r>
      <w:hyperlink w:anchor="section2b4" w:history="1">
        <w:r w:rsidR="00483E94" w:rsidRPr="00D92464">
          <w:rPr>
            <w:rStyle w:val="Hyperlink"/>
            <w:rFonts w:cstheme="minorHAnsi"/>
            <w:b/>
            <w:bCs/>
            <w:i/>
          </w:rPr>
          <w:t>2b</w:t>
        </w:r>
        <w:r w:rsidR="00565946" w:rsidRPr="00D92464">
          <w:rPr>
            <w:rStyle w:val="Hyperlink"/>
            <w:rFonts w:cstheme="minorHAnsi"/>
            <w:b/>
            <w:bCs/>
            <w:i/>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4E910F87" w14:textId="77777777" w:rsidR="004F2758" w:rsidRPr="00247818" w:rsidRDefault="00092566" w:rsidP="004F2758">
      <w:pPr>
        <w:autoSpaceDE w:val="0"/>
        <w:autoSpaceDN w:val="0"/>
        <w:adjustRightInd w:val="0"/>
        <w:spacing w:after="0" w:line="240" w:lineRule="auto"/>
        <w:rPr>
          <w:rFonts w:cs="Times New Roman"/>
          <w:b/>
          <w:color w:val="FF0000"/>
          <w:u w:val="single"/>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r>
      <w:r w:rsidR="004F2758">
        <w:rPr>
          <w:rFonts w:cs="Times New Roman"/>
          <w:b/>
          <w:color w:val="FF0000"/>
          <w:u w:val="single"/>
        </w:rPr>
        <w:t>2018</w:t>
      </w:r>
      <w:r w:rsidR="004F2758" w:rsidRPr="00247818">
        <w:rPr>
          <w:rFonts w:cs="Times New Roman"/>
          <w:b/>
          <w:color w:val="FF0000"/>
          <w:u w:val="single"/>
        </w:rPr>
        <w:t xml:space="preserve"> Submission:</w:t>
      </w:r>
    </w:p>
    <w:p w14:paraId="0CABCFE5" w14:textId="49B54026" w:rsidR="00833325" w:rsidRPr="004F2758" w:rsidRDefault="004F2758" w:rsidP="004F2758">
      <w:pPr>
        <w:autoSpaceDE w:val="0"/>
        <w:autoSpaceDN w:val="0"/>
        <w:adjustRightInd w:val="0"/>
        <w:spacing w:line="240" w:lineRule="auto"/>
        <w:rPr>
          <w:rFonts w:cstheme="minorHAnsi"/>
          <w:bCs/>
          <w:szCs w:val="20"/>
        </w:rPr>
      </w:pPr>
      <w:r w:rsidRPr="004F2758">
        <w:rPr>
          <w:rFonts w:cstheme="minorHAnsi"/>
          <w:bCs/>
          <w:color w:val="FF0000"/>
          <w:szCs w:val="20"/>
        </w:rPr>
        <w:t xml:space="preserve">The exclusion for this measure for individuals in hospice care is based on </w:t>
      </w:r>
      <w:r w:rsidRPr="004F2758">
        <w:rPr>
          <w:color w:val="FF0000"/>
          <w:szCs w:val="20"/>
        </w:rPr>
        <w:t>using a Hospice Status flag in the file that contains all the CMS Health Outcome Survey data submission</w:t>
      </w:r>
      <w:r w:rsidRPr="004F2758">
        <w:rPr>
          <w:rFonts w:cstheme="minorHAnsi"/>
          <w:bCs/>
          <w:color w:val="FF0000"/>
          <w:szCs w:val="20"/>
        </w:rPr>
        <w:t xml:space="preserve">. This measure does not allow for exclusions for patient refusal, provider refusal, or un-specified reasons. </w:t>
      </w:r>
      <w:r w:rsidR="00A96AEA">
        <w:rPr>
          <w:rFonts w:cstheme="minorHAnsi"/>
          <w:bCs/>
          <w:color w:val="FF0000"/>
          <w:szCs w:val="20"/>
        </w:rPr>
        <w:t>While we did not fully test this exclusion and its impact on measure performance, u</w:t>
      </w:r>
      <w:r w:rsidR="003B6A39">
        <w:rPr>
          <w:rFonts w:cstheme="minorHAnsi"/>
          <w:bCs/>
          <w:color w:val="FF0000"/>
          <w:szCs w:val="20"/>
        </w:rPr>
        <w:t xml:space="preserve">sing data from measurement year 2016 we examined the </w:t>
      </w:r>
      <w:r w:rsidR="00A96AEA">
        <w:rPr>
          <w:rFonts w:cstheme="minorHAnsi"/>
          <w:bCs/>
          <w:color w:val="FF0000"/>
          <w:szCs w:val="20"/>
        </w:rPr>
        <w:t xml:space="preserve">total </w:t>
      </w:r>
      <w:r w:rsidR="003B6A39">
        <w:rPr>
          <w:rFonts w:cstheme="minorHAnsi"/>
          <w:bCs/>
          <w:color w:val="FF0000"/>
          <w:szCs w:val="20"/>
        </w:rPr>
        <w:t>number and percent of individuals who were excluded from measure report</w:t>
      </w:r>
      <w:r w:rsidR="00A96AEA">
        <w:rPr>
          <w:rFonts w:cstheme="minorHAnsi"/>
          <w:bCs/>
          <w:color w:val="FF0000"/>
          <w:szCs w:val="20"/>
        </w:rPr>
        <w:t>ing</w:t>
      </w:r>
      <w:r w:rsidR="003B6A39">
        <w:rPr>
          <w:rFonts w:cstheme="minorHAnsi"/>
          <w:bCs/>
          <w:color w:val="FF0000"/>
          <w:szCs w:val="20"/>
        </w:rPr>
        <w:t xml:space="preserve"> based on the Hospice Status Flag.</w:t>
      </w:r>
    </w:p>
    <w:p w14:paraId="035B4724" w14:textId="77777777" w:rsidR="00AC36D8" w:rsidRDefault="00092566" w:rsidP="00092566">
      <w:pPr>
        <w:autoSpaceDE w:val="0"/>
        <w:autoSpaceDN w:val="0"/>
        <w:adjustRightInd w:val="0"/>
        <w:spacing w:after="0" w:line="240" w:lineRule="auto"/>
        <w:rPr>
          <w:rFonts w:cs="Times New Roman"/>
          <w:b/>
          <w:color w:val="FF0000"/>
          <w:u w:val="single"/>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AC36D8">
        <w:rPr>
          <w:rFonts w:cs="Times New Roman"/>
          <w:b/>
          <w:color w:val="FF0000"/>
          <w:u w:val="single"/>
        </w:rPr>
        <w:t>2018</w:t>
      </w:r>
      <w:r w:rsidR="00AC36D8" w:rsidRPr="00247818">
        <w:rPr>
          <w:rFonts w:cs="Times New Roman"/>
          <w:b/>
          <w:color w:val="FF0000"/>
          <w:u w:val="single"/>
        </w:rPr>
        <w:t xml:space="preserve"> Submission:</w:t>
      </w:r>
    </w:p>
    <w:p w14:paraId="0CABCFE6" w14:textId="7E8D073A" w:rsidR="007422FD" w:rsidRDefault="00A96AEA" w:rsidP="00092566">
      <w:pPr>
        <w:autoSpaceDE w:val="0"/>
        <w:autoSpaceDN w:val="0"/>
        <w:adjustRightInd w:val="0"/>
        <w:spacing w:after="0" w:line="240" w:lineRule="auto"/>
        <w:rPr>
          <w:rFonts w:cstheme="minorHAnsi"/>
          <w:bCs/>
        </w:rPr>
      </w:pPr>
      <w:r>
        <w:rPr>
          <w:rFonts w:cstheme="minorHAnsi"/>
          <w:bCs/>
          <w:color w:val="FF0000"/>
        </w:rPr>
        <w:t xml:space="preserve">The total Health Outcome Survey quality reporting </w:t>
      </w:r>
      <w:r w:rsidRPr="007279FA">
        <w:rPr>
          <w:rFonts w:cstheme="minorHAnsi"/>
          <w:bCs/>
          <w:color w:val="FF0000"/>
        </w:rPr>
        <w:t>sample was 668,143 individuals. Of</w:t>
      </w:r>
      <w:r>
        <w:rPr>
          <w:rFonts w:cstheme="minorHAnsi"/>
          <w:bCs/>
          <w:color w:val="FF0000"/>
        </w:rPr>
        <w:t xml:space="preserve"> these, 4,677 (0.7%) individuals had the Hospice Status flag and were excluded from the reporting of this measure. </w:t>
      </w: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0E3051A6" w14:textId="77777777" w:rsidR="00AC36D8" w:rsidRDefault="00092566" w:rsidP="00DB3627">
      <w:pPr>
        <w:autoSpaceDE w:val="0"/>
        <w:autoSpaceDN w:val="0"/>
        <w:adjustRightInd w:val="0"/>
        <w:spacing w:after="0" w:line="240" w:lineRule="auto"/>
        <w:rPr>
          <w:rFonts w:cs="Times New Roman"/>
          <w:b/>
          <w:color w:val="FF0000"/>
          <w:u w:val="single"/>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r w:rsidR="00AC36D8">
        <w:rPr>
          <w:rFonts w:cs="Times New Roman"/>
          <w:b/>
          <w:color w:val="FF0000"/>
          <w:u w:val="single"/>
        </w:rPr>
        <w:t>2018</w:t>
      </w:r>
      <w:r w:rsidR="00AC36D8" w:rsidRPr="00247818">
        <w:rPr>
          <w:rFonts w:cs="Times New Roman"/>
          <w:b/>
          <w:color w:val="FF0000"/>
          <w:u w:val="single"/>
        </w:rPr>
        <w:t xml:space="preserve"> Submission:</w:t>
      </w:r>
    </w:p>
    <w:p w14:paraId="0CABCFE8" w14:textId="63E2C870" w:rsidR="007422FD" w:rsidRPr="00A25024" w:rsidRDefault="00A96AEA" w:rsidP="00DB3627">
      <w:pPr>
        <w:autoSpaceDE w:val="0"/>
        <w:autoSpaceDN w:val="0"/>
        <w:adjustRightInd w:val="0"/>
        <w:spacing w:after="0" w:line="240" w:lineRule="auto"/>
        <w:rPr>
          <w:rFonts w:cstheme="minorHAnsi"/>
          <w:bCs/>
        </w:rPr>
      </w:pPr>
      <w:r>
        <w:rPr>
          <w:rFonts w:cstheme="minorHAnsi"/>
          <w:bCs/>
          <w:color w:val="FF0000"/>
        </w:rPr>
        <w:t xml:space="preserve">The 0.7% incidence of those meeting the hospice exclusion criteria is in line with what we would expect to see given publicly available data published by CMS on the use of hospice services among Medicare Advantage beneficiaries. While we were not able to test the impact of the exclusion on performance measure </w:t>
      </w:r>
      <w:r w:rsidR="00AC36D8">
        <w:rPr>
          <w:rFonts w:cstheme="minorHAnsi"/>
          <w:bCs/>
          <w:color w:val="FF0000"/>
        </w:rPr>
        <w:t>score, excluding individuals in hospice care from getting bone mineral density tests to screen for osteoporosis makes clinical sense</w:t>
      </w:r>
      <w:r>
        <w:rPr>
          <w:rFonts w:cstheme="minorHAnsi"/>
          <w:bCs/>
          <w:color w:val="FF0000"/>
        </w:rPr>
        <w:t>.</w:t>
      </w:r>
      <w:r w:rsidR="00AC36D8">
        <w:rPr>
          <w:rFonts w:cstheme="minorHAnsi"/>
          <w:bCs/>
          <w:color w:val="FF0000"/>
        </w:rPr>
        <w:t xml:space="preserve"> The exclusion was implemented using data that was already collected and reported (the Hospice Status Flag) and therefore added no additional burden to measure reporting.</w:t>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31B565FA" w:rsidR="00033038" w:rsidRPr="005232D6" w:rsidRDefault="00D92464"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164071">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D92464"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D92464"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D92464"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A1E352E" w14:textId="77777777" w:rsidR="00AF2D68" w:rsidRDefault="00AF2D68" w:rsidP="009D3882">
      <w:pPr>
        <w:rPr>
          <w:rFonts w:cs="Calibri"/>
          <w:b/>
          <w:bCs/>
        </w:rPr>
      </w:pPr>
    </w:p>
    <w:p w14:paraId="5D2138D4" w14:textId="0067AA61" w:rsidR="00164071" w:rsidRDefault="009C7513" w:rsidP="00247818">
      <w:pPr>
        <w:spacing w:after="0"/>
        <w:rPr>
          <w:rFonts w:cs="Times New Roman"/>
          <w:b/>
          <w:bCs/>
          <w:color w:val="0070C0"/>
          <w:u w:val="single"/>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r w:rsidR="00164071">
        <w:rPr>
          <w:rFonts w:cs="Times New Roman"/>
          <w:b/>
          <w:bCs/>
          <w:color w:val="0070C0"/>
          <w:u w:val="single"/>
        </w:rPr>
        <w:t>2014 submission:</w:t>
      </w:r>
    </w:p>
    <w:p w14:paraId="4C58496D" w14:textId="1031B1EF" w:rsidR="00164071" w:rsidRDefault="00164071" w:rsidP="00247818">
      <w:pPr>
        <w:autoSpaceDE w:val="0"/>
        <w:autoSpaceDN w:val="0"/>
        <w:adjustRightInd w:val="0"/>
        <w:spacing w:after="0" w:line="240" w:lineRule="auto"/>
        <w:rPr>
          <w:rFonts w:cstheme="minorHAnsi"/>
          <w:bCs/>
          <w:color w:val="0070C0"/>
        </w:rPr>
      </w:pPr>
      <w:r w:rsidRPr="00164071">
        <w:rPr>
          <w:rFonts w:cs="Times New Roman"/>
          <w:color w:val="0070C0"/>
        </w:rPr>
        <w:t>This measure is a process measure collected from patient self-report. Although this measure is collected from patient self-report it is not a PRO-PM, as it does not assess a patient reported outcome. Therefore we do not risk-adjust the rates.</w:t>
      </w:r>
    </w:p>
    <w:p w14:paraId="5D83D8CB" w14:textId="77777777" w:rsidR="00247818" w:rsidRPr="00247818" w:rsidRDefault="00247818" w:rsidP="00247818">
      <w:pPr>
        <w:autoSpaceDE w:val="0"/>
        <w:autoSpaceDN w:val="0"/>
        <w:adjustRightInd w:val="0"/>
        <w:spacing w:after="0" w:line="240" w:lineRule="auto"/>
        <w:rPr>
          <w:rFonts w:cstheme="minorHAnsi"/>
          <w:bCs/>
          <w:color w:val="0070C0"/>
        </w:rPr>
      </w:pPr>
    </w:p>
    <w:p w14:paraId="477094F9" w14:textId="47C73C94" w:rsidR="00247818" w:rsidRPr="00836F9E" w:rsidRDefault="009C7513" w:rsidP="004F2758">
      <w:pPr>
        <w:spacing w:after="0"/>
        <w:rPr>
          <w:rFonts w:cstheme="minorHAnsi"/>
          <w:b/>
          <w:bCs/>
          <w:color w:val="0070C0"/>
          <w:u w:val="single"/>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r w:rsidR="00247818" w:rsidRPr="00836F9E">
        <w:rPr>
          <w:rFonts w:cstheme="minorHAnsi"/>
          <w:b/>
          <w:bCs/>
          <w:color w:val="0070C0"/>
          <w:u w:val="single"/>
        </w:rPr>
        <w:t>2014 submission:</w:t>
      </w:r>
    </w:p>
    <w:p w14:paraId="6EC425C9" w14:textId="6B069EFF" w:rsidR="00F92A73" w:rsidRPr="00F92A73" w:rsidRDefault="00F92A73" w:rsidP="00AF2D68">
      <w:pPr>
        <w:rPr>
          <w:rFonts w:cstheme="minorHAnsi"/>
          <w:bCs/>
          <w:color w:val="0070C0"/>
        </w:rPr>
      </w:pPr>
      <w:r w:rsidRPr="00F92A73">
        <w:rPr>
          <w:rFonts w:cstheme="minorHAnsi"/>
          <w:bCs/>
          <w:color w:val="0070C0"/>
        </w:rPr>
        <w:t>N/A</w:t>
      </w: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D9246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D9246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D9246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182E9834" w14:textId="77777777" w:rsidR="00247818" w:rsidRPr="00836F9E" w:rsidRDefault="009C7513" w:rsidP="00247818">
      <w:pPr>
        <w:autoSpaceDE w:val="0"/>
        <w:autoSpaceDN w:val="0"/>
        <w:adjustRightInd w:val="0"/>
        <w:spacing w:after="0" w:line="240" w:lineRule="auto"/>
        <w:rPr>
          <w:rFonts w:cstheme="minorHAnsi"/>
          <w:b/>
          <w:bCs/>
          <w:color w:val="0070C0"/>
          <w:u w:val="single"/>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r w:rsidR="00247818" w:rsidRPr="00836F9E">
        <w:rPr>
          <w:rFonts w:cstheme="minorHAnsi"/>
          <w:b/>
          <w:bCs/>
          <w:color w:val="0070C0"/>
          <w:u w:val="single"/>
        </w:rPr>
        <w:t>2014 submission:</w:t>
      </w:r>
    </w:p>
    <w:p w14:paraId="1FCB4DAB" w14:textId="77777777" w:rsidR="00F92A73" w:rsidRPr="00F92A73" w:rsidRDefault="00F92A73" w:rsidP="00F92A73">
      <w:pPr>
        <w:rPr>
          <w:rFonts w:cstheme="minorHAnsi"/>
          <w:bCs/>
          <w:color w:val="0070C0"/>
        </w:rPr>
      </w:pPr>
      <w:r w:rsidRPr="00F92A73">
        <w:rPr>
          <w:rFonts w:cstheme="minorHAnsi"/>
          <w:bCs/>
          <w:color w:val="0070C0"/>
        </w:rPr>
        <w:t>N/A</w:t>
      </w:r>
    </w:p>
    <w:p w14:paraId="5552DDA0" w14:textId="77777777" w:rsidR="00C717C4"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7AF15620" w14:textId="133C59E6" w:rsidR="00836F9E" w:rsidRPr="00836F9E" w:rsidRDefault="00836F9E" w:rsidP="00001D73">
      <w:pPr>
        <w:autoSpaceDE w:val="0"/>
        <w:autoSpaceDN w:val="0"/>
        <w:adjustRightInd w:val="0"/>
        <w:spacing w:after="0" w:line="240" w:lineRule="auto"/>
        <w:rPr>
          <w:rFonts w:cstheme="minorHAnsi"/>
          <w:b/>
          <w:bCs/>
          <w:color w:val="0070C0"/>
          <w:u w:val="single"/>
        </w:rPr>
      </w:pPr>
      <w:r w:rsidRPr="00836F9E">
        <w:rPr>
          <w:rFonts w:cstheme="minorHAnsi"/>
          <w:b/>
          <w:bCs/>
          <w:color w:val="0070C0"/>
          <w:u w:val="single"/>
        </w:rPr>
        <w:t>2014 submission:</w:t>
      </w:r>
    </w:p>
    <w:p w14:paraId="0CABCFF9" w14:textId="639A8F9F" w:rsidR="00C1695E" w:rsidRDefault="00C717C4" w:rsidP="00001D73">
      <w:pPr>
        <w:autoSpaceDE w:val="0"/>
        <w:autoSpaceDN w:val="0"/>
        <w:adjustRightInd w:val="0"/>
        <w:spacing w:after="0" w:line="240" w:lineRule="auto"/>
        <w:rPr>
          <w:rFonts w:cstheme="minorHAnsi"/>
          <w:bCs/>
          <w:color w:val="0070C0"/>
        </w:rPr>
      </w:pPr>
      <w:r w:rsidRPr="00C717C4">
        <w:rPr>
          <w:rFonts w:cstheme="minorHAnsi"/>
          <w:bCs/>
          <w:color w:val="0070C0"/>
        </w:rPr>
        <w:t>N/A</w:t>
      </w:r>
    </w:p>
    <w:p w14:paraId="3B84A22D" w14:textId="77777777" w:rsidR="004F2758" w:rsidRPr="00C717C4" w:rsidRDefault="004F2758" w:rsidP="00001D73">
      <w:pPr>
        <w:autoSpaceDE w:val="0"/>
        <w:autoSpaceDN w:val="0"/>
        <w:adjustRightInd w:val="0"/>
        <w:spacing w:after="0" w:line="240" w:lineRule="auto"/>
        <w:rPr>
          <w:rFonts w:cstheme="minorHAnsi"/>
          <w:bCs/>
          <w:color w:val="0070C0"/>
        </w:rPr>
      </w:pPr>
    </w:p>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0CABCFFD" w14:textId="79D5D7A7" w:rsidR="00001D73" w:rsidRPr="00001D73"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0CABCFFE" w14:textId="57E7DDD4" w:rsidR="00001D73" w:rsidRDefault="009C7513" w:rsidP="00092566">
      <w:pPr>
        <w:autoSpaceDE w:val="0"/>
        <w:autoSpaceDN w:val="0"/>
        <w:adjustRightInd w:val="0"/>
        <w:spacing w:after="0" w:line="240" w:lineRule="auto"/>
        <w:rPr>
          <w:rFonts w:cstheme="minorHAnsi"/>
          <w:b/>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0CABCFFF" w14:textId="7ECFB7AA" w:rsidR="00743E46" w:rsidRDefault="009C7513" w:rsidP="00092566">
      <w:pPr>
        <w:autoSpaceDE w:val="0"/>
        <w:autoSpaceDN w:val="0"/>
        <w:adjustRightInd w:val="0"/>
        <w:spacing w:after="0" w:line="240" w:lineRule="auto"/>
        <w:rPr>
          <w:rFonts w:cstheme="minorHAnsi"/>
          <w:b/>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0CABD000" w14:textId="2277C090" w:rsidR="00092566" w:rsidRPr="00A25024" w:rsidRDefault="009C7513" w:rsidP="00092566">
      <w:pPr>
        <w:autoSpaceDE w:val="0"/>
        <w:autoSpaceDN w:val="0"/>
        <w:adjustRightInd w:val="0"/>
        <w:spacing w:after="0" w:line="240" w:lineRule="auto"/>
        <w:rPr>
          <w:rFonts w:cstheme="minorHAnsi"/>
          <w:bCs/>
        </w:rPr>
      </w:pPr>
      <w:bookmarkStart w:id="12" w:name="question2b49"/>
      <w:bookmarkEnd w:id="12"/>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CABD001" w14:textId="77777777" w:rsidR="00092566" w:rsidRPr="00A25024" w:rsidRDefault="00092566" w:rsidP="00092566">
      <w:pPr>
        <w:pStyle w:val="ListParagraph"/>
        <w:rPr>
          <w:rFonts w:cstheme="minorHAnsi"/>
          <w:bCs/>
        </w:rPr>
      </w:pPr>
    </w:p>
    <w:p w14:paraId="30249FC0" w14:textId="71366369" w:rsidR="00E213EB" w:rsidRPr="00836F9E" w:rsidRDefault="009C7513" w:rsidP="00E213EB">
      <w:pPr>
        <w:autoSpaceDE w:val="0"/>
        <w:autoSpaceDN w:val="0"/>
        <w:adjustRightInd w:val="0"/>
        <w:spacing w:after="0" w:line="240" w:lineRule="auto"/>
        <w:rPr>
          <w:rFonts w:cstheme="minorHAnsi"/>
          <w:b/>
          <w:bCs/>
          <w:color w:val="0070C0"/>
          <w:u w:val="single"/>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r w:rsidR="00E213EB" w:rsidRPr="00836F9E">
        <w:rPr>
          <w:rFonts w:cstheme="minorHAnsi"/>
          <w:b/>
          <w:bCs/>
          <w:color w:val="0070C0"/>
          <w:u w:val="single"/>
        </w:rPr>
        <w:t>2014 submission:</w:t>
      </w:r>
    </w:p>
    <w:p w14:paraId="08115CAC" w14:textId="77777777" w:rsidR="00E213EB" w:rsidRPr="00C717C4" w:rsidRDefault="00E213EB" w:rsidP="00E213EB">
      <w:pPr>
        <w:autoSpaceDE w:val="0"/>
        <w:autoSpaceDN w:val="0"/>
        <w:adjustRightInd w:val="0"/>
        <w:spacing w:after="0" w:line="240" w:lineRule="auto"/>
        <w:rPr>
          <w:rFonts w:cstheme="minorHAnsi"/>
          <w:bCs/>
          <w:color w:val="0070C0"/>
        </w:rPr>
      </w:pPr>
      <w:r w:rsidRPr="00C717C4">
        <w:rPr>
          <w:rFonts w:cstheme="minorHAnsi"/>
          <w:bCs/>
          <w:color w:val="0070C0"/>
        </w:rPr>
        <w:t>N/A</w:t>
      </w:r>
    </w:p>
    <w:p w14:paraId="0CABD003" w14:textId="6969C8DF"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3F83F29E" w14:textId="77777777" w:rsidR="00E213EB" w:rsidRPr="00836F9E" w:rsidRDefault="00E213EB" w:rsidP="00E213EB">
      <w:pPr>
        <w:autoSpaceDE w:val="0"/>
        <w:autoSpaceDN w:val="0"/>
        <w:adjustRightInd w:val="0"/>
        <w:spacing w:after="0" w:line="240" w:lineRule="auto"/>
        <w:rPr>
          <w:rFonts w:cstheme="minorHAnsi"/>
          <w:b/>
          <w:bCs/>
          <w:color w:val="0070C0"/>
          <w:u w:val="single"/>
        </w:rPr>
      </w:pPr>
      <w:r w:rsidRPr="00836F9E">
        <w:rPr>
          <w:rFonts w:cstheme="minorHAnsi"/>
          <w:b/>
          <w:bCs/>
          <w:color w:val="0070C0"/>
          <w:u w:val="single"/>
        </w:rPr>
        <w:t>2014 submission:</w:t>
      </w:r>
    </w:p>
    <w:p w14:paraId="43FF63C0" w14:textId="77777777" w:rsidR="00E213EB" w:rsidRPr="00C717C4" w:rsidRDefault="00E213EB" w:rsidP="00E213EB">
      <w:pPr>
        <w:autoSpaceDE w:val="0"/>
        <w:autoSpaceDN w:val="0"/>
        <w:adjustRightInd w:val="0"/>
        <w:spacing w:after="0" w:line="240" w:lineRule="auto"/>
        <w:rPr>
          <w:rFonts w:cstheme="minorHAnsi"/>
          <w:bCs/>
          <w:color w:val="0070C0"/>
        </w:rPr>
      </w:pPr>
      <w:r w:rsidRPr="00C717C4">
        <w:rPr>
          <w:rFonts w:cstheme="minorHAnsi"/>
          <w:bCs/>
          <w:color w:val="0070C0"/>
        </w:rPr>
        <w:t>N/A</w:t>
      </w:r>
    </w:p>
    <w:p w14:paraId="0716D18E" w14:textId="16C99001" w:rsidR="00E213EB" w:rsidRDefault="00E213E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3" w:name="section2b5"/>
      <w:bookmarkEnd w:id="13"/>
      <w:r>
        <w:rPr>
          <w:rFonts w:cstheme="minorHAnsi"/>
          <w:b/>
          <w:bCs/>
        </w:rPr>
        <w:t>2b4</w:t>
      </w:r>
      <w:r w:rsidR="00D61410" w:rsidRPr="00A25024">
        <w:rPr>
          <w:rFonts w:cstheme="minorHAnsi"/>
          <w:b/>
          <w:bCs/>
        </w:rPr>
        <w:t>. IDENTIFICATION OF STATISTICALLY SIGNIFICANT &amp; MEANINGFUL DIFFERENCES IN PERFORMANCE</w:t>
      </w:r>
    </w:p>
    <w:p w14:paraId="724923CC" w14:textId="59560011" w:rsidR="00276B5A" w:rsidRPr="00836F9E" w:rsidRDefault="009C7513" w:rsidP="00276B5A">
      <w:pPr>
        <w:autoSpaceDE w:val="0"/>
        <w:autoSpaceDN w:val="0"/>
        <w:adjustRightInd w:val="0"/>
        <w:spacing w:after="0" w:line="240" w:lineRule="auto"/>
        <w:rPr>
          <w:rFonts w:cstheme="minorHAnsi"/>
          <w:b/>
          <w:bCs/>
          <w:color w:val="0070C0"/>
          <w:u w:val="single"/>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r>
      <w:r w:rsidR="00276B5A" w:rsidRPr="00836F9E">
        <w:rPr>
          <w:rFonts w:cstheme="minorHAnsi"/>
          <w:b/>
          <w:bCs/>
          <w:color w:val="0070C0"/>
          <w:u w:val="single"/>
        </w:rPr>
        <w:t>2014 submission:</w:t>
      </w:r>
    </w:p>
    <w:p w14:paraId="36F907D0" w14:textId="770EF1FE" w:rsidR="00276B5A" w:rsidRPr="00276B5A" w:rsidRDefault="00276B5A" w:rsidP="00276B5A">
      <w:pPr>
        <w:autoSpaceDE w:val="0"/>
        <w:autoSpaceDN w:val="0"/>
        <w:adjustRightInd w:val="0"/>
        <w:spacing w:after="0" w:line="240" w:lineRule="auto"/>
        <w:rPr>
          <w:rFonts w:cstheme="minorHAnsi"/>
          <w:bCs/>
          <w:color w:val="0070C0"/>
        </w:rPr>
      </w:pPr>
      <w:r w:rsidRPr="00276B5A">
        <w:rPr>
          <w:color w:val="0070C0"/>
        </w:rPr>
        <w:t>To demonstrate meaningful differences in performance, NCQA calculates an inter-quartile range (IQR) for each indicator. The IQR provides a measure of the dispersion of performance. The IQR can be interpreted as the difference between the 25</w:t>
      </w:r>
      <w:r w:rsidRPr="00276B5A">
        <w:rPr>
          <w:color w:val="0070C0"/>
          <w:vertAlign w:val="superscript"/>
        </w:rPr>
        <w:t>th</w:t>
      </w:r>
      <w:r w:rsidRPr="00276B5A">
        <w:rPr>
          <w:color w:val="0070C0"/>
        </w:rPr>
        <w:t xml:space="preserve"> and 75</w:t>
      </w:r>
      <w:r w:rsidRPr="00276B5A">
        <w:rPr>
          <w:color w:val="0070C0"/>
          <w:vertAlign w:val="superscript"/>
        </w:rPr>
        <w:t>th</w:t>
      </w:r>
      <w:r w:rsidRPr="00276B5A">
        <w:rPr>
          <w:color w:val="0070C0"/>
        </w:rPr>
        <w:t xml:space="preserve"> percentile on a measure. To determine if this difference is statistically significant, NCQA calculates an independent sample t-test of the performance difference between two randomly selected plans at the 25</w:t>
      </w:r>
      <w:r w:rsidRPr="00276B5A">
        <w:rPr>
          <w:color w:val="0070C0"/>
          <w:vertAlign w:val="superscript"/>
        </w:rPr>
        <w:t>th</w:t>
      </w:r>
      <w:r w:rsidRPr="00276B5A">
        <w:rPr>
          <w:color w:val="0070C0"/>
        </w:rPr>
        <w:t xml:space="preserve"> and 75</w:t>
      </w:r>
      <w:r w:rsidRPr="00276B5A">
        <w:rPr>
          <w:color w:val="0070C0"/>
          <w:vertAlign w:val="superscript"/>
        </w:rPr>
        <w:t>th</w:t>
      </w:r>
      <w:r w:rsidRPr="00276B5A">
        <w:rPr>
          <w:color w:val="0070C0"/>
        </w:rPr>
        <w:t xml:space="preserve"> percentile. The t-test method calculates a testing statistic based on the sample size, performance rate, and standardized error of each plan.  The test statistic is then compared against a normal distribution.  If the p value of the test statistic is less than .05, then the two plans’ performance is significantly different from each other. Using this method, we compared the performance rates of two randomly selected plans, one plan in the 25th percentile and another plan in the 75th percentile of performance. We used these two plans as examples of measured entities. </w:t>
      </w:r>
      <w:r w:rsidR="00247818" w:rsidRPr="00276B5A">
        <w:rPr>
          <w:color w:val="0070C0"/>
        </w:rPr>
        <w:t>However,</w:t>
      </w:r>
      <w:r w:rsidRPr="00276B5A">
        <w:rPr>
          <w:color w:val="0070C0"/>
        </w:rPr>
        <w:t xml:space="preserve"> the method can be used for comparison of any two measured entities. </w:t>
      </w:r>
    </w:p>
    <w:p w14:paraId="0AAD9A98" w14:textId="77777777" w:rsidR="00276B5A" w:rsidRDefault="00276B5A" w:rsidP="00276B5A">
      <w:pPr>
        <w:autoSpaceDE w:val="0"/>
        <w:autoSpaceDN w:val="0"/>
        <w:adjustRightInd w:val="0"/>
        <w:spacing w:after="0" w:line="240" w:lineRule="auto"/>
        <w:rPr>
          <w:rFonts w:cstheme="minorHAnsi"/>
        </w:rPr>
      </w:pPr>
    </w:p>
    <w:p w14:paraId="0CABD009" w14:textId="77777777" w:rsidR="00D61410" w:rsidRPr="00A25024" w:rsidRDefault="00D61410" w:rsidP="00D61410">
      <w:pPr>
        <w:autoSpaceDE w:val="0"/>
        <w:autoSpaceDN w:val="0"/>
        <w:adjustRightInd w:val="0"/>
        <w:spacing w:after="0" w:line="240" w:lineRule="auto"/>
        <w:rPr>
          <w:rFonts w:cstheme="minorHAnsi"/>
          <w:bCs/>
        </w:rPr>
      </w:pPr>
    </w:p>
    <w:p w14:paraId="1F980EAF" w14:textId="3254D4D1" w:rsidR="00276B5A" w:rsidRPr="00836F9E" w:rsidRDefault="009C7513" w:rsidP="00276B5A">
      <w:pPr>
        <w:autoSpaceDE w:val="0"/>
        <w:autoSpaceDN w:val="0"/>
        <w:adjustRightInd w:val="0"/>
        <w:spacing w:after="0" w:line="240" w:lineRule="auto"/>
        <w:rPr>
          <w:rFonts w:cstheme="minorHAnsi"/>
          <w:b/>
          <w:bCs/>
          <w:color w:val="0070C0"/>
          <w:u w:val="single"/>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r w:rsidR="00276B5A" w:rsidRPr="00836F9E">
        <w:rPr>
          <w:rFonts w:cstheme="minorHAnsi"/>
          <w:b/>
          <w:bCs/>
          <w:color w:val="0070C0"/>
          <w:u w:val="single"/>
        </w:rPr>
        <w:t>2014 submission:</w:t>
      </w:r>
    </w:p>
    <w:p w14:paraId="5D1F0D70" w14:textId="77777777" w:rsidR="00276B5A" w:rsidRPr="00276B5A" w:rsidRDefault="00276B5A" w:rsidP="00276B5A">
      <w:pPr>
        <w:pStyle w:val="Style5"/>
        <w:rPr>
          <w:rFonts w:asciiTheme="minorHAnsi" w:hAnsiTheme="minorHAnsi"/>
          <w:b/>
          <w:i w:val="0"/>
          <w:color w:val="0070C0"/>
          <w:sz w:val="22"/>
          <w:szCs w:val="22"/>
        </w:rPr>
      </w:pPr>
      <w:r w:rsidRPr="00276B5A">
        <w:rPr>
          <w:rFonts w:asciiTheme="minorHAnsi" w:hAnsiTheme="minorHAnsi"/>
          <w:b/>
          <w:i w:val="0"/>
          <w:color w:val="0070C0"/>
          <w:sz w:val="22"/>
          <w:szCs w:val="22"/>
        </w:rPr>
        <w:t>Table 4: Variation in Performance across Medicare Health Plans in HEDIS (2012 data)</w:t>
      </w:r>
    </w:p>
    <w:tbl>
      <w:tblPr>
        <w:tblStyle w:val="TableGrid"/>
        <w:tblW w:w="3850" w:type="pct"/>
        <w:tblInd w:w="-5" w:type="dxa"/>
        <w:tblCellMar>
          <w:left w:w="58" w:type="dxa"/>
          <w:right w:w="58" w:type="dxa"/>
        </w:tblCellMar>
        <w:tblLook w:val="04A0" w:firstRow="1" w:lastRow="0" w:firstColumn="1" w:lastColumn="0" w:noHBand="0" w:noVBand="1"/>
      </w:tblPr>
      <w:tblGrid>
        <w:gridCol w:w="1411"/>
        <w:gridCol w:w="744"/>
        <w:gridCol w:w="745"/>
        <w:gridCol w:w="745"/>
        <w:gridCol w:w="744"/>
        <w:gridCol w:w="744"/>
        <w:gridCol w:w="744"/>
        <w:gridCol w:w="744"/>
        <w:gridCol w:w="579"/>
      </w:tblGrid>
      <w:tr w:rsidR="00276B5A" w:rsidRPr="00276B5A" w14:paraId="3965F7A1" w14:textId="77777777" w:rsidTr="00276B5A">
        <w:tc>
          <w:tcPr>
            <w:tcW w:w="9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5373CF" w14:textId="77777777" w:rsidR="00276B5A" w:rsidRPr="00276B5A" w:rsidRDefault="00276B5A">
            <w:pPr>
              <w:pStyle w:val="Style5"/>
              <w:rPr>
                <w:rFonts w:asciiTheme="minorHAnsi" w:hAnsiTheme="minorHAnsi"/>
                <w:i w:val="0"/>
                <w:iCs/>
                <w:color w:val="0070C0"/>
                <w:sz w:val="22"/>
                <w:szCs w:val="22"/>
              </w:rPr>
            </w:pPr>
          </w:p>
        </w:tc>
        <w:tc>
          <w:tcPr>
            <w:tcW w:w="516"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8E71D1" w14:textId="77777777" w:rsidR="00276B5A" w:rsidRPr="00276B5A" w:rsidRDefault="00276B5A">
            <w:pPr>
              <w:pStyle w:val="Style5"/>
              <w:jc w:val="center"/>
              <w:rPr>
                <w:rFonts w:asciiTheme="minorHAnsi" w:hAnsiTheme="minorHAnsi"/>
                <w:i w:val="0"/>
                <w:iCs/>
                <w:color w:val="0070C0"/>
                <w:sz w:val="22"/>
                <w:szCs w:val="22"/>
              </w:rPr>
            </w:pPr>
            <w:r w:rsidRPr="00276B5A">
              <w:rPr>
                <w:rFonts w:asciiTheme="minorHAnsi" w:hAnsiTheme="minorHAnsi"/>
                <w:i w:val="0"/>
                <w:iCs/>
                <w:color w:val="0070C0"/>
                <w:sz w:val="22"/>
                <w:szCs w:val="22"/>
              </w:rPr>
              <w:t>Avg.</w:t>
            </w:r>
          </w:p>
        </w:tc>
        <w:tc>
          <w:tcPr>
            <w:tcW w:w="51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2B11972" w14:textId="77777777" w:rsidR="00276B5A" w:rsidRPr="00276B5A" w:rsidRDefault="00276B5A">
            <w:pPr>
              <w:pStyle w:val="Style5"/>
              <w:jc w:val="center"/>
              <w:rPr>
                <w:rFonts w:asciiTheme="minorHAnsi" w:hAnsiTheme="minorHAnsi"/>
                <w:i w:val="0"/>
                <w:iCs/>
                <w:color w:val="0070C0"/>
                <w:sz w:val="22"/>
                <w:szCs w:val="22"/>
              </w:rPr>
            </w:pPr>
            <w:r w:rsidRPr="00276B5A">
              <w:rPr>
                <w:rFonts w:asciiTheme="minorHAnsi" w:hAnsiTheme="minorHAnsi"/>
                <w:i w:val="0"/>
                <w:iCs/>
                <w:color w:val="0070C0"/>
                <w:sz w:val="22"/>
                <w:szCs w:val="22"/>
              </w:rPr>
              <w:t>SD</w:t>
            </w:r>
          </w:p>
        </w:tc>
        <w:tc>
          <w:tcPr>
            <w:tcW w:w="51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F29FEEF" w14:textId="77777777" w:rsidR="00276B5A" w:rsidRPr="00276B5A" w:rsidRDefault="00276B5A">
            <w:pPr>
              <w:pStyle w:val="Style5"/>
              <w:jc w:val="center"/>
              <w:rPr>
                <w:rFonts w:asciiTheme="minorHAnsi" w:hAnsiTheme="minorHAnsi"/>
                <w:i w:val="0"/>
                <w:iCs/>
                <w:color w:val="0070C0"/>
                <w:sz w:val="22"/>
                <w:szCs w:val="22"/>
              </w:rPr>
            </w:pPr>
            <w:r w:rsidRPr="00276B5A">
              <w:rPr>
                <w:rFonts w:asciiTheme="minorHAnsi" w:hAnsiTheme="minorHAnsi"/>
                <w:i w:val="0"/>
                <w:iCs/>
                <w:color w:val="0070C0"/>
                <w:sz w:val="22"/>
                <w:szCs w:val="22"/>
              </w:rPr>
              <w:t>10th</w:t>
            </w:r>
          </w:p>
        </w:tc>
        <w:tc>
          <w:tcPr>
            <w:tcW w:w="51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925EC78" w14:textId="77777777" w:rsidR="00276B5A" w:rsidRPr="00276B5A" w:rsidRDefault="00276B5A">
            <w:pPr>
              <w:pStyle w:val="Style5"/>
              <w:jc w:val="center"/>
              <w:rPr>
                <w:rFonts w:asciiTheme="minorHAnsi" w:hAnsiTheme="minorHAnsi"/>
                <w:i w:val="0"/>
                <w:iCs/>
                <w:color w:val="0070C0"/>
                <w:sz w:val="22"/>
                <w:szCs w:val="22"/>
              </w:rPr>
            </w:pPr>
            <w:r w:rsidRPr="00276B5A">
              <w:rPr>
                <w:rFonts w:asciiTheme="minorHAnsi" w:hAnsiTheme="minorHAnsi"/>
                <w:i w:val="0"/>
                <w:iCs/>
                <w:color w:val="0070C0"/>
                <w:sz w:val="22"/>
                <w:szCs w:val="22"/>
              </w:rPr>
              <w:t>25th</w:t>
            </w:r>
          </w:p>
        </w:tc>
        <w:tc>
          <w:tcPr>
            <w:tcW w:w="51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EED82AC" w14:textId="77777777" w:rsidR="00276B5A" w:rsidRPr="00276B5A" w:rsidRDefault="00276B5A">
            <w:pPr>
              <w:pStyle w:val="Style5"/>
              <w:jc w:val="center"/>
              <w:rPr>
                <w:rFonts w:asciiTheme="minorHAnsi" w:hAnsiTheme="minorHAnsi"/>
                <w:i w:val="0"/>
                <w:iCs/>
                <w:color w:val="0070C0"/>
                <w:sz w:val="22"/>
                <w:szCs w:val="22"/>
              </w:rPr>
            </w:pPr>
            <w:r w:rsidRPr="00276B5A">
              <w:rPr>
                <w:rFonts w:asciiTheme="minorHAnsi" w:hAnsiTheme="minorHAnsi"/>
                <w:i w:val="0"/>
                <w:iCs/>
                <w:color w:val="0070C0"/>
                <w:sz w:val="22"/>
                <w:szCs w:val="22"/>
              </w:rPr>
              <w:t>50th</w:t>
            </w:r>
          </w:p>
        </w:tc>
        <w:tc>
          <w:tcPr>
            <w:tcW w:w="51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8BADA79" w14:textId="77777777" w:rsidR="00276B5A" w:rsidRPr="00276B5A" w:rsidRDefault="00276B5A">
            <w:pPr>
              <w:pStyle w:val="Style5"/>
              <w:jc w:val="center"/>
              <w:rPr>
                <w:rFonts w:asciiTheme="minorHAnsi" w:hAnsiTheme="minorHAnsi"/>
                <w:i w:val="0"/>
                <w:iCs/>
                <w:color w:val="0070C0"/>
                <w:sz w:val="22"/>
                <w:szCs w:val="22"/>
              </w:rPr>
            </w:pPr>
            <w:r w:rsidRPr="00276B5A">
              <w:rPr>
                <w:rFonts w:asciiTheme="minorHAnsi" w:hAnsiTheme="minorHAnsi"/>
                <w:i w:val="0"/>
                <w:iCs/>
                <w:color w:val="0070C0"/>
                <w:sz w:val="22"/>
                <w:szCs w:val="22"/>
              </w:rPr>
              <w:t>75th</w:t>
            </w:r>
          </w:p>
        </w:tc>
        <w:tc>
          <w:tcPr>
            <w:tcW w:w="51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5C3390" w14:textId="77777777" w:rsidR="00276B5A" w:rsidRPr="00276B5A" w:rsidRDefault="00276B5A">
            <w:pPr>
              <w:pStyle w:val="Style5"/>
              <w:jc w:val="center"/>
              <w:rPr>
                <w:rFonts w:asciiTheme="minorHAnsi" w:hAnsiTheme="minorHAnsi"/>
                <w:i w:val="0"/>
                <w:iCs/>
                <w:color w:val="0070C0"/>
                <w:sz w:val="22"/>
                <w:szCs w:val="22"/>
              </w:rPr>
            </w:pPr>
            <w:r w:rsidRPr="00276B5A">
              <w:rPr>
                <w:rFonts w:asciiTheme="minorHAnsi" w:hAnsiTheme="minorHAnsi"/>
                <w:i w:val="0"/>
                <w:iCs/>
                <w:color w:val="0070C0"/>
                <w:sz w:val="22"/>
                <w:szCs w:val="22"/>
              </w:rPr>
              <w:t>90th</w:t>
            </w:r>
          </w:p>
        </w:tc>
        <w:tc>
          <w:tcPr>
            <w:tcW w:w="402"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3312D2" w14:textId="77777777" w:rsidR="00276B5A" w:rsidRPr="00276B5A" w:rsidRDefault="00276B5A">
            <w:pPr>
              <w:pStyle w:val="Style5"/>
              <w:jc w:val="center"/>
              <w:rPr>
                <w:rFonts w:asciiTheme="minorHAnsi" w:hAnsiTheme="minorHAnsi"/>
                <w:i w:val="0"/>
                <w:iCs/>
                <w:color w:val="0070C0"/>
                <w:sz w:val="22"/>
                <w:szCs w:val="22"/>
              </w:rPr>
            </w:pPr>
            <w:r w:rsidRPr="00276B5A">
              <w:rPr>
                <w:rFonts w:asciiTheme="minorHAnsi" w:hAnsiTheme="minorHAnsi"/>
                <w:i w:val="0"/>
                <w:iCs/>
                <w:color w:val="0070C0"/>
                <w:sz w:val="22"/>
                <w:szCs w:val="22"/>
              </w:rPr>
              <w:t>IQR</w:t>
            </w:r>
          </w:p>
        </w:tc>
      </w:tr>
      <w:tr w:rsidR="00276B5A" w:rsidRPr="00276B5A" w14:paraId="14984072" w14:textId="77777777" w:rsidTr="00276B5A">
        <w:trPr>
          <w:trHeight w:val="296"/>
        </w:trPr>
        <w:tc>
          <w:tcPr>
            <w:tcW w:w="979"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7D9A033" w14:textId="77777777" w:rsidR="00276B5A" w:rsidRPr="00276B5A" w:rsidRDefault="00276B5A">
            <w:pPr>
              <w:pStyle w:val="Style5"/>
              <w:rPr>
                <w:rFonts w:asciiTheme="minorHAnsi" w:hAnsiTheme="minorHAnsi"/>
                <w:i w:val="0"/>
                <w:iCs/>
                <w:color w:val="0070C0"/>
                <w:sz w:val="22"/>
                <w:szCs w:val="22"/>
              </w:rPr>
            </w:pPr>
            <w:r w:rsidRPr="00276B5A">
              <w:rPr>
                <w:rFonts w:asciiTheme="minorHAnsi" w:hAnsiTheme="minorHAnsi"/>
                <w:i w:val="0"/>
                <w:iCs/>
                <w:color w:val="0070C0"/>
                <w:sz w:val="22"/>
                <w:szCs w:val="22"/>
              </w:rPr>
              <w:t>Medicare Plans</w:t>
            </w:r>
          </w:p>
        </w:tc>
        <w:tc>
          <w:tcPr>
            <w:tcW w:w="51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2E38DA9" w14:textId="77777777" w:rsidR="00276B5A" w:rsidRPr="00276B5A" w:rsidRDefault="00276B5A">
            <w:pPr>
              <w:pStyle w:val="Style5"/>
              <w:jc w:val="center"/>
              <w:rPr>
                <w:rFonts w:asciiTheme="minorHAnsi" w:hAnsiTheme="minorHAnsi"/>
                <w:i w:val="0"/>
                <w:color w:val="0070C0"/>
                <w:sz w:val="22"/>
                <w:szCs w:val="22"/>
              </w:rPr>
            </w:pPr>
            <w:r w:rsidRPr="00276B5A">
              <w:rPr>
                <w:rFonts w:asciiTheme="minorHAnsi" w:hAnsiTheme="minorHAnsi"/>
                <w:i w:val="0"/>
                <w:color w:val="0070C0"/>
                <w:sz w:val="22"/>
                <w:szCs w:val="22"/>
              </w:rPr>
              <w:t>73.1</w:t>
            </w:r>
          </w:p>
        </w:tc>
        <w:tc>
          <w:tcPr>
            <w:tcW w:w="51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EBE4AA9" w14:textId="77777777" w:rsidR="00276B5A" w:rsidRPr="00276B5A" w:rsidRDefault="00276B5A">
            <w:pPr>
              <w:pStyle w:val="Style5"/>
              <w:jc w:val="center"/>
              <w:rPr>
                <w:rFonts w:asciiTheme="minorHAnsi" w:hAnsiTheme="minorHAnsi"/>
                <w:i w:val="0"/>
                <w:color w:val="0070C0"/>
                <w:sz w:val="22"/>
                <w:szCs w:val="22"/>
              </w:rPr>
            </w:pPr>
            <w:r w:rsidRPr="00276B5A">
              <w:rPr>
                <w:rFonts w:asciiTheme="minorHAnsi" w:hAnsiTheme="minorHAnsi"/>
                <w:i w:val="0"/>
                <w:color w:val="0070C0"/>
                <w:sz w:val="22"/>
                <w:szCs w:val="22"/>
              </w:rPr>
              <w:t>9.6</w:t>
            </w:r>
          </w:p>
        </w:tc>
        <w:tc>
          <w:tcPr>
            <w:tcW w:w="51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5430D10" w14:textId="77777777" w:rsidR="00276B5A" w:rsidRPr="00276B5A" w:rsidRDefault="00276B5A">
            <w:pPr>
              <w:pStyle w:val="Style5"/>
              <w:jc w:val="center"/>
              <w:rPr>
                <w:rFonts w:asciiTheme="minorHAnsi" w:hAnsiTheme="minorHAnsi"/>
                <w:i w:val="0"/>
                <w:color w:val="0070C0"/>
                <w:sz w:val="22"/>
                <w:szCs w:val="22"/>
              </w:rPr>
            </w:pPr>
            <w:r w:rsidRPr="00276B5A">
              <w:rPr>
                <w:rFonts w:asciiTheme="minorHAnsi" w:hAnsiTheme="minorHAnsi"/>
                <w:i w:val="0"/>
                <w:color w:val="0070C0"/>
                <w:sz w:val="22"/>
                <w:szCs w:val="22"/>
              </w:rPr>
              <w:t>59.3</w:t>
            </w:r>
          </w:p>
        </w:tc>
        <w:tc>
          <w:tcPr>
            <w:tcW w:w="51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858E639" w14:textId="77777777" w:rsidR="00276B5A" w:rsidRPr="00276B5A" w:rsidRDefault="00276B5A">
            <w:pPr>
              <w:pStyle w:val="Style5"/>
              <w:jc w:val="center"/>
              <w:rPr>
                <w:rFonts w:asciiTheme="minorHAnsi" w:hAnsiTheme="minorHAnsi"/>
                <w:i w:val="0"/>
                <w:color w:val="0070C0"/>
                <w:sz w:val="22"/>
                <w:szCs w:val="22"/>
              </w:rPr>
            </w:pPr>
            <w:r w:rsidRPr="00276B5A">
              <w:rPr>
                <w:rFonts w:asciiTheme="minorHAnsi" w:hAnsiTheme="minorHAnsi"/>
                <w:i w:val="0"/>
                <w:color w:val="0070C0"/>
                <w:sz w:val="22"/>
                <w:szCs w:val="22"/>
              </w:rPr>
              <w:t>67.1</w:t>
            </w:r>
          </w:p>
        </w:tc>
        <w:tc>
          <w:tcPr>
            <w:tcW w:w="51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584D028" w14:textId="77777777" w:rsidR="00276B5A" w:rsidRPr="00276B5A" w:rsidRDefault="00276B5A">
            <w:pPr>
              <w:pStyle w:val="Style5"/>
              <w:jc w:val="center"/>
              <w:rPr>
                <w:rFonts w:asciiTheme="minorHAnsi" w:hAnsiTheme="minorHAnsi"/>
                <w:i w:val="0"/>
                <w:color w:val="0070C0"/>
                <w:sz w:val="22"/>
                <w:szCs w:val="22"/>
              </w:rPr>
            </w:pPr>
            <w:r w:rsidRPr="00276B5A">
              <w:rPr>
                <w:rFonts w:asciiTheme="minorHAnsi" w:hAnsiTheme="minorHAnsi"/>
                <w:i w:val="0"/>
                <w:color w:val="0070C0"/>
                <w:sz w:val="22"/>
                <w:szCs w:val="22"/>
              </w:rPr>
              <w:t>74.6</w:t>
            </w:r>
          </w:p>
        </w:tc>
        <w:tc>
          <w:tcPr>
            <w:tcW w:w="51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33251E4" w14:textId="77777777" w:rsidR="00276B5A" w:rsidRPr="00276B5A" w:rsidRDefault="00276B5A">
            <w:pPr>
              <w:pStyle w:val="Style5"/>
              <w:jc w:val="center"/>
              <w:rPr>
                <w:rFonts w:asciiTheme="minorHAnsi" w:hAnsiTheme="minorHAnsi"/>
                <w:i w:val="0"/>
                <w:color w:val="0070C0"/>
                <w:sz w:val="22"/>
                <w:szCs w:val="22"/>
              </w:rPr>
            </w:pPr>
            <w:r w:rsidRPr="00276B5A">
              <w:rPr>
                <w:rFonts w:asciiTheme="minorHAnsi" w:hAnsiTheme="minorHAnsi"/>
                <w:i w:val="0"/>
                <w:color w:val="0070C0"/>
                <w:sz w:val="22"/>
                <w:szCs w:val="22"/>
              </w:rPr>
              <w:t>81.0</w:t>
            </w:r>
          </w:p>
        </w:tc>
        <w:tc>
          <w:tcPr>
            <w:tcW w:w="51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C7C7CFB" w14:textId="77777777" w:rsidR="00276B5A" w:rsidRPr="00276B5A" w:rsidRDefault="00276B5A">
            <w:pPr>
              <w:pStyle w:val="Style5"/>
              <w:jc w:val="center"/>
              <w:rPr>
                <w:rFonts w:asciiTheme="minorHAnsi" w:hAnsiTheme="minorHAnsi"/>
                <w:i w:val="0"/>
                <w:color w:val="0070C0"/>
                <w:sz w:val="22"/>
                <w:szCs w:val="22"/>
              </w:rPr>
            </w:pPr>
            <w:r w:rsidRPr="00276B5A">
              <w:rPr>
                <w:rFonts w:asciiTheme="minorHAnsi" w:hAnsiTheme="minorHAnsi"/>
                <w:i w:val="0"/>
                <w:color w:val="0070C0"/>
                <w:sz w:val="22"/>
                <w:szCs w:val="22"/>
              </w:rPr>
              <w:t>84.1</w:t>
            </w:r>
          </w:p>
        </w:tc>
        <w:tc>
          <w:tcPr>
            <w:tcW w:w="40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ED38B69" w14:textId="77777777" w:rsidR="00276B5A" w:rsidRPr="00276B5A" w:rsidRDefault="00276B5A">
            <w:pPr>
              <w:pStyle w:val="Style5"/>
              <w:jc w:val="center"/>
              <w:rPr>
                <w:rFonts w:asciiTheme="minorHAnsi" w:hAnsiTheme="minorHAnsi"/>
                <w:i w:val="0"/>
                <w:color w:val="0070C0"/>
                <w:sz w:val="22"/>
                <w:szCs w:val="22"/>
              </w:rPr>
            </w:pPr>
            <w:r w:rsidRPr="00276B5A">
              <w:rPr>
                <w:rFonts w:asciiTheme="minorHAnsi" w:hAnsiTheme="minorHAnsi"/>
                <w:i w:val="0"/>
                <w:color w:val="0070C0"/>
                <w:sz w:val="22"/>
                <w:szCs w:val="22"/>
              </w:rPr>
              <w:t>13.9</w:t>
            </w:r>
          </w:p>
        </w:tc>
      </w:tr>
    </w:tbl>
    <w:p w14:paraId="2FED0E49" w14:textId="77777777" w:rsidR="00276B5A" w:rsidRPr="00276B5A" w:rsidRDefault="00276B5A" w:rsidP="00276B5A">
      <w:pPr>
        <w:pStyle w:val="Style5"/>
        <w:rPr>
          <w:rFonts w:asciiTheme="minorHAnsi" w:hAnsiTheme="minorHAnsi"/>
          <w:i w:val="0"/>
          <w:color w:val="0070C0"/>
          <w:sz w:val="22"/>
          <w:szCs w:val="22"/>
        </w:rPr>
      </w:pPr>
      <w:r w:rsidRPr="00276B5A">
        <w:rPr>
          <w:rFonts w:asciiTheme="minorHAnsi" w:hAnsiTheme="minorHAnsi"/>
          <w:i w:val="0"/>
          <w:color w:val="0070C0"/>
          <w:sz w:val="22"/>
          <w:szCs w:val="22"/>
        </w:rPr>
        <w:t>EP: Eligible Population, the average denominator size across plans submitting to HEDIS</w:t>
      </w:r>
    </w:p>
    <w:p w14:paraId="3449DB31" w14:textId="77777777" w:rsidR="00276B5A" w:rsidRPr="00276B5A" w:rsidRDefault="00276B5A" w:rsidP="00276B5A">
      <w:pPr>
        <w:pStyle w:val="Style5"/>
        <w:rPr>
          <w:rFonts w:asciiTheme="minorHAnsi" w:hAnsiTheme="minorHAnsi"/>
          <w:i w:val="0"/>
          <w:color w:val="0070C0"/>
          <w:sz w:val="22"/>
          <w:szCs w:val="22"/>
        </w:rPr>
      </w:pPr>
      <w:r w:rsidRPr="00276B5A">
        <w:rPr>
          <w:rFonts w:asciiTheme="minorHAnsi" w:hAnsiTheme="minorHAnsi"/>
          <w:i w:val="0"/>
          <w:color w:val="0070C0"/>
          <w:sz w:val="22"/>
          <w:szCs w:val="22"/>
        </w:rPr>
        <w:t>IQR: Interquartile range</w:t>
      </w:r>
    </w:p>
    <w:p w14:paraId="106AA405" w14:textId="77777777" w:rsidR="00276B5A" w:rsidRPr="00276B5A" w:rsidRDefault="00276B5A" w:rsidP="00276B5A">
      <w:pPr>
        <w:autoSpaceDE w:val="0"/>
        <w:autoSpaceDN w:val="0"/>
        <w:adjustRightInd w:val="0"/>
        <w:spacing w:after="0" w:line="240" w:lineRule="auto"/>
        <w:rPr>
          <w:rFonts w:cstheme="minorHAnsi"/>
          <w:bCs/>
          <w:color w:val="0070C0"/>
        </w:rPr>
      </w:pPr>
    </w:p>
    <w:p w14:paraId="6B28DF67" w14:textId="77777777" w:rsidR="00276B5A" w:rsidRPr="00276B5A" w:rsidRDefault="00276B5A" w:rsidP="00276B5A">
      <w:pPr>
        <w:spacing w:after="0"/>
        <w:rPr>
          <w:b/>
          <w:color w:val="0070C0"/>
        </w:rPr>
      </w:pPr>
      <w:r w:rsidRPr="00276B5A">
        <w:rPr>
          <w:b/>
          <w:color w:val="0070C0"/>
        </w:rPr>
        <w:t>Table 5: T-test between two randomly selected health plans in HEDIS (2012 data)</w:t>
      </w:r>
    </w:p>
    <w:tbl>
      <w:tblPr>
        <w:tblW w:w="4911" w:type="pct"/>
        <w:tblInd w:w="-5" w:type="dxa"/>
        <w:tblCellMar>
          <w:left w:w="0" w:type="dxa"/>
          <w:right w:w="0" w:type="dxa"/>
        </w:tblCellMar>
        <w:tblLook w:val="04A0" w:firstRow="1" w:lastRow="0" w:firstColumn="1" w:lastColumn="0" w:noHBand="0" w:noVBand="1"/>
      </w:tblPr>
      <w:tblGrid>
        <w:gridCol w:w="1540"/>
        <w:gridCol w:w="2415"/>
        <w:gridCol w:w="2881"/>
        <w:gridCol w:w="1169"/>
        <w:gridCol w:w="1169"/>
      </w:tblGrid>
      <w:tr w:rsidR="00276B5A" w:rsidRPr="00276B5A" w14:paraId="5B5F1F12" w14:textId="77777777" w:rsidTr="00276B5A">
        <w:tc>
          <w:tcPr>
            <w:tcW w:w="840" w:type="pct"/>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tcPr>
          <w:p w14:paraId="1A0F7159" w14:textId="77777777" w:rsidR="00276B5A" w:rsidRPr="00276B5A" w:rsidRDefault="00276B5A">
            <w:pPr>
              <w:pStyle w:val="Style5"/>
              <w:spacing w:line="276" w:lineRule="auto"/>
              <w:rPr>
                <w:rFonts w:asciiTheme="minorHAnsi" w:hAnsiTheme="minorHAnsi"/>
                <w:i w:val="0"/>
                <w:color w:val="0070C0"/>
                <w:sz w:val="22"/>
                <w:szCs w:val="22"/>
              </w:rPr>
            </w:pPr>
          </w:p>
        </w:tc>
        <w:tc>
          <w:tcPr>
            <w:tcW w:w="1316" w:type="pct"/>
            <w:tcBorders>
              <w:top w:val="single" w:sz="8" w:space="0" w:color="auto"/>
              <w:left w:val="nil"/>
              <w:bottom w:val="single" w:sz="8" w:space="0" w:color="auto"/>
              <w:right w:val="single" w:sz="8" w:space="0" w:color="auto"/>
            </w:tcBorders>
            <w:hideMark/>
          </w:tcPr>
          <w:p w14:paraId="5D7C31C8" w14:textId="77777777" w:rsidR="00276B5A" w:rsidRPr="00276B5A" w:rsidRDefault="00276B5A">
            <w:pPr>
              <w:pStyle w:val="Style5"/>
              <w:spacing w:line="276" w:lineRule="auto"/>
              <w:jc w:val="center"/>
              <w:rPr>
                <w:rFonts w:asciiTheme="minorHAnsi" w:hAnsiTheme="minorHAnsi"/>
                <w:i w:val="0"/>
                <w:iCs/>
                <w:color w:val="0070C0"/>
                <w:sz w:val="22"/>
                <w:szCs w:val="22"/>
              </w:rPr>
            </w:pPr>
            <w:r w:rsidRPr="00276B5A">
              <w:rPr>
                <w:rFonts w:asciiTheme="minorHAnsi" w:hAnsiTheme="minorHAnsi"/>
                <w:i w:val="0"/>
                <w:iCs/>
                <w:color w:val="0070C0"/>
                <w:sz w:val="22"/>
                <w:szCs w:val="22"/>
              </w:rPr>
              <w:t>Plan Rate (25</w:t>
            </w:r>
            <w:r w:rsidRPr="00276B5A">
              <w:rPr>
                <w:rFonts w:asciiTheme="minorHAnsi" w:hAnsiTheme="minorHAnsi"/>
                <w:i w:val="0"/>
                <w:iCs/>
                <w:color w:val="0070C0"/>
                <w:sz w:val="22"/>
                <w:szCs w:val="22"/>
                <w:vertAlign w:val="superscript"/>
              </w:rPr>
              <w:t>th</w:t>
            </w:r>
            <w:r w:rsidRPr="00276B5A">
              <w:rPr>
                <w:rFonts w:asciiTheme="minorHAnsi" w:hAnsiTheme="minorHAnsi"/>
                <w:i w:val="0"/>
                <w:iCs/>
                <w:color w:val="0070C0"/>
                <w:sz w:val="22"/>
                <w:szCs w:val="22"/>
              </w:rPr>
              <w:t xml:space="preserve"> Percentile)</w:t>
            </w:r>
          </w:p>
        </w:tc>
        <w:tc>
          <w:tcPr>
            <w:tcW w:w="1570" w:type="pct"/>
            <w:tcBorders>
              <w:top w:val="single" w:sz="8" w:space="0" w:color="auto"/>
              <w:left w:val="nil"/>
              <w:bottom w:val="single" w:sz="8" w:space="0" w:color="auto"/>
              <w:right w:val="single" w:sz="8" w:space="0" w:color="auto"/>
            </w:tcBorders>
            <w:hideMark/>
          </w:tcPr>
          <w:p w14:paraId="008EA651" w14:textId="77777777" w:rsidR="00276B5A" w:rsidRPr="00276B5A" w:rsidRDefault="00276B5A">
            <w:pPr>
              <w:pStyle w:val="Style5"/>
              <w:spacing w:line="276" w:lineRule="auto"/>
              <w:jc w:val="center"/>
              <w:rPr>
                <w:rFonts w:asciiTheme="minorHAnsi" w:hAnsiTheme="minorHAnsi"/>
                <w:i w:val="0"/>
                <w:iCs/>
                <w:color w:val="0070C0"/>
                <w:sz w:val="22"/>
                <w:szCs w:val="22"/>
              </w:rPr>
            </w:pPr>
            <w:r w:rsidRPr="00276B5A">
              <w:rPr>
                <w:rFonts w:asciiTheme="minorHAnsi" w:hAnsiTheme="minorHAnsi"/>
                <w:i w:val="0"/>
                <w:iCs/>
                <w:color w:val="0070C0"/>
                <w:sz w:val="22"/>
                <w:szCs w:val="22"/>
              </w:rPr>
              <w:t>Plan Rate (75</w:t>
            </w:r>
            <w:r w:rsidRPr="00276B5A">
              <w:rPr>
                <w:rFonts w:asciiTheme="minorHAnsi" w:hAnsiTheme="minorHAnsi"/>
                <w:i w:val="0"/>
                <w:iCs/>
                <w:color w:val="0070C0"/>
                <w:sz w:val="22"/>
                <w:szCs w:val="22"/>
                <w:vertAlign w:val="superscript"/>
              </w:rPr>
              <w:t>th</w:t>
            </w:r>
            <w:r w:rsidRPr="00276B5A">
              <w:rPr>
                <w:rFonts w:asciiTheme="minorHAnsi" w:hAnsiTheme="minorHAnsi"/>
                <w:i w:val="0"/>
                <w:iCs/>
                <w:color w:val="0070C0"/>
                <w:sz w:val="22"/>
                <w:szCs w:val="22"/>
              </w:rPr>
              <w:t xml:space="preserve"> Percentile)</w:t>
            </w:r>
          </w:p>
        </w:tc>
        <w:tc>
          <w:tcPr>
            <w:tcW w:w="637" w:type="pct"/>
            <w:tcBorders>
              <w:top w:val="single" w:sz="8" w:space="0" w:color="auto"/>
              <w:left w:val="nil"/>
              <w:bottom w:val="single" w:sz="8" w:space="0" w:color="auto"/>
              <w:right w:val="single" w:sz="4" w:space="0" w:color="auto"/>
            </w:tcBorders>
            <w:hideMark/>
          </w:tcPr>
          <w:p w14:paraId="7B8F3109" w14:textId="77777777" w:rsidR="00276B5A" w:rsidRPr="00276B5A" w:rsidRDefault="00276B5A">
            <w:pPr>
              <w:pStyle w:val="Style5"/>
              <w:spacing w:line="276" w:lineRule="auto"/>
              <w:jc w:val="center"/>
              <w:rPr>
                <w:rFonts w:asciiTheme="minorHAnsi" w:hAnsiTheme="minorHAnsi"/>
                <w:i w:val="0"/>
                <w:iCs/>
                <w:color w:val="0070C0"/>
                <w:sz w:val="22"/>
                <w:szCs w:val="22"/>
              </w:rPr>
            </w:pPr>
            <w:r w:rsidRPr="00276B5A">
              <w:rPr>
                <w:rFonts w:asciiTheme="minorHAnsi" w:hAnsiTheme="minorHAnsi"/>
                <w:i w:val="0"/>
                <w:iCs/>
                <w:color w:val="0070C0"/>
                <w:sz w:val="22"/>
                <w:szCs w:val="22"/>
              </w:rPr>
              <w:t>Z-score</w:t>
            </w:r>
          </w:p>
        </w:tc>
        <w:tc>
          <w:tcPr>
            <w:tcW w:w="637" w:type="pct"/>
            <w:tcBorders>
              <w:top w:val="single" w:sz="8" w:space="0" w:color="auto"/>
              <w:left w:val="single" w:sz="4" w:space="0" w:color="auto"/>
              <w:bottom w:val="single" w:sz="8" w:space="0" w:color="auto"/>
              <w:right w:val="single" w:sz="8" w:space="0" w:color="auto"/>
            </w:tcBorders>
            <w:hideMark/>
          </w:tcPr>
          <w:p w14:paraId="3F592EA4" w14:textId="77777777" w:rsidR="00276B5A" w:rsidRPr="00276B5A" w:rsidRDefault="00276B5A">
            <w:pPr>
              <w:pStyle w:val="Style5"/>
              <w:spacing w:line="276" w:lineRule="auto"/>
              <w:jc w:val="center"/>
              <w:rPr>
                <w:rFonts w:asciiTheme="minorHAnsi" w:hAnsiTheme="minorHAnsi"/>
                <w:i w:val="0"/>
                <w:iCs/>
                <w:color w:val="0070C0"/>
                <w:sz w:val="22"/>
                <w:szCs w:val="22"/>
              </w:rPr>
            </w:pPr>
            <w:r w:rsidRPr="00276B5A">
              <w:rPr>
                <w:rFonts w:asciiTheme="minorHAnsi" w:hAnsiTheme="minorHAnsi"/>
                <w:i w:val="0"/>
                <w:iCs/>
                <w:color w:val="0070C0"/>
                <w:sz w:val="22"/>
                <w:szCs w:val="22"/>
              </w:rPr>
              <w:t>P-Value</w:t>
            </w:r>
          </w:p>
        </w:tc>
      </w:tr>
      <w:tr w:rsidR="00276B5A" w:rsidRPr="00276B5A" w14:paraId="301434F1" w14:textId="77777777" w:rsidTr="00276B5A">
        <w:tc>
          <w:tcPr>
            <w:tcW w:w="84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B37D90B" w14:textId="77777777" w:rsidR="00276B5A" w:rsidRPr="00276B5A" w:rsidRDefault="00276B5A">
            <w:pPr>
              <w:pStyle w:val="Style5"/>
              <w:spacing w:line="276" w:lineRule="auto"/>
              <w:rPr>
                <w:rFonts w:asciiTheme="minorHAnsi" w:hAnsiTheme="minorHAnsi"/>
                <w:i w:val="0"/>
                <w:iCs/>
                <w:color w:val="0070C0"/>
                <w:sz w:val="22"/>
                <w:szCs w:val="22"/>
              </w:rPr>
            </w:pPr>
            <w:r w:rsidRPr="00276B5A">
              <w:rPr>
                <w:rFonts w:asciiTheme="minorHAnsi" w:hAnsiTheme="minorHAnsi"/>
                <w:i w:val="0"/>
                <w:iCs/>
                <w:color w:val="0070C0"/>
                <w:sz w:val="22"/>
                <w:szCs w:val="22"/>
              </w:rPr>
              <w:t>Medicare</w:t>
            </w:r>
          </w:p>
        </w:tc>
        <w:tc>
          <w:tcPr>
            <w:tcW w:w="1316" w:type="pct"/>
            <w:tcBorders>
              <w:top w:val="nil"/>
              <w:left w:val="nil"/>
              <w:bottom w:val="single" w:sz="8" w:space="0" w:color="auto"/>
              <w:right w:val="single" w:sz="8" w:space="0" w:color="auto"/>
            </w:tcBorders>
            <w:hideMark/>
          </w:tcPr>
          <w:p w14:paraId="588E5D3A" w14:textId="77777777" w:rsidR="00276B5A" w:rsidRPr="00276B5A" w:rsidRDefault="00276B5A">
            <w:pPr>
              <w:pStyle w:val="Style5"/>
              <w:spacing w:line="276" w:lineRule="auto"/>
              <w:jc w:val="center"/>
              <w:rPr>
                <w:rFonts w:asciiTheme="minorHAnsi" w:hAnsiTheme="minorHAnsi"/>
                <w:i w:val="0"/>
                <w:iCs/>
                <w:color w:val="0070C0"/>
                <w:sz w:val="22"/>
                <w:szCs w:val="22"/>
              </w:rPr>
            </w:pPr>
            <w:r w:rsidRPr="00276B5A">
              <w:rPr>
                <w:rFonts w:asciiTheme="minorHAnsi" w:hAnsiTheme="minorHAnsi"/>
                <w:i w:val="0"/>
                <w:iCs/>
                <w:color w:val="0070C0"/>
                <w:sz w:val="22"/>
                <w:szCs w:val="22"/>
              </w:rPr>
              <w:t>65.8</w:t>
            </w:r>
          </w:p>
        </w:tc>
        <w:tc>
          <w:tcPr>
            <w:tcW w:w="1570" w:type="pct"/>
            <w:tcBorders>
              <w:top w:val="nil"/>
              <w:left w:val="nil"/>
              <w:bottom w:val="single" w:sz="8" w:space="0" w:color="auto"/>
              <w:right w:val="single" w:sz="8" w:space="0" w:color="auto"/>
            </w:tcBorders>
            <w:hideMark/>
          </w:tcPr>
          <w:p w14:paraId="689B5901" w14:textId="77777777" w:rsidR="00276B5A" w:rsidRPr="00276B5A" w:rsidRDefault="00276B5A">
            <w:pPr>
              <w:pStyle w:val="Style5"/>
              <w:spacing w:line="276" w:lineRule="auto"/>
              <w:jc w:val="center"/>
              <w:rPr>
                <w:rFonts w:asciiTheme="minorHAnsi" w:hAnsiTheme="minorHAnsi"/>
                <w:i w:val="0"/>
                <w:iCs/>
                <w:color w:val="0070C0"/>
                <w:sz w:val="22"/>
                <w:szCs w:val="22"/>
              </w:rPr>
            </w:pPr>
            <w:r w:rsidRPr="00276B5A">
              <w:rPr>
                <w:rFonts w:asciiTheme="minorHAnsi" w:hAnsiTheme="minorHAnsi"/>
                <w:i w:val="0"/>
                <w:iCs/>
                <w:color w:val="0070C0"/>
                <w:sz w:val="22"/>
                <w:szCs w:val="22"/>
              </w:rPr>
              <w:t>82.2</w:t>
            </w:r>
          </w:p>
        </w:tc>
        <w:tc>
          <w:tcPr>
            <w:tcW w:w="637" w:type="pct"/>
            <w:tcBorders>
              <w:top w:val="single" w:sz="8" w:space="0" w:color="auto"/>
              <w:left w:val="nil"/>
              <w:bottom w:val="single" w:sz="8" w:space="0" w:color="auto"/>
              <w:right w:val="single" w:sz="4" w:space="0" w:color="auto"/>
            </w:tcBorders>
            <w:hideMark/>
          </w:tcPr>
          <w:p w14:paraId="2AB25A86" w14:textId="77777777" w:rsidR="00276B5A" w:rsidRPr="00276B5A" w:rsidRDefault="00276B5A">
            <w:pPr>
              <w:pStyle w:val="Style5"/>
              <w:spacing w:line="276" w:lineRule="auto"/>
              <w:jc w:val="center"/>
              <w:rPr>
                <w:rFonts w:asciiTheme="minorHAnsi" w:hAnsiTheme="minorHAnsi"/>
                <w:i w:val="0"/>
                <w:iCs/>
                <w:color w:val="0070C0"/>
                <w:sz w:val="22"/>
                <w:szCs w:val="22"/>
              </w:rPr>
            </w:pPr>
            <w:r w:rsidRPr="00276B5A">
              <w:rPr>
                <w:rFonts w:asciiTheme="minorHAnsi" w:hAnsiTheme="minorHAnsi"/>
                <w:i w:val="0"/>
                <w:iCs/>
                <w:color w:val="0070C0"/>
                <w:sz w:val="22"/>
                <w:szCs w:val="22"/>
              </w:rPr>
              <w:t>4.3</w:t>
            </w:r>
          </w:p>
        </w:tc>
        <w:tc>
          <w:tcPr>
            <w:tcW w:w="637" w:type="pct"/>
            <w:tcBorders>
              <w:top w:val="nil"/>
              <w:left w:val="single" w:sz="4" w:space="0" w:color="auto"/>
              <w:bottom w:val="single" w:sz="8" w:space="0" w:color="auto"/>
              <w:right w:val="single" w:sz="8" w:space="0" w:color="auto"/>
            </w:tcBorders>
            <w:hideMark/>
          </w:tcPr>
          <w:p w14:paraId="17479462" w14:textId="77777777" w:rsidR="00276B5A" w:rsidRPr="00276B5A" w:rsidRDefault="00276B5A">
            <w:pPr>
              <w:pStyle w:val="Style5"/>
              <w:spacing w:line="276" w:lineRule="auto"/>
              <w:jc w:val="center"/>
              <w:rPr>
                <w:rFonts w:asciiTheme="minorHAnsi" w:hAnsiTheme="minorHAnsi"/>
                <w:i w:val="0"/>
                <w:iCs/>
                <w:color w:val="0070C0"/>
                <w:sz w:val="22"/>
                <w:szCs w:val="22"/>
              </w:rPr>
            </w:pPr>
            <w:r w:rsidRPr="00276B5A">
              <w:rPr>
                <w:rFonts w:asciiTheme="minorHAnsi" w:hAnsiTheme="minorHAnsi"/>
                <w:i w:val="0"/>
                <w:iCs/>
                <w:color w:val="0070C0"/>
                <w:sz w:val="22"/>
                <w:szCs w:val="22"/>
              </w:rPr>
              <w:t>&lt;.05</w:t>
            </w:r>
          </w:p>
        </w:tc>
      </w:tr>
    </w:tbl>
    <w:p w14:paraId="123FC404" w14:textId="77777777" w:rsidR="00276B5A" w:rsidRPr="00276B5A" w:rsidRDefault="00276B5A" w:rsidP="00276B5A">
      <w:pPr>
        <w:pStyle w:val="Style5"/>
        <w:rPr>
          <w:rFonts w:asciiTheme="minorHAnsi" w:hAnsiTheme="minorHAnsi"/>
          <w:i w:val="0"/>
          <w:color w:val="0070C0"/>
          <w:sz w:val="22"/>
          <w:szCs w:val="22"/>
        </w:rPr>
      </w:pPr>
      <w:r w:rsidRPr="00276B5A">
        <w:rPr>
          <w:rFonts w:asciiTheme="minorHAnsi" w:hAnsiTheme="minorHAnsi"/>
          <w:i w:val="0"/>
          <w:color w:val="0070C0"/>
          <w:sz w:val="22"/>
          <w:szCs w:val="22"/>
        </w:rPr>
        <w:t>P-value: P-value of independent samples t-test comparing plans at the 25</w:t>
      </w:r>
      <w:r w:rsidRPr="00276B5A">
        <w:rPr>
          <w:rFonts w:asciiTheme="minorHAnsi" w:hAnsiTheme="minorHAnsi"/>
          <w:i w:val="0"/>
          <w:color w:val="0070C0"/>
          <w:sz w:val="22"/>
          <w:szCs w:val="22"/>
          <w:vertAlign w:val="superscript"/>
        </w:rPr>
        <w:t>th</w:t>
      </w:r>
      <w:r w:rsidRPr="00276B5A">
        <w:rPr>
          <w:rFonts w:asciiTheme="minorHAnsi" w:hAnsiTheme="minorHAnsi"/>
          <w:i w:val="0"/>
          <w:color w:val="0070C0"/>
          <w:sz w:val="22"/>
          <w:szCs w:val="22"/>
        </w:rPr>
        <w:t xml:space="preserve"> percentile to plans at the 75</w:t>
      </w:r>
      <w:r w:rsidRPr="00276B5A">
        <w:rPr>
          <w:rFonts w:asciiTheme="minorHAnsi" w:hAnsiTheme="minorHAnsi"/>
          <w:i w:val="0"/>
          <w:color w:val="0070C0"/>
          <w:sz w:val="22"/>
          <w:szCs w:val="22"/>
          <w:vertAlign w:val="superscript"/>
        </w:rPr>
        <w:t>th</w:t>
      </w:r>
      <w:r w:rsidRPr="00276B5A">
        <w:rPr>
          <w:rFonts w:asciiTheme="minorHAnsi" w:hAnsiTheme="minorHAnsi"/>
          <w:i w:val="0"/>
          <w:color w:val="0070C0"/>
          <w:sz w:val="22"/>
          <w:szCs w:val="22"/>
        </w:rPr>
        <w:t xml:space="preserve"> percentile</w:t>
      </w: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7FA9EDED" w14:textId="77777777" w:rsidR="00DC7ADB" w:rsidRPr="00836F9E" w:rsidRDefault="009C7513" w:rsidP="00DC7ADB">
      <w:pPr>
        <w:autoSpaceDE w:val="0"/>
        <w:autoSpaceDN w:val="0"/>
        <w:adjustRightInd w:val="0"/>
        <w:spacing w:after="0" w:line="240" w:lineRule="auto"/>
        <w:rPr>
          <w:rFonts w:cstheme="minorHAnsi"/>
          <w:b/>
          <w:bCs/>
          <w:color w:val="0070C0"/>
          <w:u w:val="single"/>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r w:rsidR="00DC7ADB" w:rsidRPr="00836F9E">
        <w:rPr>
          <w:rFonts w:cstheme="minorHAnsi"/>
          <w:b/>
          <w:bCs/>
          <w:color w:val="0070C0"/>
          <w:u w:val="single"/>
        </w:rPr>
        <w:t>2014 submission:</w:t>
      </w:r>
    </w:p>
    <w:p w14:paraId="0F283BBE" w14:textId="3116442A" w:rsidR="00DC7ADB" w:rsidRPr="00DC7ADB" w:rsidRDefault="00DC7ADB" w:rsidP="00D61410">
      <w:pPr>
        <w:autoSpaceDE w:val="0"/>
        <w:autoSpaceDN w:val="0"/>
        <w:adjustRightInd w:val="0"/>
        <w:spacing w:after="0" w:line="240" w:lineRule="auto"/>
        <w:rPr>
          <w:rFonts w:cstheme="minorHAnsi"/>
          <w:bCs/>
          <w:color w:val="0070C0"/>
        </w:rPr>
      </w:pPr>
      <w:r w:rsidRPr="00DC7ADB">
        <w:rPr>
          <w:color w:val="0070C0"/>
        </w:rPr>
        <w:t>The results above indicate there is a 13.9 percent gap in performance between the 25</w:t>
      </w:r>
      <w:r w:rsidRPr="00DC7ADB">
        <w:rPr>
          <w:color w:val="0070C0"/>
          <w:vertAlign w:val="superscript"/>
        </w:rPr>
        <w:t>th</w:t>
      </w:r>
      <w:r w:rsidRPr="00DC7ADB">
        <w:rPr>
          <w:color w:val="0070C0"/>
        </w:rPr>
        <w:t xml:space="preserve"> and 75</w:t>
      </w:r>
      <w:r w:rsidRPr="00DC7ADB">
        <w:rPr>
          <w:color w:val="0070C0"/>
          <w:vertAlign w:val="superscript"/>
        </w:rPr>
        <w:t>th</w:t>
      </w:r>
      <w:r w:rsidRPr="00DC7ADB">
        <w:rPr>
          <w:color w:val="0070C0"/>
        </w:rPr>
        <w:t xml:space="preserve"> performing plans. The difference between the 25</w:t>
      </w:r>
      <w:r w:rsidRPr="00DC7ADB">
        <w:rPr>
          <w:color w:val="0070C0"/>
          <w:vertAlign w:val="superscript"/>
        </w:rPr>
        <w:t>th</w:t>
      </w:r>
      <w:r w:rsidRPr="00DC7ADB">
        <w:rPr>
          <w:color w:val="0070C0"/>
        </w:rPr>
        <w:t xml:space="preserve"> and 75</w:t>
      </w:r>
      <w:r w:rsidRPr="00DC7ADB">
        <w:rPr>
          <w:color w:val="0070C0"/>
          <w:vertAlign w:val="superscript"/>
        </w:rPr>
        <w:t>th</w:t>
      </w:r>
      <w:r w:rsidRPr="00DC7ADB">
        <w:rPr>
          <w:color w:val="0070C0"/>
        </w:rPr>
        <w:t xml:space="preserve"> percentile is statistically significant.  </w:t>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Pr="00D92464" w:rsidRDefault="00021170" w:rsidP="00DB3627">
      <w:pPr>
        <w:autoSpaceDE w:val="0"/>
        <w:autoSpaceDN w:val="0"/>
        <w:adjustRightInd w:val="0"/>
        <w:spacing w:after="0" w:line="240" w:lineRule="auto"/>
        <w:rPr>
          <w:rFonts w:cstheme="minorHAnsi"/>
          <w:b/>
          <w:bCs/>
          <w:color w:val="BFBFBF" w:themeColor="background1" w:themeShade="BF"/>
        </w:rPr>
      </w:pPr>
      <w:r w:rsidRPr="00D92464">
        <w:rPr>
          <w:rFonts w:cstheme="minorHAnsi"/>
          <w:b/>
          <w:bCs/>
          <w:color w:val="BFBFBF" w:themeColor="background1" w:themeShade="BF"/>
        </w:rPr>
        <w:t>2</w:t>
      </w:r>
      <w:r w:rsidR="00EA5F47" w:rsidRPr="00D92464">
        <w:rPr>
          <w:rFonts w:cstheme="minorHAnsi"/>
          <w:b/>
          <w:bCs/>
          <w:color w:val="BFBFBF" w:themeColor="background1" w:themeShade="BF"/>
        </w:rPr>
        <w:t>b</w:t>
      </w:r>
      <w:r w:rsidR="009C7513" w:rsidRPr="00D92464">
        <w:rPr>
          <w:rFonts w:cstheme="minorHAnsi"/>
          <w:b/>
          <w:bCs/>
          <w:color w:val="BFBFBF" w:themeColor="background1" w:themeShade="BF"/>
        </w:rPr>
        <w:t>5</w:t>
      </w:r>
      <w:r w:rsidRPr="00D92464">
        <w:rPr>
          <w:rFonts w:cstheme="minorHAnsi"/>
          <w:b/>
          <w:bCs/>
          <w:color w:val="BFBFBF" w:themeColor="background1" w:themeShade="BF"/>
        </w:rPr>
        <w:t xml:space="preserve">. COMPARABILITY OF PERFORMANCE SCORES </w:t>
      </w:r>
      <w:r w:rsidR="004C498F" w:rsidRPr="00D92464">
        <w:rPr>
          <w:rFonts w:cstheme="minorHAnsi"/>
          <w:b/>
          <w:bCs/>
          <w:color w:val="BFBFBF" w:themeColor="background1" w:themeShade="BF"/>
        </w:rPr>
        <w:t>WHEN</w:t>
      </w:r>
      <w:r w:rsidR="002B2116" w:rsidRPr="00D92464">
        <w:rPr>
          <w:rFonts w:cstheme="minorHAnsi"/>
          <w:b/>
          <w:bCs/>
          <w:color w:val="BFBFBF" w:themeColor="background1" w:themeShade="BF"/>
        </w:rPr>
        <w:t xml:space="preserve"> MORE THAN ONE SET OF SPECIFICATIONS </w:t>
      </w:r>
    </w:p>
    <w:p w14:paraId="0CABD00F" w14:textId="77777777" w:rsidR="00567D12" w:rsidRPr="00D92464" w:rsidRDefault="00567D12" w:rsidP="00567D12">
      <w:pPr>
        <w:spacing w:after="0" w:line="240" w:lineRule="auto"/>
        <w:rPr>
          <w:rFonts w:cstheme="minorHAnsi"/>
          <w:b/>
          <w:bCs/>
          <w:color w:val="BFBFBF" w:themeColor="background1" w:themeShade="BF"/>
        </w:rPr>
      </w:pPr>
      <w:r w:rsidRPr="00D92464">
        <w:rPr>
          <w:rFonts w:cstheme="minorHAnsi"/>
          <w:b/>
          <w:bCs/>
          <w:i/>
          <w:color w:val="BFBFBF" w:themeColor="background1" w:themeShade="BF"/>
          <w:highlight w:val="green"/>
        </w:rPr>
        <w:t xml:space="preserve">If only one set of specifications, this section can be </w:t>
      </w:r>
      <w:r w:rsidR="00BE592D" w:rsidRPr="00D92464">
        <w:rPr>
          <w:rFonts w:cstheme="minorHAnsi"/>
          <w:b/>
          <w:bCs/>
          <w:i/>
          <w:color w:val="BFBFBF" w:themeColor="background1" w:themeShade="BF"/>
          <w:highlight w:val="green"/>
        </w:rPr>
        <w:t>skipped</w:t>
      </w:r>
      <w:r w:rsidR="00BE592D" w:rsidRPr="00D92464">
        <w:rPr>
          <w:rFonts w:cstheme="minorHAnsi"/>
          <w:b/>
          <w:bCs/>
          <w:i/>
          <w:color w:val="BFBFBF" w:themeColor="background1" w:themeShade="BF"/>
        </w:rPr>
        <w:t>.</w:t>
      </w:r>
    </w:p>
    <w:p w14:paraId="0CABD010" w14:textId="77777777" w:rsidR="00567D12" w:rsidRPr="00D92464" w:rsidRDefault="00567D12" w:rsidP="00DB3627">
      <w:pPr>
        <w:autoSpaceDE w:val="0"/>
        <w:autoSpaceDN w:val="0"/>
        <w:adjustRightInd w:val="0"/>
        <w:spacing w:after="0" w:line="240" w:lineRule="auto"/>
        <w:rPr>
          <w:rFonts w:cstheme="minorHAnsi"/>
          <w:b/>
          <w:bCs/>
          <w:color w:val="BFBFBF" w:themeColor="background1" w:themeShade="BF"/>
        </w:rPr>
      </w:pPr>
    </w:p>
    <w:p w14:paraId="0CABD011" w14:textId="52777D4F" w:rsidR="00052A6F" w:rsidRPr="00D92464" w:rsidRDefault="002B2116" w:rsidP="00DB3627">
      <w:pPr>
        <w:autoSpaceDE w:val="0"/>
        <w:autoSpaceDN w:val="0"/>
        <w:adjustRightInd w:val="0"/>
        <w:spacing w:after="0" w:line="240" w:lineRule="auto"/>
        <w:rPr>
          <w:rFonts w:cstheme="minorHAnsi"/>
          <w:bCs/>
          <w:i/>
          <w:color w:val="BFBFBF" w:themeColor="background1" w:themeShade="BF"/>
        </w:rPr>
      </w:pPr>
      <w:r w:rsidRPr="00D92464">
        <w:rPr>
          <w:rFonts w:cstheme="minorHAnsi"/>
          <w:b/>
          <w:bCs/>
          <w:color w:val="BFBFBF" w:themeColor="background1" w:themeShade="BF"/>
          <w:u w:val="single"/>
        </w:rPr>
        <w:t>Note</w:t>
      </w:r>
      <w:r w:rsidRPr="00D92464">
        <w:rPr>
          <w:rFonts w:cstheme="minorHAnsi"/>
          <w:bCs/>
          <w:i/>
          <w:color w:val="BFBFBF" w:themeColor="background1" w:themeShade="BF"/>
        </w:rPr>
        <w:t xml:space="preserve">: </w:t>
      </w:r>
      <w:r w:rsidR="00F1412B" w:rsidRPr="00D92464">
        <w:rPr>
          <w:rFonts w:ascii="Calibri-Italic" w:eastAsiaTheme="minorHAnsi" w:hAnsi="Calibri-Italic" w:cs="Calibri-Italic"/>
          <w:i/>
          <w:iCs/>
          <w:color w:val="BFBFBF" w:themeColor="background1" w:themeShade="BF"/>
        </w:rPr>
        <w:t xml:space="preserve">This item is directed to measures that are risk-adjusted (with or without </w:t>
      </w:r>
      <w:r w:rsidR="00AF2D68" w:rsidRPr="00D92464">
        <w:rPr>
          <w:rFonts w:ascii="Calibri-Italic" w:eastAsiaTheme="minorHAnsi" w:hAnsi="Calibri-Italic" w:cs="Calibri-Italic"/>
          <w:i/>
          <w:iCs/>
          <w:color w:val="BFBFBF" w:themeColor="background1" w:themeShade="BF"/>
        </w:rPr>
        <w:t>social risk</w:t>
      </w:r>
      <w:r w:rsidR="00F1412B" w:rsidRPr="00D92464">
        <w:rPr>
          <w:rFonts w:ascii="Calibri-Italic" w:eastAsiaTheme="minorHAnsi" w:hAnsi="Calibri-Italic" w:cs="Calibri-Italic"/>
          <w:i/>
          <w:iCs/>
          <w:color w:val="BFBFBF" w:themeColor="background1" w:themeShade="BF"/>
        </w:rPr>
        <w:t xml:space="preserve"> factors) </w:t>
      </w:r>
      <w:r w:rsidR="00F1412B" w:rsidRPr="00D92464">
        <w:rPr>
          <w:rFonts w:ascii="Calibri-Italic" w:eastAsiaTheme="minorHAnsi" w:hAnsi="Calibri-Italic" w:cs="Calibri-Italic"/>
          <w:b/>
          <w:i/>
          <w:iCs/>
          <w:color w:val="BFBFBF" w:themeColor="background1" w:themeShade="BF"/>
        </w:rPr>
        <w:t>OR</w:t>
      </w:r>
      <w:r w:rsidR="00F1412B" w:rsidRPr="00D92464">
        <w:rPr>
          <w:rFonts w:ascii="Calibri-Italic" w:eastAsiaTheme="minorHAnsi" w:hAnsi="Calibri-Italic" w:cs="Calibri-Italic"/>
          <w:i/>
          <w:iCs/>
          <w:color w:val="BFBFBF" w:themeColor="background1" w:themeShade="BF"/>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w:t>
      </w:r>
      <w:bookmarkStart w:id="14" w:name="_GoBack"/>
      <w:bookmarkEnd w:id="14"/>
      <w:r w:rsidR="00F1412B" w:rsidRPr="00D92464">
        <w:rPr>
          <w:rFonts w:ascii="Calibri-Italic" w:eastAsiaTheme="minorHAnsi" w:hAnsi="Calibri-Italic" w:cs="Calibri-Italic"/>
          <w:i/>
          <w:iCs/>
          <w:color w:val="BFBFBF" w:themeColor="background1" w:themeShade="BF"/>
        </w:rPr>
        <w:t xml:space="preserve">ctions (e.g., claims data to identify the denominator and medical record abstraction for the numerator). </w:t>
      </w:r>
      <w:r w:rsidR="00F1412B" w:rsidRPr="00D92464">
        <w:rPr>
          <w:rFonts w:ascii="Calibri-BoldItalic" w:eastAsiaTheme="minorHAnsi" w:hAnsi="Calibri-BoldItalic" w:cs="Calibri-BoldItalic"/>
          <w:b/>
          <w:bCs/>
          <w:i/>
          <w:iCs/>
          <w:color w:val="BFBFBF" w:themeColor="background1" w:themeShade="BF"/>
        </w:rPr>
        <w:t xml:space="preserve">Comparability is not required when comparing performance scores with and without </w:t>
      </w:r>
      <w:r w:rsidR="00AF2D68" w:rsidRPr="00D92464">
        <w:rPr>
          <w:rFonts w:ascii="Calibri-BoldItalic" w:eastAsiaTheme="minorHAnsi" w:hAnsi="Calibri-BoldItalic" w:cs="Calibri-BoldItalic"/>
          <w:b/>
          <w:bCs/>
          <w:i/>
          <w:iCs/>
          <w:color w:val="BFBFBF" w:themeColor="background1" w:themeShade="BF"/>
        </w:rPr>
        <w:t>social risk</w:t>
      </w:r>
      <w:r w:rsidR="00F1412B" w:rsidRPr="00D92464">
        <w:rPr>
          <w:rFonts w:ascii="Calibri-BoldItalic" w:eastAsiaTheme="minorHAnsi" w:hAnsi="Calibri-BoldItalic" w:cs="Calibri-BoldItalic"/>
          <w:b/>
          <w:bCs/>
          <w:i/>
          <w:iCs/>
          <w:color w:val="BFBFBF" w:themeColor="background1" w:themeShade="BF"/>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0CABD012" w14:textId="77777777" w:rsidR="000F06B5" w:rsidRPr="00D92464" w:rsidRDefault="000F06B5" w:rsidP="00DB3627">
      <w:pPr>
        <w:autoSpaceDE w:val="0"/>
        <w:autoSpaceDN w:val="0"/>
        <w:adjustRightInd w:val="0"/>
        <w:spacing w:after="0" w:line="240" w:lineRule="auto"/>
        <w:rPr>
          <w:rFonts w:cstheme="minorHAnsi"/>
          <w:bCs/>
          <w:color w:val="BFBFBF" w:themeColor="background1" w:themeShade="BF"/>
        </w:rPr>
      </w:pPr>
    </w:p>
    <w:p w14:paraId="0CABD013" w14:textId="050CD570" w:rsidR="000F06B5" w:rsidRPr="00D92464" w:rsidRDefault="009C7513" w:rsidP="00DB3627">
      <w:pPr>
        <w:autoSpaceDE w:val="0"/>
        <w:autoSpaceDN w:val="0"/>
        <w:adjustRightInd w:val="0"/>
        <w:spacing w:after="0" w:line="240" w:lineRule="auto"/>
        <w:rPr>
          <w:rFonts w:cstheme="minorHAnsi"/>
          <w:bCs/>
          <w:color w:val="BFBFBF" w:themeColor="background1" w:themeShade="BF"/>
          <w:sz w:val="14"/>
        </w:rPr>
      </w:pPr>
      <w:r w:rsidRPr="00D92464">
        <w:rPr>
          <w:rFonts w:cstheme="minorHAnsi"/>
          <w:b/>
          <w:bCs/>
          <w:color w:val="BFBFBF" w:themeColor="background1" w:themeShade="BF"/>
        </w:rPr>
        <w:t>2b5</w:t>
      </w:r>
      <w:r w:rsidR="00E1508F" w:rsidRPr="00D92464">
        <w:rPr>
          <w:rFonts w:cstheme="minorHAnsi"/>
          <w:b/>
          <w:bCs/>
          <w:color w:val="BFBFBF" w:themeColor="background1" w:themeShade="BF"/>
        </w:rPr>
        <w:t xml:space="preserve">.1. </w:t>
      </w:r>
      <w:r w:rsidR="008871A9" w:rsidRPr="00D92464">
        <w:rPr>
          <w:rFonts w:cstheme="minorHAnsi"/>
          <w:b/>
          <w:bCs/>
          <w:color w:val="BFBFBF" w:themeColor="background1" w:themeShade="BF"/>
        </w:rPr>
        <w:t xml:space="preserve">Describe the method of </w:t>
      </w:r>
      <w:r w:rsidR="000F06B5" w:rsidRPr="00D92464">
        <w:rPr>
          <w:rFonts w:cstheme="minorHAnsi"/>
          <w:b/>
          <w:bCs/>
          <w:color w:val="BFBFBF" w:themeColor="background1" w:themeShade="BF"/>
        </w:rPr>
        <w:t>testing conducted</w:t>
      </w:r>
      <w:r w:rsidR="008871A9" w:rsidRPr="00D92464">
        <w:rPr>
          <w:rFonts w:cstheme="minorHAnsi"/>
          <w:b/>
          <w:bCs/>
          <w:color w:val="BFBFBF" w:themeColor="background1" w:themeShade="BF"/>
        </w:rPr>
        <w:t xml:space="preserve"> to </w:t>
      </w:r>
      <w:r w:rsidR="00F1412B" w:rsidRPr="00D92464">
        <w:rPr>
          <w:rFonts w:cstheme="minorHAnsi"/>
          <w:b/>
          <w:bCs/>
          <w:color w:val="BFBFBF" w:themeColor="background1" w:themeShade="BF"/>
        </w:rPr>
        <w:t>compare</w:t>
      </w:r>
      <w:r w:rsidR="004B6CEE" w:rsidRPr="00D92464">
        <w:rPr>
          <w:rFonts w:cstheme="minorHAnsi"/>
          <w:b/>
          <w:bCs/>
          <w:color w:val="BFBFBF" w:themeColor="background1" w:themeShade="BF"/>
        </w:rPr>
        <w:t xml:space="preserve"> performance scores </w:t>
      </w:r>
      <w:r w:rsidR="00A35F8F" w:rsidRPr="00D92464">
        <w:rPr>
          <w:rFonts w:cstheme="minorHAnsi"/>
          <w:b/>
          <w:bCs/>
          <w:color w:val="BFBFBF" w:themeColor="background1" w:themeShade="BF"/>
        </w:rPr>
        <w:t xml:space="preserve">for the same entities </w:t>
      </w:r>
      <w:r w:rsidR="00287649" w:rsidRPr="00D92464">
        <w:rPr>
          <w:rFonts w:cstheme="minorHAnsi"/>
          <w:b/>
          <w:bCs/>
          <w:color w:val="BFBFBF" w:themeColor="background1" w:themeShade="BF"/>
        </w:rPr>
        <w:t xml:space="preserve">across the different </w:t>
      </w:r>
      <w:r w:rsidR="00864CA8" w:rsidRPr="00D92464">
        <w:rPr>
          <w:rFonts w:cstheme="minorHAnsi"/>
          <w:b/>
          <w:bCs/>
          <w:color w:val="BFBFBF" w:themeColor="background1" w:themeShade="BF"/>
        </w:rPr>
        <w:t>data</w:t>
      </w:r>
      <w:r w:rsidR="0028114D" w:rsidRPr="00D92464">
        <w:rPr>
          <w:rFonts w:cstheme="minorHAnsi"/>
          <w:b/>
          <w:bCs/>
          <w:color w:val="BFBFBF" w:themeColor="background1" w:themeShade="BF"/>
        </w:rPr>
        <w:t xml:space="preserve"> </w:t>
      </w:r>
      <w:r w:rsidR="00864CA8" w:rsidRPr="00D92464">
        <w:rPr>
          <w:rFonts w:cstheme="minorHAnsi"/>
          <w:b/>
          <w:bCs/>
          <w:color w:val="BFBFBF" w:themeColor="background1" w:themeShade="BF"/>
        </w:rPr>
        <w:t>sources/</w:t>
      </w:r>
      <w:r w:rsidR="00287649" w:rsidRPr="00D92464">
        <w:rPr>
          <w:rFonts w:cstheme="minorHAnsi"/>
          <w:b/>
          <w:bCs/>
          <w:color w:val="BFBFBF" w:themeColor="background1" w:themeShade="BF"/>
        </w:rPr>
        <w:t>specifications</w:t>
      </w:r>
      <w:r w:rsidR="000F06B5" w:rsidRPr="00D92464">
        <w:rPr>
          <w:rFonts w:cstheme="minorHAnsi"/>
          <w:bCs/>
          <w:color w:val="BFBFBF" w:themeColor="background1" w:themeShade="BF"/>
        </w:rPr>
        <w:t xml:space="preserve"> (</w:t>
      </w:r>
      <w:r w:rsidR="008871A9" w:rsidRPr="00D92464">
        <w:rPr>
          <w:rFonts w:cstheme="minorHAnsi"/>
          <w:bCs/>
          <w:i/>
          <w:color w:val="BFBFBF" w:themeColor="background1" w:themeShade="BF"/>
        </w:rPr>
        <w:t>describe the steps―do not just name a method</w:t>
      </w:r>
      <w:r w:rsidR="006C3A4F" w:rsidRPr="00D92464">
        <w:rPr>
          <w:rFonts w:cstheme="minorHAnsi"/>
          <w:bCs/>
          <w:i/>
          <w:color w:val="BFBFBF" w:themeColor="background1" w:themeShade="BF"/>
        </w:rPr>
        <w:t>; what statistical analysis was used</w:t>
      </w:r>
      <w:r w:rsidR="000F06B5" w:rsidRPr="00D92464">
        <w:rPr>
          <w:rFonts w:cstheme="minorHAnsi"/>
          <w:bCs/>
          <w:color w:val="BFBFBF" w:themeColor="background1" w:themeShade="BF"/>
        </w:rPr>
        <w:t>)</w:t>
      </w:r>
      <w:r w:rsidR="000F06B5" w:rsidRPr="00D92464">
        <w:rPr>
          <w:rFonts w:cstheme="minorHAnsi"/>
          <w:bCs/>
          <w:color w:val="BFBFBF" w:themeColor="background1" w:themeShade="BF"/>
        </w:rPr>
        <w:br/>
        <w:t xml:space="preserve"> </w:t>
      </w:r>
    </w:p>
    <w:p w14:paraId="0CABD014" w14:textId="77777777" w:rsidR="000F06B5" w:rsidRPr="00D92464" w:rsidRDefault="000F06B5" w:rsidP="00DB3627">
      <w:pPr>
        <w:pStyle w:val="ListParagraph"/>
        <w:autoSpaceDE w:val="0"/>
        <w:autoSpaceDN w:val="0"/>
        <w:adjustRightInd w:val="0"/>
        <w:spacing w:after="0" w:line="240" w:lineRule="auto"/>
        <w:ind w:left="0"/>
        <w:rPr>
          <w:rFonts w:cstheme="minorHAnsi"/>
          <w:bCs/>
          <w:color w:val="BFBFBF" w:themeColor="background1" w:themeShade="BF"/>
        </w:rPr>
      </w:pPr>
    </w:p>
    <w:p w14:paraId="0CABD015" w14:textId="377012FB" w:rsidR="00A35F8F" w:rsidRPr="00D92464" w:rsidRDefault="009C7513" w:rsidP="00E1508F">
      <w:pPr>
        <w:autoSpaceDE w:val="0"/>
        <w:autoSpaceDN w:val="0"/>
        <w:adjustRightInd w:val="0"/>
        <w:spacing w:after="0" w:line="240" w:lineRule="auto"/>
        <w:rPr>
          <w:rFonts w:cstheme="minorHAnsi"/>
          <w:bCs/>
          <w:color w:val="BFBFBF" w:themeColor="background1" w:themeShade="BF"/>
        </w:rPr>
      </w:pPr>
      <w:r w:rsidRPr="00D92464">
        <w:rPr>
          <w:rFonts w:cstheme="minorHAnsi"/>
          <w:b/>
          <w:bCs/>
          <w:color w:val="BFBFBF" w:themeColor="background1" w:themeShade="BF"/>
        </w:rPr>
        <w:t>2b5</w:t>
      </w:r>
      <w:r w:rsidR="00E1508F" w:rsidRPr="00D92464">
        <w:rPr>
          <w:rFonts w:cstheme="minorHAnsi"/>
          <w:b/>
          <w:bCs/>
          <w:color w:val="BFBFBF" w:themeColor="background1" w:themeShade="BF"/>
        </w:rPr>
        <w:t xml:space="preserve">.2. </w:t>
      </w:r>
      <w:r w:rsidR="000F06B5" w:rsidRPr="00D92464">
        <w:rPr>
          <w:rFonts w:cstheme="minorHAnsi"/>
          <w:b/>
          <w:bCs/>
          <w:color w:val="BFBFBF" w:themeColor="background1" w:themeShade="BF"/>
        </w:rPr>
        <w:t xml:space="preserve">What were the statistical results </w:t>
      </w:r>
      <w:r w:rsidR="00A35F8F" w:rsidRPr="00D92464">
        <w:rPr>
          <w:rFonts w:cstheme="minorHAnsi"/>
          <w:b/>
          <w:bCs/>
          <w:color w:val="BFBFBF" w:themeColor="background1" w:themeShade="BF"/>
        </w:rPr>
        <w:t>from testing</w:t>
      </w:r>
      <w:r w:rsidR="000F06B5" w:rsidRPr="00D92464">
        <w:rPr>
          <w:rFonts w:cstheme="minorHAnsi"/>
          <w:b/>
          <w:bCs/>
          <w:color w:val="BFBFBF" w:themeColor="background1" w:themeShade="BF"/>
        </w:rPr>
        <w:t xml:space="preserve"> comparability of performance scores for the same entities when using different </w:t>
      </w:r>
      <w:r w:rsidR="00864CA8" w:rsidRPr="00D92464">
        <w:rPr>
          <w:rFonts w:cstheme="minorHAnsi"/>
          <w:b/>
          <w:bCs/>
          <w:color w:val="BFBFBF" w:themeColor="background1" w:themeShade="BF"/>
        </w:rPr>
        <w:t>data sources/</w:t>
      </w:r>
      <w:r w:rsidR="000F06B5" w:rsidRPr="00D92464">
        <w:rPr>
          <w:rFonts w:cstheme="minorHAnsi"/>
          <w:b/>
          <w:bCs/>
          <w:color w:val="BFBFBF" w:themeColor="background1" w:themeShade="BF"/>
        </w:rPr>
        <w:t>specifications?</w:t>
      </w:r>
      <w:r w:rsidR="000F06B5" w:rsidRPr="00D92464">
        <w:rPr>
          <w:rFonts w:cstheme="minorHAnsi"/>
          <w:bCs/>
          <w:color w:val="BFBFBF" w:themeColor="background1" w:themeShade="BF"/>
        </w:rPr>
        <w:t xml:space="preserve"> </w:t>
      </w:r>
      <w:r w:rsidR="00287649" w:rsidRPr="00D92464">
        <w:rPr>
          <w:rFonts w:cstheme="minorHAnsi"/>
          <w:bCs/>
          <w:color w:val="BFBFBF" w:themeColor="background1" w:themeShade="BF"/>
        </w:rPr>
        <w:t>(</w:t>
      </w:r>
      <w:r w:rsidR="00287649" w:rsidRPr="00D92464">
        <w:rPr>
          <w:rFonts w:cstheme="minorHAnsi"/>
          <w:bCs/>
          <w:i/>
          <w:color w:val="BFBFBF" w:themeColor="background1" w:themeShade="BF"/>
        </w:rPr>
        <w:t>e.g., correlation</w:t>
      </w:r>
      <w:r w:rsidR="006C3A4F" w:rsidRPr="00D92464">
        <w:rPr>
          <w:rFonts w:cstheme="minorHAnsi"/>
          <w:bCs/>
          <w:i/>
          <w:color w:val="BFBFBF" w:themeColor="background1" w:themeShade="BF"/>
        </w:rPr>
        <w:t>, rank order</w:t>
      </w:r>
      <w:r w:rsidR="00287649" w:rsidRPr="00D92464">
        <w:rPr>
          <w:rFonts w:cstheme="minorHAnsi"/>
          <w:bCs/>
          <w:color w:val="BFBFBF" w:themeColor="background1" w:themeShade="BF"/>
        </w:rPr>
        <w:t>)</w:t>
      </w:r>
      <w:r w:rsidR="000F06B5" w:rsidRPr="00D92464">
        <w:rPr>
          <w:rFonts w:cstheme="minorHAnsi"/>
          <w:bCs/>
          <w:color w:val="BFBFBF" w:themeColor="background1" w:themeShade="BF"/>
        </w:rPr>
        <w:br/>
      </w:r>
    </w:p>
    <w:p w14:paraId="0CABD016" w14:textId="77777777" w:rsidR="00E1508F" w:rsidRPr="00D92464" w:rsidRDefault="00E1508F" w:rsidP="00E1508F">
      <w:pPr>
        <w:autoSpaceDE w:val="0"/>
        <w:autoSpaceDN w:val="0"/>
        <w:adjustRightInd w:val="0"/>
        <w:spacing w:after="0" w:line="240" w:lineRule="auto"/>
        <w:rPr>
          <w:rFonts w:cstheme="minorHAnsi"/>
          <w:bCs/>
          <w:color w:val="BFBFBF" w:themeColor="background1" w:themeShade="BF"/>
        </w:rPr>
      </w:pPr>
    </w:p>
    <w:p w14:paraId="0CABD017" w14:textId="0C9FD55C" w:rsidR="0079180E" w:rsidRDefault="009C7513" w:rsidP="00DB3627">
      <w:pPr>
        <w:autoSpaceDE w:val="0"/>
        <w:autoSpaceDN w:val="0"/>
        <w:adjustRightInd w:val="0"/>
        <w:spacing w:after="0" w:line="240" w:lineRule="auto"/>
        <w:rPr>
          <w:rFonts w:cstheme="minorHAnsi"/>
          <w:bCs/>
        </w:rPr>
      </w:pPr>
      <w:r w:rsidRPr="00D92464">
        <w:rPr>
          <w:rFonts w:cstheme="minorHAnsi"/>
          <w:b/>
          <w:bCs/>
          <w:color w:val="BFBFBF" w:themeColor="background1" w:themeShade="BF"/>
        </w:rPr>
        <w:t>2b5</w:t>
      </w:r>
      <w:r w:rsidR="00E1508F" w:rsidRPr="00D92464">
        <w:rPr>
          <w:rFonts w:cstheme="minorHAnsi"/>
          <w:b/>
          <w:bCs/>
          <w:color w:val="BFBFBF" w:themeColor="background1" w:themeShade="BF"/>
        </w:rPr>
        <w:t xml:space="preserve">.3. </w:t>
      </w:r>
      <w:r w:rsidR="002B0C3A" w:rsidRPr="00D92464">
        <w:rPr>
          <w:rFonts w:cstheme="minorHAnsi"/>
          <w:b/>
          <w:bCs/>
          <w:color w:val="BFBFBF" w:themeColor="background1" w:themeShade="BF"/>
        </w:rPr>
        <w:t xml:space="preserve">What is your interpretation of the results </w:t>
      </w:r>
      <w:r w:rsidR="00A35F8F" w:rsidRPr="00D92464">
        <w:rPr>
          <w:rFonts w:cstheme="minorHAnsi"/>
          <w:b/>
          <w:bCs/>
          <w:color w:val="BFBFBF" w:themeColor="background1" w:themeShade="BF"/>
        </w:rPr>
        <w:t xml:space="preserve">in terms of </w:t>
      </w:r>
      <w:r w:rsidR="00F1412B" w:rsidRPr="00D92464">
        <w:rPr>
          <w:rFonts w:cstheme="minorHAnsi"/>
          <w:b/>
          <w:bCs/>
          <w:color w:val="BFBFBF" w:themeColor="background1" w:themeShade="BF"/>
        </w:rPr>
        <w:t>the differences in</w:t>
      </w:r>
      <w:r w:rsidR="002B0C3A" w:rsidRPr="00D92464">
        <w:rPr>
          <w:rFonts w:cstheme="minorHAnsi"/>
          <w:b/>
          <w:bCs/>
          <w:color w:val="BFBFBF" w:themeColor="background1" w:themeShade="BF"/>
        </w:rPr>
        <w:t xml:space="preserve"> performance measure scores </w:t>
      </w:r>
      <w:r w:rsidR="00287649" w:rsidRPr="00D92464">
        <w:rPr>
          <w:rFonts w:cstheme="minorHAnsi"/>
          <w:b/>
          <w:bCs/>
          <w:color w:val="BFBFBF" w:themeColor="background1" w:themeShade="BF"/>
        </w:rPr>
        <w:t xml:space="preserve">for the same entities across the different </w:t>
      </w:r>
      <w:r w:rsidR="00864CA8" w:rsidRPr="00D92464">
        <w:rPr>
          <w:rFonts w:cstheme="minorHAnsi"/>
          <w:b/>
          <w:bCs/>
          <w:color w:val="BFBFBF" w:themeColor="background1" w:themeShade="BF"/>
        </w:rPr>
        <w:t>data sources/</w:t>
      </w:r>
      <w:r w:rsidR="00287649" w:rsidRPr="00D92464">
        <w:rPr>
          <w:rFonts w:cstheme="minorHAnsi"/>
          <w:b/>
          <w:bCs/>
          <w:color w:val="BFBFBF" w:themeColor="background1" w:themeShade="BF"/>
        </w:rPr>
        <w:t>specifications</w:t>
      </w:r>
      <w:r w:rsidR="002B0C3A" w:rsidRPr="00D92464">
        <w:rPr>
          <w:rFonts w:cstheme="minorHAnsi"/>
          <w:b/>
          <w:bCs/>
          <w:color w:val="BFBFBF" w:themeColor="background1" w:themeShade="BF"/>
        </w:rPr>
        <w:t>?</w:t>
      </w:r>
      <w:r w:rsidR="00A35F8F" w:rsidRPr="00D92464">
        <w:rPr>
          <w:rFonts w:cstheme="minorHAnsi"/>
          <w:bCs/>
          <w:color w:val="BFBFBF" w:themeColor="background1" w:themeShade="BF"/>
        </w:rPr>
        <w:t xml:space="preserve"> </w:t>
      </w:r>
      <w:r w:rsidR="002B0C3A" w:rsidRPr="00D92464">
        <w:rPr>
          <w:rFonts w:cstheme="minorHAnsi"/>
          <w:bCs/>
          <w:color w:val="BFBFBF" w:themeColor="background1" w:themeShade="BF"/>
        </w:rPr>
        <w:t>(i</w:t>
      </w:r>
      <w:r w:rsidR="002B0C3A" w:rsidRPr="00D92464">
        <w:rPr>
          <w:rFonts w:cstheme="minorHAnsi"/>
          <w:bCs/>
          <w:i/>
          <w:color w:val="BFBFBF" w:themeColor="background1" w:themeShade="BF"/>
        </w:rPr>
        <w:t>.e., what do the results mean and what are the norms for the test conducted</w:t>
      </w:r>
      <w:r w:rsidR="002B0C3A" w:rsidRPr="00D92464">
        <w:rPr>
          <w:rFonts w:cstheme="minorHAnsi"/>
          <w:bCs/>
          <w:color w:val="BFBFBF" w:themeColor="background1" w:themeShade="BF"/>
        </w:rPr>
        <w:t>)</w:t>
      </w:r>
      <w:r w:rsidR="00A35F8F" w:rsidRPr="00DB3627">
        <w:rPr>
          <w:rFonts w:cstheme="minorHAnsi"/>
          <w:bCs/>
        </w:rPr>
        <w:br/>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75E500FD" w14:textId="08A4E082" w:rsidR="0078139B" w:rsidRPr="00836F9E" w:rsidRDefault="009C7513" w:rsidP="0078139B">
      <w:pPr>
        <w:autoSpaceDE w:val="0"/>
        <w:autoSpaceDN w:val="0"/>
        <w:adjustRightInd w:val="0"/>
        <w:spacing w:after="0" w:line="240" w:lineRule="auto"/>
        <w:rPr>
          <w:rFonts w:cstheme="minorHAnsi"/>
          <w:b/>
          <w:bCs/>
          <w:color w:val="0070C0"/>
          <w:u w:val="single"/>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r>
      <w:r w:rsidR="0078139B" w:rsidRPr="00836F9E">
        <w:rPr>
          <w:rFonts w:cstheme="minorHAnsi"/>
          <w:b/>
          <w:bCs/>
          <w:color w:val="0070C0"/>
          <w:u w:val="single"/>
        </w:rPr>
        <w:t>2014 submission:</w:t>
      </w:r>
    </w:p>
    <w:p w14:paraId="515AEB03" w14:textId="77777777" w:rsidR="0078139B" w:rsidRPr="0078139B" w:rsidRDefault="0078139B" w:rsidP="0078139B">
      <w:pPr>
        <w:autoSpaceDE w:val="0"/>
        <w:autoSpaceDN w:val="0"/>
        <w:adjustRightInd w:val="0"/>
        <w:spacing w:after="0" w:line="240" w:lineRule="auto"/>
        <w:rPr>
          <w:rFonts w:cstheme="minorHAnsi"/>
          <w:bCs/>
          <w:color w:val="0070C0"/>
        </w:rPr>
      </w:pPr>
      <w:r w:rsidRPr="0078139B">
        <w:rPr>
          <w:rFonts w:cstheme="minorHAnsi"/>
          <w:bCs/>
          <w:color w:val="0070C0"/>
        </w:rPr>
        <w:t>This measure is collected through the Health Outcomes Survey. Our analysis of missing data was done at two levels: survey-level and item-level.</w:t>
      </w:r>
    </w:p>
    <w:p w14:paraId="27F6ABEE" w14:textId="77777777" w:rsidR="0078139B" w:rsidRPr="0078139B" w:rsidRDefault="0078139B" w:rsidP="0078139B">
      <w:pPr>
        <w:autoSpaceDE w:val="0"/>
        <w:autoSpaceDN w:val="0"/>
        <w:adjustRightInd w:val="0"/>
        <w:spacing w:after="0" w:line="240" w:lineRule="auto"/>
        <w:rPr>
          <w:rFonts w:cstheme="minorHAnsi"/>
          <w:bCs/>
          <w:color w:val="0070C0"/>
        </w:rPr>
      </w:pPr>
    </w:p>
    <w:p w14:paraId="3D2E9B22" w14:textId="77777777" w:rsidR="0078139B" w:rsidRPr="0078139B" w:rsidRDefault="0078139B" w:rsidP="0078139B">
      <w:pPr>
        <w:spacing w:after="0" w:line="240" w:lineRule="auto"/>
        <w:rPr>
          <w:rFonts w:cs="Times New Roman"/>
          <w:color w:val="0070C0"/>
        </w:rPr>
      </w:pPr>
      <w:r w:rsidRPr="00247818">
        <w:rPr>
          <w:rFonts w:cs="Times New Roman"/>
          <w:b/>
          <w:color w:val="0070C0"/>
        </w:rPr>
        <w:t>Survey Level Missing Data Analysis:</w:t>
      </w:r>
      <w:r w:rsidRPr="0078139B">
        <w:rPr>
          <w:color w:val="0070C0"/>
        </w:rPr>
        <w:t xml:space="preserve"> </w:t>
      </w:r>
      <w:r w:rsidRPr="0078139B">
        <w:rPr>
          <w:rFonts w:cs="Times New Roman"/>
          <w:color w:val="0070C0"/>
        </w:rPr>
        <w:t xml:space="preserve">NCQA conducted an analysis in 2013 to investigate whether there were significant differences between responders, late responders and nonresponders to the Health Outcome Survey. Where data are collected in waves, such as with the HOS, there is the opportunity to estimate the potential impact of nonresponse by studying specific subsets of the responder pool. The classic concept of the continuum of resistance postulates that individuals who fail to respond to multiple survey attempts are increasingly more resistant to completing a survey and that the most difficult-to-reach respondents may be similar to nonrespondents (Halbesleen 2013). In the context of the HOS, members can be classified as “late responders” (time to survey completion exceeded the Cohort and administration-specific 90th percentile), “other responders” and “nonresponders.” Because within the concepts of wave analysis, late responders may be more similar to nonresponders, the late responders population can be compared with all other responders to estimate how different true nonresponders may be from responders. We estimated differences in member characteristics across multiple years in a sample of responders and nonresponders (only 2010 data is displayed below, results were across multiple years). The characteristics compared across populations included: CMS-Hierarchical Condition Categories (HCC) risk score (an administrative proxy for health status), age, gender, race, disability status, hospice status, institutionalization status, and end stage renal disease (ESRD) status. These characteristics were available in CMS administrative systems and were not obtained through the Health Outcomes Survey.  Additional characteristics for late responders and on-time responders were drawn from the HOS survey: household income, home ownership, marital status, and education level.  Given the large sample size, differences between responders, late responders and nonresponders were evaluated using effect size calculations (Cohen’s D for continuous variables and Cramer’s V for nominal variables.) Cramer’s V for nominal variables is used to examine the association of two values. The result is between 0 (no association) and +1 (complete association). Cohen’s D calculates the difference between two means divided by the standard deviation for the data. This formula is typically used to estimate needed samples sizes although here it was used to compare differences in means between samples. A lower score indicates the need for a larger sample size where as a higher score indicates a direct correlation between two means. </w:t>
      </w:r>
    </w:p>
    <w:p w14:paraId="400240BE" w14:textId="77777777" w:rsidR="0078139B" w:rsidRPr="0078139B" w:rsidRDefault="0078139B" w:rsidP="0078139B">
      <w:pPr>
        <w:spacing w:after="0" w:line="240" w:lineRule="auto"/>
        <w:rPr>
          <w:rFonts w:cs="Times New Roman"/>
          <w:color w:val="0070C0"/>
        </w:rPr>
      </w:pPr>
    </w:p>
    <w:p w14:paraId="317A8740" w14:textId="77777777" w:rsidR="0078139B" w:rsidRPr="0078139B" w:rsidRDefault="0078139B" w:rsidP="0078139B">
      <w:pPr>
        <w:spacing w:after="0" w:line="240" w:lineRule="auto"/>
        <w:rPr>
          <w:rFonts w:cs="Times New Roman"/>
          <w:color w:val="0070C0"/>
        </w:rPr>
      </w:pPr>
      <w:r w:rsidRPr="0078139B">
        <w:rPr>
          <w:rFonts w:cs="Times New Roman"/>
          <w:color w:val="0070C0"/>
        </w:rPr>
        <w:t>Halbesleben, J.R.B., and M.V. Whitman. 2013. Evaluating Survey Quality in Health Services Research: A Decision Framework for Assessing Nonresponse Bias. Health Serv Res.Jun;48(3):913-30.</w:t>
      </w:r>
    </w:p>
    <w:p w14:paraId="44A36E01" w14:textId="77777777" w:rsidR="0078139B" w:rsidRDefault="0078139B" w:rsidP="0078139B">
      <w:pPr>
        <w:spacing w:after="0" w:line="240" w:lineRule="auto"/>
        <w:rPr>
          <w:rFonts w:cs="Times New Roman"/>
        </w:rPr>
      </w:pPr>
    </w:p>
    <w:p w14:paraId="4CBFE857" w14:textId="77777777" w:rsidR="0078139B" w:rsidRPr="0078139B" w:rsidRDefault="0078139B" w:rsidP="0078139B">
      <w:pPr>
        <w:spacing w:after="0" w:line="240" w:lineRule="auto"/>
        <w:rPr>
          <w:rFonts w:cs="Times New Roman"/>
          <w:color w:val="0070C0"/>
        </w:rPr>
      </w:pPr>
      <w:r w:rsidRPr="00247818">
        <w:rPr>
          <w:rFonts w:cs="Times New Roman"/>
          <w:b/>
          <w:color w:val="0070C0"/>
        </w:rPr>
        <w:t>Item Level Missing Data Analysis:</w:t>
      </w:r>
      <w:r w:rsidRPr="0078139B">
        <w:rPr>
          <w:rFonts w:cs="Times New Roman"/>
          <w:b/>
          <w:color w:val="0070C0"/>
        </w:rPr>
        <w:t xml:space="preserve"> </w:t>
      </w:r>
      <w:r w:rsidRPr="0078139B">
        <w:rPr>
          <w:rFonts w:cs="Times New Roman"/>
          <w:color w:val="0070C0"/>
        </w:rPr>
        <w:t>To further understand the potential impact of missing data we calculated the rate of item-level missing data for survey responders in 2012.  We calculated the average rate of missing data on the osteoporosis question, the distribution of missing data across health plans and the frequency of missing data.</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479C621D" w14:textId="270D77D5" w:rsidR="00B42735" w:rsidRPr="00836F9E" w:rsidRDefault="009C7513" w:rsidP="00B42735">
      <w:pPr>
        <w:autoSpaceDE w:val="0"/>
        <w:autoSpaceDN w:val="0"/>
        <w:adjustRightInd w:val="0"/>
        <w:spacing w:after="0" w:line="240" w:lineRule="auto"/>
        <w:rPr>
          <w:rFonts w:cstheme="minorHAnsi"/>
          <w:b/>
          <w:bCs/>
          <w:color w:val="0070C0"/>
          <w:u w:val="single"/>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r w:rsidR="00B42735" w:rsidRPr="00836F9E">
        <w:rPr>
          <w:rFonts w:cstheme="minorHAnsi"/>
          <w:b/>
          <w:bCs/>
          <w:color w:val="0070C0"/>
          <w:u w:val="single"/>
        </w:rPr>
        <w:t>2014 submission:</w:t>
      </w:r>
    </w:p>
    <w:p w14:paraId="22C589A2" w14:textId="77777777" w:rsidR="00B42735" w:rsidRPr="00247818" w:rsidRDefault="00B42735" w:rsidP="00B42735">
      <w:pPr>
        <w:spacing w:after="0"/>
        <w:rPr>
          <w:rFonts w:cs="Arial"/>
          <w:color w:val="0070C0"/>
        </w:rPr>
      </w:pPr>
      <w:bookmarkStart w:id="15" w:name="_Toc364415564"/>
      <w:r w:rsidRPr="00247818">
        <w:rPr>
          <w:rFonts w:cs="Arial"/>
          <w:b/>
          <w:color w:val="0070C0"/>
        </w:rPr>
        <w:t>Survey Level Missing Data Analysis:</w:t>
      </w:r>
    </w:p>
    <w:p w14:paraId="0F3DC09B" w14:textId="77777777" w:rsidR="00B42735" w:rsidRPr="00B42735" w:rsidRDefault="00B42735" w:rsidP="00B42735">
      <w:pPr>
        <w:spacing w:line="240" w:lineRule="auto"/>
        <w:rPr>
          <w:rFonts w:cs="Times New Roman"/>
          <w:color w:val="0070C0"/>
        </w:rPr>
      </w:pPr>
      <w:r w:rsidRPr="00B42735">
        <w:rPr>
          <w:rFonts w:cs="Times New Roman"/>
          <w:color w:val="0070C0"/>
        </w:rPr>
        <w:t xml:space="preserve"> In 2010 the response rate to the Health Outcome Survey was 63.3%, among responders 9.1% were “late responders” who responded (time to survey completion exceeded the Cohort and administration-specific 90th percentile.) Table 6 shows differences between responders, late responders and nonresponders in a sample from 2010, and the effect size of those differences. </w:t>
      </w:r>
      <w:bookmarkEnd w:id="15"/>
      <w:r w:rsidRPr="00B42735">
        <w:rPr>
          <w:rFonts w:cs="Times New Roman"/>
          <w:color w:val="0070C0"/>
        </w:rPr>
        <w:t xml:space="preserve">Due to sample size, nearly all differences in mean or proportion were significant, although most differences were small when evaluated in terms of effect sizes with the exception of race.  </w:t>
      </w:r>
    </w:p>
    <w:p w14:paraId="4F12A8FD" w14:textId="77777777" w:rsidR="00B42735" w:rsidRPr="00B42735" w:rsidRDefault="00B42735" w:rsidP="00B42735">
      <w:pPr>
        <w:spacing w:line="240" w:lineRule="auto"/>
        <w:rPr>
          <w:rFonts w:cs="Arial"/>
          <w:color w:val="0070C0"/>
        </w:rPr>
      </w:pPr>
      <w:r w:rsidRPr="00B42735">
        <w:rPr>
          <w:rFonts w:cs="Arial"/>
          <w:b/>
          <w:color w:val="0070C0"/>
        </w:rPr>
        <w:t>Table 6: Characteristics of Survey Responders, Late Responders and Nonresponders</w:t>
      </w:r>
    </w:p>
    <w:tbl>
      <w:tblPr>
        <w:tblW w:w="9525" w:type="dxa"/>
        <w:tblInd w:w="93" w:type="dxa"/>
        <w:tblLayout w:type="fixed"/>
        <w:tblLook w:val="04A0" w:firstRow="1" w:lastRow="0" w:firstColumn="1" w:lastColumn="0" w:noHBand="0" w:noVBand="1"/>
      </w:tblPr>
      <w:tblGrid>
        <w:gridCol w:w="1876"/>
        <w:gridCol w:w="1259"/>
        <w:gridCol w:w="1260"/>
        <w:gridCol w:w="1170"/>
        <w:gridCol w:w="1260"/>
        <w:gridCol w:w="1350"/>
        <w:gridCol w:w="1350"/>
      </w:tblGrid>
      <w:tr w:rsidR="00B42735" w:rsidRPr="00B42735" w14:paraId="7FEA372D" w14:textId="77777777" w:rsidTr="00B42735">
        <w:tc>
          <w:tcPr>
            <w:tcW w:w="1877" w:type="dxa"/>
            <w:vMerge w:val="restart"/>
            <w:tcBorders>
              <w:top w:val="single" w:sz="8" w:space="0" w:color="auto"/>
              <w:left w:val="single" w:sz="8" w:space="0" w:color="auto"/>
              <w:bottom w:val="single" w:sz="8" w:space="0" w:color="000000"/>
              <w:right w:val="single" w:sz="4" w:space="0" w:color="auto"/>
            </w:tcBorders>
            <w:shd w:val="clear" w:color="auto" w:fill="EAF1DD" w:themeFill="accent3" w:themeFillTint="33"/>
            <w:vAlign w:val="center"/>
            <w:hideMark/>
          </w:tcPr>
          <w:p w14:paraId="19E9D1F9" w14:textId="77777777" w:rsidR="00B42735" w:rsidRPr="00B42735" w:rsidRDefault="00B42735">
            <w:pPr>
              <w:rPr>
                <w:rFonts w:cs="Arial"/>
                <w:color w:val="0070C0"/>
              </w:rPr>
            </w:pPr>
          </w:p>
        </w:tc>
        <w:tc>
          <w:tcPr>
            <w:tcW w:w="3690" w:type="dxa"/>
            <w:gridSpan w:val="3"/>
            <w:tcBorders>
              <w:top w:val="single" w:sz="4" w:space="0" w:color="auto"/>
              <w:left w:val="nil"/>
              <w:bottom w:val="single" w:sz="4" w:space="0" w:color="auto"/>
              <w:right w:val="single" w:sz="12" w:space="0" w:color="auto"/>
            </w:tcBorders>
            <w:shd w:val="clear" w:color="auto" w:fill="EAF1DD" w:themeFill="accent3" w:themeFillTint="33"/>
            <w:vAlign w:val="bottom"/>
            <w:hideMark/>
          </w:tcPr>
          <w:p w14:paraId="3A28EBB0" w14:textId="77777777" w:rsidR="00B42735" w:rsidRPr="00B42735" w:rsidRDefault="00B42735">
            <w:pPr>
              <w:spacing w:before="60" w:after="60" w:line="220" w:lineRule="exact"/>
              <w:jc w:val="center"/>
              <w:rPr>
                <w:rFonts w:eastAsia="Times New Roman" w:cs="Arial"/>
                <w:b/>
                <w:bCs/>
                <w:color w:val="0070C0"/>
              </w:rPr>
            </w:pPr>
            <w:r w:rsidRPr="00B42735">
              <w:rPr>
                <w:rFonts w:eastAsia="Times New Roman" w:cs="Arial"/>
                <w:b/>
                <w:bCs/>
                <w:color w:val="0070C0"/>
              </w:rPr>
              <w:t xml:space="preserve">Mean or Percentage </w:t>
            </w:r>
            <w:r w:rsidRPr="00B42735">
              <w:rPr>
                <w:rFonts w:eastAsia="Times New Roman" w:cs="Arial"/>
                <w:b/>
                <w:bCs/>
                <w:color w:val="0070C0"/>
              </w:rPr>
              <w:br/>
              <w:t>of Total</w:t>
            </w:r>
          </w:p>
        </w:tc>
        <w:tc>
          <w:tcPr>
            <w:tcW w:w="3960" w:type="dxa"/>
            <w:gridSpan w:val="3"/>
            <w:tcBorders>
              <w:top w:val="single" w:sz="4" w:space="0" w:color="auto"/>
              <w:left w:val="single" w:sz="12" w:space="0" w:color="auto"/>
              <w:bottom w:val="single" w:sz="4" w:space="0" w:color="auto"/>
              <w:right w:val="single" w:sz="12" w:space="0" w:color="auto"/>
            </w:tcBorders>
            <w:shd w:val="clear" w:color="auto" w:fill="EAF1DD" w:themeFill="accent3" w:themeFillTint="33"/>
            <w:vAlign w:val="bottom"/>
            <w:hideMark/>
          </w:tcPr>
          <w:p w14:paraId="4EE69B8C" w14:textId="77777777" w:rsidR="00B42735" w:rsidRPr="00B42735" w:rsidRDefault="00B42735">
            <w:pPr>
              <w:spacing w:before="60" w:after="60" w:line="220" w:lineRule="exact"/>
              <w:jc w:val="center"/>
              <w:rPr>
                <w:rFonts w:eastAsia="Times New Roman" w:cs="Arial"/>
                <w:b/>
                <w:bCs/>
                <w:color w:val="0070C0"/>
              </w:rPr>
            </w:pPr>
            <w:r w:rsidRPr="00B42735">
              <w:rPr>
                <w:rFonts w:eastAsia="Times New Roman" w:cs="Arial"/>
                <w:b/>
                <w:bCs/>
                <w:color w:val="0070C0"/>
              </w:rPr>
              <w:t xml:space="preserve">Significance and </w:t>
            </w:r>
            <w:r w:rsidRPr="00B42735">
              <w:rPr>
                <w:rFonts w:eastAsia="Times New Roman" w:cs="Arial"/>
                <w:b/>
                <w:bCs/>
                <w:color w:val="0070C0"/>
              </w:rPr>
              <w:br/>
              <w:t>Effect Size</w:t>
            </w:r>
            <w:r w:rsidRPr="00B42735">
              <w:rPr>
                <w:rFonts w:eastAsia="Times New Roman" w:cs="Arial"/>
                <w:b/>
                <w:bCs/>
                <w:color w:val="0070C0"/>
                <w:vertAlign w:val="superscript"/>
              </w:rPr>
              <w:t>1</w:t>
            </w:r>
          </w:p>
        </w:tc>
      </w:tr>
      <w:tr w:rsidR="00B42735" w:rsidRPr="00B42735" w14:paraId="2ABAE957" w14:textId="77777777" w:rsidTr="00B42735">
        <w:tc>
          <w:tcPr>
            <w:tcW w:w="1877" w:type="dxa"/>
            <w:vMerge/>
            <w:tcBorders>
              <w:top w:val="single" w:sz="8" w:space="0" w:color="auto"/>
              <w:left w:val="single" w:sz="8" w:space="0" w:color="auto"/>
              <w:bottom w:val="single" w:sz="8" w:space="0" w:color="000000"/>
              <w:right w:val="single" w:sz="4" w:space="0" w:color="auto"/>
            </w:tcBorders>
            <w:vAlign w:val="center"/>
            <w:hideMark/>
          </w:tcPr>
          <w:p w14:paraId="5753BA13" w14:textId="77777777" w:rsidR="00B42735" w:rsidRPr="00B42735" w:rsidRDefault="00B42735">
            <w:pPr>
              <w:spacing w:after="0"/>
              <w:rPr>
                <w:rFonts w:cs="Arial"/>
                <w:color w:val="0070C0"/>
              </w:rPr>
            </w:pPr>
          </w:p>
        </w:tc>
        <w:tc>
          <w:tcPr>
            <w:tcW w:w="1260" w:type="dxa"/>
            <w:tcBorders>
              <w:top w:val="nil"/>
              <w:left w:val="nil"/>
              <w:bottom w:val="single" w:sz="8" w:space="0" w:color="auto"/>
              <w:right w:val="single" w:sz="4" w:space="0" w:color="auto"/>
            </w:tcBorders>
            <w:shd w:val="clear" w:color="auto" w:fill="EAF1DD" w:themeFill="accent3" w:themeFillTint="33"/>
            <w:vAlign w:val="bottom"/>
            <w:hideMark/>
          </w:tcPr>
          <w:p w14:paraId="42164724" w14:textId="77777777" w:rsidR="00B42735" w:rsidRPr="00B42735" w:rsidRDefault="00B42735">
            <w:pPr>
              <w:spacing w:before="60" w:after="60" w:line="220" w:lineRule="exact"/>
              <w:jc w:val="center"/>
              <w:rPr>
                <w:rFonts w:eastAsia="Times New Roman" w:cs="Arial"/>
                <w:b/>
                <w:bCs/>
                <w:color w:val="0070C0"/>
              </w:rPr>
            </w:pPr>
            <w:r w:rsidRPr="00B42735">
              <w:rPr>
                <w:rFonts w:eastAsia="Times New Roman" w:cs="Arial"/>
                <w:b/>
                <w:bCs/>
                <w:color w:val="0070C0"/>
              </w:rPr>
              <w:t>Responder</w:t>
            </w:r>
          </w:p>
        </w:tc>
        <w:tc>
          <w:tcPr>
            <w:tcW w:w="1260" w:type="dxa"/>
            <w:tcBorders>
              <w:top w:val="nil"/>
              <w:left w:val="nil"/>
              <w:bottom w:val="single" w:sz="8" w:space="0" w:color="auto"/>
              <w:right w:val="single" w:sz="4" w:space="0" w:color="auto"/>
            </w:tcBorders>
            <w:shd w:val="clear" w:color="auto" w:fill="EAF1DD" w:themeFill="accent3" w:themeFillTint="33"/>
            <w:vAlign w:val="bottom"/>
            <w:hideMark/>
          </w:tcPr>
          <w:p w14:paraId="6BB3FA8E" w14:textId="77777777" w:rsidR="00B42735" w:rsidRPr="00B42735" w:rsidRDefault="00B42735">
            <w:pPr>
              <w:spacing w:before="60" w:after="60" w:line="220" w:lineRule="exact"/>
              <w:jc w:val="center"/>
              <w:rPr>
                <w:rFonts w:eastAsia="Times New Roman" w:cs="Arial"/>
                <w:b/>
                <w:bCs/>
                <w:color w:val="0070C0"/>
              </w:rPr>
            </w:pPr>
            <w:r w:rsidRPr="00B42735">
              <w:rPr>
                <w:rFonts w:eastAsia="Times New Roman" w:cs="Arial"/>
                <w:b/>
                <w:bCs/>
                <w:color w:val="0070C0"/>
              </w:rPr>
              <w:t>Non</w:t>
            </w:r>
          </w:p>
        </w:tc>
        <w:tc>
          <w:tcPr>
            <w:tcW w:w="1170" w:type="dxa"/>
            <w:tcBorders>
              <w:top w:val="nil"/>
              <w:left w:val="single" w:sz="4" w:space="0" w:color="auto"/>
              <w:bottom w:val="single" w:sz="8" w:space="0" w:color="auto"/>
              <w:right w:val="single" w:sz="12" w:space="0" w:color="auto"/>
            </w:tcBorders>
            <w:shd w:val="clear" w:color="auto" w:fill="EAF1DD" w:themeFill="accent3" w:themeFillTint="33"/>
            <w:vAlign w:val="bottom"/>
            <w:hideMark/>
          </w:tcPr>
          <w:p w14:paraId="72A0088D" w14:textId="77777777" w:rsidR="00B42735" w:rsidRPr="00B42735" w:rsidRDefault="00B42735">
            <w:pPr>
              <w:spacing w:before="60" w:after="60" w:line="220" w:lineRule="exact"/>
              <w:jc w:val="center"/>
              <w:rPr>
                <w:rFonts w:eastAsia="Times New Roman" w:cs="Arial"/>
                <w:b/>
                <w:bCs/>
                <w:color w:val="0070C0"/>
              </w:rPr>
            </w:pPr>
            <w:r w:rsidRPr="00B42735">
              <w:rPr>
                <w:rFonts w:eastAsia="Times New Roman" w:cs="Arial"/>
                <w:b/>
                <w:bCs/>
                <w:color w:val="0070C0"/>
              </w:rPr>
              <w:t>Late</w:t>
            </w:r>
          </w:p>
        </w:tc>
        <w:tc>
          <w:tcPr>
            <w:tcW w:w="1260" w:type="dxa"/>
            <w:tcBorders>
              <w:top w:val="nil"/>
              <w:left w:val="single" w:sz="12" w:space="0" w:color="auto"/>
              <w:bottom w:val="single" w:sz="8" w:space="0" w:color="auto"/>
              <w:right w:val="single" w:sz="4" w:space="0" w:color="auto"/>
            </w:tcBorders>
            <w:shd w:val="clear" w:color="auto" w:fill="EAF1DD" w:themeFill="accent3" w:themeFillTint="33"/>
            <w:vAlign w:val="bottom"/>
            <w:hideMark/>
          </w:tcPr>
          <w:p w14:paraId="007509E1" w14:textId="77777777" w:rsidR="00B42735" w:rsidRPr="00B42735" w:rsidRDefault="00B42735">
            <w:pPr>
              <w:spacing w:before="60" w:after="60" w:line="220" w:lineRule="exact"/>
              <w:jc w:val="center"/>
              <w:rPr>
                <w:rFonts w:eastAsia="Times New Roman" w:cs="Arial"/>
                <w:b/>
                <w:bCs/>
                <w:color w:val="0070C0"/>
              </w:rPr>
            </w:pPr>
            <w:r w:rsidRPr="00B42735">
              <w:rPr>
                <w:rFonts w:eastAsia="Times New Roman" w:cs="Arial"/>
                <w:b/>
                <w:bCs/>
                <w:color w:val="0070C0"/>
              </w:rPr>
              <w:t>Other vs. Non</w:t>
            </w:r>
          </w:p>
        </w:tc>
        <w:tc>
          <w:tcPr>
            <w:tcW w:w="1350" w:type="dxa"/>
            <w:tcBorders>
              <w:top w:val="nil"/>
              <w:left w:val="single" w:sz="4" w:space="0" w:color="auto"/>
              <w:bottom w:val="single" w:sz="8" w:space="0" w:color="auto"/>
              <w:right w:val="single" w:sz="4" w:space="0" w:color="auto"/>
            </w:tcBorders>
            <w:shd w:val="clear" w:color="auto" w:fill="EAF1DD" w:themeFill="accent3" w:themeFillTint="33"/>
            <w:vAlign w:val="bottom"/>
            <w:hideMark/>
          </w:tcPr>
          <w:p w14:paraId="2508AB92" w14:textId="77777777" w:rsidR="00B42735" w:rsidRPr="00B42735" w:rsidRDefault="00B42735">
            <w:pPr>
              <w:spacing w:before="60" w:after="60" w:line="220" w:lineRule="exact"/>
              <w:jc w:val="center"/>
              <w:rPr>
                <w:rFonts w:eastAsia="Times New Roman" w:cs="Arial"/>
                <w:b/>
                <w:bCs/>
                <w:color w:val="0070C0"/>
              </w:rPr>
            </w:pPr>
            <w:r w:rsidRPr="00B42735">
              <w:rPr>
                <w:rFonts w:eastAsia="Times New Roman" w:cs="Arial"/>
                <w:b/>
                <w:bCs/>
                <w:color w:val="0070C0"/>
              </w:rPr>
              <w:t>Late vs. Other</w:t>
            </w:r>
          </w:p>
        </w:tc>
        <w:tc>
          <w:tcPr>
            <w:tcW w:w="1350" w:type="dxa"/>
            <w:tcBorders>
              <w:top w:val="nil"/>
              <w:left w:val="single" w:sz="4" w:space="0" w:color="auto"/>
              <w:bottom w:val="single" w:sz="8" w:space="0" w:color="auto"/>
              <w:right w:val="single" w:sz="12" w:space="0" w:color="auto"/>
            </w:tcBorders>
            <w:shd w:val="clear" w:color="auto" w:fill="EAF1DD" w:themeFill="accent3" w:themeFillTint="33"/>
            <w:vAlign w:val="bottom"/>
            <w:hideMark/>
          </w:tcPr>
          <w:p w14:paraId="58AAC7AC" w14:textId="77777777" w:rsidR="00B42735" w:rsidRPr="00B42735" w:rsidRDefault="00B42735">
            <w:pPr>
              <w:spacing w:before="60" w:after="60" w:line="220" w:lineRule="exact"/>
              <w:jc w:val="center"/>
              <w:rPr>
                <w:rFonts w:eastAsia="Times New Roman" w:cs="Arial"/>
                <w:b/>
                <w:bCs/>
                <w:color w:val="0070C0"/>
              </w:rPr>
            </w:pPr>
            <w:r w:rsidRPr="00B42735">
              <w:rPr>
                <w:rFonts w:eastAsia="Times New Roman" w:cs="Arial"/>
                <w:b/>
                <w:bCs/>
                <w:color w:val="0070C0"/>
              </w:rPr>
              <w:t>Late vs. Non</w:t>
            </w:r>
          </w:p>
        </w:tc>
      </w:tr>
      <w:tr w:rsidR="00B42735" w:rsidRPr="00B42735" w14:paraId="40EBD871" w14:textId="77777777" w:rsidTr="00B42735">
        <w:tc>
          <w:tcPr>
            <w:tcW w:w="1877" w:type="dxa"/>
            <w:tcBorders>
              <w:top w:val="nil"/>
              <w:left w:val="single" w:sz="8" w:space="0" w:color="auto"/>
              <w:bottom w:val="single" w:sz="4" w:space="0" w:color="auto"/>
              <w:right w:val="single" w:sz="4" w:space="0" w:color="auto"/>
            </w:tcBorders>
            <w:noWrap/>
            <w:vAlign w:val="bottom"/>
            <w:hideMark/>
          </w:tcPr>
          <w:p w14:paraId="5F96744A" w14:textId="77777777" w:rsidR="00B42735" w:rsidRPr="00B42735" w:rsidRDefault="00B42735">
            <w:pPr>
              <w:spacing w:before="60" w:after="60" w:line="220" w:lineRule="exact"/>
              <w:rPr>
                <w:rFonts w:eastAsia="Times New Roman" w:cs="Arial"/>
                <w:color w:val="0070C0"/>
              </w:rPr>
            </w:pPr>
            <w:r w:rsidRPr="00B42735">
              <w:rPr>
                <w:rFonts w:eastAsia="Times New Roman" w:cs="Arial"/>
                <w:color w:val="0070C0"/>
              </w:rPr>
              <w:t>Age</w:t>
            </w:r>
            <w:r w:rsidRPr="00B42735">
              <w:rPr>
                <w:rFonts w:eastAsia="Times New Roman" w:cs="Arial"/>
                <w:color w:val="0070C0"/>
                <w:vertAlign w:val="superscript"/>
              </w:rPr>
              <w:t>2,3</w:t>
            </w:r>
          </w:p>
        </w:tc>
        <w:tc>
          <w:tcPr>
            <w:tcW w:w="1260" w:type="dxa"/>
            <w:tcBorders>
              <w:top w:val="nil"/>
              <w:left w:val="nil"/>
              <w:bottom w:val="single" w:sz="4" w:space="0" w:color="auto"/>
              <w:right w:val="single" w:sz="4" w:space="0" w:color="auto"/>
            </w:tcBorders>
            <w:noWrap/>
            <w:vAlign w:val="bottom"/>
            <w:hideMark/>
          </w:tcPr>
          <w:p w14:paraId="29F811E0" w14:textId="77777777" w:rsidR="00B42735" w:rsidRPr="00B42735" w:rsidRDefault="00B42735">
            <w:pPr>
              <w:spacing w:before="60" w:after="60" w:line="220" w:lineRule="exact"/>
              <w:ind w:right="72"/>
              <w:jc w:val="center"/>
              <w:rPr>
                <w:rFonts w:eastAsia="Times New Roman" w:cs="Arial"/>
                <w:color w:val="0070C0"/>
              </w:rPr>
            </w:pPr>
            <w:r w:rsidRPr="00B42735">
              <w:rPr>
                <w:rFonts w:eastAsia="Times New Roman" w:cs="Arial"/>
                <w:color w:val="0070C0"/>
              </w:rPr>
              <w:t>72.9</w:t>
            </w:r>
          </w:p>
        </w:tc>
        <w:tc>
          <w:tcPr>
            <w:tcW w:w="1260" w:type="dxa"/>
            <w:tcBorders>
              <w:top w:val="nil"/>
              <w:left w:val="nil"/>
              <w:bottom w:val="single" w:sz="4" w:space="0" w:color="auto"/>
              <w:right w:val="single" w:sz="4" w:space="0" w:color="auto"/>
            </w:tcBorders>
            <w:noWrap/>
            <w:vAlign w:val="bottom"/>
            <w:hideMark/>
          </w:tcPr>
          <w:p w14:paraId="2CD293CB" w14:textId="77777777" w:rsidR="00B42735" w:rsidRPr="00B42735" w:rsidRDefault="00B42735">
            <w:pPr>
              <w:spacing w:before="60" w:after="60" w:line="220" w:lineRule="exact"/>
              <w:ind w:right="29"/>
              <w:jc w:val="center"/>
              <w:rPr>
                <w:rFonts w:eastAsia="Times New Roman" w:cs="Arial"/>
                <w:color w:val="0070C0"/>
              </w:rPr>
            </w:pPr>
            <w:r w:rsidRPr="00B42735">
              <w:rPr>
                <w:rFonts w:eastAsia="Times New Roman" w:cs="Arial"/>
                <w:color w:val="0070C0"/>
              </w:rPr>
              <w:t>71.4</w:t>
            </w:r>
          </w:p>
        </w:tc>
        <w:tc>
          <w:tcPr>
            <w:tcW w:w="1170" w:type="dxa"/>
            <w:tcBorders>
              <w:top w:val="nil"/>
              <w:left w:val="single" w:sz="4" w:space="0" w:color="auto"/>
              <w:bottom w:val="single" w:sz="4" w:space="0" w:color="auto"/>
              <w:right w:val="single" w:sz="12" w:space="0" w:color="auto"/>
            </w:tcBorders>
            <w:hideMark/>
          </w:tcPr>
          <w:p w14:paraId="257CAF49" w14:textId="77777777" w:rsidR="00B42735" w:rsidRPr="00B42735" w:rsidRDefault="00B42735">
            <w:pPr>
              <w:spacing w:before="60" w:after="60" w:line="220" w:lineRule="exact"/>
              <w:jc w:val="center"/>
              <w:rPr>
                <w:rFonts w:eastAsia="Times New Roman" w:cs="Arial"/>
                <w:color w:val="0070C0"/>
              </w:rPr>
            </w:pPr>
            <w:r w:rsidRPr="00B42735">
              <w:rPr>
                <w:rFonts w:eastAsia="Times New Roman" w:cs="Arial"/>
                <w:color w:val="0070C0"/>
              </w:rPr>
              <w:t>71.5</w:t>
            </w:r>
          </w:p>
        </w:tc>
        <w:tc>
          <w:tcPr>
            <w:tcW w:w="1260" w:type="dxa"/>
            <w:tcBorders>
              <w:top w:val="nil"/>
              <w:left w:val="single" w:sz="12" w:space="0" w:color="auto"/>
              <w:bottom w:val="single" w:sz="4" w:space="0" w:color="auto"/>
              <w:right w:val="single" w:sz="4" w:space="0" w:color="auto"/>
            </w:tcBorders>
            <w:noWrap/>
            <w:vAlign w:val="bottom"/>
            <w:hideMark/>
          </w:tcPr>
          <w:p w14:paraId="3B5D4382" w14:textId="77777777" w:rsidR="00B42735" w:rsidRPr="00B42735" w:rsidRDefault="00B42735">
            <w:pPr>
              <w:spacing w:before="60" w:after="60" w:line="220" w:lineRule="exact"/>
              <w:rPr>
                <w:rFonts w:eastAsia="Times New Roman" w:cs="Arial"/>
                <w:color w:val="0070C0"/>
              </w:rPr>
            </w:pPr>
            <w:r w:rsidRPr="00B42735">
              <w:rPr>
                <w:rFonts w:eastAsia="Times New Roman" w:cs="Arial"/>
                <w:color w:val="0070C0"/>
              </w:rPr>
              <w:t> </w:t>
            </w:r>
          </w:p>
        </w:tc>
        <w:tc>
          <w:tcPr>
            <w:tcW w:w="1350" w:type="dxa"/>
            <w:tcBorders>
              <w:top w:val="nil"/>
              <w:left w:val="single" w:sz="4" w:space="0" w:color="auto"/>
              <w:bottom w:val="single" w:sz="4" w:space="0" w:color="auto"/>
              <w:right w:val="single" w:sz="4" w:space="0" w:color="auto"/>
            </w:tcBorders>
          </w:tcPr>
          <w:p w14:paraId="03F3B0B7" w14:textId="77777777" w:rsidR="00B42735" w:rsidRPr="00B42735" w:rsidRDefault="00B42735">
            <w:pPr>
              <w:spacing w:before="60" w:after="60" w:line="220" w:lineRule="exact"/>
              <w:rPr>
                <w:rFonts w:eastAsia="Times New Roman" w:cs="Arial"/>
                <w:color w:val="0070C0"/>
              </w:rPr>
            </w:pPr>
          </w:p>
        </w:tc>
        <w:tc>
          <w:tcPr>
            <w:tcW w:w="1350" w:type="dxa"/>
            <w:tcBorders>
              <w:top w:val="nil"/>
              <w:left w:val="single" w:sz="4" w:space="0" w:color="auto"/>
              <w:bottom w:val="single" w:sz="4" w:space="0" w:color="auto"/>
              <w:right w:val="single" w:sz="12" w:space="0" w:color="auto"/>
            </w:tcBorders>
          </w:tcPr>
          <w:p w14:paraId="36CF11D5" w14:textId="77777777" w:rsidR="00B42735" w:rsidRPr="00B42735" w:rsidRDefault="00B42735">
            <w:pPr>
              <w:spacing w:before="60" w:after="60" w:line="220" w:lineRule="exact"/>
              <w:rPr>
                <w:rFonts w:eastAsia="Times New Roman" w:cs="Arial"/>
                <w:color w:val="0070C0"/>
              </w:rPr>
            </w:pPr>
          </w:p>
        </w:tc>
      </w:tr>
      <w:tr w:rsidR="00B42735" w:rsidRPr="00B42735" w14:paraId="17708F31" w14:textId="77777777" w:rsidTr="00B42735">
        <w:tc>
          <w:tcPr>
            <w:tcW w:w="1877" w:type="dxa"/>
            <w:tcBorders>
              <w:top w:val="nil"/>
              <w:left w:val="single" w:sz="8" w:space="0" w:color="auto"/>
              <w:bottom w:val="single" w:sz="4" w:space="0" w:color="auto"/>
              <w:right w:val="single" w:sz="4" w:space="0" w:color="auto"/>
            </w:tcBorders>
            <w:noWrap/>
            <w:vAlign w:val="bottom"/>
            <w:hideMark/>
          </w:tcPr>
          <w:p w14:paraId="32DB4C81" w14:textId="77777777" w:rsidR="00B42735" w:rsidRPr="00B42735" w:rsidRDefault="00B42735">
            <w:pPr>
              <w:spacing w:before="60" w:after="60" w:line="220" w:lineRule="exact"/>
              <w:rPr>
                <w:rFonts w:eastAsia="Times New Roman" w:cs="Arial"/>
                <w:color w:val="0070C0"/>
              </w:rPr>
            </w:pPr>
            <w:r w:rsidRPr="00B42735">
              <w:rPr>
                <w:rFonts w:eastAsia="Times New Roman" w:cs="Arial"/>
                <w:color w:val="0070C0"/>
              </w:rPr>
              <w:t>HCC</w:t>
            </w:r>
            <w:r w:rsidRPr="00B42735">
              <w:rPr>
                <w:rFonts w:eastAsia="Times New Roman" w:cs="Arial"/>
                <w:color w:val="0070C0"/>
                <w:vertAlign w:val="superscript"/>
              </w:rPr>
              <w:t>2,3</w:t>
            </w:r>
          </w:p>
        </w:tc>
        <w:tc>
          <w:tcPr>
            <w:tcW w:w="1260" w:type="dxa"/>
            <w:tcBorders>
              <w:top w:val="nil"/>
              <w:left w:val="nil"/>
              <w:bottom w:val="single" w:sz="4" w:space="0" w:color="auto"/>
              <w:right w:val="single" w:sz="4" w:space="0" w:color="auto"/>
            </w:tcBorders>
            <w:noWrap/>
            <w:vAlign w:val="bottom"/>
            <w:hideMark/>
          </w:tcPr>
          <w:p w14:paraId="2212C875" w14:textId="77777777" w:rsidR="00B42735" w:rsidRPr="00B42735" w:rsidRDefault="00B42735">
            <w:pPr>
              <w:spacing w:before="60" w:after="60" w:line="220" w:lineRule="exact"/>
              <w:ind w:right="72"/>
              <w:jc w:val="center"/>
              <w:rPr>
                <w:rFonts w:eastAsia="Times New Roman" w:cs="Arial"/>
                <w:color w:val="0070C0"/>
              </w:rPr>
            </w:pPr>
            <w:r w:rsidRPr="00B42735">
              <w:rPr>
                <w:rFonts w:eastAsia="Times New Roman" w:cs="Arial"/>
                <w:color w:val="0070C0"/>
              </w:rPr>
              <w:t>1.1</w:t>
            </w:r>
          </w:p>
        </w:tc>
        <w:tc>
          <w:tcPr>
            <w:tcW w:w="1260" w:type="dxa"/>
            <w:tcBorders>
              <w:top w:val="nil"/>
              <w:left w:val="nil"/>
              <w:bottom w:val="single" w:sz="4" w:space="0" w:color="auto"/>
              <w:right w:val="single" w:sz="4" w:space="0" w:color="auto"/>
            </w:tcBorders>
            <w:noWrap/>
            <w:vAlign w:val="bottom"/>
            <w:hideMark/>
          </w:tcPr>
          <w:p w14:paraId="45A0F0F1" w14:textId="77777777" w:rsidR="00B42735" w:rsidRPr="00B42735" w:rsidRDefault="00B42735">
            <w:pPr>
              <w:spacing w:before="60" w:after="60" w:line="220" w:lineRule="exact"/>
              <w:ind w:right="29"/>
              <w:jc w:val="center"/>
              <w:rPr>
                <w:rFonts w:eastAsia="Times New Roman" w:cs="Arial"/>
                <w:color w:val="0070C0"/>
              </w:rPr>
            </w:pPr>
            <w:r w:rsidRPr="00B42735">
              <w:rPr>
                <w:rFonts w:eastAsia="Times New Roman" w:cs="Arial"/>
                <w:color w:val="0070C0"/>
              </w:rPr>
              <w:t>1.2</w:t>
            </w:r>
          </w:p>
        </w:tc>
        <w:tc>
          <w:tcPr>
            <w:tcW w:w="1170" w:type="dxa"/>
            <w:tcBorders>
              <w:top w:val="nil"/>
              <w:left w:val="single" w:sz="4" w:space="0" w:color="auto"/>
              <w:bottom w:val="single" w:sz="4" w:space="0" w:color="auto"/>
              <w:right w:val="single" w:sz="12" w:space="0" w:color="auto"/>
            </w:tcBorders>
            <w:hideMark/>
          </w:tcPr>
          <w:p w14:paraId="4A482F7B" w14:textId="77777777" w:rsidR="00B42735" w:rsidRPr="00B42735" w:rsidRDefault="00B42735">
            <w:pPr>
              <w:spacing w:before="60" w:after="60" w:line="220" w:lineRule="exact"/>
              <w:jc w:val="center"/>
              <w:rPr>
                <w:rFonts w:eastAsia="Times New Roman" w:cs="Arial"/>
                <w:color w:val="0070C0"/>
              </w:rPr>
            </w:pPr>
            <w:r w:rsidRPr="00B42735">
              <w:rPr>
                <w:rFonts w:eastAsia="Times New Roman" w:cs="Arial"/>
                <w:color w:val="0070C0"/>
              </w:rPr>
              <w:t>1.1</w:t>
            </w:r>
          </w:p>
        </w:tc>
        <w:tc>
          <w:tcPr>
            <w:tcW w:w="1260" w:type="dxa"/>
            <w:tcBorders>
              <w:top w:val="nil"/>
              <w:left w:val="single" w:sz="12" w:space="0" w:color="auto"/>
              <w:bottom w:val="single" w:sz="4" w:space="0" w:color="auto"/>
              <w:right w:val="single" w:sz="4" w:space="0" w:color="auto"/>
            </w:tcBorders>
            <w:noWrap/>
            <w:vAlign w:val="bottom"/>
            <w:hideMark/>
          </w:tcPr>
          <w:p w14:paraId="4E526B08" w14:textId="77777777" w:rsidR="00B42735" w:rsidRPr="00B42735" w:rsidRDefault="00B42735">
            <w:pPr>
              <w:rPr>
                <w:rFonts w:eastAsia="Times New Roman" w:cs="Arial"/>
                <w:color w:val="0070C0"/>
              </w:rPr>
            </w:pPr>
          </w:p>
        </w:tc>
        <w:tc>
          <w:tcPr>
            <w:tcW w:w="1350" w:type="dxa"/>
            <w:tcBorders>
              <w:top w:val="nil"/>
              <w:left w:val="single" w:sz="4" w:space="0" w:color="auto"/>
              <w:bottom w:val="single" w:sz="4" w:space="0" w:color="auto"/>
              <w:right w:val="single" w:sz="4" w:space="0" w:color="auto"/>
            </w:tcBorders>
          </w:tcPr>
          <w:p w14:paraId="4AE0FA95" w14:textId="77777777" w:rsidR="00B42735" w:rsidRPr="00B42735" w:rsidRDefault="00B42735">
            <w:pPr>
              <w:spacing w:before="60" w:after="60" w:line="220" w:lineRule="exact"/>
              <w:rPr>
                <w:rFonts w:eastAsia="Times New Roman" w:cs="Arial"/>
                <w:color w:val="0070C0"/>
              </w:rPr>
            </w:pPr>
          </w:p>
        </w:tc>
        <w:tc>
          <w:tcPr>
            <w:tcW w:w="1350" w:type="dxa"/>
            <w:tcBorders>
              <w:top w:val="nil"/>
              <w:left w:val="single" w:sz="4" w:space="0" w:color="auto"/>
              <w:bottom w:val="single" w:sz="4" w:space="0" w:color="auto"/>
              <w:right w:val="single" w:sz="12" w:space="0" w:color="auto"/>
            </w:tcBorders>
          </w:tcPr>
          <w:p w14:paraId="33F9F674" w14:textId="77777777" w:rsidR="00B42735" w:rsidRPr="00B42735" w:rsidRDefault="00B42735">
            <w:pPr>
              <w:spacing w:before="60" w:after="60" w:line="220" w:lineRule="exact"/>
              <w:rPr>
                <w:rFonts w:eastAsia="Times New Roman" w:cs="Arial"/>
                <w:color w:val="0070C0"/>
              </w:rPr>
            </w:pPr>
          </w:p>
        </w:tc>
      </w:tr>
      <w:tr w:rsidR="00B42735" w:rsidRPr="00B42735" w14:paraId="66CC0043" w14:textId="77777777" w:rsidTr="00B42735">
        <w:tc>
          <w:tcPr>
            <w:tcW w:w="1877" w:type="dxa"/>
            <w:tcBorders>
              <w:top w:val="nil"/>
              <w:left w:val="single" w:sz="8" w:space="0" w:color="auto"/>
              <w:bottom w:val="single" w:sz="4" w:space="0" w:color="auto"/>
              <w:right w:val="single" w:sz="4" w:space="0" w:color="auto"/>
            </w:tcBorders>
            <w:vAlign w:val="center"/>
            <w:hideMark/>
          </w:tcPr>
          <w:p w14:paraId="5432167A" w14:textId="77777777" w:rsidR="00B42735" w:rsidRPr="00B42735" w:rsidRDefault="00B42735">
            <w:pPr>
              <w:spacing w:before="60" w:after="60" w:line="220" w:lineRule="exact"/>
              <w:rPr>
                <w:rFonts w:eastAsia="Times New Roman" w:cs="Arial"/>
                <w:color w:val="0070C0"/>
              </w:rPr>
            </w:pPr>
            <w:r w:rsidRPr="00B42735">
              <w:rPr>
                <w:rFonts w:eastAsia="Times New Roman" w:cs="Arial"/>
                <w:color w:val="0070C0"/>
              </w:rPr>
              <w:t>Male</w:t>
            </w:r>
          </w:p>
        </w:tc>
        <w:tc>
          <w:tcPr>
            <w:tcW w:w="1260" w:type="dxa"/>
            <w:tcBorders>
              <w:top w:val="nil"/>
              <w:left w:val="nil"/>
              <w:bottom w:val="single" w:sz="4" w:space="0" w:color="auto"/>
              <w:right w:val="single" w:sz="4" w:space="0" w:color="auto"/>
            </w:tcBorders>
            <w:noWrap/>
            <w:vAlign w:val="center"/>
            <w:hideMark/>
          </w:tcPr>
          <w:p w14:paraId="209531B2" w14:textId="77777777" w:rsidR="00B42735" w:rsidRPr="00B42735" w:rsidRDefault="00B42735">
            <w:pPr>
              <w:spacing w:before="60" w:after="60" w:line="220" w:lineRule="exact"/>
              <w:ind w:right="72"/>
              <w:jc w:val="center"/>
              <w:rPr>
                <w:rFonts w:eastAsia="Times New Roman" w:cs="Arial"/>
                <w:color w:val="0070C0"/>
              </w:rPr>
            </w:pPr>
            <w:r w:rsidRPr="00B42735">
              <w:rPr>
                <w:rFonts w:eastAsia="Times New Roman" w:cs="Arial"/>
                <w:color w:val="0070C0"/>
              </w:rPr>
              <w:t>42.9</w:t>
            </w:r>
          </w:p>
        </w:tc>
        <w:tc>
          <w:tcPr>
            <w:tcW w:w="1260" w:type="dxa"/>
            <w:tcBorders>
              <w:top w:val="nil"/>
              <w:left w:val="nil"/>
              <w:bottom w:val="single" w:sz="4" w:space="0" w:color="auto"/>
              <w:right w:val="single" w:sz="4" w:space="0" w:color="auto"/>
            </w:tcBorders>
            <w:noWrap/>
            <w:vAlign w:val="center"/>
            <w:hideMark/>
          </w:tcPr>
          <w:p w14:paraId="16A0384F" w14:textId="77777777" w:rsidR="00B42735" w:rsidRPr="00B42735" w:rsidRDefault="00B42735">
            <w:pPr>
              <w:spacing w:before="60" w:after="60" w:line="220" w:lineRule="exact"/>
              <w:ind w:right="29"/>
              <w:jc w:val="center"/>
              <w:rPr>
                <w:rFonts w:eastAsia="Times New Roman" w:cs="Arial"/>
                <w:color w:val="0070C0"/>
              </w:rPr>
            </w:pPr>
            <w:r w:rsidRPr="00B42735">
              <w:rPr>
                <w:rFonts w:eastAsia="Times New Roman" w:cs="Arial"/>
                <w:color w:val="0070C0"/>
              </w:rPr>
              <w:t>44.8</w:t>
            </w:r>
          </w:p>
        </w:tc>
        <w:tc>
          <w:tcPr>
            <w:tcW w:w="1170" w:type="dxa"/>
            <w:tcBorders>
              <w:top w:val="nil"/>
              <w:left w:val="single" w:sz="4" w:space="0" w:color="auto"/>
              <w:bottom w:val="single" w:sz="4" w:space="0" w:color="auto"/>
              <w:right w:val="single" w:sz="12" w:space="0" w:color="auto"/>
            </w:tcBorders>
            <w:hideMark/>
          </w:tcPr>
          <w:p w14:paraId="1B9CDC7C" w14:textId="77777777" w:rsidR="00B42735" w:rsidRPr="00B42735" w:rsidRDefault="00B42735">
            <w:pPr>
              <w:spacing w:before="60" w:after="60" w:line="220" w:lineRule="exact"/>
              <w:jc w:val="center"/>
              <w:rPr>
                <w:rFonts w:eastAsia="Times New Roman" w:cs="Arial"/>
                <w:color w:val="0070C0"/>
              </w:rPr>
            </w:pPr>
            <w:r w:rsidRPr="00B42735">
              <w:rPr>
                <w:rFonts w:eastAsia="Times New Roman" w:cs="Arial"/>
                <w:color w:val="0070C0"/>
              </w:rPr>
              <w:t>43.4</w:t>
            </w:r>
          </w:p>
        </w:tc>
        <w:tc>
          <w:tcPr>
            <w:tcW w:w="1260" w:type="dxa"/>
            <w:tcBorders>
              <w:top w:val="nil"/>
              <w:left w:val="single" w:sz="12" w:space="0" w:color="auto"/>
              <w:bottom w:val="single" w:sz="4" w:space="0" w:color="auto"/>
              <w:right w:val="single" w:sz="4" w:space="0" w:color="auto"/>
            </w:tcBorders>
            <w:noWrap/>
            <w:vAlign w:val="center"/>
            <w:hideMark/>
          </w:tcPr>
          <w:p w14:paraId="6BC333D9" w14:textId="77777777" w:rsidR="00B42735" w:rsidRPr="00B42735" w:rsidRDefault="00B42735">
            <w:pPr>
              <w:spacing w:before="60" w:after="60" w:line="220" w:lineRule="exact"/>
              <w:rPr>
                <w:rFonts w:eastAsia="Times New Roman" w:cs="Arial"/>
                <w:color w:val="0070C0"/>
              </w:rPr>
            </w:pPr>
            <w:r w:rsidRPr="00B42735">
              <w:rPr>
                <w:rFonts w:eastAsia="Times New Roman" w:cs="Arial"/>
                <w:color w:val="0070C0"/>
              </w:rPr>
              <w:t> </w:t>
            </w:r>
          </w:p>
        </w:tc>
        <w:tc>
          <w:tcPr>
            <w:tcW w:w="1350" w:type="dxa"/>
            <w:tcBorders>
              <w:top w:val="nil"/>
              <w:left w:val="single" w:sz="4" w:space="0" w:color="auto"/>
              <w:bottom w:val="single" w:sz="4" w:space="0" w:color="auto"/>
              <w:right w:val="single" w:sz="4" w:space="0" w:color="auto"/>
            </w:tcBorders>
          </w:tcPr>
          <w:p w14:paraId="3AA8EB84" w14:textId="77777777" w:rsidR="00B42735" w:rsidRPr="00B42735" w:rsidRDefault="00B42735">
            <w:pPr>
              <w:spacing w:before="60" w:after="60" w:line="220" w:lineRule="exact"/>
              <w:rPr>
                <w:rFonts w:eastAsia="Times New Roman" w:cs="Arial"/>
                <w:color w:val="0070C0"/>
              </w:rPr>
            </w:pPr>
          </w:p>
        </w:tc>
        <w:tc>
          <w:tcPr>
            <w:tcW w:w="1350" w:type="dxa"/>
            <w:tcBorders>
              <w:top w:val="nil"/>
              <w:left w:val="single" w:sz="4" w:space="0" w:color="auto"/>
              <w:bottom w:val="single" w:sz="4" w:space="0" w:color="auto"/>
              <w:right w:val="single" w:sz="12" w:space="0" w:color="auto"/>
            </w:tcBorders>
          </w:tcPr>
          <w:p w14:paraId="7D5FFF24" w14:textId="77777777" w:rsidR="00B42735" w:rsidRPr="00B42735" w:rsidRDefault="00B42735">
            <w:pPr>
              <w:spacing w:before="60" w:after="60" w:line="220" w:lineRule="exact"/>
              <w:rPr>
                <w:rFonts w:eastAsia="Times New Roman" w:cs="Arial"/>
                <w:color w:val="0070C0"/>
              </w:rPr>
            </w:pPr>
          </w:p>
        </w:tc>
      </w:tr>
      <w:tr w:rsidR="00B42735" w:rsidRPr="00B42735" w14:paraId="258CAD57" w14:textId="77777777" w:rsidTr="00B42735">
        <w:tc>
          <w:tcPr>
            <w:tcW w:w="1877" w:type="dxa"/>
            <w:tcBorders>
              <w:top w:val="nil"/>
              <w:left w:val="single" w:sz="8" w:space="0" w:color="auto"/>
              <w:bottom w:val="single" w:sz="4" w:space="0" w:color="auto"/>
              <w:right w:val="single" w:sz="4" w:space="0" w:color="auto"/>
            </w:tcBorders>
            <w:vAlign w:val="center"/>
            <w:hideMark/>
          </w:tcPr>
          <w:p w14:paraId="3B32F1AB" w14:textId="77777777" w:rsidR="00B42735" w:rsidRPr="00B42735" w:rsidRDefault="00B42735">
            <w:pPr>
              <w:spacing w:before="60" w:after="60" w:line="220" w:lineRule="exact"/>
              <w:rPr>
                <w:rFonts w:eastAsia="Times New Roman" w:cs="Arial"/>
                <w:color w:val="0070C0"/>
              </w:rPr>
            </w:pPr>
            <w:r w:rsidRPr="00B42735">
              <w:rPr>
                <w:rFonts w:eastAsia="Times New Roman" w:cs="Arial"/>
                <w:color w:val="0070C0"/>
              </w:rPr>
              <w:t>Non-White</w:t>
            </w:r>
          </w:p>
        </w:tc>
        <w:tc>
          <w:tcPr>
            <w:tcW w:w="1260" w:type="dxa"/>
            <w:tcBorders>
              <w:top w:val="nil"/>
              <w:left w:val="nil"/>
              <w:bottom w:val="single" w:sz="4" w:space="0" w:color="auto"/>
              <w:right w:val="single" w:sz="4" w:space="0" w:color="auto"/>
            </w:tcBorders>
            <w:noWrap/>
            <w:vAlign w:val="center"/>
            <w:hideMark/>
          </w:tcPr>
          <w:p w14:paraId="2C6DF31B" w14:textId="77777777" w:rsidR="00B42735" w:rsidRPr="00B42735" w:rsidRDefault="00B42735">
            <w:pPr>
              <w:spacing w:before="60" w:after="60" w:line="220" w:lineRule="exact"/>
              <w:ind w:right="72"/>
              <w:jc w:val="center"/>
              <w:rPr>
                <w:rFonts w:eastAsia="Times New Roman" w:cs="Arial"/>
                <w:color w:val="0070C0"/>
              </w:rPr>
            </w:pPr>
            <w:r w:rsidRPr="00B42735">
              <w:rPr>
                <w:rFonts w:eastAsia="Times New Roman" w:cs="Arial"/>
                <w:color w:val="0070C0"/>
              </w:rPr>
              <w:t>19.0</w:t>
            </w:r>
          </w:p>
        </w:tc>
        <w:tc>
          <w:tcPr>
            <w:tcW w:w="1260" w:type="dxa"/>
            <w:tcBorders>
              <w:top w:val="nil"/>
              <w:left w:val="nil"/>
              <w:bottom w:val="single" w:sz="4" w:space="0" w:color="auto"/>
              <w:right w:val="single" w:sz="4" w:space="0" w:color="auto"/>
            </w:tcBorders>
            <w:noWrap/>
            <w:vAlign w:val="center"/>
            <w:hideMark/>
          </w:tcPr>
          <w:p w14:paraId="11141F50" w14:textId="77777777" w:rsidR="00B42735" w:rsidRPr="00B42735" w:rsidRDefault="00B42735">
            <w:pPr>
              <w:spacing w:before="60" w:after="60" w:line="220" w:lineRule="exact"/>
              <w:ind w:right="29"/>
              <w:jc w:val="center"/>
              <w:rPr>
                <w:rFonts w:eastAsia="Times New Roman" w:cs="Arial"/>
                <w:color w:val="0070C0"/>
              </w:rPr>
            </w:pPr>
            <w:r w:rsidRPr="00B42735">
              <w:rPr>
                <w:rFonts w:eastAsia="Times New Roman" w:cs="Arial"/>
                <w:color w:val="0070C0"/>
              </w:rPr>
              <w:t>27.5</w:t>
            </w:r>
          </w:p>
        </w:tc>
        <w:tc>
          <w:tcPr>
            <w:tcW w:w="1170" w:type="dxa"/>
            <w:tcBorders>
              <w:top w:val="nil"/>
              <w:left w:val="single" w:sz="4" w:space="0" w:color="auto"/>
              <w:bottom w:val="single" w:sz="4" w:space="0" w:color="auto"/>
              <w:right w:val="single" w:sz="12" w:space="0" w:color="auto"/>
            </w:tcBorders>
            <w:hideMark/>
          </w:tcPr>
          <w:p w14:paraId="4C0204FF" w14:textId="77777777" w:rsidR="00B42735" w:rsidRPr="00B42735" w:rsidRDefault="00B42735">
            <w:pPr>
              <w:spacing w:before="60" w:after="60" w:line="220" w:lineRule="exact"/>
              <w:jc w:val="center"/>
              <w:rPr>
                <w:rFonts w:eastAsia="Times New Roman" w:cs="Arial"/>
                <w:color w:val="0070C0"/>
              </w:rPr>
            </w:pPr>
            <w:r w:rsidRPr="00B42735">
              <w:rPr>
                <w:rFonts w:eastAsia="Times New Roman" w:cs="Arial"/>
                <w:color w:val="0070C0"/>
              </w:rPr>
              <w:t>23.5</w:t>
            </w:r>
          </w:p>
        </w:tc>
        <w:tc>
          <w:tcPr>
            <w:tcW w:w="1260" w:type="dxa"/>
            <w:tcBorders>
              <w:top w:val="nil"/>
              <w:left w:val="single" w:sz="12" w:space="0" w:color="auto"/>
              <w:bottom w:val="single" w:sz="4" w:space="0" w:color="auto"/>
              <w:right w:val="single" w:sz="4" w:space="0" w:color="auto"/>
            </w:tcBorders>
            <w:noWrap/>
            <w:vAlign w:val="center"/>
            <w:hideMark/>
          </w:tcPr>
          <w:p w14:paraId="048688AD" w14:textId="77777777" w:rsidR="00B42735" w:rsidRPr="00B42735" w:rsidRDefault="00B42735">
            <w:pPr>
              <w:spacing w:before="60" w:after="60" w:line="220" w:lineRule="exact"/>
              <w:jc w:val="center"/>
              <w:rPr>
                <w:rFonts w:eastAsia="Times New Roman" w:cs="Arial"/>
                <w:color w:val="0070C0"/>
              </w:rPr>
            </w:pPr>
            <w:r w:rsidRPr="00B42735">
              <w:rPr>
                <w:rFonts w:eastAsia="Times New Roman" w:cs="Arial"/>
                <w:color w:val="0070C0"/>
              </w:rPr>
              <w:t>** </w:t>
            </w:r>
          </w:p>
        </w:tc>
        <w:tc>
          <w:tcPr>
            <w:tcW w:w="1350" w:type="dxa"/>
            <w:tcBorders>
              <w:top w:val="nil"/>
              <w:left w:val="single" w:sz="4" w:space="0" w:color="auto"/>
              <w:bottom w:val="single" w:sz="4" w:space="0" w:color="auto"/>
              <w:right w:val="single" w:sz="4" w:space="0" w:color="auto"/>
            </w:tcBorders>
            <w:hideMark/>
          </w:tcPr>
          <w:p w14:paraId="383606C0" w14:textId="77777777" w:rsidR="00B42735" w:rsidRPr="00B42735" w:rsidRDefault="00B42735">
            <w:pPr>
              <w:spacing w:before="60" w:after="60" w:line="220" w:lineRule="exact"/>
              <w:jc w:val="center"/>
              <w:rPr>
                <w:rFonts w:eastAsia="Times New Roman" w:cs="Arial"/>
                <w:color w:val="0070C0"/>
              </w:rPr>
            </w:pPr>
            <w:r w:rsidRPr="00B42735">
              <w:rPr>
                <w:rFonts w:eastAsia="Times New Roman" w:cs="Arial"/>
                <w:color w:val="0070C0"/>
              </w:rPr>
              <w:t>*</w:t>
            </w:r>
          </w:p>
        </w:tc>
        <w:tc>
          <w:tcPr>
            <w:tcW w:w="1350" w:type="dxa"/>
            <w:tcBorders>
              <w:top w:val="nil"/>
              <w:left w:val="single" w:sz="4" w:space="0" w:color="auto"/>
              <w:bottom w:val="single" w:sz="4" w:space="0" w:color="auto"/>
              <w:right w:val="single" w:sz="12" w:space="0" w:color="auto"/>
            </w:tcBorders>
          </w:tcPr>
          <w:p w14:paraId="0BADCC8B" w14:textId="77777777" w:rsidR="00B42735" w:rsidRPr="00B42735" w:rsidRDefault="00B42735">
            <w:pPr>
              <w:spacing w:before="60" w:after="60" w:line="220" w:lineRule="exact"/>
              <w:jc w:val="center"/>
              <w:rPr>
                <w:rFonts w:eastAsia="Times New Roman" w:cs="Arial"/>
                <w:color w:val="0070C0"/>
              </w:rPr>
            </w:pPr>
          </w:p>
        </w:tc>
      </w:tr>
      <w:tr w:rsidR="00B42735" w:rsidRPr="00B42735" w14:paraId="320E7A83" w14:textId="77777777" w:rsidTr="00B42735">
        <w:tc>
          <w:tcPr>
            <w:tcW w:w="1877" w:type="dxa"/>
            <w:tcBorders>
              <w:top w:val="nil"/>
              <w:left w:val="single" w:sz="8" w:space="0" w:color="auto"/>
              <w:bottom w:val="single" w:sz="4" w:space="0" w:color="auto"/>
              <w:right w:val="single" w:sz="4" w:space="0" w:color="auto"/>
            </w:tcBorders>
            <w:vAlign w:val="center"/>
            <w:hideMark/>
          </w:tcPr>
          <w:p w14:paraId="20E2A8F7" w14:textId="77777777" w:rsidR="00B42735" w:rsidRPr="00B42735" w:rsidRDefault="00B42735">
            <w:pPr>
              <w:spacing w:before="60" w:after="60" w:line="220" w:lineRule="exact"/>
              <w:rPr>
                <w:rFonts w:eastAsia="Times New Roman" w:cs="Arial"/>
                <w:color w:val="0070C0"/>
              </w:rPr>
            </w:pPr>
            <w:r w:rsidRPr="00B42735">
              <w:rPr>
                <w:rFonts w:eastAsia="Times New Roman" w:cs="Arial"/>
                <w:color w:val="0070C0"/>
              </w:rPr>
              <w:t>Disability</w:t>
            </w:r>
          </w:p>
        </w:tc>
        <w:tc>
          <w:tcPr>
            <w:tcW w:w="1260" w:type="dxa"/>
            <w:tcBorders>
              <w:top w:val="nil"/>
              <w:left w:val="nil"/>
              <w:bottom w:val="single" w:sz="4" w:space="0" w:color="auto"/>
              <w:right w:val="single" w:sz="4" w:space="0" w:color="auto"/>
            </w:tcBorders>
            <w:noWrap/>
            <w:vAlign w:val="center"/>
            <w:hideMark/>
          </w:tcPr>
          <w:p w14:paraId="3278D4B6" w14:textId="77777777" w:rsidR="00B42735" w:rsidRPr="00B42735" w:rsidRDefault="00B42735">
            <w:pPr>
              <w:spacing w:before="60" w:after="60" w:line="220" w:lineRule="exact"/>
              <w:ind w:right="72"/>
              <w:jc w:val="center"/>
              <w:rPr>
                <w:rFonts w:eastAsia="Times New Roman" w:cs="Arial"/>
                <w:color w:val="0070C0"/>
              </w:rPr>
            </w:pPr>
            <w:r w:rsidRPr="00B42735">
              <w:rPr>
                <w:rFonts w:eastAsia="Times New Roman" w:cs="Arial"/>
                <w:color w:val="0070C0"/>
              </w:rPr>
              <w:t>14.1</w:t>
            </w:r>
          </w:p>
        </w:tc>
        <w:tc>
          <w:tcPr>
            <w:tcW w:w="1260" w:type="dxa"/>
            <w:tcBorders>
              <w:top w:val="nil"/>
              <w:left w:val="nil"/>
              <w:bottom w:val="single" w:sz="4" w:space="0" w:color="auto"/>
              <w:right w:val="single" w:sz="4" w:space="0" w:color="auto"/>
            </w:tcBorders>
            <w:noWrap/>
            <w:vAlign w:val="center"/>
            <w:hideMark/>
          </w:tcPr>
          <w:p w14:paraId="608520CF" w14:textId="77777777" w:rsidR="00B42735" w:rsidRPr="00B42735" w:rsidRDefault="00B42735">
            <w:pPr>
              <w:spacing w:before="60" w:after="60" w:line="220" w:lineRule="exact"/>
              <w:ind w:right="29"/>
              <w:jc w:val="center"/>
              <w:rPr>
                <w:rFonts w:eastAsia="Times New Roman" w:cs="Arial"/>
                <w:color w:val="0070C0"/>
              </w:rPr>
            </w:pPr>
            <w:r w:rsidRPr="00B42735">
              <w:rPr>
                <w:rFonts w:eastAsia="Times New Roman" w:cs="Arial"/>
                <w:color w:val="0070C0"/>
              </w:rPr>
              <w:t>19.7</w:t>
            </w:r>
          </w:p>
        </w:tc>
        <w:tc>
          <w:tcPr>
            <w:tcW w:w="1170" w:type="dxa"/>
            <w:tcBorders>
              <w:top w:val="nil"/>
              <w:left w:val="single" w:sz="4" w:space="0" w:color="auto"/>
              <w:bottom w:val="single" w:sz="4" w:space="0" w:color="auto"/>
              <w:right w:val="single" w:sz="12" w:space="0" w:color="auto"/>
            </w:tcBorders>
            <w:hideMark/>
          </w:tcPr>
          <w:p w14:paraId="6E48851B" w14:textId="77777777" w:rsidR="00B42735" w:rsidRPr="00B42735" w:rsidRDefault="00B42735">
            <w:pPr>
              <w:spacing w:before="60" w:after="60" w:line="220" w:lineRule="exact"/>
              <w:jc w:val="center"/>
              <w:rPr>
                <w:rFonts w:eastAsia="Times New Roman" w:cs="Arial"/>
                <w:color w:val="0070C0"/>
              </w:rPr>
            </w:pPr>
            <w:r w:rsidRPr="00B42735">
              <w:rPr>
                <w:rFonts w:eastAsia="Times New Roman" w:cs="Arial"/>
                <w:color w:val="0070C0"/>
              </w:rPr>
              <w:t>19.2</w:t>
            </w:r>
          </w:p>
        </w:tc>
        <w:tc>
          <w:tcPr>
            <w:tcW w:w="1260" w:type="dxa"/>
            <w:tcBorders>
              <w:top w:val="nil"/>
              <w:left w:val="single" w:sz="12" w:space="0" w:color="auto"/>
              <w:bottom w:val="single" w:sz="4" w:space="0" w:color="auto"/>
              <w:right w:val="single" w:sz="4" w:space="0" w:color="auto"/>
            </w:tcBorders>
            <w:noWrap/>
            <w:vAlign w:val="center"/>
            <w:hideMark/>
          </w:tcPr>
          <w:p w14:paraId="6F2749D4" w14:textId="77777777" w:rsidR="00B42735" w:rsidRPr="00B42735" w:rsidRDefault="00B42735">
            <w:pPr>
              <w:spacing w:before="60" w:after="60" w:line="220" w:lineRule="exact"/>
              <w:jc w:val="center"/>
              <w:rPr>
                <w:rFonts w:eastAsia="Times New Roman" w:cs="Arial"/>
                <w:color w:val="0070C0"/>
              </w:rPr>
            </w:pPr>
            <w:r w:rsidRPr="00B42735">
              <w:rPr>
                <w:rFonts w:eastAsia="Times New Roman" w:cs="Arial"/>
                <w:color w:val="0070C0"/>
              </w:rPr>
              <w:t>* </w:t>
            </w:r>
          </w:p>
        </w:tc>
        <w:tc>
          <w:tcPr>
            <w:tcW w:w="1350" w:type="dxa"/>
            <w:tcBorders>
              <w:top w:val="nil"/>
              <w:left w:val="single" w:sz="4" w:space="0" w:color="auto"/>
              <w:bottom w:val="single" w:sz="4" w:space="0" w:color="auto"/>
              <w:right w:val="single" w:sz="4" w:space="0" w:color="auto"/>
            </w:tcBorders>
          </w:tcPr>
          <w:p w14:paraId="51482EF1" w14:textId="77777777" w:rsidR="00B42735" w:rsidRPr="00B42735" w:rsidRDefault="00B42735">
            <w:pPr>
              <w:spacing w:before="60" w:after="60" w:line="220" w:lineRule="exact"/>
              <w:jc w:val="center"/>
              <w:rPr>
                <w:rFonts w:eastAsia="Times New Roman" w:cs="Arial"/>
                <w:color w:val="0070C0"/>
              </w:rPr>
            </w:pPr>
          </w:p>
        </w:tc>
        <w:tc>
          <w:tcPr>
            <w:tcW w:w="1350" w:type="dxa"/>
            <w:tcBorders>
              <w:top w:val="nil"/>
              <w:left w:val="single" w:sz="4" w:space="0" w:color="auto"/>
              <w:bottom w:val="single" w:sz="4" w:space="0" w:color="auto"/>
              <w:right w:val="single" w:sz="12" w:space="0" w:color="auto"/>
            </w:tcBorders>
          </w:tcPr>
          <w:p w14:paraId="593DC72A" w14:textId="77777777" w:rsidR="00B42735" w:rsidRPr="00B42735" w:rsidRDefault="00B42735">
            <w:pPr>
              <w:spacing w:before="60" w:after="60" w:line="220" w:lineRule="exact"/>
              <w:jc w:val="center"/>
              <w:rPr>
                <w:rFonts w:eastAsia="Times New Roman" w:cs="Arial"/>
                <w:color w:val="0070C0"/>
              </w:rPr>
            </w:pPr>
          </w:p>
        </w:tc>
      </w:tr>
      <w:tr w:rsidR="00B42735" w:rsidRPr="00B42735" w14:paraId="586EC273" w14:textId="77777777" w:rsidTr="00B42735">
        <w:tc>
          <w:tcPr>
            <w:tcW w:w="1877" w:type="dxa"/>
            <w:tcBorders>
              <w:top w:val="nil"/>
              <w:left w:val="single" w:sz="8" w:space="0" w:color="auto"/>
              <w:bottom w:val="single" w:sz="4" w:space="0" w:color="auto"/>
              <w:right w:val="single" w:sz="4" w:space="0" w:color="auto"/>
            </w:tcBorders>
            <w:vAlign w:val="center"/>
            <w:hideMark/>
          </w:tcPr>
          <w:p w14:paraId="707ECEC6" w14:textId="77777777" w:rsidR="00B42735" w:rsidRPr="00B42735" w:rsidRDefault="00B42735">
            <w:pPr>
              <w:spacing w:before="60" w:after="60" w:line="220" w:lineRule="exact"/>
              <w:rPr>
                <w:rFonts w:eastAsia="Times New Roman" w:cs="Arial"/>
                <w:color w:val="0070C0"/>
              </w:rPr>
            </w:pPr>
            <w:r w:rsidRPr="00B42735">
              <w:rPr>
                <w:rFonts w:eastAsia="Times New Roman" w:cs="Arial"/>
                <w:color w:val="0070C0"/>
              </w:rPr>
              <w:t>Dual Eligibility</w:t>
            </w:r>
          </w:p>
        </w:tc>
        <w:tc>
          <w:tcPr>
            <w:tcW w:w="1260" w:type="dxa"/>
            <w:tcBorders>
              <w:top w:val="nil"/>
              <w:left w:val="nil"/>
              <w:bottom w:val="single" w:sz="4" w:space="0" w:color="auto"/>
              <w:right w:val="single" w:sz="4" w:space="0" w:color="auto"/>
            </w:tcBorders>
            <w:noWrap/>
            <w:vAlign w:val="center"/>
            <w:hideMark/>
          </w:tcPr>
          <w:p w14:paraId="4BCF844E" w14:textId="77777777" w:rsidR="00B42735" w:rsidRPr="00B42735" w:rsidRDefault="00B42735">
            <w:pPr>
              <w:spacing w:before="60" w:after="60" w:line="220" w:lineRule="exact"/>
              <w:ind w:right="72"/>
              <w:jc w:val="center"/>
              <w:rPr>
                <w:rFonts w:eastAsia="Times New Roman" w:cs="Arial"/>
                <w:color w:val="0070C0"/>
              </w:rPr>
            </w:pPr>
            <w:r w:rsidRPr="00B42735">
              <w:rPr>
                <w:rFonts w:eastAsia="Times New Roman" w:cs="Arial"/>
                <w:color w:val="0070C0"/>
              </w:rPr>
              <w:t>19.9</w:t>
            </w:r>
          </w:p>
        </w:tc>
        <w:tc>
          <w:tcPr>
            <w:tcW w:w="1260" w:type="dxa"/>
            <w:tcBorders>
              <w:top w:val="nil"/>
              <w:left w:val="nil"/>
              <w:bottom w:val="single" w:sz="4" w:space="0" w:color="auto"/>
              <w:right w:val="single" w:sz="4" w:space="0" w:color="auto"/>
            </w:tcBorders>
            <w:noWrap/>
            <w:vAlign w:val="center"/>
            <w:hideMark/>
          </w:tcPr>
          <w:p w14:paraId="73138045" w14:textId="77777777" w:rsidR="00B42735" w:rsidRPr="00B42735" w:rsidRDefault="00B42735">
            <w:pPr>
              <w:spacing w:before="60" w:after="60" w:line="220" w:lineRule="exact"/>
              <w:ind w:right="29"/>
              <w:jc w:val="center"/>
              <w:rPr>
                <w:rFonts w:eastAsia="Times New Roman" w:cs="Arial"/>
                <w:color w:val="0070C0"/>
              </w:rPr>
            </w:pPr>
            <w:r w:rsidRPr="00B42735">
              <w:rPr>
                <w:rFonts w:eastAsia="Times New Roman" w:cs="Arial"/>
                <w:color w:val="0070C0"/>
              </w:rPr>
              <w:t>29.3</w:t>
            </w:r>
          </w:p>
        </w:tc>
        <w:tc>
          <w:tcPr>
            <w:tcW w:w="1170" w:type="dxa"/>
            <w:tcBorders>
              <w:top w:val="nil"/>
              <w:left w:val="single" w:sz="4" w:space="0" w:color="auto"/>
              <w:bottom w:val="single" w:sz="4" w:space="0" w:color="auto"/>
              <w:right w:val="single" w:sz="12" w:space="0" w:color="auto"/>
            </w:tcBorders>
            <w:hideMark/>
          </w:tcPr>
          <w:p w14:paraId="4E2CD266" w14:textId="77777777" w:rsidR="00B42735" w:rsidRPr="00B42735" w:rsidRDefault="00B42735">
            <w:pPr>
              <w:spacing w:before="60" w:after="60" w:line="220" w:lineRule="exact"/>
              <w:jc w:val="center"/>
              <w:rPr>
                <w:rFonts w:eastAsia="Times New Roman" w:cs="Arial"/>
                <w:color w:val="0070C0"/>
              </w:rPr>
            </w:pPr>
            <w:r w:rsidRPr="00B42735">
              <w:rPr>
                <w:rFonts w:eastAsia="Times New Roman" w:cs="Arial"/>
                <w:color w:val="0070C0"/>
              </w:rPr>
              <w:t>25.0</w:t>
            </w:r>
          </w:p>
        </w:tc>
        <w:tc>
          <w:tcPr>
            <w:tcW w:w="1260" w:type="dxa"/>
            <w:tcBorders>
              <w:top w:val="nil"/>
              <w:left w:val="single" w:sz="12" w:space="0" w:color="auto"/>
              <w:bottom w:val="single" w:sz="4" w:space="0" w:color="auto"/>
              <w:right w:val="single" w:sz="4" w:space="0" w:color="auto"/>
            </w:tcBorders>
            <w:noWrap/>
            <w:vAlign w:val="center"/>
            <w:hideMark/>
          </w:tcPr>
          <w:p w14:paraId="28906C4C" w14:textId="77777777" w:rsidR="00B42735" w:rsidRPr="00B42735" w:rsidRDefault="00B42735">
            <w:pPr>
              <w:spacing w:before="60" w:after="60" w:line="220" w:lineRule="exact"/>
              <w:jc w:val="center"/>
              <w:rPr>
                <w:rFonts w:eastAsia="Times New Roman" w:cs="Arial"/>
                <w:color w:val="0070C0"/>
              </w:rPr>
            </w:pPr>
            <w:r w:rsidRPr="00B42735">
              <w:rPr>
                <w:rFonts w:eastAsia="Times New Roman" w:cs="Arial"/>
                <w:color w:val="0070C0"/>
              </w:rPr>
              <w:t>**</w:t>
            </w:r>
          </w:p>
        </w:tc>
        <w:tc>
          <w:tcPr>
            <w:tcW w:w="1350" w:type="dxa"/>
            <w:tcBorders>
              <w:top w:val="nil"/>
              <w:left w:val="single" w:sz="4" w:space="0" w:color="auto"/>
              <w:bottom w:val="single" w:sz="4" w:space="0" w:color="auto"/>
              <w:right w:val="single" w:sz="4" w:space="0" w:color="auto"/>
            </w:tcBorders>
          </w:tcPr>
          <w:p w14:paraId="47975FE6" w14:textId="77777777" w:rsidR="00B42735" w:rsidRPr="00B42735" w:rsidRDefault="00B42735">
            <w:pPr>
              <w:spacing w:before="60" w:after="60" w:line="220" w:lineRule="exact"/>
              <w:jc w:val="center"/>
              <w:rPr>
                <w:rFonts w:eastAsia="Times New Roman" w:cs="Arial"/>
                <w:color w:val="0070C0"/>
              </w:rPr>
            </w:pPr>
          </w:p>
        </w:tc>
        <w:tc>
          <w:tcPr>
            <w:tcW w:w="1350" w:type="dxa"/>
            <w:tcBorders>
              <w:top w:val="nil"/>
              <w:left w:val="single" w:sz="4" w:space="0" w:color="auto"/>
              <w:bottom w:val="single" w:sz="4" w:space="0" w:color="auto"/>
              <w:right w:val="single" w:sz="12" w:space="0" w:color="auto"/>
            </w:tcBorders>
          </w:tcPr>
          <w:p w14:paraId="1546CE8D" w14:textId="77777777" w:rsidR="00B42735" w:rsidRPr="00B42735" w:rsidRDefault="00B42735">
            <w:pPr>
              <w:spacing w:before="60" w:after="60" w:line="220" w:lineRule="exact"/>
              <w:jc w:val="center"/>
              <w:rPr>
                <w:rFonts w:eastAsia="Times New Roman" w:cs="Arial"/>
                <w:color w:val="0070C0"/>
              </w:rPr>
            </w:pPr>
          </w:p>
        </w:tc>
      </w:tr>
      <w:tr w:rsidR="00B42735" w:rsidRPr="00B42735" w14:paraId="1BEEB4FD" w14:textId="77777777" w:rsidTr="00B42735">
        <w:tc>
          <w:tcPr>
            <w:tcW w:w="1877" w:type="dxa"/>
            <w:tcBorders>
              <w:top w:val="nil"/>
              <w:left w:val="single" w:sz="8" w:space="0" w:color="auto"/>
              <w:bottom w:val="single" w:sz="4" w:space="0" w:color="auto"/>
              <w:right w:val="single" w:sz="4" w:space="0" w:color="auto"/>
            </w:tcBorders>
            <w:vAlign w:val="center"/>
            <w:hideMark/>
          </w:tcPr>
          <w:p w14:paraId="2C269DB4" w14:textId="77777777" w:rsidR="00B42735" w:rsidRPr="00B42735" w:rsidRDefault="00B42735">
            <w:pPr>
              <w:spacing w:before="60" w:after="60" w:line="220" w:lineRule="exact"/>
              <w:rPr>
                <w:rFonts w:eastAsia="Times New Roman" w:cs="Arial"/>
                <w:color w:val="0070C0"/>
              </w:rPr>
            </w:pPr>
            <w:r w:rsidRPr="00B42735">
              <w:rPr>
                <w:rFonts w:eastAsia="Times New Roman" w:cs="Arial"/>
                <w:color w:val="0070C0"/>
              </w:rPr>
              <w:t>Institutionalized</w:t>
            </w:r>
          </w:p>
        </w:tc>
        <w:tc>
          <w:tcPr>
            <w:tcW w:w="1260" w:type="dxa"/>
            <w:tcBorders>
              <w:top w:val="nil"/>
              <w:left w:val="nil"/>
              <w:bottom w:val="single" w:sz="4" w:space="0" w:color="auto"/>
              <w:right w:val="single" w:sz="4" w:space="0" w:color="auto"/>
            </w:tcBorders>
            <w:noWrap/>
            <w:vAlign w:val="center"/>
            <w:hideMark/>
          </w:tcPr>
          <w:p w14:paraId="607CD9C1" w14:textId="77777777" w:rsidR="00B42735" w:rsidRPr="00B42735" w:rsidRDefault="00B42735">
            <w:pPr>
              <w:spacing w:before="60" w:after="60" w:line="220" w:lineRule="exact"/>
              <w:ind w:right="72"/>
              <w:jc w:val="center"/>
              <w:rPr>
                <w:rFonts w:eastAsia="Times New Roman" w:cs="Arial"/>
                <w:color w:val="0070C0"/>
              </w:rPr>
            </w:pPr>
            <w:r w:rsidRPr="00B42735">
              <w:rPr>
                <w:rFonts w:eastAsia="Times New Roman" w:cs="Arial"/>
                <w:color w:val="0070C0"/>
              </w:rPr>
              <w:t>0.7</w:t>
            </w:r>
          </w:p>
        </w:tc>
        <w:tc>
          <w:tcPr>
            <w:tcW w:w="1260" w:type="dxa"/>
            <w:tcBorders>
              <w:top w:val="nil"/>
              <w:left w:val="nil"/>
              <w:bottom w:val="single" w:sz="4" w:space="0" w:color="auto"/>
              <w:right w:val="single" w:sz="4" w:space="0" w:color="auto"/>
            </w:tcBorders>
            <w:noWrap/>
            <w:vAlign w:val="center"/>
            <w:hideMark/>
          </w:tcPr>
          <w:p w14:paraId="30BAB960" w14:textId="77777777" w:rsidR="00B42735" w:rsidRPr="00B42735" w:rsidRDefault="00B42735">
            <w:pPr>
              <w:spacing w:before="60" w:after="60" w:line="220" w:lineRule="exact"/>
              <w:ind w:right="29"/>
              <w:jc w:val="center"/>
              <w:rPr>
                <w:rFonts w:eastAsia="Times New Roman" w:cs="Arial"/>
                <w:color w:val="0070C0"/>
              </w:rPr>
            </w:pPr>
            <w:r w:rsidRPr="00B42735">
              <w:rPr>
                <w:rFonts w:eastAsia="Times New Roman" w:cs="Arial"/>
                <w:color w:val="0070C0"/>
              </w:rPr>
              <w:t>3.4</w:t>
            </w:r>
          </w:p>
        </w:tc>
        <w:tc>
          <w:tcPr>
            <w:tcW w:w="1170" w:type="dxa"/>
            <w:tcBorders>
              <w:top w:val="nil"/>
              <w:left w:val="single" w:sz="4" w:space="0" w:color="auto"/>
              <w:bottom w:val="single" w:sz="4" w:space="0" w:color="auto"/>
              <w:right w:val="single" w:sz="12" w:space="0" w:color="auto"/>
            </w:tcBorders>
            <w:hideMark/>
          </w:tcPr>
          <w:p w14:paraId="06665FCF" w14:textId="77777777" w:rsidR="00B42735" w:rsidRPr="00B42735" w:rsidRDefault="00B42735">
            <w:pPr>
              <w:spacing w:before="60" w:after="60" w:line="220" w:lineRule="exact"/>
              <w:jc w:val="center"/>
              <w:rPr>
                <w:rFonts w:eastAsia="Times New Roman" w:cs="Arial"/>
                <w:color w:val="0070C0"/>
              </w:rPr>
            </w:pPr>
            <w:r w:rsidRPr="00B42735">
              <w:rPr>
                <w:rFonts w:eastAsia="Times New Roman" w:cs="Arial"/>
                <w:color w:val="0070C0"/>
              </w:rPr>
              <w:t>.4</w:t>
            </w:r>
          </w:p>
        </w:tc>
        <w:tc>
          <w:tcPr>
            <w:tcW w:w="1260" w:type="dxa"/>
            <w:tcBorders>
              <w:top w:val="nil"/>
              <w:left w:val="single" w:sz="12" w:space="0" w:color="auto"/>
              <w:bottom w:val="single" w:sz="4" w:space="0" w:color="auto"/>
              <w:right w:val="single" w:sz="4" w:space="0" w:color="auto"/>
            </w:tcBorders>
            <w:noWrap/>
            <w:vAlign w:val="center"/>
            <w:hideMark/>
          </w:tcPr>
          <w:p w14:paraId="20764A10" w14:textId="77777777" w:rsidR="00B42735" w:rsidRPr="00B42735" w:rsidRDefault="00B42735">
            <w:pPr>
              <w:spacing w:before="60" w:after="60" w:line="220" w:lineRule="exact"/>
              <w:jc w:val="center"/>
              <w:rPr>
                <w:rFonts w:eastAsia="Times New Roman" w:cs="Arial"/>
                <w:color w:val="0070C0"/>
              </w:rPr>
            </w:pPr>
            <w:r w:rsidRPr="00B42735">
              <w:rPr>
                <w:rFonts w:eastAsia="Times New Roman" w:cs="Arial"/>
                <w:color w:val="0070C0"/>
              </w:rPr>
              <w:t>**</w:t>
            </w:r>
          </w:p>
        </w:tc>
        <w:tc>
          <w:tcPr>
            <w:tcW w:w="1350" w:type="dxa"/>
            <w:tcBorders>
              <w:top w:val="nil"/>
              <w:left w:val="single" w:sz="4" w:space="0" w:color="auto"/>
              <w:bottom w:val="single" w:sz="4" w:space="0" w:color="auto"/>
              <w:right w:val="single" w:sz="4" w:space="0" w:color="auto"/>
            </w:tcBorders>
          </w:tcPr>
          <w:p w14:paraId="750414B0" w14:textId="77777777" w:rsidR="00B42735" w:rsidRPr="00B42735" w:rsidRDefault="00B42735">
            <w:pPr>
              <w:spacing w:before="60" w:after="60" w:line="220" w:lineRule="exact"/>
              <w:jc w:val="center"/>
              <w:rPr>
                <w:rFonts w:eastAsia="Times New Roman" w:cs="Arial"/>
                <w:color w:val="0070C0"/>
              </w:rPr>
            </w:pPr>
          </w:p>
        </w:tc>
        <w:tc>
          <w:tcPr>
            <w:tcW w:w="1350" w:type="dxa"/>
            <w:tcBorders>
              <w:top w:val="nil"/>
              <w:left w:val="single" w:sz="4" w:space="0" w:color="auto"/>
              <w:bottom w:val="single" w:sz="4" w:space="0" w:color="auto"/>
              <w:right w:val="single" w:sz="12" w:space="0" w:color="auto"/>
            </w:tcBorders>
            <w:hideMark/>
          </w:tcPr>
          <w:p w14:paraId="389A8BB7" w14:textId="77777777" w:rsidR="00B42735" w:rsidRPr="00B42735" w:rsidRDefault="00B42735">
            <w:pPr>
              <w:spacing w:before="60" w:after="60" w:line="220" w:lineRule="exact"/>
              <w:jc w:val="center"/>
              <w:rPr>
                <w:rFonts w:eastAsia="Times New Roman" w:cs="Arial"/>
                <w:color w:val="0070C0"/>
              </w:rPr>
            </w:pPr>
            <w:r w:rsidRPr="00B42735">
              <w:rPr>
                <w:rFonts w:eastAsia="Times New Roman" w:cs="Arial"/>
                <w:color w:val="0070C0"/>
              </w:rPr>
              <w:t>*</w:t>
            </w:r>
          </w:p>
        </w:tc>
      </w:tr>
      <w:tr w:rsidR="00B42735" w:rsidRPr="00B42735" w14:paraId="4B5A0BCE" w14:textId="77777777" w:rsidTr="00B42735">
        <w:tc>
          <w:tcPr>
            <w:tcW w:w="1877" w:type="dxa"/>
            <w:tcBorders>
              <w:top w:val="nil"/>
              <w:left w:val="single" w:sz="8" w:space="0" w:color="auto"/>
              <w:bottom w:val="single" w:sz="4" w:space="0" w:color="auto"/>
              <w:right w:val="single" w:sz="4" w:space="0" w:color="auto"/>
            </w:tcBorders>
            <w:vAlign w:val="center"/>
            <w:hideMark/>
          </w:tcPr>
          <w:p w14:paraId="2FA208A8" w14:textId="77777777" w:rsidR="00B42735" w:rsidRPr="00B42735" w:rsidRDefault="00B42735">
            <w:pPr>
              <w:spacing w:before="60" w:after="60" w:line="220" w:lineRule="exact"/>
              <w:rPr>
                <w:rFonts w:eastAsia="Times New Roman" w:cs="Arial"/>
                <w:color w:val="0070C0"/>
              </w:rPr>
            </w:pPr>
            <w:r w:rsidRPr="00B42735">
              <w:rPr>
                <w:rFonts w:eastAsia="Times New Roman" w:cs="Arial"/>
                <w:color w:val="0070C0"/>
              </w:rPr>
              <w:t>Hospice</w:t>
            </w:r>
          </w:p>
        </w:tc>
        <w:tc>
          <w:tcPr>
            <w:tcW w:w="1260" w:type="dxa"/>
            <w:tcBorders>
              <w:top w:val="nil"/>
              <w:left w:val="nil"/>
              <w:bottom w:val="single" w:sz="4" w:space="0" w:color="auto"/>
              <w:right w:val="single" w:sz="4" w:space="0" w:color="auto"/>
            </w:tcBorders>
            <w:noWrap/>
            <w:vAlign w:val="center"/>
            <w:hideMark/>
          </w:tcPr>
          <w:p w14:paraId="7632D817" w14:textId="77777777" w:rsidR="00B42735" w:rsidRPr="00B42735" w:rsidRDefault="00B42735">
            <w:pPr>
              <w:spacing w:before="60" w:after="60" w:line="220" w:lineRule="exact"/>
              <w:ind w:right="72"/>
              <w:jc w:val="center"/>
              <w:rPr>
                <w:rFonts w:eastAsia="Times New Roman" w:cs="Arial"/>
                <w:color w:val="0070C0"/>
              </w:rPr>
            </w:pPr>
            <w:r w:rsidRPr="00B42735">
              <w:rPr>
                <w:rFonts w:eastAsia="Times New Roman" w:cs="Arial"/>
                <w:color w:val="0070C0"/>
              </w:rPr>
              <w:t>0.1</w:t>
            </w:r>
          </w:p>
        </w:tc>
        <w:tc>
          <w:tcPr>
            <w:tcW w:w="1260" w:type="dxa"/>
            <w:tcBorders>
              <w:top w:val="nil"/>
              <w:left w:val="nil"/>
              <w:bottom w:val="single" w:sz="4" w:space="0" w:color="auto"/>
              <w:right w:val="single" w:sz="4" w:space="0" w:color="auto"/>
            </w:tcBorders>
            <w:noWrap/>
            <w:vAlign w:val="center"/>
            <w:hideMark/>
          </w:tcPr>
          <w:p w14:paraId="1798DA00" w14:textId="77777777" w:rsidR="00B42735" w:rsidRPr="00B42735" w:rsidRDefault="00B42735">
            <w:pPr>
              <w:spacing w:before="60" w:after="60" w:line="220" w:lineRule="exact"/>
              <w:ind w:right="29"/>
              <w:jc w:val="center"/>
              <w:rPr>
                <w:rFonts w:eastAsia="Times New Roman" w:cs="Arial"/>
                <w:color w:val="0070C0"/>
              </w:rPr>
            </w:pPr>
            <w:r w:rsidRPr="00B42735">
              <w:rPr>
                <w:rFonts w:eastAsia="Times New Roman" w:cs="Arial"/>
                <w:color w:val="0070C0"/>
              </w:rPr>
              <w:t>0.2</w:t>
            </w:r>
          </w:p>
        </w:tc>
        <w:tc>
          <w:tcPr>
            <w:tcW w:w="1170" w:type="dxa"/>
            <w:tcBorders>
              <w:top w:val="nil"/>
              <w:left w:val="single" w:sz="4" w:space="0" w:color="auto"/>
              <w:bottom w:val="single" w:sz="4" w:space="0" w:color="auto"/>
              <w:right w:val="single" w:sz="12" w:space="0" w:color="auto"/>
            </w:tcBorders>
            <w:hideMark/>
          </w:tcPr>
          <w:p w14:paraId="5DEFFE5A" w14:textId="77777777" w:rsidR="00B42735" w:rsidRPr="00B42735" w:rsidRDefault="00B42735">
            <w:pPr>
              <w:spacing w:before="60" w:after="60" w:line="220" w:lineRule="exact"/>
              <w:jc w:val="center"/>
              <w:rPr>
                <w:rFonts w:eastAsia="Times New Roman" w:cs="Arial"/>
                <w:color w:val="0070C0"/>
              </w:rPr>
            </w:pPr>
            <w:r w:rsidRPr="00B42735">
              <w:rPr>
                <w:rFonts w:eastAsia="Times New Roman" w:cs="Arial"/>
                <w:color w:val="0070C0"/>
              </w:rPr>
              <w:t>.1</w:t>
            </w:r>
          </w:p>
        </w:tc>
        <w:tc>
          <w:tcPr>
            <w:tcW w:w="1260" w:type="dxa"/>
            <w:tcBorders>
              <w:top w:val="nil"/>
              <w:left w:val="single" w:sz="12" w:space="0" w:color="auto"/>
              <w:bottom w:val="single" w:sz="4" w:space="0" w:color="auto"/>
              <w:right w:val="single" w:sz="4" w:space="0" w:color="auto"/>
            </w:tcBorders>
            <w:noWrap/>
            <w:vAlign w:val="center"/>
            <w:hideMark/>
          </w:tcPr>
          <w:p w14:paraId="5AFDA00E" w14:textId="77777777" w:rsidR="00B42735" w:rsidRPr="00B42735" w:rsidRDefault="00B42735">
            <w:pPr>
              <w:spacing w:before="60" w:after="60" w:line="220" w:lineRule="exact"/>
              <w:jc w:val="center"/>
              <w:rPr>
                <w:rFonts w:eastAsia="Times New Roman" w:cs="Arial"/>
                <w:color w:val="0070C0"/>
              </w:rPr>
            </w:pPr>
            <w:r w:rsidRPr="00B42735">
              <w:rPr>
                <w:rFonts w:eastAsia="Times New Roman" w:cs="Arial"/>
                <w:color w:val="0070C0"/>
              </w:rPr>
              <w:t>  </w:t>
            </w:r>
          </w:p>
        </w:tc>
        <w:tc>
          <w:tcPr>
            <w:tcW w:w="1350" w:type="dxa"/>
            <w:tcBorders>
              <w:top w:val="nil"/>
              <w:left w:val="single" w:sz="4" w:space="0" w:color="auto"/>
              <w:bottom w:val="single" w:sz="4" w:space="0" w:color="auto"/>
              <w:right w:val="single" w:sz="4" w:space="0" w:color="auto"/>
            </w:tcBorders>
          </w:tcPr>
          <w:p w14:paraId="4EF21F5D" w14:textId="77777777" w:rsidR="00B42735" w:rsidRPr="00B42735" w:rsidRDefault="00B42735">
            <w:pPr>
              <w:spacing w:before="60" w:after="60" w:line="220" w:lineRule="exact"/>
              <w:jc w:val="center"/>
              <w:rPr>
                <w:rFonts w:eastAsia="Times New Roman" w:cs="Arial"/>
                <w:color w:val="0070C0"/>
              </w:rPr>
            </w:pPr>
          </w:p>
        </w:tc>
        <w:tc>
          <w:tcPr>
            <w:tcW w:w="1350" w:type="dxa"/>
            <w:tcBorders>
              <w:top w:val="nil"/>
              <w:left w:val="single" w:sz="4" w:space="0" w:color="auto"/>
              <w:bottom w:val="single" w:sz="4" w:space="0" w:color="auto"/>
              <w:right w:val="single" w:sz="12" w:space="0" w:color="auto"/>
            </w:tcBorders>
          </w:tcPr>
          <w:p w14:paraId="39AA0A4D" w14:textId="77777777" w:rsidR="00B42735" w:rsidRPr="00B42735" w:rsidRDefault="00B42735">
            <w:pPr>
              <w:spacing w:before="60" w:after="60" w:line="220" w:lineRule="exact"/>
              <w:jc w:val="center"/>
              <w:rPr>
                <w:rFonts w:eastAsia="Times New Roman" w:cs="Arial"/>
                <w:color w:val="0070C0"/>
              </w:rPr>
            </w:pPr>
          </w:p>
        </w:tc>
      </w:tr>
      <w:tr w:rsidR="00B42735" w:rsidRPr="00B42735" w14:paraId="18E7BC11" w14:textId="77777777" w:rsidTr="00B42735">
        <w:tc>
          <w:tcPr>
            <w:tcW w:w="1877" w:type="dxa"/>
            <w:tcBorders>
              <w:top w:val="nil"/>
              <w:left w:val="single" w:sz="8" w:space="0" w:color="auto"/>
              <w:bottom w:val="nil"/>
              <w:right w:val="single" w:sz="4" w:space="0" w:color="auto"/>
            </w:tcBorders>
            <w:vAlign w:val="center"/>
            <w:hideMark/>
          </w:tcPr>
          <w:p w14:paraId="5883C3E3" w14:textId="77777777" w:rsidR="00B42735" w:rsidRPr="00B42735" w:rsidRDefault="00B42735">
            <w:pPr>
              <w:spacing w:before="60" w:after="60" w:line="220" w:lineRule="exact"/>
              <w:rPr>
                <w:rFonts w:eastAsia="Times New Roman" w:cs="Arial"/>
                <w:color w:val="0070C0"/>
              </w:rPr>
            </w:pPr>
            <w:r w:rsidRPr="00B42735">
              <w:rPr>
                <w:rFonts w:eastAsia="Times New Roman" w:cs="Arial"/>
                <w:color w:val="0070C0"/>
              </w:rPr>
              <w:t>ESRD</w:t>
            </w:r>
          </w:p>
        </w:tc>
        <w:tc>
          <w:tcPr>
            <w:tcW w:w="1260" w:type="dxa"/>
            <w:tcBorders>
              <w:top w:val="nil"/>
              <w:left w:val="nil"/>
              <w:bottom w:val="nil"/>
              <w:right w:val="single" w:sz="4" w:space="0" w:color="auto"/>
            </w:tcBorders>
            <w:noWrap/>
            <w:vAlign w:val="center"/>
            <w:hideMark/>
          </w:tcPr>
          <w:p w14:paraId="51FEC470" w14:textId="77777777" w:rsidR="00B42735" w:rsidRPr="00B42735" w:rsidRDefault="00B42735">
            <w:pPr>
              <w:spacing w:before="60" w:after="60" w:line="220" w:lineRule="exact"/>
              <w:ind w:right="72"/>
              <w:jc w:val="center"/>
              <w:rPr>
                <w:rFonts w:eastAsia="Times New Roman" w:cs="Arial"/>
                <w:color w:val="0070C0"/>
              </w:rPr>
            </w:pPr>
            <w:r w:rsidRPr="00B42735">
              <w:rPr>
                <w:rFonts w:eastAsia="Times New Roman" w:cs="Arial"/>
                <w:color w:val="0070C0"/>
              </w:rPr>
              <w:t>0.1</w:t>
            </w:r>
          </w:p>
        </w:tc>
        <w:tc>
          <w:tcPr>
            <w:tcW w:w="1260" w:type="dxa"/>
            <w:tcBorders>
              <w:top w:val="nil"/>
              <w:left w:val="nil"/>
              <w:bottom w:val="nil"/>
              <w:right w:val="single" w:sz="4" w:space="0" w:color="auto"/>
            </w:tcBorders>
            <w:noWrap/>
            <w:vAlign w:val="center"/>
            <w:hideMark/>
          </w:tcPr>
          <w:p w14:paraId="35C2E8E3" w14:textId="77777777" w:rsidR="00B42735" w:rsidRPr="00B42735" w:rsidRDefault="00B42735">
            <w:pPr>
              <w:spacing w:before="60" w:after="60" w:line="220" w:lineRule="exact"/>
              <w:ind w:right="29"/>
              <w:jc w:val="center"/>
              <w:rPr>
                <w:rFonts w:eastAsia="Times New Roman" w:cs="Arial"/>
                <w:color w:val="0070C0"/>
              </w:rPr>
            </w:pPr>
            <w:r w:rsidRPr="00B42735">
              <w:rPr>
                <w:rFonts w:eastAsia="Times New Roman" w:cs="Arial"/>
                <w:color w:val="0070C0"/>
              </w:rPr>
              <w:t>0.1</w:t>
            </w:r>
          </w:p>
        </w:tc>
        <w:tc>
          <w:tcPr>
            <w:tcW w:w="1170" w:type="dxa"/>
            <w:tcBorders>
              <w:top w:val="nil"/>
              <w:left w:val="single" w:sz="4" w:space="0" w:color="auto"/>
              <w:bottom w:val="nil"/>
              <w:right w:val="single" w:sz="12" w:space="0" w:color="auto"/>
            </w:tcBorders>
            <w:hideMark/>
          </w:tcPr>
          <w:p w14:paraId="116D0B08" w14:textId="77777777" w:rsidR="00B42735" w:rsidRPr="00B42735" w:rsidRDefault="00B42735">
            <w:pPr>
              <w:spacing w:before="60" w:after="60" w:line="220" w:lineRule="exact"/>
              <w:jc w:val="center"/>
              <w:rPr>
                <w:rFonts w:eastAsia="Times New Roman" w:cs="Arial"/>
                <w:color w:val="0070C0"/>
              </w:rPr>
            </w:pPr>
            <w:r w:rsidRPr="00B42735">
              <w:rPr>
                <w:rFonts w:eastAsia="Times New Roman" w:cs="Arial"/>
                <w:color w:val="0070C0"/>
              </w:rPr>
              <w:t>.1</w:t>
            </w:r>
          </w:p>
        </w:tc>
        <w:tc>
          <w:tcPr>
            <w:tcW w:w="1260" w:type="dxa"/>
            <w:tcBorders>
              <w:top w:val="nil"/>
              <w:left w:val="single" w:sz="12" w:space="0" w:color="auto"/>
              <w:bottom w:val="nil"/>
              <w:right w:val="single" w:sz="4" w:space="0" w:color="auto"/>
            </w:tcBorders>
            <w:noWrap/>
            <w:vAlign w:val="center"/>
            <w:hideMark/>
          </w:tcPr>
          <w:p w14:paraId="1F4CFF16" w14:textId="77777777" w:rsidR="00B42735" w:rsidRPr="00B42735" w:rsidRDefault="00B42735">
            <w:pPr>
              <w:spacing w:before="60" w:after="60" w:line="220" w:lineRule="exact"/>
              <w:jc w:val="center"/>
              <w:rPr>
                <w:rFonts w:eastAsia="Times New Roman" w:cs="Arial"/>
                <w:color w:val="0070C0"/>
              </w:rPr>
            </w:pPr>
            <w:r w:rsidRPr="00B42735">
              <w:rPr>
                <w:rFonts w:eastAsia="Times New Roman" w:cs="Arial"/>
                <w:color w:val="0070C0"/>
              </w:rPr>
              <w:t> </w:t>
            </w:r>
          </w:p>
        </w:tc>
        <w:tc>
          <w:tcPr>
            <w:tcW w:w="1350" w:type="dxa"/>
            <w:tcBorders>
              <w:top w:val="nil"/>
              <w:left w:val="single" w:sz="4" w:space="0" w:color="auto"/>
              <w:bottom w:val="nil"/>
              <w:right w:val="single" w:sz="4" w:space="0" w:color="auto"/>
            </w:tcBorders>
          </w:tcPr>
          <w:p w14:paraId="67E2A5EA" w14:textId="77777777" w:rsidR="00B42735" w:rsidRPr="00B42735" w:rsidRDefault="00B42735">
            <w:pPr>
              <w:spacing w:before="60" w:after="60" w:line="220" w:lineRule="exact"/>
              <w:jc w:val="center"/>
              <w:rPr>
                <w:rFonts w:eastAsia="Times New Roman" w:cs="Arial"/>
                <w:color w:val="0070C0"/>
              </w:rPr>
            </w:pPr>
          </w:p>
        </w:tc>
        <w:tc>
          <w:tcPr>
            <w:tcW w:w="1350" w:type="dxa"/>
            <w:tcBorders>
              <w:top w:val="nil"/>
              <w:left w:val="single" w:sz="4" w:space="0" w:color="auto"/>
              <w:bottom w:val="nil"/>
              <w:right w:val="single" w:sz="12" w:space="0" w:color="auto"/>
            </w:tcBorders>
          </w:tcPr>
          <w:p w14:paraId="7D03E150" w14:textId="77777777" w:rsidR="00B42735" w:rsidRPr="00B42735" w:rsidRDefault="00B42735">
            <w:pPr>
              <w:spacing w:before="60" w:after="60" w:line="220" w:lineRule="exact"/>
              <w:jc w:val="center"/>
              <w:rPr>
                <w:rFonts w:eastAsia="Times New Roman" w:cs="Arial"/>
                <w:color w:val="0070C0"/>
              </w:rPr>
            </w:pPr>
          </w:p>
        </w:tc>
      </w:tr>
      <w:tr w:rsidR="00B42735" w:rsidRPr="00B42735" w14:paraId="2E598143" w14:textId="77777777" w:rsidTr="00B42735">
        <w:tc>
          <w:tcPr>
            <w:tcW w:w="1877" w:type="dxa"/>
            <w:tcBorders>
              <w:top w:val="nil"/>
              <w:left w:val="single" w:sz="8" w:space="0" w:color="auto"/>
              <w:bottom w:val="nil"/>
              <w:right w:val="single" w:sz="4" w:space="0" w:color="auto"/>
            </w:tcBorders>
            <w:vAlign w:val="center"/>
            <w:hideMark/>
          </w:tcPr>
          <w:p w14:paraId="0D269159" w14:textId="77777777" w:rsidR="00B42735" w:rsidRPr="00B42735" w:rsidRDefault="00B42735">
            <w:pPr>
              <w:spacing w:before="60" w:after="60" w:line="220" w:lineRule="exact"/>
              <w:rPr>
                <w:rFonts w:eastAsia="Times New Roman" w:cs="Arial"/>
                <w:color w:val="0070C0"/>
              </w:rPr>
            </w:pPr>
            <w:r w:rsidRPr="00B42735">
              <w:rPr>
                <w:rFonts w:eastAsia="Times New Roman" w:cs="Arial"/>
                <w:color w:val="0070C0"/>
                <w:sz w:val="20"/>
                <w:szCs w:val="20"/>
              </w:rPr>
              <w:t>Household Income (&lt;20,000)</w:t>
            </w:r>
          </w:p>
        </w:tc>
        <w:tc>
          <w:tcPr>
            <w:tcW w:w="1260" w:type="dxa"/>
            <w:tcBorders>
              <w:top w:val="nil"/>
              <w:left w:val="nil"/>
              <w:bottom w:val="nil"/>
              <w:right w:val="single" w:sz="4" w:space="0" w:color="auto"/>
            </w:tcBorders>
            <w:noWrap/>
            <w:vAlign w:val="center"/>
            <w:hideMark/>
          </w:tcPr>
          <w:p w14:paraId="1BA2CD83" w14:textId="77777777" w:rsidR="00B42735" w:rsidRPr="00B42735" w:rsidRDefault="00B42735">
            <w:pPr>
              <w:spacing w:before="60" w:after="60" w:line="220" w:lineRule="exact"/>
              <w:ind w:right="72"/>
              <w:jc w:val="center"/>
              <w:rPr>
                <w:rFonts w:eastAsia="Times New Roman" w:cs="Arial"/>
                <w:color w:val="0070C0"/>
              </w:rPr>
            </w:pPr>
            <w:r w:rsidRPr="00B42735">
              <w:rPr>
                <w:rFonts w:eastAsia="Times New Roman" w:cs="Arial"/>
                <w:color w:val="0070C0"/>
                <w:sz w:val="20"/>
                <w:szCs w:val="20"/>
              </w:rPr>
              <w:t>46.0</w:t>
            </w:r>
          </w:p>
        </w:tc>
        <w:tc>
          <w:tcPr>
            <w:tcW w:w="1260" w:type="dxa"/>
            <w:tcBorders>
              <w:top w:val="nil"/>
              <w:left w:val="nil"/>
              <w:bottom w:val="nil"/>
              <w:right w:val="single" w:sz="4" w:space="0" w:color="auto"/>
            </w:tcBorders>
            <w:noWrap/>
            <w:vAlign w:val="center"/>
            <w:hideMark/>
          </w:tcPr>
          <w:p w14:paraId="4FB2EDAF" w14:textId="77777777" w:rsidR="00B42735" w:rsidRPr="00B42735" w:rsidRDefault="00B42735">
            <w:pPr>
              <w:spacing w:before="60" w:after="60" w:line="220" w:lineRule="exact"/>
              <w:ind w:right="29"/>
              <w:jc w:val="center"/>
              <w:rPr>
                <w:rFonts w:eastAsia="Times New Roman" w:cs="Arial"/>
                <w:color w:val="0070C0"/>
              </w:rPr>
            </w:pPr>
            <w:r w:rsidRPr="00B42735">
              <w:rPr>
                <w:rFonts w:eastAsia="Times New Roman" w:cs="Arial"/>
                <w:color w:val="0070C0"/>
                <w:sz w:val="20"/>
                <w:szCs w:val="20"/>
              </w:rPr>
              <w:t>38.7</w:t>
            </w:r>
          </w:p>
        </w:tc>
        <w:tc>
          <w:tcPr>
            <w:tcW w:w="1170" w:type="dxa"/>
            <w:tcBorders>
              <w:top w:val="nil"/>
              <w:left w:val="single" w:sz="4" w:space="0" w:color="auto"/>
              <w:bottom w:val="nil"/>
              <w:right w:val="single" w:sz="12" w:space="0" w:color="auto"/>
            </w:tcBorders>
          </w:tcPr>
          <w:p w14:paraId="1E553D46" w14:textId="77777777" w:rsidR="00B42735" w:rsidRPr="00B42735" w:rsidRDefault="00B42735">
            <w:pPr>
              <w:spacing w:before="60" w:after="60" w:line="220" w:lineRule="exact"/>
              <w:jc w:val="center"/>
              <w:rPr>
                <w:rFonts w:eastAsia="Times New Roman" w:cs="Arial"/>
                <w:color w:val="0070C0"/>
              </w:rPr>
            </w:pPr>
          </w:p>
        </w:tc>
        <w:tc>
          <w:tcPr>
            <w:tcW w:w="1260" w:type="dxa"/>
            <w:tcBorders>
              <w:top w:val="nil"/>
              <w:left w:val="single" w:sz="12" w:space="0" w:color="auto"/>
              <w:bottom w:val="nil"/>
              <w:right w:val="single" w:sz="4" w:space="0" w:color="auto"/>
            </w:tcBorders>
            <w:noWrap/>
            <w:vAlign w:val="center"/>
            <w:hideMark/>
          </w:tcPr>
          <w:p w14:paraId="471C7315" w14:textId="77777777" w:rsidR="00B42735" w:rsidRPr="00B42735" w:rsidRDefault="00B42735">
            <w:pPr>
              <w:spacing w:before="60" w:after="60" w:line="220" w:lineRule="exact"/>
              <w:jc w:val="center"/>
              <w:rPr>
                <w:rFonts w:eastAsia="Times New Roman" w:cs="Arial"/>
                <w:color w:val="0070C0"/>
              </w:rPr>
            </w:pPr>
            <w:r w:rsidRPr="00B42735">
              <w:rPr>
                <w:rFonts w:ascii="Arial Narrow" w:eastAsia="Times New Roman" w:hAnsi="Arial Narrow" w:cs="Arial"/>
                <w:color w:val="0070C0"/>
                <w:sz w:val="20"/>
                <w:szCs w:val="20"/>
              </w:rPr>
              <w:t>*</w:t>
            </w:r>
          </w:p>
        </w:tc>
        <w:tc>
          <w:tcPr>
            <w:tcW w:w="1350" w:type="dxa"/>
            <w:tcBorders>
              <w:top w:val="nil"/>
              <w:left w:val="single" w:sz="4" w:space="0" w:color="auto"/>
              <w:bottom w:val="nil"/>
              <w:right w:val="single" w:sz="4" w:space="0" w:color="auto"/>
            </w:tcBorders>
          </w:tcPr>
          <w:p w14:paraId="2977BF80" w14:textId="77777777" w:rsidR="00B42735" w:rsidRPr="00B42735" w:rsidRDefault="00B42735">
            <w:pPr>
              <w:spacing w:before="60" w:after="60" w:line="220" w:lineRule="exact"/>
              <w:jc w:val="center"/>
              <w:rPr>
                <w:rFonts w:eastAsia="Times New Roman" w:cs="Arial"/>
                <w:color w:val="0070C0"/>
              </w:rPr>
            </w:pPr>
          </w:p>
        </w:tc>
        <w:tc>
          <w:tcPr>
            <w:tcW w:w="1350" w:type="dxa"/>
            <w:tcBorders>
              <w:top w:val="nil"/>
              <w:left w:val="single" w:sz="4" w:space="0" w:color="auto"/>
              <w:bottom w:val="nil"/>
              <w:right w:val="single" w:sz="12" w:space="0" w:color="auto"/>
            </w:tcBorders>
          </w:tcPr>
          <w:p w14:paraId="71FA674A" w14:textId="77777777" w:rsidR="00B42735" w:rsidRPr="00B42735" w:rsidRDefault="00B42735">
            <w:pPr>
              <w:spacing w:before="60" w:after="60" w:line="220" w:lineRule="exact"/>
              <w:jc w:val="center"/>
              <w:rPr>
                <w:rFonts w:eastAsia="Times New Roman" w:cs="Arial"/>
                <w:color w:val="0070C0"/>
              </w:rPr>
            </w:pPr>
          </w:p>
        </w:tc>
      </w:tr>
      <w:tr w:rsidR="00B42735" w:rsidRPr="00B42735" w14:paraId="71C0447B" w14:textId="77777777" w:rsidTr="00B42735">
        <w:tc>
          <w:tcPr>
            <w:tcW w:w="1877" w:type="dxa"/>
            <w:tcBorders>
              <w:top w:val="nil"/>
              <w:left w:val="single" w:sz="8" w:space="0" w:color="auto"/>
              <w:bottom w:val="nil"/>
              <w:right w:val="single" w:sz="4" w:space="0" w:color="auto"/>
            </w:tcBorders>
            <w:vAlign w:val="center"/>
            <w:hideMark/>
          </w:tcPr>
          <w:p w14:paraId="3AC0B916" w14:textId="77777777" w:rsidR="00B42735" w:rsidRPr="00B42735" w:rsidRDefault="00B42735">
            <w:pPr>
              <w:spacing w:before="60" w:after="60" w:line="220" w:lineRule="exact"/>
              <w:rPr>
                <w:rFonts w:eastAsia="Times New Roman" w:cs="Arial"/>
                <w:color w:val="0070C0"/>
              </w:rPr>
            </w:pPr>
            <w:r w:rsidRPr="00B42735">
              <w:rPr>
                <w:rFonts w:eastAsia="Times New Roman" w:cs="Arial"/>
                <w:color w:val="0070C0"/>
                <w:sz w:val="20"/>
                <w:szCs w:val="20"/>
              </w:rPr>
              <w:t>Not a Homeowner</w:t>
            </w:r>
          </w:p>
        </w:tc>
        <w:tc>
          <w:tcPr>
            <w:tcW w:w="1260" w:type="dxa"/>
            <w:tcBorders>
              <w:top w:val="nil"/>
              <w:left w:val="nil"/>
              <w:bottom w:val="nil"/>
              <w:right w:val="single" w:sz="4" w:space="0" w:color="auto"/>
            </w:tcBorders>
            <w:noWrap/>
            <w:vAlign w:val="center"/>
            <w:hideMark/>
          </w:tcPr>
          <w:p w14:paraId="0E89615A" w14:textId="77777777" w:rsidR="00B42735" w:rsidRPr="00B42735" w:rsidRDefault="00B42735">
            <w:pPr>
              <w:spacing w:before="60" w:after="60" w:line="220" w:lineRule="exact"/>
              <w:ind w:right="72"/>
              <w:jc w:val="center"/>
              <w:rPr>
                <w:rFonts w:eastAsia="Times New Roman" w:cs="Arial"/>
                <w:color w:val="0070C0"/>
              </w:rPr>
            </w:pPr>
            <w:r w:rsidRPr="00B42735">
              <w:rPr>
                <w:rFonts w:eastAsia="Times New Roman" w:cs="Arial"/>
                <w:color w:val="0070C0"/>
                <w:sz w:val="20"/>
                <w:szCs w:val="20"/>
              </w:rPr>
              <w:t>38.5</w:t>
            </w:r>
          </w:p>
        </w:tc>
        <w:tc>
          <w:tcPr>
            <w:tcW w:w="1260" w:type="dxa"/>
            <w:tcBorders>
              <w:top w:val="nil"/>
              <w:left w:val="nil"/>
              <w:bottom w:val="nil"/>
              <w:right w:val="single" w:sz="4" w:space="0" w:color="auto"/>
            </w:tcBorders>
            <w:noWrap/>
            <w:vAlign w:val="center"/>
            <w:hideMark/>
          </w:tcPr>
          <w:p w14:paraId="476883CD" w14:textId="77777777" w:rsidR="00B42735" w:rsidRPr="00B42735" w:rsidRDefault="00B42735">
            <w:pPr>
              <w:spacing w:before="60" w:after="60" w:line="220" w:lineRule="exact"/>
              <w:ind w:right="29"/>
              <w:jc w:val="center"/>
              <w:rPr>
                <w:rFonts w:eastAsia="Times New Roman" w:cs="Arial"/>
                <w:color w:val="0070C0"/>
              </w:rPr>
            </w:pPr>
            <w:r w:rsidRPr="00B42735">
              <w:rPr>
                <w:rFonts w:eastAsia="Times New Roman" w:cs="Arial"/>
                <w:color w:val="0070C0"/>
                <w:sz w:val="20"/>
                <w:szCs w:val="20"/>
              </w:rPr>
              <w:t>34.0</w:t>
            </w:r>
          </w:p>
        </w:tc>
        <w:tc>
          <w:tcPr>
            <w:tcW w:w="1170" w:type="dxa"/>
            <w:tcBorders>
              <w:top w:val="nil"/>
              <w:left w:val="single" w:sz="4" w:space="0" w:color="auto"/>
              <w:bottom w:val="nil"/>
              <w:right w:val="single" w:sz="12" w:space="0" w:color="auto"/>
            </w:tcBorders>
          </w:tcPr>
          <w:p w14:paraId="0F951B9A" w14:textId="77777777" w:rsidR="00B42735" w:rsidRPr="00B42735" w:rsidRDefault="00B42735">
            <w:pPr>
              <w:spacing w:before="60" w:after="60" w:line="220" w:lineRule="exact"/>
              <w:jc w:val="center"/>
              <w:rPr>
                <w:rFonts w:eastAsia="Times New Roman" w:cs="Arial"/>
                <w:color w:val="0070C0"/>
              </w:rPr>
            </w:pPr>
          </w:p>
        </w:tc>
        <w:tc>
          <w:tcPr>
            <w:tcW w:w="1260" w:type="dxa"/>
            <w:tcBorders>
              <w:top w:val="nil"/>
              <w:left w:val="single" w:sz="12" w:space="0" w:color="auto"/>
              <w:bottom w:val="nil"/>
              <w:right w:val="single" w:sz="4" w:space="0" w:color="auto"/>
            </w:tcBorders>
            <w:noWrap/>
            <w:vAlign w:val="center"/>
            <w:hideMark/>
          </w:tcPr>
          <w:p w14:paraId="6650AB66" w14:textId="77777777" w:rsidR="00B42735" w:rsidRPr="00B42735" w:rsidRDefault="00B42735">
            <w:pPr>
              <w:spacing w:before="60" w:after="60" w:line="220" w:lineRule="exact"/>
              <w:jc w:val="center"/>
              <w:rPr>
                <w:rFonts w:eastAsia="Times New Roman" w:cs="Arial"/>
                <w:color w:val="0070C0"/>
              </w:rPr>
            </w:pPr>
            <w:r w:rsidRPr="00B42735">
              <w:rPr>
                <w:rFonts w:ascii="Arial Narrow" w:eastAsia="Times New Roman" w:hAnsi="Arial Narrow" w:cs="Arial"/>
                <w:color w:val="0070C0"/>
                <w:sz w:val="20"/>
                <w:szCs w:val="20"/>
              </w:rPr>
              <w:t> </w:t>
            </w:r>
          </w:p>
        </w:tc>
        <w:tc>
          <w:tcPr>
            <w:tcW w:w="1350" w:type="dxa"/>
            <w:tcBorders>
              <w:top w:val="nil"/>
              <w:left w:val="single" w:sz="4" w:space="0" w:color="auto"/>
              <w:bottom w:val="nil"/>
              <w:right w:val="single" w:sz="4" w:space="0" w:color="auto"/>
            </w:tcBorders>
          </w:tcPr>
          <w:p w14:paraId="3FCC5AB2" w14:textId="77777777" w:rsidR="00B42735" w:rsidRPr="00B42735" w:rsidRDefault="00B42735">
            <w:pPr>
              <w:spacing w:before="60" w:after="60" w:line="220" w:lineRule="exact"/>
              <w:jc w:val="center"/>
              <w:rPr>
                <w:rFonts w:eastAsia="Times New Roman" w:cs="Arial"/>
                <w:color w:val="0070C0"/>
              </w:rPr>
            </w:pPr>
          </w:p>
        </w:tc>
        <w:tc>
          <w:tcPr>
            <w:tcW w:w="1350" w:type="dxa"/>
            <w:tcBorders>
              <w:top w:val="nil"/>
              <w:left w:val="single" w:sz="4" w:space="0" w:color="auto"/>
              <w:bottom w:val="nil"/>
              <w:right w:val="single" w:sz="12" w:space="0" w:color="auto"/>
            </w:tcBorders>
          </w:tcPr>
          <w:p w14:paraId="1DC0350F" w14:textId="77777777" w:rsidR="00B42735" w:rsidRPr="00B42735" w:rsidRDefault="00B42735">
            <w:pPr>
              <w:spacing w:before="60" w:after="60" w:line="220" w:lineRule="exact"/>
              <w:jc w:val="center"/>
              <w:rPr>
                <w:rFonts w:eastAsia="Times New Roman" w:cs="Arial"/>
                <w:color w:val="0070C0"/>
              </w:rPr>
            </w:pPr>
          </w:p>
        </w:tc>
      </w:tr>
      <w:tr w:rsidR="00B42735" w:rsidRPr="00B42735" w14:paraId="36666943" w14:textId="77777777" w:rsidTr="00B42735">
        <w:tc>
          <w:tcPr>
            <w:tcW w:w="1877" w:type="dxa"/>
            <w:tcBorders>
              <w:top w:val="nil"/>
              <w:left w:val="single" w:sz="8" w:space="0" w:color="auto"/>
              <w:bottom w:val="nil"/>
              <w:right w:val="single" w:sz="4" w:space="0" w:color="auto"/>
            </w:tcBorders>
            <w:vAlign w:val="center"/>
            <w:hideMark/>
          </w:tcPr>
          <w:p w14:paraId="7810202F" w14:textId="77777777" w:rsidR="00B42735" w:rsidRPr="00B42735" w:rsidRDefault="00B42735">
            <w:pPr>
              <w:spacing w:before="60" w:after="60" w:line="220" w:lineRule="exact"/>
              <w:rPr>
                <w:rFonts w:eastAsia="Times New Roman" w:cs="Arial"/>
                <w:color w:val="0070C0"/>
              </w:rPr>
            </w:pPr>
            <w:r w:rsidRPr="00B42735">
              <w:rPr>
                <w:rFonts w:eastAsia="Times New Roman" w:cs="Arial"/>
                <w:color w:val="0070C0"/>
                <w:sz w:val="20"/>
                <w:szCs w:val="20"/>
              </w:rPr>
              <w:t>Education Level—Less Than High School</w:t>
            </w:r>
          </w:p>
        </w:tc>
        <w:tc>
          <w:tcPr>
            <w:tcW w:w="1260" w:type="dxa"/>
            <w:tcBorders>
              <w:top w:val="nil"/>
              <w:left w:val="nil"/>
              <w:bottom w:val="nil"/>
              <w:right w:val="single" w:sz="4" w:space="0" w:color="auto"/>
            </w:tcBorders>
            <w:noWrap/>
            <w:vAlign w:val="center"/>
            <w:hideMark/>
          </w:tcPr>
          <w:p w14:paraId="1DAFB4DF" w14:textId="77777777" w:rsidR="00B42735" w:rsidRPr="00B42735" w:rsidRDefault="00B42735">
            <w:pPr>
              <w:spacing w:before="60" w:after="60" w:line="220" w:lineRule="exact"/>
              <w:ind w:right="72"/>
              <w:jc w:val="center"/>
              <w:rPr>
                <w:rFonts w:eastAsia="Times New Roman" w:cs="Arial"/>
                <w:color w:val="0070C0"/>
              </w:rPr>
            </w:pPr>
            <w:r w:rsidRPr="00B42735">
              <w:rPr>
                <w:rFonts w:eastAsia="Times New Roman" w:cs="Arial"/>
                <w:color w:val="0070C0"/>
                <w:sz w:val="20"/>
                <w:szCs w:val="20"/>
              </w:rPr>
              <w:t>37.5</w:t>
            </w:r>
          </w:p>
        </w:tc>
        <w:tc>
          <w:tcPr>
            <w:tcW w:w="1260" w:type="dxa"/>
            <w:tcBorders>
              <w:top w:val="nil"/>
              <w:left w:val="nil"/>
              <w:bottom w:val="nil"/>
              <w:right w:val="single" w:sz="4" w:space="0" w:color="auto"/>
            </w:tcBorders>
            <w:noWrap/>
            <w:vAlign w:val="center"/>
            <w:hideMark/>
          </w:tcPr>
          <w:p w14:paraId="78BA83FC" w14:textId="77777777" w:rsidR="00B42735" w:rsidRPr="00B42735" w:rsidRDefault="00B42735">
            <w:pPr>
              <w:spacing w:before="60" w:after="60" w:line="220" w:lineRule="exact"/>
              <w:ind w:right="29"/>
              <w:jc w:val="center"/>
              <w:rPr>
                <w:rFonts w:eastAsia="Times New Roman" w:cs="Arial"/>
                <w:color w:val="0070C0"/>
              </w:rPr>
            </w:pPr>
            <w:r w:rsidRPr="00B42735">
              <w:rPr>
                <w:rFonts w:eastAsia="Times New Roman" w:cs="Arial"/>
                <w:color w:val="0070C0"/>
                <w:sz w:val="20"/>
                <w:szCs w:val="20"/>
              </w:rPr>
              <w:t>27.6</w:t>
            </w:r>
          </w:p>
        </w:tc>
        <w:tc>
          <w:tcPr>
            <w:tcW w:w="1170" w:type="dxa"/>
            <w:tcBorders>
              <w:top w:val="nil"/>
              <w:left w:val="single" w:sz="4" w:space="0" w:color="auto"/>
              <w:bottom w:val="nil"/>
              <w:right w:val="single" w:sz="12" w:space="0" w:color="auto"/>
            </w:tcBorders>
          </w:tcPr>
          <w:p w14:paraId="2666447F" w14:textId="77777777" w:rsidR="00B42735" w:rsidRPr="00B42735" w:rsidRDefault="00B42735">
            <w:pPr>
              <w:spacing w:before="60" w:after="60" w:line="220" w:lineRule="exact"/>
              <w:jc w:val="center"/>
              <w:rPr>
                <w:rFonts w:eastAsia="Times New Roman" w:cs="Arial"/>
                <w:color w:val="0070C0"/>
              </w:rPr>
            </w:pPr>
          </w:p>
        </w:tc>
        <w:tc>
          <w:tcPr>
            <w:tcW w:w="1260" w:type="dxa"/>
            <w:tcBorders>
              <w:top w:val="nil"/>
              <w:left w:val="single" w:sz="12" w:space="0" w:color="auto"/>
              <w:bottom w:val="nil"/>
              <w:right w:val="single" w:sz="4" w:space="0" w:color="auto"/>
            </w:tcBorders>
            <w:noWrap/>
            <w:vAlign w:val="center"/>
            <w:hideMark/>
          </w:tcPr>
          <w:p w14:paraId="3C5E8FFB" w14:textId="77777777" w:rsidR="00B42735" w:rsidRPr="00B42735" w:rsidRDefault="00B42735">
            <w:pPr>
              <w:spacing w:before="60" w:after="60" w:line="220" w:lineRule="exact"/>
              <w:jc w:val="center"/>
              <w:rPr>
                <w:rFonts w:eastAsia="Times New Roman" w:cs="Arial"/>
                <w:color w:val="0070C0"/>
              </w:rPr>
            </w:pPr>
            <w:r w:rsidRPr="00B42735">
              <w:rPr>
                <w:rFonts w:ascii="Arial Narrow" w:eastAsia="Times New Roman" w:hAnsi="Arial Narrow" w:cs="Arial"/>
                <w:color w:val="0070C0"/>
                <w:sz w:val="20"/>
                <w:szCs w:val="20"/>
              </w:rPr>
              <w:t>*</w:t>
            </w:r>
          </w:p>
        </w:tc>
        <w:tc>
          <w:tcPr>
            <w:tcW w:w="1350" w:type="dxa"/>
            <w:tcBorders>
              <w:top w:val="nil"/>
              <w:left w:val="single" w:sz="4" w:space="0" w:color="auto"/>
              <w:bottom w:val="nil"/>
              <w:right w:val="single" w:sz="4" w:space="0" w:color="auto"/>
            </w:tcBorders>
          </w:tcPr>
          <w:p w14:paraId="12C673D7" w14:textId="77777777" w:rsidR="00B42735" w:rsidRPr="00B42735" w:rsidRDefault="00B42735">
            <w:pPr>
              <w:spacing w:before="60" w:after="60" w:line="220" w:lineRule="exact"/>
              <w:jc w:val="center"/>
              <w:rPr>
                <w:rFonts w:eastAsia="Times New Roman" w:cs="Arial"/>
                <w:color w:val="0070C0"/>
              </w:rPr>
            </w:pPr>
          </w:p>
        </w:tc>
        <w:tc>
          <w:tcPr>
            <w:tcW w:w="1350" w:type="dxa"/>
            <w:tcBorders>
              <w:top w:val="nil"/>
              <w:left w:val="single" w:sz="4" w:space="0" w:color="auto"/>
              <w:bottom w:val="nil"/>
              <w:right w:val="single" w:sz="12" w:space="0" w:color="auto"/>
            </w:tcBorders>
          </w:tcPr>
          <w:p w14:paraId="6256C8E8" w14:textId="77777777" w:rsidR="00B42735" w:rsidRPr="00B42735" w:rsidRDefault="00B42735">
            <w:pPr>
              <w:spacing w:before="60" w:after="60" w:line="220" w:lineRule="exact"/>
              <w:jc w:val="center"/>
              <w:rPr>
                <w:rFonts w:eastAsia="Times New Roman" w:cs="Arial"/>
                <w:color w:val="0070C0"/>
              </w:rPr>
            </w:pPr>
          </w:p>
        </w:tc>
      </w:tr>
      <w:tr w:rsidR="00B42735" w:rsidRPr="00B42735" w14:paraId="6DC127BA" w14:textId="77777777" w:rsidTr="00B42735">
        <w:tc>
          <w:tcPr>
            <w:tcW w:w="1877" w:type="dxa"/>
            <w:tcBorders>
              <w:top w:val="nil"/>
              <w:left w:val="single" w:sz="8" w:space="0" w:color="auto"/>
              <w:bottom w:val="single" w:sz="4" w:space="0" w:color="auto"/>
              <w:right w:val="single" w:sz="4" w:space="0" w:color="auto"/>
            </w:tcBorders>
            <w:vAlign w:val="center"/>
            <w:hideMark/>
          </w:tcPr>
          <w:p w14:paraId="11E10848" w14:textId="77777777" w:rsidR="00B42735" w:rsidRPr="00B42735" w:rsidRDefault="00B42735">
            <w:pPr>
              <w:spacing w:before="60" w:after="60" w:line="220" w:lineRule="exact"/>
              <w:rPr>
                <w:rFonts w:eastAsia="Times New Roman" w:cs="Arial"/>
                <w:color w:val="0070C0"/>
              </w:rPr>
            </w:pPr>
            <w:r w:rsidRPr="00B42735">
              <w:rPr>
                <w:rFonts w:eastAsia="Times New Roman" w:cs="Arial"/>
                <w:color w:val="0070C0"/>
                <w:sz w:val="20"/>
                <w:szCs w:val="20"/>
              </w:rPr>
              <w:t>Marital Status—Not Married</w:t>
            </w:r>
          </w:p>
        </w:tc>
        <w:tc>
          <w:tcPr>
            <w:tcW w:w="1260" w:type="dxa"/>
            <w:tcBorders>
              <w:top w:val="nil"/>
              <w:left w:val="nil"/>
              <w:bottom w:val="single" w:sz="4" w:space="0" w:color="auto"/>
              <w:right w:val="single" w:sz="4" w:space="0" w:color="auto"/>
            </w:tcBorders>
            <w:noWrap/>
            <w:vAlign w:val="center"/>
            <w:hideMark/>
          </w:tcPr>
          <w:p w14:paraId="01077CF0" w14:textId="77777777" w:rsidR="00B42735" w:rsidRPr="00B42735" w:rsidRDefault="00B42735">
            <w:pPr>
              <w:spacing w:before="60" w:after="60" w:line="220" w:lineRule="exact"/>
              <w:ind w:right="72"/>
              <w:jc w:val="center"/>
              <w:rPr>
                <w:rFonts w:eastAsia="Times New Roman" w:cs="Arial"/>
                <w:color w:val="0070C0"/>
              </w:rPr>
            </w:pPr>
            <w:r w:rsidRPr="00B42735">
              <w:rPr>
                <w:rFonts w:eastAsia="Times New Roman" w:cs="Arial"/>
                <w:color w:val="0070C0"/>
                <w:sz w:val="20"/>
                <w:szCs w:val="20"/>
              </w:rPr>
              <w:t>45.9</w:t>
            </w:r>
          </w:p>
        </w:tc>
        <w:tc>
          <w:tcPr>
            <w:tcW w:w="1260" w:type="dxa"/>
            <w:tcBorders>
              <w:top w:val="nil"/>
              <w:left w:val="nil"/>
              <w:bottom w:val="single" w:sz="4" w:space="0" w:color="auto"/>
              <w:right w:val="single" w:sz="4" w:space="0" w:color="auto"/>
            </w:tcBorders>
            <w:noWrap/>
            <w:vAlign w:val="center"/>
            <w:hideMark/>
          </w:tcPr>
          <w:p w14:paraId="1750C14E" w14:textId="77777777" w:rsidR="00B42735" w:rsidRPr="00B42735" w:rsidRDefault="00B42735">
            <w:pPr>
              <w:spacing w:before="60" w:after="60" w:line="220" w:lineRule="exact"/>
              <w:ind w:right="29"/>
              <w:jc w:val="center"/>
              <w:rPr>
                <w:rFonts w:eastAsia="Times New Roman" w:cs="Arial"/>
                <w:color w:val="0070C0"/>
              </w:rPr>
            </w:pPr>
            <w:r w:rsidRPr="00B42735">
              <w:rPr>
                <w:rFonts w:eastAsia="Times New Roman" w:cs="Arial"/>
                <w:color w:val="0070C0"/>
                <w:sz w:val="20"/>
                <w:szCs w:val="20"/>
              </w:rPr>
              <w:t>47.2</w:t>
            </w:r>
          </w:p>
        </w:tc>
        <w:tc>
          <w:tcPr>
            <w:tcW w:w="1170" w:type="dxa"/>
            <w:tcBorders>
              <w:top w:val="nil"/>
              <w:left w:val="single" w:sz="4" w:space="0" w:color="auto"/>
              <w:bottom w:val="single" w:sz="4" w:space="0" w:color="auto"/>
              <w:right w:val="single" w:sz="12" w:space="0" w:color="auto"/>
            </w:tcBorders>
          </w:tcPr>
          <w:p w14:paraId="10149712" w14:textId="77777777" w:rsidR="00B42735" w:rsidRPr="00B42735" w:rsidRDefault="00B42735">
            <w:pPr>
              <w:spacing w:before="60" w:after="60" w:line="220" w:lineRule="exact"/>
              <w:jc w:val="center"/>
              <w:rPr>
                <w:rFonts w:eastAsia="Times New Roman" w:cs="Arial"/>
                <w:color w:val="0070C0"/>
              </w:rPr>
            </w:pPr>
          </w:p>
        </w:tc>
        <w:tc>
          <w:tcPr>
            <w:tcW w:w="1260" w:type="dxa"/>
            <w:tcBorders>
              <w:top w:val="nil"/>
              <w:left w:val="single" w:sz="12" w:space="0" w:color="auto"/>
              <w:bottom w:val="single" w:sz="4" w:space="0" w:color="auto"/>
              <w:right w:val="single" w:sz="4" w:space="0" w:color="auto"/>
            </w:tcBorders>
            <w:noWrap/>
            <w:vAlign w:val="center"/>
            <w:hideMark/>
          </w:tcPr>
          <w:p w14:paraId="00F44255" w14:textId="77777777" w:rsidR="00B42735" w:rsidRPr="00B42735" w:rsidRDefault="00B42735">
            <w:pPr>
              <w:spacing w:before="60" w:after="60" w:line="220" w:lineRule="exact"/>
              <w:jc w:val="center"/>
              <w:rPr>
                <w:rFonts w:eastAsia="Times New Roman" w:cs="Arial"/>
                <w:color w:val="0070C0"/>
              </w:rPr>
            </w:pPr>
            <w:r w:rsidRPr="00B42735">
              <w:rPr>
                <w:rFonts w:ascii="Arial Narrow" w:eastAsia="Times New Roman" w:hAnsi="Arial Narrow" w:cs="Arial"/>
                <w:color w:val="0070C0"/>
                <w:sz w:val="20"/>
                <w:szCs w:val="20"/>
              </w:rPr>
              <w:t> </w:t>
            </w:r>
          </w:p>
        </w:tc>
        <w:tc>
          <w:tcPr>
            <w:tcW w:w="1350" w:type="dxa"/>
            <w:tcBorders>
              <w:top w:val="nil"/>
              <w:left w:val="single" w:sz="4" w:space="0" w:color="auto"/>
              <w:bottom w:val="single" w:sz="4" w:space="0" w:color="auto"/>
              <w:right w:val="single" w:sz="4" w:space="0" w:color="auto"/>
            </w:tcBorders>
          </w:tcPr>
          <w:p w14:paraId="35A155DD" w14:textId="77777777" w:rsidR="00B42735" w:rsidRPr="00B42735" w:rsidRDefault="00B42735">
            <w:pPr>
              <w:spacing w:before="60" w:after="60" w:line="220" w:lineRule="exact"/>
              <w:jc w:val="center"/>
              <w:rPr>
                <w:rFonts w:eastAsia="Times New Roman" w:cs="Arial"/>
                <w:color w:val="0070C0"/>
              </w:rPr>
            </w:pPr>
          </w:p>
        </w:tc>
        <w:tc>
          <w:tcPr>
            <w:tcW w:w="1350" w:type="dxa"/>
            <w:tcBorders>
              <w:top w:val="nil"/>
              <w:left w:val="single" w:sz="4" w:space="0" w:color="auto"/>
              <w:bottom w:val="single" w:sz="4" w:space="0" w:color="auto"/>
              <w:right w:val="single" w:sz="12" w:space="0" w:color="auto"/>
            </w:tcBorders>
          </w:tcPr>
          <w:p w14:paraId="0967CA1B" w14:textId="77777777" w:rsidR="00B42735" w:rsidRPr="00B42735" w:rsidRDefault="00B42735">
            <w:pPr>
              <w:spacing w:before="60" w:after="60" w:line="220" w:lineRule="exact"/>
              <w:jc w:val="center"/>
              <w:rPr>
                <w:rFonts w:eastAsia="Times New Roman" w:cs="Arial"/>
                <w:color w:val="0070C0"/>
              </w:rPr>
            </w:pPr>
          </w:p>
        </w:tc>
      </w:tr>
    </w:tbl>
    <w:p w14:paraId="261DF412" w14:textId="77777777" w:rsidR="00B42735" w:rsidRPr="00B42735" w:rsidRDefault="00B42735" w:rsidP="00B42735">
      <w:pPr>
        <w:spacing w:before="120" w:after="60" w:line="220" w:lineRule="exact"/>
        <w:ind w:left="90" w:hanging="90"/>
        <w:rPr>
          <w:rFonts w:eastAsia="Times New Roman" w:cs="Times New Roman"/>
          <w:color w:val="0070C0"/>
        </w:rPr>
      </w:pPr>
      <w:r w:rsidRPr="00B42735">
        <w:rPr>
          <w:rFonts w:eastAsia="Times New Roman" w:cs="Times New Roman"/>
          <w:color w:val="0070C0"/>
          <w:vertAlign w:val="superscript"/>
        </w:rPr>
        <w:t>1</w:t>
      </w:r>
      <w:r w:rsidRPr="00B42735">
        <w:rPr>
          <w:rFonts w:eastAsia="Times New Roman" w:cs="Times New Roman"/>
          <w:color w:val="0070C0"/>
          <w:vertAlign w:val="superscript"/>
        </w:rPr>
        <w:tab/>
      </w:r>
      <w:r w:rsidRPr="00B42735">
        <w:rPr>
          <w:rFonts w:eastAsia="Times New Roman" w:cs="Times New Roman"/>
          <w:color w:val="0070C0"/>
        </w:rPr>
        <w:t>Effect size estimates for pairwise comparison of nominal variables for responders and nonresponders were based on Cramer's V. The following classification was used: 0 to &lt;0.05 = no effect; 0.05 to &lt;0.1 = weak effect (*); 0.10 to &lt;0.15 = moderate effect (**); 0.15 to &lt;0.25 = strong effect (***); &gt;0.25 = very strong effect (****).</w:t>
      </w:r>
    </w:p>
    <w:p w14:paraId="662926C9" w14:textId="77777777" w:rsidR="00B42735" w:rsidRPr="00B42735" w:rsidRDefault="00B42735" w:rsidP="00B42735">
      <w:pPr>
        <w:spacing w:before="60" w:after="60" w:line="220" w:lineRule="exact"/>
        <w:ind w:left="90" w:hanging="90"/>
        <w:rPr>
          <w:rFonts w:eastAsia="Times New Roman" w:cs="Times New Roman"/>
          <w:color w:val="0070C0"/>
        </w:rPr>
      </w:pPr>
      <w:r w:rsidRPr="00B42735">
        <w:rPr>
          <w:rFonts w:eastAsia="Times New Roman" w:cs="Times New Roman"/>
          <w:color w:val="0070C0"/>
          <w:vertAlign w:val="superscript"/>
        </w:rPr>
        <w:t>2</w:t>
      </w:r>
      <w:r w:rsidRPr="00B42735">
        <w:rPr>
          <w:rFonts w:eastAsia="Times New Roman" w:cs="Times New Roman"/>
          <w:color w:val="0070C0"/>
          <w:vertAlign w:val="superscript"/>
        </w:rPr>
        <w:tab/>
      </w:r>
      <w:r w:rsidRPr="00B42735">
        <w:rPr>
          <w:rFonts w:eastAsia="Times New Roman" w:cs="Times New Roman"/>
          <w:color w:val="0070C0"/>
        </w:rPr>
        <w:t>Effect size estimates for pairwise comparisons of continuous variable for responders and nonresponders were based on Cohen's D, whereas the overall effect of response group on means of the response variable were based on omega squared. For Cohen's D, the following classification was used: 0 to &lt;0.2 = no effect; 0.2 to &lt;0.5 = small effect (*); 0.5 to &lt;0.8 = medium effect (**); &gt;0.8 = large effect (***).</w:t>
      </w:r>
    </w:p>
    <w:p w14:paraId="53C1DB77" w14:textId="77777777" w:rsidR="00B42735" w:rsidRPr="00B42735" w:rsidRDefault="00B42735" w:rsidP="00B42735">
      <w:pPr>
        <w:spacing w:before="60" w:after="60" w:line="220" w:lineRule="exact"/>
        <w:ind w:left="90" w:hanging="90"/>
        <w:rPr>
          <w:rFonts w:eastAsia="Times New Roman" w:cs="Times New Roman"/>
          <w:color w:val="0070C0"/>
        </w:rPr>
      </w:pPr>
      <w:r w:rsidRPr="00B42735">
        <w:rPr>
          <w:rFonts w:eastAsia="Times New Roman" w:cs="Times New Roman"/>
          <w:color w:val="0070C0"/>
          <w:vertAlign w:val="superscript"/>
        </w:rPr>
        <w:t>3</w:t>
      </w:r>
      <w:r w:rsidRPr="00B42735">
        <w:rPr>
          <w:rFonts w:eastAsia="Times New Roman" w:cs="Times New Roman"/>
          <w:color w:val="0070C0"/>
          <w:vertAlign w:val="superscript"/>
        </w:rPr>
        <w:tab/>
      </w:r>
      <w:r w:rsidRPr="00B42735">
        <w:rPr>
          <w:rFonts w:eastAsia="Times New Roman" w:cs="Times New Roman"/>
          <w:color w:val="0070C0"/>
        </w:rPr>
        <w:t>Group means are displayed for continuous variables.</w:t>
      </w:r>
    </w:p>
    <w:p w14:paraId="4F0D3407" w14:textId="77777777" w:rsidR="00B42735" w:rsidRPr="00B42735" w:rsidRDefault="00B42735" w:rsidP="00B42735">
      <w:pPr>
        <w:tabs>
          <w:tab w:val="center" w:pos="5040"/>
        </w:tabs>
        <w:spacing w:before="120" w:after="60" w:line="220" w:lineRule="exact"/>
        <w:rPr>
          <w:rFonts w:cs="Arial"/>
          <w:b/>
          <w:color w:val="0070C0"/>
        </w:rPr>
      </w:pPr>
    </w:p>
    <w:p w14:paraId="4891DB8A" w14:textId="77777777" w:rsidR="00B42735" w:rsidRPr="00247818" w:rsidRDefault="00B42735" w:rsidP="00B42735">
      <w:pPr>
        <w:tabs>
          <w:tab w:val="center" w:pos="5040"/>
        </w:tabs>
        <w:spacing w:after="0" w:line="240" w:lineRule="auto"/>
        <w:rPr>
          <w:rFonts w:cs="Arial"/>
          <w:b/>
          <w:color w:val="0070C0"/>
        </w:rPr>
      </w:pPr>
      <w:r w:rsidRPr="00247818">
        <w:rPr>
          <w:rFonts w:cs="Arial"/>
          <w:b/>
          <w:color w:val="0070C0"/>
        </w:rPr>
        <w:t>Item Level Missing Data:</w:t>
      </w:r>
    </w:p>
    <w:p w14:paraId="1EA025A9" w14:textId="77777777" w:rsidR="00B42735" w:rsidRPr="00B42735" w:rsidRDefault="00B42735" w:rsidP="00B42735">
      <w:pPr>
        <w:tabs>
          <w:tab w:val="center" w:pos="5040"/>
        </w:tabs>
        <w:spacing w:after="0" w:line="240" w:lineRule="auto"/>
        <w:rPr>
          <w:rFonts w:cs="Arial"/>
          <w:color w:val="0070C0"/>
        </w:rPr>
      </w:pPr>
      <w:r w:rsidRPr="00B42735">
        <w:rPr>
          <w:rFonts w:cs="Arial"/>
          <w:color w:val="0070C0"/>
        </w:rPr>
        <w:t>Almost all health plans (96%) had less than 5% missing response to the osteoporosis item among survey responders (See Table 7).  The average missing item rate across health plans was 2% (See Table 8).</w:t>
      </w:r>
    </w:p>
    <w:p w14:paraId="00D186C9" w14:textId="77777777" w:rsidR="00B42735" w:rsidRPr="00B42735" w:rsidRDefault="00B42735" w:rsidP="00B42735">
      <w:pPr>
        <w:tabs>
          <w:tab w:val="center" w:pos="5040"/>
        </w:tabs>
        <w:spacing w:before="120" w:after="60" w:line="220" w:lineRule="exact"/>
        <w:rPr>
          <w:rFonts w:cs="Arial"/>
          <w:b/>
          <w:color w:val="0070C0"/>
        </w:rPr>
      </w:pPr>
      <w:r w:rsidRPr="00B42735">
        <w:rPr>
          <w:rFonts w:cs="Arial"/>
          <w:b/>
          <w:color w:val="0070C0"/>
        </w:rPr>
        <w:t>Table 7: Frequency of Missing Data for Osteoporosis Item (HEDIS 2012 data)</w:t>
      </w:r>
      <w:r w:rsidRPr="00B42735">
        <w:rPr>
          <w:rFonts w:cs="Arial"/>
          <w:b/>
          <w:color w:val="0070C0"/>
        </w:rPr>
        <w:tab/>
      </w:r>
    </w:p>
    <w:tbl>
      <w:tblPr>
        <w:tblW w:w="9180" w:type="dxa"/>
        <w:tblLook w:val="04A0" w:firstRow="1" w:lastRow="0" w:firstColumn="1" w:lastColumn="0" w:noHBand="0" w:noVBand="1"/>
      </w:tblPr>
      <w:tblGrid>
        <w:gridCol w:w="2425"/>
        <w:gridCol w:w="1350"/>
        <w:gridCol w:w="1440"/>
        <w:gridCol w:w="1530"/>
        <w:gridCol w:w="2435"/>
      </w:tblGrid>
      <w:tr w:rsidR="00B42735" w:rsidRPr="00B42735" w14:paraId="157BD664" w14:textId="77777777" w:rsidTr="00B42735">
        <w:trPr>
          <w:trHeight w:val="552"/>
        </w:trPr>
        <w:tc>
          <w:tcPr>
            <w:tcW w:w="2425"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hideMark/>
          </w:tcPr>
          <w:p w14:paraId="012C7DF4" w14:textId="77777777" w:rsidR="00B42735" w:rsidRPr="00B42735" w:rsidRDefault="00B42735">
            <w:pPr>
              <w:spacing w:after="0" w:line="240" w:lineRule="auto"/>
              <w:jc w:val="center"/>
              <w:rPr>
                <w:rFonts w:eastAsia="Times New Roman" w:cs="Times New Roman"/>
                <w:b/>
                <w:bCs/>
                <w:color w:val="0070C0"/>
              </w:rPr>
            </w:pPr>
            <w:r w:rsidRPr="00B42735">
              <w:rPr>
                <w:rFonts w:eastAsia="Times New Roman" w:cs="Times New Roman"/>
                <w:b/>
                <w:bCs/>
                <w:color w:val="0070C0"/>
              </w:rPr>
              <w:t>Missing %</w:t>
            </w:r>
          </w:p>
        </w:tc>
        <w:tc>
          <w:tcPr>
            <w:tcW w:w="1350" w:type="dxa"/>
            <w:tcBorders>
              <w:top w:val="single" w:sz="4" w:space="0" w:color="auto"/>
              <w:left w:val="nil"/>
              <w:bottom w:val="single" w:sz="4" w:space="0" w:color="auto"/>
              <w:right w:val="single" w:sz="4" w:space="0" w:color="auto"/>
            </w:tcBorders>
            <w:shd w:val="clear" w:color="auto" w:fill="EAF1DD" w:themeFill="accent3" w:themeFillTint="33"/>
            <w:hideMark/>
          </w:tcPr>
          <w:p w14:paraId="22E89E35" w14:textId="77777777" w:rsidR="00B42735" w:rsidRPr="00B42735" w:rsidRDefault="00B42735">
            <w:pPr>
              <w:spacing w:after="0" w:line="240" w:lineRule="auto"/>
              <w:jc w:val="center"/>
              <w:rPr>
                <w:rFonts w:eastAsia="Times New Roman" w:cs="Arial"/>
                <w:b/>
                <w:bCs/>
                <w:color w:val="0070C0"/>
              </w:rPr>
            </w:pPr>
            <w:r w:rsidRPr="00B42735">
              <w:rPr>
                <w:rFonts w:eastAsia="Times New Roman" w:cs="Arial"/>
                <w:b/>
                <w:bCs/>
                <w:color w:val="0070C0"/>
              </w:rPr>
              <w:t>Frequency</w:t>
            </w:r>
          </w:p>
        </w:tc>
        <w:tc>
          <w:tcPr>
            <w:tcW w:w="1440" w:type="dxa"/>
            <w:tcBorders>
              <w:top w:val="single" w:sz="4" w:space="0" w:color="auto"/>
              <w:left w:val="nil"/>
              <w:bottom w:val="single" w:sz="4" w:space="0" w:color="auto"/>
              <w:right w:val="single" w:sz="4" w:space="0" w:color="auto"/>
            </w:tcBorders>
            <w:shd w:val="clear" w:color="auto" w:fill="EAF1DD" w:themeFill="accent3" w:themeFillTint="33"/>
            <w:hideMark/>
          </w:tcPr>
          <w:p w14:paraId="510A2ECE" w14:textId="77777777" w:rsidR="00B42735" w:rsidRPr="00B42735" w:rsidRDefault="00B42735">
            <w:pPr>
              <w:spacing w:after="0" w:line="240" w:lineRule="auto"/>
              <w:jc w:val="center"/>
              <w:rPr>
                <w:rFonts w:eastAsia="Times New Roman" w:cs="Arial"/>
                <w:b/>
                <w:bCs/>
                <w:color w:val="0070C0"/>
              </w:rPr>
            </w:pPr>
            <w:r w:rsidRPr="00B42735">
              <w:rPr>
                <w:rFonts w:eastAsia="Times New Roman" w:cs="Arial"/>
                <w:b/>
                <w:bCs/>
                <w:color w:val="0070C0"/>
              </w:rPr>
              <w:t>Percent</w:t>
            </w:r>
          </w:p>
        </w:tc>
        <w:tc>
          <w:tcPr>
            <w:tcW w:w="1530" w:type="dxa"/>
            <w:tcBorders>
              <w:top w:val="single" w:sz="4" w:space="0" w:color="auto"/>
              <w:left w:val="nil"/>
              <w:bottom w:val="single" w:sz="4" w:space="0" w:color="auto"/>
              <w:right w:val="single" w:sz="4" w:space="0" w:color="auto"/>
            </w:tcBorders>
            <w:shd w:val="clear" w:color="auto" w:fill="EAF1DD" w:themeFill="accent3" w:themeFillTint="33"/>
            <w:hideMark/>
          </w:tcPr>
          <w:p w14:paraId="0EB27456" w14:textId="77777777" w:rsidR="00B42735" w:rsidRPr="00B42735" w:rsidRDefault="00B42735">
            <w:pPr>
              <w:spacing w:after="0" w:line="240" w:lineRule="auto"/>
              <w:jc w:val="center"/>
              <w:rPr>
                <w:rFonts w:eastAsia="Times New Roman" w:cs="Arial"/>
                <w:b/>
                <w:bCs/>
                <w:color w:val="0070C0"/>
              </w:rPr>
            </w:pPr>
            <w:r w:rsidRPr="00B42735">
              <w:rPr>
                <w:rFonts w:eastAsia="Times New Roman" w:cs="Arial"/>
                <w:b/>
                <w:bCs/>
                <w:color w:val="0070C0"/>
              </w:rPr>
              <w:t>Cumulative Freq</w:t>
            </w:r>
          </w:p>
        </w:tc>
        <w:tc>
          <w:tcPr>
            <w:tcW w:w="2435" w:type="dxa"/>
            <w:tcBorders>
              <w:top w:val="single" w:sz="4" w:space="0" w:color="auto"/>
              <w:left w:val="nil"/>
              <w:bottom w:val="single" w:sz="4" w:space="0" w:color="auto"/>
              <w:right w:val="single" w:sz="4" w:space="0" w:color="auto"/>
            </w:tcBorders>
            <w:shd w:val="clear" w:color="auto" w:fill="EAF1DD" w:themeFill="accent3" w:themeFillTint="33"/>
            <w:hideMark/>
          </w:tcPr>
          <w:p w14:paraId="6F25BACA" w14:textId="77777777" w:rsidR="00B42735" w:rsidRPr="00B42735" w:rsidRDefault="00B42735">
            <w:pPr>
              <w:spacing w:after="0" w:line="240" w:lineRule="auto"/>
              <w:jc w:val="center"/>
              <w:rPr>
                <w:rFonts w:eastAsia="Times New Roman" w:cs="Arial"/>
                <w:b/>
                <w:bCs/>
                <w:color w:val="0070C0"/>
              </w:rPr>
            </w:pPr>
            <w:r w:rsidRPr="00B42735">
              <w:rPr>
                <w:rFonts w:eastAsia="Times New Roman" w:cs="Arial"/>
                <w:b/>
                <w:bCs/>
                <w:color w:val="0070C0"/>
              </w:rPr>
              <w:t>Cumulative %</w:t>
            </w:r>
          </w:p>
        </w:tc>
      </w:tr>
      <w:tr w:rsidR="00B42735" w:rsidRPr="00B42735" w14:paraId="041D3655" w14:textId="77777777" w:rsidTr="00B42735">
        <w:trPr>
          <w:trHeight w:val="288"/>
        </w:trPr>
        <w:tc>
          <w:tcPr>
            <w:tcW w:w="2425" w:type="dxa"/>
            <w:tcBorders>
              <w:top w:val="nil"/>
              <w:left w:val="single" w:sz="4" w:space="0" w:color="auto"/>
              <w:bottom w:val="single" w:sz="4" w:space="0" w:color="auto"/>
              <w:right w:val="single" w:sz="4" w:space="0" w:color="auto"/>
            </w:tcBorders>
            <w:shd w:val="clear" w:color="auto" w:fill="FAFBFE"/>
            <w:hideMark/>
          </w:tcPr>
          <w:p w14:paraId="4ADC694F" w14:textId="77777777" w:rsidR="00B42735" w:rsidRPr="00B42735" w:rsidRDefault="00B42735">
            <w:pPr>
              <w:spacing w:after="0" w:line="240" w:lineRule="auto"/>
              <w:jc w:val="center"/>
              <w:rPr>
                <w:rFonts w:eastAsia="Times New Roman" w:cs="Arial"/>
                <w:b/>
                <w:bCs/>
                <w:color w:val="0070C0"/>
              </w:rPr>
            </w:pPr>
            <w:r w:rsidRPr="00B42735">
              <w:rPr>
                <w:rFonts w:eastAsia="Times New Roman" w:cs="Arial"/>
                <w:b/>
                <w:bCs/>
                <w:color w:val="0070C0"/>
              </w:rPr>
              <w:t>&lt; 5%</w:t>
            </w:r>
          </w:p>
        </w:tc>
        <w:tc>
          <w:tcPr>
            <w:tcW w:w="1350" w:type="dxa"/>
            <w:tcBorders>
              <w:top w:val="nil"/>
              <w:left w:val="nil"/>
              <w:bottom w:val="single" w:sz="4" w:space="0" w:color="auto"/>
              <w:right w:val="single" w:sz="4" w:space="0" w:color="auto"/>
            </w:tcBorders>
            <w:shd w:val="clear" w:color="auto" w:fill="FAFBFE"/>
            <w:hideMark/>
          </w:tcPr>
          <w:p w14:paraId="04C0D145" w14:textId="77777777" w:rsidR="00B42735" w:rsidRPr="00B42735" w:rsidRDefault="00B42735">
            <w:pPr>
              <w:spacing w:after="0" w:line="240" w:lineRule="auto"/>
              <w:jc w:val="center"/>
              <w:rPr>
                <w:rFonts w:eastAsia="Times New Roman" w:cs="Arial"/>
                <w:color w:val="0070C0"/>
              </w:rPr>
            </w:pPr>
            <w:r w:rsidRPr="00B42735">
              <w:rPr>
                <w:rFonts w:eastAsia="Times New Roman" w:cs="Arial"/>
                <w:color w:val="0070C0"/>
              </w:rPr>
              <w:t>477</w:t>
            </w:r>
          </w:p>
        </w:tc>
        <w:tc>
          <w:tcPr>
            <w:tcW w:w="1440" w:type="dxa"/>
            <w:tcBorders>
              <w:top w:val="nil"/>
              <w:left w:val="nil"/>
              <w:bottom w:val="single" w:sz="4" w:space="0" w:color="auto"/>
              <w:right w:val="single" w:sz="4" w:space="0" w:color="auto"/>
            </w:tcBorders>
            <w:shd w:val="clear" w:color="auto" w:fill="FAFBFE"/>
            <w:hideMark/>
          </w:tcPr>
          <w:p w14:paraId="7429082C" w14:textId="77777777" w:rsidR="00B42735" w:rsidRPr="00B42735" w:rsidRDefault="00B42735">
            <w:pPr>
              <w:spacing w:after="0" w:line="240" w:lineRule="auto"/>
              <w:jc w:val="center"/>
              <w:rPr>
                <w:rFonts w:eastAsia="Times New Roman" w:cs="Arial"/>
                <w:color w:val="0070C0"/>
              </w:rPr>
            </w:pPr>
            <w:r w:rsidRPr="00B42735">
              <w:rPr>
                <w:rFonts w:eastAsia="Times New Roman" w:cs="Arial"/>
                <w:color w:val="0070C0"/>
              </w:rPr>
              <w:t>96.36</w:t>
            </w:r>
          </w:p>
        </w:tc>
        <w:tc>
          <w:tcPr>
            <w:tcW w:w="1530" w:type="dxa"/>
            <w:tcBorders>
              <w:top w:val="nil"/>
              <w:left w:val="nil"/>
              <w:bottom w:val="single" w:sz="4" w:space="0" w:color="auto"/>
              <w:right w:val="single" w:sz="4" w:space="0" w:color="auto"/>
            </w:tcBorders>
            <w:shd w:val="clear" w:color="auto" w:fill="FAFBFE"/>
            <w:hideMark/>
          </w:tcPr>
          <w:p w14:paraId="652B8475" w14:textId="77777777" w:rsidR="00B42735" w:rsidRPr="00B42735" w:rsidRDefault="00B42735">
            <w:pPr>
              <w:spacing w:after="0" w:line="240" w:lineRule="auto"/>
              <w:jc w:val="center"/>
              <w:rPr>
                <w:rFonts w:eastAsia="Times New Roman" w:cs="Arial"/>
                <w:color w:val="0070C0"/>
              </w:rPr>
            </w:pPr>
            <w:r w:rsidRPr="00B42735">
              <w:rPr>
                <w:rFonts w:eastAsia="Times New Roman" w:cs="Arial"/>
                <w:color w:val="0070C0"/>
              </w:rPr>
              <w:t>477</w:t>
            </w:r>
          </w:p>
        </w:tc>
        <w:tc>
          <w:tcPr>
            <w:tcW w:w="2435" w:type="dxa"/>
            <w:tcBorders>
              <w:top w:val="nil"/>
              <w:left w:val="nil"/>
              <w:bottom w:val="single" w:sz="4" w:space="0" w:color="auto"/>
              <w:right w:val="single" w:sz="4" w:space="0" w:color="auto"/>
            </w:tcBorders>
            <w:shd w:val="clear" w:color="auto" w:fill="FAFBFE"/>
            <w:hideMark/>
          </w:tcPr>
          <w:p w14:paraId="51855BBD" w14:textId="77777777" w:rsidR="00B42735" w:rsidRPr="00B42735" w:rsidRDefault="00B42735">
            <w:pPr>
              <w:spacing w:after="0" w:line="240" w:lineRule="auto"/>
              <w:jc w:val="center"/>
              <w:rPr>
                <w:rFonts w:eastAsia="Times New Roman" w:cs="Arial"/>
                <w:color w:val="0070C0"/>
              </w:rPr>
            </w:pPr>
            <w:r w:rsidRPr="00B42735">
              <w:rPr>
                <w:rFonts w:eastAsia="Times New Roman" w:cs="Arial"/>
                <w:color w:val="0070C0"/>
              </w:rPr>
              <w:t>96.36</w:t>
            </w:r>
          </w:p>
        </w:tc>
      </w:tr>
      <w:tr w:rsidR="00B42735" w:rsidRPr="00B42735" w14:paraId="0FEE0D17" w14:textId="77777777" w:rsidTr="00B42735">
        <w:trPr>
          <w:trHeight w:val="288"/>
        </w:trPr>
        <w:tc>
          <w:tcPr>
            <w:tcW w:w="2425" w:type="dxa"/>
            <w:tcBorders>
              <w:top w:val="nil"/>
              <w:left w:val="single" w:sz="4" w:space="0" w:color="auto"/>
              <w:bottom w:val="single" w:sz="4" w:space="0" w:color="auto"/>
              <w:right w:val="single" w:sz="4" w:space="0" w:color="auto"/>
            </w:tcBorders>
            <w:shd w:val="clear" w:color="auto" w:fill="FAFBFE"/>
            <w:hideMark/>
          </w:tcPr>
          <w:p w14:paraId="6FBA1818" w14:textId="77777777" w:rsidR="00B42735" w:rsidRPr="00B42735" w:rsidRDefault="00B42735">
            <w:pPr>
              <w:spacing w:after="0" w:line="240" w:lineRule="auto"/>
              <w:jc w:val="center"/>
              <w:rPr>
                <w:rFonts w:eastAsia="Times New Roman" w:cs="Arial"/>
                <w:b/>
                <w:bCs/>
                <w:color w:val="0070C0"/>
              </w:rPr>
            </w:pPr>
            <w:r w:rsidRPr="00B42735">
              <w:rPr>
                <w:rFonts w:eastAsia="Times New Roman" w:cs="Arial"/>
                <w:b/>
                <w:bCs/>
                <w:color w:val="0070C0"/>
              </w:rPr>
              <w:t>5% - &lt;10%</w:t>
            </w:r>
          </w:p>
        </w:tc>
        <w:tc>
          <w:tcPr>
            <w:tcW w:w="1350" w:type="dxa"/>
            <w:tcBorders>
              <w:top w:val="nil"/>
              <w:left w:val="nil"/>
              <w:bottom w:val="single" w:sz="4" w:space="0" w:color="auto"/>
              <w:right w:val="single" w:sz="4" w:space="0" w:color="auto"/>
            </w:tcBorders>
            <w:shd w:val="clear" w:color="auto" w:fill="FAFBFE"/>
            <w:hideMark/>
          </w:tcPr>
          <w:p w14:paraId="513B39EB" w14:textId="77777777" w:rsidR="00B42735" w:rsidRPr="00B42735" w:rsidRDefault="00B42735">
            <w:pPr>
              <w:spacing w:after="0" w:line="240" w:lineRule="auto"/>
              <w:jc w:val="center"/>
              <w:rPr>
                <w:rFonts w:eastAsia="Times New Roman" w:cs="Arial"/>
                <w:color w:val="0070C0"/>
              </w:rPr>
            </w:pPr>
            <w:r w:rsidRPr="00B42735">
              <w:rPr>
                <w:rFonts w:eastAsia="Times New Roman" w:cs="Arial"/>
                <w:color w:val="0070C0"/>
              </w:rPr>
              <w:t>12</w:t>
            </w:r>
          </w:p>
        </w:tc>
        <w:tc>
          <w:tcPr>
            <w:tcW w:w="1440" w:type="dxa"/>
            <w:tcBorders>
              <w:top w:val="nil"/>
              <w:left w:val="nil"/>
              <w:bottom w:val="single" w:sz="4" w:space="0" w:color="auto"/>
              <w:right w:val="single" w:sz="4" w:space="0" w:color="auto"/>
            </w:tcBorders>
            <w:shd w:val="clear" w:color="auto" w:fill="FAFBFE"/>
            <w:hideMark/>
          </w:tcPr>
          <w:p w14:paraId="6829C71B" w14:textId="77777777" w:rsidR="00B42735" w:rsidRPr="00B42735" w:rsidRDefault="00B42735">
            <w:pPr>
              <w:spacing w:after="0" w:line="240" w:lineRule="auto"/>
              <w:jc w:val="center"/>
              <w:rPr>
                <w:rFonts w:eastAsia="Times New Roman" w:cs="Arial"/>
                <w:color w:val="0070C0"/>
              </w:rPr>
            </w:pPr>
            <w:r w:rsidRPr="00B42735">
              <w:rPr>
                <w:rFonts w:eastAsia="Times New Roman" w:cs="Arial"/>
                <w:color w:val="0070C0"/>
              </w:rPr>
              <w:t>2.42</w:t>
            </w:r>
          </w:p>
        </w:tc>
        <w:tc>
          <w:tcPr>
            <w:tcW w:w="1530" w:type="dxa"/>
            <w:tcBorders>
              <w:top w:val="nil"/>
              <w:left w:val="nil"/>
              <w:bottom w:val="single" w:sz="4" w:space="0" w:color="auto"/>
              <w:right w:val="single" w:sz="4" w:space="0" w:color="auto"/>
            </w:tcBorders>
            <w:shd w:val="clear" w:color="auto" w:fill="FAFBFE"/>
            <w:hideMark/>
          </w:tcPr>
          <w:p w14:paraId="25C855BD" w14:textId="77777777" w:rsidR="00B42735" w:rsidRPr="00B42735" w:rsidRDefault="00B42735">
            <w:pPr>
              <w:spacing w:after="0" w:line="240" w:lineRule="auto"/>
              <w:jc w:val="center"/>
              <w:rPr>
                <w:rFonts w:eastAsia="Times New Roman" w:cs="Arial"/>
                <w:color w:val="0070C0"/>
              </w:rPr>
            </w:pPr>
            <w:r w:rsidRPr="00B42735">
              <w:rPr>
                <w:rFonts w:eastAsia="Times New Roman" w:cs="Arial"/>
                <w:color w:val="0070C0"/>
              </w:rPr>
              <w:t>489</w:t>
            </w:r>
          </w:p>
        </w:tc>
        <w:tc>
          <w:tcPr>
            <w:tcW w:w="2435" w:type="dxa"/>
            <w:tcBorders>
              <w:top w:val="nil"/>
              <w:left w:val="nil"/>
              <w:bottom w:val="single" w:sz="4" w:space="0" w:color="auto"/>
              <w:right w:val="single" w:sz="4" w:space="0" w:color="auto"/>
            </w:tcBorders>
            <w:shd w:val="clear" w:color="auto" w:fill="FAFBFE"/>
            <w:hideMark/>
          </w:tcPr>
          <w:p w14:paraId="118E01F7" w14:textId="77777777" w:rsidR="00B42735" w:rsidRPr="00B42735" w:rsidRDefault="00B42735">
            <w:pPr>
              <w:spacing w:after="0" w:line="240" w:lineRule="auto"/>
              <w:jc w:val="center"/>
              <w:rPr>
                <w:rFonts w:eastAsia="Times New Roman" w:cs="Arial"/>
                <w:color w:val="0070C0"/>
              </w:rPr>
            </w:pPr>
            <w:r w:rsidRPr="00B42735">
              <w:rPr>
                <w:rFonts w:eastAsia="Times New Roman" w:cs="Arial"/>
                <w:color w:val="0070C0"/>
              </w:rPr>
              <w:t>98.79</w:t>
            </w:r>
          </w:p>
        </w:tc>
      </w:tr>
      <w:tr w:rsidR="00B42735" w:rsidRPr="00B42735" w14:paraId="3953C2C0" w14:textId="77777777" w:rsidTr="00B42735">
        <w:trPr>
          <w:trHeight w:val="288"/>
        </w:trPr>
        <w:tc>
          <w:tcPr>
            <w:tcW w:w="2425" w:type="dxa"/>
            <w:tcBorders>
              <w:top w:val="nil"/>
              <w:left w:val="single" w:sz="4" w:space="0" w:color="auto"/>
              <w:bottom w:val="single" w:sz="4" w:space="0" w:color="auto"/>
              <w:right w:val="single" w:sz="4" w:space="0" w:color="auto"/>
            </w:tcBorders>
            <w:shd w:val="clear" w:color="auto" w:fill="FAFBFE"/>
            <w:hideMark/>
          </w:tcPr>
          <w:p w14:paraId="3A78F336" w14:textId="77777777" w:rsidR="00B42735" w:rsidRPr="00B42735" w:rsidRDefault="00B42735">
            <w:pPr>
              <w:spacing w:after="0" w:line="240" w:lineRule="auto"/>
              <w:jc w:val="center"/>
              <w:rPr>
                <w:rFonts w:eastAsia="Times New Roman" w:cs="Arial"/>
                <w:b/>
                <w:bCs/>
                <w:color w:val="0070C0"/>
              </w:rPr>
            </w:pPr>
            <w:r w:rsidRPr="00B42735">
              <w:rPr>
                <w:rFonts w:eastAsia="Times New Roman" w:cs="Arial"/>
                <w:b/>
                <w:bCs/>
                <w:color w:val="0070C0"/>
              </w:rPr>
              <w:t>10% - &lt;15%</w:t>
            </w:r>
          </w:p>
        </w:tc>
        <w:tc>
          <w:tcPr>
            <w:tcW w:w="1350" w:type="dxa"/>
            <w:tcBorders>
              <w:top w:val="nil"/>
              <w:left w:val="nil"/>
              <w:bottom w:val="single" w:sz="4" w:space="0" w:color="auto"/>
              <w:right w:val="single" w:sz="4" w:space="0" w:color="auto"/>
            </w:tcBorders>
            <w:shd w:val="clear" w:color="auto" w:fill="FAFBFE"/>
            <w:hideMark/>
          </w:tcPr>
          <w:p w14:paraId="4D173FE0" w14:textId="77777777" w:rsidR="00B42735" w:rsidRPr="00B42735" w:rsidRDefault="00B42735">
            <w:pPr>
              <w:spacing w:after="0" w:line="240" w:lineRule="auto"/>
              <w:jc w:val="center"/>
              <w:rPr>
                <w:rFonts w:eastAsia="Times New Roman" w:cs="Arial"/>
                <w:color w:val="0070C0"/>
              </w:rPr>
            </w:pPr>
            <w:r w:rsidRPr="00B42735">
              <w:rPr>
                <w:rFonts w:eastAsia="Times New Roman" w:cs="Arial"/>
                <w:color w:val="0070C0"/>
              </w:rPr>
              <w:t>5</w:t>
            </w:r>
          </w:p>
        </w:tc>
        <w:tc>
          <w:tcPr>
            <w:tcW w:w="1440" w:type="dxa"/>
            <w:tcBorders>
              <w:top w:val="nil"/>
              <w:left w:val="nil"/>
              <w:bottom w:val="single" w:sz="4" w:space="0" w:color="auto"/>
              <w:right w:val="single" w:sz="4" w:space="0" w:color="auto"/>
            </w:tcBorders>
            <w:shd w:val="clear" w:color="auto" w:fill="FAFBFE"/>
            <w:hideMark/>
          </w:tcPr>
          <w:p w14:paraId="0FFA4560" w14:textId="77777777" w:rsidR="00B42735" w:rsidRPr="00B42735" w:rsidRDefault="00B42735">
            <w:pPr>
              <w:spacing w:after="0" w:line="240" w:lineRule="auto"/>
              <w:jc w:val="center"/>
              <w:rPr>
                <w:rFonts w:eastAsia="Times New Roman" w:cs="Arial"/>
                <w:color w:val="0070C0"/>
              </w:rPr>
            </w:pPr>
            <w:r w:rsidRPr="00B42735">
              <w:rPr>
                <w:rFonts w:eastAsia="Times New Roman" w:cs="Arial"/>
                <w:color w:val="0070C0"/>
              </w:rPr>
              <w:t>1.01</w:t>
            </w:r>
          </w:p>
        </w:tc>
        <w:tc>
          <w:tcPr>
            <w:tcW w:w="1530" w:type="dxa"/>
            <w:tcBorders>
              <w:top w:val="nil"/>
              <w:left w:val="nil"/>
              <w:bottom w:val="single" w:sz="4" w:space="0" w:color="auto"/>
              <w:right w:val="single" w:sz="4" w:space="0" w:color="auto"/>
            </w:tcBorders>
            <w:shd w:val="clear" w:color="auto" w:fill="FAFBFE"/>
            <w:hideMark/>
          </w:tcPr>
          <w:p w14:paraId="0F4434EB" w14:textId="77777777" w:rsidR="00B42735" w:rsidRPr="00B42735" w:rsidRDefault="00B42735">
            <w:pPr>
              <w:spacing w:after="0" w:line="240" w:lineRule="auto"/>
              <w:jc w:val="center"/>
              <w:rPr>
                <w:rFonts w:eastAsia="Times New Roman" w:cs="Arial"/>
                <w:color w:val="0070C0"/>
              </w:rPr>
            </w:pPr>
            <w:r w:rsidRPr="00B42735">
              <w:rPr>
                <w:rFonts w:eastAsia="Times New Roman" w:cs="Arial"/>
                <w:color w:val="0070C0"/>
              </w:rPr>
              <w:t>494</w:t>
            </w:r>
          </w:p>
        </w:tc>
        <w:tc>
          <w:tcPr>
            <w:tcW w:w="2435" w:type="dxa"/>
            <w:tcBorders>
              <w:top w:val="nil"/>
              <w:left w:val="nil"/>
              <w:bottom w:val="single" w:sz="4" w:space="0" w:color="auto"/>
              <w:right w:val="single" w:sz="4" w:space="0" w:color="auto"/>
            </w:tcBorders>
            <w:shd w:val="clear" w:color="auto" w:fill="FAFBFE"/>
            <w:hideMark/>
          </w:tcPr>
          <w:p w14:paraId="46AEC1F6" w14:textId="77777777" w:rsidR="00B42735" w:rsidRPr="00B42735" w:rsidRDefault="00B42735">
            <w:pPr>
              <w:spacing w:after="0" w:line="240" w:lineRule="auto"/>
              <w:jc w:val="center"/>
              <w:rPr>
                <w:rFonts w:eastAsia="Times New Roman" w:cs="Arial"/>
                <w:color w:val="0070C0"/>
              </w:rPr>
            </w:pPr>
            <w:r w:rsidRPr="00B42735">
              <w:rPr>
                <w:rFonts w:eastAsia="Times New Roman" w:cs="Arial"/>
                <w:color w:val="0070C0"/>
              </w:rPr>
              <w:t>99.8</w:t>
            </w:r>
          </w:p>
        </w:tc>
      </w:tr>
      <w:tr w:rsidR="00B42735" w:rsidRPr="00B42735" w14:paraId="5713ED6F" w14:textId="77777777" w:rsidTr="00B42735">
        <w:trPr>
          <w:trHeight w:val="288"/>
        </w:trPr>
        <w:tc>
          <w:tcPr>
            <w:tcW w:w="2425" w:type="dxa"/>
            <w:tcBorders>
              <w:top w:val="nil"/>
              <w:left w:val="single" w:sz="4" w:space="0" w:color="auto"/>
              <w:bottom w:val="single" w:sz="4" w:space="0" w:color="auto"/>
              <w:right w:val="single" w:sz="4" w:space="0" w:color="auto"/>
            </w:tcBorders>
            <w:shd w:val="clear" w:color="auto" w:fill="FAFBFE"/>
            <w:hideMark/>
          </w:tcPr>
          <w:p w14:paraId="5D63050F" w14:textId="77777777" w:rsidR="00B42735" w:rsidRPr="00B42735" w:rsidRDefault="00B42735">
            <w:pPr>
              <w:spacing w:after="0" w:line="240" w:lineRule="auto"/>
              <w:jc w:val="center"/>
              <w:rPr>
                <w:rFonts w:eastAsia="Times New Roman" w:cs="Arial"/>
                <w:b/>
                <w:bCs/>
                <w:color w:val="0070C0"/>
              </w:rPr>
            </w:pPr>
            <w:r w:rsidRPr="00B42735">
              <w:rPr>
                <w:rFonts w:eastAsia="Times New Roman" w:cs="Arial"/>
                <w:b/>
                <w:bCs/>
                <w:color w:val="0070C0"/>
              </w:rPr>
              <w:t>&gt;= 15%</w:t>
            </w:r>
          </w:p>
        </w:tc>
        <w:tc>
          <w:tcPr>
            <w:tcW w:w="1350" w:type="dxa"/>
            <w:tcBorders>
              <w:top w:val="nil"/>
              <w:left w:val="nil"/>
              <w:bottom w:val="single" w:sz="4" w:space="0" w:color="auto"/>
              <w:right w:val="single" w:sz="4" w:space="0" w:color="auto"/>
            </w:tcBorders>
            <w:shd w:val="clear" w:color="auto" w:fill="FAFBFE"/>
            <w:hideMark/>
          </w:tcPr>
          <w:p w14:paraId="3AC5EAF7" w14:textId="77777777" w:rsidR="00B42735" w:rsidRPr="00B42735" w:rsidRDefault="00B42735">
            <w:pPr>
              <w:spacing w:after="0" w:line="240" w:lineRule="auto"/>
              <w:jc w:val="center"/>
              <w:rPr>
                <w:rFonts w:eastAsia="Times New Roman" w:cs="Arial"/>
                <w:color w:val="0070C0"/>
              </w:rPr>
            </w:pPr>
            <w:r w:rsidRPr="00B42735">
              <w:rPr>
                <w:rFonts w:eastAsia="Times New Roman" w:cs="Arial"/>
                <w:color w:val="0070C0"/>
              </w:rPr>
              <w:t>1</w:t>
            </w:r>
          </w:p>
        </w:tc>
        <w:tc>
          <w:tcPr>
            <w:tcW w:w="1440" w:type="dxa"/>
            <w:tcBorders>
              <w:top w:val="nil"/>
              <w:left w:val="nil"/>
              <w:bottom w:val="single" w:sz="4" w:space="0" w:color="auto"/>
              <w:right w:val="single" w:sz="4" w:space="0" w:color="auto"/>
            </w:tcBorders>
            <w:shd w:val="clear" w:color="auto" w:fill="FAFBFE"/>
            <w:hideMark/>
          </w:tcPr>
          <w:p w14:paraId="55D3C964" w14:textId="77777777" w:rsidR="00B42735" w:rsidRPr="00B42735" w:rsidRDefault="00B42735">
            <w:pPr>
              <w:spacing w:after="0" w:line="240" w:lineRule="auto"/>
              <w:jc w:val="center"/>
              <w:rPr>
                <w:rFonts w:eastAsia="Times New Roman" w:cs="Arial"/>
                <w:color w:val="0070C0"/>
              </w:rPr>
            </w:pPr>
            <w:r w:rsidRPr="00B42735">
              <w:rPr>
                <w:rFonts w:eastAsia="Times New Roman" w:cs="Arial"/>
                <w:color w:val="0070C0"/>
              </w:rPr>
              <w:t>0.2</w:t>
            </w:r>
          </w:p>
        </w:tc>
        <w:tc>
          <w:tcPr>
            <w:tcW w:w="1530" w:type="dxa"/>
            <w:tcBorders>
              <w:top w:val="nil"/>
              <w:left w:val="nil"/>
              <w:bottom w:val="single" w:sz="4" w:space="0" w:color="auto"/>
              <w:right w:val="single" w:sz="4" w:space="0" w:color="auto"/>
            </w:tcBorders>
            <w:shd w:val="clear" w:color="auto" w:fill="FAFBFE"/>
            <w:hideMark/>
          </w:tcPr>
          <w:p w14:paraId="38E1DBFE" w14:textId="77777777" w:rsidR="00B42735" w:rsidRPr="00B42735" w:rsidRDefault="00B42735">
            <w:pPr>
              <w:spacing w:after="0" w:line="240" w:lineRule="auto"/>
              <w:jc w:val="center"/>
              <w:rPr>
                <w:rFonts w:eastAsia="Times New Roman" w:cs="Arial"/>
                <w:color w:val="0070C0"/>
              </w:rPr>
            </w:pPr>
            <w:r w:rsidRPr="00B42735">
              <w:rPr>
                <w:rFonts w:eastAsia="Times New Roman" w:cs="Arial"/>
                <w:color w:val="0070C0"/>
              </w:rPr>
              <w:t>495</w:t>
            </w:r>
          </w:p>
        </w:tc>
        <w:tc>
          <w:tcPr>
            <w:tcW w:w="2435" w:type="dxa"/>
            <w:tcBorders>
              <w:top w:val="nil"/>
              <w:left w:val="nil"/>
              <w:bottom w:val="single" w:sz="4" w:space="0" w:color="auto"/>
              <w:right w:val="single" w:sz="4" w:space="0" w:color="auto"/>
            </w:tcBorders>
            <w:shd w:val="clear" w:color="auto" w:fill="FAFBFE"/>
            <w:hideMark/>
          </w:tcPr>
          <w:p w14:paraId="4BC170DF" w14:textId="77777777" w:rsidR="00B42735" w:rsidRPr="00B42735" w:rsidRDefault="00B42735">
            <w:pPr>
              <w:spacing w:after="0" w:line="240" w:lineRule="auto"/>
              <w:jc w:val="center"/>
              <w:rPr>
                <w:rFonts w:eastAsia="Times New Roman" w:cs="Arial"/>
                <w:color w:val="0070C0"/>
              </w:rPr>
            </w:pPr>
            <w:r w:rsidRPr="00B42735">
              <w:rPr>
                <w:rFonts w:eastAsia="Times New Roman" w:cs="Arial"/>
                <w:color w:val="0070C0"/>
              </w:rPr>
              <w:t>100</w:t>
            </w:r>
          </w:p>
        </w:tc>
      </w:tr>
    </w:tbl>
    <w:p w14:paraId="32888DAC" w14:textId="77777777" w:rsidR="00B42735" w:rsidRPr="00B42735" w:rsidRDefault="00B42735" w:rsidP="00B42735">
      <w:pPr>
        <w:spacing w:before="120" w:after="60" w:line="220" w:lineRule="exact"/>
        <w:rPr>
          <w:rFonts w:cs="Arial"/>
          <w:b/>
          <w:color w:val="0070C0"/>
        </w:rPr>
      </w:pPr>
    </w:p>
    <w:p w14:paraId="3BAFCADD" w14:textId="77777777" w:rsidR="00B42735" w:rsidRPr="00B42735" w:rsidRDefault="00B42735" w:rsidP="00B42735">
      <w:pPr>
        <w:spacing w:before="120" w:after="60" w:line="220" w:lineRule="exact"/>
        <w:rPr>
          <w:rFonts w:cs="Arial"/>
          <w:b/>
          <w:color w:val="0070C0"/>
        </w:rPr>
      </w:pPr>
      <w:r w:rsidRPr="00B42735">
        <w:rPr>
          <w:rFonts w:eastAsia="Times New Roman" w:cs="Arial"/>
          <w:b/>
          <w:color w:val="0070C0"/>
        </w:rPr>
        <w:t>Table 8: Distribution of Non-response of Osteoporosis Item Across Plans (HEDIS 2012 data)</w:t>
      </w:r>
    </w:p>
    <w:tbl>
      <w:tblPr>
        <w:tblW w:w="9720" w:type="dxa"/>
        <w:tblInd w:w="-55" w:type="dxa"/>
        <w:tblLayout w:type="fixed"/>
        <w:tblLook w:val="04A0" w:firstRow="1" w:lastRow="0" w:firstColumn="1" w:lastColumn="0" w:noHBand="0" w:noVBand="1"/>
      </w:tblPr>
      <w:tblGrid>
        <w:gridCol w:w="1666"/>
        <w:gridCol w:w="804"/>
        <w:gridCol w:w="526"/>
        <w:gridCol w:w="369"/>
        <w:gridCol w:w="985"/>
        <w:gridCol w:w="1074"/>
        <w:gridCol w:w="1074"/>
        <w:gridCol w:w="1074"/>
        <w:gridCol w:w="1074"/>
        <w:gridCol w:w="1074"/>
      </w:tblGrid>
      <w:tr w:rsidR="00B42735" w:rsidRPr="00B42735" w14:paraId="139F1CB2" w14:textId="77777777" w:rsidTr="00B42735">
        <w:trPr>
          <w:trHeight w:val="422"/>
        </w:trPr>
        <w:tc>
          <w:tcPr>
            <w:tcW w:w="1666"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hideMark/>
          </w:tcPr>
          <w:p w14:paraId="62064FC8" w14:textId="77777777" w:rsidR="00B42735" w:rsidRPr="00B42735" w:rsidRDefault="00B42735">
            <w:pPr>
              <w:spacing w:after="0" w:line="240" w:lineRule="auto"/>
              <w:rPr>
                <w:rFonts w:eastAsia="Times New Roman" w:cs="Arial"/>
                <w:color w:val="0070C0"/>
              </w:rPr>
            </w:pPr>
            <w:r w:rsidRPr="00B42735">
              <w:rPr>
                <w:rFonts w:eastAsia="Times New Roman" w:cs="Arial"/>
                <w:b/>
                <w:bCs/>
                <w:color w:val="0070C0"/>
              </w:rPr>
              <w:t>Description</w:t>
            </w:r>
          </w:p>
        </w:tc>
        <w:tc>
          <w:tcPr>
            <w:tcW w:w="804" w:type="dxa"/>
            <w:tcBorders>
              <w:top w:val="single" w:sz="4" w:space="0" w:color="auto"/>
              <w:left w:val="nil"/>
              <w:bottom w:val="single" w:sz="4" w:space="0" w:color="auto"/>
              <w:right w:val="single" w:sz="4" w:space="0" w:color="auto"/>
            </w:tcBorders>
            <w:shd w:val="clear" w:color="auto" w:fill="EAF1DD" w:themeFill="accent3" w:themeFillTint="33"/>
            <w:noWrap/>
            <w:hideMark/>
          </w:tcPr>
          <w:p w14:paraId="272FA125" w14:textId="77777777" w:rsidR="00B42735" w:rsidRPr="00B42735" w:rsidRDefault="00B42735">
            <w:pPr>
              <w:spacing w:after="0" w:line="240" w:lineRule="auto"/>
              <w:rPr>
                <w:rFonts w:eastAsia="Times New Roman" w:cs="Arial"/>
                <w:color w:val="0070C0"/>
              </w:rPr>
            </w:pPr>
            <w:r w:rsidRPr="00B42735">
              <w:rPr>
                <w:rFonts w:eastAsia="Times New Roman" w:cs="Arial"/>
                <w:b/>
                <w:bCs/>
                <w:color w:val="0070C0"/>
              </w:rPr>
              <w:t>N</w:t>
            </w:r>
          </w:p>
        </w:tc>
        <w:tc>
          <w:tcPr>
            <w:tcW w:w="895" w:type="dxa"/>
            <w:gridSpan w:val="2"/>
            <w:tcBorders>
              <w:top w:val="single" w:sz="4" w:space="0" w:color="auto"/>
              <w:left w:val="nil"/>
              <w:bottom w:val="single" w:sz="4" w:space="0" w:color="auto"/>
              <w:right w:val="single" w:sz="4" w:space="0" w:color="auto"/>
            </w:tcBorders>
            <w:shd w:val="clear" w:color="auto" w:fill="EAF1DD" w:themeFill="accent3" w:themeFillTint="33"/>
            <w:noWrap/>
            <w:hideMark/>
          </w:tcPr>
          <w:p w14:paraId="6945DB16" w14:textId="77777777" w:rsidR="00B42735" w:rsidRPr="00B42735" w:rsidRDefault="00B42735">
            <w:pPr>
              <w:spacing w:after="0" w:line="240" w:lineRule="auto"/>
              <w:rPr>
                <w:rFonts w:eastAsia="Times New Roman" w:cs="Arial"/>
                <w:color w:val="0070C0"/>
              </w:rPr>
            </w:pPr>
            <w:r w:rsidRPr="00B42735">
              <w:rPr>
                <w:rFonts w:eastAsia="Times New Roman" w:cs="Arial"/>
                <w:b/>
                <w:bCs/>
                <w:color w:val="0070C0"/>
              </w:rPr>
              <w:t>Mean</w:t>
            </w:r>
          </w:p>
        </w:tc>
        <w:tc>
          <w:tcPr>
            <w:tcW w:w="985" w:type="dxa"/>
            <w:tcBorders>
              <w:top w:val="single" w:sz="4" w:space="0" w:color="auto"/>
              <w:left w:val="nil"/>
              <w:bottom w:val="single" w:sz="4" w:space="0" w:color="auto"/>
              <w:right w:val="single" w:sz="4" w:space="0" w:color="auto"/>
            </w:tcBorders>
            <w:shd w:val="clear" w:color="auto" w:fill="EAF1DD" w:themeFill="accent3" w:themeFillTint="33"/>
            <w:noWrap/>
            <w:hideMark/>
          </w:tcPr>
          <w:p w14:paraId="37F2C23F" w14:textId="77777777" w:rsidR="00B42735" w:rsidRPr="00B42735" w:rsidRDefault="00B42735">
            <w:pPr>
              <w:spacing w:after="0" w:line="240" w:lineRule="auto"/>
              <w:rPr>
                <w:rFonts w:eastAsia="Times New Roman" w:cs="Arial"/>
                <w:color w:val="0070C0"/>
              </w:rPr>
            </w:pPr>
            <w:r w:rsidRPr="00B42735">
              <w:rPr>
                <w:rFonts w:eastAsia="Times New Roman" w:cs="Arial"/>
                <w:b/>
                <w:bCs/>
                <w:color w:val="0070C0"/>
              </w:rPr>
              <w:t>std</w:t>
            </w:r>
          </w:p>
        </w:tc>
        <w:tc>
          <w:tcPr>
            <w:tcW w:w="1075" w:type="dxa"/>
            <w:tcBorders>
              <w:top w:val="single" w:sz="4" w:space="0" w:color="auto"/>
              <w:left w:val="nil"/>
              <w:bottom w:val="single" w:sz="4" w:space="0" w:color="auto"/>
              <w:right w:val="single" w:sz="4" w:space="0" w:color="auto"/>
            </w:tcBorders>
            <w:shd w:val="clear" w:color="auto" w:fill="EAF1DD" w:themeFill="accent3" w:themeFillTint="33"/>
            <w:noWrap/>
            <w:hideMark/>
          </w:tcPr>
          <w:p w14:paraId="7712A9E6" w14:textId="77777777" w:rsidR="00B42735" w:rsidRPr="00B42735" w:rsidRDefault="00B42735">
            <w:pPr>
              <w:spacing w:after="0" w:line="240" w:lineRule="auto"/>
              <w:rPr>
                <w:rFonts w:eastAsia="Times New Roman" w:cs="Arial"/>
                <w:color w:val="0070C0"/>
              </w:rPr>
            </w:pPr>
            <w:r w:rsidRPr="00B42735">
              <w:rPr>
                <w:rFonts w:eastAsia="Times New Roman" w:cs="Arial"/>
                <w:b/>
                <w:bCs/>
                <w:color w:val="0070C0"/>
              </w:rPr>
              <w:t>p10</w:t>
            </w:r>
          </w:p>
        </w:tc>
        <w:tc>
          <w:tcPr>
            <w:tcW w:w="1075" w:type="dxa"/>
            <w:tcBorders>
              <w:top w:val="single" w:sz="4" w:space="0" w:color="auto"/>
              <w:left w:val="nil"/>
              <w:bottom w:val="single" w:sz="4" w:space="0" w:color="auto"/>
              <w:right w:val="single" w:sz="4" w:space="0" w:color="auto"/>
            </w:tcBorders>
            <w:shd w:val="clear" w:color="auto" w:fill="EAF1DD" w:themeFill="accent3" w:themeFillTint="33"/>
            <w:noWrap/>
            <w:hideMark/>
          </w:tcPr>
          <w:p w14:paraId="220CD38B" w14:textId="77777777" w:rsidR="00B42735" w:rsidRPr="00B42735" w:rsidRDefault="00B42735">
            <w:pPr>
              <w:spacing w:after="0" w:line="240" w:lineRule="auto"/>
              <w:rPr>
                <w:rFonts w:eastAsia="Times New Roman" w:cs="Arial"/>
                <w:color w:val="0070C0"/>
              </w:rPr>
            </w:pPr>
            <w:r w:rsidRPr="00B42735">
              <w:rPr>
                <w:rFonts w:eastAsia="Times New Roman" w:cs="Arial"/>
                <w:b/>
                <w:bCs/>
                <w:color w:val="0070C0"/>
              </w:rPr>
              <w:t>p25</w:t>
            </w:r>
          </w:p>
        </w:tc>
        <w:tc>
          <w:tcPr>
            <w:tcW w:w="1075" w:type="dxa"/>
            <w:tcBorders>
              <w:top w:val="single" w:sz="4" w:space="0" w:color="auto"/>
              <w:left w:val="nil"/>
              <w:bottom w:val="single" w:sz="4" w:space="0" w:color="auto"/>
              <w:right w:val="single" w:sz="4" w:space="0" w:color="auto"/>
            </w:tcBorders>
            <w:shd w:val="clear" w:color="auto" w:fill="EAF1DD" w:themeFill="accent3" w:themeFillTint="33"/>
            <w:noWrap/>
            <w:hideMark/>
          </w:tcPr>
          <w:p w14:paraId="611C400E" w14:textId="77777777" w:rsidR="00B42735" w:rsidRPr="00B42735" w:rsidRDefault="00B42735">
            <w:pPr>
              <w:spacing w:after="0" w:line="240" w:lineRule="auto"/>
              <w:rPr>
                <w:rFonts w:eastAsia="Times New Roman" w:cs="Arial"/>
                <w:color w:val="0070C0"/>
              </w:rPr>
            </w:pPr>
            <w:r w:rsidRPr="00B42735">
              <w:rPr>
                <w:rFonts w:eastAsia="Times New Roman" w:cs="Arial"/>
                <w:b/>
                <w:bCs/>
                <w:color w:val="0070C0"/>
              </w:rPr>
              <w:t>p50</w:t>
            </w:r>
          </w:p>
        </w:tc>
        <w:tc>
          <w:tcPr>
            <w:tcW w:w="1075" w:type="dxa"/>
            <w:tcBorders>
              <w:top w:val="single" w:sz="4" w:space="0" w:color="auto"/>
              <w:left w:val="nil"/>
              <w:bottom w:val="single" w:sz="4" w:space="0" w:color="auto"/>
              <w:right w:val="single" w:sz="4" w:space="0" w:color="auto"/>
            </w:tcBorders>
            <w:shd w:val="clear" w:color="auto" w:fill="EAF1DD" w:themeFill="accent3" w:themeFillTint="33"/>
            <w:noWrap/>
            <w:hideMark/>
          </w:tcPr>
          <w:p w14:paraId="13D23AA5" w14:textId="77777777" w:rsidR="00B42735" w:rsidRPr="00B42735" w:rsidRDefault="00B42735">
            <w:pPr>
              <w:spacing w:after="0" w:line="240" w:lineRule="auto"/>
              <w:rPr>
                <w:rFonts w:eastAsia="Times New Roman" w:cs="Arial"/>
                <w:color w:val="0070C0"/>
              </w:rPr>
            </w:pPr>
            <w:r w:rsidRPr="00B42735">
              <w:rPr>
                <w:rFonts w:eastAsia="Times New Roman" w:cs="Arial"/>
                <w:b/>
                <w:bCs/>
                <w:color w:val="0070C0"/>
              </w:rPr>
              <w:t>p75</w:t>
            </w:r>
          </w:p>
        </w:tc>
        <w:tc>
          <w:tcPr>
            <w:tcW w:w="1075" w:type="dxa"/>
            <w:tcBorders>
              <w:top w:val="single" w:sz="4" w:space="0" w:color="auto"/>
              <w:left w:val="nil"/>
              <w:bottom w:val="single" w:sz="4" w:space="0" w:color="auto"/>
              <w:right w:val="single" w:sz="4" w:space="0" w:color="auto"/>
            </w:tcBorders>
            <w:shd w:val="clear" w:color="auto" w:fill="EAF1DD" w:themeFill="accent3" w:themeFillTint="33"/>
            <w:noWrap/>
            <w:hideMark/>
          </w:tcPr>
          <w:p w14:paraId="03209274" w14:textId="77777777" w:rsidR="00B42735" w:rsidRPr="00B42735" w:rsidRDefault="00B42735">
            <w:pPr>
              <w:spacing w:after="0" w:line="240" w:lineRule="auto"/>
              <w:rPr>
                <w:rFonts w:eastAsia="Times New Roman" w:cs="Arial"/>
                <w:color w:val="0070C0"/>
              </w:rPr>
            </w:pPr>
            <w:r w:rsidRPr="00B42735">
              <w:rPr>
                <w:rFonts w:eastAsia="Times New Roman" w:cs="Arial"/>
                <w:b/>
                <w:bCs/>
                <w:color w:val="0070C0"/>
              </w:rPr>
              <w:t>p90</w:t>
            </w:r>
          </w:p>
        </w:tc>
      </w:tr>
      <w:tr w:rsidR="00B42735" w:rsidRPr="00B42735" w14:paraId="671EAF30" w14:textId="77777777" w:rsidTr="00B42735">
        <w:trPr>
          <w:trHeight w:val="367"/>
        </w:trPr>
        <w:tc>
          <w:tcPr>
            <w:tcW w:w="1666" w:type="dxa"/>
            <w:tcBorders>
              <w:top w:val="nil"/>
              <w:left w:val="single" w:sz="4" w:space="0" w:color="auto"/>
              <w:bottom w:val="single" w:sz="4" w:space="0" w:color="auto"/>
              <w:right w:val="single" w:sz="4" w:space="0" w:color="auto"/>
            </w:tcBorders>
            <w:shd w:val="clear" w:color="auto" w:fill="FAFBFE"/>
            <w:hideMark/>
          </w:tcPr>
          <w:p w14:paraId="5A1CA71D" w14:textId="77777777" w:rsidR="00B42735" w:rsidRPr="00B42735" w:rsidRDefault="00B42735">
            <w:pPr>
              <w:spacing w:after="0" w:line="240" w:lineRule="auto"/>
              <w:rPr>
                <w:rFonts w:eastAsia="Times New Roman" w:cs="Arial"/>
                <w:color w:val="0070C0"/>
              </w:rPr>
            </w:pPr>
            <w:r w:rsidRPr="00B42735">
              <w:rPr>
                <w:rFonts w:eastAsia="Times New Roman" w:cs="Arial"/>
                <w:color w:val="0070C0"/>
              </w:rPr>
              <w:t>Missing</w:t>
            </w:r>
          </w:p>
        </w:tc>
        <w:tc>
          <w:tcPr>
            <w:tcW w:w="804" w:type="dxa"/>
            <w:tcBorders>
              <w:top w:val="nil"/>
              <w:left w:val="nil"/>
              <w:bottom w:val="single" w:sz="4" w:space="0" w:color="auto"/>
              <w:right w:val="single" w:sz="4" w:space="0" w:color="auto"/>
            </w:tcBorders>
            <w:shd w:val="clear" w:color="auto" w:fill="FAFBFE"/>
            <w:hideMark/>
          </w:tcPr>
          <w:p w14:paraId="1843FB33" w14:textId="77777777" w:rsidR="00B42735" w:rsidRPr="00B42735" w:rsidRDefault="00B42735">
            <w:pPr>
              <w:spacing w:after="0" w:line="240" w:lineRule="auto"/>
              <w:jc w:val="right"/>
              <w:rPr>
                <w:rFonts w:eastAsia="Times New Roman" w:cs="Arial"/>
                <w:color w:val="0070C0"/>
              </w:rPr>
            </w:pPr>
            <w:r w:rsidRPr="00B42735">
              <w:rPr>
                <w:rFonts w:eastAsia="Times New Roman" w:cs="Arial"/>
                <w:color w:val="0070C0"/>
              </w:rPr>
              <w:t>495</w:t>
            </w:r>
          </w:p>
        </w:tc>
        <w:tc>
          <w:tcPr>
            <w:tcW w:w="895" w:type="dxa"/>
            <w:gridSpan w:val="2"/>
            <w:tcBorders>
              <w:top w:val="nil"/>
              <w:left w:val="nil"/>
              <w:bottom w:val="single" w:sz="4" w:space="0" w:color="auto"/>
              <w:right w:val="single" w:sz="4" w:space="0" w:color="auto"/>
            </w:tcBorders>
            <w:shd w:val="clear" w:color="auto" w:fill="FAFBFE"/>
            <w:hideMark/>
          </w:tcPr>
          <w:p w14:paraId="03088A14" w14:textId="77777777" w:rsidR="00B42735" w:rsidRPr="00B42735" w:rsidRDefault="00B42735">
            <w:pPr>
              <w:spacing w:after="0" w:line="240" w:lineRule="auto"/>
              <w:jc w:val="right"/>
              <w:rPr>
                <w:rFonts w:eastAsia="Times New Roman" w:cs="Arial"/>
                <w:color w:val="0070C0"/>
              </w:rPr>
            </w:pPr>
            <w:r w:rsidRPr="00B42735">
              <w:rPr>
                <w:rFonts w:eastAsia="Times New Roman" w:cs="Arial"/>
                <w:color w:val="0070C0"/>
              </w:rPr>
              <w:t>2.17%</w:t>
            </w:r>
          </w:p>
        </w:tc>
        <w:tc>
          <w:tcPr>
            <w:tcW w:w="985" w:type="dxa"/>
            <w:tcBorders>
              <w:top w:val="nil"/>
              <w:left w:val="nil"/>
              <w:bottom w:val="single" w:sz="4" w:space="0" w:color="auto"/>
              <w:right w:val="single" w:sz="4" w:space="0" w:color="auto"/>
            </w:tcBorders>
            <w:shd w:val="clear" w:color="auto" w:fill="FAFBFE"/>
            <w:hideMark/>
          </w:tcPr>
          <w:p w14:paraId="79A5DDBB" w14:textId="77777777" w:rsidR="00B42735" w:rsidRPr="00B42735" w:rsidRDefault="00B42735">
            <w:pPr>
              <w:spacing w:after="0" w:line="240" w:lineRule="auto"/>
              <w:jc w:val="right"/>
              <w:rPr>
                <w:rFonts w:eastAsia="Times New Roman" w:cs="Arial"/>
                <w:color w:val="0070C0"/>
              </w:rPr>
            </w:pPr>
            <w:r w:rsidRPr="00B42735">
              <w:rPr>
                <w:rFonts w:eastAsia="Times New Roman" w:cs="Arial"/>
                <w:color w:val="0070C0"/>
              </w:rPr>
              <w:t>1.71%</w:t>
            </w:r>
          </w:p>
        </w:tc>
        <w:tc>
          <w:tcPr>
            <w:tcW w:w="1075" w:type="dxa"/>
            <w:tcBorders>
              <w:top w:val="nil"/>
              <w:left w:val="nil"/>
              <w:bottom w:val="single" w:sz="4" w:space="0" w:color="auto"/>
              <w:right w:val="single" w:sz="4" w:space="0" w:color="auto"/>
            </w:tcBorders>
            <w:shd w:val="clear" w:color="auto" w:fill="FAFBFE"/>
            <w:hideMark/>
          </w:tcPr>
          <w:p w14:paraId="6B383F2D" w14:textId="77777777" w:rsidR="00B42735" w:rsidRPr="00B42735" w:rsidRDefault="00B42735">
            <w:pPr>
              <w:spacing w:after="0" w:line="240" w:lineRule="auto"/>
              <w:jc w:val="right"/>
              <w:rPr>
                <w:rFonts w:eastAsia="Times New Roman" w:cs="Arial"/>
                <w:color w:val="0070C0"/>
              </w:rPr>
            </w:pPr>
            <w:r w:rsidRPr="00B42735">
              <w:rPr>
                <w:rFonts w:eastAsia="Times New Roman" w:cs="Arial"/>
                <w:color w:val="0070C0"/>
              </w:rPr>
              <w:t>0.58%</w:t>
            </w:r>
          </w:p>
        </w:tc>
        <w:tc>
          <w:tcPr>
            <w:tcW w:w="1075" w:type="dxa"/>
            <w:tcBorders>
              <w:top w:val="nil"/>
              <w:left w:val="nil"/>
              <w:bottom w:val="single" w:sz="4" w:space="0" w:color="auto"/>
              <w:right w:val="single" w:sz="4" w:space="0" w:color="auto"/>
            </w:tcBorders>
            <w:shd w:val="clear" w:color="auto" w:fill="FAFBFE"/>
            <w:hideMark/>
          </w:tcPr>
          <w:p w14:paraId="67DC9602" w14:textId="77777777" w:rsidR="00B42735" w:rsidRPr="00B42735" w:rsidRDefault="00B42735">
            <w:pPr>
              <w:spacing w:after="0" w:line="240" w:lineRule="auto"/>
              <w:jc w:val="right"/>
              <w:rPr>
                <w:rFonts w:eastAsia="Times New Roman" w:cs="Arial"/>
                <w:color w:val="0070C0"/>
              </w:rPr>
            </w:pPr>
            <w:r w:rsidRPr="00B42735">
              <w:rPr>
                <w:rFonts w:eastAsia="Times New Roman" w:cs="Arial"/>
                <w:color w:val="0070C0"/>
              </w:rPr>
              <w:t>1.21%</w:t>
            </w:r>
          </w:p>
        </w:tc>
        <w:tc>
          <w:tcPr>
            <w:tcW w:w="1075" w:type="dxa"/>
            <w:tcBorders>
              <w:top w:val="nil"/>
              <w:left w:val="nil"/>
              <w:bottom w:val="single" w:sz="4" w:space="0" w:color="auto"/>
              <w:right w:val="single" w:sz="4" w:space="0" w:color="auto"/>
            </w:tcBorders>
            <w:shd w:val="clear" w:color="auto" w:fill="FAFBFE"/>
            <w:hideMark/>
          </w:tcPr>
          <w:p w14:paraId="1473C3E3" w14:textId="77777777" w:rsidR="00B42735" w:rsidRPr="00B42735" w:rsidRDefault="00B42735">
            <w:pPr>
              <w:spacing w:after="0" w:line="240" w:lineRule="auto"/>
              <w:jc w:val="right"/>
              <w:rPr>
                <w:rFonts w:eastAsia="Times New Roman" w:cs="Arial"/>
                <w:color w:val="0070C0"/>
              </w:rPr>
            </w:pPr>
            <w:r w:rsidRPr="00B42735">
              <w:rPr>
                <w:rFonts w:eastAsia="Times New Roman" w:cs="Arial"/>
                <w:color w:val="0070C0"/>
              </w:rPr>
              <w:t>1.90%</w:t>
            </w:r>
          </w:p>
        </w:tc>
        <w:tc>
          <w:tcPr>
            <w:tcW w:w="1075" w:type="dxa"/>
            <w:tcBorders>
              <w:top w:val="nil"/>
              <w:left w:val="nil"/>
              <w:bottom w:val="single" w:sz="4" w:space="0" w:color="auto"/>
              <w:right w:val="single" w:sz="4" w:space="0" w:color="auto"/>
            </w:tcBorders>
            <w:shd w:val="clear" w:color="auto" w:fill="FAFBFE"/>
            <w:hideMark/>
          </w:tcPr>
          <w:p w14:paraId="382EAA4A" w14:textId="77777777" w:rsidR="00B42735" w:rsidRPr="00B42735" w:rsidRDefault="00B42735">
            <w:pPr>
              <w:spacing w:after="0" w:line="240" w:lineRule="auto"/>
              <w:jc w:val="right"/>
              <w:rPr>
                <w:rFonts w:eastAsia="Times New Roman" w:cs="Arial"/>
                <w:color w:val="0070C0"/>
              </w:rPr>
            </w:pPr>
            <w:r w:rsidRPr="00B42735">
              <w:rPr>
                <w:rFonts w:eastAsia="Times New Roman" w:cs="Arial"/>
                <w:color w:val="0070C0"/>
              </w:rPr>
              <w:t>2.69%</w:t>
            </w:r>
          </w:p>
        </w:tc>
        <w:tc>
          <w:tcPr>
            <w:tcW w:w="1075" w:type="dxa"/>
            <w:tcBorders>
              <w:top w:val="nil"/>
              <w:left w:val="nil"/>
              <w:bottom w:val="single" w:sz="4" w:space="0" w:color="auto"/>
              <w:right w:val="single" w:sz="4" w:space="0" w:color="auto"/>
            </w:tcBorders>
            <w:shd w:val="clear" w:color="auto" w:fill="FAFBFE"/>
            <w:hideMark/>
          </w:tcPr>
          <w:p w14:paraId="7147B604" w14:textId="77777777" w:rsidR="00B42735" w:rsidRPr="00B42735" w:rsidRDefault="00B42735">
            <w:pPr>
              <w:spacing w:after="0" w:line="240" w:lineRule="auto"/>
              <w:jc w:val="right"/>
              <w:rPr>
                <w:rFonts w:eastAsia="Times New Roman" w:cs="Arial"/>
                <w:color w:val="0070C0"/>
              </w:rPr>
            </w:pPr>
            <w:r w:rsidRPr="00B42735">
              <w:rPr>
                <w:rFonts w:eastAsia="Times New Roman" w:cs="Arial"/>
                <w:color w:val="0070C0"/>
              </w:rPr>
              <w:t>3.65%</w:t>
            </w:r>
          </w:p>
        </w:tc>
      </w:tr>
      <w:tr w:rsidR="00B42735" w:rsidRPr="00B42735" w14:paraId="1BD2C9E1" w14:textId="77777777" w:rsidTr="00B42735">
        <w:trPr>
          <w:gridAfter w:val="7"/>
          <w:wAfter w:w="6729" w:type="dxa"/>
          <w:trHeight w:val="288"/>
        </w:trPr>
        <w:tc>
          <w:tcPr>
            <w:tcW w:w="2996" w:type="dxa"/>
            <w:gridSpan w:val="3"/>
            <w:noWrap/>
            <w:vAlign w:val="bottom"/>
            <w:hideMark/>
          </w:tcPr>
          <w:p w14:paraId="1F33A878" w14:textId="77777777" w:rsidR="00B42735" w:rsidRPr="00B42735" w:rsidRDefault="00B42735">
            <w:pPr>
              <w:spacing w:after="0" w:line="240" w:lineRule="auto"/>
              <w:rPr>
                <w:rFonts w:eastAsia="Times New Roman" w:cs="Times New Roman"/>
                <w:color w:val="0070C0"/>
              </w:rPr>
            </w:pPr>
            <w:r w:rsidRPr="00B42735">
              <w:rPr>
                <w:rFonts w:eastAsia="Times New Roman" w:cs="Times New Roman"/>
                <w:color w:val="0070C0"/>
              </w:rPr>
              <w:t>N: number of plans</w:t>
            </w:r>
          </w:p>
        </w:tc>
      </w:tr>
      <w:tr w:rsidR="00B42735" w:rsidRPr="00B42735" w14:paraId="4EE66690" w14:textId="77777777" w:rsidTr="00B42735">
        <w:trPr>
          <w:gridAfter w:val="7"/>
          <w:wAfter w:w="6729" w:type="dxa"/>
          <w:trHeight w:val="288"/>
        </w:trPr>
        <w:tc>
          <w:tcPr>
            <w:tcW w:w="2996" w:type="dxa"/>
            <w:gridSpan w:val="3"/>
            <w:noWrap/>
            <w:vAlign w:val="bottom"/>
            <w:hideMark/>
          </w:tcPr>
          <w:p w14:paraId="00977EC1" w14:textId="77777777" w:rsidR="00B42735" w:rsidRPr="00B42735" w:rsidRDefault="00B42735">
            <w:pPr>
              <w:spacing w:after="0" w:line="240" w:lineRule="auto"/>
              <w:rPr>
                <w:rFonts w:eastAsia="Times New Roman" w:cs="Times New Roman"/>
                <w:color w:val="0070C0"/>
              </w:rPr>
            </w:pPr>
            <w:r w:rsidRPr="00B42735">
              <w:rPr>
                <w:rFonts w:eastAsia="Times New Roman" w:cs="Times New Roman"/>
                <w:color w:val="0070C0"/>
              </w:rPr>
              <w:t>std: standard deviation</w:t>
            </w:r>
          </w:p>
        </w:tc>
      </w:tr>
      <w:tr w:rsidR="00B42735" w:rsidRPr="00B42735" w14:paraId="39F7377A" w14:textId="77777777" w:rsidTr="00B42735">
        <w:trPr>
          <w:gridAfter w:val="7"/>
          <w:wAfter w:w="6729" w:type="dxa"/>
          <w:trHeight w:val="288"/>
        </w:trPr>
        <w:tc>
          <w:tcPr>
            <w:tcW w:w="2996" w:type="dxa"/>
            <w:gridSpan w:val="3"/>
            <w:noWrap/>
            <w:vAlign w:val="bottom"/>
            <w:hideMark/>
          </w:tcPr>
          <w:p w14:paraId="77F981D8" w14:textId="77777777" w:rsidR="00B42735" w:rsidRPr="00B42735" w:rsidRDefault="00B42735">
            <w:pPr>
              <w:spacing w:after="0" w:line="240" w:lineRule="auto"/>
              <w:rPr>
                <w:rFonts w:eastAsia="Times New Roman" w:cs="Times New Roman"/>
                <w:color w:val="0070C0"/>
              </w:rPr>
            </w:pPr>
            <w:r w:rsidRPr="00B42735">
              <w:rPr>
                <w:rFonts w:eastAsia="Times New Roman" w:cs="Times New Roman"/>
                <w:color w:val="0070C0"/>
              </w:rPr>
              <w:t>p: percentile</w:t>
            </w:r>
          </w:p>
        </w:tc>
      </w:tr>
    </w:tbl>
    <w:p w14:paraId="0CABD01E" w14:textId="77777777" w:rsidR="008F7E67" w:rsidRPr="00B42735" w:rsidRDefault="008F7E67" w:rsidP="008F7E67">
      <w:pPr>
        <w:autoSpaceDE w:val="0"/>
        <w:autoSpaceDN w:val="0"/>
        <w:adjustRightInd w:val="0"/>
        <w:spacing w:after="0" w:line="240" w:lineRule="auto"/>
        <w:rPr>
          <w:rFonts w:cstheme="minorHAnsi"/>
          <w:bCs/>
          <w:color w:val="0070C0"/>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3B6F6FDA" w14:textId="77777777" w:rsidR="00B42735" w:rsidRPr="00836F9E" w:rsidRDefault="00B42735" w:rsidP="00B42735">
      <w:pPr>
        <w:autoSpaceDE w:val="0"/>
        <w:autoSpaceDN w:val="0"/>
        <w:adjustRightInd w:val="0"/>
        <w:spacing w:after="0" w:line="240" w:lineRule="auto"/>
        <w:rPr>
          <w:rFonts w:cstheme="minorHAnsi"/>
          <w:b/>
          <w:bCs/>
          <w:color w:val="0070C0"/>
          <w:u w:val="single"/>
        </w:rPr>
      </w:pPr>
      <w:r w:rsidRPr="00836F9E">
        <w:rPr>
          <w:rFonts w:cstheme="minorHAnsi"/>
          <w:b/>
          <w:bCs/>
          <w:color w:val="0070C0"/>
          <w:u w:val="single"/>
        </w:rPr>
        <w:t>2014 submission:</w:t>
      </w:r>
    </w:p>
    <w:p w14:paraId="61FC78E6" w14:textId="77777777" w:rsidR="00B42735" w:rsidRPr="00B42735" w:rsidRDefault="00B42735" w:rsidP="00B42735">
      <w:pPr>
        <w:spacing w:line="240" w:lineRule="auto"/>
        <w:rPr>
          <w:rFonts w:eastAsia="Times New Roman" w:cs="Calibri"/>
          <w:bCs/>
          <w:color w:val="0070C0"/>
        </w:rPr>
      </w:pPr>
      <w:r w:rsidRPr="00247818">
        <w:rPr>
          <w:rFonts w:cs="Arial"/>
          <w:b/>
          <w:color w:val="0070C0"/>
        </w:rPr>
        <w:t>Survey Level Missing Data Analysis:</w:t>
      </w:r>
      <w:r w:rsidRPr="00B42735">
        <w:rPr>
          <w:rFonts w:cs="Arial"/>
          <w:b/>
          <w:color w:val="0070C0"/>
        </w:rPr>
        <w:t xml:space="preserve"> </w:t>
      </w:r>
      <w:r w:rsidRPr="00B42735">
        <w:rPr>
          <w:rFonts w:cs="Arial"/>
          <w:color w:val="0070C0"/>
        </w:rPr>
        <w:t>In general, late responders tended to be similar to nonresponders on every variable except institutionalization.</w:t>
      </w:r>
      <w:r w:rsidRPr="00B42735">
        <w:rPr>
          <w:rFonts w:cs="Arial"/>
          <w:b/>
          <w:color w:val="0070C0"/>
        </w:rPr>
        <w:t xml:space="preserve"> </w:t>
      </w:r>
      <w:r w:rsidRPr="00B42735">
        <w:rPr>
          <w:rFonts w:eastAsia="Times New Roman" w:cs="Calibri"/>
          <w:bCs/>
          <w:color w:val="0070C0"/>
        </w:rPr>
        <w:t>Responders and non-responders tended to be similar in terms of age, health (HCC score), and gender. While most differences between groups were small, there were moderate differences seen between responders and non-responders with regard to the percent of individuals who were non-white, had dual eligibility, or were institutionalized. Analysis of the effect size showed none of these differences to be large or strong. It is not surprising that individuals with dual eligibility, disability or in institutions are less likely to respond. This population likely has a higher rate of cognitive impairment. The dual eligible population is also more likely to be non-English speaking (the mailed survey is offered in English, Spanish, and Chinese). Overall, our measurement advisory panel did not feel these differences reflected significant non-response survey bias.</w:t>
      </w:r>
    </w:p>
    <w:p w14:paraId="2DB7032C" w14:textId="77777777" w:rsidR="00B42735" w:rsidRPr="00B42735" w:rsidRDefault="00B42735" w:rsidP="00B42735">
      <w:pPr>
        <w:tabs>
          <w:tab w:val="center" w:pos="5040"/>
        </w:tabs>
        <w:spacing w:before="120" w:after="60" w:line="240" w:lineRule="auto"/>
        <w:rPr>
          <w:rFonts w:eastAsia="Times New Roman" w:cs="Calibri"/>
          <w:bCs/>
          <w:color w:val="0070C0"/>
        </w:rPr>
      </w:pPr>
      <w:r w:rsidRPr="00247818">
        <w:rPr>
          <w:rFonts w:cs="Arial"/>
          <w:b/>
          <w:color w:val="0070C0"/>
        </w:rPr>
        <w:t>Item Level Missing Data Analysis:</w:t>
      </w:r>
      <w:r w:rsidRPr="00B42735">
        <w:rPr>
          <w:rFonts w:cs="Arial"/>
          <w:b/>
          <w:color w:val="0070C0"/>
        </w:rPr>
        <w:t xml:space="preserve"> </w:t>
      </w:r>
      <w:r w:rsidRPr="00B42735">
        <w:rPr>
          <w:rFonts w:eastAsia="Times New Roman" w:cs="Calibri"/>
          <w:bCs/>
          <w:color w:val="0070C0"/>
        </w:rPr>
        <w:t>The overall frequency of missing data for the OTO questions was very low across plans. Over 96% of plans had 5% or fewer missing responses for the OTO question. Only one plan was missing data for the OTO question for more than 15% of their survey population. The distribution showed that on average across plans, survey responses were missing data on the OTO question 2.2% of the time. Based on this analysis, it is unlikely that missing data on this question would bias performance results.</w:t>
      </w:r>
    </w:p>
    <w:p w14:paraId="48823285" w14:textId="77777777" w:rsidR="00B42735" w:rsidRPr="00B42735" w:rsidRDefault="00B42735">
      <w:pPr>
        <w:autoSpaceDE w:val="0"/>
        <w:autoSpaceDN w:val="0"/>
        <w:adjustRightInd w:val="0"/>
        <w:spacing w:after="0" w:line="240" w:lineRule="auto"/>
        <w:rPr>
          <w:rFonts w:cstheme="minorHAnsi"/>
          <w:bCs/>
          <w:color w:val="0070C0"/>
        </w:rPr>
      </w:pPr>
    </w:p>
    <w:sectPr w:rsidR="00B42735" w:rsidRPr="00B42735" w:rsidSect="008505D1">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FFC8A2" w14:textId="77777777" w:rsidR="00F13AD8" w:rsidRDefault="00F13AD8" w:rsidP="005C73CA">
      <w:pPr>
        <w:spacing w:after="0" w:line="240" w:lineRule="auto"/>
      </w:pPr>
      <w:r>
        <w:separator/>
      </w:r>
    </w:p>
  </w:endnote>
  <w:endnote w:type="continuationSeparator" w:id="0">
    <w:p w14:paraId="0F21C5FB" w14:textId="77777777" w:rsidR="00F13AD8" w:rsidRDefault="00F13AD8"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04D4B79B" w:rsidR="00F13AD8" w:rsidRDefault="00F13AD8">
    <w:pPr>
      <w:pStyle w:val="Footer"/>
    </w:pPr>
    <w:r>
      <w:t>Version 7.1 9/6/2017</w:t>
    </w:r>
    <w:r>
      <w:ptab w:relativeTo="margin" w:alignment="right" w:leader="none"/>
    </w:r>
    <w:r>
      <w:fldChar w:fldCharType="begin"/>
    </w:r>
    <w:r>
      <w:instrText xml:space="preserve"> PAGE   \* MERGEFORMAT </w:instrText>
    </w:r>
    <w:r>
      <w:fldChar w:fldCharType="separate"/>
    </w:r>
    <w:r w:rsidR="00D92464">
      <w:rPr>
        <w:noProof/>
      </w:rPr>
      <w:t>18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F775F5" w14:textId="77777777" w:rsidR="00F13AD8" w:rsidRDefault="00F13AD8" w:rsidP="005C73CA">
      <w:pPr>
        <w:spacing w:after="0" w:line="240" w:lineRule="auto"/>
      </w:pPr>
      <w:r>
        <w:separator/>
      </w:r>
    </w:p>
  </w:footnote>
  <w:footnote w:type="continuationSeparator" w:id="0">
    <w:p w14:paraId="57AACF1E" w14:textId="77777777" w:rsidR="00F13AD8" w:rsidRDefault="00F13AD8"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F13AD8" w:rsidRPr="00105D8B" w:rsidRDefault="00F13AD8"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475387"/>
    <w:multiLevelType w:val="hybridMultilevel"/>
    <w:tmpl w:val="86528D72"/>
    <w:lvl w:ilvl="0" w:tplc="110C61CE">
      <w:numFmt w:val="bullet"/>
      <w:lvlText w:val="-"/>
      <w:lvlJc w:val="left"/>
      <w:pPr>
        <w:ind w:left="720" w:hanging="360"/>
      </w:pPr>
      <w:rPr>
        <w:rFonts w:ascii="Trebuchet MS" w:eastAsiaTheme="minorEastAsia" w:hAnsi="Trebuchet MS"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AE64835"/>
    <w:multiLevelType w:val="hybridMultilevel"/>
    <w:tmpl w:val="B86471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2265F39"/>
    <w:multiLevelType w:val="hybridMultilevel"/>
    <w:tmpl w:val="A3009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2"/>
  </w:num>
  <w:num w:numId="3">
    <w:abstractNumId w:val="4"/>
  </w:num>
  <w:num w:numId="4">
    <w:abstractNumId w:val="7"/>
  </w:num>
  <w:num w:numId="5">
    <w:abstractNumId w:val="3"/>
  </w:num>
  <w:num w:numId="6">
    <w:abstractNumId w:val="1"/>
  </w:num>
  <w:num w:numId="7">
    <w:abstractNumId w:val="5"/>
  </w:num>
  <w:num w:numId="8">
    <w:abstractNumId w:val="24"/>
  </w:num>
  <w:num w:numId="9">
    <w:abstractNumId w:val="11"/>
  </w:num>
  <w:num w:numId="10">
    <w:abstractNumId w:val="29"/>
  </w:num>
  <w:num w:numId="11">
    <w:abstractNumId w:val="13"/>
  </w:num>
  <w:num w:numId="12">
    <w:abstractNumId w:val="27"/>
  </w:num>
  <w:num w:numId="13">
    <w:abstractNumId w:val="21"/>
  </w:num>
  <w:num w:numId="14">
    <w:abstractNumId w:val="21"/>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0"/>
  </w:num>
  <w:num w:numId="16">
    <w:abstractNumId w:val="9"/>
  </w:num>
  <w:num w:numId="17">
    <w:abstractNumId w:val="28"/>
  </w:num>
  <w:num w:numId="18">
    <w:abstractNumId w:val="26"/>
  </w:num>
  <w:num w:numId="19">
    <w:abstractNumId w:val="25"/>
  </w:num>
  <w:num w:numId="20">
    <w:abstractNumId w:val="17"/>
  </w:num>
  <w:num w:numId="21">
    <w:abstractNumId w:val="23"/>
  </w:num>
  <w:num w:numId="22">
    <w:abstractNumId w:val="16"/>
  </w:num>
  <w:num w:numId="23">
    <w:abstractNumId w:val="8"/>
  </w:num>
  <w:num w:numId="24">
    <w:abstractNumId w:val="15"/>
  </w:num>
  <w:num w:numId="25">
    <w:abstractNumId w:val="14"/>
  </w:num>
  <w:num w:numId="26">
    <w:abstractNumId w:val="30"/>
  </w:num>
  <w:num w:numId="27">
    <w:abstractNumId w:val="0"/>
  </w:num>
  <w:num w:numId="28">
    <w:abstractNumId w:val="10"/>
  </w:num>
  <w:num w:numId="29">
    <w:abstractNumId w:val="19"/>
  </w:num>
  <w:num w:numId="30">
    <w:abstractNumId w:val="18"/>
  </w:num>
  <w:num w:numId="31">
    <w:abstractNumId w:val="2"/>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049A3"/>
    <w:rsid w:val="00006C1C"/>
    <w:rsid w:val="0001094F"/>
    <w:rsid w:val="00021170"/>
    <w:rsid w:val="0002128B"/>
    <w:rsid w:val="00024DFD"/>
    <w:rsid w:val="00027AB8"/>
    <w:rsid w:val="000309DD"/>
    <w:rsid w:val="00031414"/>
    <w:rsid w:val="00033038"/>
    <w:rsid w:val="00033D63"/>
    <w:rsid w:val="000340C4"/>
    <w:rsid w:val="0003436F"/>
    <w:rsid w:val="000414E8"/>
    <w:rsid w:val="0004593A"/>
    <w:rsid w:val="00050A3E"/>
    <w:rsid w:val="00052A6F"/>
    <w:rsid w:val="00053F02"/>
    <w:rsid w:val="0005612B"/>
    <w:rsid w:val="000574AB"/>
    <w:rsid w:val="0006147A"/>
    <w:rsid w:val="0006234F"/>
    <w:rsid w:val="0006262B"/>
    <w:rsid w:val="000775F8"/>
    <w:rsid w:val="00080CF7"/>
    <w:rsid w:val="000851B2"/>
    <w:rsid w:val="00092566"/>
    <w:rsid w:val="000968F8"/>
    <w:rsid w:val="00097012"/>
    <w:rsid w:val="000B032A"/>
    <w:rsid w:val="000B2DF7"/>
    <w:rsid w:val="000B3880"/>
    <w:rsid w:val="000B7D57"/>
    <w:rsid w:val="000C036D"/>
    <w:rsid w:val="000C0FF8"/>
    <w:rsid w:val="000D2722"/>
    <w:rsid w:val="000D7948"/>
    <w:rsid w:val="000D7C84"/>
    <w:rsid w:val="000E4E13"/>
    <w:rsid w:val="000E78F6"/>
    <w:rsid w:val="000F034A"/>
    <w:rsid w:val="000F06B5"/>
    <w:rsid w:val="000F1B7A"/>
    <w:rsid w:val="000F39E9"/>
    <w:rsid w:val="00104B45"/>
    <w:rsid w:val="00105D8B"/>
    <w:rsid w:val="0011342F"/>
    <w:rsid w:val="001202E9"/>
    <w:rsid w:val="0012454F"/>
    <w:rsid w:val="00125273"/>
    <w:rsid w:val="0012575E"/>
    <w:rsid w:val="00127C06"/>
    <w:rsid w:val="001343F8"/>
    <w:rsid w:val="00145149"/>
    <w:rsid w:val="00145D4F"/>
    <w:rsid w:val="0014773C"/>
    <w:rsid w:val="0015616F"/>
    <w:rsid w:val="00164071"/>
    <w:rsid w:val="0017696D"/>
    <w:rsid w:val="001848FC"/>
    <w:rsid w:val="00193F21"/>
    <w:rsid w:val="00195D09"/>
    <w:rsid w:val="001969C5"/>
    <w:rsid w:val="001A6CDD"/>
    <w:rsid w:val="001C12EE"/>
    <w:rsid w:val="001C7B02"/>
    <w:rsid w:val="001E4DD4"/>
    <w:rsid w:val="001E69DC"/>
    <w:rsid w:val="001F169D"/>
    <w:rsid w:val="001F1DA1"/>
    <w:rsid w:val="001F6F93"/>
    <w:rsid w:val="001F7A20"/>
    <w:rsid w:val="0021054A"/>
    <w:rsid w:val="0021195A"/>
    <w:rsid w:val="00213383"/>
    <w:rsid w:val="00220250"/>
    <w:rsid w:val="00222444"/>
    <w:rsid w:val="0022691B"/>
    <w:rsid w:val="00232163"/>
    <w:rsid w:val="002376F8"/>
    <w:rsid w:val="002408E4"/>
    <w:rsid w:val="00241591"/>
    <w:rsid w:val="00247818"/>
    <w:rsid w:val="00250B4F"/>
    <w:rsid w:val="0025762F"/>
    <w:rsid w:val="00275563"/>
    <w:rsid w:val="00276B5A"/>
    <w:rsid w:val="0028114D"/>
    <w:rsid w:val="00287649"/>
    <w:rsid w:val="00287E84"/>
    <w:rsid w:val="0029286C"/>
    <w:rsid w:val="0029300E"/>
    <w:rsid w:val="002B0C3A"/>
    <w:rsid w:val="002B2116"/>
    <w:rsid w:val="002B2D9B"/>
    <w:rsid w:val="002B5016"/>
    <w:rsid w:val="002B742C"/>
    <w:rsid w:val="002B7F4D"/>
    <w:rsid w:val="002C285C"/>
    <w:rsid w:val="002C3EB1"/>
    <w:rsid w:val="002C7BE4"/>
    <w:rsid w:val="002D417D"/>
    <w:rsid w:val="002D5E5D"/>
    <w:rsid w:val="002E78A0"/>
    <w:rsid w:val="002F2687"/>
    <w:rsid w:val="002F48E1"/>
    <w:rsid w:val="002F4F3B"/>
    <w:rsid w:val="00304C86"/>
    <w:rsid w:val="003059EB"/>
    <w:rsid w:val="003116AC"/>
    <w:rsid w:val="00315567"/>
    <w:rsid w:val="00330144"/>
    <w:rsid w:val="00334329"/>
    <w:rsid w:val="00345CBA"/>
    <w:rsid w:val="00346245"/>
    <w:rsid w:val="00356267"/>
    <w:rsid w:val="00356BAD"/>
    <w:rsid w:val="003605B4"/>
    <w:rsid w:val="003627AC"/>
    <w:rsid w:val="00366914"/>
    <w:rsid w:val="00372FE3"/>
    <w:rsid w:val="003755CB"/>
    <w:rsid w:val="00383F85"/>
    <w:rsid w:val="00387BA1"/>
    <w:rsid w:val="003A306C"/>
    <w:rsid w:val="003A7DE7"/>
    <w:rsid w:val="003B1006"/>
    <w:rsid w:val="003B6A39"/>
    <w:rsid w:val="003C5F11"/>
    <w:rsid w:val="003D294B"/>
    <w:rsid w:val="003D6401"/>
    <w:rsid w:val="003E1863"/>
    <w:rsid w:val="0041606D"/>
    <w:rsid w:val="00416962"/>
    <w:rsid w:val="004206A8"/>
    <w:rsid w:val="004348CC"/>
    <w:rsid w:val="0044738C"/>
    <w:rsid w:val="00450C58"/>
    <w:rsid w:val="004548D9"/>
    <w:rsid w:val="004658FF"/>
    <w:rsid w:val="00474ED7"/>
    <w:rsid w:val="004756E1"/>
    <w:rsid w:val="0048008A"/>
    <w:rsid w:val="00483E94"/>
    <w:rsid w:val="00484120"/>
    <w:rsid w:val="004853A0"/>
    <w:rsid w:val="00496B5F"/>
    <w:rsid w:val="00496DFB"/>
    <w:rsid w:val="004A2E10"/>
    <w:rsid w:val="004A471A"/>
    <w:rsid w:val="004B17FF"/>
    <w:rsid w:val="004B1BA0"/>
    <w:rsid w:val="004B6CEE"/>
    <w:rsid w:val="004C2443"/>
    <w:rsid w:val="004C498F"/>
    <w:rsid w:val="004C5D29"/>
    <w:rsid w:val="004C681A"/>
    <w:rsid w:val="004D4D8A"/>
    <w:rsid w:val="004F2758"/>
    <w:rsid w:val="004F68EE"/>
    <w:rsid w:val="005038D5"/>
    <w:rsid w:val="00511BA4"/>
    <w:rsid w:val="005149E7"/>
    <w:rsid w:val="005232D6"/>
    <w:rsid w:val="005333CC"/>
    <w:rsid w:val="005363F1"/>
    <w:rsid w:val="00537C1B"/>
    <w:rsid w:val="0055007C"/>
    <w:rsid w:val="00554922"/>
    <w:rsid w:val="00555282"/>
    <w:rsid w:val="005560E7"/>
    <w:rsid w:val="005612CC"/>
    <w:rsid w:val="00563029"/>
    <w:rsid w:val="00565946"/>
    <w:rsid w:val="00567D12"/>
    <w:rsid w:val="00576062"/>
    <w:rsid w:val="00592DA2"/>
    <w:rsid w:val="0059559F"/>
    <w:rsid w:val="005A49FF"/>
    <w:rsid w:val="005A7634"/>
    <w:rsid w:val="005B09FA"/>
    <w:rsid w:val="005B6F04"/>
    <w:rsid w:val="005C0447"/>
    <w:rsid w:val="005C739F"/>
    <w:rsid w:val="005C73CA"/>
    <w:rsid w:val="005D2579"/>
    <w:rsid w:val="005D3F00"/>
    <w:rsid w:val="005D4768"/>
    <w:rsid w:val="005E2CAB"/>
    <w:rsid w:val="005E429E"/>
    <w:rsid w:val="00601ED4"/>
    <w:rsid w:val="006030BC"/>
    <w:rsid w:val="00612866"/>
    <w:rsid w:val="00616EB5"/>
    <w:rsid w:val="006269D4"/>
    <w:rsid w:val="006327D8"/>
    <w:rsid w:val="0064070A"/>
    <w:rsid w:val="00643A01"/>
    <w:rsid w:val="00646078"/>
    <w:rsid w:val="006518D4"/>
    <w:rsid w:val="00651D44"/>
    <w:rsid w:val="006574D2"/>
    <w:rsid w:val="00663563"/>
    <w:rsid w:val="0066742D"/>
    <w:rsid w:val="006676D4"/>
    <w:rsid w:val="00675535"/>
    <w:rsid w:val="00681359"/>
    <w:rsid w:val="0069157C"/>
    <w:rsid w:val="00696262"/>
    <w:rsid w:val="006B4F29"/>
    <w:rsid w:val="006C3A4F"/>
    <w:rsid w:val="006C4845"/>
    <w:rsid w:val="006D6BC1"/>
    <w:rsid w:val="006E2BFC"/>
    <w:rsid w:val="006E5C57"/>
    <w:rsid w:val="006F22A5"/>
    <w:rsid w:val="00702C73"/>
    <w:rsid w:val="00713394"/>
    <w:rsid w:val="00724677"/>
    <w:rsid w:val="0072518F"/>
    <w:rsid w:val="00725AC2"/>
    <w:rsid w:val="007279FA"/>
    <w:rsid w:val="00732880"/>
    <w:rsid w:val="007416B9"/>
    <w:rsid w:val="007422FD"/>
    <w:rsid w:val="00743E46"/>
    <w:rsid w:val="00747C45"/>
    <w:rsid w:val="00756FDB"/>
    <w:rsid w:val="007629B6"/>
    <w:rsid w:val="007665BF"/>
    <w:rsid w:val="00771B2A"/>
    <w:rsid w:val="007757CE"/>
    <w:rsid w:val="00775800"/>
    <w:rsid w:val="0078139B"/>
    <w:rsid w:val="0079180E"/>
    <w:rsid w:val="007950CC"/>
    <w:rsid w:val="0079538B"/>
    <w:rsid w:val="007961B8"/>
    <w:rsid w:val="00797624"/>
    <w:rsid w:val="007A4828"/>
    <w:rsid w:val="007B093D"/>
    <w:rsid w:val="007B2069"/>
    <w:rsid w:val="007C04A1"/>
    <w:rsid w:val="007C21FA"/>
    <w:rsid w:val="007D13B1"/>
    <w:rsid w:val="007D4351"/>
    <w:rsid w:val="007D7019"/>
    <w:rsid w:val="007E18DB"/>
    <w:rsid w:val="007E2FCF"/>
    <w:rsid w:val="007E6F1C"/>
    <w:rsid w:val="007F5567"/>
    <w:rsid w:val="00802D40"/>
    <w:rsid w:val="00804C69"/>
    <w:rsid w:val="0080711D"/>
    <w:rsid w:val="008155CD"/>
    <w:rsid w:val="00833325"/>
    <w:rsid w:val="00836F9E"/>
    <w:rsid w:val="00840A41"/>
    <w:rsid w:val="00842F3C"/>
    <w:rsid w:val="008505D1"/>
    <w:rsid w:val="00855158"/>
    <w:rsid w:val="00857EE8"/>
    <w:rsid w:val="0086464B"/>
    <w:rsid w:val="008647FC"/>
    <w:rsid w:val="00864CA8"/>
    <w:rsid w:val="00865E2D"/>
    <w:rsid w:val="00870E6C"/>
    <w:rsid w:val="00875846"/>
    <w:rsid w:val="00880CDD"/>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6E61"/>
    <w:rsid w:val="00947F78"/>
    <w:rsid w:val="00953234"/>
    <w:rsid w:val="00961EAF"/>
    <w:rsid w:val="0096278F"/>
    <w:rsid w:val="009726E1"/>
    <w:rsid w:val="00972A04"/>
    <w:rsid w:val="00977591"/>
    <w:rsid w:val="00980E75"/>
    <w:rsid w:val="00994BE0"/>
    <w:rsid w:val="009A25B1"/>
    <w:rsid w:val="009A4608"/>
    <w:rsid w:val="009A6A57"/>
    <w:rsid w:val="009A70BF"/>
    <w:rsid w:val="009B1A15"/>
    <w:rsid w:val="009C0852"/>
    <w:rsid w:val="009C13CA"/>
    <w:rsid w:val="009C32C6"/>
    <w:rsid w:val="009C665F"/>
    <w:rsid w:val="009C7513"/>
    <w:rsid w:val="009D2E8B"/>
    <w:rsid w:val="009D3882"/>
    <w:rsid w:val="009D491F"/>
    <w:rsid w:val="009D7E38"/>
    <w:rsid w:val="009E095B"/>
    <w:rsid w:val="009E1846"/>
    <w:rsid w:val="009E78FF"/>
    <w:rsid w:val="00A01494"/>
    <w:rsid w:val="00A22FA9"/>
    <w:rsid w:val="00A25024"/>
    <w:rsid w:val="00A35F8F"/>
    <w:rsid w:val="00A41377"/>
    <w:rsid w:val="00A4263D"/>
    <w:rsid w:val="00A509B8"/>
    <w:rsid w:val="00A52AB9"/>
    <w:rsid w:val="00A6210B"/>
    <w:rsid w:val="00A64EBF"/>
    <w:rsid w:val="00A71200"/>
    <w:rsid w:val="00A7323A"/>
    <w:rsid w:val="00A831B4"/>
    <w:rsid w:val="00A96AEA"/>
    <w:rsid w:val="00A97798"/>
    <w:rsid w:val="00AA5213"/>
    <w:rsid w:val="00AA65A6"/>
    <w:rsid w:val="00AC1D8E"/>
    <w:rsid w:val="00AC36D8"/>
    <w:rsid w:val="00AC48FA"/>
    <w:rsid w:val="00AD0240"/>
    <w:rsid w:val="00AD4137"/>
    <w:rsid w:val="00AF2D68"/>
    <w:rsid w:val="00B037BA"/>
    <w:rsid w:val="00B20139"/>
    <w:rsid w:val="00B218DA"/>
    <w:rsid w:val="00B342FA"/>
    <w:rsid w:val="00B42735"/>
    <w:rsid w:val="00B53E8B"/>
    <w:rsid w:val="00B744CA"/>
    <w:rsid w:val="00B774D2"/>
    <w:rsid w:val="00B8015A"/>
    <w:rsid w:val="00B82A57"/>
    <w:rsid w:val="00B90AC0"/>
    <w:rsid w:val="00BA053B"/>
    <w:rsid w:val="00BB35AE"/>
    <w:rsid w:val="00BC03A1"/>
    <w:rsid w:val="00BC0D25"/>
    <w:rsid w:val="00BD2505"/>
    <w:rsid w:val="00BE592D"/>
    <w:rsid w:val="00BF52B0"/>
    <w:rsid w:val="00BF5697"/>
    <w:rsid w:val="00C14CCC"/>
    <w:rsid w:val="00C1695E"/>
    <w:rsid w:val="00C21AA2"/>
    <w:rsid w:val="00C22C1C"/>
    <w:rsid w:val="00C33F2E"/>
    <w:rsid w:val="00C34936"/>
    <w:rsid w:val="00C34C14"/>
    <w:rsid w:val="00C355B9"/>
    <w:rsid w:val="00C37EF1"/>
    <w:rsid w:val="00C401C4"/>
    <w:rsid w:val="00C41680"/>
    <w:rsid w:val="00C60A25"/>
    <w:rsid w:val="00C717C4"/>
    <w:rsid w:val="00C73DA6"/>
    <w:rsid w:val="00C765C5"/>
    <w:rsid w:val="00C775CE"/>
    <w:rsid w:val="00C82479"/>
    <w:rsid w:val="00C867F0"/>
    <w:rsid w:val="00CA06D8"/>
    <w:rsid w:val="00CA345A"/>
    <w:rsid w:val="00CB49FF"/>
    <w:rsid w:val="00CC02CF"/>
    <w:rsid w:val="00CC086A"/>
    <w:rsid w:val="00CD0E24"/>
    <w:rsid w:val="00CD0F66"/>
    <w:rsid w:val="00CD364B"/>
    <w:rsid w:val="00CE23B8"/>
    <w:rsid w:val="00CE25D4"/>
    <w:rsid w:val="00CE284E"/>
    <w:rsid w:val="00CE288A"/>
    <w:rsid w:val="00CE50D7"/>
    <w:rsid w:val="00CF4CBE"/>
    <w:rsid w:val="00D00344"/>
    <w:rsid w:val="00D1754D"/>
    <w:rsid w:val="00D2223F"/>
    <w:rsid w:val="00D274A4"/>
    <w:rsid w:val="00D277AF"/>
    <w:rsid w:val="00D31163"/>
    <w:rsid w:val="00D320B1"/>
    <w:rsid w:val="00D33AFD"/>
    <w:rsid w:val="00D36489"/>
    <w:rsid w:val="00D369E9"/>
    <w:rsid w:val="00D42195"/>
    <w:rsid w:val="00D50704"/>
    <w:rsid w:val="00D5760A"/>
    <w:rsid w:val="00D61410"/>
    <w:rsid w:val="00D8181D"/>
    <w:rsid w:val="00D92464"/>
    <w:rsid w:val="00D968D8"/>
    <w:rsid w:val="00DA563D"/>
    <w:rsid w:val="00DA7277"/>
    <w:rsid w:val="00DB3627"/>
    <w:rsid w:val="00DB4724"/>
    <w:rsid w:val="00DB6944"/>
    <w:rsid w:val="00DC4746"/>
    <w:rsid w:val="00DC7ADB"/>
    <w:rsid w:val="00DE7149"/>
    <w:rsid w:val="00E0314C"/>
    <w:rsid w:val="00E1508F"/>
    <w:rsid w:val="00E213EB"/>
    <w:rsid w:val="00E261DF"/>
    <w:rsid w:val="00E27240"/>
    <w:rsid w:val="00E27EDD"/>
    <w:rsid w:val="00E30584"/>
    <w:rsid w:val="00E310B9"/>
    <w:rsid w:val="00E37E1B"/>
    <w:rsid w:val="00E562C0"/>
    <w:rsid w:val="00E57FAF"/>
    <w:rsid w:val="00E672D6"/>
    <w:rsid w:val="00E76024"/>
    <w:rsid w:val="00E856A2"/>
    <w:rsid w:val="00E967AD"/>
    <w:rsid w:val="00E96884"/>
    <w:rsid w:val="00EA5435"/>
    <w:rsid w:val="00EA5F47"/>
    <w:rsid w:val="00EB455E"/>
    <w:rsid w:val="00EC79DE"/>
    <w:rsid w:val="00ED4ACE"/>
    <w:rsid w:val="00EE4D35"/>
    <w:rsid w:val="00EF2DA7"/>
    <w:rsid w:val="00F13AD8"/>
    <w:rsid w:val="00F1412B"/>
    <w:rsid w:val="00F15BFA"/>
    <w:rsid w:val="00F34FAB"/>
    <w:rsid w:val="00F435AA"/>
    <w:rsid w:val="00F5738A"/>
    <w:rsid w:val="00F612D4"/>
    <w:rsid w:val="00F7389E"/>
    <w:rsid w:val="00F77F1D"/>
    <w:rsid w:val="00F87CCB"/>
    <w:rsid w:val="00F92A73"/>
    <w:rsid w:val="00FA48C7"/>
    <w:rsid w:val="00FB51FB"/>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character" w:customStyle="1" w:styleId="Style5Char">
    <w:name w:val="Style5 Char"/>
    <w:basedOn w:val="DefaultParagraphFont"/>
    <w:link w:val="Style5"/>
    <w:locked/>
    <w:rsid w:val="00496DFB"/>
    <w:rPr>
      <w:rFonts w:ascii="Trebuchet MS" w:hAnsi="Trebuchet MS" w:cstheme="minorHAnsi"/>
      <w:i/>
      <w:color w:val="FF0000"/>
      <w:sz w:val="20"/>
      <w:szCs w:val="20"/>
    </w:rPr>
  </w:style>
  <w:style w:type="paragraph" w:customStyle="1" w:styleId="Style5">
    <w:name w:val="Style5"/>
    <w:basedOn w:val="Normal"/>
    <w:link w:val="Style5Char"/>
    <w:qFormat/>
    <w:rsid w:val="00496DFB"/>
    <w:pPr>
      <w:autoSpaceDE w:val="0"/>
      <w:autoSpaceDN w:val="0"/>
      <w:adjustRightInd w:val="0"/>
      <w:spacing w:after="0" w:line="240" w:lineRule="auto"/>
    </w:pPr>
    <w:rPr>
      <w:rFonts w:ascii="Trebuchet MS" w:hAnsi="Trebuchet MS" w:cstheme="minorHAnsi"/>
      <w:i/>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588084">
      <w:bodyDiv w:val="1"/>
      <w:marLeft w:val="0"/>
      <w:marRight w:val="0"/>
      <w:marTop w:val="0"/>
      <w:marBottom w:val="0"/>
      <w:divBdr>
        <w:top w:val="none" w:sz="0" w:space="0" w:color="auto"/>
        <w:left w:val="none" w:sz="0" w:space="0" w:color="auto"/>
        <w:bottom w:val="none" w:sz="0" w:space="0" w:color="auto"/>
        <w:right w:val="none" w:sz="0" w:space="0" w:color="auto"/>
      </w:divBdr>
    </w:div>
    <w:div w:id="229386268">
      <w:bodyDiv w:val="1"/>
      <w:marLeft w:val="0"/>
      <w:marRight w:val="0"/>
      <w:marTop w:val="0"/>
      <w:marBottom w:val="0"/>
      <w:divBdr>
        <w:top w:val="none" w:sz="0" w:space="0" w:color="auto"/>
        <w:left w:val="none" w:sz="0" w:space="0" w:color="auto"/>
        <w:bottom w:val="none" w:sz="0" w:space="0" w:color="auto"/>
        <w:right w:val="none" w:sz="0" w:space="0" w:color="auto"/>
      </w:divBdr>
    </w:div>
    <w:div w:id="280501315">
      <w:bodyDiv w:val="1"/>
      <w:marLeft w:val="0"/>
      <w:marRight w:val="0"/>
      <w:marTop w:val="0"/>
      <w:marBottom w:val="0"/>
      <w:divBdr>
        <w:top w:val="none" w:sz="0" w:space="0" w:color="auto"/>
        <w:left w:val="none" w:sz="0" w:space="0" w:color="auto"/>
        <w:bottom w:val="none" w:sz="0" w:space="0" w:color="auto"/>
        <w:right w:val="none" w:sz="0" w:space="0" w:color="auto"/>
      </w:divBdr>
    </w:div>
    <w:div w:id="349644384">
      <w:bodyDiv w:val="1"/>
      <w:marLeft w:val="0"/>
      <w:marRight w:val="0"/>
      <w:marTop w:val="0"/>
      <w:marBottom w:val="0"/>
      <w:divBdr>
        <w:top w:val="none" w:sz="0" w:space="0" w:color="auto"/>
        <w:left w:val="none" w:sz="0" w:space="0" w:color="auto"/>
        <w:bottom w:val="none" w:sz="0" w:space="0" w:color="auto"/>
        <w:right w:val="none" w:sz="0" w:space="0" w:color="auto"/>
      </w:divBdr>
    </w:div>
    <w:div w:id="475151205">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05233179">
      <w:bodyDiv w:val="1"/>
      <w:marLeft w:val="0"/>
      <w:marRight w:val="0"/>
      <w:marTop w:val="0"/>
      <w:marBottom w:val="0"/>
      <w:divBdr>
        <w:top w:val="none" w:sz="0" w:space="0" w:color="auto"/>
        <w:left w:val="none" w:sz="0" w:space="0" w:color="auto"/>
        <w:bottom w:val="none" w:sz="0" w:space="0" w:color="auto"/>
        <w:right w:val="none" w:sz="0" w:space="0" w:color="auto"/>
      </w:divBdr>
    </w:div>
    <w:div w:id="819080192">
      <w:bodyDiv w:val="1"/>
      <w:marLeft w:val="0"/>
      <w:marRight w:val="0"/>
      <w:marTop w:val="0"/>
      <w:marBottom w:val="0"/>
      <w:divBdr>
        <w:top w:val="none" w:sz="0" w:space="0" w:color="auto"/>
        <w:left w:val="none" w:sz="0" w:space="0" w:color="auto"/>
        <w:bottom w:val="none" w:sz="0" w:space="0" w:color="auto"/>
        <w:right w:val="none" w:sz="0" w:space="0" w:color="auto"/>
      </w:divBdr>
    </w:div>
    <w:div w:id="1093547293">
      <w:bodyDiv w:val="1"/>
      <w:marLeft w:val="0"/>
      <w:marRight w:val="0"/>
      <w:marTop w:val="0"/>
      <w:marBottom w:val="0"/>
      <w:divBdr>
        <w:top w:val="none" w:sz="0" w:space="0" w:color="auto"/>
        <w:left w:val="none" w:sz="0" w:space="0" w:color="auto"/>
        <w:bottom w:val="none" w:sz="0" w:space="0" w:color="auto"/>
        <w:right w:val="none" w:sz="0" w:space="0" w:color="auto"/>
      </w:divBdr>
    </w:div>
    <w:div w:id="1191334072">
      <w:bodyDiv w:val="1"/>
      <w:marLeft w:val="0"/>
      <w:marRight w:val="0"/>
      <w:marTop w:val="0"/>
      <w:marBottom w:val="0"/>
      <w:divBdr>
        <w:top w:val="none" w:sz="0" w:space="0" w:color="auto"/>
        <w:left w:val="none" w:sz="0" w:space="0" w:color="auto"/>
        <w:bottom w:val="none" w:sz="0" w:space="0" w:color="auto"/>
        <w:right w:val="none" w:sz="0" w:space="0" w:color="auto"/>
      </w:divBdr>
    </w:div>
    <w:div w:id="1208757883">
      <w:bodyDiv w:val="1"/>
      <w:marLeft w:val="0"/>
      <w:marRight w:val="0"/>
      <w:marTop w:val="0"/>
      <w:marBottom w:val="0"/>
      <w:divBdr>
        <w:top w:val="none" w:sz="0" w:space="0" w:color="auto"/>
        <w:left w:val="none" w:sz="0" w:space="0" w:color="auto"/>
        <w:bottom w:val="none" w:sz="0" w:space="0" w:color="auto"/>
        <w:right w:val="none" w:sz="0" w:space="0" w:color="auto"/>
      </w:divBdr>
    </w:div>
    <w:div w:id="1234316964">
      <w:bodyDiv w:val="1"/>
      <w:marLeft w:val="0"/>
      <w:marRight w:val="0"/>
      <w:marTop w:val="0"/>
      <w:marBottom w:val="0"/>
      <w:divBdr>
        <w:top w:val="none" w:sz="0" w:space="0" w:color="auto"/>
        <w:left w:val="none" w:sz="0" w:space="0" w:color="auto"/>
        <w:bottom w:val="none" w:sz="0" w:space="0" w:color="auto"/>
        <w:right w:val="none" w:sz="0" w:space="0" w:color="auto"/>
      </w:divBdr>
    </w:div>
    <w:div w:id="1245802638">
      <w:bodyDiv w:val="1"/>
      <w:marLeft w:val="0"/>
      <w:marRight w:val="0"/>
      <w:marTop w:val="0"/>
      <w:marBottom w:val="0"/>
      <w:divBdr>
        <w:top w:val="none" w:sz="0" w:space="0" w:color="auto"/>
        <w:left w:val="none" w:sz="0" w:space="0" w:color="auto"/>
        <w:bottom w:val="none" w:sz="0" w:space="0" w:color="auto"/>
        <w:right w:val="none" w:sz="0" w:space="0" w:color="auto"/>
      </w:divBdr>
    </w:div>
    <w:div w:id="1370254692">
      <w:bodyDiv w:val="1"/>
      <w:marLeft w:val="0"/>
      <w:marRight w:val="0"/>
      <w:marTop w:val="0"/>
      <w:marBottom w:val="0"/>
      <w:divBdr>
        <w:top w:val="none" w:sz="0" w:space="0" w:color="auto"/>
        <w:left w:val="none" w:sz="0" w:space="0" w:color="auto"/>
        <w:bottom w:val="none" w:sz="0" w:space="0" w:color="auto"/>
        <w:right w:val="none" w:sz="0" w:space="0" w:color="auto"/>
      </w:divBdr>
    </w:div>
    <w:div w:id="1384451745">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81269464">
      <w:bodyDiv w:val="1"/>
      <w:marLeft w:val="0"/>
      <w:marRight w:val="0"/>
      <w:marTop w:val="0"/>
      <w:marBottom w:val="0"/>
      <w:divBdr>
        <w:top w:val="none" w:sz="0" w:space="0" w:color="auto"/>
        <w:left w:val="none" w:sz="0" w:space="0" w:color="auto"/>
        <w:bottom w:val="none" w:sz="0" w:space="0" w:color="auto"/>
        <w:right w:val="none" w:sz="0" w:space="0" w:color="auto"/>
      </w:divBdr>
    </w:div>
    <w:div w:id="1555770811">
      <w:bodyDiv w:val="1"/>
      <w:marLeft w:val="0"/>
      <w:marRight w:val="0"/>
      <w:marTop w:val="0"/>
      <w:marBottom w:val="0"/>
      <w:divBdr>
        <w:top w:val="none" w:sz="0" w:space="0" w:color="auto"/>
        <w:left w:val="none" w:sz="0" w:space="0" w:color="auto"/>
        <w:bottom w:val="none" w:sz="0" w:space="0" w:color="auto"/>
        <w:right w:val="none" w:sz="0" w:space="0" w:color="auto"/>
      </w:divBdr>
    </w:div>
    <w:div w:id="1594970399">
      <w:bodyDiv w:val="1"/>
      <w:marLeft w:val="0"/>
      <w:marRight w:val="0"/>
      <w:marTop w:val="0"/>
      <w:marBottom w:val="0"/>
      <w:divBdr>
        <w:top w:val="none" w:sz="0" w:space="0" w:color="auto"/>
        <w:left w:val="none" w:sz="0" w:space="0" w:color="auto"/>
        <w:bottom w:val="none" w:sz="0" w:space="0" w:color="auto"/>
        <w:right w:val="none" w:sz="0" w:space="0" w:color="auto"/>
      </w:divBdr>
    </w:div>
    <w:div w:id="1789469276">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847750002">
      <w:bodyDiv w:val="1"/>
      <w:marLeft w:val="0"/>
      <w:marRight w:val="0"/>
      <w:marTop w:val="0"/>
      <w:marBottom w:val="0"/>
      <w:divBdr>
        <w:top w:val="none" w:sz="0" w:space="0" w:color="auto"/>
        <w:left w:val="none" w:sz="0" w:space="0" w:color="auto"/>
        <w:bottom w:val="none" w:sz="0" w:space="0" w:color="auto"/>
        <w:right w:val="none" w:sz="0" w:space="0" w:color="auto"/>
      </w:divBdr>
    </w:div>
    <w:div w:id="1864391487">
      <w:bodyDiv w:val="1"/>
      <w:marLeft w:val="0"/>
      <w:marRight w:val="0"/>
      <w:marTop w:val="0"/>
      <w:marBottom w:val="0"/>
      <w:divBdr>
        <w:top w:val="none" w:sz="0" w:space="0" w:color="auto"/>
        <w:left w:val="none" w:sz="0" w:space="0" w:color="auto"/>
        <w:bottom w:val="none" w:sz="0" w:space="0" w:color="auto"/>
        <w:right w:val="none" w:sz="0" w:space="0" w:color="auto"/>
      </w:divBdr>
    </w:div>
    <w:div w:id="2131824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64D8ACEB8CDD42158980357EDD2CAA1F"/>
        <w:category>
          <w:name w:val="General"/>
          <w:gallery w:val="placeholder"/>
        </w:category>
        <w:types>
          <w:type w:val="bbPlcHdr"/>
        </w:types>
        <w:behaviors>
          <w:behavior w:val="content"/>
        </w:behaviors>
        <w:guid w:val="{B5B92A38-932E-47A6-A3F2-CF61345F0238}"/>
      </w:docPartPr>
      <w:docPartBody>
        <w:p w:rsidR="00CD6205" w:rsidRDefault="00BC4E67" w:rsidP="00BC4E67">
          <w:pPr>
            <w:pStyle w:val="64D8ACEB8CDD42158980357EDD2CAA1F"/>
          </w:pPr>
          <w:bookmarkStart w:id="1" w:name="_GoBack"/>
          <w:r>
            <w:rPr>
              <w:rStyle w:val="PlaceholderText"/>
              <w:rFonts w:cstheme="minorHAnsi"/>
              <w:color w:val="A6A6A6" w:themeColor="background1" w:themeShade="A6"/>
            </w:rPr>
            <w:t>Click here to enter measure title</w:t>
          </w:r>
          <w:bookmarkEnd w:id="1"/>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Yu Mincho">
    <w:charset w:val="80"/>
    <w:family w:val="roman"/>
    <w:pitch w:val="variable"/>
    <w:sig w:usb0="800002E7" w:usb1="2AC7FCFF"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240B3"/>
    <w:rsid w:val="00125118"/>
    <w:rsid w:val="00127222"/>
    <w:rsid w:val="001736D7"/>
    <w:rsid w:val="00190AF4"/>
    <w:rsid w:val="00223FA3"/>
    <w:rsid w:val="002A0928"/>
    <w:rsid w:val="002A288F"/>
    <w:rsid w:val="002C65A7"/>
    <w:rsid w:val="002F052A"/>
    <w:rsid w:val="00350176"/>
    <w:rsid w:val="003840F0"/>
    <w:rsid w:val="00437537"/>
    <w:rsid w:val="004D785E"/>
    <w:rsid w:val="00513FC9"/>
    <w:rsid w:val="0053654E"/>
    <w:rsid w:val="00610196"/>
    <w:rsid w:val="00632A7E"/>
    <w:rsid w:val="00632AB6"/>
    <w:rsid w:val="00730B33"/>
    <w:rsid w:val="00772B2A"/>
    <w:rsid w:val="007C672A"/>
    <w:rsid w:val="007D4368"/>
    <w:rsid w:val="00822666"/>
    <w:rsid w:val="00823ECC"/>
    <w:rsid w:val="00826796"/>
    <w:rsid w:val="00866C97"/>
    <w:rsid w:val="00884F5F"/>
    <w:rsid w:val="009017AE"/>
    <w:rsid w:val="009C542D"/>
    <w:rsid w:val="00A01A18"/>
    <w:rsid w:val="00A95183"/>
    <w:rsid w:val="00AB4AF7"/>
    <w:rsid w:val="00AD7C4F"/>
    <w:rsid w:val="00B445F5"/>
    <w:rsid w:val="00BC4E67"/>
    <w:rsid w:val="00BD40CB"/>
    <w:rsid w:val="00C362A2"/>
    <w:rsid w:val="00C90121"/>
    <w:rsid w:val="00C96E73"/>
    <w:rsid w:val="00CA1FE8"/>
    <w:rsid w:val="00CA344F"/>
    <w:rsid w:val="00CA660C"/>
    <w:rsid w:val="00CD6205"/>
    <w:rsid w:val="00D1676E"/>
    <w:rsid w:val="00DC0246"/>
    <w:rsid w:val="00E6518A"/>
    <w:rsid w:val="00F540AB"/>
    <w:rsid w:val="00F915BA"/>
    <w:rsid w:val="00FB706A"/>
    <w:rsid w:val="00FC38F4"/>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4E67"/>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64D8ACEB8CDD42158980357EDD2CAA1F">
    <w:name w:val="64D8ACEB8CDD42158980357EDD2CAA1F"/>
    <w:rsid w:val="00BC4E67"/>
    <w:pPr>
      <w:spacing w:after="160" w:line="259" w:lineRule="auto"/>
    </w:pPr>
    <w:rPr>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0C901-3C40-4C03-AF30-8401D54B3554}">
  <ds:schemaRefs>
    <ds:schemaRef ds:uri="http://schemas.microsoft.com/office/2006/documentManagement/types"/>
    <ds:schemaRef ds:uri="64615f93-1352-4a7e-b7a8-3b07e39b2009"/>
    <ds:schemaRef ds:uri="http://purl.org/dc/terms/"/>
    <ds:schemaRef ds:uri="http://schemas.microsoft.com/office/2006/metadata/properties"/>
    <ds:schemaRef ds:uri="76bce2c7-2e52-4525-a6e0-24f8a73e605d"/>
    <ds:schemaRef ds:uri="http://www.w3.org/XML/1998/namespace"/>
    <ds:schemaRef ds:uri="http://purl.org/dc/dcmitype/"/>
    <ds:schemaRef ds:uri="http://purl.org/dc/elements/1.1/"/>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3.xml><?xml version="1.0" encoding="utf-8"?>
<ds:datastoreItem xmlns:ds="http://schemas.openxmlformats.org/officeDocument/2006/customXml" ds:itemID="{8FB20709-F6C1-4ECF-A412-95A9021254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2FD5C9-829C-400D-BCCF-97F0F1772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18</Pages>
  <Words>8264</Words>
  <Characters>47111</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55265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Emily Morden</cp:lastModifiedBy>
  <cp:revision>33</cp:revision>
  <dcterms:created xsi:type="dcterms:W3CDTF">2017-11-30T21:25:00Z</dcterms:created>
  <dcterms:modified xsi:type="dcterms:W3CDTF">2018-03-01T22:52:00Z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