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1A4BEC26" w14:textId="77777777" w:rsidR="00C61698" w:rsidRDefault="00C61698" w:rsidP="002E2177">
      <w:pPr>
        <w:ind w:left="0" w:firstLine="0"/>
        <w:rPr>
          <w:rFonts w:ascii="Trebuchet MS" w:hAnsi="Trebuchet MS"/>
          <w:b/>
          <w:noProof/>
          <w:color w:val="FF0000"/>
          <w:sz w:val="20"/>
          <w:szCs w:val="20"/>
        </w:rPr>
      </w:pPr>
    </w:p>
    <w:p w14:paraId="55B8DA2E" w14:textId="141D78F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C41B8D">
            <w:rPr>
              <w:rStyle w:val="Style1"/>
            </w:rPr>
            <w:t>0037</w:t>
          </w:r>
        </w:sdtContent>
      </w:sdt>
    </w:p>
    <w:p w14:paraId="55B8DA2F" w14:textId="32E3D63E"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303514377"/>
              <w:placeholder>
                <w:docPart w:val="0F48BE592A6D414CB30F6E157CCA8BAB"/>
              </w:placeholder>
            </w:sdtPr>
            <w:sdtEndPr>
              <w:rPr>
                <w:rStyle w:val="DefaultParagraphFont"/>
                <w:noProof/>
                <w:color w:val="auto"/>
              </w:rPr>
            </w:sdtEndPr>
            <w:sdtContent>
              <w:r w:rsidR="00C41B8D">
                <w:rPr>
                  <w:rStyle w:val="Style1"/>
                </w:rPr>
                <w:t>Osteoporosis Testing in Older Women</w:t>
              </w:r>
            </w:sdtContent>
          </w:sdt>
        </w:sdtContent>
      </w:sdt>
    </w:p>
    <w:p w14:paraId="55B8DA30" w14:textId="22D3BC11"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C41B8D">
            <w:rPr>
              <w:rStyle w:val="Style1"/>
            </w:rPr>
            <w:t>N/A</w:t>
          </w:r>
        </w:sdtContent>
      </w:sdt>
    </w:p>
    <w:p w14:paraId="55B8DA31" w14:textId="2B3B5F91"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color w:val="auto"/>
            <w:u w:val="none"/>
          </w:rPr>
        </w:sdtEndPr>
        <w:sdtContent>
          <w:r w:rsidR="00026914">
            <w:rPr>
              <w:rStyle w:val="Style2"/>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1F49CC"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1F49CC"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1F49CC"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5DFCAAB" w:rsidR="00D73685" w:rsidRDefault="001F49CC"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41B8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321244333"/>
            </w:sdtPr>
            <w:sdtEndPr>
              <w:rPr>
                <w:rStyle w:val="DefaultParagraphFont"/>
                <w:rFonts w:cstheme="minorBidi"/>
                <w:bCs/>
                <w:color w:val="auto"/>
                <w:u w:val="none"/>
              </w:rPr>
            </w:sdtEndPr>
            <w:sdtContent>
              <w:r w:rsidR="00C41B8D" w:rsidRPr="00B60B81">
                <w:rPr>
                  <w:rStyle w:val="Style2"/>
                  <w:rFonts w:cstheme="minorHAnsi"/>
                  <w:color w:val="FF0000"/>
                  <w:u w:val="none"/>
                </w:rPr>
                <w:t>Screening for Osteoporosis</w:t>
              </w:r>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1F49C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1F49C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C5DF193" w14:textId="77777777" w:rsidR="001613E9" w:rsidRDefault="001613E9" w:rsidP="001613E9">
      <w:pPr>
        <w:ind w:left="0" w:firstLine="0"/>
        <w:rPr>
          <w:iCs/>
          <w:color w:val="0070C0"/>
          <w:u w:val="single"/>
        </w:rPr>
      </w:pPr>
    </w:p>
    <w:p w14:paraId="333411C1" w14:textId="12297AF0" w:rsidR="001613E9" w:rsidRPr="001613E9" w:rsidRDefault="001613E9" w:rsidP="001613E9">
      <w:pPr>
        <w:ind w:left="0" w:firstLine="0"/>
        <w:rPr>
          <w:iCs/>
          <w:color w:val="0070C0"/>
          <w:u w:val="single"/>
        </w:rPr>
      </w:pPr>
      <w:r w:rsidRPr="001613E9">
        <w:rPr>
          <w:iCs/>
          <w:color w:val="0070C0"/>
          <w:u w:val="single"/>
        </w:rPr>
        <w:t>2014 Submission</w:t>
      </w:r>
    </w:p>
    <w:p w14:paraId="736B958C" w14:textId="3F441DB2" w:rsidR="001613E9" w:rsidRPr="004844C8" w:rsidRDefault="001613E9" w:rsidP="001613E9">
      <w:pPr>
        <w:ind w:left="0" w:firstLine="0"/>
        <w:rPr>
          <w:iCs/>
          <w:color w:val="0070C0"/>
        </w:rPr>
      </w:pPr>
      <w:r w:rsidRPr="004844C8">
        <w:rPr>
          <w:iCs/>
          <w:color w:val="0070C0"/>
        </w:rPr>
        <w:t>Female patients at risk for osteoporosis (age 65</w:t>
      </w:r>
      <w:r>
        <w:rPr>
          <w:iCs/>
          <w:color w:val="0070C0"/>
        </w:rPr>
        <w:t xml:space="preserve"> and older</w:t>
      </w:r>
      <w:r w:rsidRPr="004844C8">
        <w:rPr>
          <w:iCs/>
          <w:color w:val="0070C0"/>
        </w:rPr>
        <w:t>)&gt;&gt;&gt; bone mineral density test to check for low bone mass or osteoporosis &gt;&gt;&gt; low bone mass identified &gt;&gt;&gt; patient evaluated for treatment options &gt;&gt;&gt; treatment &gt;&gt;&gt; reduced risk of developing osteoporosis or sustaining a fragility fracture &gt;&gt;&gt; maintained quality of life and reduced risk of morbidity and mortality.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F" w14:textId="767E6B86" w:rsidR="00676BD4" w:rsidRPr="008D6E68" w:rsidRDefault="008D6E68" w:rsidP="00A9011D">
      <w:pPr>
        <w:ind w:left="0" w:firstLine="0"/>
        <w:rPr>
          <w:color w:val="FF0000"/>
          <w:u w:val="single"/>
        </w:rPr>
      </w:pPr>
      <w:r w:rsidRPr="008D6E68">
        <w:rPr>
          <w:color w:val="FF0000"/>
          <w:u w:val="single"/>
        </w:rPr>
        <w:t>2018 Submission</w:t>
      </w:r>
    </w:p>
    <w:p w14:paraId="6AEFD84E" w14:textId="7A7C3D3C" w:rsidR="008D6E68" w:rsidRPr="008D6E68" w:rsidRDefault="008D6E68" w:rsidP="00A9011D">
      <w:pPr>
        <w:ind w:left="0" w:firstLine="0"/>
        <w:rPr>
          <w:color w:val="FF0000"/>
        </w:rPr>
      </w:pPr>
      <w:r w:rsidRPr="008D6E68">
        <w:rPr>
          <w:color w:val="FF0000"/>
        </w:rPr>
        <w:t>During the measure’s reevaluation we sought feedback on the value and importance of the measure from our measurement advisory panels and through public comment. Patient and consumer representatives on our panels indicated that osteoporosis screening is a valued service for older women.</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sidRPr="004844C8">
        <w:rPr>
          <w:b/>
          <w:color w:val="0000FF"/>
        </w:rPr>
        <w:t xml:space="preserve">**RESPOND TO ONLY ONE SECTION </w:t>
      </w:r>
      <w:r w:rsidR="004E7215" w:rsidRPr="004844C8">
        <w:rPr>
          <w:b/>
          <w:color w:val="0000FF"/>
        </w:rPr>
        <w:t>BELOW -</w:t>
      </w:r>
      <w:r w:rsidRPr="004844C8">
        <w:rPr>
          <w:b/>
          <w:color w:val="0000FF"/>
        </w:rPr>
        <w:t xml:space="preserve">EITHER 1a.2, </w:t>
      </w:r>
      <w:r w:rsidRPr="001613E9">
        <w:rPr>
          <w:b/>
          <w:color w:val="0000FF"/>
          <w:highlight w:val="yellow"/>
        </w:rPr>
        <w:t>1a.3</w:t>
      </w:r>
      <w:r w:rsidRPr="004844C8">
        <w:rPr>
          <w:b/>
          <w:color w:val="0000FF"/>
        </w:rPr>
        <w:t xml:space="preserve"> or 1a.4) </w:t>
      </w:r>
      <w:r w:rsidR="00AB4ECE" w:rsidRPr="004844C8">
        <w:rPr>
          <w:b/>
          <w:color w:val="0000FF"/>
        </w:rPr>
        <w:t>**</w:t>
      </w:r>
    </w:p>
    <w:p w14:paraId="55B8DA62" w14:textId="77777777" w:rsidR="00676BD4" w:rsidRDefault="00676BD4" w:rsidP="002E2177">
      <w:pPr>
        <w:ind w:left="432" w:hanging="432"/>
        <w:rPr>
          <w:b/>
          <w:color w:val="0000FF"/>
        </w:rPr>
      </w:pPr>
    </w:p>
    <w:p w14:paraId="55B8DA63" w14:textId="26AB307C" w:rsidR="00496AF8" w:rsidRPr="001613E9" w:rsidRDefault="00B058A6" w:rsidP="00C41794">
      <w:pPr>
        <w:ind w:left="432" w:hanging="432"/>
        <w:rPr>
          <w:b/>
          <w:color w:val="D9D9D9" w:themeColor="background1" w:themeShade="D9"/>
        </w:rPr>
      </w:pPr>
      <w:r w:rsidRPr="001613E9">
        <w:rPr>
          <w:b/>
          <w:color w:val="D9D9D9" w:themeColor="background1" w:themeShade="D9"/>
        </w:rPr>
        <w:t>1</w:t>
      </w:r>
      <w:r w:rsidR="00773485" w:rsidRPr="001613E9">
        <w:rPr>
          <w:b/>
          <w:color w:val="D9D9D9" w:themeColor="background1" w:themeShade="D9"/>
        </w:rPr>
        <w:t>a</w:t>
      </w:r>
      <w:r w:rsidRPr="001613E9">
        <w:rPr>
          <w:b/>
          <w:color w:val="D9D9D9" w:themeColor="background1" w:themeShade="D9"/>
        </w:rPr>
        <w:t>.2</w:t>
      </w:r>
      <w:r w:rsidR="00E41417" w:rsidRPr="001613E9">
        <w:rPr>
          <w:iCs/>
          <w:color w:val="D9D9D9" w:themeColor="background1" w:themeShade="D9"/>
        </w:rPr>
        <w:t xml:space="preserve"> </w:t>
      </w:r>
      <w:r w:rsidR="00C41794" w:rsidRPr="001613E9">
        <w:rPr>
          <w:b/>
          <w:color w:val="D9D9D9" w:themeColor="background1" w:themeShade="D9"/>
        </w:rPr>
        <w:t>FOR OUTCOME MEASURES including PATIENT REPORTED OUTCOMES</w:t>
      </w:r>
      <w:r w:rsidR="003D6721" w:rsidRPr="001613E9">
        <w:rPr>
          <w:b/>
          <w:color w:val="D9D9D9" w:themeColor="background1" w:themeShade="D9"/>
        </w:rPr>
        <w:t xml:space="preserve"> </w:t>
      </w:r>
      <w:r w:rsidR="00C41794" w:rsidRPr="001613E9">
        <w:rPr>
          <w:b/>
          <w:color w:val="D9D9D9" w:themeColor="background1" w:themeShade="D9"/>
        </w:rPr>
        <w:t>-</w:t>
      </w:r>
      <w:r w:rsidR="00C41794" w:rsidRPr="001613E9">
        <w:rPr>
          <w:b/>
          <w:iCs/>
          <w:color w:val="D9D9D9" w:themeColor="background1" w:themeShade="D9"/>
        </w:rPr>
        <w:t xml:space="preserve"> </w:t>
      </w:r>
      <w:r w:rsidR="003D6721" w:rsidRPr="001613E9">
        <w:rPr>
          <w:b/>
          <w:iCs/>
          <w:color w:val="D9D9D9" w:themeColor="background1" w:themeShade="D9"/>
        </w:rPr>
        <w:t xml:space="preserve">Provide empirical data demonstrating </w:t>
      </w:r>
      <w:r w:rsidR="008B51D9" w:rsidRPr="001613E9">
        <w:rPr>
          <w:b/>
          <w:iCs/>
          <w:color w:val="D9D9D9" w:themeColor="background1" w:themeShade="D9"/>
        </w:rPr>
        <w:t xml:space="preserve">the </w:t>
      </w:r>
      <w:r w:rsidR="005D25E9" w:rsidRPr="001613E9">
        <w:rPr>
          <w:b/>
          <w:iCs/>
          <w:color w:val="D9D9D9" w:themeColor="background1" w:themeShade="D9"/>
        </w:rPr>
        <w:t xml:space="preserve">relationship </w:t>
      </w:r>
      <w:r w:rsidR="00AC1E53" w:rsidRPr="001613E9">
        <w:rPr>
          <w:b/>
          <w:iCs/>
          <w:color w:val="D9D9D9" w:themeColor="background1" w:themeShade="D9"/>
        </w:rPr>
        <w:t>between</w:t>
      </w:r>
      <w:r w:rsidR="005D25E9" w:rsidRPr="001613E9">
        <w:rPr>
          <w:b/>
          <w:iCs/>
          <w:color w:val="D9D9D9" w:themeColor="background1" w:themeShade="D9"/>
        </w:rPr>
        <w:t xml:space="preserve"> the </w:t>
      </w:r>
      <w:r w:rsidR="008B51D9" w:rsidRPr="001613E9">
        <w:rPr>
          <w:b/>
          <w:iCs/>
          <w:color w:val="D9D9D9" w:themeColor="background1" w:themeShade="D9"/>
        </w:rPr>
        <w:t>outcome</w:t>
      </w:r>
      <w:r w:rsidR="005857F8" w:rsidRPr="001613E9">
        <w:rPr>
          <w:b/>
          <w:iCs/>
          <w:color w:val="D9D9D9" w:themeColor="background1" w:themeShade="D9"/>
        </w:rPr>
        <w:t xml:space="preserve"> </w:t>
      </w:r>
      <w:r w:rsidR="00AA5587" w:rsidRPr="001613E9">
        <w:rPr>
          <w:b/>
          <w:iCs/>
          <w:color w:val="D9D9D9" w:themeColor="background1" w:themeShade="D9"/>
        </w:rPr>
        <w:t>(</w:t>
      </w:r>
      <w:r w:rsidR="005857F8" w:rsidRPr="001613E9">
        <w:rPr>
          <w:b/>
          <w:iCs/>
          <w:color w:val="D9D9D9" w:themeColor="background1" w:themeShade="D9"/>
        </w:rPr>
        <w:t>or PRO</w:t>
      </w:r>
      <w:r w:rsidR="00AA5587" w:rsidRPr="001613E9">
        <w:rPr>
          <w:b/>
          <w:iCs/>
          <w:color w:val="D9D9D9" w:themeColor="background1" w:themeShade="D9"/>
        </w:rPr>
        <w:t>)</w:t>
      </w:r>
      <w:r w:rsidR="008B51D9" w:rsidRPr="001613E9">
        <w:rPr>
          <w:b/>
          <w:iCs/>
          <w:color w:val="D9D9D9" w:themeColor="background1" w:themeShade="D9"/>
        </w:rPr>
        <w:t xml:space="preserve"> </w:t>
      </w:r>
      <w:r w:rsidR="005D25E9" w:rsidRPr="001613E9">
        <w:rPr>
          <w:b/>
          <w:iCs/>
          <w:color w:val="D9D9D9" w:themeColor="background1" w:themeShade="D9"/>
        </w:rPr>
        <w:t>to</w:t>
      </w:r>
      <w:r w:rsidR="00236F87" w:rsidRPr="001613E9">
        <w:rPr>
          <w:b/>
          <w:iCs/>
          <w:color w:val="D9D9D9" w:themeColor="background1" w:themeShade="D9"/>
        </w:rPr>
        <w:t xml:space="preserve"> </w:t>
      </w:r>
      <w:r w:rsidR="00496AF8" w:rsidRPr="001613E9">
        <w:rPr>
          <w:b/>
          <w:iCs/>
          <w:color w:val="D9D9D9" w:themeColor="background1" w:themeShade="D9"/>
        </w:rPr>
        <w:t>at least one</w:t>
      </w:r>
      <w:r w:rsidR="009B5BEA" w:rsidRPr="001613E9">
        <w:rPr>
          <w:b/>
          <w:iCs/>
          <w:color w:val="D9D9D9" w:themeColor="background1" w:themeShade="D9"/>
        </w:rPr>
        <w:t xml:space="preserve"> </w:t>
      </w:r>
      <w:r w:rsidR="003D6721" w:rsidRPr="001613E9">
        <w:rPr>
          <w:b/>
          <w:iCs/>
          <w:color w:val="D9D9D9" w:themeColor="background1" w:themeShade="D9"/>
        </w:rPr>
        <w:t xml:space="preserve">healthcare structure, process, </w:t>
      </w:r>
      <w:r w:rsidR="00496AF8" w:rsidRPr="001613E9">
        <w:rPr>
          <w:b/>
          <w:iCs/>
          <w:color w:val="D9D9D9" w:themeColor="background1" w:themeShade="D9"/>
        </w:rPr>
        <w:t>intervention, or service</w:t>
      </w:r>
      <w:r w:rsidR="00676BD4" w:rsidRPr="001613E9">
        <w:rPr>
          <w:b/>
          <w:iCs/>
          <w:color w:val="D9D9D9" w:themeColor="background1" w:themeShade="D9"/>
        </w:rPr>
        <w:t>.</w:t>
      </w:r>
      <w:r w:rsidR="00AC1E53" w:rsidRPr="001613E9">
        <w:rPr>
          <w:b/>
          <w:iCs/>
          <w:color w:val="D9D9D9" w:themeColor="background1" w:themeShade="D9"/>
        </w:rPr>
        <w:t xml:space="preserve"> </w:t>
      </w:r>
    </w:p>
    <w:p w14:paraId="55B8DA64" w14:textId="77777777" w:rsidR="00D14F0B" w:rsidRPr="003B1CC5" w:rsidRDefault="00D14F0B" w:rsidP="002E2177">
      <w:pPr>
        <w:ind w:left="0" w:firstLine="0"/>
        <w:rPr>
          <w:iCs/>
        </w:rPr>
      </w:pPr>
    </w:p>
    <w:p w14:paraId="55B8DA66" w14:textId="466CE65B" w:rsidR="00C41794" w:rsidRDefault="002B06BD" w:rsidP="00C41794">
      <w:pPr>
        <w:ind w:left="0" w:firstLine="0"/>
        <w:rPr>
          <w:b/>
          <w:iCs/>
        </w:rPr>
      </w:pPr>
      <w:bookmarkStart w:id="6" w:name="Section1a3"/>
      <w:bookmarkEnd w:id="6"/>
      <w:r w:rsidRPr="001613E9">
        <w:rPr>
          <w:b/>
          <w:iCs/>
          <w:color w:val="0000FF"/>
          <w:highlight w:val="yellow"/>
        </w:rPr>
        <w:t>1a.3.</w:t>
      </w:r>
      <w:r w:rsidRPr="001613E9">
        <w:rPr>
          <w:i/>
          <w:iCs/>
          <w:color w:val="0000FF"/>
          <w:highlight w:val="yellow"/>
        </w:rPr>
        <w:t xml:space="preserve"> </w:t>
      </w:r>
      <w:r w:rsidR="00C41794" w:rsidRPr="001613E9">
        <w:rPr>
          <w:b/>
          <w:iCs/>
          <w:color w:val="0000FF"/>
          <w:highlight w:val="yellow"/>
        </w:rPr>
        <w:t>SYSTEMATIC REVIEW</w:t>
      </w:r>
      <w:r w:rsidR="00AB4ECE" w:rsidRPr="001613E9">
        <w:rPr>
          <w:b/>
          <w:iCs/>
          <w:color w:val="0000FF"/>
          <w:highlight w:val="yellow"/>
        </w:rPr>
        <w:t>(SR)</w:t>
      </w:r>
      <w:r w:rsidR="00C41794" w:rsidRPr="001613E9">
        <w:rPr>
          <w:b/>
          <w:iCs/>
          <w:color w:val="0000FF"/>
          <w:highlight w:val="yellow"/>
        </w:rPr>
        <w:t xml:space="preserve"> OF THE EVIDENCE</w:t>
      </w:r>
      <w:r w:rsidR="00C41794">
        <w:rPr>
          <w:b/>
          <w:iCs/>
          <w:color w:val="0000FF"/>
        </w:rPr>
        <w:t xml:space="preserv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3FEEBF56" w:rsidR="00496AF8" w:rsidRDefault="00496AF8" w:rsidP="002E2177">
      <w:pPr>
        <w:ind w:left="0" w:firstLine="0"/>
        <w:rPr>
          <w:i/>
          <w:iCs/>
        </w:rPr>
      </w:pPr>
    </w:p>
    <w:p w14:paraId="55B8DA68" w14:textId="57ABD734" w:rsid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F1110F">
        <w:rPr>
          <w:rFonts w:ascii="Times New Roman" w:eastAsia="Arial Unicode MS" w:hAnsi="Times New Roman" w:cs="Mangal" w:hint="eastAsia"/>
          <w:color w:val="0000FF"/>
          <w:kern w:val="1"/>
          <w:sz w:val="24"/>
          <w:szCs w:val="24"/>
          <w:highlight w:val="yellow"/>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0897DE11" w:rsidR="00A9011D" w:rsidRDefault="00A9011D" w:rsidP="002E2177">
      <w:pPr>
        <w:ind w:left="0" w:firstLine="0"/>
        <w:rPr>
          <w:iCs/>
        </w:rPr>
      </w:pPr>
    </w:p>
    <w:tbl>
      <w:tblPr>
        <w:tblStyle w:val="TableGrid"/>
        <w:tblW w:w="0" w:type="auto"/>
        <w:tblLook w:val="04A0" w:firstRow="1" w:lastRow="0" w:firstColumn="1" w:lastColumn="0" w:noHBand="0" w:noVBand="1"/>
      </w:tblPr>
      <w:tblGrid>
        <w:gridCol w:w="1602"/>
        <w:gridCol w:w="7748"/>
      </w:tblGrid>
      <w:tr w:rsidR="00AB4ECE" w14:paraId="55B8DA76" w14:textId="77777777" w:rsidTr="000223B9">
        <w:tc>
          <w:tcPr>
            <w:tcW w:w="2338" w:type="dxa"/>
          </w:tcPr>
          <w:p w14:paraId="55B8DA6F" w14:textId="576DB8D1" w:rsidR="00AB4ECE" w:rsidRPr="00AB4ECE" w:rsidRDefault="00E35733" w:rsidP="002E2177">
            <w:pPr>
              <w:ind w:left="0" w:firstLine="0"/>
              <w:rPr>
                <w:b/>
              </w:rPr>
            </w:pPr>
            <w:r w:rsidRPr="00EB7A81">
              <w:rPr>
                <w:b/>
              </w:rPr>
              <w:t>USPSTF Recommendation</w:t>
            </w:r>
            <w:r w:rsidR="00AB4ECE" w:rsidRPr="00EB7A81">
              <w:rPr>
                <w:b/>
              </w:rPr>
              <w:t>:</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012" w:type="dxa"/>
          </w:tcPr>
          <w:p w14:paraId="6088C54C" w14:textId="7E4450F4" w:rsidR="000956AC" w:rsidRPr="000223B9" w:rsidRDefault="00A8069C" w:rsidP="00E35733">
            <w:pPr>
              <w:pStyle w:val="example"/>
              <w:ind w:left="0" w:firstLine="0"/>
              <w:rPr>
                <w:rFonts w:asciiTheme="minorHAnsi" w:hAnsiTheme="minorHAnsi"/>
                <w:i w:val="0"/>
                <w:u w:val="single"/>
              </w:rPr>
            </w:pPr>
            <w:r w:rsidRPr="000223B9">
              <w:rPr>
                <w:rFonts w:asciiTheme="minorHAnsi" w:hAnsiTheme="minorHAnsi"/>
                <w:i w:val="0"/>
                <w:u w:val="single"/>
              </w:rPr>
              <w:t>2018</w:t>
            </w:r>
            <w:r w:rsidR="000956AC" w:rsidRPr="000223B9">
              <w:rPr>
                <w:rFonts w:asciiTheme="minorHAnsi" w:hAnsiTheme="minorHAnsi"/>
                <w:i w:val="0"/>
                <w:u w:val="single"/>
              </w:rPr>
              <w:t xml:space="preserve"> Submission</w:t>
            </w:r>
          </w:p>
          <w:p w14:paraId="141BDFDE" w14:textId="4E7A7CE2" w:rsidR="00CA38D8" w:rsidRDefault="00CA38D8" w:rsidP="00CA38D8">
            <w:pPr>
              <w:ind w:left="0" w:firstLine="0"/>
              <w:rPr>
                <w:color w:val="FF0000"/>
              </w:rPr>
            </w:pPr>
            <w:r>
              <w:rPr>
                <w:color w:val="FF0000"/>
              </w:rPr>
              <w:t xml:space="preserve">NCQA acknowledges that as of April 9, 2018, the U.S. Preventive Services Task Force </w:t>
            </w:r>
            <w:r w:rsidR="00EB7A81">
              <w:rPr>
                <w:color w:val="FF0000"/>
              </w:rPr>
              <w:t xml:space="preserve">(USPSTF) </w:t>
            </w:r>
            <w:r>
              <w:rPr>
                <w:color w:val="FF0000"/>
              </w:rPr>
              <w:t>has released a DRAFT recommendation statement for osteoporosis screening. A draft Evidence Review was also published in November 2017. When published, NCQA will evaluate the final recommendation statement and supporting evidence review and consider any potential changes that may be needed for this measure. However, based on the draft recommendation statement we do not anticipate that any major revisions will be needed.</w:t>
            </w:r>
          </w:p>
          <w:p w14:paraId="3A130A2D" w14:textId="452785C8" w:rsidR="00CA38D8" w:rsidRDefault="00CA38D8" w:rsidP="00CA38D8">
            <w:pPr>
              <w:ind w:left="0" w:firstLine="0"/>
              <w:rPr>
                <w:color w:val="FF0000"/>
              </w:rPr>
            </w:pPr>
          </w:p>
          <w:p w14:paraId="7885853C" w14:textId="4A0281CB" w:rsidR="00CA38D8" w:rsidRPr="000223B9" w:rsidRDefault="00CA38D8" w:rsidP="00EB7A81">
            <w:pPr>
              <w:pStyle w:val="example"/>
              <w:ind w:left="450" w:hanging="450"/>
              <w:rPr>
                <w:rFonts w:asciiTheme="minorHAnsi" w:hAnsiTheme="minorHAnsi"/>
                <w:i w:val="0"/>
              </w:rPr>
            </w:pPr>
            <w:r w:rsidRPr="000223B9">
              <w:rPr>
                <w:rFonts w:asciiTheme="minorHAnsi" w:hAnsiTheme="minorHAnsi"/>
                <w:bCs/>
                <w:i w:val="0"/>
              </w:rPr>
              <w:t>U</w:t>
            </w:r>
            <w:r w:rsidR="00EB7A81">
              <w:rPr>
                <w:rFonts w:asciiTheme="minorHAnsi" w:hAnsiTheme="minorHAnsi"/>
                <w:bCs/>
                <w:i w:val="0"/>
              </w:rPr>
              <w:t>.</w:t>
            </w:r>
            <w:r w:rsidRPr="000223B9">
              <w:rPr>
                <w:rFonts w:asciiTheme="minorHAnsi" w:hAnsiTheme="minorHAnsi"/>
                <w:bCs/>
                <w:i w:val="0"/>
              </w:rPr>
              <w:t>S</w:t>
            </w:r>
            <w:r w:rsidR="00EB7A81">
              <w:rPr>
                <w:rFonts w:asciiTheme="minorHAnsi" w:hAnsiTheme="minorHAnsi"/>
                <w:bCs/>
                <w:i w:val="0"/>
              </w:rPr>
              <w:t>.</w:t>
            </w:r>
            <w:r w:rsidRPr="000223B9">
              <w:rPr>
                <w:rFonts w:asciiTheme="minorHAnsi" w:hAnsiTheme="minorHAnsi"/>
                <w:bCs/>
                <w:i w:val="0"/>
              </w:rPr>
              <w:t xml:space="preserve"> P</w:t>
            </w:r>
            <w:r>
              <w:rPr>
                <w:rFonts w:asciiTheme="minorHAnsi" w:hAnsiTheme="minorHAnsi"/>
                <w:bCs/>
                <w:i w:val="0"/>
              </w:rPr>
              <w:t xml:space="preserve">reventive Services Task Force. </w:t>
            </w:r>
            <w:r w:rsidR="00EB7A81">
              <w:rPr>
                <w:rFonts w:asciiTheme="minorHAnsi" w:hAnsiTheme="minorHAnsi"/>
                <w:bCs/>
                <w:i w:val="0"/>
              </w:rPr>
              <w:t>2017</w:t>
            </w:r>
            <w:r w:rsidRPr="000223B9">
              <w:rPr>
                <w:rFonts w:asciiTheme="minorHAnsi" w:hAnsiTheme="minorHAnsi"/>
                <w:bCs/>
                <w:i w:val="0"/>
              </w:rPr>
              <w:t xml:space="preserve">. </w:t>
            </w:r>
            <w:r w:rsidR="00EB7A81" w:rsidRPr="00EB7A81">
              <w:rPr>
                <w:rFonts w:asciiTheme="minorHAnsi" w:hAnsiTheme="minorHAnsi"/>
                <w:bCs/>
              </w:rPr>
              <w:t>Draft Recommendation Statement</w:t>
            </w:r>
            <w:r w:rsidR="00EB7A81">
              <w:rPr>
                <w:rFonts w:asciiTheme="minorHAnsi" w:hAnsiTheme="minorHAnsi"/>
                <w:bCs/>
              </w:rPr>
              <w:t>:</w:t>
            </w:r>
            <w:r w:rsidR="00EB7A81" w:rsidRPr="00EB7A81">
              <w:rPr>
                <w:rFonts w:asciiTheme="minorHAnsi" w:hAnsiTheme="minorHAnsi"/>
                <w:bCs/>
              </w:rPr>
              <w:t xml:space="preserve"> Osteoporosis to Prevent Fractures: Screening</w:t>
            </w:r>
            <w:r w:rsidR="00EB7A81">
              <w:rPr>
                <w:rFonts w:asciiTheme="minorHAnsi" w:hAnsiTheme="minorHAnsi"/>
                <w:i w:val="0"/>
              </w:rPr>
              <w:t xml:space="preserve">. </w:t>
            </w:r>
            <w:r w:rsidRPr="000223B9">
              <w:rPr>
                <w:rFonts w:asciiTheme="minorHAnsi" w:hAnsiTheme="minorHAnsi"/>
                <w:i w:val="0"/>
              </w:rPr>
              <w:t>https://www.uspreventiveservicestaskforce.org/Page/Document/draft-recommendation-statement/osteoporosis-screening1</w:t>
            </w:r>
          </w:p>
          <w:p w14:paraId="0A46F1FF" w14:textId="77777777" w:rsidR="00CA38D8" w:rsidRDefault="00CA38D8" w:rsidP="00CA38D8">
            <w:pPr>
              <w:ind w:left="0" w:firstLine="0"/>
              <w:rPr>
                <w:color w:val="FF0000"/>
              </w:rPr>
            </w:pPr>
          </w:p>
          <w:p w14:paraId="4C1EBEEC" w14:textId="44620850" w:rsidR="00CA38D8" w:rsidRPr="00CD2B00" w:rsidRDefault="00CA38D8" w:rsidP="00CA38D8">
            <w:pPr>
              <w:ind w:left="426" w:hanging="426"/>
              <w:rPr>
                <w:color w:val="FF0000"/>
              </w:rPr>
            </w:pPr>
            <w:r w:rsidRPr="00CA38D8">
              <w:rPr>
                <w:color w:val="FF0000"/>
                <w:lang w:val="en"/>
              </w:rPr>
              <w:t>U.S. Preventive Services Task Force.</w:t>
            </w:r>
            <w:r w:rsidR="00EB7A81">
              <w:rPr>
                <w:color w:val="FF0000"/>
                <w:lang w:val="en"/>
              </w:rPr>
              <w:t xml:space="preserve"> </w:t>
            </w:r>
            <w:r w:rsidRPr="00CD2B00">
              <w:rPr>
                <w:color w:val="FF0000"/>
                <w:lang w:val="en"/>
              </w:rPr>
              <w:t xml:space="preserve">2017. </w:t>
            </w:r>
            <w:r w:rsidRPr="00CD2B00">
              <w:rPr>
                <w:rStyle w:val="Emphasis"/>
                <w:color w:val="FF0000"/>
                <w:lang w:val="en"/>
              </w:rPr>
              <w:t>Draft Evidence Review: Osteoporosis to Prevent Fractures: Screening</w:t>
            </w:r>
            <w:r w:rsidR="00EB7A81">
              <w:rPr>
                <w:i/>
                <w:color w:val="FF0000"/>
                <w:lang w:val="en"/>
              </w:rPr>
              <w:t xml:space="preserve">. </w:t>
            </w:r>
            <w:r w:rsidRPr="00CD2B00">
              <w:rPr>
                <w:color w:val="FF0000"/>
                <w:lang w:val="en"/>
              </w:rPr>
              <w:t>https://www.uspreventiveservicestaskforce.org/Page/Document/draft-evidence-review/osteoporosis-screening1</w:t>
            </w:r>
          </w:p>
          <w:p w14:paraId="2146FD49" w14:textId="77777777" w:rsidR="000956AC" w:rsidRPr="000223B9" w:rsidRDefault="000956AC" w:rsidP="00E35733">
            <w:pPr>
              <w:pStyle w:val="example"/>
              <w:ind w:left="0" w:firstLine="0"/>
              <w:rPr>
                <w:rFonts w:asciiTheme="minorHAnsi" w:hAnsiTheme="minorHAnsi"/>
                <w:i w:val="0"/>
                <w:u w:val="single"/>
              </w:rPr>
            </w:pPr>
          </w:p>
          <w:p w14:paraId="39DA0CE5" w14:textId="15275726" w:rsidR="00E35733" w:rsidRPr="000223B9" w:rsidRDefault="00140FF5" w:rsidP="00E35733">
            <w:pPr>
              <w:pStyle w:val="example"/>
              <w:ind w:left="0" w:firstLine="0"/>
              <w:rPr>
                <w:rFonts w:asciiTheme="minorHAnsi" w:hAnsiTheme="minorHAnsi"/>
                <w:i w:val="0"/>
                <w:color w:val="0070C0"/>
                <w:u w:val="single"/>
              </w:rPr>
            </w:pPr>
            <w:r w:rsidRPr="000223B9">
              <w:rPr>
                <w:rFonts w:asciiTheme="minorHAnsi" w:hAnsiTheme="minorHAnsi"/>
                <w:i w:val="0"/>
                <w:color w:val="0070C0"/>
                <w:u w:val="single"/>
              </w:rPr>
              <w:t>2014 Submission</w:t>
            </w:r>
          </w:p>
          <w:p w14:paraId="7F561AAD" w14:textId="3D6F10BF" w:rsidR="00EB7A81" w:rsidRDefault="00140FF5" w:rsidP="00EB7A81">
            <w:pPr>
              <w:pStyle w:val="example"/>
              <w:rPr>
                <w:rFonts w:asciiTheme="minorHAnsi" w:hAnsiTheme="minorHAnsi"/>
                <w:bCs/>
                <w:i w:val="0"/>
                <w:color w:val="0070C0"/>
              </w:rPr>
            </w:pPr>
            <w:r w:rsidRPr="000223B9">
              <w:rPr>
                <w:rFonts w:asciiTheme="minorHAnsi" w:hAnsiTheme="minorHAnsi"/>
                <w:bCs/>
                <w:i w:val="0"/>
                <w:color w:val="0070C0"/>
              </w:rPr>
              <w:t>U</w:t>
            </w:r>
            <w:r w:rsidR="00EB7A81">
              <w:rPr>
                <w:rFonts w:asciiTheme="minorHAnsi" w:hAnsiTheme="minorHAnsi"/>
                <w:bCs/>
                <w:i w:val="0"/>
                <w:color w:val="0070C0"/>
              </w:rPr>
              <w:t>.</w:t>
            </w:r>
            <w:r w:rsidRPr="000223B9">
              <w:rPr>
                <w:rFonts w:asciiTheme="minorHAnsi" w:hAnsiTheme="minorHAnsi"/>
                <w:bCs/>
                <w:i w:val="0"/>
                <w:color w:val="0070C0"/>
              </w:rPr>
              <w:t>S</w:t>
            </w:r>
            <w:r w:rsidR="00EB7A81">
              <w:rPr>
                <w:rFonts w:asciiTheme="minorHAnsi" w:hAnsiTheme="minorHAnsi"/>
                <w:bCs/>
                <w:i w:val="0"/>
                <w:color w:val="0070C0"/>
              </w:rPr>
              <w:t>.</w:t>
            </w:r>
            <w:r w:rsidRPr="000223B9">
              <w:rPr>
                <w:rFonts w:asciiTheme="minorHAnsi" w:hAnsiTheme="minorHAnsi"/>
                <w:bCs/>
                <w:i w:val="0"/>
                <w:color w:val="0070C0"/>
              </w:rPr>
              <w:t xml:space="preserve"> P</w:t>
            </w:r>
            <w:r w:rsidR="00EB7A81">
              <w:rPr>
                <w:rFonts w:asciiTheme="minorHAnsi" w:hAnsiTheme="minorHAnsi"/>
                <w:bCs/>
                <w:i w:val="0"/>
                <w:color w:val="0070C0"/>
              </w:rPr>
              <w:t>reventive Services Task Force. 2011</w:t>
            </w:r>
            <w:r w:rsidRPr="000223B9">
              <w:rPr>
                <w:rFonts w:asciiTheme="minorHAnsi" w:hAnsiTheme="minorHAnsi"/>
                <w:bCs/>
                <w:i w:val="0"/>
                <w:color w:val="0070C0"/>
              </w:rPr>
              <w:t>. Screening for osteoporosis: US preventive services task force recommendation statement. Annals of internal medicine, 154(5), 356. </w:t>
            </w:r>
          </w:p>
          <w:p w14:paraId="25DC86CB" w14:textId="0D94F88E" w:rsidR="00140FF5" w:rsidRPr="00EB7A81" w:rsidRDefault="001F49CC" w:rsidP="00EB7A81">
            <w:pPr>
              <w:pStyle w:val="example"/>
              <w:ind w:firstLine="30"/>
              <w:rPr>
                <w:rFonts w:asciiTheme="minorHAnsi" w:hAnsiTheme="minorHAnsi"/>
                <w:bCs/>
                <w:i w:val="0"/>
                <w:color w:val="0070C0"/>
              </w:rPr>
            </w:pPr>
            <w:hyperlink r:id="rId15" w:history="1">
              <w:r w:rsidR="00140FF5" w:rsidRPr="000223B9">
                <w:rPr>
                  <w:rStyle w:val="Hyperlink"/>
                  <w:rFonts w:asciiTheme="minorHAnsi" w:hAnsiTheme="minorHAnsi"/>
                  <w:i w:val="0"/>
                  <w:color w:val="0070C0"/>
                </w:rPr>
                <w:t>http://www.uspreventiveservicestaskforce.org/uspstf10/osteoporosis/osteors.htm</w:t>
              </w:r>
            </w:hyperlink>
            <w:r w:rsidR="00140FF5" w:rsidRPr="000223B9">
              <w:rPr>
                <w:rFonts w:asciiTheme="minorHAnsi" w:hAnsiTheme="minorHAnsi"/>
                <w:bCs/>
                <w:i w:val="0"/>
                <w:color w:val="0070C0"/>
              </w:rPr>
              <w:t xml:space="preserve">, accessed May 2, 2014. </w:t>
            </w:r>
          </w:p>
          <w:p w14:paraId="55B8DA75" w14:textId="17CF26CF" w:rsidR="00AB4ECE" w:rsidRPr="00E35733" w:rsidRDefault="00AB4ECE" w:rsidP="002E2177">
            <w:pPr>
              <w:ind w:left="0" w:firstLine="0"/>
              <w:rPr>
                <w:rFonts w:ascii="Trebuchet MS" w:hAnsi="Trebuchet MS"/>
                <w:color w:val="FF0000"/>
                <w:sz w:val="20"/>
                <w:szCs w:val="20"/>
              </w:rPr>
            </w:pPr>
          </w:p>
        </w:tc>
      </w:tr>
      <w:tr w:rsidR="00AB4ECE" w14:paraId="55B8DA79" w14:textId="77777777" w:rsidTr="000223B9">
        <w:tc>
          <w:tcPr>
            <w:tcW w:w="2338" w:type="dxa"/>
          </w:tcPr>
          <w:p w14:paraId="55B8DA77" w14:textId="77777777" w:rsidR="00AB4ECE" w:rsidRDefault="00AB4ECE" w:rsidP="002E2177">
            <w:pPr>
              <w:ind w:left="0" w:firstLine="0"/>
            </w:pPr>
            <w:r>
              <w:t xml:space="preserve">Quote the guideline or recommendation verbatim about the process, structure or intermediate outcome being </w:t>
            </w:r>
            <w:r>
              <w:lastRenderedPageBreak/>
              <w:t>measured.</w:t>
            </w:r>
            <w:r w:rsidR="000E5C93">
              <w:t xml:space="preserve"> If not a guideline, summarize the conclusions from the SR.</w:t>
            </w:r>
          </w:p>
        </w:tc>
        <w:tc>
          <w:tcPr>
            <w:tcW w:w="7012" w:type="dxa"/>
          </w:tcPr>
          <w:p w14:paraId="75D9BBA2" w14:textId="77777777" w:rsidR="00F47793" w:rsidRPr="000223B9" w:rsidRDefault="00F47793" w:rsidP="002E2177">
            <w:pPr>
              <w:ind w:left="0" w:firstLine="0"/>
              <w:rPr>
                <w:color w:val="FF0000"/>
                <w:u w:val="single"/>
              </w:rPr>
            </w:pPr>
            <w:r w:rsidRPr="000223B9">
              <w:rPr>
                <w:color w:val="FF0000"/>
                <w:u w:val="single"/>
              </w:rPr>
              <w:lastRenderedPageBreak/>
              <w:t>2018 Submission</w:t>
            </w:r>
          </w:p>
          <w:p w14:paraId="6462CDF8" w14:textId="12B83BE6" w:rsidR="000E7D4B" w:rsidRPr="000E7D4B" w:rsidRDefault="001055FF" w:rsidP="000E7D4B">
            <w:pPr>
              <w:ind w:left="0" w:firstLine="0"/>
              <w:rPr>
                <w:color w:val="FF0000"/>
              </w:rPr>
            </w:pPr>
            <w:r>
              <w:rPr>
                <w:color w:val="FF0000"/>
              </w:rPr>
              <w:t>“</w:t>
            </w:r>
            <w:r w:rsidR="00F47793" w:rsidRPr="000223B9">
              <w:rPr>
                <w:color w:val="FF0000"/>
              </w:rPr>
              <w:t>The USPSTF recommends screening for osteoporosis with bone measurement testing to prevent osteoporotic fractures in women age 65 years and older.</w:t>
            </w:r>
            <w:r w:rsidR="000E7D4B">
              <w:rPr>
                <w:color w:val="FF0000"/>
              </w:rPr>
              <w:t xml:space="preserve"> </w:t>
            </w:r>
            <w:r w:rsidR="000E7D4B" w:rsidRPr="000E7D4B">
              <w:rPr>
                <w:color w:val="FF0000"/>
              </w:rPr>
              <w:t>The USPSTF recommends screening for osteoporosis with bone measurement testing in postmenopausal women younger than age 65 years who are at increased risk of osteoporosis, as determined by a formal clinical risk assessment tool.</w:t>
            </w:r>
            <w:r>
              <w:rPr>
                <w:color w:val="FF0000"/>
              </w:rPr>
              <w:t>”</w:t>
            </w:r>
          </w:p>
          <w:p w14:paraId="2BE03563" w14:textId="6F34C128" w:rsidR="00F47793" w:rsidRPr="000223B9" w:rsidRDefault="00F47793" w:rsidP="002E2177">
            <w:pPr>
              <w:ind w:left="0" w:firstLine="0"/>
              <w:rPr>
                <w:color w:val="FF0000"/>
              </w:rPr>
            </w:pPr>
          </w:p>
          <w:p w14:paraId="64C60E78" w14:textId="2EA45E09" w:rsidR="00140FF5" w:rsidRPr="00140FF5" w:rsidRDefault="00140FF5" w:rsidP="002E2177">
            <w:pPr>
              <w:ind w:left="0" w:firstLine="0"/>
              <w:rPr>
                <w:rFonts w:ascii="Trebuchet MS" w:hAnsi="Trebuchet MS"/>
                <w:color w:val="0070C0"/>
                <w:sz w:val="20"/>
                <w:szCs w:val="20"/>
                <w:u w:val="single"/>
              </w:rPr>
            </w:pPr>
            <w:r w:rsidRPr="00140FF5">
              <w:rPr>
                <w:rFonts w:ascii="Trebuchet MS" w:hAnsi="Trebuchet MS"/>
                <w:color w:val="0070C0"/>
                <w:sz w:val="20"/>
                <w:szCs w:val="20"/>
                <w:u w:val="single"/>
              </w:rPr>
              <w:t>2014 Submission</w:t>
            </w:r>
          </w:p>
          <w:p w14:paraId="55B8DA78" w14:textId="7B956D80" w:rsidR="00E35733" w:rsidRPr="00EB7A81" w:rsidRDefault="001055FF" w:rsidP="00EB7A81">
            <w:pPr>
              <w:pStyle w:val="ListParagraph"/>
              <w:tabs>
                <w:tab w:val="left" w:pos="6681"/>
                <w:tab w:val="left" w:pos="8522"/>
              </w:tabs>
              <w:spacing w:after="0" w:line="240" w:lineRule="auto"/>
              <w:ind w:left="0" w:firstLine="0"/>
              <w:rPr>
                <w:color w:val="0070C0"/>
              </w:rPr>
            </w:pPr>
            <w:r>
              <w:rPr>
                <w:color w:val="0070C0"/>
              </w:rPr>
              <w:lastRenderedPageBreak/>
              <w:t>“</w:t>
            </w:r>
            <w:r w:rsidR="00140FF5" w:rsidRPr="00140FF5">
              <w:rPr>
                <w:color w:val="0070C0"/>
              </w:rPr>
              <w:t>The USPSTF recommends screening for osteoporosis in women aged 65 years or older and in younger women whose fracture risk is equal to or greater than that of a 65-year-old white woman who has no additional risk factors.</w:t>
            </w:r>
            <w:r>
              <w:rPr>
                <w:color w:val="0070C0"/>
              </w:rPr>
              <w:t>”</w:t>
            </w:r>
            <w:r w:rsidR="00140FF5" w:rsidRPr="00140FF5">
              <w:rPr>
                <w:color w:val="0070C0"/>
              </w:rPr>
              <w:t xml:space="preserve"> </w:t>
            </w:r>
          </w:p>
        </w:tc>
      </w:tr>
      <w:tr w:rsidR="00AB4ECE" w14:paraId="55B8DA7C" w14:textId="77777777" w:rsidTr="000223B9">
        <w:tc>
          <w:tcPr>
            <w:tcW w:w="233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7012" w:type="dxa"/>
          </w:tcPr>
          <w:p w14:paraId="0A90B2F6" w14:textId="4DE01F8F" w:rsidR="00F47793" w:rsidRPr="000223B9" w:rsidRDefault="00F47793" w:rsidP="002E2177">
            <w:pPr>
              <w:ind w:left="0" w:firstLine="0"/>
              <w:rPr>
                <w:color w:val="FF0000"/>
                <w:szCs w:val="20"/>
                <w:u w:val="single"/>
              </w:rPr>
            </w:pPr>
            <w:r w:rsidRPr="000223B9">
              <w:rPr>
                <w:color w:val="FF0000"/>
                <w:szCs w:val="20"/>
                <w:u w:val="single"/>
              </w:rPr>
              <w:t>2018 Submission</w:t>
            </w:r>
          </w:p>
          <w:p w14:paraId="2A27816D" w14:textId="6B297733" w:rsidR="00F47793" w:rsidRPr="000223B9" w:rsidRDefault="00F47793" w:rsidP="002E2177">
            <w:pPr>
              <w:ind w:left="0" w:firstLine="0"/>
              <w:rPr>
                <w:color w:val="FF0000"/>
                <w:szCs w:val="20"/>
              </w:rPr>
            </w:pPr>
            <w:r w:rsidRPr="000223B9">
              <w:rPr>
                <w:color w:val="FF0000"/>
                <w:szCs w:val="20"/>
              </w:rPr>
              <w:t>The USPSTF concludes with moderate certainty that the net benefit of screening for osteoporosis in women age 65 years and older is at least moderate.</w:t>
            </w:r>
          </w:p>
          <w:p w14:paraId="55B8DA7B" w14:textId="61085744" w:rsidR="00EB7A81" w:rsidRPr="000223B9" w:rsidRDefault="00EB7A81" w:rsidP="002E2177">
            <w:pPr>
              <w:ind w:left="0" w:firstLine="0"/>
              <w:rPr>
                <w:i/>
                <w:color w:val="FF0000"/>
                <w:szCs w:val="20"/>
              </w:rPr>
            </w:pPr>
          </w:p>
        </w:tc>
      </w:tr>
      <w:tr w:rsidR="00AB4ECE" w14:paraId="55B8DA7F" w14:textId="77777777" w:rsidTr="000223B9">
        <w:tc>
          <w:tcPr>
            <w:tcW w:w="2338" w:type="dxa"/>
          </w:tcPr>
          <w:p w14:paraId="55B8DA7D" w14:textId="77777777" w:rsidR="00AB4ECE" w:rsidRDefault="00AB4ECE" w:rsidP="00E42FAA">
            <w:pPr>
              <w:ind w:left="0" w:firstLine="0"/>
            </w:pPr>
            <w:r>
              <w:t>Provide all other grades and definitions from the evidence grading system</w:t>
            </w:r>
          </w:p>
        </w:tc>
        <w:tc>
          <w:tcPr>
            <w:tcW w:w="7012" w:type="dxa"/>
          </w:tcPr>
          <w:p w14:paraId="410177A7" w14:textId="77777777" w:rsidR="00F47793" w:rsidRPr="000223B9" w:rsidRDefault="00F47793" w:rsidP="002E2177">
            <w:pPr>
              <w:ind w:left="0" w:firstLine="0"/>
              <w:rPr>
                <w:color w:val="FF0000"/>
                <w:szCs w:val="20"/>
                <w:u w:val="single"/>
              </w:rPr>
            </w:pPr>
            <w:r w:rsidRPr="000223B9">
              <w:rPr>
                <w:color w:val="FF0000"/>
                <w:szCs w:val="20"/>
                <w:u w:val="single"/>
              </w:rPr>
              <w:t>2018 Submission</w:t>
            </w:r>
          </w:p>
          <w:p w14:paraId="55B8DA7E" w14:textId="7BBDF233" w:rsidR="00AB4ECE" w:rsidRPr="000223B9" w:rsidRDefault="00E35733" w:rsidP="002E2177">
            <w:pPr>
              <w:ind w:left="0" w:firstLine="0"/>
              <w:rPr>
                <w:i/>
                <w:szCs w:val="20"/>
              </w:rPr>
            </w:pPr>
            <w:r w:rsidRPr="000223B9">
              <w:rPr>
                <w:color w:val="FF0000"/>
                <w:szCs w:val="20"/>
              </w:rPr>
              <w:t>N/A</w:t>
            </w:r>
          </w:p>
        </w:tc>
      </w:tr>
      <w:tr w:rsidR="00AB4ECE" w14:paraId="55B8DA82" w14:textId="77777777" w:rsidTr="000223B9">
        <w:tc>
          <w:tcPr>
            <w:tcW w:w="233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7012" w:type="dxa"/>
          </w:tcPr>
          <w:p w14:paraId="5049C600" w14:textId="77777777" w:rsidR="00F47793" w:rsidRPr="000223B9" w:rsidRDefault="00F47793" w:rsidP="00C772B8">
            <w:pPr>
              <w:ind w:left="0" w:firstLine="0"/>
              <w:rPr>
                <w:color w:val="FF0000"/>
                <w:szCs w:val="20"/>
                <w:u w:val="single"/>
              </w:rPr>
            </w:pPr>
            <w:r w:rsidRPr="000223B9">
              <w:rPr>
                <w:color w:val="FF0000"/>
                <w:szCs w:val="20"/>
                <w:u w:val="single"/>
              </w:rPr>
              <w:t>2018 Submission</w:t>
            </w:r>
          </w:p>
          <w:p w14:paraId="380D0DF4" w14:textId="3EEAFBF8" w:rsidR="00F47793" w:rsidRPr="000223B9" w:rsidRDefault="00F47793" w:rsidP="00C772B8">
            <w:pPr>
              <w:ind w:left="0" w:firstLine="0"/>
              <w:rPr>
                <w:color w:val="FF0000"/>
                <w:szCs w:val="20"/>
              </w:rPr>
            </w:pPr>
            <w:r w:rsidRPr="000223B9">
              <w:rPr>
                <w:color w:val="FF0000"/>
                <w:szCs w:val="20"/>
              </w:rPr>
              <w:t>Grade B: The USPSTF recommends the service. There is high certainty that the net benefit is moderate or there is moderate certainty that the net benefit is moderate to substantial.</w:t>
            </w:r>
          </w:p>
          <w:p w14:paraId="57D1291E" w14:textId="77777777" w:rsidR="00F47793" w:rsidRDefault="00F47793" w:rsidP="00C772B8">
            <w:pPr>
              <w:ind w:left="0" w:firstLine="0"/>
              <w:rPr>
                <w:rFonts w:ascii="Trebuchet MS" w:hAnsi="Trebuchet MS"/>
                <w:color w:val="0070C0"/>
                <w:sz w:val="20"/>
                <w:szCs w:val="20"/>
                <w:u w:val="single"/>
              </w:rPr>
            </w:pPr>
          </w:p>
          <w:p w14:paraId="2583FFC4" w14:textId="18D17F4B" w:rsidR="00C772B8" w:rsidRPr="00140FF5" w:rsidRDefault="00140FF5" w:rsidP="00C772B8">
            <w:pPr>
              <w:ind w:left="0" w:firstLine="0"/>
              <w:rPr>
                <w:rFonts w:ascii="Trebuchet MS" w:hAnsi="Trebuchet MS"/>
                <w:color w:val="0070C0"/>
                <w:sz w:val="20"/>
                <w:szCs w:val="20"/>
                <w:u w:val="single"/>
              </w:rPr>
            </w:pPr>
            <w:r w:rsidRPr="00140FF5">
              <w:rPr>
                <w:rFonts w:ascii="Trebuchet MS" w:hAnsi="Trebuchet MS"/>
                <w:color w:val="0070C0"/>
                <w:sz w:val="20"/>
                <w:szCs w:val="20"/>
                <w:u w:val="single"/>
              </w:rPr>
              <w:t>2014 Submission</w:t>
            </w:r>
          </w:p>
          <w:p w14:paraId="6698954D" w14:textId="77777777" w:rsidR="00140FF5" w:rsidRPr="00140FF5" w:rsidRDefault="00140FF5" w:rsidP="00140FF5">
            <w:pPr>
              <w:pStyle w:val="ListParagraph"/>
              <w:tabs>
                <w:tab w:val="left" w:pos="6681"/>
                <w:tab w:val="left" w:pos="8522"/>
              </w:tabs>
              <w:spacing w:after="0" w:line="240" w:lineRule="auto"/>
              <w:ind w:left="0" w:firstLine="0"/>
              <w:rPr>
                <w:color w:val="0070C0"/>
              </w:rPr>
            </w:pPr>
            <w:r w:rsidRPr="00140FF5">
              <w:rPr>
                <w:color w:val="0070C0"/>
              </w:rPr>
              <w:t xml:space="preserve">This measure is based on a grade B recommendation from the USPSTF. </w:t>
            </w:r>
          </w:p>
          <w:p w14:paraId="06A490E1" w14:textId="77777777" w:rsidR="00140FF5" w:rsidRPr="00140FF5" w:rsidRDefault="00140FF5" w:rsidP="00140FF5">
            <w:pPr>
              <w:pStyle w:val="example"/>
              <w:rPr>
                <w:i w:val="0"/>
                <w:color w:val="0070C0"/>
              </w:rPr>
            </w:pPr>
          </w:p>
          <w:p w14:paraId="55B8DA81" w14:textId="52197EBC" w:rsidR="00E35733" w:rsidRPr="00FD3585" w:rsidRDefault="00140FF5" w:rsidP="00FD3585">
            <w:pPr>
              <w:pStyle w:val="ListParagraph"/>
              <w:tabs>
                <w:tab w:val="left" w:pos="6681"/>
                <w:tab w:val="left" w:pos="8522"/>
              </w:tabs>
              <w:spacing w:after="0" w:line="240" w:lineRule="auto"/>
              <w:ind w:left="0" w:firstLine="0"/>
              <w:rPr>
                <w:color w:val="0070C0"/>
              </w:rPr>
            </w:pPr>
            <w:r w:rsidRPr="00140FF5">
              <w:rPr>
                <w:color w:val="0070C0"/>
              </w:rPr>
              <w:t>Grade B: The USPSTF recommends the services. There is high certainty that the net benefit is moderate or there is moderate certainty that the net benefit is moderate to substantial</w:t>
            </w:r>
          </w:p>
        </w:tc>
      </w:tr>
      <w:tr w:rsidR="00AB4ECE" w14:paraId="55B8DA85" w14:textId="77777777" w:rsidTr="000223B9">
        <w:tc>
          <w:tcPr>
            <w:tcW w:w="2338" w:type="dxa"/>
          </w:tcPr>
          <w:p w14:paraId="55B8DA83" w14:textId="77777777" w:rsidR="00AB4ECE" w:rsidRDefault="00AB4ECE" w:rsidP="00E42FAA">
            <w:pPr>
              <w:ind w:left="0" w:firstLine="0"/>
            </w:pPr>
            <w:r>
              <w:t>Provide all other grades and definitions from the recommendation grading system</w:t>
            </w:r>
          </w:p>
        </w:tc>
        <w:tc>
          <w:tcPr>
            <w:tcW w:w="7012" w:type="dxa"/>
          </w:tcPr>
          <w:p w14:paraId="2ABA6A58" w14:textId="77777777" w:rsidR="00F47793" w:rsidRPr="000223B9" w:rsidRDefault="00F47793" w:rsidP="00C772B8">
            <w:pPr>
              <w:ind w:left="0" w:firstLine="0"/>
              <w:rPr>
                <w:color w:val="FF0000"/>
                <w:u w:val="single"/>
              </w:rPr>
            </w:pPr>
            <w:r w:rsidRPr="000223B9">
              <w:rPr>
                <w:color w:val="FF0000"/>
                <w:u w:val="single"/>
              </w:rPr>
              <w:t>2018 Submission</w:t>
            </w:r>
          </w:p>
          <w:p w14:paraId="496E3188" w14:textId="040180AA" w:rsidR="00F47793" w:rsidRPr="000223B9" w:rsidRDefault="00F47793" w:rsidP="00C772B8">
            <w:pPr>
              <w:ind w:left="0" w:firstLine="0"/>
              <w:rPr>
                <w:color w:val="FF0000"/>
              </w:rPr>
            </w:pPr>
            <w:r w:rsidRPr="000223B9">
              <w:rPr>
                <w:color w:val="FF0000"/>
              </w:rPr>
              <w:t xml:space="preserve">Grade A: The USPSTF recommends the service. There is high certainty that </w:t>
            </w:r>
            <w:r w:rsidR="00BD352F" w:rsidRPr="000223B9">
              <w:rPr>
                <w:color w:val="FF0000"/>
              </w:rPr>
              <w:t>the net benefit is substantial.</w:t>
            </w:r>
          </w:p>
          <w:p w14:paraId="336EFD79" w14:textId="01B9B8EA" w:rsidR="00F47793" w:rsidRPr="000223B9" w:rsidRDefault="00F47793" w:rsidP="00C772B8">
            <w:pPr>
              <w:ind w:left="0" w:firstLine="0"/>
              <w:rPr>
                <w:color w:val="FF0000"/>
              </w:rPr>
            </w:pPr>
            <w:r w:rsidRPr="000223B9">
              <w:rPr>
                <w:color w:val="FF0000"/>
              </w:rPr>
              <w:t>Grade C: The USPSTF recommends selectively offering or providing this service to individual patients based on professional judgment and patient preferences. There is at least moderate certainty that the net benefit is small.</w:t>
            </w:r>
            <w:r w:rsidRPr="000223B9">
              <w:rPr>
                <w:color w:val="FF0000"/>
              </w:rPr>
              <w:tab/>
            </w:r>
          </w:p>
          <w:p w14:paraId="3761133C" w14:textId="19D1F2AE" w:rsidR="00F47793" w:rsidRPr="000223B9" w:rsidRDefault="00F47793" w:rsidP="00C772B8">
            <w:pPr>
              <w:ind w:left="0" w:firstLine="0"/>
              <w:rPr>
                <w:color w:val="FF0000"/>
              </w:rPr>
            </w:pPr>
            <w:r w:rsidRPr="000223B9">
              <w:rPr>
                <w:color w:val="FF0000"/>
              </w:rPr>
              <w:t>Grade D: The USPSTF recommends against the service. There is moderate or high certainty that the service has no net benefit or that the harms outweigh the benefits.</w:t>
            </w:r>
            <w:r w:rsidRPr="000223B9">
              <w:rPr>
                <w:color w:val="FF0000"/>
              </w:rPr>
              <w:tab/>
            </w:r>
          </w:p>
          <w:p w14:paraId="0F9F53FA" w14:textId="57BDB588" w:rsidR="00F47793" w:rsidRPr="00F47793" w:rsidRDefault="00F47793" w:rsidP="00C772B8">
            <w:pPr>
              <w:ind w:left="0" w:firstLine="0"/>
              <w:rPr>
                <w:rFonts w:ascii="Trebuchet MS" w:hAnsi="Trebuchet MS"/>
                <w:color w:val="0070C0"/>
                <w:sz w:val="20"/>
                <w:szCs w:val="20"/>
              </w:rPr>
            </w:pPr>
            <w:r w:rsidRPr="000223B9">
              <w:rPr>
                <w:color w:val="FF0000"/>
              </w:rPr>
              <w:t>Grade I: The USPSTF concludes that the current evidence is insufficient to assess the balance of benefits and harms of the service. Evidence is lacking, of poor quality, or conflicting, and the balance of benefits and harms cannot be determined.</w:t>
            </w:r>
            <w:r w:rsidRPr="00F47793">
              <w:rPr>
                <w:rFonts w:ascii="Trebuchet MS" w:hAnsi="Trebuchet MS"/>
                <w:color w:val="0070C0"/>
                <w:sz w:val="20"/>
                <w:szCs w:val="20"/>
              </w:rPr>
              <w:tab/>
            </w:r>
          </w:p>
          <w:p w14:paraId="402CDEFD" w14:textId="77777777" w:rsidR="00F47793" w:rsidRDefault="00F47793" w:rsidP="00C772B8">
            <w:pPr>
              <w:ind w:left="0" w:firstLine="0"/>
              <w:rPr>
                <w:rFonts w:ascii="Trebuchet MS" w:hAnsi="Trebuchet MS"/>
                <w:color w:val="0070C0"/>
                <w:sz w:val="20"/>
                <w:szCs w:val="20"/>
                <w:u w:val="single"/>
              </w:rPr>
            </w:pPr>
          </w:p>
          <w:p w14:paraId="247023E6" w14:textId="77D4F7A1" w:rsidR="00C772B8" w:rsidRPr="00FD3585" w:rsidRDefault="00FD3585" w:rsidP="00C772B8">
            <w:pPr>
              <w:ind w:left="0" w:firstLine="0"/>
              <w:rPr>
                <w:rFonts w:ascii="Trebuchet MS" w:hAnsi="Trebuchet MS"/>
                <w:color w:val="0070C0"/>
                <w:sz w:val="20"/>
                <w:szCs w:val="20"/>
                <w:u w:val="single"/>
              </w:rPr>
            </w:pPr>
            <w:r w:rsidRPr="00FD3585">
              <w:rPr>
                <w:rFonts w:ascii="Trebuchet MS" w:hAnsi="Trebuchet MS"/>
                <w:color w:val="0070C0"/>
                <w:sz w:val="20"/>
                <w:szCs w:val="20"/>
                <w:u w:val="single"/>
              </w:rPr>
              <w:t>2014 Submission</w:t>
            </w:r>
          </w:p>
          <w:p w14:paraId="6168A4C3" w14:textId="0FA99199" w:rsidR="00FD3585" w:rsidRPr="00FD3585" w:rsidRDefault="00FD3585" w:rsidP="00FD3585">
            <w:pPr>
              <w:pStyle w:val="ListParagraph"/>
              <w:tabs>
                <w:tab w:val="left" w:pos="6681"/>
                <w:tab w:val="left" w:pos="8522"/>
              </w:tabs>
              <w:spacing w:after="0" w:line="240" w:lineRule="auto"/>
              <w:ind w:left="0" w:firstLine="0"/>
              <w:rPr>
                <w:color w:val="0070C0"/>
              </w:rPr>
            </w:pPr>
            <w:r w:rsidRPr="00FD3585">
              <w:rPr>
                <w:color w:val="0070C0"/>
              </w:rPr>
              <w:t>Grade A: The USPSTF recommends the service. There is high certainty that the net benefit is substantial.</w:t>
            </w:r>
          </w:p>
          <w:p w14:paraId="51ED80A6" w14:textId="689B1ED2" w:rsidR="00FD3585" w:rsidRPr="00FD3585" w:rsidRDefault="00FD3585" w:rsidP="00FD3585">
            <w:pPr>
              <w:pStyle w:val="ListParagraph"/>
              <w:tabs>
                <w:tab w:val="left" w:pos="6681"/>
                <w:tab w:val="left" w:pos="8522"/>
              </w:tabs>
              <w:spacing w:after="0" w:line="240" w:lineRule="auto"/>
              <w:ind w:left="0" w:firstLine="0"/>
              <w:rPr>
                <w:color w:val="0070C0"/>
              </w:rPr>
            </w:pPr>
            <w:r w:rsidRPr="00FD3585">
              <w:rPr>
                <w:color w:val="0070C0"/>
              </w:rPr>
              <w:lastRenderedPageBreak/>
              <w:t xml:space="preserve">Grade C: The USPSTF recommends selectively offering or providing this service to individual patients based on professional judgment and patient preferences. There is at least moderate certainty that the net benefit is small.  </w:t>
            </w:r>
          </w:p>
          <w:p w14:paraId="3B739997" w14:textId="5DF29A1A" w:rsidR="00FD3585" w:rsidRPr="00FD3585" w:rsidRDefault="00FD3585" w:rsidP="00FD3585">
            <w:pPr>
              <w:pStyle w:val="ListParagraph"/>
              <w:tabs>
                <w:tab w:val="left" w:pos="6681"/>
                <w:tab w:val="left" w:pos="8522"/>
              </w:tabs>
              <w:spacing w:after="0" w:line="240" w:lineRule="auto"/>
              <w:ind w:left="0" w:firstLine="0"/>
              <w:rPr>
                <w:color w:val="0070C0"/>
              </w:rPr>
            </w:pPr>
            <w:r w:rsidRPr="00FD3585">
              <w:rPr>
                <w:color w:val="0070C0"/>
              </w:rPr>
              <w:t>Grade D: The USPSTF recommends against the service. There is moderate or high certainty that the service has no net benefit or that the harms outweigh the benefits.</w:t>
            </w:r>
          </w:p>
          <w:p w14:paraId="55B8DA84" w14:textId="624AB5D6" w:rsidR="00AB4ECE" w:rsidRDefault="00FD3585" w:rsidP="00FD3585">
            <w:pPr>
              <w:pStyle w:val="ListParagraph"/>
              <w:tabs>
                <w:tab w:val="left" w:pos="6681"/>
                <w:tab w:val="left" w:pos="8522"/>
              </w:tabs>
              <w:spacing w:after="0" w:line="240" w:lineRule="auto"/>
              <w:ind w:left="0" w:firstLine="0"/>
            </w:pPr>
            <w:r w:rsidRPr="00FD3585">
              <w:rPr>
                <w:color w:val="0070C0"/>
              </w:rPr>
              <w:t xml:space="preserve">I Statement: The USPSTF concludes that the current evidence is insufficient to assess the balance of benefits and harms of the service. Evidence is lacking, of poor quality, or conflicting, and the balance of benefits and harms cannot be determined. </w:t>
            </w:r>
          </w:p>
        </w:tc>
      </w:tr>
      <w:tr w:rsidR="00AB4ECE" w14:paraId="55B8DA8A" w14:textId="77777777" w:rsidTr="000223B9">
        <w:tc>
          <w:tcPr>
            <w:tcW w:w="2338" w:type="dxa"/>
          </w:tcPr>
          <w:p w14:paraId="55B8DA86" w14:textId="77777777" w:rsidR="00AB4ECE" w:rsidRPr="00EB7A81" w:rsidRDefault="000E5C93" w:rsidP="002E2177">
            <w:pPr>
              <w:ind w:left="0" w:firstLine="0"/>
            </w:pPr>
            <w:r w:rsidRPr="00EB7A81">
              <w:lastRenderedPageBreak/>
              <w:t>Body of evidence:</w:t>
            </w:r>
          </w:p>
          <w:p w14:paraId="55B8DA87" w14:textId="77777777" w:rsidR="000E5C93" w:rsidRPr="00EB7A81" w:rsidRDefault="000E5C93" w:rsidP="000E5C93">
            <w:pPr>
              <w:pStyle w:val="ListParagraph"/>
              <w:numPr>
                <w:ilvl w:val="0"/>
                <w:numId w:val="10"/>
              </w:numPr>
            </w:pPr>
            <w:r w:rsidRPr="00EB7A81">
              <w:t>Quantity – how many studies?</w:t>
            </w:r>
          </w:p>
          <w:p w14:paraId="55B8DA88" w14:textId="77777777" w:rsidR="000E5C93" w:rsidRDefault="000E5C93" w:rsidP="000E5C93">
            <w:pPr>
              <w:pStyle w:val="ListParagraph"/>
              <w:numPr>
                <w:ilvl w:val="0"/>
                <w:numId w:val="10"/>
              </w:numPr>
            </w:pPr>
            <w:r w:rsidRPr="00EB7A81">
              <w:t>Quality – what type of studies?</w:t>
            </w:r>
          </w:p>
        </w:tc>
        <w:tc>
          <w:tcPr>
            <w:tcW w:w="7012" w:type="dxa"/>
          </w:tcPr>
          <w:p w14:paraId="2E2035DA" w14:textId="77777777" w:rsidR="00B871B5" w:rsidRPr="00B871B5" w:rsidRDefault="00B871B5" w:rsidP="00B871B5">
            <w:pPr>
              <w:ind w:left="0" w:firstLine="0"/>
              <w:rPr>
                <w:color w:val="FF0000"/>
                <w:u w:val="single"/>
              </w:rPr>
            </w:pPr>
            <w:r w:rsidRPr="00B871B5">
              <w:rPr>
                <w:color w:val="FF0000"/>
                <w:u w:val="single"/>
              </w:rPr>
              <w:t>2018 Submission</w:t>
            </w:r>
          </w:p>
          <w:p w14:paraId="42AF2E11" w14:textId="664B04D9" w:rsidR="00B871B5" w:rsidRDefault="00B871B5" w:rsidP="00B871B5">
            <w:pPr>
              <w:ind w:left="0" w:firstLine="0"/>
              <w:rPr>
                <w:color w:val="FF0000"/>
              </w:rPr>
            </w:pPr>
            <w:r>
              <w:rPr>
                <w:color w:val="FF0000"/>
              </w:rPr>
              <w:t xml:space="preserve">The </w:t>
            </w:r>
            <w:r w:rsidR="00B66016">
              <w:rPr>
                <w:color w:val="FF0000"/>
              </w:rPr>
              <w:t>DRAFT</w:t>
            </w:r>
            <w:r w:rsidR="009E7F23">
              <w:rPr>
                <w:color w:val="FF0000"/>
              </w:rPr>
              <w:t xml:space="preserve"> </w:t>
            </w:r>
            <w:r>
              <w:rPr>
                <w:color w:val="FF0000"/>
              </w:rPr>
              <w:t xml:space="preserve">evidence report </w:t>
            </w:r>
            <w:r w:rsidR="00B66016" w:rsidRPr="00B66016">
              <w:rPr>
                <w:color w:val="FF0000"/>
              </w:rPr>
              <w:t>(</w:t>
            </w:r>
            <w:r w:rsidR="00B66016" w:rsidRPr="00B66016">
              <w:rPr>
                <w:rFonts w:eastAsia="Times New Roman" w:cs="Times New Roman"/>
                <w:color w:val="FF0000"/>
                <w:lang w:val="en"/>
              </w:rPr>
              <w:t>Viswanathan</w:t>
            </w:r>
            <w:r w:rsidR="00B66016" w:rsidRPr="00B66016">
              <w:rPr>
                <w:color w:val="FF0000"/>
              </w:rPr>
              <w:t xml:space="preserve"> et al 2017</w:t>
            </w:r>
            <w:r w:rsidR="00B66016">
              <w:rPr>
                <w:color w:val="FF0000"/>
              </w:rPr>
              <w:t xml:space="preserve">) </w:t>
            </w:r>
            <w:r>
              <w:rPr>
                <w:color w:val="FF0000"/>
              </w:rPr>
              <w:t xml:space="preserve">supporting this guideline outlines the quantity and quality of </w:t>
            </w:r>
            <w:r w:rsidR="00B66016">
              <w:rPr>
                <w:color w:val="FF0000"/>
              </w:rPr>
              <w:t>evidence, which are summarized below for the key questions of the review.</w:t>
            </w:r>
          </w:p>
          <w:p w14:paraId="55871BF0" w14:textId="77777777" w:rsidR="00B871B5" w:rsidRDefault="00B871B5" w:rsidP="00B871B5">
            <w:pPr>
              <w:ind w:left="0" w:firstLine="0"/>
              <w:rPr>
                <w:b/>
                <w:color w:val="FF0000"/>
                <w:u w:val="single"/>
              </w:rPr>
            </w:pPr>
          </w:p>
          <w:p w14:paraId="30D4B061" w14:textId="77777777" w:rsidR="009E7F23" w:rsidRPr="008D6E68" w:rsidRDefault="009E7F23" w:rsidP="001B7D76">
            <w:pPr>
              <w:ind w:left="0" w:firstLine="0"/>
              <w:rPr>
                <w:rFonts w:eastAsia="Times New Roman" w:cs="Times New Roman"/>
                <w:color w:val="FF0000"/>
                <w:lang w:val="en"/>
              </w:rPr>
            </w:pPr>
            <w:r w:rsidRPr="009E7F23">
              <w:rPr>
                <w:rFonts w:eastAsia="Times New Roman" w:cs="Times New Roman"/>
                <w:color w:val="FF0000"/>
                <w:lang w:val="en"/>
              </w:rPr>
              <w:t xml:space="preserve">Key Question 1. Does Screening (Clinical Risk Assessment, Bone Density Measurement, or Both) for Osteoporotic Fracture Risk Reduce Fractures and </w:t>
            </w:r>
            <w:r w:rsidRPr="008D6E68">
              <w:rPr>
                <w:rFonts w:eastAsia="Times New Roman" w:cs="Times New Roman"/>
                <w:color w:val="FF0000"/>
                <w:lang w:val="en"/>
              </w:rPr>
              <w:t xml:space="preserve">Fracture-Related Morbidity and Mortality in Adults? </w:t>
            </w:r>
          </w:p>
          <w:p w14:paraId="494E1620" w14:textId="2A4A7329" w:rsidR="00B871B5" w:rsidRPr="001B7D76" w:rsidRDefault="001B7D76" w:rsidP="009666CA">
            <w:pPr>
              <w:pStyle w:val="ListParagraph"/>
              <w:numPr>
                <w:ilvl w:val="0"/>
                <w:numId w:val="18"/>
              </w:numPr>
              <w:rPr>
                <w:rFonts w:eastAsia="Times New Roman" w:cs="Times New Roman"/>
                <w:color w:val="FF0000"/>
                <w:lang w:val="en"/>
              </w:rPr>
            </w:pPr>
            <w:r w:rsidRPr="008D6E68">
              <w:rPr>
                <w:rFonts w:eastAsia="Times New Roman" w:cs="Times New Roman"/>
                <w:color w:val="FF0000"/>
                <w:lang w:val="en"/>
              </w:rPr>
              <w:t xml:space="preserve">As in </w:t>
            </w:r>
            <w:r w:rsidR="008D6E68">
              <w:rPr>
                <w:rFonts w:eastAsia="Times New Roman" w:cs="Times New Roman"/>
                <w:color w:val="FF0000"/>
                <w:lang w:val="en"/>
              </w:rPr>
              <w:t xml:space="preserve">the </w:t>
            </w:r>
            <w:r w:rsidRPr="008D6E68">
              <w:rPr>
                <w:rFonts w:eastAsia="Times New Roman" w:cs="Times New Roman"/>
                <w:color w:val="FF0000"/>
                <w:lang w:val="en"/>
              </w:rPr>
              <w:t>previous 2011 review, found no good or fair quality studies eligible</w:t>
            </w:r>
            <w:r>
              <w:rPr>
                <w:rFonts w:eastAsia="Times New Roman" w:cs="Times New Roman"/>
                <w:color w:val="FF0000"/>
                <w:lang w:val="en"/>
              </w:rPr>
              <w:t xml:space="preserve"> for this key question</w:t>
            </w:r>
          </w:p>
          <w:p w14:paraId="34B23E9A" w14:textId="08D10462"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2a. What is the accuracy and reliability of screening approaches to identify adults who are at increased risk for osteoporotic fracture? </w:t>
            </w:r>
          </w:p>
          <w:p w14:paraId="405154B4" w14:textId="640972A8" w:rsidR="001B7D76"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color w:val="FF0000"/>
                <w:lang w:val="en"/>
              </w:rPr>
              <w:t>Accuracy of Clinical Risk Assessment Tools for Identifying Osteoporosis</w:t>
            </w:r>
            <w:r>
              <w:rPr>
                <w:rFonts w:eastAsia="Times New Roman" w:cs="Times New Roman"/>
                <w:color w:val="FF0000"/>
                <w:lang w:val="en"/>
              </w:rPr>
              <w:t>: i</w:t>
            </w:r>
            <w:r w:rsidR="001B7D76">
              <w:rPr>
                <w:rFonts w:eastAsia="Times New Roman" w:cs="Times New Roman"/>
                <w:color w:val="FF0000"/>
                <w:lang w:val="en"/>
              </w:rPr>
              <w:t>ncluded 37 articles (35 studies, fair or good quality)</w:t>
            </w:r>
          </w:p>
          <w:p w14:paraId="69F03DF2" w14:textId="406F69F2" w:rsidR="009666CA"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color w:val="FF0000"/>
                <w:lang w:val="en"/>
              </w:rPr>
              <w:t>Accuracy of Bone Measurement Tests Used to Identify Low Bone Mass and Osteoporosis</w:t>
            </w:r>
            <w:r>
              <w:rPr>
                <w:rFonts w:eastAsia="Times New Roman" w:cs="Times New Roman"/>
                <w:color w:val="FF0000"/>
                <w:lang w:val="en"/>
              </w:rPr>
              <w:t>: included 11 studies, fair or good quality</w:t>
            </w:r>
          </w:p>
          <w:p w14:paraId="0D404BBF" w14:textId="6DA94588" w:rsidR="009666CA"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color w:val="FF0000"/>
                <w:lang w:val="en"/>
              </w:rPr>
              <w:t>Accuracy of Bone Measurement Tests Used to Predict Fracture</w:t>
            </w:r>
            <w:r>
              <w:rPr>
                <w:rFonts w:eastAsia="Times New Roman" w:cs="Times New Roman"/>
                <w:color w:val="FF0000"/>
                <w:lang w:val="en"/>
              </w:rPr>
              <w:t>: included 21 studies, fair or good quality</w:t>
            </w:r>
          </w:p>
          <w:p w14:paraId="11DD626D" w14:textId="5E5C7FD3" w:rsidR="009666CA"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bCs/>
                <w:color w:val="FF0000"/>
              </w:rPr>
              <w:t xml:space="preserve">Accuracy of Fracture Risk Prediction Instruments: </w:t>
            </w:r>
            <w:r w:rsidRPr="009666CA">
              <w:rPr>
                <w:rFonts w:eastAsia="Times New Roman" w:cs="Times New Roman"/>
                <w:color w:val="FF0000"/>
                <w:lang w:val="en"/>
              </w:rPr>
              <w:t>included</w:t>
            </w:r>
            <w:r>
              <w:rPr>
                <w:rFonts w:eastAsia="Times New Roman" w:cs="Times New Roman"/>
                <w:color w:val="FF0000"/>
                <w:lang w:val="en"/>
              </w:rPr>
              <w:t xml:space="preserve"> 1 systematic review and 13 fair or good quality observational studies</w:t>
            </w:r>
          </w:p>
          <w:p w14:paraId="351874FC" w14:textId="7F64D90F"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2b. What is the evidence to determine screening intervals and how do these vary by baseline fracture risk? </w:t>
            </w:r>
          </w:p>
          <w:p w14:paraId="0E35BF3F" w14:textId="6263CA27" w:rsidR="009666CA" w:rsidRDefault="009666CA" w:rsidP="009666CA">
            <w:pPr>
              <w:pStyle w:val="ListParagraph"/>
              <w:numPr>
                <w:ilvl w:val="0"/>
                <w:numId w:val="18"/>
              </w:numPr>
              <w:rPr>
                <w:rFonts w:eastAsia="Times New Roman" w:cs="Times New Roman"/>
                <w:color w:val="FF0000"/>
                <w:lang w:val="en"/>
              </w:rPr>
            </w:pPr>
            <w:r>
              <w:rPr>
                <w:rFonts w:eastAsia="Times New Roman" w:cs="Times New Roman"/>
                <w:color w:val="FF0000"/>
                <w:lang w:val="en"/>
              </w:rPr>
              <w:t>Included 2 articles (2 studies, good quality)</w:t>
            </w:r>
          </w:p>
          <w:p w14:paraId="064CB5A0" w14:textId="2D91D9BC"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3. What are the harms of screening for osteoporotic fracture risk? </w:t>
            </w:r>
          </w:p>
          <w:p w14:paraId="39B26CD6" w14:textId="57A65E4F" w:rsidR="009E7F23" w:rsidRDefault="00BA2A9B" w:rsidP="00BA2A9B">
            <w:pPr>
              <w:pStyle w:val="Default"/>
              <w:numPr>
                <w:ilvl w:val="0"/>
                <w:numId w:val="18"/>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Found no eligible studies that addressed this question</w:t>
            </w:r>
          </w:p>
          <w:p w14:paraId="247CDCFC" w14:textId="77777777" w:rsidR="00BA2A9B" w:rsidRPr="009E7F23" w:rsidRDefault="00BA2A9B" w:rsidP="00BA2A9B">
            <w:pPr>
              <w:pStyle w:val="Default"/>
              <w:ind w:left="720"/>
              <w:rPr>
                <w:rFonts w:asciiTheme="minorHAnsi" w:eastAsia="Times New Roman" w:hAnsiTheme="minorHAnsi"/>
                <w:color w:val="FF0000"/>
                <w:sz w:val="22"/>
                <w:szCs w:val="22"/>
                <w:lang w:val="en"/>
              </w:rPr>
            </w:pPr>
          </w:p>
          <w:p w14:paraId="47E078F1" w14:textId="307E6782"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4a. What is the effectiveness of pharmacotherapy for the reduction of fractures and related morbidity and mortality? </w:t>
            </w:r>
          </w:p>
          <w:p w14:paraId="7C55B0ED" w14:textId="1D631383"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2BAF1B71" w14:textId="54CB84EA" w:rsidR="009E7F23"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7 studies, fair or good quality</w:t>
            </w:r>
          </w:p>
          <w:p w14:paraId="552F80CA" w14:textId="75F842A0"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 included 2 studies, fair or good quality</w:t>
            </w:r>
          </w:p>
          <w:p w14:paraId="26DE2526" w14:textId="5BB7EDBC"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4 studies, fair or good quality</w:t>
            </w:r>
          </w:p>
          <w:p w14:paraId="3A282A60" w14:textId="53D2B46B"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Etidronate: included 2 fair quality studies</w:t>
            </w:r>
          </w:p>
          <w:p w14:paraId="55604450" w14:textId="14F1A260" w:rsidR="00BA2A9B" w:rsidRPr="00BA2A9B" w:rsidRDefault="00BA2A9B" w:rsidP="00C17549">
            <w:pPr>
              <w:pStyle w:val="Default"/>
              <w:numPr>
                <w:ilvl w:val="0"/>
                <w:numId w:val="18"/>
              </w:numPr>
              <w:ind w:left="1074"/>
              <w:rPr>
                <w:rFonts w:asciiTheme="minorHAnsi" w:eastAsia="Times New Roman" w:hAnsiTheme="minorHAnsi"/>
                <w:color w:val="FF0000"/>
                <w:sz w:val="22"/>
                <w:szCs w:val="22"/>
                <w:lang w:val="en"/>
              </w:rPr>
            </w:pPr>
            <w:r w:rsidRPr="00BA2A9B">
              <w:rPr>
                <w:rFonts w:asciiTheme="minorHAnsi" w:eastAsia="Times New Roman" w:hAnsiTheme="minorHAnsi"/>
                <w:color w:val="FF0000"/>
                <w:sz w:val="22"/>
                <w:szCs w:val="22"/>
                <w:lang w:val="en"/>
              </w:rPr>
              <w:lastRenderedPageBreak/>
              <w:t>Ibandronate: identified no studies or trials that assessed the benefits of ibandronate for preventing</w:t>
            </w:r>
            <w:r>
              <w:rPr>
                <w:rFonts w:asciiTheme="minorHAnsi" w:eastAsia="Times New Roman" w:hAnsiTheme="minorHAnsi"/>
                <w:color w:val="FF0000"/>
                <w:sz w:val="22"/>
                <w:szCs w:val="22"/>
                <w:lang w:val="en"/>
              </w:rPr>
              <w:t xml:space="preserve"> fractures</w:t>
            </w:r>
          </w:p>
          <w:p w14:paraId="0D2A9189" w14:textId="227EFC19"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7C9A1ACD" w14:textId="2FA34F0B" w:rsidR="00BA2A9B" w:rsidRDefault="00BA2A9B" w:rsidP="00C17549">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1 large good quality RCT</w:t>
            </w:r>
          </w:p>
          <w:p w14:paraId="57BB93A6"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271C35E9" w14:textId="33A2FDDB"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47E045FA"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3FEF9563" w14:textId="539C1AC8"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3 fair quality trials</w:t>
            </w:r>
          </w:p>
          <w:p w14:paraId="13C4BA28" w14:textId="6C85C513"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62E65F9D" w14:textId="46B4AEBC"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2 fair quality trials</w:t>
            </w:r>
          </w:p>
          <w:p w14:paraId="77D50164" w14:textId="77777777" w:rsidR="00BA2A9B" w:rsidRDefault="00BA2A9B" w:rsidP="00BA2A9B">
            <w:pPr>
              <w:pStyle w:val="Default"/>
              <w:ind w:left="354"/>
              <w:rPr>
                <w:rFonts w:asciiTheme="minorHAnsi" w:eastAsia="Times New Roman" w:hAnsiTheme="minorHAnsi"/>
                <w:color w:val="FF0000"/>
                <w:sz w:val="22"/>
                <w:szCs w:val="22"/>
                <w:lang w:val="en"/>
              </w:rPr>
            </w:pPr>
          </w:p>
          <w:p w14:paraId="098C89C6" w14:textId="61DD985A"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4b. How does the effectiveness of pharmacotherapy for the reduction of fractures and related morbidity and mortality vary by subgroup, specifically in postmenopausal women, premenopausal women, men, younger age groups (age &lt;65 years), older age groups (age ≥65 years), baseline bone mineral density, and baseline fracture risk? </w:t>
            </w:r>
          </w:p>
          <w:p w14:paraId="48A79E87"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0C6C01C7" w14:textId="69CAF921"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w:t>
            </w:r>
            <w:r w:rsidR="00C17549">
              <w:rPr>
                <w:rFonts w:asciiTheme="minorHAnsi" w:eastAsia="Times New Roman" w:hAnsiTheme="minorHAnsi"/>
                <w:color w:val="FF0000"/>
                <w:sz w:val="22"/>
                <w:szCs w:val="22"/>
                <w:lang w:val="en"/>
              </w:rPr>
              <w:t xml:space="preserve">, Etidronate, </w:t>
            </w:r>
            <w:r w:rsidR="00C17549" w:rsidRPr="00BA2A9B">
              <w:rPr>
                <w:rFonts w:asciiTheme="minorHAnsi" w:eastAsia="Times New Roman" w:hAnsiTheme="minorHAnsi"/>
                <w:color w:val="FF0000"/>
                <w:sz w:val="22"/>
                <w:szCs w:val="22"/>
                <w:lang w:val="en"/>
              </w:rPr>
              <w:t>Ibandronate</w:t>
            </w:r>
            <w:r>
              <w:rPr>
                <w:rFonts w:asciiTheme="minorHAnsi" w:eastAsia="Times New Roman" w:hAnsiTheme="minorHAnsi"/>
                <w:color w:val="FF0000"/>
                <w:sz w:val="22"/>
                <w:szCs w:val="22"/>
                <w:lang w:val="en"/>
              </w:rPr>
              <w:t xml:space="preserve">: </w:t>
            </w:r>
            <w:r w:rsidR="00C17549" w:rsidRPr="00C17549">
              <w:rPr>
                <w:rFonts w:asciiTheme="minorHAnsi" w:eastAsia="Times New Roman" w:hAnsiTheme="minorHAnsi"/>
                <w:color w:val="FF0000"/>
                <w:sz w:val="22"/>
                <w:szCs w:val="22"/>
                <w:lang w:val="en"/>
              </w:rPr>
              <w:t>found no relevant results in included studies for subgroup analysis</w:t>
            </w:r>
          </w:p>
          <w:p w14:paraId="70B79279" w14:textId="67417649" w:rsidR="00C17549" w:rsidRDefault="00C17549"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1 study</w:t>
            </w:r>
          </w:p>
          <w:p w14:paraId="268CE252" w14:textId="08091FAB"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Risedronate: </w:t>
            </w:r>
            <w:r w:rsidR="00C17549">
              <w:rPr>
                <w:rFonts w:asciiTheme="minorHAnsi" w:eastAsia="Times New Roman" w:hAnsiTheme="minorHAnsi"/>
                <w:color w:val="FF0000"/>
                <w:sz w:val="22"/>
                <w:szCs w:val="22"/>
                <w:lang w:val="en"/>
              </w:rPr>
              <w:t>included 1 RCT</w:t>
            </w:r>
          </w:p>
          <w:p w14:paraId="38ACB03B"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53F1A851" w14:textId="5E672D1A" w:rsidR="00BA2A9B" w:rsidRDefault="00BA2A9B" w:rsidP="00C17549">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w:t>
            </w:r>
            <w:r w:rsidR="00C17549">
              <w:rPr>
                <w:rFonts w:asciiTheme="minorHAnsi" w:eastAsia="Times New Roman" w:hAnsiTheme="minorHAnsi"/>
                <w:color w:val="FF0000"/>
                <w:sz w:val="22"/>
                <w:szCs w:val="22"/>
                <w:lang w:val="en"/>
              </w:rPr>
              <w:t>1 study</w:t>
            </w:r>
          </w:p>
          <w:p w14:paraId="78D2FFF1"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51B1BC8E" w14:textId="77777777"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2A9B851B"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2B4E1767" w14:textId="1675775C"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w:t>
            </w:r>
            <w:r w:rsidR="00C17549">
              <w:rPr>
                <w:rFonts w:asciiTheme="minorHAnsi" w:eastAsia="Times New Roman" w:hAnsiTheme="minorHAnsi"/>
                <w:color w:val="FF0000"/>
                <w:sz w:val="22"/>
                <w:szCs w:val="22"/>
                <w:lang w:val="en"/>
              </w:rPr>
              <w:t>1 fair quality trial</w:t>
            </w:r>
          </w:p>
          <w:p w14:paraId="6DE4A5E7"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77BD86CD" w14:textId="4AB4FCE9"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w:t>
            </w:r>
            <w:r w:rsidR="00C17549">
              <w:rPr>
                <w:rFonts w:asciiTheme="minorHAnsi" w:eastAsia="Times New Roman" w:hAnsiTheme="minorHAnsi"/>
                <w:color w:val="FF0000"/>
                <w:sz w:val="22"/>
                <w:szCs w:val="22"/>
                <w:lang w:val="en"/>
              </w:rPr>
              <w:t>1 fair quality trial</w:t>
            </w:r>
          </w:p>
          <w:p w14:paraId="5AC9C056" w14:textId="77777777" w:rsidR="009E7F23" w:rsidRPr="009E7F23" w:rsidRDefault="009E7F23" w:rsidP="009E7F23">
            <w:pPr>
              <w:pStyle w:val="Default"/>
              <w:ind w:left="720" w:hanging="360"/>
              <w:rPr>
                <w:rFonts w:asciiTheme="minorHAnsi" w:eastAsia="Times New Roman" w:hAnsiTheme="minorHAnsi"/>
                <w:color w:val="FF0000"/>
                <w:sz w:val="22"/>
                <w:szCs w:val="22"/>
                <w:lang w:val="en"/>
              </w:rPr>
            </w:pPr>
          </w:p>
          <w:p w14:paraId="0645B078" w14:textId="7E8C4C87" w:rsidR="009E7F23" w:rsidRDefault="009E7F23" w:rsidP="009E7F23">
            <w:pPr>
              <w:ind w:left="0" w:firstLine="0"/>
              <w:rPr>
                <w:rFonts w:eastAsia="Times New Roman" w:cs="Times New Roman"/>
                <w:color w:val="FF0000"/>
                <w:lang w:val="en"/>
              </w:rPr>
            </w:pPr>
            <w:r>
              <w:rPr>
                <w:rFonts w:eastAsia="Times New Roman"/>
                <w:color w:val="FF0000"/>
                <w:lang w:val="en"/>
              </w:rPr>
              <w:t xml:space="preserve">Key Question </w:t>
            </w:r>
            <w:r w:rsidRPr="009E7F23">
              <w:rPr>
                <w:rFonts w:eastAsia="Times New Roman" w:cs="Times New Roman"/>
                <w:color w:val="FF0000"/>
                <w:lang w:val="en"/>
              </w:rPr>
              <w:t>5. What are the harms associated with pharmacotherapy?</w:t>
            </w:r>
          </w:p>
          <w:p w14:paraId="6B074D7D"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1234A9D3" w14:textId="1AF7515D"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w:t>
            </w:r>
            <w:r w:rsidR="00B66016">
              <w:rPr>
                <w:rFonts w:asciiTheme="minorHAnsi" w:eastAsia="Times New Roman" w:hAnsiTheme="minorHAnsi"/>
                <w:color w:val="FF0000"/>
                <w:sz w:val="22"/>
                <w:szCs w:val="22"/>
                <w:lang w:val="en"/>
              </w:rPr>
              <w:t>: included 16</w:t>
            </w:r>
            <w:r>
              <w:rPr>
                <w:rFonts w:asciiTheme="minorHAnsi" w:eastAsia="Times New Roman" w:hAnsiTheme="minorHAnsi"/>
                <w:color w:val="FF0000"/>
                <w:sz w:val="22"/>
                <w:szCs w:val="22"/>
                <w:lang w:val="en"/>
              </w:rPr>
              <w:t xml:space="preserve"> studies, fair or good quality</w:t>
            </w:r>
          </w:p>
          <w:p w14:paraId="0963CF69" w14:textId="0468D92B"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w:t>
            </w:r>
            <w:r w:rsidR="00B66016">
              <w:rPr>
                <w:rFonts w:asciiTheme="minorHAnsi" w:eastAsia="Times New Roman" w:hAnsiTheme="minorHAnsi"/>
                <w:color w:val="FF0000"/>
                <w:sz w:val="22"/>
                <w:szCs w:val="22"/>
                <w:lang w:val="en"/>
              </w:rPr>
              <w:t>: included 4</w:t>
            </w:r>
            <w:r>
              <w:rPr>
                <w:rFonts w:asciiTheme="minorHAnsi" w:eastAsia="Times New Roman" w:hAnsiTheme="minorHAnsi"/>
                <w:color w:val="FF0000"/>
                <w:sz w:val="22"/>
                <w:szCs w:val="22"/>
                <w:lang w:val="en"/>
              </w:rPr>
              <w:t xml:space="preserve"> studies, fair or good quality</w:t>
            </w:r>
          </w:p>
          <w:p w14:paraId="551894C2" w14:textId="77777777"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4 studies, fair or good quality</w:t>
            </w:r>
          </w:p>
          <w:p w14:paraId="2B0FB75C" w14:textId="77777777"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Etidronate: included 2 fair quality studies</w:t>
            </w:r>
          </w:p>
          <w:p w14:paraId="14FA18F2" w14:textId="2835FEE6" w:rsidR="008D6E68" w:rsidRPr="00BA2A9B" w:rsidRDefault="008D6E68" w:rsidP="008D6E68">
            <w:pPr>
              <w:pStyle w:val="Default"/>
              <w:numPr>
                <w:ilvl w:val="0"/>
                <w:numId w:val="18"/>
              </w:numPr>
              <w:ind w:left="1074"/>
              <w:rPr>
                <w:rFonts w:asciiTheme="minorHAnsi" w:eastAsia="Times New Roman" w:hAnsiTheme="minorHAnsi"/>
                <w:color w:val="FF0000"/>
                <w:sz w:val="22"/>
                <w:szCs w:val="22"/>
                <w:lang w:val="en"/>
              </w:rPr>
            </w:pPr>
            <w:r w:rsidRPr="00BA2A9B">
              <w:rPr>
                <w:rFonts w:asciiTheme="minorHAnsi" w:eastAsia="Times New Roman" w:hAnsiTheme="minorHAnsi"/>
                <w:color w:val="FF0000"/>
                <w:sz w:val="22"/>
                <w:szCs w:val="22"/>
                <w:lang w:val="en"/>
              </w:rPr>
              <w:t xml:space="preserve">Ibandronate: </w:t>
            </w:r>
            <w:r w:rsidR="00B66016">
              <w:rPr>
                <w:rFonts w:asciiTheme="minorHAnsi" w:eastAsia="Times New Roman" w:hAnsiTheme="minorHAnsi"/>
                <w:color w:val="FF0000"/>
                <w:sz w:val="22"/>
                <w:szCs w:val="22"/>
                <w:lang w:val="en"/>
              </w:rPr>
              <w:t>included 7 fair quality studies</w:t>
            </w:r>
          </w:p>
          <w:p w14:paraId="599BAB31"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4403683E" w14:textId="69263892" w:rsidR="008D6E68" w:rsidRDefault="00B66016"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6 studies</w:t>
            </w:r>
          </w:p>
          <w:p w14:paraId="51C2EC83"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3DF83D33" w14:textId="77777777" w:rsidR="008D6E68" w:rsidRDefault="008D6E68"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77509EAC"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6AE421D2" w14:textId="0AADF981" w:rsidR="008D6E68" w:rsidRDefault="008D6E68"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w:t>
            </w:r>
            <w:r w:rsidR="00B66016">
              <w:rPr>
                <w:rFonts w:asciiTheme="minorHAnsi" w:eastAsia="Times New Roman" w:hAnsiTheme="minorHAnsi"/>
                <w:color w:val="FF0000"/>
                <w:sz w:val="22"/>
                <w:szCs w:val="22"/>
                <w:lang w:val="en"/>
              </w:rPr>
              <w:t>ncluded 3 fair quality studies</w:t>
            </w:r>
          </w:p>
          <w:p w14:paraId="4CF26083"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096D58BC" w14:textId="08C006B8" w:rsidR="008D6E68" w:rsidRDefault="008D6E68"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2 fair quality </w:t>
            </w:r>
            <w:r w:rsidR="00B66016">
              <w:rPr>
                <w:rFonts w:asciiTheme="minorHAnsi" w:eastAsia="Times New Roman" w:hAnsiTheme="minorHAnsi"/>
                <w:color w:val="FF0000"/>
                <w:sz w:val="22"/>
                <w:szCs w:val="22"/>
                <w:lang w:val="en"/>
              </w:rPr>
              <w:t>studies</w:t>
            </w:r>
          </w:p>
          <w:p w14:paraId="710D70A2" w14:textId="77777777" w:rsidR="009E7F23" w:rsidRDefault="009E7F23" w:rsidP="00B871B5">
            <w:pPr>
              <w:ind w:left="0" w:firstLine="0"/>
              <w:rPr>
                <w:rFonts w:eastAsia="Times New Roman" w:cs="Times New Roman"/>
                <w:color w:val="FF0000"/>
                <w:lang w:val="en"/>
              </w:rPr>
            </w:pPr>
          </w:p>
          <w:p w14:paraId="21099628" w14:textId="62F98C27" w:rsidR="00B871B5" w:rsidRDefault="00B66016" w:rsidP="00B66016">
            <w:pPr>
              <w:ind w:left="0" w:firstLine="0"/>
              <w:rPr>
                <w:rFonts w:eastAsia="Times New Roman" w:cs="Times New Roman"/>
                <w:color w:val="FF0000"/>
                <w:lang w:val="en"/>
              </w:rPr>
            </w:pPr>
            <w:r w:rsidRPr="00B66016">
              <w:rPr>
                <w:rFonts w:eastAsia="Times New Roman" w:cs="Times New Roman"/>
                <w:color w:val="FF0000"/>
                <w:lang w:val="en"/>
              </w:rPr>
              <w:lastRenderedPageBreak/>
              <w:t>Viswanathan, M.</w:t>
            </w:r>
            <w:r w:rsidR="00B871B5" w:rsidRPr="00B66016">
              <w:rPr>
                <w:rFonts w:eastAsia="Times New Roman" w:cs="Times New Roman"/>
                <w:color w:val="FF0000"/>
                <w:lang w:val="en"/>
              </w:rPr>
              <w:t>,</w:t>
            </w:r>
            <w:r w:rsidRPr="00B66016">
              <w:rPr>
                <w:rFonts w:eastAsia="Times New Roman" w:cs="Times New Roman"/>
                <w:color w:val="FF0000"/>
                <w:lang w:val="en"/>
              </w:rPr>
              <w:t xml:space="preserve"> et al. 2017</w:t>
            </w:r>
            <w:r w:rsidR="00B871B5" w:rsidRPr="00B66016">
              <w:rPr>
                <w:rFonts w:eastAsia="Times New Roman" w:cs="Times New Roman"/>
                <w:color w:val="FF0000"/>
                <w:lang w:val="en"/>
              </w:rPr>
              <w:t>. “</w:t>
            </w:r>
            <w:r w:rsidRPr="00B66016">
              <w:rPr>
                <w:rFonts w:eastAsia="Times New Roman" w:cs="Times New Roman"/>
                <w:color w:val="FF0000"/>
                <w:lang w:val="en"/>
              </w:rPr>
              <w:t>Screening to Prevent Osteoporotic Fractures: An Evidence Review for the U.S. Preventive Services Task Force</w:t>
            </w:r>
            <w:r w:rsidR="00B871B5" w:rsidRPr="00B66016">
              <w:rPr>
                <w:rFonts w:eastAsia="Times New Roman" w:cs="Times New Roman"/>
                <w:color w:val="FF0000"/>
                <w:lang w:val="en"/>
              </w:rPr>
              <w:t xml:space="preserve">.” </w:t>
            </w:r>
            <w:r w:rsidRPr="00B66016">
              <w:rPr>
                <w:rFonts w:eastAsia="Times New Roman" w:cs="Times New Roman"/>
                <w:color w:val="FF0000"/>
                <w:lang w:val="en"/>
              </w:rPr>
              <w:t>Available here: https://www.uspreventiveservicestaskforce.org/Page/Document/UpdateSummaryDraft/osteoporosis-screening1</w:t>
            </w:r>
          </w:p>
          <w:p w14:paraId="67BA31FE" w14:textId="77777777" w:rsidR="00B871B5" w:rsidRDefault="00B871B5" w:rsidP="002E2177">
            <w:pPr>
              <w:ind w:left="0" w:firstLine="0"/>
              <w:rPr>
                <w:rFonts w:ascii="Trebuchet MS" w:hAnsi="Trebuchet MS"/>
                <w:b/>
                <w:sz w:val="20"/>
                <w:szCs w:val="20"/>
              </w:rPr>
            </w:pPr>
          </w:p>
          <w:p w14:paraId="05D9CFA2" w14:textId="584E5183" w:rsidR="00964A12" w:rsidRPr="00D53FC5" w:rsidRDefault="00964A12" w:rsidP="00964A12">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0FFF26BD" w14:textId="1A1A12E4" w:rsidR="00964A12" w:rsidRDefault="00964A12" w:rsidP="00964A12">
            <w:pPr>
              <w:ind w:left="0" w:firstLine="0"/>
            </w:pPr>
            <w:r>
              <w:rPr>
                <w:rFonts w:eastAsia="Times New Roman" w:cs="Times New Roman"/>
                <w:color w:val="4F81BD" w:themeColor="accent1"/>
                <w:lang w:val="en"/>
              </w:rPr>
              <w:t>Quantity: N/A</w:t>
            </w:r>
            <w:r w:rsidR="00C17549">
              <w:rPr>
                <w:rFonts w:eastAsia="Times New Roman" w:cs="Times New Roman"/>
                <w:color w:val="4F81BD" w:themeColor="accent1"/>
                <w:lang w:val="en"/>
              </w:rPr>
              <w:t xml:space="preserve"> (not required for previous submission)</w:t>
            </w:r>
          </w:p>
          <w:p w14:paraId="55B8DA89" w14:textId="28B5C1A5" w:rsidR="00E36E49" w:rsidRPr="00E36E49" w:rsidRDefault="00964A12" w:rsidP="00C17549">
            <w:pPr>
              <w:ind w:left="0" w:firstLine="0"/>
              <w:rPr>
                <w:rFonts w:ascii="Trebuchet MS" w:hAnsi="Trebuchet MS"/>
                <w:i/>
                <w:color w:val="FF0000"/>
                <w:sz w:val="20"/>
                <w:szCs w:val="20"/>
              </w:rPr>
            </w:pPr>
            <w:r>
              <w:rPr>
                <w:rFonts w:eastAsia="Times New Roman" w:cs="Times New Roman"/>
                <w:color w:val="4F81BD" w:themeColor="accent1"/>
                <w:lang w:val="en"/>
              </w:rPr>
              <w:t>Quality: N/A</w:t>
            </w:r>
            <w:r w:rsidR="00C17549">
              <w:rPr>
                <w:rFonts w:eastAsia="Times New Roman" w:cs="Times New Roman"/>
                <w:color w:val="4F81BD" w:themeColor="accent1"/>
                <w:lang w:val="en"/>
              </w:rPr>
              <w:t xml:space="preserve"> (not required for previous submission)</w:t>
            </w:r>
          </w:p>
        </w:tc>
      </w:tr>
      <w:tr w:rsidR="00AB4ECE" w14:paraId="55B8DA8D" w14:textId="77777777" w:rsidTr="000223B9">
        <w:tc>
          <w:tcPr>
            <w:tcW w:w="2338" w:type="dxa"/>
          </w:tcPr>
          <w:p w14:paraId="55B8DA8B" w14:textId="77777777" w:rsidR="00AB4ECE" w:rsidRDefault="000E5C93" w:rsidP="002E2177">
            <w:pPr>
              <w:ind w:left="0" w:firstLine="0"/>
            </w:pPr>
            <w:r>
              <w:lastRenderedPageBreak/>
              <w:t xml:space="preserve">Estimates of benefit and consistency across studies </w:t>
            </w:r>
          </w:p>
        </w:tc>
        <w:tc>
          <w:tcPr>
            <w:tcW w:w="7012" w:type="dxa"/>
          </w:tcPr>
          <w:p w14:paraId="5EE4BF3E" w14:textId="6C51A7EB" w:rsidR="005B57F9" w:rsidRPr="000223B9" w:rsidRDefault="005B57F9" w:rsidP="002E2177">
            <w:pPr>
              <w:ind w:left="0" w:firstLine="0"/>
              <w:rPr>
                <w:color w:val="FF0000"/>
                <w:u w:val="single"/>
              </w:rPr>
            </w:pPr>
            <w:r w:rsidRPr="000223B9">
              <w:rPr>
                <w:color w:val="FF0000"/>
                <w:u w:val="single"/>
              </w:rPr>
              <w:t>2018 Submission</w:t>
            </w:r>
          </w:p>
          <w:p w14:paraId="429B935D" w14:textId="596FB3DB" w:rsidR="005B57F9" w:rsidRPr="000223B9" w:rsidRDefault="005B57F9" w:rsidP="005B57F9">
            <w:pPr>
              <w:ind w:left="0" w:firstLine="0"/>
              <w:rPr>
                <w:rFonts w:eastAsia="Times New Roman" w:cs="Arial"/>
                <w:color w:val="FF0000"/>
              </w:rPr>
            </w:pPr>
            <w:r w:rsidRPr="000223B9">
              <w:rPr>
                <w:rFonts w:eastAsia="Times New Roman" w:cs="Arial"/>
                <w:color w:val="FF0000"/>
              </w:rPr>
              <w:t xml:space="preserve">The following text is quoted directly from the USPSTF recommendation statement. </w:t>
            </w:r>
          </w:p>
          <w:p w14:paraId="4E7301F6" w14:textId="77777777" w:rsidR="005B57F9" w:rsidRPr="000223B9" w:rsidRDefault="005B57F9" w:rsidP="005B57F9">
            <w:pPr>
              <w:ind w:left="0" w:firstLine="0"/>
              <w:rPr>
                <w:rFonts w:eastAsia="Times New Roman" w:cs="Arial"/>
                <w:color w:val="FF0000"/>
              </w:rPr>
            </w:pPr>
          </w:p>
          <w:p w14:paraId="214A2C99" w14:textId="645C92A7" w:rsidR="005B57F9" w:rsidRPr="000223B9" w:rsidRDefault="005B57F9" w:rsidP="005B57F9">
            <w:pPr>
              <w:ind w:left="0" w:firstLine="0"/>
              <w:rPr>
                <w:rFonts w:eastAsia="Times New Roman" w:cs="Arial"/>
                <w:color w:val="FF0000"/>
              </w:rPr>
            </w:pPr>
            <w:r w:rsidRPr="000223B9">
              <w:rPr>
                <w:rFonts w:eastAsia="Times New Roman" w:cs="Arial"/>
                <w:color w:val="FF0000"/>
              </w:rPr>
              <w:t>The USPSTF found no studies that evaluated the effect of screening for osteoporosis on fracture rates or fracture-related morbidity or mortality.</w:t>
            </w:r>
          </w:p>
          <w:p w14:paraId="359DA573" w14:textId="77777777" w:rsidR="005B57F9" w:rsidRPr="000223B9" w:rsidRDefault="005B57F9" w:rsidP="005B57F9">
            <w:pPr>
              <w:ind w:left="0" w:firstLine="0"/>
              <w:rPr>
                <w:rFonts w:eastAsia="Times New Roman" w:cs="Arial"/>
                <w:color w:val="FF0000"/>
              </w:rPr>
            </w:pPr>
          </w:p>
          <w:p w14:paraId="7BE10BA2" w14:textId="77777777" w:rsidR="005B57F9" w:rsidRPr="000223B9" w:rsidRDefault="005B57F9" w:rsidP="005B57F9">
            <w:pPr>
              <w:ind w:left="0" w:firstLine="0"/>
              <w:rPr>
                <w:rFonts w:eastAsia="Times New Roman" w:cs="Arial"/>
                <w:color w:val="FF0000"/>
              </w:rPr>
            </w:pPr>
            <w:r w:rsidRPr="000223B9">
              <w:rPr>
                <w:rFonts w:eastAsia="Times New Roman" w:cs="Arial"/>
                <w:color w:val="FF0000"/>
              </w:rPr>
              <w:t>The USPSTF found convincing evidence that bone measurement tests are accurate for detecting osteoporosis and predicting osteoporotic fractures in women and men. The USPSTF found adequate evidence that clinical risk assessment tools are moderately accurate in identifying risk of osteoporosis and osteoporotic fractures.</w:t>
            </w:r>
          </w:p>
          <w:p w14:paraId="03884469" w14:textId="77777777" w:rsidR="005B57F9" w:rsidRPr="000223B9" w:rsidRDefault="005B57F9" w:rsidP="005B57F9">
            <w:pPr>
              <w:ind w:left="0" w:firstLine="0"/>
              <w:rPr>
                <w:rFonts w:eastAsia="Times New Roman" w:cs="Arial"/>
                <w:color w:val="FF0000"/>
              </w:rPr>
            </w:pPr>
          </w:p>
          <w:p w14:paraId="1DB51BAE" w14:textId="77777777" w:rsidR="005B57F9" w:rsidRPr="000223B9" w:rsidRDefault="005B57F9" w:rsidP="005B57F9">
            <w:pPr>
              <w:ind w:left="0" w:firstLine="0"/>
              <w:rPr>
                <w:rFonts w:eastAsia="Times New Roman" w:cs="Arial"/>
                <w:color w:val="FF0000"/>
              </w:rPr>
            </w:pPr>
            <w:r w:rsidRPr="000223B9">
              <w:rPr>
                <w:rFonts w:eastAsia="Times New Roman" w:cs="Arial"/>
                <w:color w:val="FF0000"/>
              </w:rPr>
              <w:t>The USPSTF found convincing evidence that drug therapies reduce subsequent fracture rates in postmenopausal women. The benefit of treating screening-detected osteoporosis is at least moderate in women age 65 years and older and younger postmenopausal women who have similar fracture risk. The harms of treatment range from no greater than small for bisphosphonates and parathyroid hormone to small to moderate for raloxifene and estrogen. Therefore, the USPSTF concludes with moderate certainty that the net benefit of screening for osteoporosis in these groups of women is at least moderate.</w:t>
            </w:r>
          </w:p>
          <w:p w14:paraId="47F3AA24" w14:textId="77777777" w:rsidR="005B57F9" w:rsidRPr="000223B9" w:rsidRDefault="005B57F9" w:rsidP="005B57F9">
            <w:pPr>
              <w:ind w:left="0" w:firstLine="0"/>
              <w:rPr>
                <w:rFonts w:eastAsia="Times New Roman" w:cs="Arial"/>
                <w:color w:val="FF0000"/>
              </w:rPr>
            </w:pPr>
          </w:p>
          <w:p w14:paraId="610702EB" w14:textId="77777777" w:rsidR="005B57F9" w:rsidRPr="000223B9" w:rsidRDefault="005B57F9" w:rsidP="005B57F9">
            <w:pPr>
              <w:ind w:left="0" w:firstLine="0"/>
              <w:rPr>
                <w:rFonts w:eastAsia="Times New Roman" w:cs="Arial"/>
                <w:color w:val="FF0000"/>
              </w:rPr>
            </w:pPr>
            <w:r w:rsidRPr="000223B9">
              <w:rPr>
                <w:rFonts w:eastAsia="Times New Roman" w:cs="Arial"/>
                <w:color w:val="FF0000"/>
              </w:rPr>
              <w:t xml:space="preserve">The USPSTF concludes that the evidence is inadequate to assess the effectiveness of drug therapies in reducing subsequent fracture rates in men without previous fractures. Treatments that have been proven effective in women cannot necessarily be presumed to have similar effectiveness in men, and the direct evidence is too limited to draw definitive conclusions. Thus, the USPSTF could not assess the balance of benefits and harms of screening for osteoporosis in men. </w:t>
            </w:r>
          </w:p>
          <w:p w14:paraId="274D2175" w14:textId="26D1655F" w:rsidR="005B57F9" w:rsidRDefault="005B57F9" w:rsidP="005B57F9">
            <w:pPr>
              <w:ind w:left="0" w:firstLine="0"/>
              <w:rPr>
                <w:rFonts w:ascii="Trebuchet MS" w:hAnsi="Trebuchet MS"/>
                <w:color w:val="FF0000"/>
                <w:sz w:val="20"/>
                <w:szCs w:val="20"/>
              </w:rPr>
            </w:pPr>
          </w:p>
          <w:p w14:paraId="38C1BBEA" w14:textId="77777777" w:rsidR="005B57F9" w:rsidRPr="00D53FC5" w:rsidRDefault="005B57F9" w:rsidP="005B57F9">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55B8DA8C" w14:textId="2AC20403" w:rsidR="00C544BA" w:rsidRPr="005B57F9" w:rsidRDefault="005B57F9" w:rsidP="002E2177">
            <w:pPr>
              <w:ind w:left="0" w:firstLine="0"/>
            </w:pPr>
            <w:r>
              <w:rPr>
                <w:rFonts w:eastAsia="Times New Roman" w:cs="Times New Roman"/>
                <w:color w:val="4F81BD" w:themeColor="accent1"/>
                <w:lang w:val="en"/>
              </w:rPr>
              <w:t>N/A</w:t>
            </w:r>
            <w:r w:rsidR="000E7D1D" w:rsidRPr="005B57F9">
              <w:rPr>
                <w:rFonts w:ascii="Trebuchet MS" w:hAnsi="Trebuchet MS"/>
                <w:i/>
                <w:color w:val="984806" w:themeColor="accent6" w:themeShade="80"/>
                <w:sz w:val="20"/>
                <w:szCs w:val="20"/>
              </w:rPr>
              <w:t xml:space="preserve"> </w:t>
            </w:r>
          </w:p>
        </w:tc>
      </w:tr>
      <w:tr w:rsidR="000E5C93" w14:paraId="55B8DA90" w14:textId="77777777" w:rsidTr="000223B9">
        <w:tc>
          <w:tcPr>
            <w:tcW w:w="2338" w:type="dxa"/>
          </w:tcPr>
          <w:p w14:paraId="55B8DA8E" w14:textId="77777777" w:rsidR="000E5C93" w:rsidRDefault="000E5C93" w:rsidP="002E2177">
            <w:pPr>
              <w:ind w:left="0" w:firstLine="0"/>
            </w:pPr>
            <w:r>
              <w:t>What harms were identified?</w:t>
            </w:r>
          </w:p>
        </w:tc>
        <w:tc>
          <w:tcPr>
            <w:tcW w:w="7012" w:type="dxa"/>
          </w:tcPr>
          <w:p w14:paraId="58030112" w14:textId="77777777" w:rsidR="0080767F" w:rsidRPr="0080767F" w:rsidRDefault="0080767F" w:rsidP="0080767F">
            <w:pPr>
              <w:pStyle w:val="NormalWeb"/>
              <w:shd w:val="clear" w:color="auto" w:fill="FFFFFF"/>
              <w:spacing w:before="0" w:beforeAutospacing="0" w:after="0" w:afterAutospacing="0"/>
              <w:rPr>
                <w:rFonts w:asciiTheme="minorHAnsi" w:hAnsiTheme="minorHAnsi" w:cs="Arial"/>
                <w:color w:val="FF0000"/>
                <w:sz w:val="22"/>
                <w:szCs w:val="22"/>
                <w:u w:val="single"/>
              </w:rPr>
            </w:pPr>
            <w:r w:rsidRPr="0080767F">
              <w:rPr>
                <w:rFonts w:asciiTheme="minorHAnsi" w:hAnsiTheme="minorHAnsi" w:cs="Arial"/>
                <w:color w:val="FF0000"/>
                <w:sz w:val="22"/>
                <w:szCs w:val="22"/>
                <w:u w:val="single"/>
              </w:rPr>
              <w:t>2018 Submission</w:t>
            </w:r>
          </w:p>
          <w:p w14:paraId="666E6AA1" w14:textId="4F523E31" w:rsidR="0080767F" w:rsidRPr="0080767F" w:rsidRDefault="00FE2B1B" w:rsidP="0080767F">
            <w:pPr>
              <w:pStyle w:val="NormalWeb"/>
              <w:shd w:val="clear" w:color="auto" w:fill="FFFFFF"/>
              <w:spacing w:before="0" w:beforeAutospacing="0" w:after="0" w:afterAutospacing="0"/>
              <w:rPr>
                <w:rFonts w:asciiTheme="minorHAnsi" w:hAnsiTheme="minorHAnsi" w:cs="Arial"/>
                <w:color w:val="FF0000"/>
                <w:sz w:val="22"/>
                <w:szCs w:val="22"/>
              </w:rPr>
            </w:pPr>
            <w:r>
              <w:rPr>
                <w:rFonts w:asciiTheme="minorHAnsi" w:hAnsiTheme="minorHAnsi" w:cs="Arial"/>
                <w:color w:val="FF0000"/>
                <w:sz w:val="22"/>
                <w:szCs w:val="22"/>
              </w:rPr>
              <w:t>The following is quoted directly from the</w:t>
            </w:r>
            <w:r w:rsidR="00F5786B">
              <w:rPr>
                <w:rFonts w:asciiTheme="minorHAnsi" w:hAnsiTheme="minorHAnsi" w:cs="Arial"/>
                <w:color w:val="FF0000"/>
                <w:sz w:val="22"/>
                <w:szCs w:val="22"/>
              </w:rPr>
              <w:t xml:space="preserve"> USPSTF </w:t>
            </w:r>
            <w:r w:rsidR="00EB7A81">
              <w:rPr>
                <w:rFonts w:asciiTheme="minorHAnsi" w:hAnsiTheme="minorHAnsi" w:cs="Arial"/>
                <w:color w:val="FF0000"/>
                <w:sz w:val="22"/>
                <w:szCs w:val="22"/>
              </w:rPr>
              <w:t>draft recommendation statement</w:t>
            </w:r>
            <w:r w:rsidR="00F5786B">
              <w:rPr>
                <w:rFonts w:asciiTheme="minorHAnsi" w:hAnsiTheme="minorHAnsi" w:cs="Arial"/>
                <w:color w:val="FF0000"/>
                <w:sz w:val="22"/>
                <w:szCs w:val="22"/>
              </w:rPr>
              <w:t>: “</w:t>
            </w:r>
            <w:r w:rsidR="0080767F" w:rsidRPr="0080767F">
              <w:rPr>
                <w:rFonts w:asciiTheme="minorHAnsi" w:hAnsiTheme="minorHAnsi" w:cs="Arial"/>
                <w:color w:val="FF0000"/>
                <w:sz w:val="22"/>
                <w:szCs w:val="22"/>
              </w:rPr>
              <w:t>The USPSTF found no studies that described harms of screening for osteoporosis in men or women. Based on the nature of screening with bone measurement tests and the low likelihood of serious harms, the USPSTF found adequate evidence to bound these harms as no greater than small. Harms associated with screening may include radiation exposure from DXA and opportunity costs (time and effort required by patients and the health care system).</w:t>
            </w:r>
            <w:r w:rsidR="00F5786B">
              <w:rPr>
                <w:rFonts w:asciiTheme="minorHAnsi" w:hAnsiTheme="minorHAnsi" w:cs="Arial"/>
                <w:color w:val="FF0000"/>
                <w:sz w:val="22"/>
                <w:szCs w:val="22"/>
              </w:rPr>
              <w:t>”</w:t>
            </w:r>
          </w:p>
          <w:p w14:paraId="04668FCE" w14:textId="77777777" w:rsidR="00EB7A81" w:rsidRDefault="00EB7A81" w:rsidP="00EB7A81">
            <w:pPr>
              <w:rPr>
                <w:i/>
                <w:color w:val="FF0000"/>
              </w:rPr>
            </w:pPr>
          </w:p>
          <w:p w14:paraId="57E593C8" w14:textId="4865CC97" w:rsidR="00EB7A81" w:rsidRPr="00D53FC5" w:rsidRDefault="00EB7A81" w:rsidP="00EB7A81">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55B8DA8F" w14:textId="1D634124" w:rsidR="000E7D1D" w:rsidRPr="0080767F" w:rsidRDefault="00EB7A81" w:rsidP="00EB7A81">
            <w:pPr>
              <w:ind w:left="0" w:firstLine="0"/>
              <w:rPr>
                <w:i/>
                <w:color w:val="FF0000"/>
              </w:rPr>
            </w:pPr>
            <w:r>
              <w:rPr>
                <w:rFonts w:eastAsia="Times New Roman" w:cs="Times New Roman"/>
                <w:color w:val="4F81BD" w:themeColor="accent1"/>
                <w:lang w:val="en"/>
              </w:rPr>
              <w:t>N/A</w:t>
            </w:r>
          </w:p>
        </w:tc>
      </w:tr>
      <w:tr w:rsidR="000E5C93" w14:paraId="55B8DA93" w14:textId="77777777" w:rsidTr="000223B9">
        <w:tc>
          <w:tcPr>
            <w:tcW w:w="2338"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7012" w:type="dxa"/>
          </w:tcPr>
          <w:p w14:paraId="2CF18F16" w14:textId="77777777" w:rsidR="000223B9" w:rsidRPr="000223B9" w:rsidRDefault="000223B9" w:rsidP="00F5786B">
            <w:pPr>
              <w:ind w:left="0" w:firstLine="0"/>
              <w:rPr>
                <w:color w:val="FF0000"/>
                <w:u w:val="single"/>
              </w:rPr>
            </w:pPr>
            <w:r w:rsidRPr="000223B9">
              <w:rPr>
                <w:color w:val="FF0000"/>
                <w:u w:val="single"/>
              </w:rPr>
              <w:t xml:space="preserve">2018 Submission </w:t>
            </w:r>
          </w:p>
          <w:p w14:paraId="450994CD" w14:textId="77777777" w:rsidR="000E5C93" w:rsidRDefault="000223B9" w:rsidP="00F5786B">
            <w:pPr>
              <w:ind w:left="0" w:firstLine="0"/>
              <w:rPr>
                <w:color w:val="FF0000"/>
              </w:rPr>
            </w:pPr>
            <w:r w:rsidRPr="000223B9">
              <w:rPr>
                <w:color w:val="FF0000"/>
              </w:rPr>
              <w:t>To our knowledge, there have been no published studies since the systematic review that would impact the recommendations.</w:t>
            </w:r>
          </w:p>
          <w:p w14:paraId="36CB0276" w14:textId="77777777" w:rsidR="00EB7A81" w:rsidRDefault="00EB7A81" w:rsidP="00F5786B">
            <w:pPr>
              <w:ind w:left="0" w:firstLine="0"/>
              <w:rPr>
                <w:color w:val="FF0000"/>
              </w:rPr>
            </w:pPr>
          </w:p>
          <w:p w14:paraId="1C853D38" w14:textId="77777777" w:rsidR="00EB7A81" w:rsidRPr="00D53FC5" w:rsidRDefault="00EB7A81" w:rsidP="00EB7A81">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55B8DA92" w14:textId="3E8A43F8" w:rsidR="00EB7A81" w:rsidRDefault="00EB7A81" w:rsidP="00EB7A81">
            <w:pPr>
              <w:ind w:left="0" w:firstLine="0"/>
            </w:pPr>
            <w:r>
              <w:rPr>
                <w:rFonts w:eastAsia="Times New Roman" w:cs="Times New Roman"/>
                <w:color w:val="4F81BD" w:themeColor="accent1"/>
                <w:lang w:val="en"/>
              </w:rPr>
              <w:t>N/A</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EB7A81" w:rsidRDefault="000E5C93" w:rsidP="002E2177">
      <w:pPr>
        <w:ind w:left="0" w:firstLine="0"/>
        <w:rPr>
          <w:b/>
          <w:color w:val="D9D9D9" w:themeColor="background1" w:themeShade="D9"/>
        </w:rPr>
      </w:pPr>
      <w:bookmarkStart w:id="7" w:name="Section1a8"/>
      <w:bookmarkEnd w:id="7"/>
      <w:r w:rsidRPr="00EB7A81">
        <w:rPr>
          <w:b/>
          <w:color w:val="D9D9D9" w:themeColor="background1" w:themeShade="D9"/>
        </w:rPr>
        <w:t>1a.4</w:t>
      </w:r>
      <w:r w:rsidR="00837121" w:rsidRPr="00EB7A81">
        <w:rPr>
          <w:b/>
          <w:color w:val="D9D9D9" w:themeColor="background1" w:themeShade="D9"/>
        </w:rPr>
        <w:t xml:space="preserve"> OTHER SOURCE OF EVIDENCE</w:t>
      </w:r>
    </w:p>
    <w:p w14:paraId="55B8DA97" w14:textId="77777777" w:rsidR="00837121" w:rsidRPr="00EB7A81" w:rsidRDefault="00837121" w:rsidP="002E2177">
      <w:pPr>
        <w:ind w:left="0" w:firstLine="0"/>
        <w:rPr>
          <w:i/>
          <w:color w:val="D9D9D9" w:themeColor="background1" w:themeShade="D9"/>
        </w:rPr>
      </w:pPr>
      <w:r w:rsidRPr="00EB7A81">
        <w:rPr>
          <w:i/>
          <w:color w:val="D9D9D9" w:themeColor="background1" w:themeShade="D9"/>
        </w:rPr>
        <w:t xml:space="preserve">If source of evidence is </w:t>
      </w:r>
      <w:r w:rsidR="002B06BD" w:rsidRPr="00EB7A81">
        <w:rPr>
          <w:i/>
          <w:color w:val="D9D9D9" w:themeColor="background1" w:themeShade="D9"/>
        </w:rPr>
        <w:t xml:space="preserve">NOT </w:t>
      </w:r>
      <w:r w:rsidRPr="00EB7A81">
        <w:rPr>
          <w:i/>
          <w:color w:val="D9D9D9" w:themeColor="background1" w:themeShade="D9"/>
        </w:rPr>
        <w:t xml:space="preserve">from a clinical practice guideline, USPSTF, or systematic review, please describe the evidence on which you are basing </w:t>
      </w:r>
      <w:r w:rsidR="00EE1F87" w:rsidRPr="00EB7A81">
        <w:rPr>
          <w:i/>
          <w:color w:val="D9D9D9" w:themeColor="background1" w:themeShade="D9"/>
        </w:rPr>
        <w:t xml:space="preserve">the </w:t>
      </w:r>
      <w:r w:rsidRPr="00EB7A81">
        <w:rPr>
          <w:i/>
          <w:color w:val="D9D9D9" w:themeColor="background1" w:themeShade="D9"/>
        </w:rPr>
        <w:t>performance measure.</w:t>
      </w:r>
    </w:p>
    <w:p w14:paraId="55B8DA98" w14:textId="77777777" w:rsidR="00837121" w:rsidRPr="00EB7A81" w:rsidRDefault="00837121" w:rsidP="002E2177">
      <w:pPr>
        <w:ind w:left="0" w:firstLine="0"/>
        <w:rPr>
          <w:color w:val="D9D9D9" w:themeColor="background1" w:themeShade="D9"/>
        </w:rPr>
      </w:pPr>
    </w:p>
    <w:p w14:paraId="55B8DA99" w14:textId="77777777" w:rsidR="000E5C93" w:rsidRPr="00EB7A81" w:rsidRDefault="000E5C93" w:rsidP="002E2177">
      <w:pPr>
        <w:ind w:left="0" w:firstLine="0"/>
        <w:rPr>
          <w:color w:val="D9D9D9" w:themeColor="background1" w:themeShade="D9"/>
        </w:rPr>
      </w:pPr>
      <w:r w:rsidRPr="00EB7A81">
        <w:rPr>
          <w:b/>
          <w:color w:val="D9D9D9" w:themeColor="background1" w:themeShade="D9"/>
        </w:rPr>
        <w:t>1a.4</w:t>
      </w:r>
      <w:r w:rsidR="00837121" w:rsidRPr="00EB7A81">
        <w:rPr>
          <w:b/>
          <w:color w:val="D9D9D9" w:themeColor="background1" w:themeShade="D9"/>
        </w:rPr>
        <w:t>.1</w:t>
      </w:r>
      <w:r w:rsidR="00837121" w:rsidRPr="00EB7A81">
        <w:rPr>
          <w:color w:val="D9D9D9" w:themeColor="background1" w:themeShade="D9"/>
        </w:rPr>
        <w:t xml:space="preserve"> </w:t>
      </w:r>
      <w:r w:rsidRPr="00EB7A81">
        <w:rPr>
          <w:b/>
          <w:color w:val="D9D9D9" w:themeColor="background1" w:themeShade="D9"/>
        </w:rPr>
        <w:t xml:space="preserve">Briefly </w:t>
      </w:r>
      <w:r w:rsidR="00E42FAA" w:rsidRPr="00EB7A81">
        <w:rPr>
          <w:b/>
          <w:color w:val="D9D9D9" w:themeColor="background1" w:themeShade="D9"/>
        </w:rPr>
        <w:t xml:space="preserve">SYNTHESIZE </w:t>
      </w:r>
      <w:r w:rsidRPr="00EB7A81">
        <w:rPr>
          <w:b/>
          <w:color w:val="D9D9D9" w:themeColor="background1" w:themeShade="D9"/>
        </w:rPr>
        <w:t xml:space="preserve">the evidence that supports the measure. </w:t>
      </w:r>
      <w:r w:rsidRPr="00EB7A81">
        <w:rPr>
          <w:color w:val="D9D9D9" w:themeColor="background1" w:themeShade="D9"/>
        </w:rPr>
        <w:t>A list of references without a summary is not acceptable.</w:t>
      </w:r>
    </w:p>
    <w:p w14:paraId="55B8DA9A" w14:textId="77777777" w:rsidR="000E5C93" w:rsidRPr="00EB7A81" w:rsidRDefault="000E5C93" w:rsidP="002E2177">
      <w:pPr>
        <w:ind w:left="0" w:firstLine="0"/>
        <w:rPr>
          <w:b/>
          <w:color w:val="D9D9D9" w:themeColor="background1" w:themeShade="D9"/>
        </w:rPr>
      </w:pPr>
    </w:p>
    <w:p w14:paraId="55B8DA9B" w14:textId="77777777" w:rsidR="00837121" w:rsidRPr="00EB7A81" w:rsidRDefault="000E5C93" w:rsidP="002E2177">
      <w:pPr>
        <w:ind w:left="0" w:firstLine="0"/>
        <w:rPr>
          <w:color w:val="D9D9D9" w:themeColor="background1" w:themeShade="D9"/>
        </w:rPr>
      </w:pPr>
      <w:r w:rsidRPr="00EB7A81">
        <w:rPr>
          <w:b/>
          <w:color w:val="D9D9D9" w:themeColor="background1" w:themeShade="D9"/>
        </w:rPr>
        <w:t xml:space="preserve">1a.4.2 </w:t>
      </w:r>
      <w:r w:rsidR="00837121" w:rsidRPr="00EB7A81">
        <w:rPr>
          <w:b/>
          <w:color w:val="D9D9D9" w:themeColor="background1" w:themeShade="D9"/>
        </w:rPr>
        <w:t>What process was used to identify the evidence?</w:t>
      </w:r>
    </w:p>
    <w:p w14:paraId="55B8DA9C" w14:textId="77777777" w:rsidR="00837121" w:rsidRPr="00EB7A81" w:rsidRDefault="00837121" w:rsidP="002E2177">
      <w:pPr>
        <w:ind w:left="0" w:firstLine="0"/>
        <w:rPr>
          <w:color w:val="D9D9D9" w:themeColor="background1" w:themeShade="D9"/>
        </w:rPr>
      </w:pPr>
    </w:p>
    <w:p w14:paraId="55B8DA9D" w14:textId="77777777" w:rsidR="00837121" w:rsidRPr="00EB7A81" w:rsidRDefault="000E5C93" w:rsidP="002E2177">
      <w:pPr>
        <w:ind w:left="0" w:firstLine="0"/>
        <w:rPr>
          <w:color w:val="D9D9D9" w:themeColor="background1" w:themeShade="D9"/>
        </w:rPr>
      </w:pPr>
      <w:r w:rsidRPr="00EB7A81">
        <w:rPr>
          <w:b/>
          <w:color w:val="D9D9D9" w:themeColor="background1" w:themeShade="D9"/>
        </w:rPr>
        <w:t>1a.4.3</w:t>
      </w:r>
      <w:r w:rsidR="00837121" w:rsidRPr="00EB7A81">
        <w:rPr>
          <w:b/>
          <w:color w:val="D9D9D9" w:themeColor="background1" w:themeShade="D9"/>
        </w:rPr>
        <w:t>.</w:t>
      </w:r>
      <w:r w:rsidR="00837121" w:rsidRPr="00EB7A81">
        <w:rPr>
          <w:color w:val="D9D9D9" w:themeColor="background1" w:themeShade="D9"/>
        </w:rPr>
        <w:t xml:space="preserve"> </w:t>
      </w:r>
      <w:r w:rsidR="006C7F30" w:rsidRPr="00EB7A81">
        <w:rPr>
          <w:b/>
          <w:color w:val="D9D9D9" w:themeColor="background1" w:themeShade="D9"/>
        </w:rPr>
        <w:t>Provide the citation</w:t>
      </w:r>
      <w:r w:rsidRPr="00EB7A81">
        <w:rPr>
          <w:b/>
          <w:color w:val="D9D9D9" w:themeColor="background1" w:themeShade="D9"/>
        </w:rPr>
        <w:t>(s)</w:t>
      </w:r>
      <w:r w:rsidR="009E6B86" w:rsidRPr="00EB7A81">
        <w:rPr>
          <w:b/>
          <w:color w:val="D9D9D9" w:themeColor="background1" w:themeShade="D9"/>
        </w:rPr>
        <w:t xml:space="preserve"> </w:t>
      </w:r>
      <w:r w:rsidRPr="00EB7A81">
        <w:rPr>
          <w:b/>
          <w:color w:val="D9D9D9" w:themeColor="background1" w:themeShade="D9"/>
        </w:rPr>
        <w:t>for the</w:t>
      </w:r>
      <w:r w:rsidR="006C7F30" w:rsidRPr="00EB7A81">
        <w:rPr>
          <w:b/>
          <w:color w:val="D9D9D9" w:themeColor="background1" w:themeShade="D9"/>
        </w:rPr>
        <w:t xml:space="preserve"> evidence.</w:t>
      </w:r>
    </w:p>
    <w:sectPr w:rsidR="00837121" w:rsidRPr="00EB7A8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1E24596B"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F49CC">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83700"/>
    <w:multiLevelType w:val="hybridMultilevel"/>
    <w:tmpl w:val="EED86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8A11FD8"/>
    <w:multiLevelType w:val="hybridMultilevel"/>
    <w:tmpl w:val="CDC6A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592018"/>
    <w:multiLevelType w:val="hybridMultilevel"/>
    <w:tmpl w:val="FFEA72CC"/>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6F11FEB"/>
    <w:multiLevelType w:val="hybridMultilevel"/>
    <w:tmpl w:val="4D5A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96521"/>
    <w:multiLevelType w:val="hybridMultilevel"/>
    <w:tmpl w:val="F556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AB1F51"/>
    <w:multiLevelType w:val="hybridMultilevel"/>
    <w:tmpl w:val="262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85B82"/>
    <w:multiLevelType w:val="hybridMultilevel"/>
    <w:tmpl w:val="9F48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6"/>
  </w:num>
  <w:num w:numId="6">
    <w:abstractNumId w:val="5"/>
  </w:num>
  <w:num w:numId="7">
    <w:abstractNumId w:val="16"/>
  </w:num>
  <w:num w:numId="8">
    <w:abstractNumId w:val="15"/>
  </w:num>
  <w:num w:numId="9">
    <w:abstractNumId w:val="17"/>
  </w:num>
  <w:num w:numId="10">
    <w:abstractNumId w:val="2"/>
  </w:num>
  <w:num w:numId="11">
    <w:abstractNumId w:val="9"/>
  </w:num>
  <w:num w:numId="12">
    <w:abstractNumId w:val="12"/>
  </w:num>
  <w:num w:numId="13">
    <w:abstractNumId w:val="14"/>
  </w:num>
  <w:num w:numId="14">
    <w:abstractNumId w:val="11"/>
  </w:num>
  <w:num w:numId="15">
    <w:abstractNumId w:val="0"/>
  </w:num>
  <w:num w:numId="16">
    <w:abstractNumId w:val="0"/>
  </w:num>
  <w:num w:numId="17">
    <w:abstractNumId w:val="1"/>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23B9"/>
    <w:rsid w:val="00024526"/>
    <w:rsid w:val="00026914"/>
    <w:rsid w:val="00030DF4"/>
    <w:rsid w:val="00030F43"/>
    <w:rsid w:val="00040DCF"/>
    <w:rsid w:val="00052C0B"/>
    <w:rsid w:val="00061CF3"/>
    <w:rsid w:val="00063601"/>
    <w:rsid w:val="00073079"/>
    <w:rsid w:val="0007593F"/>
    <w:rsid w:val="000956AC"/>
    <w:rsid w:val="00095EC9"/>
    <w:rsid w:val="00096A37"/>
    <w:rsid w:val="000A0810"/>
    <w:rsid w:val="000B627F"/>
    <w:rsid w:val="000D649E"/>
    <w:rsid w:val="000D6D06"/>
    <w:rsid w:val="000E5C93"/>
    <w:rsid w:val="000E7D1D"/>
    <w:rsid w:val="000E7D4B"/>
    <w:rsid w:val="000F4A7F"/>
    <w:rsid w:val="001055FF"/>
    <w:rsid w:val="00114848"/>
    <w:rsid w:val="00120934"/>
    <w:rsid w:val="00132070"/>
    <w:rsid w:val="00140FF5"/>
    <w:rsid w:val="00141875"/>
    <w:rsid w:val="0014347E"/>
    <w:rsid w:val="00154438"/>
    <w:rsid w:val="001551F6"/>
    <w:rsid w:val="0015535B"/>
    <w:rsid w:val="001613E9"/>
    <w:rsid w:val="00162036"/>
    <w:rsid w:val="001632DD"/>
    <w:rsid w:val="00176E60"/>
    <w:rsid w:val="00194913"/>
    <w:rsid w:val="00194D9A"/>
    <w:rsid w:val="00195683"/>
    <w:rsid w:val="001A196B"/>
    <w:rsid w:val="001A6D05"/>
    <w:rsid w:val="001B38BF"/>
    <w:rsid w:val="001B772D"/>
    <w:rsid w:val="001B7D76"/>
    <w:rsid w:val="001D5B5D"/>
    <w:rsid w:val="001E6153"/>
    <w:rsid w:val="001F49CC"/>
    <w:rsid w:val="00201FF9"/>
    <w:rsid w:val="00205857"/>
    <w:rsid w:val="00226860"/>
    <w:rsid w:val="00235ADC"/>
    <w:rsid w:val="00236F87"/>
    <w:rsid w:val="00257DCE"/>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844C8"/>
    <w:rsid w:val="004922E4"/>
    <w:rsid w:val="00493439"/>
    <w:rsid w:val="00496AF8"/>
    <w:rsid w:val="004A575D"/>
    <w:rsid w:val="004B65C6"/>
    <w:rsid w:val="004C69B0"/>
    <w:rsid w:val="004D1DC7"/>
    <w:rsid w:val="004E7215"/>
    <w:rsid w:val="004F7D7E"/>
    <w:rsid w:val="00500B0C"/>
    <w:rsid w:val="00535BB5"/>
    <w:rsid w:val="00537150"/>
    <w:rsid w:val="00540984"/>
    <w:rsid w:val="00543851"/>
    <w:rsid w:val="0055559D"/>
    <w:rsid w:val="005569AE"/>
    <w:rsid w:val="005857F8"/>
    <w:rsid w:val="005B0D18"/>
    <w:rsid w:val="005B12C3"/>
    <w:rsid w:val="005B409D"/>
    <w:rsid w:val="005B57F9"/>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285A"/>
    <w:rsid w:val="007573F0"/>
    <w:rsid w:val="00765156"/>
    <w:rsid w:val="00767669"/>
    <w:rsid w:val="00773485"/>
    <w:rsid w:val="00776E8F"/>
    <w:rsid w:val="00776F6D"/>
    <w:rsid w:val="007C0297"/>
    <w:rsid w:val="007C1887"/>
    <w:rsid w:val="007D4775"/>
    <w:rsid w:val="007D5DC6"/>
    <w:rsid w:val="007E37A5"/>
    <w:rsid w:val="007F49D8"/>
    <w:rsid w:val="00805940"/>
    <w:rsid w:val="0080767F"/>
    <w:rsid w:val="0081599C"/>
    <w:rsid w:val="00821A5E"/>
    <w:rsid w:val="00826CAD"/>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D6E68"/>
    <w:rsid w:val="008F1DC6"/>
    <w:rsid w:val="008F2EFC"/>
    <w:rsid w:val="008F6F51"/>
    <w:rsid w:val="008F7CCA"/>
    <w:rsid w:val="0090590A"/>
    <w:rsid w:val="00905C5B"/>
    <w:rsid w:val="00923295"/>
    <w:rsid w:val="00925F11"/>
    <w:rsid w:val="00926D3E"/>
    <w:rsid w:val="00935265"/>
    <w:rsid w:val="0094689F"/>
    <w:rsid w:val="009477D6"/>
    <w:rsid w:val="00953ED3"/>
    <w:rsid w:val="00964A12"/>
    <w:rsid w:val="00965FF6"/>
    <w:rsid w:val="009666CA"/>
    <w:rsid w:val="009846D6"/>
    <w:rsid w:val="0098657F"/>
    <w:rsid w:val="009A3236"/>
    <w:rsid w:val="009B5A93"/>
    <w:rsid w:val="009B5BEA"/>
    <w:rsid w:val="009C291F"/>
    <w:rsid w:val="009E37BD"/>
    <w:rsid w:val="009E6B86"/>
    <w:rsid w:val="009E7F23"/>
    <w:rsid w:val="009E7F3F"/>
    <w:rsid w:val="00A03301"/>
    <w:rsid w:val="00A12762"/>
    <w:rsid w:val="00A13867"/>
    <w:rsid w:val="00A26FED"/>
    <w:rsid w:val="00A421D4"/>
    <w:rsid w:val="00A44FF0"/>
    <w:rsid w:val="00A50E55"/>
    <w:rsid w:val="00A67EB1"/>
    <w:rsid w:val="00A8069C"/>
    <w:rsid w:val="00A9011D"/>
    <w:rsid w:val="00A91A47"/>
    <w:rsid w:val="00A95D2B"/>
    <w:rsid w:val="00AA5587"/>
    <w:rsid w:val="00AB4ECE"/>
    <w:rsid w:val="00AC1E53"/>
    <w:rsid w:val="00AD79C8"/>
    <w:rsid w:val="00AE346A"/>
    <w:rsid w:val="00AE6CE0"/>
    <w:rsid w:val="00B058A6"/>
    <w:rsid w:val="00B05E9C"/>
    <w:rsid w:val="00B117D0"/>
    <w:rsid w:val="00B13998"/>
    <w:rsid w:val="00B35C5F"/>
    <w:rsid w:val="00B439DD"/>
    <w:rsid w:val="00B52E0F"/>
    <w:rsid w:val="00B54BEC"/>
    <w:rsid w:val="00B66016"/>
    <w:rsid w:val="00B74629"/>
    <w:rsid w:val="00B871B5"/>
    <w:rsid w:val="00B91F58"/>
    <w:rsid w:val="00BA2A9B"/>
    <w:rsid w:val="00BA579E"/>
    <w:rsid w:val="00BC2726"/>
    <w:rsid w:val="00BD352F"/>
    <w:rsid w:val="00BE2295"/>
    <w:rsid w:val="00BE6373"/>
    <w:rsid w:val="00BF533A"/>
    <w:rsid w:val="00C17549"/>
    <w:rsid w:val="00C41794"/>
    <w:rsid w:val="00C41B8D"/>
    <w:rsid w:val="00C46677"/>
    <w:rsid w:val="00C5180E"/>
    <w:rsid w:val="00C544BA"/>
    <w:rsid w:val="00C54E40"/>
    <w:rsid w:val="00C55F56"/>
    <w:rsid w:val="00C57BA4"/>
    <w:rsid w:val="00C613EB"/>
    <w:rsid w:val="00C61698"/>
    <w:rsid w:val="00C71C1A"/>
    <w:rsid w:val="00C772B8"/>
    <w:rsid w:val="00C84623"/>
    <w:rsid w:val="00C87727"/>
    <w:rsid w:val="00CA38D8"/>
    <w:rsid w:val="00CB06C9"/>
    <w:rsid w:val="00CB1E41"/>
    <w:rsid w:val="00CB271C"/>
    <w:rsid w:val="00CC0F87"/>
    <w:rsid w:val="00CE4F96"/>
    <w:rsid w:val="00CF0AB1"/>
    <w:rsid w:val="00CF4B9B"/>
    <w:rsid w:val="00CF55E6"/>
    <w:rsid w:val="00CF772F"/>
    <w:rsid w:val="00D031EC"/>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33C6"/>
    <w:rsid w:val="00E1664B"/>
    <w:rsid w:val="00E30D12"/>
    <w:rsid w:val="00E3394E"/>
    <w:rsid w:val="00E35241"/>
    <w:rsid w:val="00E35733"/>
    <w:rsid w:val="00E36E49"/>
    <w:rsid w:val="00E41417"/>
    <w:rsid w:val="00E42FAA"/>
    <w:rsid w:val="00E536D3"/>
    <w:rsid w:val="00E57BE2"/>
    <w:rsid w:val="00E62A95"/>
    <w:rsid w:val="00E711B5"/>
    <w:rsid w:val="00E746A2"/>
    <w:rsid w:val="00E90D06"/>
    <w:rsid w:val="00E97E59"/>
    <w:rsid w:val="00EA79C9"/>
    <w:rsid w:val="00EB66AC"/>
    <w:rsid w:val="00EB7A81"/>
    <w:rsid w:val="00EC1225"/>
    <w:rsid w:val="00EC2247"/>
    <w:rsid w:val="00EE1F87"/>
    <w:rsid w:val="00EE3931"/>
    <w:rsid w:val="00EE5AF6"/>
    <w:rsid w:val="00EF0CE9"/>
    <w:rsid w:val="00EF2CEF"/>
    <w:rsid w:val="00F1092D"/>
    <w:rsid w:val="00F1110F"/>
    <w:rsid w:val="00F42C20"/>
    <w:rsid w:val="00F431D8"/>
    <w:rsid w:val="00F47793"/>
    <w:rsid w:val="00F5167A"/>
    <w:rsid w:val="00F5786B"/>
    <w:rsid w:val="00F63E8D"/>
    <w:rsid w:val="00F67706"/>
    <w:rsid w:val="00F81FE3"/>
    <w:rsid w:val="00F90F82"/>
    <w:rsid w:val="00F92D75"/>
    <w:rsid w:val="00F97327"/>
    <w:rsid w:val="00FA296F"/>
    <w:rsid w:val="00FA7323"/>
    <w:rsid w:val="00FB1299"/>
    <w:rsid w:val="00FC32D3"/>
    <w:rsid w:val="00FD3585"/>
    <w:rsid w:val="00FD4D82"/>
    <w:rsid w:val="00FE2B1B"/>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EB7A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E35733"/>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E35733"/>
    <w:rPr>
      <w:rFonts w:ascii="Trebuchet MS" w:eastAsia="Times New Roman" w:hAnsi="Trebuchet MS" w:cs="Times New Roman"/>
      <w:i/>
      <w:color w:val="FF0000"/>
    </w:rPr>
  </w:style>
  <w:style w:type="character" w:styleId="UnresolvedMention">
    <w:name w:val="Unresolved Mention"/>
    <w:basedOn w:val="DefaultParagraphFont"/>
    <w:uiPriority w:val="99"/>
    <w:semiHidden/>
    <w:unhideWhenUsed/>
    <w:rsid w:val="00140FF5"/>
    <w:rPr>
      <w:color w:val="808080"/>
      <w:shd w:val="clear" w:color="auto" w:fill="E6E6E6"/>
    </w:rPr>
  </w:style>
  <w:style w:type="paragraph" w:styleId="NormalWeb">
    <w:name w:val="Normal (Web)"/>
    <w:basedOn w:val="Normal"/>
    <w:uiPriority w:val="99"/>
    <w:semiHidden/>
    <w:unhideWhenUsed/>
    <w:rsid w:val="0080767F"/>
    <w:pPr>
      <w:spacing w:before="100" w:beforeAutospacing="1" w:after="100" w:afterAutospacing="1"/>
      <w:ind w:left="0" w:firstLine="0"/>
    </w:pPr>
    <w:rPr>
      <w:rFonts w:ascii="Times New Roman" w:eastAsia="Times New Roman" w:hAnsi="Times New Roman" w:cs="Times New Roman"/>
      <w:sz w:val="24"/>
      <w:szCs w:val="24"/>
    </w:rPr>
  </w:style>
  <w:style w:type="character" w:styleId="Emphasis">
    <w:name w:val="Emphasis"/>
    <w:basedOn w:val="DefaultParagraphFont"/>
    <w:uiPriority w:val="20"/>
    <w:qFormat/>
    <w:rsid w:val="00CA38D8"/>
    <w:rPr>
      <w:i/>
      <w:iCs/>
    </w:rPr>
  </w:style>
  <w:style w:type="character" w:customStyle="1" w:styleId="Heading1Char">
    <w:name w:val="Heading 1 Char"/>
    <w:basedOn w:val="DefaultParagraphFont"/>
    <w:link w:val="Heading1"/>
    <w:uiPriority w:val="9"/>
    <w:rsid w:val="00EB7A81"/>
    <w:rPr>
      <w:rFonts w:asciiTheme="majorHAnsi" w:eastAsiaTheme="majorEastAsia" w:hAnsiTheme="majorHAnsi" w:cstheme="majorBidi"/>
      <w:color w:val="365F91" w:themeColor="accent1" w:themeShade="BF"/>
      <w:sz w:val="32"/>
      <w:szCs w:val="32"/>
    </w:rPr>
  </w:style>
  <w:style w:type="paragraph" w:customStyle="1" w:styleId="Default">
    <w:name w:val="Default"/>
    <w:rsid w:val="009E7F23"/>
    <w:pPr>
      <w:autoSpaceDE w:val="0"/>
      <w:autoSpaceDN w:val="0"/>
      <w:adjustRightInd w:val="0"/>
      <w:ind w:left="0"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300147">
      <w:bodyDiv w:val="1"/>
      <w:marLeft w:val="0"/>
      <w:marRight w:val="0"/>
      <w:marTop w:val="0"/>
      <w:marBottom w:val="0"/>
      <w:divBdr>
        <w:top w:val="none" w:sz="0" w:space="0" w:color="auto"/>
        <w:left w:val="none" w:sz="0" w:space="0" w:color="auto"/>
        <w:bottom w:val="none" w:sz="0" w:space="0" w:color="auto"/>
        <w:right w:val="none" w:sz="0" w:space="0" w:color="auto"/>
      </w:divBdr>
    </w:div>
    <w:div w:id="439643113">
      <w:bodyDiv w:val="1"/>
      <w:marLeft w:val="0"/>
      <w:marRight w:val="0"/>
      <w:marTop w:val="0"/>
      <w:marBottom w:val="0"/>
      <w:divBdr>
        <w:top w:val="none" w:sz="0" w:space="0" w:color="auto"/>
        <w:left w:val="none" w:sz="0" w:space="0" w:color="auto"/>
        <w:bottom w:val="none" w:sz="0" w:space="0" w:color="auto"/>
        <w:right w:val="none" w:sz="0" w:space="0" w:color="auto"/>
      </w:divBdr>
    </w:div>
    <w:div w:id="542866292">
      <w:bodyDiv w:val="1"/>
      <w:marLeft w:val="0"/>
      <w:marRight w:val="0"/>
      <w:marTop w:val="0"/>
      <w:marBottom w:val="0"/>
      <w:divBdr>
        <w:top w:val="none" w:sz="0" w:space="0" w:color="auto"/>
        <w:left w:val="none" w:sz="0" w:space="0" w:color="auto"/>
        <w:bottom w:val="none" w:sz="0" w:space="0" w:color="auto"/>
        <w:right w:val="none" w:sz="0" w:space="0" w:color="auto"/>
      </w:divBdr>
    </w:div>
    <w:div w:id="797183068">
      <w:bodyDiv w:val="1"/>
      <w:marLeft w:val="0"/>
      <w:marRight w:val="0"/>
      <w:marTop w:val="0"/>
      <w:marBottom w:val="0"/>
      <w:divBdr>
        <w:top w:val="none" w:sz="0" w:space="0" w:color="auto"/>
        <w:left w:val="none" w:sz="0" w:space="0" w:color="auto"/>
        <w:bottom w:val="none" w:sz="0" w:space="0" w:color="auto"/>
        <w:right w:val="none" w:sz="0" w:space="0" w:color="auto"/>
      </w:divBdr>
    </w:div>
    <w:div w:id="799156107">
      <w:bodyDiv w:val="1"/>
      <w:marLeft w:val="0"/>
      <w:marRight w:val="0"/>
      <w:marTop w:val="0"/>
      <w:marBottom w:val="0"/>
      <w:divBdr>
        <w:top w:val="none" w:sz="0" w:space="0" w:color="auto"/>
        <w:left w:val="none" w:sz="0" w:space="0" w:color="auto"/>
        <w:bottom w:val="none" w:sz="0" w:space="0" w:color="auto"/>
        <w:right w:val="none" w:sz="0" w:space="0" w:color="auto"/>
      </w:divBdr>
    </w:div>
    <w:div w:id="904923457">
      <w:bodyDiv w:val="1"/>
      <w:marLeft w:val="0"/>
      <w:marRight w:val="0"/>
      <w:marTop w:val="0"/>
      <w:marBottom w:val="0"/>
      <w:divBdr>
        <w:top w:val="none" w:sz="0" w:space="0" w:color="auto"/>
        <w:left w:val="none" w:sz="0" w:space="0" w:color="auto"/>
        <w:bottom w:val="none" w:sz="0" w:space="0" w:color="auto"/>
        <w:right w:val="none" w:sz="0" w:space="0" w:color="auto"/>
      </w:divBdr>
    </w:div>
    <w:div w:id="997877680">
      <w:bodyDiv w:val="1"/>
      <w:marLeft w:val="0"/>
      <w:marRight w:val="0"/>
      <w:marTop w:val="0"/>
      <w:marBottom w:val="0"/>
      <w:divBdr>
        <w:top w:val="none" w:sz="0" w:space="0" w:color="auto"/>
        <w:left w:val="none" w:sz="0" w:space="0" w:color="auto"/>
        <w:bottom w:val="none" w:sz="0" w:space="0" w:color="auto"/>
        <w:right w:val="none" w:sz="0" w:space="0" w:color="auto"/>
      </w:divBdr>
    </w:div>
    <w:div w:id="1508401888">
      <w:bodyDiv w:val="1"/>
      <w:marLeft w:val="0"/>
      <w:marRight w:val="0"/>
      <w:marTop w:val="0"/>
      <w:marBottom w:val="0"/>
      <w:divBdr>
        <w:top w:val="none" w:sz="0" w:space="0" w:color="auto"/>
        <w:left w:val="none" w:sz="0" w:space="0" w:color="auto"/>
        <w:bottom w:val="none" w:sz="0" w:space="0" w:color="auto"/>
        <w:right w:val="none" w:sz="0" w:space="0" w:color="auto"/>
      </w:divBdr>
    </w:div>
    <w:div w:id="1605069482">
      <w:bodyDiv w:val="1"/>
      <w:marLeft w:val="0"/>
      <w:marRight w:val="0"/>
      <w:marTop w:val="0"/>
      <w:marBottom w:val="0"/>
      <w:divBdr>
        <w:top w:val="none" w:sz="0" w:space="0" w:color="auto"/>
        <w:left w:val="none" w:sz="0" w:space="0" w:color="auto"/>
        <w:bottom w:val="none" w:sz="0" w:space="0" w:color="auto"/>
        <w:right w:val="none" w:sz="0" w:space="0" w:color="auto"/>
      </w:divBdr>
    </w:div>
    <w:div w:id="1733043331">
      <w:bodyDiv w:val="1"/>
      <w:marLeft w:val="0"/>
      <w:marRight w:val="0"/>
      <w:marTop w:val="0"/>
      <w:marBottom w:val="0"/>
      <w:divBdr>
        <w:top w:val="none" w:sz="0" w:space="0" w:color="auto"/>
        <w:left w:val="none" w:sz="0" w:space="0" w:color="auto"/>
        <w:bottom w:val="none" w:sz="0" w:space="0" w:color="auto"/>
        <w:right w:val="none" w:sz="0" w:space="0" w:color="auto"/>
      </w:divBdr>
    </w:div>
    <w:div w:id="199472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uspreventiveservicestaskforce.org/uspstf10/osteoporosis/osteors.htm"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0F48BE592A6D414CB30F6E157CCA8BAB"/>
        <w:category>
          <w:name w:val="General"/>
          <w:gallery w:val="placeholder"/>
        </w:category>
        <w:types>
          <w:type w:val="bbPlcHdr"/>
        </w:types>
        <w:behaviors>
          <w:behavior w:val="content"/>
        </w:behaviors>
        <w:guid w:val="{29387497-EB4E-46A9-82ED-568D1491CE7C}"/>
      </w:docPartPr>
      <w:docPartBody>
        <w:p w:rsidR="001B73E8" w:rsidRDefault="00183BD7" w:rsidP="00183BD7">
          <w:pPr>
            <w:pStyle w:val="0F48BE592A6D414CB30F6E157CCA8BAB"/>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83BD7"/>
    <w:rsid w:val="001B73E8"/>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3BD7"/>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0F48BE592A6D414CB30F6E157CCA8BAB">
    <w:name w:val="0F48BE592A6D414CB30F6E157CCA8BAB"/>
    <w:rsid w:val="00183BD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F6FD1-4A17-4A0A-8775-FD9A2397E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infopath/2007/PartnerControls"/>
    <ds:schemaRef ds:uri="http://purl.org/dc/elements/1.1/"/>
    <ds:schemaRef ds:uri="http://schemas.microsoft.com/office/2006/documentManagement/types"/>
    <ds:schemaRef ds:uri="64615f93-1352-4a7e-b7a8-3b07e39b2009"/>
    <ds:schemaRef ds:uri="76bce2c7-2e52-4525-a6e0-24f8a73e605d"/>
    <ds:schemaRef ds:uri="http://schemas.openxmlformats.org/package/2006/metadata/core-properties"/>
    <ds:schemaRef ds:uri="http://www.w3.org/XML/1998/namespace"/>
    <ds:schemaRef ds:uri="http://purl.org/dc/dcmitype/"/>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4D086F29-11ED-4B70-B2B2-C67600F96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2887</Words>
  <Characters>16460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Kristen Swift</cp:lastModifiedBy>
  <cp:revision>2</cp:revision>
  <dcterms:created xsi:type="dcterms:W3CDTF">2018-04-09T16:31:00Z</dcterms:created>
  <dcterms:modified xsi:type="dcterms:W3CDTF">2018-04-09T16:31:00Z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