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35B79D" w14:textId="77777777" w:rsidR="00722679" w:rsidRPr="002A4D86" w:rsidRDefault="00722679" w:rsidP="00722679">
      <w:pPr>
        <w:spacing w:before="240" w:line="288" w:lineRule="auto"/>
        <w:rPr>
          <w:rFonts w:cs="Arial"/>
        </w:rPr>
      </w:pPr>
      <w:bookmarkStart w:id="0" w:name="_GoBack"/>
      <w:bookmarkEnd w:id="0"/>
    </w:p>
    <w:p w14:paraId="1AD1B836" w14:textId="474C9AFF" w:rsidR="00722679" w:rsidRPr="002A4D86" w:rsidRDefault="00722679" w:rsidP="00722679">
      <w:pPr>
        <w:rPr>
          <w:rFonts w:cs="Arial"/>
          <w:b/>
        </w:rPr>
      </w:pPr>
      <w:r w:rsidRPr="002A4D86">
        <w:rPr>
          <w:rFonts w:cs="Arial"/>
          <w:noProof/>
        </w:rPr>
        <w:drawing>
          <wp:anchor distT="0" distB="0" distL="114300" distR="114300" simplePos="0" relativeHeight="251659264" behindDoc="1" locked="0" layoutInCell="1" allowOverlap="1" wp14:anchorId="60E30F10" wp14:editId="01C5BE45">
            <wp:simplePos x="0" y="0"/>
            <wp:positionH relativeFrom="column">
              <wp:posOffset>0</wp:posOffset>
            </wp:positionH>
            <wp:positionV relativeFrom="paragraph">
              <wp:posOffset>1270</wp:posOffset>
            </wp:positionV>
            <wp:extent cx="1537335" cy="914400"/>
            <wp:effectExtent l="19050" t="0" r="5715" b="0"/>
            <wp:wrapNone/>
            <wp:docPr id="3" name="Picture 2" descr="NC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CQA"/>
                    <pic:cNvPicPr>
                      <a:picLocks noChangeAspect="1" noChangeArrowheads="1"/>
                    </pic:cNvPicPr>
                  </pic:nvPicPr>
                  <pic:blipFill>
                    <a:blip r:embed="rId5" cstate="print"/>
                    <a:srcRect/>
                    <a:stretch>
                      <a:fillRect/>
                    </a:stretch>
                  </pic:blipFill>
                  <pic:spPr bwMode="auto">
                    <a:xfrm>
                      <a:off x="0" y="0"/>
                      <a:ext cx="1537335" cy="914400"/>
                    </a:xfrm>
                    <a:prstGeom prst="rect">
                      <a:avLst/>
                    </a:prstGeom>
                    <a:noFill/>
                    <a:ln w="9525">
                      <a:noFill/>
                      <a:miter lim="800000"/>
                      <a:headEnd/>
                      <a:tailEnd/>
                    </a:ln>
                  </pic:spPr>
                </pic:pic>
              </a:graphicData>
            </a:graphic>
          </wp:anchor>
        </w:drawing>
      </w:r>
    </w:p>
    <w:p w14:paraId="1A210E4C" w14:textId="77777777" w:rsidR="00722679" w:rsidRDefault="00722679" w:rsidP="00722679">
      <w:pPr>
        <w:rPr>
          <w:rFonts w:cs="Arial"/>
          <w:b/>
        </w:rPr>
      </w:pPr>
    </w:p>
    <w:p w14:paraId="012E3A0E" w14:textId="77777777" w:rsidR="00722679" w:rsidRDefault="00722679" w:rsidP="00722679">
      <w:pPr>
        <w:rPr>
          <w:rFonts w:cs="Arial"/>
          <w:b/>
        </w:rPr>
      </w:pPr>
    </w:p>
    <w:p w14:paraId="6575D74B" w14:textId="77777777" w:rsidR="00722679" w:rsidRDefault="00722679" w:rsidP="00722679">
      <w:pPr>
        <w:rPr>
          <w:rFonts w:cs="Arial"/>
          <w:b/>
        </w:rPr>
      </w:pPr>
    </w:p>
    <w:p w14:paraId="74D13887" w14:textId="77777777" w:rsidR="00722679" w:rsidRDefault="00722679" w:rsidP="00722679">
      <w:pPr>
        <w:rPr>
          <w:rFonts w:cs="Arial"/>
          <w:b/>
        </w:rPr>
      </w:pPr>
    </w:p>
    <w:p w14:paraId="19728802" w14:textId="77777777" w:rsidR="00722679" w:rsidRDefault="00722679" w:rsidP="00722679">
      <w:pPr>
        <w:rPr>
          <w:rFonts w:cs="Arial"/>
          <w:b/>
        </w:rPr>
      </w:pPr>
    </w:p>
    <w:p w14:paraId="59D87D08" w14:textId="77777777" w:rsidR="00722679" w:rsidRDefault="00722679" w:rsidP="00722679">
      <w:pPr>
        <w:rPr>
          <w:rFonts w:cs="Arial"/>
          <w:b/>
        </w:rPr>
      </w:pPr>
    </w:p>
    <w:p w14:paraId="6141809C" w14:textId="77777777" w:rsidR="00722679" w:rsidRDefault="00722679" w:rsidP="00722679">
      <w:pPr>
        <w:rPr>
          <w:rFonts w:cs="Arial"/>
          <w:b/>
        </w:rPr>
      </w:pPr>
    </w:p>
    <w:p w14:paraId="7A94AF9A" w14:textId="70C79C3D" w:rsidR="00722679" w:rsidRPr="00722679" w:rsidRDefault="00722679" w:rsidP="00722679">
      <w:pPr>
        <w:rPr>
          <w:rFonts w:cs="Arial"/>
          <w:sz w:val="22"/>
        </w:rPr>
      </w:pPr>
      <w:r w:rsidRPr="00722679">
        <w:rPr>
          <w:rFonts w:cs="Arial"/>
          <w:b/>
          <w:sz w:val="22"/>
        </w:rPr>
        <w:t>TO:</w:t>
      </w:r>
      <w:r w:rsidRPr="00722679">
        <w:rPr>
          <w:rFonts w:cs="Arial"/>
          <w:sz w:val="22"/>
        </w:rPr>
        <w:tab/>
      </w:r>
      <w:r w:rsidRPr="00722679">
        <w:rPr>
          <w:rFonts w:cs="Arial"/>
          <w:sz w:val="22"/>
        </w:rPr>
        <w:tab/>
      </w:r>
      <w:r w:rsidRPr="00722679">
        <w:rPr>
          <w:rFonts w:cs="Arial"/>
          <w:sz w:val="22"/>
        </w:rPr>
        <w:t>NQF Endocrine Steering Committee</w:t>
      </w:r>
    </w:p>
    <w:p w14:paraId="67C86688" w14:textId="482F6081" w:rsidR="00722679" w:rsidRPr="00722679" w:rsidRDefault="00722679" w:rsidP="00722679">
      <w:pPr>
        <w:spacing w:before="120"/>
        <w:rPr>
          <w:rFonts w:cs="Arial"/>
          <w:sz w:val="22"/>
        </w:rPr>
      </w:pPr>
      <w:r w:rsidRPr="00722679">
        <w:rPr>
          <w:rFonts w:cs="Arial"/>
          <w:b/>
          <w:sz w:val="22"/>
        </w:rPr>
        <w:t>FROM:</w:t>
      </w:r>
      <w:r w:rsidRPr="00722679">
        <w:rPr>
          <w:rFonts w:cs="Arial"/>
          <w:sz w:val="22"/>
        </w:rPr>
        <w:tab/>
        <w:t xml:space="preserve">Erin Giovannetti, </w:t>
      </w:r>
      <w:r>
        <w:rPr>
          <w:rFonts w:cs="Arial"/>
          <w:sz w:val="22"/>
        </w:rPr>
        <w:t>National Committee on Quality Assurance</w:t>
      </w:r>
    </w:p>
    <w:p w14:paraId="0E125CCE" w14:textId="3480F02D" w:rsidR="00722679" w:rsidRPr="00722679" w:rsidRDefault="00722679" w:rsidP="00722679">
      <w:pPr>
        <w:spacing w:before="120"/>
        <w:rPr>
          <w:rFonts w:cs="Arial"/>
          <w:sz w:val="22"/>
        </w:rPr>
      </w:pPr>
      <w:r w:rsidRPr="00722679">
        <w:rPr>
          <w:rFonts w:cs="Arial"/>
          <w:b/>
          <w:sz w:val="22"/>
        </w:rPr>
        <w:t>DATE:</w:t>
      </w:r>
      <w:r w:rsidRPr="00722679">
        <w:rPr>
          <w:rFonts w:cs="Arial"/>
          <w:sz w:val="22"/>
        </w:rPr>
        <w:tab/>
      </w:r>
      <w:r w:rsidRPr="00722679">
        <w:rPr>
          <w:rFonts w:cs="Arial"/>
          <w:sz w:val="22"/>
        </w:rPr>
        <w:tab/>
      </w:r>
      <w:r w:rsidRPr="00722679">
        <w:rPr>
          <w:rFonts w:cs="Arial"/>
          <w:sz w:val="22"/>
        </w:rPr>
        <w:t>June 6, 2014</w:t>
      </w:r>
    </w:p>
    <w:p w14:paraId="717F05CD" w14:textId="53C17006" w:rsidR="00722679" w:rsidRPr="00722679" w:rsidRDefault="00722679" w:rsidP="00722679">
      <w:pPr>
        <w:spacing w:before="120"/>
        <w:ind w:left="1440" w:hanging="1440"/>
        <w:rPr>
          <w:rFonts w:cs="Arial"/>
          <w:sz w:val="22"/>
        </w:rPr>
      </w:pPr>
      <w:r w:rsidRPr="00722679">
        <w:rPr>
          <w:rFonts w:cs="Arial"/>
          <w:b/>
          <w:sz w:val="22"/>
        </w:rPr>
        <w:t>RE:</w:t>
      </w:r>
      <w:r w:rsidRPr="00722679">
        <w:rPr>
          <w:rFonts w:cs="Arial"/>
          <w:sz w:val="22"/>
        </w:rPr>
        <w:tab/>
      </w:r>
      <w:r w:rsidRPr="00722679">
        <w:rPr>
          <w:rFonts w:cs="Arial"/>
          <w:sz w:val="22"/>
        </w:rPr>
        <w:t xml:space="preserve">Alignment of Osteoporosis Measures </w:t>
      </w:r>
    </w:p>
    <w:p w14:paraId="76EAD91F" w14:textId="77777777" w:rsidR="00722679" w:rsidRPr="00722679" w:rsidRDefault="00722679" w:rsidP="00BF4610">
      <w:pPr>
        <w:rPr>
          <w:rFonts w:cs="Arial"/>
          <w:sz w:val="24"/>
          <w:szCs w:val="20"/>
        </w:rPr>
      </w:pPr>
    </w:p>
    <w:p w14:paraId="13115C86" w14:textId="0BD6433C" w:rsidR="00BF4610" w:rsidRPr="00E53DAD" w:rsidRDefault="00CB1250" w:rsidP="00BF4610">
      <w:pPr>
        <w:rPr>
          <w:rFonts w:cs="Arial"/>
          <w:sz w:val="22"/>
          <w:szCs w:val="20"/>
        </w:rPr>
      </w:pPr>
      <w:r w:rsidRPr="00E53DAD">
        <w:rPr>
          <w:rFonts w:cs="Arial"/>
          <w:sz w:val="22"/>
          <w:szCs w:val="20"/>
        </w:rPr>
        <w:t>There are</w:t>
      </w:r>
      <w:r w:rsidR="00BF4610" w:rsidRPr="00E53DAD">
        <w:rPr>
          <w:rFonts w:cs="Arial"/>
          <w:sz w:val="22"/>
          <w:szCs w:val="20"/>
        </w:rPr>
        <w:t xml:space="preserve"> multiple NQF-endorsed measures of osteoporosis prevention and management</w:t>
      </w:r>
      <w:r w:rsidR="00AA47DA" w:rsidRPr="00E53DAD">
        <w:rPr>
          <w:rFonts w:cs="Arial"/>
          <w:sz w:val="22"/>
          <w:szCs w:val="20"/>
        </w:rPr>
        <w:t xml:space="preserve"> (See Table 1)</w:t>
      </w:r>
      <w:r w:rsidR="00BF4610" w:rsidRPr="00E53DAD">
        <w:rPr>
          <w:rFonts w:cs="Arial"/>
          <w:sz w:val="22"/>
          <w:szCs w:val="20"/>
        </w:rPr>
        <w:t xml:space="preserve">. </w:t>
      </w:r>
      <w:r w:rsidRPr="00E53DAD">
        <w:rPr>
          <w:rFonts w:cs="Arial"/>
          <w:sz w:val="22"/>
          <w:szCs w:val="20"/>
        </w:rPr>
        <w:t xml:space="preserve">Between September 2013 and June 2014, NCQA completed a substantial re-evaluation </w:t>
      </w:r>
      <w:r w:rsidR="00D87966">
        <w:rPr>
          <w:rFonts w:cs="Arial"/>
          <w:sz w:val="22"/>
          <w:szCs w:val="20"/>
        </w:rPr>
        <w:t xml:space="preserve">of </w:t>
      </w:r>
      <w:r w:rsidRPr="00E53DAD">
        <w:rPr>
          <w:rFonts w:cs="Arial"/>
          <w:sz w:val="22"/>
          <w:szCs w:val="20"/>
        </w:rPr>
        <w:t xml:space="preserve">the four NCQA owned measures of osteoporosis screening and management.  As part of this effort we </w:t>
      </w:r>
      <w:r w:rsidR="00BF4610" w:rsidRPr="00E53DAD">
        <w:rPr>
          <w:rFonts w:cs="Arial"/>
          <w:sz w:val="22"/>
          <w:szCs w:val="20"/>
        </w:rPr>
        <w:t xml:space="preserve">undertook a comprehensive harmonization exercise to align several </w:t>
      </w:r>
      <w:r w:rsidR="00D87966">
        <w:rPr>
          <w:rFonts w:cs="Arial"/>
          <w:sz w:val="22"/>
          <w:szCs w:val="20"/>
        </w:rPr>
        <w:t xml:space="preserve">of </w:t>
      </w:r>
      <w:r w:rsidRPr="00E53DAD">
        <w:rPr>
          <w:rFonts w:cs="Arial"/>
          <w:sz w:val="22"/>
          <w:szCs w:val="20"/>
        </w:rPr>
        <w:t xml:space="preserve">the </w:t>
      </w:r>
      <w:r w:rsidR="00BF4610" w:rsidRPr="00E53DAD">
        <w:rPr>
          <w:rFonts w:cs="Arial"/>
          <w:sz w:val="22"/>
          <w:szCs w:val="20"/>
        </w:rPr>
        <w:t xml:space="preserve">measures where possible given the different measure focus, methods of data collection and level of accountability. </w:t>
      </w:r>
      <w:r w:rsidRPr="00E53DAD">
        <w:rPr>
          <w:rFonts w:cs="Arial"/>
          <w:sz w:val="22"/>
          <w:szCs w:val="20"/>
        </w:rPr>
        <w:t xml:space="preserve"> This memo outlines the results of this harmonization exercise and additional considerations for harmonization with two hospital-based measures of osteoporosis management that are under consideration for endorsement.</w:t>
      </w:r>
    </w:p>
    <w:p w14:paraId="1C17373B" w14:textId="77777777" w:rsidR="00E53DAD" w:rsidRDefault="00E53DAD" w:rsidP="00E53DAD">
      <w:pPr>
        <w:rPr>
          <w:rFonts w:cs="Arial"/>
          <w:sz w:val="22"/>
          <w:szCs w:val="20"/>
        </w:rPr>
      </w:pPr>
    </w:p>
    <w:p w14:paraId="41AE8EE7" w14:textId="77777777" w:rsidR="00E53DAD" w:rsidRPr="00E53DAD" w:rsidRDefault="00E53DAD" w:rsidP="00E53DAD">
      <w:pPr>
        <w:rPr>
          <w:rFonts w:cs="Arial"/>
          <w:b/>
          <w:sz w:val="22"/>
          <w:szCs w:val="20"/>
        </w:rPr>
      </w:pPr>
      <w:r w:rsidRPr="00E53DAD">
        <w:rPr>
          <w:rFonts w:cs="Arial"/>
          <w:b/>
          <w:sz w:val="22"/>
          <w:szCs w:val="20"/>
        </w:rPr>
        <w:t xml:space="preserve">Table 1: </w:t>
      </w:r>
      <w:r w:rsidR="00A37C90">
        <w:rPr>
          <w:rFonts w:cs="Arial"/>
          <w:b/>
          <w:sz w:val="22"/>
          <w:szCs w:val="20"/>
        </w:rPr>
        <w:t>Related</w:t>
      </w:r>
      <w:r w:rsidRPr="00E53DAD">
        <w:rPr>
          <w:rFonts w:cs="Arial"/>
          <w:b/>
          <w:sz w:val="22"/>
          <w:szCs w:val="20"/>
        </w:rPr>
        <w:t xml:space="preserve"> Measures of Osteoporosis </w:t>
      </w:r>
    </w:p>
    <w:tbl>
      <w:tblPr>
        <w:tblStyle w:val="TableGrid"/>
        <w:tblW w:w="9985" w:type="dxa"/>
        <w:tblLook w:val="04A0" w:firstRow="1" w:lastRow="0" w:firstColumn="1" w:lastColumn="0" w:noHBand="0" w:noVBand="1"/>
      </w:tblPr>
      <w:tblGrid>
        <w:gridCol w:w="1048"/>
        <w:gridCol w:w="5151"/>
        <w:gridCol w:w="2054"/>
        <w:gridCol w:w="1732"/>
      </w:tblGrid>
      <w:tr w:rsidR="00E53DAD" w:rsidRPr="00A37C90" w14:paraId="7392667B" w14:textId="77777777" w:rsidTr="00134500">
        <w:tc>
          <w:tcPr>
            <w:tcW w:w="985" w:type="dxa"/>
          </w:tcPr>
          <w:p w14:paraId="60ACFDCC" w14:textId="77777777" w:rsidR="00E53DAD" w:rsidRPr="00A37C90" w:rsidRDefault="00E53DAD" w:rsidP="00134500">
            <w:pPr>
              <w:rPr>
                <w:rFonts w:cs="Arial"/>
                <w:b/>
                <w:sz w:val="22"/>
                <w:szCs w:val="20"/>
              </w:rPr>
            </w:pPr>
            <w:r w:rsidRPr="00A37C90">
              <w:rPr>
                <w:rFonts w:cs="Arial"/>
                <w:b/>
                <w:sz w:val="22"/>
                <w:szCs w:val="20"/>
              </w:rPr>
              <w:t>NQF Number</w:t>
            </w:r>
          </w:p>
        </w:tc>
        <w:tc>
          <w:tcPr>
            <w:tcW w:w="5220" w:type="dxa"/>
          </w:tcPr>
          <w:p w14:paraId="679158B1" w14:textId="77777777" w:rsidR="00E53DAD" w:rsidRPr="00A37C90" w:rsidRDefault="00E53DAD" w:rsidP="00134500">
            <w:pPr>
              <w:rPr>
                <w:rFonts w:cs="Arial"/>
                <w:b/>
                <w:sz w:val="22"/>
                <w:szCs w:val="20"/>
              </w:rPr>
            </w:pPr>
            <w:r w:rsidRPr="00A37C90">
              <w:rPr>
                <w:rFonts w:cs="Arial"/>
                <w:b/>
                <w:sz w:val="22"/>
                <w:szCs w:val="20"/>
              </w:rPr>
              <w:t>Title</w:t>
            </w:r>
          </w:p>
        </w:tc>
        <w:tc>
          <w:tcPr>
            <w:tcW w:w="2070" w:type="dxa"/>
          </w:tcPr>
          <w:p w14:paraId="4E04797B" w14:textId="77777777" w:rsidR="00E53DAD" w:rsidRPr="00A37C90" w:rsidRDefault="00E53DAD" w:rsidP="00134500">
            <w:pPr>
              <w:rPr>
                <w:rFonts w:cs="Arial"/>
                <w:b/>
                <w:sz w:val="22"/>
                <w:szCs w:val="20"/>
              </w:rPr>
            </w:pPr>
            <w:r w:rsidRPr="00A37C90">
              <w:rPr>
                <w:rFonts w:cs="Arial"/>
                <w:b/>
                <w:sz w:val="22"/>
                <w:szCs w:val="20"/>
              </w:rPr>
              <w:t>Steward</w:t>
            </w:r>
          </w:p>
        </w:tc>
        <w:tc>
          <w:tcPr>
            <w:tcW w:w="1710" w:type="dxa"/>
          </w:tcPr>
          <w:p w14:paraId="1CB55534" w14:textId="77777777" w:rsidR="00E53DAD" w:rsidRPr="00A37C90" w:rsidRDefault="00E53DAD" w:rsidP="00134500">
            <w:pPr>
              <w:rPr>
                <w:rFonts w:cs="Arial"/>
                <w:b/>
                <w:sz w:val="22"/>
                <w:szCs w:val="20"/>
              </w:rPr>
            </w:pPr>
            <w:r w:rsidRPr="00A37C90">
              <w:rPr>
                <w:rFonts w:cs="Arial"/>
                <w:b/>
                <w:sz w:val="22"/>
                <w:szCs w:val="20"/>
              </w:rPr>
              <w:t>Level of Accountability</w:t>
            </w:r>
          </w:p>
        </w:tc>
      </w:tr>
      <w:tr w:rsidR="00E53DAD" w:rsidRPr="00E53DAD" w14:paraId="6B0A6B57" w14:textId="77777777" w:rsidTr="00134500">
        <w:tc>
          <w:tcPr>
            <w:tcW w:w="985" w:type="dxa"/>
          </w:tcPr>
          <w:p w14:paraId="52727E89" w14:textId="77777777" w:rsidR="00E53DAD" w:rsidRPr="00E53DAD" w:rsidRDefault="00E53DAD" w:rsidP="00134500">
            <w:pPr>
              <w:rPr>
                <w:rFonts w:cs="Arial"/>
                <w:sz w:val="22"/>
                <w:szCs w:val="20"/>
              </w:rPr>
            </w:pPr>
            <w:r w:rsidRPr="00E53DAD">
              <w:rPr>
                <w:rFonts w:cs="Arial"/>
                <w:sz w:val="22"/>
                <w:szCs w:val="20"/>
              </w:rPr>
              <w:t>0037</w:t>
            </w:r>
          </w:p>
        </w:tc>
        <w:tc>
          <w:tcPr>
            <w:tcW w:w="5220" w:type="dxa"/>
          </w:tcPr>
          <w:p w14:paraId="0D6D1F5F" w14:textId="77777777" w:rsidR="00E53DAD" w:rsidRPr="00E53DAD" w:rsidRDefault="00E53DAD" w:rsidP="00134500">
            <w:pPr>
              <w:rPr>
                <w:rFonts w:cs="Arial"/>
                <w:sz w:val="22"/>
                <w:szCs w:val="20"/>
              </w:rPr>
            </w:pPr>
            <w:r w:rsidRPr="00E53DAD">
              <w:rPr>
                <w:rFonts w:cs="Arial"/>
                <w:sz w:val="22"/>
                <w:szCs w:val="20"/>
              </w:rPr>
              <w:t>Osteoporosis Testing in Older Women</w:t>
            </w:r>
          </w:p>
        </w:tc>
        <w:tc>
          <w:tcPr>
            <w:tcW w:w="2070" w:type="dxa"/>
          </w:tcPr>
          <w:p w14:paraId="2E592B92" w14:textId="77777777" w:rsidR="00E53DAD" w:rsidRPr="00E53DAD" w:rsidRDefault="00E53DAD" w:rsidP="00134500">
            <w:pPr>
              <w:rPr>
                <w:rFonts w:cs="Arial"/>
                <w:sz w:val="22"/>
                <w:szCs w:val="20"/>
              </w:rPr>
            </w:pPr>
            <w:r w:rsidRPr="00E53DAD">
              <w:rPr>
                <w:rFonts w:cs="Arial"/>
                <w:sz w:val="22"/>
                <w:szCs w:val="20"/>
              </w:rPr>
              <w:t>NCQA</w:t>
            </w:r>
          </w:p>
        </w:tc>
        <w:tc>
          <w:tcPr>
            <w:tcW w:w="1710" w:type="dxa"/>
          </w:tcPr>
          <w:p w14:paraId="2DE95263" w14:textId="77777777" w:rsidR="00E53DAD" w:rsidRPr="00E53DAD" w:rsidRDefault="00E53DAD" w:rsidP="00134500">
            <w:pPr>
              <w:rPr>
                <w:rFonts w:cs="Arial"/>
                <w:sz w:val="22"/>
                <w:szCs w:val="20"/>
              </w:rPr>
            </w:pPr>
            <w:r w:rsidRPr="00E53DAD">
              <w:rPr>
                <w:rFonts w:cs="Arial"/>
                <w:sz w:val="22"/>
                <w:szCs w:val="20"/>
              </w:rPr>
              <w:t>Health Plan</w:t>
            </w:r>
          </w:p>
        </w:tc>
      </w:tr>
      <w:tr w:rsidR="00E53DAD" w:rsidRPr="00E53DAD" w14:paraId="2DB9DFFA" w14:textId="77777777" w:rsidTr="00134500">
        <w:tc>
          <w:tcPr>
            <w:tcW w:w="985" w:type="dxa"/>
          </w:tcPr>
          <w:p w14:paraId="09C4DE79" w14:textId="77777777" w:rsidR="00E53DAD" w:rsidRPr="00E53DAD" w:rsidRDefault="00E53DAD" w:rsidP="00134500">
            <w:pPr>
              <w:rPr>
                <w:rFonts w:cs="Arial"/>
                <w:sz w:val="22"/>
                <w:szCs w:val="20"/>
              </w:rPr>
            </w:pPr>
            <w:r w:rsidRPr="00E53DAD">
              <w:rPr>
                <w:rFonts w:cs="Arial"/>
                <w:sz w:val="22"/>
                <w:szCs w:val="20"/>
              </w:rPr>
              <w:t>0046</w:t>
            </w:r>
          </w:p>
        </w:tc>
        <w:tc>
          <w:tcPr>
            <w:tcW w:w="5220" w:type="dxa"/>
          </w:tcPr>
          <w:p w14:paraId="609770CB" w14:textId="77777777" w:rsidR="00E53DAD" w:rsidRPr="00E53DAD" w:rsidRDefault="00E53DAD" w:rsidP="00134500">
            <w:pPr>
              <w:rPr>
                <w:rFonts w:cs="Arial"/>
                <w:sz w:val="22"/>
                <w:szCs w:val="20"/>
              </w:rPr>
            </w:pPr>
            <w:r w:rsidRPr="00E53DAD">
              <w:rPr>
                <w:rFonts w:cs="Arial"/>
                <w:sz w:val="22"/>
                <w:szCs w:val="20"/>
              </w:rPr>
              <w:t>Screening for Osteoporosis for Women 65-85 Years of Age</w:t>
            </w:r>
          </w:p>
        </w:tc>
        <w:tc>
          <w:tcPr>
            <w:tcW w:w="2070" w:type="dxa"/>
          </w:tcPr>
          <w:p w14:paraId="2CCEF55D" w14:textId="77777777" w:rsidR="00E53DAD" w:rsidRPr="00E53DAD" w:rsidRDefault="00E53DAD" w:rsidP="00134500">
            <w:pPr>
              <w:rPr>
                <w:rFonts w:cs="Arial"/>
                <w:sz w:val="22"/>
                <w:szCs w:val="20"/>
              </w:rPr>
            </w:pPr>
            <w:r w:rsidRPr="00E53DAD">
              <w:rPr>
                <w:rFonts w:cs="Arial"/>
                <w:sz w:val="22"/>
                <w:szCs w:val="20"/>
              </w:rPr>
              <w:t>NCQA</w:t>
            </w:r>
          </w:p>
        </w:tc>
        <w:tc>
          <w:tcPr>
            <w:tcW w:w="1710" w:type="dxa"/>
          </w:tcPr>
          <w:p w14:paraId="1AA7AD8E" w14:textId="77777777" w:rsidR="00E53DAD" w:rsidRPr="00E53DAD" w:rsidRDefault="00E53DAD" w:rsidP="00134500">
            <w:pPr>
              <w:rPr>
                <w:rFonts w:cs="Arial"/>
                <w:sz w:val="22"/>
                <w:szCs w:val="20"/>
              </w:rPr>
            </w:pPr>
            <w:r w:rsidRPr="00E53DAD">
              <w:rPr>
                <w:rFonts w:cs="Arial"/>
                <w:sz w:val="22"/>
                <w:szCs w:val="20"/>
              </w:rPr>
              <w:t>Physician</w:t>
            </w:r>
          </w:p>
        </w:tc>
      </w:tr>
      <w:tr w:rsidR="00E53DAD" w:rsidRPr="00E53DAD" w14:paraId="548775E3" w14:textId="77777777" w:rsidTr="00134500">
        <w:tc>
          <w:tcPr>
            <w:tcW w:w="985" w:type="dxa"/>
          </w:tcPr>
          <w:p w14:paraId="4ED246EC" w14:textId="77777777" w:rsidR="00E53DAD" w:rsidRPr="00E53DAD" w:rsidRDefault="00E53DAD" w:rsidP="00134500">
            <w:pPr>
              <w:rPr>
                <w:rFonts w:cs="Arial"/>
                <w:sz w:val="22"/>
                <w:szCs w:val="20"/>
              </w:rPr>
            </w:pPr>
            <w:r w:rsidRPr="00E53DAD">
              <w:rPr>
                <w:rFonts w:cs="Arial"/>
                <w:sz w:val="22"/>
                <w:szCs w:val="20"/>
              </w:rPr>
              <w:t>0045</w:t>
            </w:r>
          </w:p>
        </w:tc>
        <w:tc>
          <w:tcPr>
            <w:tcW w:w="5220" w:type="dxa"/>
          </w:tcPr>
          <w:p w14:paraId="73F7A20D" w14:textId="77777777" w:rsidR="00E53DAD" w:rsidRPr="00E53DAD" w:rsidRDefault="00E53DAD" w:rsidP="00134500">
            <w:pPr>
              <w:rPr>
                <w:rFonts w:cs="Arial"/>
                <w:sz w:val="22"/>
                <w:szCs w:val="20"/>
              </w:rPr>
            </w:pPr>
            <w:r w:rsidRPr="00E53DAD">
              <w:rPr>
                <w:rFonts w:cs="Arial"/>
                <w:sz w:val="22"/>
                <w:szCs w:val="20"/>
              </w:rPr>
              <w:t>Osteoporosis: Communication with the Physician or Clinician Managing On-going Care Post Fracture for Men and Women Aged 50 Years and Older</w:t>
            </w:r>
          </w:p>
        </w:tc>
        <w:tc>
          <w:tcPr>
            <w:tcW w:w="2070" w:type="dxa"/>
          </w:tcPr>
          <w:p w14:paraId="7E10B026" w14:textId="77777777" w:rsidR="00E53DAD" w:rsidRPr="00E53DAD" w:rsidRDefault="00E53DAD" w:rsidP="00134500">
            <w:pPr>
              <w:rPr>
                <w:rFonts w:cs="Arial"/>
                <w:sz w:val="22"/>
                <w:szCs w:val="20"/>
              </w:rPr>
            </w:pPr>
            <w:r w:rsidRPr="00E53DAD">
              <w:rPr>
                <w:rFonts w:cs="Arial"/>
                <w:sz w:val="22"/>
                <w:szCs w:val="20"/>
              </w:rPr>
              <w:t>NCQA</w:t>
            </w:r>
          </w:p>
        </w:tc>
        <w:tc>
          <w:tcPr>
            <w:tcW w:w="1710" w:type="dxa"/>
          </w:tcPr>
          <w:p w14:paraId="6142A381" w14:textId="77777777" w:rsidR="00E53DAD" w:rsidRPr="00E53DAD" w:rsidRDefault="00E53DAD" w:rsidP="00134500">
            <w:pPr>
              <w:rPr>
                <w:rFonts w:cs="Arial"/>
                <w:sz w:val="22"/>
                <w:szCs w:val="20"/>
              </w:rPr>
            </w:pPr>
            <w:r w:rsidRPr="00E53DAD">
              <w:rPr>
                <w:rFonts w:cs="Arial"/>
                <w:sz w:val="22"/>
                <w:szCs w:val="20"/>
              </w:rPr>
              <w:t>Physician</w:t>
            </w:r>
          </w:p>
        </w:tc>
      </w:tr>
      <w:tr w:rsidR="00E53DAD" w:rsidRPr="00E53DAD" w14:paraId="664C2A53" w14:textId="77777777" w:rsidTr="00134500">
        <w:tc>
          <w:tcPr>
            <w:tcW w:w="985" w:type="dxa"/>
          </w:tcPr>
          <w:p w14:paraId="6BC26020" w14:textId="77777777" w:rsidR="00E53DAD" w:rsidRPr="00E53DAD" w:rsidRDefault="00E53DAD" w:rsidP="00134500">
            <w:pPr>
              <w:rPr>
                <w:rFonts w:cs="Arial"/>
                <w:sz w:val="22"/>
                <w:szCs w:val="20"/>
              </w:rPr>
            </w:pPr>
            <w:r w:rsidRPr="00E53DAD">
              <w:rPr>
                <w:rFonts w:cs="Arial"/>
                <w:sz w:val="22"/>
                <w:szCs w:val="20"/>
              </w:rPr>
              <w:t>0053</w:t>
            </w:r>
          </w:p>
        </w:tc>
        <w:tc>
          <w:tcPr>
            <w:tcW w:w="5220" w:type="dxa"/>
          </w:tcPr>
          <w:p w14:paraId="1AEEA396" w14:textId="77777777" w:rsidR="00E53DAD" w:rsidRPr="00E53DAD" w:rsidRDefault="00E53DAD" w:rsidP="00134500">
            <w:pPr>
              <w:rPr>
                <w:rFonts w:cs="Arial"/>
                <w:sz w:val="22"/>
                <w:szCs w:val="20"/>
              </w:rPr>
            </w:pPr>
            <w:r w:rsidRPr="00E53DAD">
              <w:rPr>
                <w:rFonts w:cs="Arial"/>
                <w:sz w:val="22"/>
                <w:szCs w:val="20"/>
              </w:rPr>
              <w:t>Osteoporosis Management in Women Who Had a Fracture</w:t>
            </w:r>
          </w:p>
        </w:tc>
        <w:tc>
          <w:tcPr>
            <w:tcW w:w="2070" w:type="dxa"/>
          </w:tcPr>
          <w:p w14:paraId="500683FD" w14:textId="77777777" w:rsidR="00E53DAD" w:rsidRPr="00E53DAD" w:rsidRDefault="00E53DAD" w:rsidP="00134500">
            <w:pPr>
              <w:rPr>
                <w:rFonts w:cs="Arial"/>
                <w:sz w:val="22"/>
                <w:szCs w:val="20"/>
              </w:rPr>
            </w:pPr>
            <w:r w:rsidRPr="00E53DAD">
              <w:rPr>
                <w:rFonts w:cs="Arial"/>
                <w:sz w:val="22"/>
                <w:szCs w:val="20"/>
              </w:rPr>
              <w:t>NCQA</w:t>
            </w:r>
          </w:p>
        </w:tc>
        <w:tc>
          <w:tcPr>
            <w:tcW w:w="1710" w:type="dxa"/>
          </w:tcPr>
          <w:p w14:paraId="25025A3A" w14:textId="77777777" w:rsidR="00E53DAD" w:rsidRPr="00E53DAD" w:rsidRDefault="00E53DAD" w:rsidP="00134500">
            <w:pPr>
              <w:rPr>
                <w:rFonts w:cs="Arial"/>
                <w:sz w:val="22"/>
                <w:szCs w:val="20"/>
              </w:rPr>
            </w:pPr>
            <w:r w:rsidRPr="00E53DAD">
              <w:rPr>
                <w:rFonts w:cs="Arial"/>
                <w:sz w:val="22"/>
                <w:szCs w:val="20"/>
              </w:rPr>
              <w:t>Health Plan/Physician</w:t>
            </w:r>
          </w:p>
        </w:tc>
      </w:tr>
      <w:tr w:rsidR="00E53DAD" w:rsidRPr="00E53DAD" w14:paraId="7AF8A3E9" w14:textId="77777777" w:rsidTr="00134500">
        <w:tc>
          <w:tcPr>
            <w:tcW w:w="985" w:type="dxa"/>
          </w:tcPr>
          <w:p w14:paraId="1300A864" w14:textId="77777777" w:rsidR="00E53DAD" w:rsidRPr="00E53DAD" w:rsidRDefault="00E53DAD" w:rsidP="00134500">
            <w:pPr>
              <w:rPr>
                <w:rFonts w:cs="Arial"/>
                <w:sz w:val="22"/>
                <w:szCs w:val="20"/>
              </w:rPr>
            </w:pPr>
            <w:r w:rsidRPr="00E53DAD">
              <w:rPr>
                <w:rFonts w:cs="Arial"/>
                <w:sz w:val="22"/>
                <w:szCs w:val="20"/>
              </w:rPr>
              <w:t>2416</w:t>
            </w:r>
          </w:p>
        </w:tc>
        <w:tc>
          <w:tcPr>
            <w:tcW w:w="5220" w:type="dxa"/>
          </w:tcPr>
          <w:p w14:paraId="1B48CFEF" w14:textId="77777777" w:rsidR="00E53DAD" w:rsidRPr="00E53DAD" w:rsidRDefault="00E53DAD" w:rsidP="00134500">
            <w:pPr>
              <w:rPr>
                <w:rFonts w:cs="Arial"/>
                <w:sz w:val="22"/>
                <w:szCs w:val="20"/>
              </w:rPr>
            </w:pPr>
            <w:r w:rsidRPr="00E53DAD">
              <w:rPr>
                <w:rFonts w:cs="Arial"/>
                <w:sz w:val="22"/>
                <w:szCs w:val="20"/>
              </w:rPr>
              <w:t>Laboratory Investigation for Secondary Causes of Fracture</w:t>
            </w:r>
          </w:p>
        </w:tc>
        <w:tc>
          <w:tcPr>
            <w:tcW w:w="2070" w:type="dxa"/>
          </w:tcPr>
          <w:p w14:paraId="535DC1DD" w14:textId="77777777" w:rsidR="00E53DAD" w:rsidRPr="00E53DAD" w:rsidRDefault="00E53DAD" w:rsidP="00134500">
            <w:pPr>
              <w:rPr>
                <w:rFonts w:cs="Arial"/>
                <w:sz w:val="22"/>
                <w:szCs w:val="20"/>
              </w:rPr>
            </w:pPr>
            <w:r w:rsidRPr="00E53DAD">
              <w:rPr>
                <w:rFonts w:cs="Arial"/>
                <w:sz w:val="22"/>
                <w:szCs w:val="20"/>
              </w:rPr>
              <w:t>The Joint Commission</w:t>
            </w:r>
          </w:p>
        </w:tc>
        <w:tc>
          <w:tcPr>
            <w:tcW w:w="1710" w:type="dxa"/>
          </w:tcPr>
          <w:p w14:paraId="4EE32469" w14:textId="77777777" w:rsidR="00E53DAD" w:rsidRPr="00E53DAD" w:rsidRDefault="00E53DAD" w:rsidP="00134500">
            <w:pPr>
              <w:rPr>
                <w:rFonts w:cs="Arial"/>
                <w:sz w:val="22"/>
                <w:szCs w:val="20"/>
              </w:rPr>
            </w:pPr>
            <w:r w:rsidRPr="00E53DAD">
              <w:rPr>
                <w:rFonts w:cs="Arial"/>
                <w:sz w:val="22"/>
                <w:szCs w:val="20"/>
              </w:rPr>
              <w:t>Facility</w:t>
            </w:r>
          </w:p>
        </w:tc>
      </w:tr>
      <w:tr w:rsidR="00E53DAD" w:rsidRPr="00E53DAD" w14:paraId="729F8814" w14:textId="77777777" w:rsidTr="00134500">
        <w:tc>
          <w:tcPr>
            <w:tcW w:w="985" w:type="dxa"/>
          </w:tcPr>
          <w:p w14:paraId="2FB524B2" w14:textId="77777777" w:rsidR="00E53DAD" w:rsidRPr="00E53DAD" w:rsidRDefault="00E53DAD" w:rsidP="00134500">
            <w:pPr>
              <w:rPr>
                <w:rFonts w:cs="Arial"/>
                <w:sz w:val="22"/>
                <w:szCs w:val="20"/>
              </w:rPr>
            </w:pPr>
            <w:r w:rsidRPr="00E53DAD">
              <w:rPr>
                <w:rFonts w:cs="Arial"/>
                <w:sz w:val="22"/>
                <w:szCs w:val="20"/>
              </w:rPr>
              <w:t>2417</w:t>
            </w:r>
          </w:p>
        </w:tc>
        <w:tc>
          <w:tcPr>
            <w:tcW w:w="5220" w:type="dxa"/>
          </w:tcPr>
          <w:p w14:paraId="534D8EAA" w14:textId="77777777" w:rsidR="00E53DAD" w:rsidRPr="00E53DAD" w:rsidRDefault="00E53DAD" w:rsidP="00134500">
            <w:pPr>
              <w:rPr>
                <w:rFonts w:cs="Arial"/>
                <w:sz w:val="22"/>
                <w:szCs w:val="20"/>
              </w:rPr>
            </w:pPr>
            <w:r w:rsidRPr="00E53DAD">
              <w:rPr>
                <w:rFonts w:cs="Arial"/>
                <w:sz w:val="22"/>
                <w:szCs w:val="20"/>
              </w:rPr>
              <w:t>Risk Assessment/Treatment After Fracture</w:t>
            </w:r>
          </w:p>
        </w:tc>
        <w:tc>
          <w:tcPr>
            <w:tcW w:w="2070" w:type="dxa"/>
          </w:tcPr>
          <w:p w14:paraId="6166ECF8" w14:textId="77777777" w:rsidR="00E53DAD" w:rsidRPr="00E53DAD" w:rsidRDefault="00E53DAD" w:rsidP="00134500">
            <w:pPr>
              <w:rPr>
                <w:rFonts w:cs="Arial"/>
                <w:sz w:val="22"/>
                <w:szCs w:val="20"/>
              </w:rPr>
            </w:pPr>
            <w:r w:rsidRPr="00E53DAD">
              <w:rPr>
                <w:rFonts w:cs="Arial"/>
                <w:sz w:val="22"/>
                <w:szCs w:val="20"/>
              </w:rPr>
              <w:t>The Joint Commission</w:t>
            </w:r>
          </w:p>
        </w:tc>
        <w:tc>
          <w:tcPr>
            <w:tcW w:w="1710" w:type="dxa"/>
          </w:tcPr>
          <w:p w14:paraId="449DBE6F" w14:textId="77777777" w:rsidR="00E53DAD" w:rsidRPr="00E53DAD" w:rsidRDefault="00E53DAD" w:rsidP="00134500">
            <w:pPr>
              <w:rPr>
                <w:rFonts w:cs="Arial"/>
                <w:sz w:val="22"/>
                <w:szCs w:val="20"/>
              </w:rPr>
            </w:pPr>
            <w:r w:rsidRPr="00E53DAD">
              <w:rPr>
                <w:rFonts w:cs="Arial"/>
                <w:sz w:val="22"/>
                <w:szCs w:val="20"/>
              </w:rPr>
              <w:t>Facility</w:t>
            </w:r>
          </w:p>
        </w:tc>
      </w:tr>
    </w:tbl>
    <w:p w14:paraId="6D346CB6" w14:textId="77777777" w:rsidR="00E53DAD" w:rsidRPr="00E53DAD" w:rsidRDefault="00E53DAD" w:rsidP="00E53DAD">
      <w:pPr>
        <w:rPr>
          <w:rFonts w:cs="Arial"/>
          <w:sz w:val="22"/>
          <w:szCs w:val="20"/>
        </w:rPr>
      </w:pPr>
    </w:p>
    <w:p w14:paraId="0F3B6F4B" w14:textId="77777777" w:rsidR="00BF4610" w:rsidRPr="00E53DAD" w:rsidRDefault="00BF4610" w:rsidP="00BF4610">
      <w:pPr>
        <w:rPr>
          <w:rFonts w:cs="Arial"/>
          <w:sz w:val="22"/>
          <w:szCs w:val="20"/>
        </w:rPr>
      </w:pPr>
    </w:p>
    <w:p w14:paraId="76293662" w14:textId="35DDFFBB" w:rsidR="00CB1250" w:rsidRPr="00E53DAD" w:rsidRDefault="00CB1250" w:rsidP="00BF4610">
      <w:pPr>
        <w:rPr>
          <w:rFonts w:cs="Arial"/>
          <w:sz w:val="22"/>
          <w:szCs w:val="20"/>
        </w:rPr>
      </w:pPr>
      <w:r w:rsidRPr="00E53DAD">
        <w:rPr>
          <w:rFonts w:cs="Arial"/>
          <w:sz w:val="22"/>
          <w:szCs w:val="20"/>
        </w:rPr>
        <w:t xml:space="preserve">The </w:t>
      </w:r>
      <w:r w:rsidR="00866A75" w:rsidRPr="00E53DAD">
        <w:rPr>
          <w:rFonts w:cs="Arial"/>
          <w:sz w:val="22"/>
          <w:szCs w:val="20"/>
        </w:rPr>
        <w:t>osteoporosis</w:t>
      </w:r>
      <w:r w:rsidRPr="00E53DAD">
        <w:rPr>
          <w:rFonts w:cs="Arial"/>
          <w:sz w:val="22"/>
          <w:szCs w:val="20"/>
        </w:rPr>
        <w:t xml:space="preserve"> screening and management measures are focused on prevention of osteoporosis-related fractures over a continuum of care</w:t>
      </w:r>
      <w:r w:rsidR="00AA47DA" w:rsidRPr="00E53DAD">
        <w:rPr>
          <w:rFonts w:cs="Arial"/>
          <w:sz w:val="22"/>
          <w:szCs w:val="20"/>
        </w:rPr>
        <w:t xml:space="preserve"> (see Figure 1)</w:t>
      </w:r>
      <w:r w:rsidRPr="00E53DAD">
        <w:rPr>
          <w:rFonts w:cs="Arial"/>
          <w:sz w:val="22"/>
          <w:szCs w:val="20"/>
        </w:rPr>
        <w:t>.</w:t>
      </w:r>
      <w:r w:rsidR="00866A75" w:rsidRPr="00E53DAD">
        <w:rPr>
          <w:rFonts w:cs="Arial"/>
          <w:sz w:val="22"/>
          <w:szCs w:val="20"/>
        </w:rPr>
        <w:t xml:space="preserve">  The measures start by focusing on screening for osteoporosis in the general population (#0037, #0046).  The next measures focus on individuals who experienced a fragility fracture and are at risk of future osteoporosis-related fractures.  Usually, although not always, fragility fractures present initially in the Emergency Department o</w:t>
      </w:r>
      <w:r w:rsidR="00D87966">
        <w:rPr>
          <w:rFonts w:cs="Arial"/>
          <w:sz w:val="22"/>
          <w:szCs w:val="20"/>
        </w:rPr>
        <w:t>r</w:t>
      </w:r>
      <w:r w:rsidR="00866A75" w:rsidRPr="00E53DAD">
        <w:rPr>
          <w:rFonts w:cs="Arial"/>
          <w:sz w:val="22"/>
          <w:szCs w:val="20"/>
        </w:rPr>
        <w:t xml:space="preserve"> Hospital.  Guidelines recommend individuals with fragility fractures should be evaluated for osteoporosis or treated for osteoporosis</w:t>
      </w:r>
      <w:r w:rsidR="00E53DAD">
        <w:rPr>
          <w:rFonts w:cs="Arial"/>
          <w:sz w:val="22"/>
          <w:szCs w:val="20"/>
        </w:rPr>
        <w:t xml:space="preserve"> (#0053, #2417)</w:t>
      </w:r>
      <w:r w:rsidR="00866A75" w:rsidRPr="00E53DAD">
        <w:rPr>
          <w:rFonts w:cs="Arial"/>
          <w:sz w:val="22"/>
          <w:szCs w:val="20"/>
        </w:rPr>
        <w:t xml:space="preserve">.  </w:t>
      </w:r>
      <w:r w:rsidR="00E53DAD">
        <w:rPr>
          <w:rFonts w:cs="Arial"/>
          <w:sz w:val="22"/>
          <w:szCs w:val="20"/>
        </w:rPr>
        <w:t xml:space="preserve">Evaluation for the secondary cause of the fracture may also occur (#2416).  </w:t>
      </w:r>
      <w:r w:rsidR="00866A75" w:rsidRPr="00E53DAD">
        <w:rPr>
          <w:rFonts w:cs="Arial"/>
          <w:sz w:val="22"/>
          <w:szCs w:val="20"/>
        </w:rPr>
        <w:t>This evaluation and treatment can happen short term in the inpatient setting but is generally managed long term in the outpatient setting.  Therefore it is critical for inpatient providers to coordinate with outpatient providers to ensure continuity of care</w:t>
      </w:r>
      <w:r w:rsidR="00E53DAD">
        <w:rPr>
          <w:rFonts w:cs="Arial"/>
          <w:sz w:val="22"/>
          <w:szCs w:val="20"/>
        </w:rPr>
        <w:t xml:space="preserve"> (#0045)</w:t>
      </w:r>
      <w:r w:rsidR="00866A75" w:rsidRPr="00E53DAD">
        <w:rPr>
          <w:rFonts w:cs="Arial"/>
          <w:sz w:val="22"/>
          <w:szCs w:val="20"/>
        </w:rPr>
        <w:t>.</w:t>
      </w:r>
    </w:p>
    <w:p w14:paraId="261838E7" w14:textId="77777777" w:rsidR="00866A75" w:rsidRPr="00E53DAD" w:rsidRDefault="00866A75" w:rsidP="00BF4610">
      <w:pPr>
        <w:rPr>
          <w:rFonts w:cs="Arial"/>
          <w:sz w:val="22"/>
          <w:szCs w:val="20"/>
        </w:rPr>
      </w:pPr>
    </w:p>
    <w:p w14:paraId="0A4BAD98" w14:textId="77777777" w:rsidR="00866A75" w:rsidRPr="00E53DAD" w:rsidRDefault="00866A75" w:rsidP="00BF4610">
      <w:pPr>
        <w:rPr>
          <w:rFonts w:cs="Arial"/>
          <w:b/>
          <w:sz w:val="22"/>
          <w:szCs w:val="20"/>
        </w:rPr>
      </w:pPr>
      <w:r w:rsidRPr="00E53DAD">
        <w:rPr>
          <w:rFonts w:cs="Arial"/>
          <w:b/>
          <w:sz w:val="22"/>
          <w:szCs w:val="20"/>
        </w:rPr>
        <w:t>Figure 1: Continuum of Care for Osteoporosis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468"/>
        <w:gridCol w:w="2016"/>
        <w:gridCol w:w="504"/>
        <w:gridCol w:w="4230"/>
      </w:tblGrid>
      <w:tr w:rsidR="00866A75" w:rsidRPr="00E53DAD" w14:paraId="56591162" w14:textId="77777777" w:rsidTr="00866A75">
        <w:tc>
          <w:tcPr>
            <w:tcW w:w="2317" w:type="dxa"/>
          </w:tcPr>
          <w:p w14:paraId="144F5220" w14:textId="77777777" w:rsidR="00866A75" w:rsidRPr="00E53DAD" w:rsidRDefault="00866A75" w:rsidP="00BF4610">
            <w:pPr>
              <w:rPr>
                <w:rFonts w:cs="Arial"/>
                <w:sz w:val="22"/>
                <w:szCs w:val="20"/>
              </w:rPr>
            </w:pPr>
            <w:r w:rsidRPr="00E53DAD">
              <w:rPr>
                <w:rFonts w:cs="Arial"/>
                <w:sz w:val="22"/>
                <w:szCs w:val="20"/>
              </w:rPr>
              <w:t>Screening in general population</w:t>
            </w:r>
          </w:p>
          <w:p w14:paraId="420E480D" w14:textId="77777777" w:rsidR="00866A75" w:rsidRPr="00E53DAD" w:rsidRDefault="00866A75" w:rsidP="00BF4610">
            <w:pPr>
              <w:rPr>
                <w:rFonts w:cs="Arial"/>
                <w:sz w:val="22"/>
                <w:szCs w:val="20"/>
              </w:rPr>
            </w:pPr>
            <w:r w:rsidRPr="00E53DAD">
              <w:rPr>
                <w:rFonts w:cs="Arial"/>
                <w:sz w:val="22"/>
                <w:szCs w:val="20"/>
              </w:rPr>
              <w:t>(#0037, #0046)</w:t>
            </w:r>
          </w:p>
        </w:tc>
        <w:tc>
          <w:tcPr>
            <w:tcW w:w="468" w:type="dxa"/>
          </w:tcPr>
          <w:p w14:paraId="38EEFDEE" w14:textId="77777777" w:rsidR="00866A75" w:rsidRPr="00E53DAD" w:rsidRDefault="00866A75" w:rsidP="00BF4610">
            <w:pPr>
              <w:rPr>
                <w:rFonts w:cs="Arial"/>
                <w:sz w:val="22"/>
                <w:szCs w:val="20"/>
              </w:rPr>
            </w:pPr>
            <w:r w:rsidRPr="00E53DAD">
              <w:rPr>
                <w:rFonts w:cs="Arial"/>
                <w:sz w:val="22"/>
                <w:szCs w:val="20"/>
              </w:rPr>
              <w:t>→</w:t>
            </w:r>
          </w:p>
        </w:tc>
        <w:tc>
          <w:tcPr>
            <w:tcW w:w="2016" w:type="dxa"/>
          </w:tcPr>
          <w:p w14:paraId="439059D2" w14:textId="77777777" w:rsidR="00866A75" w:rsidRPr="00E53DAD" w:rsidRDefault="00866A75" w:rsidP="00BF4610">
            <w:pPr>
              <w:rPr>
                <w:rFonts w:cs="Arial"/>
                <w:sz w:val="22"/>
                <w:szCs w:val="20"/>
              </w:rPr>
            </w:pPr>
            <w:r w:rsidRPr="00E53DAD">
              <w:rPr>
                <w:rFonts w:cs="Arial"/>
                <w:sz w:val="22"/>
                <w:szCs w:val="20"/>
              </w:rPr>
              <w:t>Fragility fracture occurs</w:t>
            </w:r>
          </w:p>
        </w:tc>
        <w:tc>
          <w:tcPr>
            <w:tcW w:w="504" w:type="dxa"/>
          </w:tcPr>
          <w:p w14:paraId="13D29646" w14:textId="77777777" w:rsidR="00866A75" w:rsidRPr="00E53DAD" w:rsidRDefault="00866A75" w:rsidP="00866A75">
            <w:pPr>
              <w:rPr>
                <w:rFonts w:cs="Arial"/>
                <w:sz w:val="22"/>
                <w:szCs w:val="20"/>
              </w:rPr>
            </w:pPr>
            <w:r w:rsidRPr="00E53DAD">
              <w:rPr>
                <w:rFonts w:cs="Arial"/>
                <w:sz w:val="22"/>
                <w:szCs w:val="20"/>
              </w:rPr>
              <w:t>→</w:t>
            </w:r>
          </w:p>
        </w:tc>
        <w:tc>
          <w:tcPr>
            <w:tcW w:w="4230" w:type="dxa"/>
          </w:tcPr>
          <w:p w14:paraId="10DBABC3" w14:textId="77777777" w:rsidR="00866A75" w:rsidRPr="00E53DAD" w:rsidRDefault="00866A75" w:rsidP="00866A75">
            <w:pPr>
              <w:rPr>
                <w:rFonts w:cs="Arial"/>
                <w:sz w:val="22"/>
                <w:szCs w:val="20"/>
              </w:rPr>
            </w:pPr>
            <w:r w:rsidRPr="00E53DAD">
              <w:rPr>
                <w:rFonts w:cs="Arial"/>
                <w:sz w:val="22"/>
                <w:szCs w:val="20"/>
              </w:rPr>
              <w:t>Coordination between inpatient and outpatient providers  (#0045)</w:t>
            </w:r>
          </w:p>
        </w:tc>
      </w:tr>
      <w:tr w:rsidR="00866A75" w:rsidRPr="00E53DAD" w14:paraId="4B31D0D2" w14:textId="77777777" w:rsidTr="00866A75">
        <w:tc>
          <w:tcPr>
            <w:tcW w:w="2317" w:type="dxa"/>
          </w:tcPr>
          <w:p w14:paraId="31FCC9A0" w14:textId="77777777" w:rsidR="00866A75" w:rsidRPr="00E53DAD" w:rsidRDefault="00866A75" w:rsidP="00BF4610">
            <w:pPr>
              <w:rPr>
                <w:rFonts w:cs="Arial"/>
                <w:sz w:val="22"/>
                <w:szCs w:val="20"/>
              </w:rPr>
            </w:pPr>
          </w:p>
        </w:tc>
        <w:tc>
          <w:tcPr>
            <w:tcW w:w="468" w:type="dxa"/>
          </w:tcPr>
          <w:p w14:paraId="49CFBD9D" w14:textId="77777777" w:rsidR="00866A75" w:rsidRPr="00E53DAD" w:rsidRDefault="00866A75" w:rsidP="00BF4610">
            <w:pPr>
              <w:rPr>
                <w:rFonts w:cs="Arial"/>
                <w:sz w:val="22"/>
                <w:szCs w:val="20"/>
              </w:rPr>
            </w:pPr>
          </w:p>
        </w:tc>
        <w:tc>
          <w:tcPr>
            <w:tcW w:w="2016" w:type="dxa"/>
          </w:tcPr>
          <w:p w14:paraId="41AA1C9B" w14:textId="77777777" w:rsidR="00866A75" w:rsidRPr="00E53DAD" w:rsidRDefault="00866A75" w:rsidP="00BF4610">
            <w:pPr>
              <w:rPr>
                <w:rFonts w:cs="Arial"/>
                <w:sz w:val="22"/>
                <w:szCs w:val="20"/>
              </w:rPr>
            </w:pPr>
          </w:p>
        </w:tc>
        <w:tc>
          <w:tcPr>
            <w:tcW w:w="504" w:type="dxa"/>
          </w:tcPr>
          <w:p w14:paraId="361847B7" w14:textId="77777777" w:rsidR="00866A75" w:rsidRPr="00E53DAD" w:rsidRDefault="00866A75" w:rsidP="00866A75">
            <w:pPr>
              <w:rPr>
                <w:rFonts w:cs="Arial"/>
                <w:sz w:val="22"/>
                <w:szCs w:val="20"/>
              </w:rPr>
            </w:pPr>
            <w:r w:rsidRPr="00E53DAD">
              <w:rPr>
                <w:rFonts w:cs="Arial"/>
                <w:sz w:val="22"/>
                <w:szCs w:val="20"/>
              </w:rPr>
              <w:t>→</w:t>
            </w:r>
          </w:p>
        </w:tc>
        <w:tc>
          <w:tcPr>
            <w:tcW w:w="4230" w:type="dxa"/>
          </w:tcPr>
          <w:p w14:paraId="5C84166A" w14:textId="77777777" w:rsidR="00866A75" w:rsidRPr="00E53DAD" w:rsidRDefault="00866A75" w:rsidP="00866A75">
            <w:pPr>
              <w:rPr>
                <w:rFonts w:cs="Arial"/>
                <w:sz w:val="22"/>
                <w:szCs w:val="20"/>
              </w:rPr>
            </w:pPr>
            <w:r w:rsidRPr="00E53DAD">
              <w:rPr>
                <w:rFonts w:cs="Arial"/>
                <w:sz w:val="22"/>
                <w:szCs w:val="20"/>
              </w:rPr>
              <w:t>Exploration for secondary causes of fracture (#2416)</w:t>
            </w:r>
          </w:p>
          <w:p w14:paraId="525CBFAA" w14:textId="77777777" w:rsidR="00866A75" w:rsidRPr="00E53DAD" w:rsidRDefault="00866A75" w:rsidP="00866A75">
            <w:pPr>
              <w:rPr>
                <w:rFonts w:cs="Arial"/>
                <w:sz w:val="22"/>
                <w:szCs w:val="20"/>
              </w:rPr>
            </w:pPr>
          </w:p>
        </w:tc>
      </w:tr>
      <w:tr w:rsidR="00866A75" w:rsidRPr="00E53DAD" w14:paraId="77E5E33E" w14:textId="77777777" w:rsidTr="00866A75">
        <w:tc>
          <w:tcPr>
            <w:tcW w:w="2317" w:type="dxa"/>
          </w:tcPr>
          <w:p w14:paraId="5124EFFD" w14:textId="77777777" w:rsidR="00866A75" w:rsidRPr="00E53DAD" w:rsidRDefault="00866A75" w:rsidP="00BF4610">
            <w:pPr>
              <w:rPr>
                <w:rFonts w:cs="Arial"/>
                <w:sz w:val="22"/>
                <w:szCs w:val="20"/>
              </w:rPr>
            </w:pPr>
          </w:p>
        </w:tc>
        <w:tc>
          <w:tcPr>
            <w:tcW w:w="468" w:type="dxa"/>
          </w:tcPr>
          <w:p w14:paraId="1117A5BD" w14:textId="77777777" w:rsidR="00866A75" w:rsidRPr="00E53DAD" w:rsidRDefault="00866A75" w:rsidP="00BF4610">
            <w:pPr>
              <w:rPr>
                <w:rFonts w:cs="Arial"/>
                <w:sz w:val="22"/>
                <w:szCs w:val="20"/>
              </w:rPr>
            </w:pPr>
          </w:p>
        </w:tc>
        <w:tc>
          <w:tcPr>
            <w:tcW w:w="2016" w:type="dxa"/>
          </w:tcPr>
          <w:p w14:paraId="533DFB8E" w14:textId="77777777" w:rsidR="00866A75" w:rsidRPr="00E53DAD" w:rsidRDefault="00866A75" w:rsidP="00BF4610">
            <w:pPr>
              <w:rPr>
                <w:rFonts w:cs="Arial"/>
                <w:sz w:val="22"/>
                <w:szCs w:val="20"/>
              </w:rPr>
            </w:pPr>
          </w:p>
        </w:tc>
        <w:tc>
          <w:tcPr>
            <w:tcW w:w="504" w:type="dxa"/>
          </w:tcPr>
          <w:p w14:paraId="0BE863C3" w14:textId="77777777" w:rsidR="00866A75" w:rsidRPr="00E53DAD" w:rsidRDefault="00866A75" w:rsidP="00866A75">
            <w:pPr>
              <w:rPr>
                <w:rFonts w:cs="Arial"/>
                <w:sz w:val="22"/>
                <w:szCs w:val="20"/>
              </w:rPr>
            </w:pPr>
            <w:r w:rsidRPr="00E53DAD">
              <w:rPr>
                <w:rFonts w:cs="Arial"/>
                <w:sz w:val="22"/>
                <w:szCs w:val="20"/>
              </w:rPr>
              <w:t>→</w:t>
            </w:r>
          </w:p>
        </w:tc>
        <w:tc>
          <w:tcPr>
            <w:tcW w:w="4230" w:type="dxa"/>
          </w:tcPr>
          <w:p w14:paraId="6D47D5E7" w14:textId="77777777" w:rsidR="00866A75" w:rsidRPr="00E53DAD" w:rsidRDefault="00866A75" w:rsidP="00866A75">
            <w:pPr>
              <w:rPr>
                <w:rFonts w:cs="Arial"/>
                <w:sz w:val="22"/>
                <w:szCs w:val="20"/>
              </w:rPr>
            </w:pPr>
            <w:r w:rsidRPr="00E53DAD">
              <w:rPr>
                <w:rFonts w:cs="Arial"/>
                <w:sz w:val="22"/>
                <w:szCs w:val="20"/>
              </w:rPr>
              <w:t>Screening or Treatment for Osteoporosis (#0053/#2417)</w:t>
            </w:r>
          </w:p>
        </w:tc>
      </w:tr>
    </w:tbl>
    <w:p w14:paraId="494BCA1E" w14:textId="77777777" w:rsidR="00E53DAD" w:rsidRDefault="00E53DAD" w:rsidP="00BF4610">
      <w:pPr>
        <w:rPr>
          <w:rFonts w:cs="Arial"/>
          <w:sz w:val="22"/>
          <w:szCs w:val="20"/>
        </w:rPr>
      </w:pPr>
    </w:p>
    <w:p w14:paraId="7B95BFD4" w14:textId="7BB05DD9" w:rsidR="00866A75" w:rsidRPr="00E53DAD" w:rsidRDefault="00E53DAD" w:rsidP="00BF4610">
      <w:pPr>
        <w:rPr>
          <w:rFonts w:cs="Arial"/>
          <w:sz w:val="22"/>
          <w:szCs w:val="20"/>
        </w:rPr>
      </w:pPr>
      <w:r>
        <w:rPr>
          <w:rFonts w:cs="Arial"/>
          <w:sz w:val="22"/>
          <w:szCs w:val="20"/>
        </w:rPr>
        <w:t xml:space="preserve">Using this continuum of care for osteoporosis as our framework we examined harmonization for measures that focused on the same population and the same step in the continuum of care.  Below we describe the two sets of </w:t>
      </w:r>
      <w:r w:rsidR="00A37C90">
        <w:rPr>
          <w:rFonts w:cs="Arial"/>
          <w:sz w:val="22"/>
          <w:szCs w:val="20"/>
        </w:rPr>
        <w:t>measures that fit this framework (measures of screening for osteoporosis in the general population and measures for screening o</w:t>
      </w:r>
      <w:r w:rsidR="00D87966">
        <w:rPr>
          <w:rFonts w:cs="Arial"/>
          <w:sz w:val="22"/>
          <w:szCs w:val="20"/>
        </w:rPr>
        <w:t>r</w:t>
      </w:r>
      <w:r w:rsidR="00A37C90">
        <w:rPr>
          <w:rFonts w:cs="Arial"/>
          <w:sz w:val="22"/>
          <w:szCs w:val="20"/>
        </w:rPr>
        <w:t xml:space="preserve"> treatment of osteoporosis post fracture).  For each </w:t>
      </w:r>
      <w:r w:rsidR="00A37C90">
        <w:rPr>
          <w:rFonts w:cs="Arial"/>
          <w:sz w:val="22"/>
          <w:szCs w:val="20"/>
        </w:rPr>
        <w:lastRenderedPageBreak/>
        <w:t>set we describe the similarities and differences between the measures and provide an explanation of the variation between the measures.  This harmonization analysis does not include measures #0045 or #2416 because we consider these to be related but focused on different steps in the continuum of care.</w:t>
      </w:r>
    </w:p>
    <w:p w14:paraId="3AED2D8A" w14:textId="77777777" w:rsidR="00BF4610" w:rsidRPr="00E53DAD" w:rsidRDefault="00BF4610">
      <w:pPr>
        <w:rPr>
          <w:rFonts w:cs="Arial"/>
          <w:sz w:val="22"/>
          <w:szCs w:val="20"/>
        </w:rPr>
      </w:pPr>
    </w:p>
    <w:p w14:paraId="37F8D4FC" w14:textId="77777777" w:rsidR="0012152C" w:rsidRPr="00E53DAD" w:rsidRDefault="0012152C">
      <w:pPr>
        <w:rPr>
          <w:rFonts w:cs="Arial"/>
          <w:sz w:val="22"/>
          <w:szCs w:val="20"/>
        </w:rPr>
      </w:pPr>
    </w:p>
    <w:p w14:paraId="600F96D2" w14:textId="77777777" w:rsidR="0012152C" w:rsidRPr="00A37C90" w:rsidRDefault="00DE2DF1">
      <w:pPr>
        <w:rPr>
          <w:rFonts w:cs="Arial"/>
          <w:b/>
          <w:sz w:val="22"/>
          <w:szCs w:val="20"/>
        </w:rPr>
      </w:pPr>
      <w:r w:rsidRPr="00A37C90">
        <w:rPr>
          <w:rFonts w:cs="Arial"/>
          <w:b/>
          <w:sz w:val="22"/>
          <w:szCs w:val="20"/>
        </w:rPr>
        <w:t xml:space="preserve">Table 2: Measures of </w:t>
      </w:r>
      <w:r w:rsidR="0012152C" w:rsidRPr="00A37C90">
        <w:rPr>
          <w:rFonts w:cs="Arial"/>
          <w:b/>
          <w:sz w:val="22"/>
          <w:szCs w:val="20"/>
        </w:rPr>
        <w:t>Screening for Osteoporosis</w:t>
      </w:r>
      <w:r w:rsidR="0063482B" w:rsidRPr="00A37C90">
        <w:rPr>
          <w:rFonts w:cs="Arial"/>
          <w:b/>
          <w:sz w:val="22"/>
          <w:szCs w:val="20"/>
        </w:rPr>
        <w:t xml:space="preserve"> in General Population</w:t>
      </w:r>
    </w:p>
    <w:tbl>
      <w:tblPr>
        <w:tblStyle w:val="TableGrid"/>
        <w:tblW w:w="5000" w:type="pct"/>
        <w:tblLook w:val="04A0" w:firstRow="1" w:lastRow="0" w:firstColumn="1" w:lastColumn="0" w:noHBand="0" w:noVBand="1"/>
      </w:tblPr>
      <w:tblGrid>
        <w:gridCol w:w="2124"/>
        <w:gridCol w:w="3974"/>
        <w:gridCol w:w="3972"/>
      </w:tblGrid>
      <w:tr w:rsidR="00AA47DA" w:rsidRPr="00E53DAD" w14:paraId="564F467E" w14:textId="77777777" w:rsidTr="00A37C90">
        <w:tc>
          <w:tcPr>
            <w:tcW w:w="1055" w:type="pct"/>
          </w:tcPr>
          <w:p w14:paraId="5119D6DF" w14:textId="77777777" w:rsidR="00AA47DA" w:rsidRPr="00A37C90" w:rsidRDefault="00AA47DA">
            <w:pPr>
              <w:rPr>
                <w:rFonts w:cs="Arial"/>
                <w:b/>
                <w:sz w:val="22"/>
                <w:szCs w:val="20"/>
              </w:rPr>
            </w:pPr>
            <w:r w:rsidRPr="00A37C90">
              <w:rPr>
                <w:rFonts w:cs="Arial"/>
                <w:b/>
                <w:sz w:val="22"/>
                <w:szCs w:val="20"/>
              </w:rPr>
              <w:t>NQF #</w:t>
            </w:r>
          </w:p>
        </w:tc>
        <w:tc>
          <w:tcPr>
            <w:tcW w:w="1973" w:type="pct"/>
          </w:tcPr>
          <w:p w14:paraId="67550805" w14:textId="77777777" w:rsidR="00AA47DA" w:rsidRPr="00E53DAD" w:rsidRDefault="00AA47DA">
            <w:pPr>
              <w:rPr>
                <w:rFonts w:cs="Arial"/>
                <w:sz w:val="22"/>
                <w:szCs w:val="20"/>
              </w:rPr>
            </w:pPr>
            <w:r w:rsidRPr="00E53DAD">
              <w:rPr>
                <w:rFonts w:cs="Arial"/>
                <w:sz w:val="22"/>
                <w:szCs w:val="20"/>
              </w:rPr>
              <w:t>0037</w:t>
            </w:r>
          </w:p>
        </w:tc>
        <w:tc>
          <w:tcPr>
            <w:tcW w:w="1972" w:type="pct"/>
          </w:tcPr>
          <w:p w14:paraId="44218DF2" w14:textId="77777777" w:rsidR="00AA47DA" w:rsidRPr="00E53DAD" w:rsidRDefault="00AA47DA">
            <w:pPr>
              <w:rPr>
                <w:rFonts w:cs="Arial"/>
                <w:sz w:val="22"/>
                <w:szCs w:val="20"/>
              </w:rPr>
            </w:pPr>
            <w:r w:rsidRPr="00E53DAD">
              <w:rPr>
                <w:rFonts w:cs="Arial"/>
                <w:sz w:val="22"/>
                <w:szCs w:val="20"/>
              </w:rPr>
              <w:t>0046</w:t>
            </w:r>
          </w:p>
        </w:tc>
      </w:tr>
      <w:tr w:rsidR="00AA47DA" w:rsidRPr="00E53DAD" w14:paraId="354B3A31" w14:textId="77777777" w:rsidTr="00A37C90">
        <w:tc>
          <w:tcPr>
            <w:tcW w:w="1055" w:type="pct"/>
          </w:tcPr>
          <w:p w14:paraId="3A5037D9" w14:textId="77777777" w:rsidR="00AA47DA" w:rsidRPr="00A37C90" w:rsidRDefault="00AA47DA">
            <w:pPr>
              <w:rPr>
                <w:rFonts w:cs="Arial"/>
                <w:b/>
                <w:sz w:val="22"/>
                <w:szCs w:val="20"/>
              </w:rPr>
            </w:pPr>
            <w:r w:rsidRPr="00A37C90">
              <w:rPr>
                <w:rFonts w:cs="Arial"/>
                <w:b/>
                <w:sz w:val="22"/>
                <w:szCs w:val="20"/>
              </w:rPr>
              <w:t>Title</w:t>
            </w:r>
          </w:p>
        </w:tc>
        <w:tc>
          <w:tcPr>
            <w:tcW w:w="1973" w:type="pct"/>
          </w:tcPr>
          <w:p w14:paraId="327B6523" w14:textId="77777777" w:rsidR="00AA47DA" w:rsidRPr="00E53DAD" w:rsidRDefault="00AA47DA">
            <w:pPr>
              <w:rPr>
                <w:rFonts w:cs="Arial"/>
                <w:sz w:val="22"/>
                <w:szCs w:val="20"/>
              </w:rPr>
            </w:pPr>
            <w:r w:rsidRPr="00E53DAD">
              <w:rPr>
                <w:rFonts w:cs="Arial"/>
                <w:sz w:val="22"/>
                <w:szCs w:val="20"/>
              </w:rPr>
              <w:t>Osteoporosis Testing in Older Women</w:t>
            </w:r>
          </w:p>
        </w:tc>
        <w:tc>
          <w:tcPr>
            <w:tcW w:w="1972" w:type="pct"/>
          </w:tcPr>
          <w:p w14:paraId="42E3B95F" w14:textId="77777777" w:rsidR="00AA47DA" w:rsidRPr="00E53DAD" w:rsidRDefault="00AA47DA">
            <w:pPr>
              <w:rPr>
                <w:rFonts w:cs="Arial"/>
                <w:sz w:val="22"/>
                <w:szCs w:val="20"/>
              </w:rPr>
            </w:pPr>
            <w:r w:rsidRPr="00E53DAD">
              <w:rPr>
                <w:rFonts w:eastAsia="Trebuchet MS" w:cs="Arial"/>
                <w:bCs/>
                <w:sz w:val="22"/>
                <w:szCs w:val="20"/>
              </w:rPr>
              <w:t>Screening for Osteoporosis for Women 65-85 Years of Age</w:t>
            </w:r>
          </w:p>
        </w:tc>
      </w:tr>
      <w:tr w:rsidR="00A37C90" w:rsidRPr="00E53DAD" w14:paraId="087D61AE" w14:textId="77777777" w:rsidTr="00A37C90">
        <w:tc>
          <w:tcPr>
            <w:tcW w:w="1055" w:type="pct"/>
          </w:tcPr>
          <w:p w14:paraId="22044AFC" w14:textId="77777777" w:rsidR="00A37C90" w:rsidRPr="00A37C90" w:rsidRDefault="00A37C90" w:rsidP="00CF61B5">
            <w:pPr>
              <w:rPr>
                <w:rFonts w:cs="Arial"/>
                <w:b/>
                <w:sz w:val="22"/>
                <w:szCs w:val="20"/>
              </w:rPr>
            </w:pPr>
            <w:r w:rsidRPr="00A37C90">
              <w:rPr>
                <w:rFonts w:cs="Arial"/>
                <w:b/>
                <w:sz w:val="22"/>
                <w:szCs w:val="20"/>
              </w:rPr>
              <w:t>Level of Accountability</w:t>
            </w:r>
          </w:p>
        </w:tc>
        <w:tc>
          <w:tcPr>
            <w:tcW w:w="1973" w:type="pct"/>
          </w:tcPr>
          <w:p w14:paraId="19BD6F94" w14:textId="77777777" w:rsidR="00A37C90" w:rsidRPr="00E53DAD" w:rsidRDefault="00A37C90" w:rsidP="00CF61B5">
            <w:pPr>
              <w:rPr>
                <w:rFonts w:cs="Arial"/>
                <w:sz w:val="22"/>
                <w:szCs w:val="20"/>
              </w:rPr>
            </w:pPr>
            <w:r w:rsidRPr="00E53DAD">
              <w:rPr>
                <w:rFonts w:cs="Arial"/>
                <w:sz w:val="22"/>
                <w:szCs w:val="20"/>
              </w:rPr>
              <w:t>Health Plan</w:t>
            </w:r>
          </w:p>
        </w:tc>
        <w:tc>
          <w:tcPr>
            <w:tcW w:w="1972" w:type="pct"/>
          </w:tcPr>
          <w:p w14:paraId="136E45ED" w14:textId="77777777" w:rsidR="00A37C90" w:rsidRPr="00E53DAD" w:rsidRDefault="00A37C90" w:rsidP="00CF61B5">
            <w:pPr>
              <w:rPr>
                <w:rFonts w:cs="Arial"/>
                <w:sz w:val="22"/>
                <w:szCs w:val="20"/>
              </w:rPr>
            </w:pPr>
            <w:r w:rsidRPr="00E53DAD">
              <w:rPr>
                <w:rFonts w:cs="Arial"/>
                <w:sz w:val="22"/>
                <w:szCs w:val="20"/>
              </w:rPr>
              <w:t>Physician</w:t>
            </w:r>
          </w:p>
        </w:tc>
      </w:tr>
      <w:tr w:rsidR="00AA47DA" w:rsidRPr="00E53DAD" w14:paraId="47298853" w14:textId="77777777" w:rsidTr="00A37C90">
        <w:tc>
          <w:tcPr>
            <w:tcW w:w="1055" w:type="pct"/>
          </w:tcPr>
          <w:p w14:paraId="4D18F5C0" w14:textId="77777777" w:rsidR="00AA47DA" w:rsidRPr="00A37C90" w:rsidRDefault="00AA47DA" w:rsidP="000E1850">
            <w:pPr>
              <w:rPr>
                <w:rFonts w:cs="Arial"/>
                <w:b/>
                <w:sz w:val="22"/>
                <w:szCs w:val="20"/>
              </w:rPr>
            </w:pPr>
            <w:r w:rsidRPr="00A37C90">
              <w:rPr>
                <w:rFonts w:cs="Arial"/>
                <w:b/>
                <w:sz w:val="22"/>
                <w:szCs w:val="20"/>
              </w:rPr>
              <w:t>Data Source</w:t>
            </w:r>
          </w:p>
        </w:tc>
        <w:tc>
          <w:tcPr>
            <w:tcW w:w="1973" w:type="pct"/>
          </w:tcPr>
          <w:p w14:paraId="5198A0AA" w14:textId="77777777" w:rsidR="00AA47DA" w:rsidRPr="00E53DAD" w:rsidRDefault="00AA47DA" w:rsidP="000E1850">
            <w:pPr>
              <w:rPr>
                <w:rFonts w:cs="Arial"/>
                <w:sz w:val="22"/>
                <w:szCs w:val="20"/>
              </w:rPr>
            </w:pPr>
            <w:r w:rsidRPr="00E53DAD">
              <w:rPr>
                <w:rFonts w:cs="Arial"/>
                <w:sz w:val="22"/>
                <w:szCs w:val="20"/>
              </w:rPr>
              <w:t>Survey</w:t>
            </w:r>
          </w:p>
        </w:tc>
        <w:tc>
          <w:tcPr>
            <w:tcW w:w="1972" w:type="pct"/>
          </w:tcPr>
          <w:p w14:paraId="67587265" w14:textId="77777777" w:rsidR="00AA47DA" w:rsidRPr="00E53DAD" w:rsidRDefault="00AA47DA" w:rsidP="000E1850">
            <w:pPr>
              <w:rPr>
                <w:rFonts w:cs="Arial"/>
                <w:sz w:val="22"/>
                <w:szCs w:val="20"/>
              </w:rPr>
            </w:pPr>
            <w:r w:rsidRPr="00E53DAD">
              <w:rPr>
                <w:rFonts w:cs="Arial"/>
                <w:sz w:val="22"/>
                <w:szCs w:val="20"/>
              </w:rPr>
              <w:t>Medical Record</w:t>
            </w:r>
          </w:p>
        </w:tc>
      </w:tr>
      <w:tr w:rsidR="00AA47DA" w:rsidRPr="00E53DAD" w14:paraId="63BD2725" w14:textId="77777777" w:rsidTr="00A37C90">
        <w:tc>
          <w:tcPr>
            <w:tcW w:w="1055" w:type="pct"/>
          </w:tcPr>
          <w:p w14:paraId="1F5FA6C1" w14:textId="77777777" w:rsidR="00AA47DA" w:rsidRPr="00A37C90" w:rsidRDefault="00AA47DA" w:rsidP="0063482B">
            <w:pPr>
              <w:rPr>
                <w:rFonts w:cs="Arial"/>
                <w:b/>
                <w:sz w:val="22"/>
                <w:szCs w:val="20"/>
              </w:rPr>
            </w:pPr>
            <w:r w:rsidRPr="00A37C90">
              <w:rPr>
                <w:rFonts w:cs="Arial"/>
                <w:b/>
                <w:sz w:val="22"/>
                <w:szCs w:val="20"/>
              </w:rPr>
              <w:t>Denominator</w:t>
            </w:r>
          </w:p>
        </w:tc>
        <w:tc>
          <w:tcPr>
            <w:tcW w:w="1973" w:type="pct"/>
          </w:tcPr>
          <w:p w14:paraId="338D0258" w14:textId="77777777" w:rsidR="00AA47DA" w:rsidRPr="00E53DAD" w:rsidRDefault="00AA47DA">
            <w:pPr>
              <w:rPr>
                <w:rFonts w:cs="Arial"/>
                <w:sz w:val="22"/>
                <w:szCs w:val="20"/>
              </w:rPr>
            </w:pPr>
            <w:r w:rsidRPr="00E53DAD">
              <w:rPr>
                <w:rFonts w:cs="Arial"/>
                <w:sz w:val="22"/>
                <w:szCs w:val="20"/>
              </w:rPr>
              <w:t>Women age 65-85</w:t>
            </w:r>
          </w:p>
        </w:tc>
        <w:tc>
          <w:tcPr>
            <w:tcW w:w="1972" w:type="pct"/>
          </w:tcPr>
          <w:p w14:paraId="439FC7B4" w14:textId="77777777" w:rsidR="00AA47DA" w:rsidRPr="00E53DAD" w:rsidRDefault="00AA47DA" w:rsidP="0012152C">
            <w:pPr>
              <w:rPr>
                <w:rFonts w:cs="Arial"/>
                <w:sz w:val="22"/>
                <w:szCs w:val="20"/>
              </w:rPr>
            </w:pPr>
            <w:r w:rsidRPr="00E53DAD">
              <w:rPr>
                <w:rFonts w:cs="Arial"/>
                <w:sz w:val="22"/>
                <w:szCs w:val="20"/>
              </w:rPr>
              <w:t>Women age 65-85 with an encounter with and eligible provider</w:t>
            </w:r>
          </w:p>
        </w:tc>
      </w:tr>
      <w:tr w:rsidR="00AA47DA" w:rsidRPr="00E53DAD" w14:paraId="2687D6C7" w14:textId="77777777" w:rsidTr="00A37C90">
        <w:tc>
          <w:tcPr>
            <w:tcW w:w="1055" w:type="pct"/>
          </w:tcPr>
          <w:p w14:paraId="6A939FB7" w14:textId="77777777" w:rsidR="00AA47DA" w:rsidRPr="00A37C90" w:rsidRDefault="00AA47DA">
            <w:pPr>
              <w:rPr>
                <w:rFonts w:cs="Arial"/>
                <w:b/>
                <w:sz w:val="22"/>
                <w:szCs w:val="20"/>
              </w:rPr>
            </w:pPr>
            <w:r w:rsidRPr="00A37C90">
              <w:rPr>
                <w:rFonts w:cs="Arial"/>
                <w:b/>
                <w:sz w:val="22"/>
                <w:szCs w:val="20"/>
              </w:rPr>
              <w:t>Numerator</w:t>
            </w:r>
          </w:p>
        </w:tc>
        <w:tc>
          <w:tcPr>
            <w:tcW w:w="1973" w:type="pct"/>
          </w:tcPr>
          <w:p w14:paraId="3C631130" w14:textId="380D51EE" w:rsidR="00AA47DA" w:rsidRPr="00E53DAD" w:rsidRDefault="00AA47DA">
            <w:pPr>
              <w:rPr>
                <w:rFonts w:cs="Arial"/>
                <w:sz w:val="22"/>
                <w:szCs w:val="20"/>
              </w:rPr>
            </w:pPr>
            <w:r w:rsidRPr="00E53DAD">
              <w:rPr>
                <w:rFonts w:cs="Arial"/>
                <w:sz w:val="22"/>
                <w:szCs w:val="20"/>
              </w:rPr>
              <w:t xml:space="preserve">Ever received a </w:t>
            </w:r>
            <w:r w:rsidR="00D87966">
              <w:rPr>
                <w:rFonts w:cs="Arial"/>
                <w:sz w:val="22"/>
                <w:szCs w:val="20"/>
              </w:rPr>
              <w:t>bone mineral density test</w:t>
            </w:r>
            <w:r w:rsidRPr="00E53DAD">
              <w:rPr>
                <w:rFonts w:cs="Arial"/>
                <w:sz w:val="22"/>
                <w:szCs w:val="20"/>
              </w:rPr>
              <w:t xml:space="preserve"> of the hip or spine</w:t>
            </w:r>
          </w:p>
        </w:tc>
        <w:tc>
          <w:tcPr>
            <w:tcW w:w="1972" w:type="pct"/>
          </w:tcPr>
          <w:p w14:paraId="3F9732E2" w14:textId="77777777" w:rsidR="00AA47DA" w:rsidRPr="00E53DAD" w:rsidRDefault="00DE2DF1">
            <w:pPr>
              <w:rPr>
                <w:rFonts w:cs="Arial"/>
                <w:sz w:val="22"/>
                <w:szCs w:val="20"/>
              </w:rPr>
            </w:pPr>
            <w:r w:rsidRPr="00E53DAD">
              <w:rPr>
                <w:rFonts w:cs="Arial"/>
                <w:sz w:val="22"/>
                <w:szCs w:val="20"/>
              </w:rPr>
              <w:t xml:space="preserve">Ever received a </w:t>
            </w:r>
            <w:r w:rsidR="00AA47DA" w:rsidRPr="00E53DAD">
              <w:rPr>
                <w:rFonts w:cs="Arial"/>
                <w:sz w:val="22"/>
                <w:szCs w:val="20"/>
              </w:rPr>
              <w:t>DXA of hip or spine</w:t>
            </w:r>
          </w:p>
        </w:tc>
      </w:tr>
      <w:tr w:rsidR="00AA47DA" w:rsidRPr="00E53DAD" w14:paraId="342E6179" w14:textId="77777777" w:rsidTr="00A37C90">
        <w:tc>
          <w:tcPr>
            <w:tcW w:w="1055" w:type="pct"/>
          </w:tcPr>
          <w:p w14:paraId="44475F7E" w14:textId="77777777" w:rsidR="00AA47DA" w:rsidRPr="00A37C90" w:rsidRDefault="00AA47DA">
            <w:pPr>
              <w:rPr>
                <w:rFonts w:cs="Arial"/>
                <w:b/>
                <w:sz w:val="22"/>
                <w:szCs w:val="20"/>
              </w:rPr>
            </w:pPr>
            <w:r w:rsidRPr="00A37C90">
              <w:rPr>
                <w:rFonts w:cs="Arial"/>
                <w:b/>
                <w:sz w:val="22"/>
                <w:szCs w:val="20"/>
              </w:rPr>
              <w:t>Exclusions</w:t>
            </w:r>
          </w:p>
        </w:tc>
        <w:tc>
          <w:tcPr>
            <w:tcW w:w="1973" w:type="pct"/>
          </w:tcPr>
          <w:p w14:paraId="01273E64" w14:textId="77777777" w:rsidR="00AA47DA" w:rsidRPr="00E53DAD" w:rsidRDefault="00AA47DA">
            <w:pPr>
              <w:rPr>
                <w:rFonts w:cs="Arial"/>
                <w:sz w:val="22"/>
                <w:szCs w:val="20"/>
              </w:rPr>
            </w:pPr>
          </w:p>
        </w:tc>
        <w:tc>
          <w:tcPr>
            <w:tcW w:w="1972" w:type="pct"/>
          </w:tcPr>
          <w:p w14:paraId="59913F18" w14:textId="77777777" w:rsidR="00AA47DA" w:rsidRPr="00E53DAD" w:rsidRDefault="00AA47DA">
            <w:pPr>
              <w:rPr>
                <w:rFonts w:cs="Arial"/>
                <w:sz w:val="22"/>
                <w:szCs w:val="20"/>
              </w:rPr>
            </w:pPr>
            <w:r w:rsidRPr="00E53DAD">
              <w:rPr>
                <w:rFonts w:cs="Arial"/>
                <w:sz w:val="22"/>
                <w:szCs w:val="20"/>
              </w:rPr>
              <w:t>Diagnosis of osteoporosis at the time of encounter</w:t>
            </w:r>
          </w:p>
        </w:tc>
      </w:tr>
    </w:tbl>
    <w:p w14:paraId="725E3785" w14:textId="77777777" w:rsidR="00A37C90" w:rsidRDefault="00A37C90">
      <w:pPr>
        <w:rPr>
          <w:rFonts w:cs="Arial"/>
          <w:sz w:val="22"/>
          <w:szCs w:val="20"/>
        </w:rPr>
      </w:pPr>
    </w:p>
    <w:p w14:paraId="2384DDFB" w14:textId="77777777" w:rsidR="0012152C" w:rsidRPr="00E53DAD" w:rsidRDefault="00AA47DA">
      <w:pPr>
        <w:rPr>
          <w:rFonts w:cs="Arial"/>
          <w:sz w:val="22"/>
          <w:szCs w:val="20"/>
        </w:rPr>
      </w:pPr>
      <w:r w:rsidRPr="00E53DAD">
        <w:rPr>
          <w:rFonts w:cs="Arial"/>
          <w:sz w:val="22"/>
          <w:szCs w:val="20"/>
        </w:rPr>
        <w:t xml:space="preserve">Explanation of Variation between measures: </w:t>
      </w:r>
    </w:p>
    <w:p w14:paraId="3B44B8FB" w14:textId="77777777" w:rsidR="00AA47DA" w:rsidRPr="00E53DAD" w:rsidRDefault="00AA47DA" w:rsidP="00AA47DA">
      <w:pPr>
        <w:pStyle w:val="ListParagraph"/>
        <w:numPr>
          <w:ilvl w:val="0"/>
          <w:numId w:val="1"/>
        </w:numPr>
        <w:rPr>
          <w:rFonts w:cs="Arial"/>
          <w:sz w:val="22"/>
          <w:szCs w:val="20"/>
        </w:rPr>
      </w:pPr>
      <w:r w:rsidRPr="00E53DAD">
        <w:rPr>
          <w:rFonts w:cs="Arial"/>
          <w:sz w:val="22"/>
          <w:szCs w:val="20"/>
        </w:rPr>
        <w:t>Denominator: The eligible population for both measures is women age 65-85 years of age.  Measure 0046 additional</w:t>
      </w:r>
      <w:r w:rsidR="00D87966">
        <w:rPr>
          <w:rFonts w:cs="Arial"/>
          <w:sz w:val="22"/>
          <w:szCs w:val="20"/>
        </w:rPr>
        <w:t>ly</w:t>
      </w:r>
      <w:r w:rsidRPr="00E53DAD">
        <w:rPr>
          <w:rFonts w:cs="Arial"/>
          <w:sz w:val="22"/>
          <w:szCs w:val="20"/>
        </w:rPr>
        <w:t xml:space="preserve"> narrows the eligible population to women who had an encounter with an eligible provider in order to allow for provider level comparisons.</w:t>
      </w:r>
    </w:p>
    <w:p w14:paraId="56794402" w14:textId="77777777" w:rsidR="00AA47DA" w:rsidRPr="00E53DAD" w:rsidRDefault="00AA47DA" w:rsidP="00AA47DA">
      <w:pPr>
        <w:pStyle w:val="ListParagraph"/>
        <w:numPr>
          <w:ilvl w:val="0"/>
          <w:numId w:val="1"/>
        </w:numPr>
        <w:rPr>
          <w:rFonts w:cs="Arial"/>
          <w:sz w:val="22"/>
          <w:szCs w:val="20"/>
        </w:rPr>
      </w:pPr>
      <w:r w:rsidRPr="00E53DAD">
        <w:rPr>
          <w:rFonts w:cs="Arial"/>
          <w:sz w:val="22"/>
          <w:szCs w:val="20"/>
        </w:rPr>
        <w:t>Numerator: Because measure 0037 is a survey measure, the term “bone mineral density test” is used to refer to “dual energy x-ray absorptiometry test.” This term is used because cognitive testing indicated the term was more understandable to survey respondents. We have harmonized the two measures by ensuring both measures only capture testing done of the hip or spine; however 0046 is able to capture more specificity about the type of test done due to the data source used for measure collection.</w:t>
      </w:r>
    </w:p>
    <w:p w14:paraId="0532DDDE" w14:textId="77777777" w:rsidR="00AA47DA" w:rsidRPr="00E53DAD" w:rsidRDefault="00AA47DA" w:rsidP="00AA47DA">
      <w:pPr>
        <w:pStyle w:val="ListParagraph"/>
        <w:numPr>
          <w:ilvl w:val="0"/>
          <w:numId w:val="1"/>
        </w:numPr>
        <w:rPr>
          <w:rFonts w:cs="Arial"/>
          <w:sz w:val="22"/>
          <w:szCs w:val="20"/>
        </w:rPr>
      </w:pPr>
      <w:r w:rsidRPr="00E53DAD">
        <w:rPr>
          <w:rFonts w:cs="Arial"/>
          <w:sz w:val="22"/>
          <w:szCs w:val="20"/>
        </w:rPr>
        <w:t>Exclusions: An exclusion for diagnosis of osteoporosis is not feasible in the survey measure due to the timing of data collection.</w:t>
      </w:r>
    </w:p>
    <w:p w14:paraId="0B7638A9" w14:textId="77777777" w:rsidR="00AA47DA" w:rsidRPr="00E53DAD" w:rsidRDefault="00AA47DA">
      <w:pPr>
        <w:rPr>
          <w:rFonts w:cs="Arial"/>
          <w:sz w:val="22"/>
          <w:szCs w:val="20"/>
        </w:rPr>
      </w:pPr>
    </w:p>
    <w:p w14:paraId="516868E9" w14:textId="77777777" w:rsidR="0012152C" w:rsidRPr="00A37C90" w:rsidRDefault="00DE2DF1">
      <w:pPr>
        <w:rPr>
          <w:rFonts w:cs="Arial"/>
          <w:b/>
          <w:sz w:val="22"/>
          <w:szCs w:val="20"/>
        </w:rPr>
      </w:pPr>
      <w:r w:rsidRPr="00A37C90">
        <w:rPr>
          <w:rFonts w:cs="Arial"/>
          <w:b/>
          <w:sz w:val="22"/>
          <w:szCs w:val="20"/>
        </w:rPr>
        <w:t xml:space="preserve">Table </w:t>
      </w:r>
      <w:r w:rsidR="00A37C90">
        <w:rPr>
          <w:rFonts w:cs="Arial"/>
          <w:b/>
          <w:sz w:val="22"/>
          <w:szCs w:val="20"/>
        </w:rPr>
        <w:t>3</w:t>
      </w:r>
      <w:r w:rsidRPr="00A37C90">
        <w:rPr>
          <w:rFonts w:cs="Arial"/>
          <w:b/>
          <w:sz w:val="22"/>
          <w:szCs w:val="20"/>
        </w:rPr>
        <w:t xml:space="preserve">: Measures of </w:t>
      </w:r>
      <w:r w:rsidR="0012152C" w:rsidRPr="00A37C90">
        <w:rPr>
          <w:rFonts w:cs="Arial"/>
          <w:b/>
          <w:sz w:val="22"/>
          <w:szCs w:val="20"/>
        </w:rPr>
        <w:t>Screening/Treatment Post Fracture</w:t>
      </w:r>
    </w:p>
    <w:tbl>
      <w:tblPr>
        <w:tblStyle w:val="TableGrid"/>
        <w:tblW w:w="0" w:type="auto"/>
        <w:tblLook w:val="04A0" w:firstRow="1" w:lastRow="0" w:firstColumn="1" w:lastColumn="0" w:noHBand="0" w:noVBand="1"/>
      </w:tblPr>
      <w:tblGrid>
        <w:gridCol w:w="1901"/>
        <w:gridCol w:w="3408"/>
        <w:gridCol w:w="4761"/>
      </w:tblGrid>
      <w:tr w:rsidR="00DE2DF1" w:rsidRPr="00E53DAD" w14:paraId="40463734" w14:textId="77777777" w:rsidTr="00A37C90">
        <w:tc>
          <w:tcPr>
            <w:tcW w:w="0" w:type="auto"/>
          </w:tcPr>
          <w:p w14:paraId="2D8D915B" w14:textId="77777777" w:rsidR="00DE2DF1" w:rsidRPr="00A37C90" w:rsidRDefault="00A37C90" w:rsidP="008A65FD">
            <w:pPr>
              <w:rPr>
                <w:rFonts w:cs="Arial"/>
                <w:b/>
                <w:sz w:val="22"/>
                <w:szCs w:val="20"/>
              </w:rPr>
            </w:pPr>
            <w:r w:rsidRPr="00A37C90">
              <w:rPr>
                <w:rFonts w:cs="Arial"/>
                <w:b/>
                <w:sz w:val="22"/>
                <w:szCs w:val="20"/>
              </w:rPr>
              <w:t>NQF #</w:t>
            </w:r>
          </w:p>
        </w:tc>
        <w:tc>
          <w:tcPr>
            <w:tcW w:w="0" w:type="auto"/>
          </w:tcPr>
          <w:p w14:paraId="2B0E1A50" w14:textId="77777777" w:rsidR="00DE2DF1" w:rsidRPr="00E53DAD" w:rsidRDefault="00DE2DF1" w:rsidP="008A65FD">
            <w:pPr>
              <w:rPr>
                <w:rFonts w:cs="Arial"/>
                <w:sz w:val="22"/>
                <w:szCs w:val="20"/>
              </w:rPr>
            </w:pPr>
            <w:r w:rsidRPr="00E53DAD">
              <w:rPr>
                <w:rFonts w:cs="Arial"/>
                <w:sz w:val="22"/>
                <w:szCs w:val="20"/>
              </w:rPr>
              <w:t>0053</w:t>
            </w:r>
          </w:p>
        </w:tc>
        <w:tc>
          <w:tcPr>
            <w:tcW w:w="0" w:type="auto"/>
          </w:tcPr>
          <w:p w14:paraId="57144920" w14:textId="77777777" w:rsidR="00DE2DF1" w:rsidRPr="00E53DAD" w:rsidRDefault="00DE2DF1" w:rsidP="008A65FD">
            <w:pPr>
              <w:rPr>
                <w:rFonts w:cs="Arial"/>
                <w:sz w:val="22"/>
                <w:szCs w:val="20"/>
              </w:rPr>
            </w:pPr>
            <w:r w:rsidRPr="00E53DAD">
              <w:rPr>
                <w:rFonts w:cs="Arial"/>
                <w:sz w:val="22"/>
                <w:szCs w:val="20"/>
              </w:rPr>
              <w:t>2417</w:t>
            </w:r>
          </w:p>
        </w:tc>
      </w:tr>
      <w:tr w:rsidR="00DE2DF1" w:rsidRPr="00E53DAD" w14:paraId="6DE1DF94" w14:textId="77777777" w:rsidTr="00A37C90">
        <w:tc>
          <w:tcPr>
            <w:tcW w:w="0" w:type="auto"/>
          </w:tcPr>
          <w:p w14:paraId="60C092EA" w14:textId="77777777" w:rsidR="00DE2DF1" w:rsidRPr="00A37C90" w:rsidRDefault="00A37C90" w:rsidP="008A65FD">
            <w:pPr>
              <w:rPr>
                <w:rFonts w:cs="Arial"/>
                <w:b/>
                <w:sz w:val="22"/>
                <w:szCs w:val="20"/>
              </w:rPr>
            </w:pPr>
            <w:r w:rsidRPr="00A37C90">
              <w:rPr>
                <w:rFonts w:cs="Arial"/>
                <w:b/>
                <w:sz w:val="22"/>
                <w:szCs w:val="20"/>
              </w:rPr>
              <w:t>Title</w:t>
            </w:r>
          </w:p>
        </w:tc>
        <w:tc>
          <w:tcPr>
            <w:tcW w:w="0" w:type="auto"/>
          </w:tcPr>
          <w:p w14:paraId="56D110B8" w14:textId="77777777" w:rsidR="00DE2DF1" w:rsidRPr="00E53DAD" w:rsidRDefault="00DE2DF1" w:rsidP="008A65FD">
            <w:pPr>
              <w:rPr>
                <w:rFonts w:cs="Arial"/>
                <w:sz w:val="22"/>
                <w:szCs w:val="20"/>
              </w:rPr>
            </w:pPr>
            <w:r w:rsidRPr="00E53DAD">
              <w:rPr>
                <w:rFonts w:cs="Arial"/>
                <w:sz w:val="22"/>
                <w:szCs w:val="20"/>
              </w:rPr>
              <w:t>Osteoporosis Management in Women Who Had a Fracture</w:t>
            </w:r>
          </w:p>
        </w:tc>
        <w:tc>
          <w:tcPr>
            <w:tcW w:w="0" w:type="auto"/>
          </w:tcPr>
          <w:p w14:paraId="2D7B4A65" w14:textId="77777777" w:rsidR="00DE2DF1" w:rsidRPr="00E53DAD" w:rsidRDefault="00DE2DF1" w:rsidP="008A65FD">
            <w:pPr>
              <w:rPr>
                <w:rFonts w:cs="Arial"/>
                <w:sz w:val="22"/>
                <w:szCs w:val="20"/>
              </w:rPr>
            </w:pPr>
            <w:r w:rsidRPr="00E53DAD">
              <w:rPr>
                <w:rFonts w:cs="Arial"/>
                <w:sz w:val="22"/>
                <w:szCs w:val="20"/>
              </w:rPr>
              <w:t>Risk Assessment/Treatment After Fracture</w:t>
            </w:r>
          </w:p>
        </w:tc>
      </w:tr>
      <w:tr w:rsidR="00A37C90" w:rsidRPr="00E53DAD" w14:paraId="680F7AE5" w14:textId="77777777" w:rsidTr="00A37C90">
        <w:trPr>
          <w:trHeight w:val="566"/>
        </w:trPr>
        <w:tc>
          <w:tcPr>
            <w:tcW w:w="0" w:type="auto"/>
          </w:tcPr>
          <w:p w14:paraId="0D4B1745" w14:textId="77777777" w:rsidR="00A37C90" w:rsidRPr="00A37C90" w:rsidRDefault="00A37C90" w:rsidP="00B9091B">
            <w:pPr>
              <w:rPr>
                <w:rFonts w:cs="Arial"/>
                <w:b/>
                <w:sz w:val="22"/>
                <w:szCs w:val="20"/>
              </w:rPr>
            </w:pPr>
            <w:r w:rsidRPr="00A37C90">
              <w:rPr>
                <w:rFonts w:cs="Arial"/>
                <w:b/>
                <w:sz w:val="22"/>
                <w:szCs w:val="20"/>
              </w:rPr>
              <w:t>Level of Accountability</w:t>
            </w:r>
          </w:p>
        </w:tc>
        <w:tc>
          <w:tcPr>
            <w:tcW w:w="0" w:type="auto"/>
          </w:tcPr>
          <w:p w14:paraId="14C87821" w14:textId="77777777" w:rsidR="00A37C90" w:rsidRPr="00E53DAD" w:rsidRDefault="00A37C90" w:rsidP="00B9091B">
            <w:pPr>
              <w:rPr>
                <w:rFonts w:cs="Arial"/>
                <w:sz w:val="22"/>
                <w:szCs w:val="20"/>
              </w:rPr>
            </w:pPr>
            <w:r w:rsidRPr="00E53DAD">
              <w:rPr>
                <w:rFonts w:cs="Arial"/>
                <w:sz w:val="22"/>
                <w:szCs w:val="20"/>
              </w:rPr>
              <w:t>Health Plan/Physician</w:t>
            </w:r>
          </w:p>
        </w:tc>
        <w:tc>
          <w:tcPr>
            <w:tcW w:w="0" w:type="auto"/>
          </w:tcPr>
          <w:p w14:paraId="69B53718" w14:textId="77777777" w:rsidR="00A37C90" w:rsidRPr="00E53DAD" w:rsidRDefault="00A37C90" w:rsidP="00B9091B">
            <w:pPr>
              <w:rPr>
                <w:rFonts w:cs="Arial"/>
                <w:sz w:val="22"/>
                <w:szCs w:val="20"/>
              </w:rPr>
            </w:pPr>
            <w:r w:rsidRPr="00E53DAD">
              <w:rPr>
                <w:rFonts w:cs="Arial"/>
                <w:sz w:val="22"/>
                <w:szCs w:val="20"/>
              </w:rPr>
              <w:t>Hospital</w:t>
            </w:r>
          </w:p>
        </w:tc>
      </w:tr>
      <w:tr w:rsidR="00DE2DF1" w:rsidRPr="00E53DAD" w14:paraId="47370920" w14:textId="77777777" w:rsidTr="00A37C90">
        <w:tc>
          <w:tcPr>
            <w:tcW w:w="0" w:type="auto"/>
          </w:tcPr>
          <w:p w14:paraId="34EA819A" w14:textId="77777777" w:rsidR="00DE2DF1" w:rsidRPr="00A37C90" w:rsidRDefault="00DE2DF1" w:rsidP="00BF4610">
            <w:pPr>
              <w:rPr>
                <w:rFonts w:cs="Arial"/>
                <w:b/>
                <w:sz w:val="22"/>
                <w:szCs w:val="20"/>
              </w:rPr>
            </w:pPr>
            <w:r w:rsidRPr="00A37C90">
              <w:rPr>
                <w:rFonts w:cs="Arial"/>
                <w:b/>
                <w:sz w:val="22"/>
                <w:szCs w:val="20"/>
              </w:rPr>
              <w:t>Denominator</w:t>
            </w:r>
          </w:p>
        </w:tc>
        <w:tc>
          <w:tcPr>
            <w:tcW w:w="0" w:type="auto"/>
          </w:tcPr>
          <w:p w14:paraId="237AC5B1" w14:textId="77777777" w:rsidR="00DE2DF1" w:rsidRPr="00E53DAD" w:rsidRDefault="00DE2DF1" w:rsidP="00BF4610">
            <w:pPr>
              <w:rPr>
                <w:rFonts w:cs="Arial"/>
                <w:sz w:val="22"/>
                <w:szCs w:val="20"/>
              </w:rPr>
            </w:pPr>
            <w:r w:rsidRPr="00E53DAD">
              <w:rPr>
                <w:rFonts w:cs="Arial"/>
                <w:sz w:val="22"/>
                <w:szCs w:val="20"/>
              </w:rPr>
              <w:t>Women 50-85 with any fracture other than face, finger, toe, head treated for fracture</w:t>
            </w:r>
          </w:p>
        </w:tc>
        <w:tc>
          <w:tcPr>
            <w:tcW w:w="0" w:type="auto"/>
          </w:tcPr>
          <w:p w14:paraId="37FEDB7D" w14:textId="77777777" w:rsidR="00DE2DF1" w:rsidRPr="00E53DAD" w:rsidRDefault="00DE2DF1" w:rsidP="00BF4610">
            <w:pPr>
              <w:rPr>
                <w:rFonts w:cs="Arial"/>
                <w:sz w:val="22"/>
                <w:szCs w:val="20"/>
              </w:rPr>
            </w:pPr>
            <w:r w:rsidRPr="00E53DAD">
              <w:rPr>
                <w:rFonts w:cs="Arial"/>
                <w:sz w:val="22"/>
                <w:szCs w:val="20"/>
              </w:rPr>
              <w:t xml:space="preserve">Men and Women 50+ discharged from the hospital for a vertebral, hip or “other” fragility fracture </w:t>
            </w:r>
          </w:p>
        </w:tc>
      </w:tr>
      <w:tr w:rsidR="00DE2DF1" w:rsidRPr="00E53DAD" w14:paraId="3C7E1B5F" w14:textId="77777777" w:rsidTr="00A37C90">
        <w:tc>
          <w:tcPr>
            <w:tcW w:w="0" w:type="auto"/>
          </w:tcPr>
          <w:p w14:paraId="2565EBBD" w14:textId="77777777" w:rsidR="00DE2DF1" w:rsidRPr="00A37C90" w:rsidRDefault="00DE2DF1" w:rsidP="00BF4610">
            <w:pPr>
              <w:rPr>
                <w:rFonts w:cs="Arial"/>
                <w:b/>
                <w:sz w:val="22"/>
                <w:szCs w:val="20"/>
              </w:rPr>
            </w:pPr>
            <w:r w:rsidRPr="00A37C90">
              <w:rPr>
                <w:rFonts w:cs="Arial"/>
                <w:b/>
                <w:sz w:val="22"/>
                <w:szCs w:val="20"/>
              </w:rPr>
              <w:t>Numerator</w:t>
            </w:r>
          </w:p>
        </w:tc>
        <w:tc>
          <w:tcPr>
            <w:tcW w:w="0" w:type="auto"/>
          </w:tcPr>
          <w:p w14:paraId="521186B4" w14:textId="77777777" w:rsidR="00DE2DF1" w:rsidRPr="00E53DAD" w:rsidRDefault="00DE2DF1" w:rsidP="00BF4610">
            <w:pPr>
              <w:rPr>
                <w:rFonts w:cs="Arial"/>
                <w:sz w:val="22"/>
                <w:szCs w:val="20"/>
              </w:rPr>
            </w:pPr>
            <w:r w:rsidRPr="00E53DAD">
              <w:rPr>
                <w:rFonts w:cs="Arial"/>
                <w:sz w:val="22"/>
                <w:szCs w:val="20"/>
              </w:rPr>
              <w:t>Bone mineral density test performed or prescription for a pharmacologic treatment within 6 months of fracture</w:t>
            </w:r>
          </w:p>
        </w:tc>
        <w:tc>
          <w:tcPr>
            <w:tcW w:w="0" w:type="auto"/>
          </w:tcPr>
          <w:p w14:paraId="05698774" w14:textId="77777777" w:rsidR="00DE2DF1" w:rsidRPr="00E53DAD" w:rsidRDefault="00DE2DF1" w:rsidP="00BF4610">
            <w:pPr>
              <w:rPr>
                <w:rFonts w:cs="Arial"/>
                <w:sz w:val="22"/>
                <w:szCs w:val="20"/>
              </w:rPr>
            </w:pPr>
            <w:r w:rsidRPr="00E53DAD">
              <w:rPr>
                <w:rFonts w:cs="Arial"/>
                <w:sz w:val="22"/>
                <w:szCs w:val="20"/>
              </w:rPr>
              <w:t>DXA ordered or performed, OR a prescription for a pharmacologic treatment, OR fracture liaison service OR other fracture risk assessment method</w:t>
            </w:r>
          </w:p>
        </w:tc>
      </w:tr>
      <w:tr w:rsidR="00DE2DF1" w:rsidRPr="00E53DAD" w14:paraId="4580921E" w14:textId="77777777" w:rsidTr="00A37C90">
        <w:tc>
          <w:tcPr>
            <w:tcW w:w="0" w:type="auto"/>
          </w:tcPr>
          <w:p w14:paraId="4CECE81F" w14:textId="77777777" w:rsidR="00DE2DF1" w:rsidRPr="00A37C90" w:rsidRDefault="00DE2DF1" w:rsidP="00BF4610">
            <w:pPr>
              <w:rPr>
                <w:rFonts w:cs="Arial"/>
                <w:b/>
                <w:sz w:val="22"/>
                <w:szCs w:val="20"/>
              </w:rPr>
            </w:pPr>
            <w:r w:rsidRPr="00A37C90">
              <w:rPr>
                <w:rFonts w:cs="Arial"/>
                <w:b/>
                <w:sz w:val="22"/>
                <w:szCs w:val="20"/>
              </w:rPr>
              <w:t>Exclusions</w:t>
            </w:r>
          </w:p>
        </w:tc>
        <w:tc>
          <w:tcPr>
            <w:tcW w:w="0" w:type="auto"/>
          </w:tcPr>
          <w:p w14:paraId="3791DA95" w14:textId="77777777" w:rsidR="00DE2DF1" w:rsidRPr="00E53DAD" w:rsidRDefault="00DE2DF1" w:rsidP="00BF4610">
            <w:pPr>
              <w:rPr>
                <w:rFonts w:cs="Arial"/>
                <w:sz w:val="22"/>
                <w:szCs w:val="20"/>
              </w:rPr>
            </w:pPr>
            <w:r w:rsidRPr="00E53DAD">
              <w:rPr>
                <w:rFonts w:cs="Arial"/>
                <w:sz w:val="22"/>
                <w:szCs w:val="20"/>
              </w:rPr>
              <w:t>Bone mineral density test in last 24 months</w:t>
            </w:r>
          </w:p>
          <w:p w14:paraId="717B607D" w14:textId="77777777" w:rsidR="00DE2DF1" w:rsidRPr="00E53DAD" w:rsidRDefault="00DE2DF1" w:rsidP="00BF4610">
            <w:pPr>
              <w:rPr>
                <w:rFonts w:cs="Arial"/>
                <w:sz w:val="22"/>
                <w:szCs w:val="20"/>
              </w:rPr>
            </w:pPr>
            <w:r w:rsidRPr="00E53DAD">
              <w:rPr>
                <w:rFonts w:cs="Arial"/>
                <w:sz w:val="22"/>
                <w:szCs w:val="20"/>
              </w:rPr>
              <w:t>Pharmacologic treatment in the past 12 months</w:t>
            </w:r>
          </w:p>
          <w:p w14:paraId="25319DDD" w14:textId="77777777" w:rsidR="00DE2DF1" w:rsidRPr="00E53DAD" w:rsidRDefault="00DE2DF1" w:rsidP="00BF4610">
            <w:pPr>
              <w:rPr>
                <w:rFonts w:cs="Arial"/>
                <w:sz w:val="22"/>
                <w:szCs w:val="20"/>
              </w:rPr>
            </w:pPr>
          </w:p>
        </w:tc>
        <w:tc>
          <w:tcPr>
            <w:tcW w:w="0" w:type="auto"/>
          </w:tcPr>
          <w:p w14:paraId="7B81E3E6" w14:textId="77777777" w:rsidR="00DE2DF1" w:rsidRPr="00E53DAD" w:rsidRDefault="00DE2DF1" w:rsidP="00BF4610">
            <w:pPr>
              <w:rPr>
                <w:rFonts w:cs="Arial"/>
                <w:sz w:val="22"/>
                <w:szCs w:val="20"/>
              </w:rPr>
            </w:pPr>
            <w:r w:rsidRPr="00E53DAD">
              <w:rPr>
                <w:rFonts w:cs="Arial"/>
                <w:sz w:val="22"/>
                <w:szCs w:val="20"/>
              </w:rPr>
              <w:t>“Comfort only measures”</w:t>
            </w:r>
          </w:p>
          <w:p w14:paraId="4110ECBC" w14:textId="77777777" w:rsidR="00DE2DF1" w:rsidRPr="00E53DAD" w:rsidRDefault="00DE2DF1" w:rsidP="00BF4610">
            <w:pPr>
              <w:rPr>
                <w:rFonts w:cs="Arial"/>
                <w:sz w:val="22"/>
                <w:szCs w:val="20"/>
              </w:rPr>
            </w:pPr>
            <w:r w:rsidRPr="00E53DAD">
              <w:rPr>
                <w:rFonts w:cs="Arial"/>
                <w:sz w:val="22"/>
                <w:szCs w:val="20"/>
              </w:rPr>
              <w:t>Enrollment in clinical trial</w:t>
            </w:r>
          </w:p>
          <w:p w14:paraId="4156BDA4" w14:textId="77777777" w:rsidR="00DE2DF1" w:rsidRPr="00E53DAD" w:rsidRDefault="00DE2DF1" w:rsidP="00BF4610">
            <w:pPr>
              <w:rPr>
                <w:rFonts w:cs="Arial"/>
                <w:sz w:val="22"/>
                <w:szCs w:val="20"/>
              </w:rPr>
            </w:pPr>
            <w:r w:rsidRPr="00E53DAD">
              <w:rPr>
                <w:rFonts w:cs="Arial"/>
                <w:sz w:val="22"/>
                <w:szCs w:val="20"/>
              </w:rPr>
              <w:t>Currently on a pharmacologic treatment</w:t>
            </w:r>
          </w:p>
          <w:p w14:paraId="37B61226" w14:textId="77777777" w:rsidR="00DE2DF1" w:rsidRPr="00E53DAD" w:rsidRDefault="00DE2DF1" w:rsidP="00BF4610">
            <w:pPr>
              <w:rPr>
                <w:rFonts w:cs="Arial"/>
                <w:sz w:val="22"/>
                <w:szCs w:val="20"/>
              </w:rPr>
            </w:pPr>
            <w:r w:rsidRPr="00E53DAD">
              <w:rPr>
                <w:rFonts w:cs="Arial"/>
                <w:sz w:val="22"/>
                <w:szCs w:val="20"/>
              </w:rPr>
              <w:t>Bone mineral density test in the past 12 months</w:t>
            </w:r>
          </w:p>
          <w:p w14:paraId="5EE2FFEA" w14:textId="451ABCF2" w:rsidR="00DE2DF1" w:rsidRPr="00E53DAD" w:rsidRDefault="00722679" w:rsidP="00BF4610">
            <w:pPr>
              <w:rPr>
                <w:rFonts w:cs="Arial"/>
                <w:sz w:val="22"/>
                <w:szCs w:val="20"/>
              </w:rPr>
            </w:pPr>
            <w:r>
              <w:rPr>
                <w:rFonts w:cs="Arial"/>
                <w:sz w:val="22"/>
                <w:szCs w:val="20"/>
              </w:rPr>
              <w:t xml:space="preserve">Patient </w:t>
            </w:r>
            <w:r w:rsidR="00DE2DF1" w:rsidRPr="00E53DAD">
              <w:rPr>
                <w:rFonts w:cs="Arial"/>
                <w:sz w:val="22"/>
                <w:szCs w:val="20"/>
              </w:rPr>
              <w:t>Expired</w:t>
            </w:r>
          </w:p>
        </w:tc>
      </w:tr>
    </w:tbl>
    <w:p w14:paraId="70726821" w14:textId="77777777" w:rsidR="00A37C90" w:rsidRDefault="00A37C90" w:rsidP="00DE2DF1">
      <w:pPr>
        <w:rPr>
          <w:rFonts w:cs="Arial"/>
          <w:sz w:val="22"/>
          <w:szCs w:val="20"/>
        </w:rPr>
      </w:pPr>
    </w:p>
    <w:p w14:paraId="7011B505" w14:textId="77777777" w:rsidR="00DE2DF1" w:rsidRPr="00E53DAD" w:rsidRDefault="00DE2DF1" w:rsidP="00DE2DF1">
      <w:pPr>
        <w:rPr>
          <w:rFonts w:cs="Arial"/>
          <w:sz w:val="22"/>
          <w:szCs w:val="20"/>
        </w:rPr>
      </w:pPr>
      <w:r w:rsidRPr="00E53DAD">
        <w:rPr>
          <w:rFonts w:cs="Arial"/>
          <w:sz w:val="22"/>
          <w:szCs w:val="20"/>
        </w:rPr>
        <w:t xml:space="preserve">Explanation of Variation between measures: </w:t>
      </w:r>
    </w:p>
    <w:p w14:paraId="725A648B" w14:textId="77777777" w:rsidR="0012152C" w:rsidRPr="00E53DAD" w:rsidRDefault="00DE2DF1" w:rsidP="00DE2DF1">
      <w:pPr>
        <w:pStyle w:val="ListParagraph"/>
        <w:numPr>
          <w:ilvl w:val="0"/>
          <w:numId w:val="2"/>
        </w:numPr>
        <w:rPr>
          <w:rFonts w:cs="Arial"/>
          <w:sz w:val="22"/>
          <w:szCs w:val="20"/>
        </w:rPr>
      </w:pPr>
      <w:r w:rsidRPr="00E53DAD">
        <w:rPr>
          <w:rFonts w:cs="Arial"/>
          <w:sz w:val="22"/>
          <w:szCs w:val="20"/>
        </w:rPr>
        <w:lastRenderedPageBreak/>
        <w:t>Denominator</w:t>
      </w:r>
      <w:r w:rsidR="002530A5" w:rsidRPr="00E53DAD">
        <w:rPr>
          <w:rFonts w:cs="Arial"/>
          <w:sz w:val="22"/>
          <w:szCs w:val="20"/>
        </w:rPr>
        <w:t>: Both measures focus on a population who experienced a fracture.  Because 2417 is a hospital level measure, it focuses exclusively on the population that was hospitalized whereas 0053 includes a broader denominator of all fractures regardless of hospitalization.  The other main differences between the denominators for the measures are listed below.</w:t>
      </w:r>
    </w:p>
    <w:p w14:paraId="10D01FB6" w14:textId="77777777" w:rsidR="00DE2DF1" w:rsidRPr="00E53DAD" w:rsidRDefault="00DE2DF1" w:rsidP="00DE2DF1">
      <w:pPr>
        <w:pStyle w:val="ListParagraph"/>
        <w:numPr>
          <w:ilvl w:val="1"/>
          <w:numId w:val="2"/>
        </w:numPr>
        <w:rPr>
          <w:rFonts w:cs="Arial"/>
          <w:sz w:val="22"/>
          <w:szCs w:val="20"/>
        </w:rPr>
      </w:pPr>
      <w:r w:rsidRPr="00E53DAD">
        <w:rPr>
          <w:rFonts w:cs="Arial"/>
          <w:sz w:val="22"/>
          <w:szCs w:val="20"/>
        </w:rPr>
        <w:t>Gender: Measure 0053 is focused on women alone whereas 2417 focuses on both men and women.  The rationale for focusing 0053 on women is due to different guidelines for men and women regarding management post fracture.  The Endocrine Society Guidelines for Treatment of Osteoporosis in Men recommend screening or treatment after fracture of the hip or spine.  The pharmacologic treatments that are recommended for men are also different from those recommended for women.  Therefore NCQA has decided to use two gender specific measures of osteoporosis management; the measure specific to treatment and screening in at risk men is currently under development.</w:t>
      </w:r>
    </w:p>
    <w:p w14:paraId="1B5D3C4C" w14:textId="77777777" w:rsidR="00DE2DF1" w:rsidRPr="00E53DAD" w:rsidRDefault="00DE2DF1" w:rsidP="00DE2DF1">
      <w:pPr>
        <w:pStyle w:val="ListParagraph"/>
        <w:numPr>
          <w:ilvl w:val="1"/>
          <w:numId w:val="2"/>
        </w:numPr>
        <w:rPr>
          <w:rFonts w:cs="Arial"/>
          <w:sz w:val="22"/>
          <w:szCs w:val="20"/>
        </w:rPr>
      </w:pPr>
      <w:r w:rsidRPr="00E53DAD">
        <w:rPr>
          <w:rFonts w:cs="Arial"/>
          <w:sz w:val="22"/>
          <w:szCs w:val="20"/>
        </w:rPr>
        <w:t>Age: Measure 0053 is focused on women 50-85 whereas 2417 focuses on all women age 50 and older.  The rationale for focusing 0053 on women under age 85 was a concern about too-aggressive treatment in women near the end of their life who may have multiple competing comorbidities.  The intent of the upper age limit is to focus the measure on the population most likely to benefit from screening and treatment of osteoporosis.</w:t>
      </w:r>
    </w:p>
    <w:p w14:paraId="62DEE568" w14:textId="77777777" w:rsidR="00DE2DF1" w:rsidRPr="00E53DAD" w:rsidRDefault="00DE2DF1" w:rsidP="00DE2DF1">
      <w:pPr>
        <w:pStyle w:val="ListParagraph"/>
        <w:numPr>
          <w:ilvl w:val="1"/>
          <w:numId w:val="2"/>
        </w:numPr>
        <w:rPr>
          <w:rFonts w:cs="Arial"/>
          <w:sz w:val="22"/>
          <w:szCs w:val="20"/>
        </w:rPr>
      </w:pPr>
      <w:r w:rsidRPr="00E53DAD">
        <w:rPr>
          <w:rFonts w:cs="Arial"/>
          <w:sz w:val="22"/>
          <w:szCs w:val="20"/>
        </w:rPr>
        <w:t xml:space="preserve">Fracture Type: </w:t>
      </w:r>
      <w:r w:rsidR="007567BF" w:rsidRPr="00E53DAD">
        <w:rPr>
          <w:rFonts w:cs="Arial"/>
          <w:sz w:val="22"/>
          <w:szCs w:val="20"/>
        </w:rPr>
        <w:t xml:space="preserve">Cursory inspection of the codes associated with 2417 suggest both measures include similar types of fractures including </w:t>
      </w:r>
      <w:r w:rsidR="00840C5F" w:rsidRPr="00E53DAD">
        <w:rPr>
          <w:rFonts w:cs="Arial"/>
          <w:sz w:val="22"/>
          <w:szCs w:val="20"/>
        </w:rPr>
        <w:t xml:space="preserve">axial and major bones of the limbs.  In measure 0053 we do not refer to these fractures as fragility because we </w:t>
      </w:r>
      <w:r w:rsidR="002A1B80" w:rsidRPr="00E53DAD">
        <w:rPr>
          <w:rFonts w:cs="Arial"/>
          <w:sz w:val="22"/>
          <w:szCs w:val="20"/>
        </w:rPr>
        <w:t>cannot</w:t>
      </w:r>
      <w:r w:rsidR="00840C5F" w:rsidRPr="00E53DAD">
        <w:rPr>
          <w:rFonts w:cs="Arial"/>
          <w:sz w:val="22"/>
          <w:szCs w:val="20"/>
        </w:rPr>
        <w:t xml:space="preserve"> identify from claims alone if the fracture was fragility related or related to other trauma.</w:t>
      </w:r>
    </w:p>
    <w:p w14:paraId="1C13B0A8" w14:textId="77777777" w:rsidR="00840C5F" w:rsidRPr="00E53DAD" w:rsidRDefault="00840C5F" w:rsidP="00840C5F">
      <w:pPr>
        <w:pStyle w:val="ListParagraph"/>
        <w:numPr>
          <w:ilvl w:val="0"/>
          <w:numId w:val="2"/>
        </w:numPr>
        <w:rPr>
          <w:rFonts w:cs="Arial"/>
          <w:sz w:val="22"/>
          <w:szCs w:val="20"/>
        </w:rPr>
      </w:pPr>
      <w:r w:rsidRPr="00E53DAD">
        <w:rPr>
          <w:rFonts w:cs="Arial"/>
          <w:sz w:val="22"/>
          <w:szCs w:val="20"/>
        </w:rPr>
        <w:t>Numerator</w:t>
      </w:r>
      <w:r w:rsidR="002530A5" w:rsidRPr="00E53DAD">
        <w:rPr>
          <w:rFonts w:cs="Arial"/>
          <w:sz w:val="22"/>
          <w:szCs w:val="20"/>
        </w:rPr>
        <w:t>: Both measures focus on screening or treatment after a fracture.  Because 2417 is a hospital level measure, it focuses exclusively on services provided in the hospital whereas 0053 includes all services both inpatient and outpatient.  The other main differences between the numerators for the two measures are listed below.</w:t>
      </w:r>
    </w:p>
    <w:p w14:paraId="3A6CE9C2" w14:textId="720CFA4A" w:rsidR="00DE2DF1" w:rsidRPr="00E53DAD" w:rsidRDefault="002A1B80" w:rsidP="002A1B80">
      <w:pPr>
        <w:pStyle w:val="ListParagraph"/>
        <w:numPr>
          <w:ilvl w:val="1"/>
          <w:numId w:val="2"/>
        </w:numPr>
        <w:rPr>
          <w:rFonts w:cs="Arial"/>
          <w:sz w:val="22"/>
          <w:szCs w:val="20"/>
        </w:rPr>
      </w:pPr>
      <w:r w:rsidRPr="00E53DAD">
        <w:rPr>
          <w:rFonts w:cs="Arial"/>
          <w:sz w:val="22"/>
          <w:szCs w:val="20"/>
        </w:rPr>
        <w:t>Bone Mineral Density Testing: Measure 0053 includes multiple types of bone mineral density test</w:t>
      </w:r>
      <w:r w:rsidR="00D87966">
        <w:rPr>
          <w:rFonts w:cs="Arial"/>
          <w:sz w:val="22"/>
          <w:szCs w:val="20"/>
        </w:rPr>
        <w:t>s</w:t>
      </w:r>
      <w:r w:rsidRPr="00E53DAD">
        <w:rPr>
          <w:rFonts w:cs="Arial"/>
          <w:sz w:val="22"/>
          <w:szCs w:val="20"/>
        </w:rPr>
        <w:t xml:space="preserve"> to screen for secondary fracture risk, whereas measure 2417 looks only for DXA testing</w:t>
      </w:r>
      <w:r w:rsidR="002530A5" w:rsidRPr="00E53DAD">
        <w:rPr>
          <w:rFonts w:cs="Arial"/>
          <w:sz w:val="22"/>
          <w:szCs w:val="20"/>
        </w:rPr>
        <w:t xml:space="preserve"> and “Other fracture risk assessment” (i.e. testing done in the hospital setting using ICD 9 Procedure Code 88.98).  Measure 0053 includes these tests as well as others that are often done in the outpatient setting.  </w:t>
      </w:r>
      <w:r w:rsidRPr="00E53DAD">
        <w:rPr>
          <w:rFonts w:cs="Arial"/>
          <w:sz w:val="22"/>
          <w:szCs w:val="20"/>
        </w:rPr>
        <w:t xml:space="preserve">The rationale for including a broader type of test in 0053 is twofold.  First multiple types of tests can be used </w:t>
      </w:r>
      <w:r w:rsidR="002530A5" w:rsidRPr="00E53DAD">
        <w:rPr>
          <w:rFonts w:cs="Arial"/>
          <w:sz w:val="22"/>
          <w:szCs w:val="20"/>
        </w:rPr>
        <w:t xml:space="preserve">to predict future fracture risk, some of them </w:t>
      </w:r>
      <w:r w:rsidRPr="00E53DAD">
        <w:rPr>
          <w:rFonts w:cs="Arial"/>
          <w:sz w:val="22"/>
          <w:szCs w:val="20"/>
        </w:rPr>
        <w:t>portable</w:t>
      </w:r>
      <w:r w:rsidR="002530A5" w:rsidRPr="00E53DAD">
        <w:rPr>
          <w:rFonts w:cs="Arial"/>
          <w:sz w:val="22"/>
          <w:szCs w:val="20"/>
        </w:rPr>
        <w:t>,</w:t>
      </w:r>
      <w:r w:rsidRPr="00E53DAD">
        <w:rPr>
          <w:rFonts w:cs="Arial"/>
          <w:sz w:val="22"/>
          <w:szCs w:val="20"/>
        </w:rPr>
        <w:t xml:space="preserve"> which is important for individuals who experience fractures in the nursing home setting and have mobility limitations.  Second, the test</w:t>
      </w:r>
      <w:r w:rsidR="00D87966">
        <w:rPr>
          <w:rFonts w:cs="Arial"/>
          <w:sz w:val="22"/>
          <w:szCs w:val="20"/>
        </w:rPr>
        <w:t>s</w:t>
      </w:r>
      <w:r w:rsidRPr="00E53DAD">
        <w:rPr>
          <w:rFonts w:cs="Arial"/>
          <w:sz w:val="22"/>
          <w:szCs w:val="20"/>
        </w:rPr>
        <w:t xml:space="preserve"> in 0053 are aligned with the CMS national coverage decisions bone mineral density tests to screen for osteoporosis.</w:t>
      </w:r>
    </w:p>
    <w:p w14:paraId="7F509150" w14:textId="77777777" w:rsidR="002A1B80" w:rsidRPr="00E53DAD" w:rsidRDefault="002A1B80" w:rsidP="00F540F1">
      <w:pPr>
        <w:pStyle w:val="ListParagraph"/>
        <w:numPr>
          <w:ilvl w:val="1"/>
          <w:numId w:val="2"/>
        </w:numPr>
        <w:rPr>
          <w:rFonts w:cs="Arial"/>
          <w:sz w:val="22"/>
          <w:szCs w:val="20"/>
        </w:rPr>
      </w:pPr>
      <w:r w:rsidRPr="00E53DAD">
        <w:rPr>
          <w:rFonts w:cs="Arial"/>
          <w:sz w:val="22"/>
          <w:szCs w:val="20"/>
        </w:rPr>
        <w:t>Treatment: Both measure</w:t>
      </w:r>
      <w:r w:rsidR="00D87966">
        <w:rPr>
          <w:rFonts w:cs="Arial"/>
          <w:sz w:val="22"/>
          <w:szCs w:val="20"/>
        </w:rPr>
        <w:t>s</w:t>
      </w:r>
      <w:r w:rsidRPr="00E53DAD">
        <w:rPr>
          <w:rFonts w:cs="Arial"/>
          <w:sz w:val="22"/>
          <w:szCs w:val="20"/>
        </w:rPr>
        <w:t xml:space="preserve"> include the same pharmacologic treatments</w:t>
      </w:r>
    </w:p>
    <w:p w14:paraId="50E3A219" w14:textId="77777777" w:rsidR="002A1B80" w:rsidRPr="00E53DAD" w:rsidRDefault="002A1B80" w:rsidP="00F540F1">
      <w:pPr>
        <w:pStyle w:val="ListParagraph"/>
        <w:numPr>
          <w:ilvl w:val="1"/>
          <w:numId w:val="2"/>
        </w:numPr>
        <w:rPr>
          <w:rFonts w:cs="Arial"/>
          <w:sz w:val="22"/>
          <w:szCs w:val="20"/>
        </w:rPr>
      </w:pPr>
      <w:r w:rsidRPr="00E53DAD">
        <w:rPr>
          <w:rFonts w:cs="Arial"/>
          <w:sz w:val="22"/>
          <w:szCs w:val="20"/>
        </w:rPr>
        <w:t>Fracture Liaison Service: Measure 0053 does not include fracture liaison services.  We believe the core components of fracture liaison services (treatment, fracture risk assessment and coordination with outpatient providers) are already included in this measure and the communication measure (#0045).</w:t>
      </w:r>
    </w:p>
    <w:p w14:paraId="47CE729F" w14:textId="77777777" w:rsidR="00E53DAD" w:rsidRPr="00E53DAD" w:rsidRDefault="002530A5" w:rsidP="00E53DAD">
      <w:pPr>
        <w:pStyle w:val="ListParagraph"/>
        <w:numPr>
          <w:ilvl w:val="0"/>
          <w:numId w:val="2"/>
        </w:numPr>
        <w:rPr>
          <w:rFonts w:cs="Arial"/>
          <w:sz w:val="22"/>
          <w:szCs w:val="20"/>
        </w:rPr>
      </w:pPr>
      <w:r w:rsidRPr="00E53DAD">
        <w:rPr>
          <w:rFonts w:cs="Arial"/>
          <w:sz w:val="22"/>
          <w:szCs w:val="20"/>
        </w:rPr>
        <w:t>Exclusions:</w:t>
      </w:r>
    </w:p>
    <w:p w14:paraId="561019EC" w14:textId="77777777" w:rsidR="002530A5" w:rsidRPr="00E53DAD" w:rsidRDefault="002530A5" w:rsidP="00E53DAD">
      <w:pPr>
        <w:pStyle w:val="ListParagraph"/>
        <w:numPr>
          <w:ilvl w:val="1"/>
          <w:numId w:val="2"/>
        </w:numPr>
        <w:rPr>
          <w:rFonts w:cs="Arial"/>
          <w:sz w:val="22"/>
          <w:szCs w:val="20"/>
        </w:rPr>
      </w:pPr>
      <w:r w:rsidRPr="00E53DAD">
        <w:rPr>
          <w:rFonts w:cs="Arial"/>
          <w:sz w:val="22"/>
          <w:szCs w:val="20"/>
        </w:rPr>
        <w:t>Bone mineral density test: Measure 0053 excludes individuals who had a bone mineral density test in the past 24 months whereas 2417 excludes individuals who had a bone mineral density test in the last 12 month</w:t>
      </w:r>
      <w:r w:rsidR="00D87966">
        <w:rPr>
          <w:rFonts w:cs="Arial"/>
          <w:sz w:val="22"/>
          <w:szCs w:val="20"/>
        </w:rPr>
        <w:t>s</w:t>
      </w:r>
      <w:r w:rsidRPr="00E53DAD">
        <w:rPr>
          <w:rFonts w:cs="Arial"/>
          <w:sz w:val="22"/>
          <w:szCs w:val="20"/>
        </w:rPr>
        <w:t>.  The rationale for the 24 month look-back period in measure 0053 is evidence that testing less than 2 years apart shows little change in bone mineral density and CMS reimbursement policy to only reimburse for tests every 24 months.</w:t>
      </w:r>
    </w:p>
    <w:p w14:paraId="42BF5C9C" w14:textId="77777777" w:rsidR="00E53DAD" w:rsidRPr="00E53DAD" w:rsidRDefault="00E53DAD" w:rsidP="00E53DAD">
      <w:pPr>
        <w:pStyle w:val="ListParagraph"/>
        <w:numPr>
          <w:ilvl w:val="1"/>
          <w:numId w:val="2"/>
        </w:numPr>
        <w:rPr>
          <w:rFonts w:cs="Arial"/>
          <w:sz w:val="22"/>
          <w:szCs w:val="20"/>
        </w:rPr>
      </w:pPr>
      <w:r w:rsidRPr="00E53DAD">
        <w:rPr>
          <w:rFonts w:cs="Arial"/>
          <w:sz w:val="22"/>
          <w:szCs w:val="20"/>
        </w:rPr>
        <w:t>Comfort care measure and clinical trial participation: These exclusions are included in 2417 but cannot be identified from administrative claims and are therefore not feasible to include in 0053.</w:t>
      </w:r>
    </w:p>
    <w:p w14:paraId="42509966" w14:textId="77777777" w:rsidR="00E53DAD" w:rsidRPr="00E53DAD" w:rsidRDefault="00E53DAD" w:rsidP="00E53DAD">
      <w:pPr>
        <w:pStyle w:val="ListParagraph"/>
        <w:numPr>
          <w:ilvl w:val="1"/>
          <w:numId w:val="2"/>
        </w:numPr>
        <w:rPr>
          <w:rFonts w:cs="Arial"/>
          <w:sz w:val="22"/>
          <w:szCs w:val="20"/>
        </w:rPr>
      </w:pPr>
      <w:r w:rsidRPr="00E53DAD">
        <w:rPr>
          <w:rFonts w:cs="Arial"/>
          <w:sz w:val="22"/>
          <w:szCs w:val="20"/>
        </w:rPr>
        <w:lastRenderedPageBreak/>
        <w:t xml:space="preserve">Currently on pharmacologic treatment: Both measures exclude individuals currently on pharmacologic treatment for osteoporosis.  The rationale for the 12 month look back period for 0053 is to identify certain mediations (i.e. zoldronic acid) that are given once every 12 months.  </w:t>
      </w:r>
    </w:p>
    <w:p w14:paraId="2919B7E5" w14:textId="77777777" w:rsidR="002530A5" w:rsidRPr="00E53DAD" w:rsidRDefault="002530A5">
      <w:pPr>
        <w:rPr>
          <w:rFonts w:cs="Arial"/>
          <w:sz w:val="22"/>
          <w:szCs w:val="20"/>
        </w:rPr>
      </w:pPr>
    </w:p>
    <w:sectPr w:rsidR="002530A5" w:rsidRPr="00E53DAD" w:rsidSect="004B70F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E37D0"/>
    <w:multiLevelType w:val="hybridMultilevel"/>
    <w:tmpl w:val="E9D63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2401E8"/>
    <w:multiLevelType w:val="hybridMultilevel"/>
    <w:tmpl w:val="BAD28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52C"/>
    <w:rsid w:val="0007684A"/>
    <w:rsid w:val="0012152C"/>
    <w:rsid w:val="002530A5"/>
    <w:rsid w:val="002A1B80"/>
    <w:rsid w:val="00466807"/>
    <w:rsid w:val="004B70F1"/>
    <w:rsid w:val="0063482B"/>
    <w:rsid w:val="00722679"/>
    <w:rsid w:val="007567BF"/>
    <w:rsid w:val="00840C5F"/>
    <w:rsid w:val="00866A75"/>
    <w:rsid w:val="008C3C41"/>
    <w:rsid w:val="00A37C90"/>
    <w:rsid w:val="00AA47DA"/>
    <w:rsid w:val="00BF4610"/>
    <w:rsid w:val="00CB1250"/>
    <w:rsid w:val="00D87966"/>
    <w:rsid w:val="00DE2DF1"/>
    <w:rsid w:val="00E53DAD"/>
    <w:rsid w:val="00F24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1AE02"/>
  <w15:chartTrackingRefBased/>
  <w15:docId w15:val="{C29B2D16-6633-4C14-8210-2D53785B3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1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348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82B"/>
    <w:rPr>
      <w:rFonts w:ascii="Segoe UI" w:hAnsi="Segoe UI" w:cs="Segoe UI"/>
      <w:sz w:val="18"/>
      <w:szCs w:val="18"/>
    </w:rPr>
  </w:style>
  <w:style w:type="character" w:customStyle="1" w:styleId="Style1">
    <w:name w:val="Style1"/>
    <w:basedOn w:val="DefaultParagraphFont"/>
    <w:uiPriority w:val="1"/>
    <w:rsid w:val="0063482B"/>
    <w:rPr>
      <w:rFonts w:asciiTheme="minorHAnsi" w:hAnsiTheme="minorHAnsi"/>
      <w:color w:val="0000FF"/>
      <w:sz w:val="22"/>
    </w:rPr>
  </w:style>
  <w:style w:type="paragraph" w:styleId="ListParagraph">
    <w:name w:val="List Paragraph"/>
    <w:basedOn w:val="Normal"/>
    <w:uiPriority w:val="34"/>
    <w:qFormat/>
    <w:rsid w:val="00AA47DA"/>
    <w:pPr>
      <w:ind w:left="720"/>
      <w:contextualSpacing/>
    </w:pPr>
  </w:style>
  <w:style w:type="character" w:styleId="CommentReference">
    <w:name w:val="annotation reference"/>
    <w:basedOn w:val="DefaultParagraphFont"/>
    <w:uiPriority w:val="99"/>
    <w:semiHidden/>
    <w:unhideWhenUsed/>
    <w:rsid w:val="00D87966"/>
    <w:rPr>
      <w:sz w:val="16"/>
      <w:szCs w:val="16"/>
    </w:rPr>
  </w:style>
  <w:style w:type="paragraph" w:styleId="CommentText">
    <w:name w:val="annotation text"/>
    <w:basedOn w:val="Normal"/>
    <w:link w:val="CommentTextChar"/>
    <w:uiPriority w:val="99"/>
    <w:semiHidden/>
    <w:unhideWhenUsed/>
    <w:rsid w:val="00D87966"/>
    <w:rPr>
      <w:szCs w:val="20"/>
    </w:rPr>
  </w:style>
  <w:style w:type="character" w:customStyle="1" w:styleId="CommentTextChar">
    <w:name w:val="Comment Text Char"/>
    <w:basedOn w:val="DefaultParagraphFont"/>
    <w:link w:val="CommentText"/>
    <w:uiPriority w:val="99"/>
    <w:semiHidden/>
    <w:rsid w:val="00D87966"/>
    <w:rPr>
      <w:szCs w:val="20"/>
    </w:rPr>
  </w:style>
  <w:style w:type="paragraph" w:styleId="CommentSubject">
    <w:name w:val="annotation subject"/>
    <w:basedOn w:val="CommentText"/>
    <w:next w:val="CommentText"/>
    <w:link w:val="CommentSubjectChar"/>
    <w:uiPriority w:val="99"/>
    <w:semiHidden/>
    <w:unhideWhenUsed/>
    <w:rsid w:val="00D87966"/>
    <w:rPr>
      <w:b/>
      <w:bCs/>
    </w:rPr>
  </w:style>
  <w:style w:type="character" w:customStyle="1" w:styleId="CommentSubjectChar">
    <w:name w:val="Comment Subject Char"/>
    <w:basedOn w:val="CommentTextChar"/>
    <w:link w:val="CommentSubject"/>
    <w:uiPriority w:val="99"/>
    <w:semiHidden/>
    <w:rsid w:val="00D87966"/>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1523</Words>
  <Characters>8687</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Giovannetti</dc:creator>
  <cp:keywords/>
  <dc:description/>
  <cp:lastModifiedBy>Erin Giovannetti</cp:lastModifiedBy>
  <cp:revision>2</cp:revision>
  <dcterms:created xsi:type="dcterms:W3CDTF">2014-06-06T18:20:00Z</dcterms:created>
  <dcterms:modified xsi:type="dcterms:W3CDTF">2014-06-06T18:20:00Z</dcterms:modified>
</cp:coreProperties>
</file>