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2FDA61D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FA0AB7">
            <w:rPr>
              <w:rStyle w:val="Style1"/>
            </w:rPr>
            <w:t>0046</w:t>
          </w:r>
        </w:sdtContent>
      </w:sdt>
    </w:p>
    <w:p w14:paraId="0CABCF56" w14:textId="76CB92CF"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Hyperlink"/>
                <w:color w:val="auto"/>
                <w:u w:val="none"/>
              </w:rPr>
              <w:id w:val="1601607725"/>
              <w:placeholder>
                <w:docPart w:val="8BE5FC7C495F421DB09AF220F28483C2"/>
              </w:placeholder>
            </w:sdtPr>
            <w:sdtEndPr>
              <w:rPr>
                <w:rStyle w:val="Hyperlink"/>
              </w:rPr>
            </w:sdtEndPr>
            <w:sdtContent>
              <w:r w:rsidR="00FA0AB7" w:rsidRPr="0086709F">
                <w:rPr>
                  <w:rStyle w:val="Style1"/>
                </w:rPr>
                <w:t>Screening for Osteoporosis for Women 65-85 Years of Age</w:t>
              </w:r>
            </w:sdtContent>
          </w:sdt>
          <w:r w:rsidR="00FA0AB7">
            <w:rPr>
              <w:rStyle w:val="Hyperlink"/>
              <w:color w:val="auto"/>
              <w:u w:val="none"/>
            </w:rPr>
            <w:t xml:space="preserve"> </w:t>
          </w:r>
        </w:sdtContent>
      </w:sdt>
    </w:p>
    <w:p w14:paraId="0CABCF57" w14:textId="4EE31AE2"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04-09T00:00:00Z">
            <w:dateFormat w:val="M/d/yyyy"/>
            <w:lid w:val="en-US"/>
            <w:storeMappedDataAs w:val="dateTime"/>
            <w:calendar w:val="gregorian"/>
          </w:date>
        </w:sdtPr>
        <w:sdtEndPr>
          <w:rPr>
            <w:rStyle w:val="DefaultParagraphFont"/>
            <w:noProof/>
            <w:color w:val="auto"/>
            <w:u w:val="none"/>
          </w:rPr>
        </w:sdtEndPr>
        <w:sdtContent>
          <w:r w:rsidR="00E768B5">
            <w:rPr>
              <w:rStyle w:val="Style2"/>
              <w:rFonts w:cstheme="minorHAnsi"/>
            </w:rPr>
            <w:t>4/9/2018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2424D5"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2424D5"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2424D5"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2424D5"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3A9E3134" w:rsidR="000B7D57" w:rsidRPr="00C775CE" w:rsidRDefault="002424D5"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EE72C3">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2424D5"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2424D5"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1991111E" w:rsidR="00A01494" w:rsidRPr="00A01494" w:rsidRDefault="002424D5"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8E114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238ECE78" w:rsidR="00A01494" w:rsidRPr="00A01494" w:rsidRDefault="002424D5"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8E114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2424D5"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2424D5"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2424D5"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2424D5"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005B0952" w:rsidR="00A01494" w:rsidRPr="000F1B7A" w:rsidRDefault="002424D5"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8E1146">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279CCDCF" w:rsidR="00A01494" w:rsidRPr="000F1B7A" w:rsidRDefault="002424D5"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8E1146">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2424D5"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2424D5"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2424D5"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2424D5"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Pr="00E768B5"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w:t>
      </w:r>
      <w:r w:rsidR="001C7B02" w:rsidRPr="00E768B5">
        <w:rPr>
          <w:rFonts w:cstheme="minorHAnsi"/>
          <w:bCs/>
          <w:i/>
        </w:rPr>
        <w:t>health OASIS, clinical registry</w:t>
      </w:r>
      <w:r w:rsidR="00DB3627" w:rsidRPr="00E768B5">
        <w:rPr>
          <w:rFonts w:cstheme="minorHAnsi"/>
          <w:bCs/>
        </w:rPr>
        <w:t>)</w:t>
      </w:r>
      <w:r w:rsidR="009E1846" w:rsidRPr="00E768B5">
        <w:rPr>
          <w:rFonts w:cstheme="minorHAnsi"/>
          <w:bCs/>
        </w:rPr>
        <w:t xml:space="preserve">. </w:t>
      </w:r>
      <w:r w:rsidR="00080CF7" w:rsidRPr="00E768B5">
        <w:rPr>
          <w:rFonts w:cstheme="minorHAnsi"/>
          <w:bCs/>
        </w:rPr>
        <w:t xml:space="preserve"> </w:t>
      </w:r>
      <w:r w:rsidR="004348CC" w:rsidRPr="00E768B5">
        <w:rPr>
          <w:rFonts w:cstheme="minorHAnsi"/>
          <w:bCs/>
        </w:rPr>
        <w:t xml:space="preserve"> </w:t>
      </w:r>
    </w:p>
    <w:p w14:paraId="0CABCFAF" w14:textId="77777777" w:rsidR="009E1846" w:rsidRPr="00E768B5" w:rsidRDefault="009E1846" w:rsidP="00DB3627">
      <w:pPr>
        <w:autoSpaceDE w:val="0"/>
        <w:autoSpaceDN w:val="0"/>
        <w:adjustRightInd w:val="0"/>
        <w:spacing w:after="0" w:line="240" w:lineRule="auto"/>
        <w:rPr>
          <w:rFonts w:cstheme="minorHAnsi"/>
          <w:b/>
        </w:rPr>
      </w:pPr>
    </w:p>
    <w:p w14:paraId="0CABCFB0" w14:textId="77777777" w:rsidR="0004593A" w:rsidRPr="00A25024" w:rsidRDefault="002B5016" w:rsidP="00DB3627">
      <w:pPr>
        <w:autoSpaceDE w:val="0"/>
        <w:autoSpaceDN w:val="0"/>
        <w:adjustRightInd w:val="0"/>
        <w:spacing w:after="0" w:line="240" w:lineRule="auto"/>
        <w:rPr>
          <w:rFonts w:cstheme="minorHAnsi"/>
          <w:bCs/>
        </w:rPr>
      </w:pPr>
      <w:r w:rsidRPr="00E768B5">
        <w:rPr>
          <w:rFonts w:cstheme="minorHAnsi"/>
          <w:b/>
        </w:rPr>
        <w:t>1</w:t>
      </w:r>
      <w:r w:rsidR="00927027" w:rsidRPr="00E768B5">
        <w:rPr>
          <w:rFonts w:cstheme="minorHAnsi"/>
          <w:b/>
        </w:rPr>
        <w:t>.</w:t>
      </w:r>
      <w:r w:rsidR="00DB3627" w:rsidRPr="00E768B5">
        <w:rPr>
          <w:rFonts w:cstheme="minorHAnsi"/>
          <w:b/>
        </w:rPr>
        <w:t xml:space="preserve">3. </w:t>
      </w:r>
      <w:r w:rsidR="000574AB" w:rsidRPr="00E768B5">
        <w:rPr>
          <w:rFonts w:cstheme="minorHAnsi"/>
          <w:b/>
        </w:rPr>
        <w:t xml:space="preserve">What </w:t>
      </w:r>
      <w:r w:rsidR="000968F8" w:rsidRPr="00E768B5">
        <w:rPr>
          <w:rFonts w:cstheme="minorHAnsi"/>
          <w:b/>
        </w:rPr>
        <w:t xml:space="preserve">are the </w:t>
      </w:r>
      <w:r w:rsidR="000574AB" w:rsidRPr="00E768B5">
        <w:rPr>
          <w:rFonts w:cstheme="minorHAnsi"/>
          <w:b/>
        </w:rPr>
        <w:t xml:space="preserve">dates of </w:t>
      </w:r>
      <w:r w:rsidR="000968F8" w:rsidRPr="00E768B5">
        <w:rPr>
          <w:rFonts w:cstheme="minorHAnsi"/>
          <w:b/>
        </w:rPr>
        <w:t xml:space="preserve">the </w:t>
      </w:r>
      <w:r w:rsidR="000574AB" w:rsidRPr="00E768B5">
        <w:rPr>
          <w:rFonts w:cstheme="minorHAnsi"/>
          <w:b/>
        </w:rPr>
        <w:t xml:space="preserve">data </w:t>
      </w:r>
      <w:r w:rsidR="000968F8" w:rsidRPr="00E768B5">
        <w:rPr>
          <w:rFonts w:cstheme="minorHAnsi"/>
          <w:b/>
        </w:rPr>
        <w:t>used in testing</w:t>
      </w:r>
      <w:r w:rsidR="000968F8" w:rsidRPr="00E768B5">
        <w:rPr>
          <w:rFonts w:cstheme="minorHAnsi"/>
        </w:rPr>
        <w:t>?</w:t>
      </w:r>
      <w:r w:rsidR="00080CF7" w:rsidRPr="00E768B5">
        <w:rPr>
          <w:rFonts w:cstheme="minorHAnsi"/>
        </w:rPr>
        <w:t xml:space="preserve"> </w:t>
      </w:r>
      <w:r w:rsidR="000574AB" w:rsidRPr="00E768B5">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sidRPr="00E768B5">
            <w:rPr>
              <w:rStyle w:val="PlaceholderText"/>
            </w:rPr>
            <w:t>Click here to enter date range</w:t>
          </w:r>
        </w:sdtContent>
      </w:sdt>
    </w:p>
    <w:p w14:paraId="0CABCFB1" w14:textId="477FB088" w:rsidR="000574AB" w:rsidRPr="00E768B5" w:rsidRDefault="00E768B5" w:rsidP="00DB3627">
      <w:pPr>
        <w:autoSpaceDE w:val="0"/>
        <w:autoSpaceDN w:val="0"/>
        <w:adjustRightInd w:val="0"/>
        <w:spacing w:after="0" w:line="240" w:lineRule="auto"/>
        <w:rPr>
          <w:rFonts w:cs="Times New Roman"/>
          <w:bCs/>
          <w:color w:val="0070C0"/>
          <w:u w:val="single"/>
        </w:rPr>
      </w:pPr>
      <w:r w:rsidRPr="00E768B5">
        <w:rPr>
          <w:rFonts w:cs="Times New Roman"/>
          <w:bCs/>
          <w:color w:val="0070C0"/>
          <w:u w:val="single"/>
        </w:rPr>
        <w:t>2014 Submission:</w:t>
      </w:r>
    </w:p>
    <w:p w14:paraId="75B961C1" w14:textId="77777777" w:rsidR="00E768B5" w:rsidRPr="00E768B5" w:rsidRDefault="002424D5" w:rsidP="00E768B5">
      <w:pPr>
        <w:autoSpaceDE w:val="0"/>
        <w:autoSpaceDN w:val="0"/>
        <w:adjustRightInd w:val="0"/>
        <w:spacing w:after="0" w:line="240" w:lineRule="auto"/>
        <w:rPr>
          <w:rFonts w:cs="Times New Roman"/>
          <w:bCs/>
          <w:color w:val="0070C0"/>
        </w:rPr>
      </w:pPr>
      <w:sdt>
        <w:sdtPr>
          <w:rPr>
            <w:rFonts w:cs="Times New Roman"/>
            <w:bCs/>
            <w:color w:val="0070C0"/>
          </w:rPr>
          <w:id w:val="429549604"/>
          <w:text/>
        </w:sdtPr>
        <w:sdtEndPr/>
        <w:sdtContent>
          <w:r w:rsidR="00E768B5" w:rsidRPr="00E768B5">
            <w:rPr>
              <w:rFonts w:cs="Times New Roman"/>
              <w:bCs/>
              <w:color w:val="0070C0"/>
            </w:rPr>
            <w:t>Sample 1: Testing of data element reliability was performed during field testing in 2009.</w:t>
          </w:r>
        </w:sdtContent>
      </w:sdt>
    </w:p>
    <w:p w14:paraId="5C6EDB35" w14:textId="77777777" w:rsidR="00E768B5" w:rsidRPr="00E768B5" w:rsidRDefault="00E768B5" w:rsidP="00E768B5">
      <w:pPr>
        <w:autoSpaceDE w:val="0"/>
        <w:autoSpaceDN w:val="0"/>
        <w:adjustRightInd w:val="0"/>
        <w:spacing w:after="0" w:line="240" w:lineRule="auto"/>
        <w:rPr>
          <w:rFonts w:cs="Times New Roman"/>
          <w:bCs/>
          <w:color w:val="0070C0"/>
        </w:rPr>
      </w:pPr>
      <w:r w:rsidRPr="00E768B5">
        <w:rPr>
          <w:rFonts w:cs="Times New Roman"/>
          <w:bCs/>
          <w:color w:val="0070C0"/>
        </w:rPr>
        <w:t>Sample 2: Testing of performance variability was performed using 2012 performance data from the Physician Quality Reporting System.</w:t>
      </w:r>
    </w:p>
    <w:p w14:paraId="08A43298" w14:textId="77777777" w:rsidR="00E768B5" w:rsidRDefault="00E768B5"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5EDAAEFE" w:rsidR="000414E8" w:rsidRPr="00A01494" w:rsidRDefault="002424D5"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233274">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33D740EB" w:rsidR="000414E8" w:rsidRPr="00A01494" w:rsidRDefault="002424D5"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233274">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081147D7" w:rsidR="000414E8" w:rsidRPr="00A01494" w:rsidRDefault="002424D5"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233274">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01F50B9B" w:rsidR="000414E8" w:rsidRPr="00A01494" w:rsidRDefault="002424D5"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233274">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2424D5"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2424D5"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2424D5"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2424D5"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2424D5"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2424D5"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3B78802E" w14:textId="77777777" w:rsidR="00E768B5" w:rsidRPr="00E768B5" w:rsidRDefault="00E768B5" w:rsidP="00E768B5">
      <w:pPr>
        <w:autoSpaceDE w:val="0"/>
        <w:autoSpaceDN w:val="0"/>
        <w:adjustRightInd w:val="0"/>
        <w:spacing w:after="0" w:line="240" w:lineRule="auto"/>
        <w:rPr>
          <w:rFonts w:cs="Times New Roman"/>
          <w:bCs/>
          <w:color w:val="0070C0"/>
          <w:u w:val="single"/>
        </w:rPr>
      </w:pPr>
      <w:r w:rsidRPr="00E768B5">
        <w:rPr>
          <w:rFonts w:cs="Times New Roman"/>
          <w:bCs/>
          <w:color w:val="0070C0"/>
          <w:u w:val="single"/>
        </w:rPr>
        <w:t>2014 Submission:</w:t>
      </w:r>
    </w:p>
    <w:p w14:paraId="14C8D81E" w14:textId="77777777" w:rsidR="00A76B21" w:rsidRPr="00E768B5" w:rsidRDefault="00A76B21" w:rsidP="00A76B21">
      <w:pPr>
        <w:pStyle w:val="NoSpacing"/>
        <w:rPr>
          <w:rFonts w:asciiTheme="minorHAnsi" w:eastAsiaTheme="minorEastAsia" w:hAnsiTheme="minorHAnsi"/>
          <w:bCs/>
          <w:color w:val="0070C0"/>
        </w:rPr>
      </w:pPr>
      <w:r w:rsidRPr="00E768B5">
        <w:rPr>
          <w:rFonts w:asciiTheme="minorHAnsi" w:eastAsiaTheme="minorEastAsia" w:hAnsiTheme="minorHAnsi"/>
          <w:bCs/>
          <w:color w:val="0070C0"/>
        </w:rPr>
        <w:lastRenderedPageBreak/>
        <w:t>Sample 1: This measure was tested for data element reliability using field test data. To identify clinics for field testing, the American Academy of Orthopedic Surgeons (AAOS) posted an announcement online and also identified practices that were known through their previous work with the AAOS.  Of the thirteen clinics who expressed an interest in the field-testing, two were chosen to participate. These two sites were chosen based on having participated in the 2009 Physician Quality Reporting Initiative (PQRI) program with additional consideration given to balancing practice size, location, and use of an EHR or paper medical record. One site was located in New Mexico and one was located in South Carolina.</w:t>
      </w:r>
    </w:p>
    <w:p w14:paraId="7817A9EC" w14:textId="77777777" w:rsidR="00A76B21" w:rsidRPr="00E768B5" w:rsidRDefault="00A76B21" w:rsidP="00A76B21">
      <w:pPr>
        <w:pStyle w:val="NoSpacing"/>
        <w:rPr>
          <w:rFonts w:asciiTheme="minorHAnsi" w:eastAsiaTheme="minorEastAsia" w:hAnsiTheme="minorHAnsi"/>
          <w:bCs/>
          <w:color w:val="0070C0"/>
        </w:rPr>
      </w:pPr>
    </w:p>
    <w:p w14:paraId="3EDEB753" w14:textId="77777777" w:rsidR="00A76B21" w:rsidRPr="00E768B5" w:rsidRDefault="00A76B21" w:rsidP="00A76B21">
      <w:pPr>
        <w:pStyle w:val="NoSpacing"/>
        <w:rPr>
          <w:rFonts w:asciiTheme="minorHAnsi" w:eastAsiaTheme="minorEastAsia" w:hAnsiTheme="minorHAnsi"/>
          <w:bCs/>
          <w:color w:val="0070C0"/>
        </w:rPr>
      </w:pPr>
      <w:r w:rsidRPr="00E768B5">
        <w:rPr>
          <w:rFonts w:asciiTheme="minorHAnsi" w:eastAsiaTheme="minorEastAsia" w:hAnsiTheme="minorHAnsi"/>
          <w:bCs/>
          <w:color w:val="0070C0"/>
        </w:rPr>
        <w:t>Sample 2: This measure is used in the Physician Quality Reporting System (PQRS) as a performance measure for eligible professionals. 2012 performance data from PQRS was used to examine the variation in performance for this measure. The number of providers submitting data for this measure in 2012 was 35,079.</w:t>
      </w:r>
    </w:p>
    <w:p w14:paraId="08896183" w14:textId="77777777" w:rsidR="00A76B21" w:rsidRPr="00A25024" w:rsidRDefault="00A76B21" w:rsidP="00DB3627">
      <w:pPr>
        <w:autoSpaceDE w:val="0"/>
        <w:autoSpaceDN w:val="0"/>
        <w:adjustRightInd w:val="0"/>
        <w:spacing w:after="0" w:line="240" w:lineRule="auto"/>
        <w:rPr>
          <w:rFonts w:cstheme="minorHAnsi"/>
          <w:bCs/>
        </w:rPr>
      </w:pPr>
    </w:p>
    <w:p w14:paraId="0ED4819F" w14:textId="77777777" w:rsidR="00E768B5" w:rsidRPr="00E768B5" w:rsidRDefault="002B5016" w:rsidP="00E768B5">
      <w:pPr>
        <w:autoSpaceDE w:val="0"/>
        <w:autoSpaceDN w:val="0"/>
        <w:adjustRightInd w:val="0"/>
        <w:spacing w:after="0" w:line="240" w:lineRule="auto"/>
        <w:rPr>
          <w:rFonts w:cs="Times New Roman"/>
          <w:bCs/>
          <w:color w:val="0070C0"/>
          <w:u w:val="single"/>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E768B5" w:rsidRPr="00E768B5">
        <w:rPr>
          <w:rFonts w:cs="Times New Roman"/>
          <w:bCs/>
          <w:color w:val="0070C0"/>
          <w:u w:val="single"/>
        </w:rPr>
        <w:t>2014 Submission:</w:t>
      </w:r>
    </w:p>
    <w:p w14:paraId="549CFD7B" w14:textId="77777777" w:rsidR="00DA6B5D" w:rsidRPr="00E768B5" w:rsidRDefault="00DA6B5D" w:rsidP="00DA6B5D">
      <w:pPr>
        <w:pStyle w:val="NoSpacing"/>
        <w:rPr>
          <w:rFonts w:asciiTheme="minorHAnsi" w:eastAsiaTheme="minorEastAsia" w:hAnsiTheme="minorHAnsi"/>
          <w:bCs/>
          <w:color w:val="0070C0"/>
        </w:rPr>
      </w:pPr>
      <w:r w:rsidRPr="00E768B5">
        <w:rPr>
          <w:rFonts w:asciiTheme="minorHAnsi" w:eastAsiaTheme="minorEastAsia" w:hAnsiTheme="minorHAnsi"/>
          <w:bCs/>
          <w:color w:val="0070C0"/>
        </w:rPr>
        <w:t xml:space="preserve">Sample 1: Desired sample size for testing was calculated for this measure with 0.80 power, 0.05 significance, and testing for a kappa of substantial agreement (0.8) versus moderate agreement (0.4). Expected performance was conservatively assumed at 0.5. Based on these assumptions and calculations, the minimum number of patients needed for the sample was 28. Both sites included 30 patients in their samples.  </w:t>
      </w:r>
    </w:p>
    <w:p w14:paraId="25B53E1D" w14:textId="77777777" w:rsidR="00DA6B5D" w:rsidRPr="00E768B5" w:rsidRDefault="00DA6B5D" w:rsidP="00DA6B5D">
      <w:pPr>
        <w:autoSpaceDE w:val="0"/>
        <w:autoSpaceDN w:val="0"/>
        <w:adjustRightInd w:val="0"/>
        <w:spacing w:after="0" w:line="240" w:lineRule="auto"/>
        <w:rPr>
          <w:rFonts w:cs="Times New Roman"/>
          <w:bCs/>
          <w:color w:val="0070C0"/>
        </w:rPr>
      </w:pPr>
    </w:p>
    <w:p w14:paraId="351C9DA0" w14:textId="77777777" w:rsidR="00DA6B5D" w:rsidRPr="00E768B5" w:rsidRDefault="00DA6B5D" w:rsidP="00DA6B5D">
      <w:pPr>
        <w:autoSpaceDE w:val="0"/>
        <w:autoSpaceDN w:val="0"/>
        <w:adjustRightInd w:val="0"/>
        <w:spacing w:after="0" w:line="240" w:lineRule="auto"/>
        <w:rPr>
          <w:rFonts w:cs="Times New Roman"/>
          <w:bCs/>
          <w:color w:val="0070C0"/>
        </w:rPr>
      </w:pPr>
      <w:r w:rsidRPr="00E768B5">
        <w:rPr>
          <w:rFonts w:cs="Times New Roman"/>
          <w:bCs/>
          <w:color w:val="0070C0"/>
        </w:rPr>
        <w:t>Sample 2: The number of patients eligible to be reported on in PQRS for 2012 was 13,339,356.</w:t>
      </w:r>
    </w:p>
    <w:p w14:paraId="58808777" w14:textId="77777777" w:rsidR="00DA6B5D" w:rsidRDefault="00DA6B5D"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2D640A3" w14:textId="77777777" w:rsidR="00E768B5" w:rsidRDefault="00E768B5" w:rsidP="00DA6B5D">
      <w:pPr>
        <w:autoSpaceDE w:val="0"/>
        <w:autoSpaceDN w:val="0"/>
        <w:adjustRightInd w:val="0"/>
        <w:spacing w:after="0" w:line="240" w:lineRule="auto"/>
        <w:rPr>
          <w:rFonts w:cs="Times New Roman"/>
          <w:bCs/>
          <w:color w:val="0070C0"/>
          <w:u w:val="single"/>
        </w:rPr>
      </w:pPr>
      <w:r w:rsidRPr="00E768B5">
        <w:rPr>
          <w:rFonts w:cs="Times New Roman"/>
          <w:bCs/>
          <w:color w:val="0070C0"/>
          <w:u w:val="single"/>
        </w:rPr>
        <w:t>2014 Submission:</w:t>
      </w:r>
    </w:p>
    <w:p w14:paraId="68B66EF5" w14:textId="4776C7A8" w:rsidR="00DA6B5D" w:rsidRPr="00E768B5" w:rsidRDefault="00DA6B5D" w:rsidP="00DA6B5D">
      <w:pPr>
        <w:autoSpaceDE w:val="0"/>
        <w:autoSpaceDN w:val="0"/>
        <w:adjustRightInd w:val="0"/>
        <w:spacing w:after="0" w:line="240" w:lineRule="auto"/>
        <w:rPr>
          <w:rFonts w:cs="Times New Roman"/>
          <w:bCs/>
          <w:color w:val="0070C0"/>
        </w:rPr>
      </w:pPr>
      <w:r w:rsidRPr="00E768B5">
        <w:rPr>
          <w:rFonts w:cs="Times New Roman"/>
          <w:bCs/>
          <w:color w:val="0070C0"/>
        </w:rPr>
        <w:t>Sample 1 was used to test data element reliability. Sample 2 was used to demonstrate performance variation.</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6CBD0864"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06FDC212" w14:textId="77777777" w:rsidR="00E768B5" w:rsidRPr="00247818" w:rsidRDefault="00E768B5" w:rsidP="00E768B5">
      <w:pPr>
        <w:autoSpaceDE w:val="0"/>
        <w:autoSpaceDN w:val="0"/>
        <w:adjustRightInd w:val="0"/>
        <w:spacing w:after="0" w:line="240" w:lineRule="auto"/>
        <w:rPr>
          <w:rFonts w:cs="Times New Roman"/>
          <w:b/>
          <w:color w:val="FF0000"/>
          <w:u w:val="single"/>
        </w:rPr>
      </w:pPr>
      <w:r>
        <w:rPr>
          <w:rFonts w:cs="Times New Roman"/>
          <w:b/>
          <w:color w:val="FF0000"/>
          <w:u w:val="single"/>
        </w:rPr>
        <w:t>2018</w:t>
      </w:r>
      <w:r w:rsidRPr="00247818">
        <w:rPr>
          <w:rFonts w:cs="Times New Roman"/>
          <w:b/>
          <w:color w:val="FF0000"/>
          <w:u w:val="single"/>
        </w:rPr>
        <w:t xml:space="preserve"> Submission:</w:t>
      </w:r>
    </w:p>
    <w:p w14:paraId="500ADA9F" w14:textId="77777777" w:rsidR="00E768B5" w:rsidRPr="00B744CA" w:rsidRDefault="00E768B5" w:rsidP="00E768B5">
      <w:pPr>
        <w:autoSpaceDE w:val="0"/>
        <w:autoSpaceDN w:val="0"/>
        <w:adjustRightInd w:val="0"/>
        <w:spacing w:after="0" w:line="240" w:lineRule="auto"/>
        <w:rPr>
          <w:rFonts w:cs="Times New Roman"/>
          <w:color w:val="FF0000"/>
        </w:rPr>
      </w:pPr>
      <w:r w:rsidRPr="00B744CA">
        <w:rPr>
          <w:rFonts w:cs="Times New Roman"/>
          <w:color w:val="FF0000"/>
        </w:rPr>
        <w:t>We did not analyze performance by social risk factors.</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691B9128"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DA6B5D">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3705D7F1" w14:textId="60030544" w:rsidR="00DA6B5D" w:rsidRDefault="002D6BAE" w:rsidP="00DA6B5D">
      <w:pPr>
        <w:spacing w:after="0" w:line="240" w:lineRule="auto"/>
        <w:rPr>
          <w:rFonts w:cs="Times New Roman"/>
          <w:b/>
          <w:u w:val="single"/>
        </w:rPr>
      </w:pPr>
      <w:r w:rsidRPr="00E768B5">
        <w:rPr>
          <w:rFonts w:cs="Times New Roman"/>
          <w:bCs/>
          <w:color w:val="0070C0"/>
          <w:u w:val="single"/>
        </w:rPr>
        <w:t>2014 Submission:</w:t>
      </w:r>
    </w:p>
    <w:p w14:paraId="7F9A409B" w14:textId="6AC8DE52" w:rsidR="00DA6B5D" w:rsidRPr="002D6BAE" w:rsidRDefault="00DA6B5D" w:rsidP="00DA6B5D">
      <w:pPr>
        <w:spacing w:after="0" w:line="240" w:lineRule="auto"/>
        <w:rPr>
          <w:rFonts w:cs="Times New Roman"/>
          <w:bCs/>
          <w:color w:val="0070C0"/>
        </w:rPr>
      </w:pPr>
      <w:r w:rsidRPr="002D6BAE">
        <w:rPr>
          <w:rFonts w:cs="Times New Roman"/>
          <w:b/>
          <w:bCs/>
          <w:color w:val="0070C0"/>
        </w:rPr>
        <w:t>Critical data element reliability:</w:t>
      </w:r>
      <w:r w:rsidRPr="002D6BAE">
        <w:rPr>
          <w:rFonts w:cs="Times New Roman"/>
          <w:bCs/>
          <w:color w:val="0070C0"/>
        </w:rPr>
        <w:t xml:space="preserve"> Reliability was tested by assessing whether two abstractors, reviewing the same full medical (including both inpatient and outpatient notes), would come to the same conclusion as to the patient meeting the measure, not meeting the measure, or qualifying as an exception. Two abstractors independently assessed whether patients met numerator inclusion criteria for each case that met denominator inclusion criteria. Following the data abstraction, the mismatches were tallied. Agreement between abstractors was measured using the kappa statistic (a measure of agreement adjusted for agreement that can occur by chance).  </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66F577DC" w14:textId="77777777" w:rsidR="002B79F3" w:rsidRDefault="00092566" w:rsidP="002B79F3">
      <w:pPr>
        <w:spacing w:after="0" w:line="240" w:lineRule="auto"/>
        <w:rPr>
          <w:rFonts w:cs="Times New Roman"/>
          <w:b/>
          <w:u w:val="single"/>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2B79F3" w:rsidRPr="00E768B5">
        <w:rPr>
          <w:rFonts w:cs="Times New Roman"/>
          <w:bCs/>
          <w:color w:val="0070C0"/>
          <w:u w:val="single"/>
        </w:rPr>
        <w:t>2014 Submission:</w:t>
      </w:r>
    </w:p>
    <w:p w14:paraId="2FEED6B2" w14:textId="77777777" w:rsidR="00D31F12" w:rsidRPr="002D6BAE" w:rsidRDefault="00D31F12" w:rsidP="00D31F12">
      <w:pPr>
        <w:rPr>
          <w:rFonts w:cs="Times New Roman"/>
          <w:bCs/>
          <w:color w:val="0070C0"/>
        </w:rPr>
      </w:pPr>
      <w:r w:rsidRPr="002D6BAE">
        <w:rPr>
          <w:rFonts w:cs="Times New Roman"/>
          <w:b/>
          <w:bCs/>
          <w:color w:val="0070C0"/>
        </w:rPr>
        <w:t>Denominator:</w:t>
      </w:r>
      <w:r w:rsidRPr="002D6BAE">
        <w:rPr>
          <w:rFonts w:cs="Times New Roman"/>
          <w:bCs/>
          <w:color w:val="0070C0"/>
        </w:rPr>
        <w:t xml:space="preserve"> Agreement between the two independent reviewers was 100% for the denominator data element.  The Kappa was undefined for this data element as both abstractors agreed that all of the cases met denominator eligibility criteria.  </w:t>
      </w:r>
    </w:p>
    <w:p w14:paraId="78AF44A6" w14:textId="77777777" w:rsidR="00D31F12" w:rsidRPr="002D6BAE" w:rsidRDefault="00D31F12" w:rsidP="00D31F12">
      <w:pPr>
        <w:spacing w:after="0" w:line="240" w:lineRule="auto"/>
        <w:rPr>
          <w:rFonts w:cs="Times New Roman"/>
          <w:bCs/>
          <w:color w:val="0070C0"/>
        </w:rPr>
      </w:pPr>
      <w:r w:rsidRPr="002D6BAE">
        <w:rPr>
          <w:rFonts w:cs="Times New Roman"/>
          <w:b/>
          <w:bCs/>
          <w:color w:val="0070C0"/>
        </w:rPr>
        <w:t>Exceptions:</w:t>
      </w:r>
      <w:r w:rsidRPr="002D6BAE">
        <w:rPr>
          <w:rFonts w:cs="Times New Roman"/>
          <w:bCs/>
          <w:color w:val="0070C0"/>
        </w:rPr>
        <w:t xml:space="preserve"> Agreement between the two independent reviewers was 100% for the exception data element.  The Kappa was undefined for this data element as both abstractors agreed that none of the cases should be excluded.</w:t>
      </w:r>
    </w:p>
    <w:p w14:paraId="76E99A46" w14:textId="77777777" w:rsidR="00D31F12" w:rsidRPr="002D6BAE" w:rsidRDefault="00D31F12" w:rsidP="00D31F12">
      <w:pPr>
        <w:spacing w:after="0" w:line="240" w:lineRule="auto"/>
        <w:rPr>
          <w:rFonts w:cs="Times New Roman"/>
          <w:bCs/>
          <w:color w:val="0070C0"/>
        </w:rPr>
      </w:pPr>
    </w:p>
    <w:p w14:paraId="7AD066F0" w14:textId="77777777" w:rsidR="00D31F12" w:rsidRPr="002D6BAE" w:rsidRDefault="00D31F12" w:rsidP="00D31F12">
      <w:pPr>
        <w:spacing w:after="0" w:line="240" w:lineRule="auto"/>
        <w:rPr>
          <w:rFonts w:cs="Times New Roman"/>
          <w:bCs/>
          <w:color w:val="0070C0"/>
        </w:rPr>
      </w:pPr>
      <w:r w:rsidRPr="002D6BAE">
        <w:rPr>
          <w:rFonts w:cs="Times New Roman"/>
          <w:b/>
          <w:bCs/>
          <w:color w:val="0070C0"/>
        </w:rPr>
        <w:t>Numerator:</w:t>
      </w:r>
      <w:r w:rsidRPr="002D6BAE">
        <w:rPr>
          <w:rFonts w:cs="Times New Roman"/>
          <w:bCs/>
          <w:color w:val="0070C0"/>
        </w:rPr>
        <w:t xml:space="preserve"> Agreement between the two reviewers was 90% with agreement that the numerator criteria was met in 19/30 cases and not met in 8/30 cases.  The reviewers disagreed about 3/30 cases where one reviewer found evidence that the numerator criteria was met and one review did not find evidence in the medical record that numerator criteria was met. The abstractors then reconciled the mismatches through an adjudication process and determined 22/30 cases met numerator criteria.  A Kappa statistic was calculated to demonstrate the degree of agreement adjusted for chance (K=0.77; 95% CI: 0.63-1.00).</w:t>
      </w:r>
    </w:p>
    <w:p w14:paraId="2809FA9A" w14:textId="77777777" w:rsidR="00D31F12" w:rsidRPr="002D6BAE" w:rsidRDefault="00D31F12" w:rsidP="00D31F12">
      <w:pPr>
        <w:spacing w:after="0" w:line="240" w:lineRule="auto"/>
        <w:rPr>
          <w:rFonts w:cs="Times New Roman"/>
          <w:bCs/>
          <w:color w:val="0070C0"/>
        </w:rPr>
      </w:pPr>
    </w:p>
    <w:p w14:paraId="21DFB1B3" w14:textId="77777777" w:rsidR="00D31F12" w:rsidRPr="002D6BAE" w:rsidRDefault="00D31F12" w:rsidP="00D31F12">
      <w:pPr>
        <w:spacing w:after="0" w:line="240" w:lineRule="auto"/>
        <w:rPr>
          <w:rFonts w:cs="Times New Roman"/>
          <w:bCs/>
          <w:color w:val="0070C0"/>
        </w:rPr>
      </w:pPr>
      <w:r w:rsidRPr="002D6BAE">
        <w:rPr>
          <w:rFonts w:cs="Times New Roman"/>
          <w:bCs/>
          <w:color w:val="0070C0"/>
        </w:rPr>
        <w:t>Table 1 below displays the overall agreement for the all the measure components combined. Concordance between the abstractors is 90% with moderate agreement above what would be expected (K=0.77; 95% CI 0.53-1.00).</w:t>
      </w:r>
    </w:p>
    <w:p w14:paraId="1DB0EC02" w14:textId="77777777" w:rsidR="00D31F12" w:rsidRPr="00D31F12" w:rsidRDefault="00D31F12" w:rsidP="00D31F12">
      <w:pPr>
        <w:spacing w:after="0" w:line="240" w:lineRule="auto"/>
        <w:rPr>
          <w:rFonts w:cstheme="minorHAnsi"/>
          <w:bCs/>
          <w:color w:val="00B0F0"/>
        </w:rPr>
      </w:pPr>
    </w:p>
    <w:p w14:paraId="275AC33F" w14:textId="77777777" w:rsidR="00D31F12" w:rsidRPr="002D6BAE" w:rsidRDefault="00D31F12" w:rsidP="00D31F12">
      <w:pPr>
        <w:spacing w:after="0"/>
        <w:rPr>
          <w:rFonts w:cs="Times New Roman"/>
          <w:bCs/>
          <w:color w:val="0070C0"/>
        </w:rPr>
      </w:pPr>
      <w:r w:rsidRPr="002D6BAE">
        <w:rPr>
          <w:rFonts w:cs="Times New Roman"/>
          <w:bCs/>
          <w:color w:val="0070C0"/>
        </w:rPr>
        <w:t>Table 1: Inter-rater reliability of measure components</w:t>
      </w:r>
    </w:p>
    <w:tbl>
      <w:tblPr>
        <w:tblStyle w:val="TableGrid"/>
        <w:tblW w:w="0" w:type="auto"/>
        <w:tblInd w:w="108" w:type="dxa"/>
        <w:tblLook w:val="01E0" w:firstRow="1" w:lastRow="1" w:firstColumn="1" w:lastColumn="1" w:noHBand="0" w:noVBand="0"/>
      </w:tblPr>
      <w:tblGrid>
        <w:gridCol w:w="532"/>
        <w:gridCol w:w="1733"/>
        <w:gridCol w:w="1686"/>
        <w:gridCol w:w="1272"/>
        <w:gridCol w:w="1345"/>
        <w:gridCol w:w="1553"/>
        <w:gridCol w:w="1121"/>
      </w:tblGrid>
      <w:tr w:rsidR="00D31F12" w:rsidRPr="002D6BAE" w14:paraId="32AFF5D6" w14:textId="77777777" w:rsidTr="00111709">
        <w:trPr>
          <w:trHeight w:val="323"/>
        </w:trPr>
        <w:tc>
          <w:tcPr>
            <w:tcW w:w="2430" w:type="dxa"/>
            <w:gridSpan w:val="2"/>
            <w:vMerge w:val="restart"/>
          </w:tcPr>
          <w:p w14:paraId="60011C67" w14:textId="77777777" w:rsidR="00D31F12" w:rsidRPr="002D6BAE" w:rsidRDefault="00D31F12" w:rsidP="00111709">
            <w:pPr>
              <w:jc w:val="center"/>
              <w:rPr>
                <w:rFonts w:cs="Times New Roman"/>
                <w:bCs/>
                <w:color w:val="0070C0"/>
              </w:rPr>
            </w:pPr>
            <w:r w:rsidRPr="002D6BAE">
              <w:rPr>
                <w:rFonts w:cs="Times New Roman"/>
                <w:bCs/>
                <w:color w:val="0070C0"/>
              </w:rPr>
              <w:tab/>
            </w:r>
          </w:p>
        </w:tc>
        <w:tc>
          <w:tcPr>
            <w:tcW w:w="6526" w:type="dxa"/>
            <w:gridSpan w:val="4"/>
            <w:vAlign w:val="center"/>
          </w:tcPr>
          <w:p w14:paraId="25AB976D" w14:textId="77777777" w:rsidR="00D31F12" w:rsidRPr="002D6BAE" w:rsidRDefault="00D31F12" w:rsidP="00111709">
            <w:pPr>
              <w:jc w:val="center"/>
              <w:rPr>
                <w:rFonts w:cs="Times New Roman"/>
                <w:bCs/>
                <w:color w:val="0070C0"/>
              </w:rPr>
            </w:pPr>
            <w:r w:rsidRPr="002D6BAE">
              <w:rPr>
                <w:rFonts w:cs="Times New Roman"/>
                <w:bCs/>
                <w:color w:val="0070C0"/>
              </w:rPr>
              <w:t>Reviewer B</w:t>
            </w:r>
          </w:p>
        </w:tc>
        <w:tc>
          <w:tcPr>
            <w:tcW w:w="1232" w:type="dxa"/>
            <w:vAlign w:val="center"/>
          </w:tcPr>
          <w:p w14:paraId="42DCFBAD" w14:textId="77777777" w:rsidR="00D31F12" w:rsidRPr="002D6BAE" w:rsidRDefault="00D31F12" w:rsidP="00111709">
            <w:pPr>
              <w:jc w:val="center"/>
              <w:rPr>
                <w:rFonts w:cs="Times New Roman"/>
                <w:bCs/>
                <w:color w:val="0070C0"/>
              </w:rPr>
            </w:pPr>
          </w:p>
        </w:tc>
      </w:tr>
      <w:tr w:rsidR="00D31F12" w:rsidRPr="002D6BAE" w14:paraId="6D4FFEB0" w14:textId="77777777" w:rsidTr="00111709">
        <w:trPr>
          <w:trHeight w:val="341"/>
        </w:trPr>
        <w:tc>
          <w:tcPr>
            <w:tcW w:w="2430" w:type="dxa"/>
            <w:gridSpan w:val="2"/>
            <w:vMerge/>
          </w:tcPr>
          <w:p w14:paraId="2376F25A" w14:textId="77777777" w:rsidR="00D31F12" w:rsidRPr="002D6BAE" w:rsidRDefault="00D31F12" w:rsidP="00111709">
            <w:pPr>
              <w:rPr>
                <w:rFonts w:cs="Times New Roman"/>
                <w:bCs/>
                <w:color w:val="0070C0"/>
              </w:rPr>
            </w:pPr>
          </w:p>
        </w:tc>
        <w:tc>
          <w:tcPr>
            <w:tcW w:w="1890" w:type="dxa"/>
            <w:vAlign w:val="center"/>
          </w:tcPr>
          <w:p w14:paraId="253C37D8" w14:textId="77777777" w:rsidR="00D31F12" w:rsidRPr="002D6BAE" w:rsidRDefault="00D31F12" w:rsidP="00111709">
            <w:pPr>
              <w:jc w:val="center"/>
              <w:rPr>
                <w:rFonts w:cs="Times New Roman"/>
                <w:bCs/>
                <w:color w:val="0070C0"/>
              </w:rPr>
            </w:pPr>
            <w:r w:rsidRPr="002D6BAE">
              <w:rPr>
                <w:rFonts w:cs="Times New Roman"/>
                <w:bCs/>
                <w:color w:val="0070C0"/>
              </w:rPr>
              <w:t>Not Study Eligible</w:t>
            </w:r>
          </w:p>
        </w:tc>
        <w:tc>
          <w:tcPr>
            <w:tcW w:w="1440" w:type="dxa"/>
            <w:vAlign w:val="center"/>
          </w:tcPr>
          <w:p w14:paraId="12372872" w14:textId="77777777" w:rsidR="00D31F12" w:rsidRPr="002D6BAE" w:rsidRDefault="00D31F12" w:rsidP="00111709">
            <w:pPr>
              <w:jc w:val="center"/>
              <w:rPr>
                <w:rFonts w:cs="Times New Roman"/>
                <w:bCs/>
                <w:color w:val="0070C0"/>
              </w:rPr>
            </w:pPr>
            <w:r w:rsidRPr="002D6BAE">
              <w:rPr>
                <w:rFonts w:cs="Times New Roman"/>
                <w:bCs/>
                <w:color w:val="0070C0"/>
              </w:rPr>
              <w:t>Not Met</w:t>
            </w:r>
          </w:p>
        </w:tc>
        <w:tc>
          <w:tcPr>
            <w:tcW w:w="1530" w:type="dxa"/>
            <w:vAlign w:val="center"/>
          </w:tcPr>
          <w:p w14:paraId="6917621F" w14:textId="77777777" w:rsidR="00D31F12" w:rsidRPr="002D6BAE" w:rsidRDefault="00D31F12" w:rsidP="00111709">
            <w:pPr>
              <w:jc w:val="center"/>
              <w:rPr>
                <w:rFonts w:cs="Times New Roman"/>
                <w:bCs/>
                <w:color w:val="0070C0"/>
              </w:rPr>
            </w:pPr>
            <w:r w:rsidRPr="002D6BAE">
              <w:rPr>
                <w:rFonts w:cs="Times New Roman"/>
                <w:bCs/>
                <w:color w:val="0070C0"/>
              </w:rPr>
              <w:t>Met</w:t>
            </w:r>
          </w:p>
        </w:tc>
        <w:tc>
          <w:tcPr>
            <w:tcW w:w="1666" w:type="dxa"/>
            <w:vAlign w:val="center"/>
          </w:tcPr>
          <w:p w14:paraId="411C2EC1" w14:textId="77777777" w:rsidR="00D31F12" w:rsidRPr="002D6BAE" w:rsidRDefault="00D31F12" w:rsidP="00111709">
            <w:pPr>
              <w:jc w:val="center"/>
              <w:rPr>
                <w:rFonts w:cs="Times New Roman"/>
                <w:bCs/>
                <w:color w:val="0070C0"/>
              </w:rPr>
            </w:pPr>
            <w:r w:rsidRPr="002D6BAE">
              <w:rPr>
                <w:rFonts w:cs="Times New Roman"/>
                <w:bCs/>
                <w:color w:val="0070C0"/>
              </w:rPr>
              <w:t>Exception</w:t>
            </w:r>
          </w:p>
        </w:tc>
        <w:tc>
          <w:tcPr>
            <w:tcW w:w="1232" w:type="dxa"/>
            <w:vAlign w:val="center"/>
          </w:tcPr>
          <w:p w14:paraId="713A86BD" w14:textId="77777777" w:rsidR="00D31F12" w:rsidRPr="002D6BAE" w:rsidRDefault="00D31F12" w:rsidP="00111709">
            <w:pPr>
              <w:jc w:val="center"/>
              <w:rPr>
                <w:rFonts w:cs="Times New Roman"/>
                <w:bCs/>
                <w:color w:val="0070C0"/>
              </w:rPr>
            </w:pPr>
            <w:r w:rsidRPr="002D6BAE">
              <w:rPr>
                <w:rFonts w:cs="Times New Roman"/>
                <w:bCs/>
                <w:color w:val="0070C0"/>
              </w:rPr>
              <w:t>Total</w:t>
            </w:r>
          </w:p>
        </w:tc>
      </w:tr>
      <w:tr w:rsidR="00D31F12" w:rsidRPr="002D6BAE" w14:paraId="0C98D948" w14:textId="77777777" w:rsidTr="00111709">
        <w:trPr>
          <w:trHeight w:val="269"/>
        </w:trPr>
        <w:tc>
          <w:tcPr>
            <w:tcW w:w="540" w:type="dxa"/>
            <w:vMerge w:val="restart"/>
            <w:textDirection w:val="btLr"/>
          </w:tcPr>
          <w:p w14:paraId="30EA93DC" w14:textId="77777777" w:rsidR="00D31F12" w:rsidRPr="002D6BAE" w:rsidRDefault="00D31F12" w:rsidP="00111709">
            <w:pPr>
              <w:ind w:left="113" w:right="113"/>
              <w:jc w:val="center"/>
              <w:rPr>
                <w:rFonts w:cs="Times New Roman"/>
                <w:bCs/>
                <w:color w:val="0070C0"/>
              </w:rPr>
            </w:pPr>
            <w:r w:rsidRPr="002D6BAE">
              <w:rPr>
                <w:rFonts w:cs="Times New Roman"/>
                <w:bCs/>
                <w:color w:val="0070C0"/>
              </w:rPr>
              <w:t>Reviewer A</w:t>
            </w:r>
          </w:p>
        </w:tc>
        <w:tc>
          <w:tcPr>
            <w:tcW w:w="1890" w:type="dxa"/>
            <w:vAlign w:val="center"/>
          </w:tcPr>
          <w:p w14:paraId="32372462" w14:textId="77777777" w:rsidR="00D31F12" w:rsidRPr="002D6BAE" w:rsidRDefault="00D31F12" w:rsidP="00111709">
            <w:pPr>
              <w:rPr>
                <w:rFonts w:cs="Times New Roman"/>
                <w:bCs/>
                <w:color w:val="0070C0"/>
              </w:rPr>
            </w:pPr>
            <w:r w:rsidRPr="002D6BAE">
              <w:rPr>
                <w:rFonts w:cs="Times New Roman"/>
                <w:bCs/>
                <w:color w:val="0070C0"/>
              </w:rPr>
              <w:t>Not Study Eligible</w:t>
            </w:r>
          </w:p>
        </w:tc>
        <w:tc>
          <w:tcPr>
            <w:tcW w:w="1890" w:type="dxa"/>
            <w:vAlign w:val="center"/>
          </w:tcPr>
          <w:p w14:paraId="087B85B1"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440" w:type="dxa"/>
            <w:vAlign w:val="center"/>
          </w:tcPr>
          <w:p w14:paraId="05C492B9"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530" w:type="dxa"/>
            <w:vAlign w:val="center"/>
          </w:tcPr>
          <w:p w14:paraId="613D7841"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666" w:type="dxa"/>
            <w:vAlign w:val="center"/>
          </w:tcPr>
          <w:p w14:paraId="0E3B4689"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232" w:type="dxa"/>
            <w:vAlign w:val="center"/>
          </w:tcPr>
          <w:p w14:paraId="130D9EFC" w14:textId="77777777" w:rsidR="00D31F12" w:rsidRPr="002D6BAE" w:rsidRDefault="00D31F12" w:rsidP="00111709">
            <w:pPr>
              <w:jc w:val="center"/>
              <w:rPr>
                <w:rFonts w:cs="Times New Roman"/>
                <w:bCs/>
                <w:color w:val="0070C0"/>
              </w:rPr>
            </w:pPr>
            <w:r w:rsidRPr="002D6BAE">
              <w:rPr>
                <w:rFonts w:cs="Times New Roman"/>
                <w:bCs/>
                <w:color w:val="0070C0"/>
              </w:rPr>
              <w:t>0</w:t>
            </w:r>
          </w:p>
        </w:tc>
      </w:tr>
      <w:tr w:rsidR="00D31F12" w:rsidRPr="002D6BAE" w14:paraId="239BF34F" w14:textId="77777777" w:rsidTr="00111709">
        <w:trPr>
          <w:trHeight w:val="260"/>
        </w:trPr>
        <w:tc>
          <w:tcPr>
            <w:tcW w:w="540" w:type="dxa"/>
            <w:vMerge/>
          </w:tcPr>
          <w:p w14:paraId="5ED44751" w14:textId="77777777" w:rsidR="00D31F12" w:rsidRPr="002D6BAE" w:rsidRDefault="00D31F12" w:rsidP="00111709">
            <w:pPr>
              <w:rPr>
                <w:rFonts w:cs="Times New Roman"/>
                <w:bCs/>
                <w:color w:val="0070C0"/>
              </w:rPr>
            </w:pPr>
          </w:p>
        </w:tc>
        <w:tc>
          <w:tcPr>
            <w:tcW w:w="1890" w:type="dxa"/>
            <w:vAlign w:val="center"/>
          </w:tcPr>
          <w:p w14:paraId="10C0D60E" w14:textId="77777777" w:rsidR="00D31F12" w:rsidRPr="002D6BAE" w:rsidRDefault="00D31F12" w:rsidP="00111709">
            <w:pPr>
              <w:rPr>
                <w:rFonts w:cs="Times New Roman"/>
                <w:bCs/>
                <w:color w:val="0070C0"/>
              </w:rPr>
            </w:pPr>
            <w:r w:rsidRPr="002D6BAE">
              <w:rPr>
                <w:rFonts w:cs="Times New Roman"/>
                <w:bCs/>
                <w:color w:val="0070C0"/>
              </w:rPr>
              <w:t>Not Met</w:t>
            </w:r>
          </w:p>
        </w:tc>
        <w:tc>
          <w:tcPr>
            <w:tcW w:w="1890" w:type="dxa"/>
            <w:vAlign w:val="center"/>
          </w:tcPr>
          <w:p w14:paraId="50E09294"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440" w:type="dxa"/>
            <w:vAlign w:val="center"/>
          </w:tcPr>
          <w:p w14:paraId="52641A25" w14:textId="77777777" w:rsidR="00D31F12" w:rsidRPr="002D6BAE" w:rsidRDefault="00D31F12" w:rsidP="00111709">
            <w:pPr>
              <w:jc w:val="center"/>
              <w:rPr>
                <w:rFonts w:cs="Times New Roman"/>
                <w:bCs/>
                <w:color w:val="0070C0"/>
              </w:rPr>
            </w:pPr>
            <w:r w:rsidRPr="002D6BAE">
              <w:rPr>
                <w:rFonts w:cs="Times New Roman"/>
                <w:bCs/>
                <w:color w:val="0070C0"/>
              </w:rPr>
              <w:t>8</w:t>
            </w:r>
          </w:p>
        </w:tc>
        <w:tc>
          <w:tcPr>
            <w:tcW w:w="1530" w:type="dxa"/>
            <w:vAlign w:val="center"/>
          </w:tcPr>
          <w:p w14:paraId="654BEA3C"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666" w:type="dxa"/>
            <w:vAlign w:val="center"/>
          </w:tcPr>
          <w:p w14:paraId="2C65F61C"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232" w:type="dxa"/>
            <w:vAlign w:val="center"/>
          </w:tcPr>
          <w:p w14:paraId="5E9F62BE" w14:textId="77777777" w:rsidR="00D31F12" w:rsidRPr="002D6BAE" w:rsidRDefault="00D31F12" w:rsidP="00111709">
            <w:pPr>
              <w:jc w:val="center"/>
              <w:rPr>
                <w:rFonts w:cs="Times New Roman"/>
                <w:bCs/>
                <w:color w:val="0070C0"/>
              </w:rPr>
            </w:pPr>
            <w:r w:rsidRPr="002D6BAE">
              <w:rPr>
                <w:rFonts w:cs="Times New Roman"/>
                <w:bCs/>
                <w:color w:val="0070C0"/>
              </w:rPr>
              <w:t>8</w:t>
            </w:r>
          </w:p>
        </w:tc>
      </w:tr>
      <w:tr w:rsidR="00D31F12" w:rsidRPr="002D6BAE" w14:paraId="17CDE88C" w14:textId="77777777" w:rsidTr="00111709">
        <w:trPr>
          <w:trHeight w:val="242"/>
        </w:trPr>
        <w:tc>
          <w:tcPr>
            <w:tcW w:w="540" w:type="dxa"/>
            <w:vMerge/>
          </w:tcPr>
          <w:p w14:paraId="30D1E0D6" w14:textId="77777777" w:rsidR="00D31F12" w:rsidRPr="002D6BAE" w:rsidRDefault="00D31F12" w:rsidP="00111709">
            <w:pPr>
              <w:rPr>
                <w:rFonts w:cs="Times New Roman"/>
                <w:bCs/>
                <w:color w:val="0070C0"/>
              </w:rPr>
            </w:pPr>
          </w:p>
        </w:tc>
        <w:tc>
          <w:tcPr>
            <w:tcW w:w="1890" w:type="dxa"/>
            <w:vAlign w:val="center"/>
          </w:tcPr>
          <w:p w14:paraId="7EAB41FD" w14:textId="77777777" w:rsidR="00D31F12" w:rsidRPr="002D6BAE" w:rsidRDefault="00D31F12" w:rsidP="00111709">
            <w:pPr>
              <w:rPr>
                <w:rFonts w:cs="Times New Roman"/>
                <w:bCs/>
                <w:color w:val="0070C0"/>
              </w:rPr>
            </w:pPr>
            <w:r w:rsidRPr="002D6BAE">
              <w:rPr>
                <w:rFonts w:cs="Times New Roman"/>
                <w:bCs/>
                <w:color w:val="0070C0"/>
              </w:rPr>
              <w:t>Met</w:t>
            </w:r>
          </w:p>
        </w:tc>
        <w:tc>
          <w:tcPr>
            <w:tcW w:w="1890" w:type="dxa"/>
            <w:vAlign w:val="center"/>
          </w:tcPr>
          <w:p w14:paraId="0B0F755C"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440" w:type="dxa"/>
            <w:vAlign w:val="center"/>
          </w:tcPr>
          <w:p w14:paraId="6B15F401" w14:textId="77777777" w:rsidR="00D31F12" w:rsidRPr="002D6BAE" w:rsidRDefault="00D31F12" w:rsidP="00111709">
            <w:pPr>
              <w:jc w:val="center"/>
              <w:rPr>
                <w:rFonts w:cs="Times New Roman"/>
                <w:bCs/>
                <w:color w:val="0070C0"/>
              </w:rPr>
            </w:pPr>
            <w:r w:rsidRPr="002D6BAE">
              <w:rPr>
                <w:rFonts w:cs="Times New Roman"/>
                <w:bCs/>
                <w:color w:val="0070C0"/>
              </w:rPr>
              <w:t>3</w:t>
            </w:r>
          </w:p>
        </w:tc>
        <w:tc>
          <w:tcPr>
            <w:tcW w:w="1530" w:type="dxa"/>
            <w:vAlign w:val="center"/>
          </w:tcPr>
          <w:p w14:paraId="443EC34C" w14:textId="77777777" w:rsidR="00D31F12" w:rsidRPr="002D6BAE" w:rsidRDefault="00D31F12" w:rsidP="00111709">
            <w:pPr>
              <w:jc w:val="center"/>
              <w:rPr>
                <w:rFonts w:cs="Times New Roman"/>
                <w:bCs/>
                <w:color w:val="0070C0"/>
              </w:rPr>
            </w:pPr>
            <w:r w:rsidRPr="002D6BAE">
              <w:rPr>
                <w:rFonts w:cs="Times New Roman"/>
                <w:bCs/>
                <w:color w:val="0070C0"/>
              </w:rPr>
              <w:t>19</w:t>
            </w:r>
          </w:p>
        </w:tc>
        <w:tc>
          <w:tcPr>
            <w:tcW w:w="1666" w:type="dxa"/>
            <w:vAlign w:val="center"/>
          </w:tcPr>
          <w:p w14:paraId="36D71B0B"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232" w:type="dxa"/>
            <w:vAlign w:val="center"/>
          </w:tcPr>
          <w:p w14:paraId="75354611" w14:textId="77777777" w:rsidR="00D31F12" w:rsidRPr="002D6BAE" w:rsidRDefault="00D31F12" w:rsidP="00111709">
            <w:pPr>
              <w:jc w:val="center"/>
              <w:rPr>
                <w:rFonts w:cs="Times New Roman"/>
                <w:bCs/>
                <w:color w:val="0070C0"/>
              </w:rPr>
            </w:pPr>
            <w:r w:rsidRPr="002D6BAE">
              <w:rPr>
                <w:rFonts w:cs="Times New Roman"/>
                <w:bCs/>
                <w:color w:val="0070C0"/>
              </w:rPr>
              <w:t>22</w:t>
            </w:r>
          </w:p>
        </w:tc>
      </w:tr>
      <w:tr w:rsidR="00D31F12" w:rsidRPr="002D6BAE" w14:paraId="07516493" w14:textId="77777777" w:rsidTr="00111709">
        <w:trPr>
          <w:trHeight w:val="233"/>
        </w:trPr>
        <w:tc>
          <w:tcPr>
            <w:tcW w:w="540" w:type="dxa"/>
            <w:vMerge/>
          </w:tcPr>
          <w:p w14:paraId="515F0BC4" w14:textId="77777777" w:rsidR="00D31F12" w:rsidRPr="002D6BAE" w:rsidRDefault="00D31F12" w:rsidP="00111709">
            <w:pPr>
              <w:rPr>
                <w:rFonts w:cs="Times New Roman"/>
                <w:bCs/>
                <w:color w:val="0070C0"/>
              </w:rPr>
            </w:pPr>
          </w:p>
        </w:tc>
        <w:tc>
          <w:tcPr>
            <w:tcW w:w="1890" w:type="dxa"/>
            <w:vAlign w:val="center"/>
          </w:tcPr>
          <w:p w14:paraId="46532DED" w14:textId="77777777" w:rsidR="00D31F12" w:rsidRPr="002D6BAE" w:rsidRDefault="00D31F12" w:rsidP="00111709">
            <w:pPr>
              <w:rPr>
                <w:rFonts w:cs="Times New Roman"/>
                <w:bCs/>
                <w:color w:val="0070C0"/>
              </w:rPr>
            </w:pPr>
            <w:r w:rsidRPr="002D6BAE">
              <w:rPr>
                <w:rFonts w:cs="Times New Roman"/>
                <w:bCs/>
                <w:color w:val="0070C0"/>
              </w:rPr>
              <w:t>Exception</w:t>
            </w:r>
          </w:p>
        </w:tc>
        <w:tc>
          <w:tcPr>
            <w:tcW w:w="1890" w:type="dxa"/>
            <w:vAlign w:val="center"/>
          </w:tcPr>
          <w:p w14:paraId="0015C122"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440" w:type="dxa"/>
            <w:vAlign w:val="center"/>
          </w:tcPr>
          <w:p w14:paraId="5D9ED545"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530" w:type="dxa"/>
            <w:vAlign w:val="center"/>
          </w:tcPr>
          <w:p w14:paraId="3168A072"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666" w:type="dxa"/>
            <w:vAlign w:val="center"/>
          </w:tcPr>
          <w:p w14:paraId="15DFF781"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232" w:type="dxa"/>
            <w:vAlign w:val="center"/>
          </w:tcPr>
          <w:p w14:paraId="4C26CB48" w14:textId="77777777" w:rsidR="00D31F12" w:rsidRPr="002D6BAE" w:rsidRDefault="00D31F12" w:rsidP="00111709">
            <w:pPr>
              <w:jc w:val="center"/>
              <w:rPr>
                <w:rFonts w:cs="Times New Roman"/>
                <w:bCs/>
                <w:color w:val="0070C0"/>
              </w:rPr>
            </w:pPr>
            <w:r w:rsidRPr="002D6BAE">
              <w:rPr>
                <w:rFonts w:cs="Times New Roman"/>
                <w:bCs/>
                <w:color w:val="0070C0"/>
              </w:rPr>
              <w:t>0</w:t>
            </w:r>
          </w:p>
        </w:tc>
      </w:tr>
      <w:tr w:rsidR="00D31F12" w:rsidRPr="002D6BAE" w14:paraId="7F07088C" w14:textId="77777777" w:rsidTr="00111709">
        <w:trPr>
          <w:trHeight w:val="233"/>
        </w:trPr>
        <w:tc>
          <w:tcPr>
            <w:tcW w:w="540" w:type="dxa"/>
            <w:vMerge/>
          </w:tcPr>
          <w:p w14:paraId="588BFF97" w14:textId="77777777" w:rsidR="00D31F12" w:rsidRPr="002D6BAE" w:rsidRDefault="00D31F12" w:rsidP="00111709">
            <w:pPr>
              <w:rPr>
                <w:rFonts w:cs="Times New Roman"/>
                <w:bCs/>
                <w:color w:val="0070C0"/>
              </w:rPr>
            </w:pPr>
          </w:p>
        </w:tc>
        <w:tc>
          <w:tcPr>
            <w:tcW w:w="1890" w:type="dxa"/>
            <w:vAlign w:val="center"/>
          </w:tcPr>
          <w:p w14:paraId="0DD939CC" w14:textId="77777777" w:rsidR="00D31F12" w:rsidRPr="002D6BAE" w:rsidRDefault="00D31F12" w:rsidP="00111709">
            <w:pPr>
              <w:rPr>
                <w:rFonts w:cs="Times New Roman"/>
                <w:bCs/>
                <w:color w:val="0070C0"/>
              </w:rPr>
            </w:pPr>
            <w:r w:rsidRPr="002D6BAE">
              <w:rPr>
                <w:rFonts w:cs="Times New Roman"/>
                <w:bCs/>
                <w:color w:val="0070C0"/>
              </w:rPr>
              <w:t>Total</w:t>
            </w:r>
          </w:p>
        </w:tc>
        <w:tc>
          <w:tcPr>
            <w:tcW w:w="1890" w:type="dxa"/>
            <w:vAlign w:val="center"/>
          </w:tcPr>
          <w:p w14:paraId="618AF6D6"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440" w:type="dxa"/>
            <w:vAlign w:val="center"/>
          </w:tcPr>
          <w:p w14:paraId="2B2C64A2" w14:textId="77777777" w:rsidR="00D31F12" w:rsidRPr="002D6BAE" w:rsidRDefault="00D31F12" w:rsidP="00111709">
            <w:pPr>
              <w:jc w:val="center"/>
              <w:rPr>
                <w:rFonts w:cs="Times New Roman"/>
                <w:bCs/>
                <w:color w:val="0070C0"/>
              </w:rPr>
            </w:pPr>
            <w:r w:rsidRPr="002D6BAE">
              <w:rPr>
                <w:rFonts w:cs="Times New Roman"/>
                <w:bCs/>
                <w:color w:val="0070C0"/>
              </w:rPr>
              <w:t>11</w:t>
            </w:r>
          </w:p>
        </w:tc>
        <w:tc>
          <w:tcPr>
            <w:tcW w:w="1530" w:type="dxa"/>
            <w:vAlign w:val="center"/>
          </w:tcPr>
          <w:p w14:paraId="611D5C1D" w14:textId="77777777" w:rsidR="00D31F12" w:rsidRPr="002D6BAE" w:rsidRDefault="00D31F12" w:rsidP="00111709">
            <w:pPr>
              <w:jc w:val="center"/>
              <w:rPr>
                <w:rFonts w:cs="Times New Roman"/>
                <w:bCs/>
                <w:color w:val="0070C0"/>
              </w:rPr>
            </w:pPr>
            <w:r w:rsidRPr="002D6BAE">
              <w:rPr>
                <w:rFonts w:cs="Times New Roman"/>
                <w:bCs/>
                <w:color w:val="0070C0"/>
              </w:rPr>
              <w:t>19</w:t>
            </w:r>
          </w:p>
        </w:tc>
        <w:tc>
          <w:tcPr>
            <w:tcW w:w="1666" w:type="dxa"/>
            <w:vAlign w:val="center"/>
          </w:tcPr>
          <w:p w14:paraId="3E63A664" w14:textId="77777777" w:rsidR="00D31F12" w:rsidRPr="002D6BAE" w:rsidRDefault="00D31F12" w:rsidP="00111709">
            <w:pPr>
              <w:jc w:val="center"/>
              <w:rPr>
                <w:rFonts w:cs="Times New Roman"/>
                <w:bCs/>
                <w:color w:val="0070C0"/>
              </w:rPr>
            </w:pPr>
            <w:r w:rsidRPr="002D6BAE">
              <w:rPr>
                <w:rFonts w:cs="Times New Roman"/>
                <w:bCs/>
                <w:color w:val="0070C0"/>
              </w:rPr>
              <w:t>0</w:t>
            </w:r>
          </w:p>
        </w:tc>
        <w:tc>
          <w:tcPr>
            <w:tcW w:w="1232" w:type="dxa"/>
            <w:vAlign w:val="center"/>
          </w:tcPr>
          <w:p w14:paraId="0FF32CB6" w14:textId="77777777" w:rsidR="00D31F12" w:rsidRPr="002D6BAE" w:rsidRDefault="00D31F12" w:rsidP="00111709">
            <w:pPr>
              <w:jc w:val="center"/>
              <w:rPr>
                <w:rFonts w:cs="Times New Roman"/>
                <w:bCs/>
                <w:color w:val="0070C0"/>
              </w:rPr>
            </w:pPr>
            <w:r w:rsidRPr="002D6BAE">
              <w:rPr>
                <w:rFonts w:cs="Times New Roman"/>
                <w:bCs/>
                <w:color w:val="0070C0"/>
              </w:rPr>
              <w:t>30</w:t>
            </w:r>
          </w:p>
        </w:tc>
      </w:tr>
    </w:tbl>
    <w:p w14:paraId="4BDFD92C" w14:textId="77777777" w:rsidR="00D31F12" w:rsidRPr="002D6BAE" w:rsidRDefault="00D31F12" w:rsidP="00D31F12">
      <w:pPr>
        <w:spacing w:after="0" w:line="240" w:lineRule="auto"/>
        <w:rPr>
          <w:rFonts w:cs="Times New Roman"/>
          <w:bCs/>
          <w:color w:val="0070C0"/>
        </w:rPr>
      </w:pPr>
      <w:r w:rsidRPr="002D6BAE">
        <w:rPr>
          <w:rFonts w:cs="Times New Roman"/>
          <w:bCs/>
          <w:color w:val="0070C0"/>
        </w:rPr>
        <w:t>“Not Study Eligible” means that the denominator criteria were not met.</w:t>
      </w:r>
    </w:p>
    <w:p w14:paraId="659B3FA1" w14:textId="77777777" w:rsidR="00D31F12" w:rsidRPr="002D6BAE" w:rsidRDefault="00D31F12" w:rsidP="00D31F12">
      <w:pPr>
        <w:spacing w:after="0" w:line="240" w:lineRule="auto"/>
        <w:rPr>
          <w:rFonts w:cs="Times New Roman"/>
          <w:bCs/>
          <w:color w:val="0070C0"/>
        </w:rPr>
      </w:pPr>
      <w:r w:rsidRPr="002D6BAE">
        <w:rPr>
          <w:rFonts w:cs="Times New Roman"/>
          <w:bCs/>
          <w:color w:val="0070C0"/>
        </w:rPr>
        <w:t xml:space="preserve">“Not Met” means denominator criteria were met, numerator criteria were not met and exceptions (exclusions) did not apply. </w:t>
      </w:r>
    </w:p>
    <w:p w14:paraId="0FE4EABE" w14:textId="77777777" w:rsidR="00D31F12" w:rsidRPr="002D6BAE" w:rsidRDefault="00D31F12" w:rsidP="00D31F12">
      <w:pPr>
        <w:spacing w:after="0" w:line="240" w:lineRule="auto"/>
        <w:rPr>
          <w:rFonts w:cs="Times New Roman"/>
          <w:bCs/>
          <w:color w:val="0070C0"/>
        </w:rPr>
      </w:pPr>
      <w:r w:rsidRPr="002D6BAE">
        <w:rPr>
          <w:rFonts w:cs="Times New Roman"/>
          <w:bCs/>
          <w:color w:val="0070C0"/>
        </w:rPr>
        <w:t xml:space="preserve">“Met” means denominator criteria were met and numerator criteria were met. </w:t>
      </w:r>
    </w:p>
    <w:p w14:paraId="5C0E3A09" w14:textId="77777777" w:rsidR="00D31F12" w:rsidRPr="002D6BAE" w:rsidRDefault="00D31F12" w:rsidP="00D31F12">
      <w:pPr>
        <w:spacing w:after="0" w:line="240" w:lineRule="auto"/>
        <w:rPr>
          <w:rFonts w:cs="Times New Roman"/>
          <w:bCs/>
          <w:color w:val="0070C0"/>
        </w:rPr>
      </w:pPr>
      <w:r w:rsidRPr="002D6BAE">
        <w:rPr>
          <w:rFonts w:cs="Times New Roman"/>
          <w:bCs/>
          <w:color w:val="0070C0"/>
        </w:rPr>
        <w:t>“Exception” means denominator criteria were met, numerator criteria were not met and exceptions applied.</w:t>
      </w:r>
    </w:p>
    <w:p w14:paraId="28D56242" w14:textId="77777777" w:rsidR="00D31F12" w:rsidRPr="002D6BAE" w:rsidRDefault="00D31F12" w:rsidP="00D31F12">
      <w:pPr>
        <w:spacing w:after="0" w:line="240" w:lineRule="auto"/>
        <w:rPr>
          <w:rFonts w:cs="Times New Roman"/>
          <w:bCs/>
          <w:color w:val="0070C0"/>
        </w:rPr>
      </w:pPr>
    </w:p>
    <w:tbl>
      <w:tblPr>
        <w:tblStyle w:val="TableGrid"/>
        <w:tblW w:w="0" w:type="auto"/>
        <w:tblInd w:w="108" w:type="dxa"/>
        <w:tblLook w:val="01E0" w:firstRow="1" w:lastRow="1" w:firstColumn="1" w:lastColumn="1" w:noHBand="0" w:noVBand="0"/>
      </w:tblPr>
      <w:tblGrid>
        <w:gridCol w:w="3798"/>
        <w:gridCol w:w="1260"/>
      </w:tblGrid>
      <w:tr w:rsidR="00D31F12" w:rsidRPr="002D6BAE" w14:paraId="095F5407" w14:textId="77777777" w:rsidTr="00111709">
        <w:trPr>
          <w:trHeight w:val="395"/>
        </w:trPr>
        <w:tc>
          <w:tcPr>
            <w:tcW w:w="3798" w:type="dxa"/>
            <w:vAlign w:val="center"/>
          </w:tcPr>
          <w:p w14:paraId="1D27428A" w14:textId="77777777" w:rsidR="00D31F12" w:rsidRPr="002D6BAE" w:rsidRDefault="00D31F12" w:rsidP="00111709">
            <w:pPr>
              <w:rPr>
                <w:rFonts w:cs="Times New Roman"/>
                <w:bCs/>
                <w:color w:val="0070C0"/>
              </w:rPr>
            </w:pPr>
            <w:r w:rsidRPr="002D6BAE">
              <w:rPr>
                <w:rFonts w:cs="Times New Roman"/>
                <w:bCs/>
                <w:color w:val="0070C0"/>
              </w:rPr>
              <w:t>Kappa Coefficient</w:t>
            </w:r>
          </w:p>
        </w:tc>
        <w:tc>
          <w:tcPr>
            <w:tcW w:w="1260" w:type="dxa"/>
            <w:vAlign w:val="center"/>
          </w:tcPr>
          <w:p w14:paraId="06306354" w14:textId="77777777" w:rsidR="00D31F12" w:rsidRPr="002D6BAE" w:rsidRDefault="00D31F12" w:rsidP="00111709">
            <w:pPr>
              <w:jc w:val="center"/>
              <w:rPr>
                <w:rFonts w:cs="Times New Roman"/>
                <w:bCs/>
                <w:color w:val="0070C0"/>
              </w:rPr>
            </w:pPr>
            <w:r w:rsidRPr="002D6BAE">
              <w:rPr>
                <w:rFonts w:cs="Times New Roman"/>
                <w:bCs/>
                <w:color w:val="0070C0"/>
              </w:rPr>
              <w:t>0.77</w:t>
            </w:r>
          </w:p>
        </w:tc>
      </w:tr>
      <w:tr w:rsidR="00D31F12" w:rsidRPr="002D6BAE" w14:paraId="2EE18411" w14:textId="77777777" w:rsidTr="00111709">
        <w:trPr>
          <w:trHeight w:val="440"/>
        </w:trPr>
        <w:tc>
          <w:tcPr>
            <w:tcW w:w="3798" w:type="dxa"/>
            <w:vAlign w:val="center"/>
          </w:tcPr>
          <w:p w14:paraId="29274119" w14:textId="77777777" w:rsidR="00D31F12" w:rsidRPr="002D6BAE" w:rsidRDefault="00D31F12" w:rsidP="00111709">
            <w:pPr>
              <w:rPr>
                <w:rFonts w:cs="Times New Roman"/>
                <w:bCs/>
                <w:color w:val="0070C0"/>
              </w:rPr>
            </w:pPr>
            <w:r w:rsidRPr="002D6BAE">
              <w:rPr>
                <w:rFonts w:cs="Times New Roman"/>
                <w:bCs/>
                <w:color w:val="0070C0"/>
              </w:rPr>
              <w:t>Kappa LL (95% Confidence Interval)</w:t>
            </w:r>
          </w:p>
        </w:tc>
        <w:tc>
          <w:tcPr>
            <w:tcW w:w="1260" w:type="dxa"/>
            <w:vAlign w:val="center"/>
          </w:tcPr>
          <w:p w14:paraId="61F92A88" w14:textId="77777777" w:rsidR="00D31F12" w:rsidRPr="002D6BAE" w:rsidRDefault="00D31F12" w:rsidP="00111709">
            <w:pPr>
              <w:jc w:val="center"/>
              <w:rPr>
                <w:rFonts w:cs="Times New Roman"/>
                <w:bCs/>
                <w:color w:val="0070C0"/>
              </w:rPr>
            </w:pPr>
            <w:r w:rsidRPr="002D6BAE">
              <w:rPr>
                <w:rFonts w:cs="Times New Roman"/>
                <w:bCs/>
                <w:color w:val="0070C0"/>
              </w:rPr>
              <w:t>0.53</w:t>
            </w:r>
          </w:p>
        </w:tc>
      </w:tr>
      <w:tr w:rsidR="00D31F12" w:rsidRPr="002D6BAE" w14:paraId="457B6848" w14:textId="77777777" w:rsidTr="00111709">
        <w:trPr>
          <w:trHeight w:val="440"/>
        </w:trPr>
        <w:tc>
          <w:tcPr>
            <w:tcW w:w="3798" w:type="dxa"/>
            <w:vAlign w:val="center"/>
          </w:tcPr>
          <w:p w14:paraId="1C943FCB" w14:textId="77777777" w:rsidR="00D31F12" w:rsidRPr="002D6BAE" w:rsidRDefault="00D31F12" w:rsidP="00111709">
            <w:pPr>
              <w:rPr>
                <w:rFonts w:cs="Times New Roman"/>
                <w:bCs/>
                <w:color w:val="0070C0"/>
              </w:rPr>
            </w:pPr>
            <w:r w:rsidRPr="002D6BAE">
              <w:rPr>
                <w:rFonts w:cs="Times New Roman"/>
                <w:bCs/>
                <w:color w:val="0070C0"/>
              </w:rPr>
              <w:t>Kappa UL (95% Confidence Interval)</w:t>
            </w:r>
          </w:p>
        </w:tc>
        <w:tc>
          <w:tcPr>
            <w:tcW w:w="1260" w:type="dxa"/>
            <w:vAlign w:val="center"/>
          </w:tcPr>
          <w:p w14:paraId="7E600A63" w14:textId="77777777" w:rsidR="00D31F12" w:rsidRPr="002D6BAE" w:rsidRDefault="00D31F12" w:rsidP="00111709">
            <w:pPr>
              <w:jc w:val="center"/>
              <w:rPr>
                <w:rFonts w:cs="Times New Roman"/>
                <w:bCs/>
                <w:color w:val="0070C0"/>
              </w:rPr>
            </w:pPr>
            <w:r w:rsidRPr="002D6BAE">
              <w:rPr>
                <w:rFonts w:cs="Times New Roman"/>
                <w:bCs/>
                <w:color w:val="0070C0"/>
              </w:rPr>
              <w:t>1.00</w:t>
            </w:r>
          </w:p>
        </w:tc>
      </w:tr>
      <w:tr w:rsidR="00D31F12" w:rsidRPr="002D6BAE" w14:paraId="69FD2B58" w14:textId="77777777" w:rsidTr="00111709">
        <w:trPr>
          <w:trHeight w:val="395"/>
        </w:trPr>
        <w:tc>
          <w:tcPr>
            <w:tcW w:w="3798" w:type="dxa"/>
            <w:vAlign w:val="center"/>
          </w:tcPr>
          <w:p w14:paraId="2A5C76C9" w14:textId="77777777" w:rsidR="00D31F12" w:rsidRPr="002D6BAE" w:rsidRDefault="00D31F12" w:rsidP="00111709">
            <w:pPr>
              <w:rPr>
                <w:rFonts w:cs="Times New Roman"/>
                <w:bCs/>
                <w:color w:val="0070C0"/>
              </w:rPr>
            </w:pPr>
            <w:r w:rsidRPr="002D6BAE">
              <w:rPr>
                <w:rFonts w:cs="Times New Roman"/>
                <w:bCs/>
                <w:color w:val="0070C0"/>
              </w:rPr>
              <w:t>Observed Agreement Rate</w:t>
            </w:r>
          </w:p>
        </w:tc>
        <w:tc>
          <w:tcPr>
            <w:tcW w:w="1260" w:type="dxa"/>
            <w:vAlign w:val="center"/>
          </w:tcPr>
          <w:p w14:paraId="3845D4B0" w14:textId="77777777" w:rsidR="00D31F12" w:rsidRPr="002D6BAE" w:rsidRDefault="00D31F12" w:rsidP="00111709">
            <w:pPr>
              <w:jc w:val="center"/>
              <w:rPr>
                <w:rFonts w:cs="Times New Roman"/>
                <w:bCs/>
                <w:color w:val="0070C0"/>
              </w:rPr>
            </w:pPr>
            <w:r w:rsidRPr="002D6BAE">
              <w:rPr>
                <w:rFonts w:cs="Times New Roman"/>
                <w:bCs/>
                <w:color w:val="0070C0"/>
              </w:rPr>
              <w:t>0.90</w:t>
            </w:r>
          </w:p>
        </w:tc>
      </w:tr>
      <w:tr w:rsidR="00D31F12" w:rsidRPr="002D6BAE" w14:paraId="5412D69B" w14:textId="77777777" w:rsidTr="00111709">
        <w:trPr>
          <w:trHeight w:val="350"/>
        </w:trPr>
        <w:tc>
          <w:tcPr>
            <w:tcW w:w="3798" w:type="dxa"/>
            <w:vAlign w:val="center"/>
          </w:tcPr>
          <w:p w14:paraId="3074ACC8" w14:textId="77777777" w:rsidR="00D31F12" w:rsidRPr="002D6BAE" w:rsidRDefault="00D31F12" w:rsidP="00111709">
            <w:pPr>
              <w:rPr>
                <w:rFonts w:cs="Times New Roman"/>
                <w:bCs/>
                <w:color w:val="0070C0"/>
              </w:rPr>
            </w:pPr>
            <w:r w:rsidRPr="002D6BAE">
              <w:rPr>
                <w:rFonts w:cs="Times New Roman"/>
                <w:bCs/>
                <w:color w:val="0070C0"/>
              </w:rPr>
              <w:t>Expected Agreement Rate</w:t>
            </w:r>
          </w:p>
        </w:tc>
        <w:tc>
          <w:tcPr>
            <w:tcW w:w="1260" w:type="dxa"/>
            <w:vAlign w:val="center"/>
          </w:tcPr>
          <w:p w14:paraId="07153805" w14:textId="77777777" w:rsidR="00D31F12" w:rsidRPr="002D6BAE" w:rsidRDefault="00D31F12" w:rsidP="00111709">
            <w:pPr>
              <w:jc w:val="center"/>
              <w:rPr>
                <w:rFonts w:cs="Times New Roman"/>
                <w:bCs/>
                <w:color w:val="0070C0"/>
              </w:rPr>
            </w:pPr>
            <w:r w:rsidRPr="002D6BAE">
              <w:rPr>
                <w:rFonts w:cs="Times New Roman"/>
                <w:bCs/>
                <w:color w:val="0070C0"/>
              </w:rPr>
              <w:t>0.56</w:t>
            </w:r>
          </w:p>
        </w:tc>
      </w:tr>
    </w:tbl>
    <w:p w14:paraId="5808DA65" w14:textId="77777777" w:rsidR="00D31F12" w:rsidRPr="00A25024" w:rsidRDefault="00D31F12" w:rsidP="008C54A9">
      <w:pPr>
        <w:autoSpaceDE w:val="0"/>
        <w:autoSpaceDN w:val="0"/>
        <w:adjustRightInd w:val="0"/>
        <w:spacing w:after="0" w:line="240" w:lineRule="auto"/>
        <w:rPr>
          <w:rFonts w:cstheme="minorHAnsi"/>
          <w:bCs/>
        </w:rPr>
      </w:pPr>
    </w:p>
    <w:p w14:paraId="7FA3205A" w14:textId="77777777" w:rsidR="002B79F3" w:rsidRDefault="00092566" w:rsidP="002B79F3">
      <w:pPr>
        <w:spacing w:after="0" w:line="240" w:lineRule="auto"/>
        <w:rPr>
          <w:rFonts w:cs="Times New Roman"/>
          <w:b/>
          <w:u w:val="single"/>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2B79F3" w:rsidRPr="00E768B5">
        <w:rPr>
          <w:rFonts w:cs="Times New Roman"/>
          <w:bCs/>
          <w:color w:val="0070C0"/>
          <w:u w:val="single"/>
        </w:rPr>
        <w:t>2014 Submission:</w:t>
      </w:r>
    </w:p>
    <w:p w14:paraId="59E3D7E6" w14:textId="77777777" w:rsidR="00C41551" w:rsidRPr="002B79F3" w:rsidRDefault="00C41551" w:rsidP="00C41551">
      <w:pPr>
        <w:spacing w:after="0" w:line="240" w:lineRule="auto"/>
        <w:rPr>
          <w:rFonts w:cs="Times New Roman"/>
          <w:bCs/>
          <w:color w:val="0070C0"/>
        </w:rPr>
      </w:pPr>
      <w:r w:rsidRPr="002B79F3">
        <w:rPr>
          <w:rFonts w:cs="Times New Roman"/>
          <w:bCs/>
          <w:color w:val="0070C0"/>
        </w:rPr>
        <w:t xml:space="preserve">Interpretation of data element reliability testing: The below scale was used in the field test to interpret the kappa score. The numerator had a kappa score of .77, which indicates that there was substantial agreement that the two abstractors came to the same conclusion as to patients who met the numerator. This suggests the measure elements can be reliably abstracted from medical records.  </w:t>
      </w:r>
    </w:p>
    <w:p w14:paraId="14DE7A42" w14:textId="77777777" w:rsidR="00C41551" w:rsidRPr="002B79F3" w:rsidRDefault="00C41551" w:rsidP="00C41551">
      <w:pPr>
        <w:spacing w:after="0" w:line="240" w:lineRule="auto"/>
        <w:rPr>
          <w:rFonts w:cs="Times New Roman"/>
          <w:bCs/>
          <w:color w:val="0070C0"/>
        </w:rPr>
      </w:pPr>
    </w:p>
    <w:p w14:paraId="3604F870" w14:textId="77777777" w:rsidR="00C41551" w:rsidRPr="002B79F3" w:rsidRDefault="00C41551" w:rsidP="00C41551">
      <w:pPr>
        <w:spacing w:after="0" w:line="240" w:lineRule="auto"/>
        <w:rPr>
          <w:rFonts w:cs="Times New Roman"/>
          <w:bCs/>
          <w:color w:val="0070C0"/>
        </w:rPr>
      </w:pPr>
      <w:r w:rsidRPr="002B79F3">
        <w:rPr>
          <w:rFonts w:cs="Times New Roman"/>
          <w:bCs/>
          <w:color w:val="0070C0"/>
        </w:rPr>
        <w:t>Kappa              Strength of Agreement</w:t>
      </w:r>
    </w:p>
    <w:p w14:paraId="77BBBEF2" w14:textId="77777777" w:rsidR="00C41551" w:rsidRPr="002B79F3" w:rsidRDefault="00C41551" w:rsidP="00C41551">
      <w:pPr>
        <w:spacing w:after="0" w:line="240" w:lineRule="auto"/>
        <w:rPr>
          <w:rFonts w:cs="Times New Roman"/>
          <w:bCs/>
          <w:color w:val="0070C0"/>
        </w:rPr>
      </w:pPr>
      <w:r w:rsidRPr="002B79F3">
        <w:rPr>
          <w:rFonts w:cs="Times New Roman"/>
          <w:bCs/>
          <w:color w:val="0070C0"/>
        </w:rPr>
        <w:t>0.00                  Poor</w:t>
      </w:r>
    </w:p>
    <w:p w14:paraId="78993715" w14:textId="77777777" w:rsidR="00C41551" w:rsidRPr="002B79F3" w:rsidRDefault="00C41551" w:rsidP="00C41551">
      <w:pPr>
        <w:spacing w:after="0" w:line="240" w:lineRule="auto"/>
        <w:rPr>
          <w:rFonts w:cs="Times New Roman"/>
          <w:bCs/>
          <w:color w:val="0070C0"/>
        </w:rPr>
      </w:pPr>
      <w:r w:rsidRPr="002B79F3">
        <w:rPr>
          <w:rFonts w:cs="Times New Roman"/>
          <w:bCs/>
          <w:color w:val="0070C0"/>
        </w:rPr>
        <w:t xml:space="preserve">0.01 – 0.20      Slight </w:t>
      </w:r>
    </w:p>
    <w:p w14:paraId="28E3137F" w14:textId="77777777" w:rsidR="00C41551" w:rsidRPr="002B79F3" w:rsidRDefault="00C41551" w:rsidP="00C41551">
      <w:pPr>
        <w:spacing w:after="0" w:line="240" w:lineRule="auto"/>
        <w:rPr>
          <w:rFonts w:cs="Times New Roman"/>
          <w:bCs/>
          <w:color w:val="0070C0"/>
        </w:rPr>
      </w:pPr>
      <w:r w:rsidRPr="002B79F3">
        <w:rPr>
          <w:rFonts w:cs="Times New Roman"/>
          <w:bCs/>
          <w:color w:val="0070C0"/>
        </w:rPr>
        <w:t xml:space="preserve">0.21 – 0.40      Fair </w:t>
      </w:r>
    </w:p>
    <w:p w14:paraId="2A6FB426" w14:textId="77777777" w:rsidR="00C41551" w:rsidRPr="002B79F3" w:rsidRDefault="00C41551" w:rsidP="00C41551">
      <w:pPr>
        <w:spacing w:after="0" w:line="240" w:lineRule="auto"/>
        <w:rPr>
          <w:rFonts w:cs="Times New Roman"/>
          <w:bCs/>
          <w:color w:val="0070C0"/>
        </w:rPr>
      </w:pPr>
      <w:r w:rsidRPr="002B79F3">
        <w:rPr>
          <w:rFonts w:cs="Times New Roman"/>
          <w:bCs/>
          <w:color w:val="0070C0"/>
        </w:rPr>
        <w:t xml:space="preserve">0.41 – 0.60      Moderate </w:t>
      </w:r>
    </w:p>
    <w:p w14:paraId="1A5ED473" w14:textId="77777777" w:rsidR="00C41551" w:rsidRPr="002B79F3" w:rsidRDefault="00C41551" w:rsidP="00C41551">
      <w:pPr>
        <w:spacing w:after="0" w:line="240" w:lineRule="auto"/>
        <w:rPr>
          <w:rFonts w:cs="Times New Roman"/>
          <w:bCs/>
          <w:color w:val="0070C0"/>
        </w:rPr>
      </w:pPr>
      <w:r w:rsidRPr="002B79F3">
        <w:rPr>
          <w:rFonts w:cs="Times New Roman"/>
          <w:bCs/>
          <w:color w:val="0070C0"/>
        </w:rPr>
        <w:t xml:space="preserve">0.61 – 0.80      Substantial  </w:t>
      </w:r>
    </w:p>
    <w:p w14:paraId="4308ED8F" w14:textId="77777777" w:rsidR="00C41551" w:rsidRPr="002B79F3" w:rsidRDefault="00C41551" w:rsidP="00C41551">
      <w:pPr>
        <w:spacing w:after="0" w:line="240" w:lineRule="auto"/>
        <w:rPr>
          <w:rFonts w:cs="Times New Roman"/>
          <w:bCs/>
          <w:color w:val="0070C0"/>
        </w:rPr>
      </w:pPr>
      <w:r w:rsidRPr="002B79F3">
        <w:rPr>
          <w:rFonts w:cs="Times New Roman"/>
          <w:bCs/>
          <w:color w:val="0070C0"/>
        </w:rPr>
        <w:t xml:space="preserve">0.81 – 0.99      Almost perfect  </w:t>
      </w:r>
    </w:p>
    <w:p w14:paraId="488E601D" w14:textId="77777777" w:rsidR="00C41551" w:rsidRPr="002B79F3" w:rsidRDefault="00C41551" w:rsidP="00C41551">
      <w:pPr>
        <w:spacing w:after="0" w:line="240" w:lineRule="auto"/>
        <w:rPr>
          <w:rFonts w:cs="Times New Roman"/>
          <w:bCs/>
          <w:color w:val="0070C0"/>
        </w:rPr>
      </w:pPr>
    </w:p>
    <w:p w14:paraId="190A1839" w14:textId="77777777" w:rsidR="00C41551" w:rsidRPr="002B79F3" w:rsidRDefault="00C41551" w:rsidP="00C41551">
      <w:pPr>
        <w:spacing w:after="0" w:line="240" w:lineRule="auto"/>
        <w:rPr>
          <w:rFonts w:cs="Times New Roman"/>
          <w:bCs/>
          <w:color w:val="0070C0"/>
        </w:rPr>
      </w:pPr>
      <w:r w:rsidRPr="002B79F3">
        <w:rPr>
          <w:rFonts w:cs="Times New Roman"/>
          <w:bCs/>
          <w:color w:val="0070C0"/>
        </w:rPr>
        <w:t>Landis, J.R. and Koch, G. G. (1977) "The measurement of observer agreement for categorical data" in Biometrics. Vol. 33, pp. 159—174</w:t>
      </w:r>
    </w:p>
    <w:p w14:paraId="334FF476" w14:textId="77777777" w:rsidR="00C41551" w:rsidRPr="00F77FDE" w:rsidRDefault="00C41551" w:rsidP="00C41551">
      <w:pPr>
        <w:autoSpaceDE w:val="0"/>
        <w:autoSpaceDN w:val="0"/>
        <w:adjustRightInd w:val="0"/>
        <w:spacing w:after="0" w:line="240" w:lineRule="auto"/>
        <w:rPr>
          <w:rFonts w:ascii="Trebuchet MS" w:hAnsi="Trebuchet MS" w:cstheme="minorHAnsi"/>
          <w:bCs/>
          <w:sz w:val="20"/>
          <w:szCs w:val="20"/>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bookmarkStart w:id="11" w:name="_Hlk507156736"/>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7777777" w:rsidR="00696262" w:rsidRPr="00A25024" w:rsidRDefault="002424D5"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0FF67BB2" w:rsidR="000574AB" w:rsidRPr="00A25024" w:rsidRDefault="002424D5"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C41551">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CA39B5">
        <w:rPr>
          <w:rFonts w:eastAsia="MS Gothic" w:cstheme="minorHAnsi"/>
          <w:bCs/>
        </w:rPr>
        <w:t>)</w:t>
      </w:r>
      <w:r w:rsidR="00275563" w:rsidRPr="00CA39B5">
        <w:rPr>
          <w:rFonts w:eastAsia="MS Gothic" w:cstheme="minorHAnsi"/>
          <w:bCs/>
        </w:rPr>
        <w:t xml:space="preserve"> </w:t>
      </w:r>
      <w:r w:rsidR="00275563" w:rsidRPr="00CA39B5">
        <w:rPr>
          <w:rFonts w:eastAsia="MS Gothic" w:cstheme="minorHAnsi"/>
          <w:b/>
          <w:bCs/>
        </w:rPr>
        <w:t>NOTE</w:t>
      </w:r>
      <w:r w:rsidR="00275563" w:rsidRPr="00CA39B5">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756A0819" w14:textId="740E200B" w:rsidR="00E424E9" w:rsidRDefault="009C7513" w:rsidP="00E424E9">
      <w:pPr>
        <w:autoSpaceDE w:val="0"/>
        <w:autoSpaceDN w:val="0"/>
        <w:spacing w:after="0" w:line="240" w:lineRule="auto"/>
        <w:rPr>
          <w:color w:val="FF0000"/>
        </w:rPr>
      </w:pPr>
      <w:r>
        <w:rPr>
          <w:rFonts w:cstheme="minorHAnsi"/>
          <w:b/>
          <w:bCs/>
        </w:rPr>
        <w:lastRenderedPageBreak/>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E424E9">
        <w:rPr>
          <w:b/>
          <w:bCs/>
          <w:color w:val="FF0000"/>
          <w:u w:val="single"/>
        </w:rPr>
        <w:t>2018 Submission:</w:t>
      </w:r>
    </w:p>
    <w:p w14:paraId="7FC58E41" w14:textId="77777777" w:rsidR="00E424E9" w:rsidRDefault="00E424E9" w:rsidP="00E424E9">
      <w:pPr>
        <w:autoSpaceDE w:val="0"/>
        <w:autoSpaceDN w:val="0"/>
        <w:spacing w:line="240" w:lineRule="auto"/>
        <w:rPr>
          <w:color w:val="FF0000"/>
        </w:rPr>
      </w:pPr>
      <w:r>
        <w:rPr>
          <w:color w:val="FF0000"/>
        </w:rPr>
        <w:t>There are no updates to the validity testing for this measure since the last submission. The only publicly available data for this measure are from reporting in the CMS Quality Payment Program, however these data are not constructed in a way that allows NCQA to test empirical validity of the measure.</w:t>
      </w:r>
    </w:p>
    <w:p w14:paraId="0CABCFDC" w14:textId="52BC9E62" w:rsidR="00833325" w:rsidRPr="00A25024" w:rsidRDefault="0042032B" w:rsidP="00DB3627">
      <w:pPr>
        <w:autoSpaceDE w:val="0"/>
        <w:autoSpaceDN w:val="0"/>
        <w:adjustRightInd w:val="0"/>
        <w:spacing w:after="0" w:line="240" w:lineRule="auto"/>
        <w:rPr>
          <w:rFonts w:cstheme="minorHAnsi"/>
          <w:bCs/>
        </w:rPr>
      </w:pPr>
      <w:r w:rsidRPr="00E768B5">
        <w:rPr>
          <w:rFonts w:cs="Times New Roman"/>
          <w:bCs/>
          <w:color w:val="0070C0"/>
          <w:u w:val="single"/>
        </w:rPr>
        <w:t>2014 Submission:</w:t>
      </w:r>
    </w:p>
    <w:p w14:paraId="3A5BDCAE" w14:textId="77777777" w:rsidR="00C41551" w:rsidRPr="0042032B" w:rsidRDefault="00C41551" w:rsidP="00C41551">
      <w:pPr>
        <w:autoSpaceDE w:val="0"/>
        <w:autoSpaceDN w:val="0"/>
        <w:adjustRightInd w:val="0"/>
        <w:spacing w:after="0" w:line="240" w:lineRule="auto"/>
        <w:rPr>
          <w:rFonts w:cs="Times New Roman"/>
          <w:bCs/>
          <w:color w:val="0070C0"/>
        </w:rPr>
      </w:pPr>
      <w:r w:rsidRPr="009F7935">
        <w:rPr>
          <w:rFonts w:cs="Times New Roman"/>
          <w:b/>
          <w:bCs/>
          <w:color w:val="0070C0"/>
        </w:rPr>
        <w:t>Critical Data Element Validity:</w:t>
      </w:r>
      <w:r w:rsidRPr="0042032B">
        <w:rPr>
          <w:rFonts w:cs="Times New Roman"/>
          <w:bCs/>
          <w:color w:val="0070C0"/>
        </w:rPr>
        <w:t xml:space="preserve"> The testing conducted for this measure by the AMA/Physician Consortium for Performance Improvement (PCPI) is described above under “Reliability.”  This testing demonstrates inter-rater reliability of two reviewers using the same measure specification to draw conclusions from the same “gold-standard” data source (e.g. medical record).  Reliability testing demonstrated that two independent reviewers looking at the same full medical record had high agreement on every data element and the overall performance measure score.  We believe this testing demonstrates not only data element reliability but also validity, that is to say the accuracy of the measure specification to identify all data elements from the medical record.  </w:t>
      </w:r>
    </w:p>
    <w:p w14:paraId="712DE064" w14:textId="77777777" w:rsidR="00C41551" w:rsidRPr="0042032B" w:rsidRDefault="00C41551" w:rsidP="00C41551">
      <w:pPr>
        <w:autoSpaceDE w:val="0"/>
        <w:autoSpaceDN w:val="0"/>
        <w:adjustRightInd w:val="0"/>
        <w:spacing w:after="0" w:line="240" w:lineRule="auto"/>
        <w:rPr>
          <w:rFonts w:cs="Times New Roman"/>
          <w:bCs/>
          <w:color w:val="0070C0"/>
        </w:rPr>
      </w:pPr>
    </w:p>
    <w:p w14:paraId="08064CB9" w14:textId="6FB8FA4E" w:rsidR="00C41551" w:rsidRPr="0042032B" w:rsidRDefault="00556AB8" w:rsidP="00C41551">
      <w:pPr>
        <w:autoSpaceDE w:val="0"/>
        <w:autoSpaceDN w:val="0"/>
        <w:adjustRightInd w:val="0"/>
        <w:spacing w:after="0" w:line="240" w:lineRule="auto"/>
        <w:rPr>
          <w:rFonts w:cs="Times New Roman"/>
          <w:bCs/>
          <w:color w:val="0070C0"/>
        </w:rPr>
      </w:pPr>
      <w:r>
        <w:rPr>
          <w:rFonts w:cs="Times New Roman"/>
          <w:b/>
          <w:bCs/>
          <w:color w:val="0070C0"/>
        </w:rPr>
        <w:t>A</w:t>
      </w:r>
      <w:r w:rsidR="00C41551" w:rsidRPr="009F7935">
        <w:rPr>
          <w:rFonts w:cs="Times New Roman"/>
          <w:b/>
          <w:bCs/>
          <w:color w:val="0070C0"/>
        </w:rPr>
        <w:t>ssessment of face validity:</w:t>
      </w:r>
      <w:r w:rsidR="00C41551" w:rsidRPr="0042032B">
        <w:rPr>
          <w:rFonts w:cs="Times New Roman"/>
          <w:bCs/>
          <w:color w:val="0070C0"/>
        </w:rPr>
        <w:t xml:space="preserve"> This measure was also evaluated for face-validity by the AMA/PCPI which oversees the measure development process of clinically relevant physician-level performance measures. To assess the face validity of measures, PCPI follows a standardized process for measure development which includes:</w:t>
      </w:r>
    </w:p>
    <w:p w14:paraId="74BA1A5D" w14:textId="77777777" w:rsidR="00C41551" w:rsidRPr="0042032B" w:rsidRDefault="00C41551" w:rsidP="00C41551">
      <w:pPr>
        <w:pStyle w:val="ListParagraph"/>
        <w:numPr>
          <w:ilvl w:val="0"/>
          <w:numId w:val="30"/>
        </w:numPr>
        <w:autoSpaceDE w:val="0"/>
        <w:autoSpaceDN w:val="0"/>
        <w:adjustRightInd w:val="0"/>
        <w:spacing w:after="0" w:line="240" w:lineRule="auto"/>
        <w:rPr>
          <w:rFonts w:cs="Times New Roman"/>
          <w:bCs/>
          <w:color w:val="0070C0"/>
        </w:rPr>
      </w:pPr>
      <w:r w:rsidRPr="0042032B">
        <w:rPr>
          <w:rFonts w:cs="Times New Roman"/>
          <w:bCs/>
          <w:color w:val="0070C0"/>
        </w:rPr>
        <w:t>Convening cross-specialty, multidisciplinary work groups to assess the face and content validity of each measure. The groups establish the measure’s ability to capture what it is designed to capture using a consensus process that consists of input from multiple stakeholders, including practicing physicians and experts with technical measure expertise.</w:t>
      </w:r>
    </w:p>
    <w:p w14:paraId="229254BA" w14:textId="77777777" w:rsidR="00C41551" w:rsidRPr="0042032B" w:rsidRDefault="00C41551" w:rsidP="00C41551">
      <w:pPr>
        <w:pStyle w:val="ListParagraph"/>
        <w:numPr>
          <w:ilvl w:val="0"/>
          <w:numId w:val="30"/>
        </w:numPr>
        <w:autoSpaceDE w:val="0"/>
        <w:autoSpaceDN w:val="0"/>
        <w:adjustRightInd w:val="0"/>
        <w:spacing w:after="0" w:line="240" w:lineRule="auto"/>
        <w:rPr>
          <w:rFonts w:cs="Times New Roman"/>
          <w:bCs/>
          <w:color w:val="0070C0"/>
        </w:rPr>
      </w:pPr>
      <w:r w:rsidRPr="0042032B">
        <w:rPr>
          <w:rFonts w:cs="Times New Roman"/>
          <w:bCs/>
          <w:color w:val="0070C0"/>
        </w:rPr>
        <w:t>Review of the evidence, gaps in care and potential for impact of the measure:</w:t>
      </w:r>
    </w:p>
    <w:p w14:paraId="62C92F9F" w14:textId="77777777" w:rsidR="00C41551" w:rsidRPr="0042032B" w:rsidRDefault="00C41551" w:rsidP="00C41551">
      <w:pPr>
        <w:pStyle w:val="ListParagraph"/>
        <w:numPr>
          <w:ilvl w:val="1"/>
          <w:numId w:val="30"/>
        </w:numPr>
        <w:autoSpaceDE w:val="0"/>
        <w:autoSpaceDN w:val="0"/>
        <w:adjustRightInd w:val="0"/>
        <w:spacing w:after="0" w:line="240" w:lineRule="auto"/>
        <w:rPr>
          <w:rFonts w:cs="Times New Roman"/>
          <w:bCs/>
          <w:color w:val="0070C0"/>
        </w:rPr>
      </w:pPr>
      <w:r w:rsidRPr="0042032B">
        <w:rPr>
          <w:rFonts w:cs="Times New Roman"/>
          <w:bCs/>
          <w:color w:val="0070C0"/>
        </w:rPr>
        <w:t>Consider existing guideline recommendations and the strength of evidence</w:t>
      </w:r>
    </w:p>
    <w:p w14:paraId="5B34CE9C" w14:textId="77777777" w:rsidR="00C41551" w:rsidRPr="0042032B" w:rsidRDefault="00C41551" w:rsidP="00C41551">
      <w:pPr>
        <w:pStyle w:val="ListParagraph"/>
        <w:numPr>
          <w:ilvl w:val="1"/>
          <w:numId w:val="30"/>
        </w:numPr>
        <w:autoSpaceDE w:val="0"/>
        <w:autoSpaceDN w:val="0"/>
        <w:adjustRightInd w:val="0"/>
        <w:spacing w:after="0" w:line="240" w:lineRule="auto"/>
        <w:rPr>
          <w:rFonts w:cs="Times New Roman"/>
          <w:bCs/>
          <w:color w:val="0070C0"/>
        </w:rPr>
      </w:pPr>
      <w:r w:rsidRPr="0042032B">
        <w:rPr>
          <w:rFonts w:cs="Times New Roman"/>
          <w:bCs/>
          <w:color w:val="0070C0"/>
        </w:rPr>
        <w:t>Consider gaps in care, variation, cost and frequency data</w:t>
      </w:r>
    </w:p>
    <w:p w14:paraId="13E72D70" w14:textId="77777777" w:rsidR="00C41551" w:rsidRPr="0042032B" w:rsidRDefault="00C41551" w:rsidP="00C41551">
      <w:pPr>
        <w:pStyle w:val="ListParagraph"/>
        <w:numPr>
          <w:ilvl w:val="0"/>
          <w:numId w:val="30"/>
        </w:numPr>
        <w:autoSpaceDE w:val="0"/>
        <w:autoSpaceDN w:val="0"/>
        <w:adjustRightInd w:val="0"/>
        <w:spacing w:after="0" w:line="240" w:lineRule="auto"/>
        <w:rPr>
          <w:rFonts w:cs="Times New Roman"/>
          <w:bCs/>
          <w:color w:val="0070C0"/>
        </w:rPr>
      </w:pPr>
      <w:r w:rsidRPr="0042032B">
        <w:rPr>
          <w:rFonts w:cs="Times New Roman"/>
          <w:bCs/>
          <w:color w:val="0070C0"/>
        </w:rPr>
        <w:t>Posting the draft measure for a 30-day public comment period. The PCPI solicits feedback from PCPI members, quality improvement collaboratives, providers, consumers, public/private purchasers and others with an interest in the measure.</w:t>
      </w:r>
    </w:p>
    <w:p w14:paraId="26C6D158" w14:textId="77777777" w:rsidR="00C41551" w:rsidRPr="0042032B" w:rsidRDefault="00C41551" w:rsidP="00C41551">
      <w:pPr>
        <w:pStyle w:val="ListParagraph"/>
        <w:numPr>
          <w:ilvl w:val="0"/>
          <w:numId w:val="30"/>
        </w:numPr>
        <w:autoSpaceDE w:val="0"/>
        <w:autoSpaceDN w:val="0"/>
        <w:adjustRightInd w:val="0"/>
        <w:spacing w:after="0" w:line="240" w:lineRule="auto"/>
        <w:rPr>
          <w:rFonts w:cs="Times New Roman"/>
          <w:bCs/>
          <w:color w:val="0070C0"/>
        </w:rPr>
      </w:pPr>
      <w:r w:rsidRPr="0042032B">
        <w:rPr>
          <w:rFonts w:cs="Times New Roman"/>
          <w:bCs/>
          <w:color w:val="0070C0"/>
        </w:rPr>
        <w:t>The PCPI work group reviews comments received, revises and modifies the draft performance measures as deemed appropriate by the work group. The public comments and responses are posted to the PCPI website as part of the voting process.</w:t>
      </w:r>
    </w:p>
    <w:p w14:paraId="3459E487" w14:textId="77777777" w:rsidR="00C41551" w:rsidRPr="0042032B" w:rsidRDefault="00C41551" w:rsidP="00C41551">
      <w:pPr>
        <w:pStyle w:val="ListParagraph"/>
        <w:numPr>
          <w:ilvl w:val="0"/>
          <w:numId w:val="30"/>
        </w:numPr>
        <w:autoSpaceDE w:val="0"/>
        <w:autoSpaceDN w:val="0"/>
        <w:adjustRightInd w:val="0"/>
        <w:spacing w:after="0" w:line="240" w:lineRule="auto"/>
        <w:rPr>
          <w:rFonts w:cs="Times New Roman"/>
          <w:bCs/>
          <w:color w:val="0070C0"/>
        </w:rPr>
      </w:pPr>
      <w:r w:rsidRPr="0042032B">
        <w:rPr>
          <w:rFonts w:cs="Times New Roman"/>
          <w:bCs/>
          <w:color w:val="0070C0"/>
        </w:rPr>
        <w:t>Final vote by PCPI members eligible to vote. The PCPI encourages all voting member organizations to vote so the required quorum is met.</w:t>
      </w:r>
    </w:p>
    <w:p w14:paraId="0CABCFDD" w14:textId="77777777" w:rsidR="00833325" w:rsidRPr="00A25024" w:rsidRDefault="00833325" w:rsidP="00DB3627">
      <w:pPr>
        <w:autoSpaceDE w:val="0"/>
        <w:autoSpaceDN w:val="0"/>
        <w:adjustRightInd w:val="0"/>
        <w:spacing w:after="0" w:line="240" w:lineRule="auto"/>
        <w:rPr>
          <w:rFonts w:cstheme="minorHAnsi"/>
          <w:bCs/>
        </w:rPr>
      </w:pPr>
    </w:p>
    <w:bookmarkEnd w:id="11"/>
    <w:p w14:paraId="60E6F360" w14:textId="114B14B5" w:rsidR="00C41551" w:rsidRDefault="009C7513" w:rsidP="00C41551">
      <w:pPr>
        <w:autoSpaceDE w:val="0"/>
        <w:autoSpaceDN w:val="0"/>
        <w:adjustRightInd w:val="0"/>
        <w:spacing w:after="0" w:line="240" w:lineRule="auto"/>
        <w:rPr>
          <w:rFonts w:cs="Times New Roman"/>
          <w:b/>
          <w:u w:val="single"/>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9F7935" w:rsidRPr="00E768B5">
        <w:rPr>
          <w:rFonts w:cs="Times New Roman"/>
          <w:bCs/>
          <w:color w:val="0070C0"/>
          <w:u w:val="single"/>
        </w:rPr>
        <w:t>2014 Submission:</w:t>
      </w:r>
    </w:p>
    <w:p w14:paraId="7D2A0007" w14:textId="503D760F" w:rsidR="00C41551" w:rsidRPr="009F7935" w:rsidRDefault="00C41551" w:rsidP="00C41551">
      <w:pPr>
        <w:autoSpaceDE w:val="0"/>
        <w:autoSpaceDN w:val="0"/>
        <w:adjustRightInd w:val="0"/>
        <w:spacing w:after="0" w:line="240" w:lineRule="auto"/>
        <w:rPr>
          <w:rFonts w:cs="Times New Roman"/>
          <w:bCs/>
          <w:color w:val="0070C0"/>
        </w:rPr>
      </w:pPr>
      <w:r w:rsidRPr="009F7935">
        <w:rPr>
          <w:rFonts w:cs="Times New Roman"/>
          <w:b/>
          <w:bCs/>
          <w:color w:val="0070C0"/>
        </w:rPr>
        <w:t>Results of face validity assessment:</w:t>
      </w:r>
      <w:r w:rsidRPr="009F7935">
        <w:rPr>
          <w:rFonts w:cs="Times New Roman"/>
          <w:bCs/>
          <w:color w:val="0070C0"/>
        </w:rPr>
        <w:t xml:space="preserve"> This measure was reviewed and developed by a joint work group that included experts in osteoporosis treatment as well as representatives from the following organizations: American Academy of Family Physicians; American Academy of Orthopaedic Surgeons; American Association of Clinical Endocrinologists; American College of Rheumatology; The Endocrine Society; American Medical Association; National Osteoporosis Foundation; National Committee for Quality Assurance; and The Joint Commission. The joint work group members came to consensus on the </w:t>
      </w:r>
      <w:r w:rsidRPr="009F7935">
        <w:rPr>
          <w:rFonts w:cs="Times New Roman"/>
          <w:bCs/>
          <w:color w:val="0070C0"/>
        </w:rPr>
        <w:lastRenderedPageBreak/>
        <w:t xml:space="preserve">final recommended specification for this measure in October 2006. See </w:t>
      </w:r>
      <w:r w:rsidRPr="00D12F41">
        <w:rPr>
          <w:rFonts w:cs="Times New Roman"/>
          <w:bCs/>
          <w:color w:val="0070C0"/>
        </w:rPr>
        <w:t>section Ad. 1. Workgroup/Expert Panel Involved in Measure Development for a list of participants of the Osteoporosis</w:t>
      </w:r>
      <w:r w:rsidRPr="009F7935">
        <w:rPr>
          <w:rFonts w:cs="Times New Roman"/>
          <w:bCs/>
          <w:color w:val="0070C0"/>
        </w:rPr>
        <w:t xml:space="preserve"> Work Group.</w:t>
      </w:r>
    </w:p>
    <w:p w14:paraId="0CABCFDE" w14:textId="6F9D7309" w:rsidR="007422FD" w:rsidRPr="009F7935" w:rsidRDefault="007422FD" w:rsidP="00092566">
      <w:pPr>
        <w:autoSpaceDE w:val="0"/>
        <w:autoSpaceDN w:val="0"/>
        <w:adjustRightInd w:val="0"/>
        <w:spacing w:after="0" w:line="240" w:lineRule="auto"/>
        <w:rPr>
          <w:rFonts w:cs="Times New Roman"/>
          <w:bCs/>
          <w:color w:val="0070C0"/>
        </w:rPr>
      </w:pPr>
    </w:p>
    <w:p w14:paraId="2C15C59E" w14:textId="2EC200C8" w:rsidR="009F7935" w:rsidRDefault="009C7513" w:rsidP="00CF685B">
      <w:pPr>
        <w:autoSpaceDE w:val="0"/>
        <w:autoSpaceDN w:val="0"/>
        <w:adjustRightInd w:val="0"/>
        <w:spacing w:after="0" w:line="240" w:lineRule="auto"/>
        <w:rPr>
          <w:rFonts w:cs="Times New Roman"/>
          <w:bCs/>
          <w:color w:val="0070C0"/>
          <w:u w:val="single"/>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9F7935" w:rsidRPr="00E768B5">
        <w:rPr>
          <w:rFonts w:cs="Times New Roman"/>
          <w:bCs/>
          <w:color w:val="0070C0"/>
          <w:u w:val="single"/>
        </w:rPr>
        <w:t>2014 Submission:</w:t>
      </w:r>
    </w:p>
    <w:p w14:paraId="6F0BE592" w14:textId="50B6B7E0" w:rsidR="00EA13B1" w:rsidRPr="009F7935" w:rsidRDefault="00EA13B1" w:rsidP="00EA13B1">
      <w:pPr>
        <w:spacing w:after="0" w:line="240" w:lineRule="auto"/>
        <w:rPr>
          <w:rFonts w:cs="Times New Roman"/>
          <w:bCs/>
          <w:color w:val="0070C0"/>
        </w:rPr>
      </w:pPr>
      <w:r w:rsidRPr="009F7935">
        <w:rPr>
          <w:rFonts w:cs="Times New Roman"/>
          <w:b/>
          <w:bCs/>
          <w:color w:val="0070C0"/>
        </w:rPr>
        <w:t>Interpretation of face validity assessment:</w:t>
      </w:r>
      <w:r w:rsidRPr="009F7935">
        <w:rPr>
          <w:rFonts w:cs="Times New Roman"/>
          <w:bCs/>
          <w:color w:val="0070C0"/>
        </w:rPr>
        <w:t xml:space="preserve"> </w:t>
      </w:r>
      <w:r w:rsidR="00556AB8" w:rsidRPr="007C2220">
        <w:rPr>
          <w:rFonts w:eastAsiaTheme="minorHAnsi"/>
          <w:color w:val="0070C0"/>
          <w:szCs w:val="20"/>
        </w:rPr>
        <w:t>These results indicate that the multiple experts and stakeholders concluded with good agreement that the measure as specified is measuring what it intends to measure and that the results of the measurement allow users to make the correct conclusions about the quality of care that is provided and will accurately differentiate quality across providers.</w:t>
      </w:r>
    </w:p>
    <w:p w14:paraId="0CABCFDF" w14:textId="1A4B2A0D" w:rsidR="007422FD" w:rsidRPr="00A25024" w:rsidRDefault="007422FD" w:rsidP="00DB3627">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9F7935">
        <w:rPr>
          <w:rFonts w:eastAsia="MS Gothic" w:cstheme="minorHAnsi"/>
          <w:b/>
          <w:bCs/>
          <w:color w:val="0000FF"/>
        </w:rPr>
        <w:t>—</w:t>
      </w:r>
      <w:r w:rsidRPr="009F7935">
        <w:rPr>
          <w:rFonts w:cstheme="minorHAnsi"/>
          <w:b/>
          <w:bCs/>
          <w:i/>
        </w:rPr>
        <w:t xml:space="preserve"> </w:t>
      </w:r>
      <w:r w:rsidR="00B037BA" w:rsidRPr="009F7935">
        <w:rPr>
          <w:rFonts w:cstheme="minorHAnsi"/>
          <w:b/>
          <w:bCs/>
          <w:i/>
        </w:rPr>
        <w:t xml:space="preserve">skip </w:t>
      </w:r>
      <w:r w:rsidR="008A4C13" w:rsidRPr="009F7935">
        <w:rPr>
          <w:rFonts w:cstheme="minorHAnsi"/>
          <w:b/>
          <w:bCs/>
          <w:i/>
        </w:rPr>
        <w:t xml:space="preserve">to </w:t>
      </w:r>
      <w:r w:rsidR="00BE592D" w:rsidRPr="009F7935">
        <w:rPr>
          <w:rFonts w:cstheme="minorHAnsi"/>
          <w:b/>
          <w:bCs/>
          <w:i/>
        </w:rPr>
        <w:t xml:space="preserve">section </w:t>
      </w:r>
      <w:hyperlink w:anchor="section2b4" w:history="1">
        <w:r w:rsidR="00483E94" w:rsidRPr="009F7935">
          <w:rPr>
            <w:rStyle w:val="Hyperlink"/>
            <w:rFonts w:cstheme="minorHAnsi"/>
            <w:b/>
            <w:bCs/>
            <w:i/>
          </w:rPr>
          <w:t>2b</w:t>
        </w:r>
        <w:r w:rsidR="00565946" w:rsidRPr="009F7935">
          <w:rPr>
            <w:rStyle w:val="Hyperlink"/>
            <w:rFonts w:cstheme="minorHAnsi"/>
            <w:b/>
            <w:bCs/>
            <w:i/>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380FA277" w14:textId="77777777" w:rsidR="009F7935" w:rsidRPr="009F7935" w:rsidRDefault="009F7935" w:rsidP="00DB3627">
      <w:pPr>
        <w:autoSpaceDE w:val="0"/>
        <w:autoSpaceDN w:val="0"/>
        <w:adjustRightInd w:val="0"/>
        <w:spacing w:after="0" w:line="240" w:lineRule="auto"/>
        <w:rPr>
          <w:rFonts w:cstheme="minorHAnsi"/>
          <w:bCs/>
          <w:color w:val="FF0000"/>
          <w:szCs w:val="20"/>
          <w:u w:val="single"/>
        </w:rPr>
      </w:pPr>
      <w:r w:rsidRPr="009F7935">
        <w:rPr>
          <w:rFonts w:cstheme="minorHAnsi"/>
          <w:bCs/>
          <w:color w:val="FF0000"/>
          <w:szCs w:val="20"/>
          <w:u w:val="single"/>
        </w:rPr>
        <w:t>2018 Submission:</w:t>
      </w:r>
    </w:p>
    <w:p w14:paraId="0CABCFE5" w14:textId="382A0395" w:rsidR="00833325" w:rsidRPr="009F7935" w:rsidRDefault="009F7935" w:rsidP="00DB3627">
      <w:pPr>
        <w:autoSpaceDE w:val="0"/>
        <w:autoSpaceDN w:val="0"/>
        <w:adjustRightInd w:val="0"/>
        <w:spacing w:after="0" w:line="240" w:lineRule="auto"/>
        <w:rPr>
          <w:rFonts w:cstheme="minorHAnsi"/>
          <w:bCs/>
          <w:color w:val="FF0000"/>
          <w:szCs w:val="20"/>
        </w:rPr>
      </w:pPr>
      <w:r w:rsidRPr="009F7935">
        <w:rPr>
          <w:rFonts w:cstheme="minorHAnsi"/>
          <w:bCs/>
          <w:color w:val="FF0000"/>
          <w:szCs w:val="20"/>
        </w:rPr>
        <w:t>The e</w:t>
      </w:r>
      <w:r w:rsidR="00D12F41">
        <w:rPr>
          <w:rFonts w:cstheme="minorHAnsi"/>
          <w:bCs/>
          <w:color w:val="FF0000"/>
          <w:szCs w:val="20"/>
        </w:rPr>
        <w:t>xclusion for this measure is</w:t>
      </w:r>
      <w:r w:rsidRPr="009F7935">
        <w:rPr>
          <w:rFonts w:cstheme="minorHAnsi"/>
          <w:bCs/>
          <w:color w:val="FF0000"/>
          <w:szCs w:val="20"/>
        </w:rPr>
        <w:t xml:space="preserve"> base</w:t>
      </w:r>
      <w:r>
        <w:rPr>
          <w:rFonts w:cstheme="minorHAnsi"/>
          <w:bCs/>
          <w:color w:val="FF0000"/>
          <w:szCs w:val="20"/>
        </w:rPr>
        <w:t xml:space="preserve">d on clearly specified </w:t>
      </w:r>
      <w:r w:rsidR="00D12F41">
        <w:rPr>
          <w:rFonts w:cstheme="minorHAnsi"/>
          <w:bCs/>
          <w:color w:val="FF0000"/>
          <w:szCs w:val="20"/>
        </w:rPr>
        <w:t>code</w:t>
      </w:r>
      <w:r w:rsidR="00E424E9">
        <w:rPr>
          <w:rFonts w:cstheme="minorHAnsi"/>
          <w:bCs/>
          <w:color w:val="FF0000"/>
          <w:szCs w:val="20"/>
        </w:rPr>
        <w:t>s</w:t>
      </w:r>
      <w:r w:rsidR="00D12F41">
        <w:rPr>
          <w:rFonts w:cstheme="minorHAnsi"/>
          <w:bCs/>
          <w:color w:val="FF0000"/>
          <w:szCs w:val="20"/>
        </w:rPr>
        <w:t xml:space="preserve"> that indicat</w:t>
      </w:r>
      <w:r w:rsidR="00E424E9">
        <w:rPr>
          <w:rFonts w:cstheme="minorHAnsi"/>
          <w:bCs/>
          <w:color w:val="FF0000"/>
          <w:szCs w:val="20"/>
        </w:rPr>
        <w:t>e</w:t>
      </w:r>
      <w:r w:rsidR="00D12F41">
        <w:rPr>
          <w:rFonts w:cstheme="minorHAnsi"/>
          <w:bCs/>
          <w:color w:val="FF0000"/>
          <w:szCs w:val="20"/>
        </w:rPr>
        <w:t xml:space="preserve"> the patient received hospice services during the measurement period. While this code has</w:t>
      </w:r>
      <w:r w:rsidRPr="009F7935">
        <w:rPr>
          <w:rFonts w:cstheme="minorHAnsi"/>
          <w:bCs/>
          <w:color w:val="FF0000"/>
          <w:szCs w:val="20"/>
        </w:rPr>
        <w:t xml:space="preserve"> not been </w:t>
      </w:r>
      <w:r w:rsidR="00E424E9">
        <w:rPr>
          <w:rFonts w:cstheme="minorHAnsi"/>
          <w:bCs/>
          <w:color w:val="FF0000"/>
          <w:szCs w:val="20"/>
        </w:rPr>
        <w:t xml:space="preserve">specifically </w:t>
      </w:r>
      <w:r w:rsidRPr="009F7935">
        <w:rPr>
          <w:rFonts w:cstheme="minorHAnsi"/>
          <w:bCs/>
          <w:color w:val="FF0000"/>
          <w:szCs w:val="20"/>
        </w:rPr>
        <w:t>test</w:t>
      </w:r>
      <w:r w:rsidR="00D12F41">
        <w:rPr>
          <w:rFonts w:cstheme="minorHAnsi"/>
          <w:bCs/>
          <w:color w:val="FF0000"/>
          <w:szCs w:val="20"/>
        </w:rPr>
        <w:t>ed</w:t>
      </w:r>
      <w:r w:rsidRPr="009F7935">
        <w:rPr>
          <w:rFonts w:cstheme="minorHAnsi"/>
          <w:bCs/>
          <w:color w:val="FF0000"/>
          <w:szCs w:val="20"/>
        </w:rPr>
        <w:t xml:space="preserve"> in the context of </w:t>
      </w:r>
      <w:r w:rsidR="00D12F41">
        <w:rPr>
          <w:rFonts w:cstheme="minorHAnsi"/>
          <w:bCs/>
          <w:color w:val="FF0000"/>
          <w:szCs w:val="20"/>
        </w:rPr>
        <w:t>this</w:t>
      </w:r>
      <w:r w:rsidR="00E424E9">
        <w:rPr>
          <w:rFonts w:cstheme="minorHAnsi"/>
          <w:bCs/>
          <w:color w:val="FF0000"/>
          <w:szCs w:val="20"/>
        </w:rPr>
        <w:t xml:space="preserve"> measure</w:t>
      </w:r>
      <w:r w:rsidR="00D12F41">
        <w:rPr>
          <w:rFonts w:cstheme="minorHAnsi"/>
          <w:bCs/>
          <w:color w:val="FF0000"/>
          <w:szCs w:val="20"/>
        </w:rPr>
        <w:t>, it is</w:t>
      </w:r>
      <w:r w:rsidRPr="009F7935">
        <w:rPr>
          <w:rFonts w:cstheme="minorHAnsi"/>
          <w:bCs/>
          <w:color w:val="FF0000"/>
          <w:szCs w:val="20"/>
        </w:rPr>
        <w:t xml:space="preserve"> </w:t>
      </w:r>
      <w:r>
        <w:rPr>
          <w:rFonts w:cstheme="minorHAnsi"/>
          <w:bCs/>
          <w:color w:val="FF0000"/>
          <w:szCs w:val="20"/>
        </w:rPr>
        <w:t xml:space="preserve">considered </w:t>
      </w:r>
      <w:r w:rsidRPr="009F7935">
        <w:rPr>
          <w:rFonts w:cstheme="minorHAnsi"/>
          <w:bCs/>
          <w:color w:val="FF0000"/>
          <w:szCs w:val="20"/>
        </w:rPr>
        <w:t>valid</w:t>
      </w:r>
      <w:r>
        <w:rPr>
          <w:rFonts w:cstheme="minorHAnsi"/>
          <w:bCs/>
          <w:color w:val="FF0000"/>
          <w:szCs w:val="20"/>
        </w:rPr>
        <w:t xml:space="preserve"> for identifying patients who receive hospice services</w:t>
      </w:r>
      <w:r w:rsidRPr="009F7935">
        <w:rPr>
          <w:rFonts w:cstheme="minorHAnsi"/>
          <w:bCs/>
          <w:color w:val="FF0000"/>
          <w:szCs w:val="20"/>
        </w:rPr>
        <w:t xml:space="preserve">. This measure does not allow for exclusions for patient refusal, provider refusal, or un-specified </w:t>
      </w:r>
      <w:r w:rsidR="00E424E9">
        <w:rPr>
          <w:rFonts w:cstheme="minorHAnsi"/>
          <w:bCs/>
          <w:color w:val="FF0000"/>
          <w:szCs w:val="20"/>
        </w:rPr>
        <w:t>reasons</w:t>
      </w:r>
      <w:r w:rsidRPr="009F7935">
        <w:rPr>
          <w:rFonts w:cstheme="minorHAnsi"/>
          <w:bCs/>
          <w:color w:val="FF0000"/>
          <w:szCs w:val="20"/>
        </w:rPr>
        <w:t>.</w:t>
      </w:r>
    </w:p>
    <w:p w14:paraId="368FF3F9" w14:textId="77777777" w:rsidR="00E424E9" w:rsidRDefault="00E424E9" w:rsidP="00E424E9">
      <w:pPr>
        <w:spacing w:after="0"/>
        <w:rPr>
          <w:rFonts w:cstheme="minorHAnsi"/>
          <w:b/>
          <w:bCs/>
          <w:color w:val="0070C0"/>
          <w:szCs w:val="20"/>
          <w:u w:val="single"/>
        </w:rPr>
      </w:pPr>
    </w:p>
    <w:p w14:paraId="485CE1AC" w14:textId="22E49760" w:rsidR="00E424E9" w:rsidRPr="00E424E9" w:rsidRDefault="00E424E9" w:rsidP="00E424E9">
      <w:pPr>
        <w:spacing w:after="0"/>
        <w:rPr>
          <w:rFonts w:cstheme="minorHAnsi"/>
          <w:bCs/>
          <w:color w:val="0070C0"/>
          <w:szCs w:val="20"/>
          <w:u w:val="single"/>
        </w:rPr>
      </w:pPr>
      <w:r w:rsidRPr="00E424E9">
        <w:rPr>
          <w:rFonts w:cstheme="minorHAnsi"/>
          <w:bCs/>
          <w:color w:val="0070C0"/>
          <w:szCs w:val="20"/>
          <w:u w:val="single"/>
        </w:rPr>
        <w:t>2014 Submission:</w:t>
      </w:r>
    </w:p>
    <w:p w14:paraId="125FCFA1" w14:textId="661BD8B9" w:rsidR="009F7935" w:rsidRPr="00E424E9" w:rsidRDefault="00E424E9" w:rsidP="00E424E9">
      <w:pPr>
        <w:autoSpaceDE w:val="0"/>
        <w:autoSpaceDN w:val="0"/>
        <w:adjustRightInd w:val="0"/>
        <w:rPr>
          <w:rFonts w:cstheme="minorHAnsi"/>
          <w:bCs/>
          <w:color w:val="0070C0"/>
          <w:szCs w:val="20"/>
        </w:rPr>
      </w:pPr>
      <w:r w:rsidRPr="00E424E9">
        <w:rPr>
          <w:rFonts w:cstheme="minorHAnsi"/>
          <w:bCs/>
          <w:color w:val="0070C0"/>
          <w:szCs w:val="20"/>
        </w:rPr>
        <w:t>N/A – no exclusions</w:t>
      </w:r>
    </w:p>
    <w:p w14:paraId="42BA1FDD" w14:textId="77777777" w:rsidR="00D12F41" w:rsidRPr="009F7935" w:rsidRDefault="00092566" w:rsidP="00D12F41">
      <w:pPr>
        <w:autoSpaceDE w:val="0"/>
        <w:autoSpaceDN w:val="0"/>
        <w:adjustRightInd w:val="0"/>
        <w:spacing w:after="0" w:line="240" w:lineRule="auto"/>
        <w:rPr>
          <w:rFonts w:cstheme="minorHAnsi"/>
          <w:bCs/>
          <w:color w:val="FF0000"/>
          <w:szCs w:val="20"/>
          <w:u w:val="single"/>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D12F41" w:rsidRPr="009F7935">
        <w:rPr>
          <w:rFonts w:cstheme="minorHAnsi"/>
          <w:bCs/>
          <w:color w:val="FF0000"/>
          <w:szCs w:val="20"/>
          <w:u w:val="single"/>
        </w:rPr>
        <w:t>2018 Submission:</w:t>
      </w:r>
    </w:p>
    <w:p w14:paraId="0CABCFE6" w14:textId="4856726E" w:rsidR="007422FD" w:rsidRDefault="00D12F41" w:rsidP="00092566">
      <w:pPr>
        <w:autoSpaceDE w:val="0"/>
        <w:autoSpaceDN w:val="0"/>
        <w:adjustRightInd w:val="0"/>
        <w:spacing w:after="0" w:line="240" w:lineRule="auto"/>
        <w:rPr>
          <w:rFonts w:cstheme="minorHAnsi"/>
          <w:bCs/>
          <w:color w:val="FF0000"/>
          <w:szCs w:val="20"/>
        </w:rPr>
      </w:pPr>
      <w:r w:rsidRPr="00D12F41">
        <w:rPr>
          <w:rFonts w:cstheme="minorHAnsi"/>
          <w:bCs/>
          <w:color w:val="FF0000"/>
          <w:szCs w:val="20"/>
        </w:rPr>
        <w:t>NA</w:t>
      </w:r>
    </w:p>
    <w:p w14:paraId="0BDB6A19" w14:textId="77777777" w:rsidR="00E424E9" w:rsidRDefault="00E424E9" w:rsidP="00E424E9">
      <w:pPr>
        <w:spacing w:after="0"/>
        <w:rPr>
          <w:rFonts w:cstheme="minorHAnsi"/>
          <w:bCs/>
          <w:color w:val="0070C0"/>
          <w:szCs w:val="20"/>
          <w:u w:val="single"/>
        </w:rPr>
      </w:pPr>
    </w:p>
    <w:p w14:paraId="5EAD1491" w14:textId="4314B11C" w:rsidR="00E424E9" w:rsidRPr="00E424E9" w:rsidRDefault="00E424E9" w:rsidP="00E424E9">
      <w:pPr>
        <w:spacing w:after="0"/>
        <w:rPr>
          <w:rFonts w:cstheme="minorHAnsi"/>
          <w:bCs/>
          <w:color w:val="0070C0"/>
          <w:szCs w:val="20"/>
          <w:u w:val="single"/>
        </w:rPr>
      </w:pPr>
      <w:r w:rsidRPr="00E424E9">
        <w:rPr>
          <w:rFonts w:cstheme="minorHAnsi"/>
          <w:bCs/>
          <w:color w:val="0070C0"/>
          <w:szCs w:val="20"/>
          <w:u w:val="single"/>
        </w:rPr>
        <w:t>2014 Submission:</w:t>
      </w:r>
    </w:p>
    <w:p w14:paraId="30FAF750" w14:textId="77777777" w:rsidR="00E424E9" w:rsidRPr="00E424E9" w:rsidRDefault="00E424E9" w:rsidP="00E424E9">
      <w:pPr>
        <w:autoSpaceDE w:val="0"/>
        <w:autoSpaceDN w:val="0"/>
        <w:adjustRightInd w:val="0"/>
        <w:rPr>
          <w:rFonts w:cstheme="minorHAnsi"/>
          <w:bCs/>
          <w:color w:val="0070C0"/>
          <w:szCs w:val="20"/>
        </w:rPr>
      </w:pPr>
      <w:r w:rsidRPr="00E424E9">
        <w:rPr>
          <w:rFonts w:cstheme="minorHAnsi"/>
          <w:bCs/>
          <w:color w:val="0070C0"/>
          <w:szCs w:val="20"/>
        </w:rPr>
        <w:t>N/A – no exclusions</w:t>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4CA087C3" w14:textId="77777777" w:rsidR="00D12F41" w:rsidRDefault="00092566" w:rsidP="00DB3627">
      <w:pPr>
        <w:autoSpaceDE w:val="0"/>
        <w:autoSpaceDN w:val="0"/>
        <w:adjustRightInd w:val="0"/>
        <w:spacing w:after="0" w:line="240" w:lineRule="auto"/>
        <w:rPr>
          <w:rFonts w:cstheme="minorHAnsi"/>
          <w:bCs/>
          <w:color w:val="FF0000"/>
          <w:szCs w:val="20"/>
          <w:u w:val="single"/>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D12F41" w:rsidRPr="009F7935">
        <w:rPr>
          <w:rFonts w:cstheme="minorHAnsi"/>
          <w:bCs/>
          <w:color w:val="FF0000"/>
          <w:szCs w:val="20"/>
          <w:u w:val="single"/>
        </w:rPr>
        <w:t>2018 Submission:</w:t>
      </w:r>
    </w:p>
    <w:p w14:paraId="0CABCFE8" w14:textId="65C5A951" w:rsidR="007422FD" w:rsidRDefault="00D12F41" w:rsidP="00DB3627">
      <w:pPr>
        <w:autoSpaceDE w:val="0"/>
        <w:autoSpaceDN w:val="0"/>
        <w:adjustRightInd w:val="0"/>
        <w:spacing w:after="0" w:line="240" w:lineRule="auto"/>
        <w:rPr>
          <w:rFonts w:cstheme="minorHAnsi"/>
          <w:bCs/>
          <w:color w:val="FF0000"/>
          <w:szCs w:val="20"/>
        </w:rPr>
      </w:pPr>
      <w:r w:rsidRPr="00D12F41">
        <w:rPr>
          <w:rFonts w:cstheme="minorHAnsi"/>
          <w:bCs/>
          <w:color w:val="FF0000"/>
          <w:szCs w:val="20"/>
        </w:rPr>
        <w:t>NA</w:t>
      </w:r>
    </w:p>
    <w:p w14:paraId="24F9BF29" w14:textId="77777777" w:rsidR="00E424E9" w:rsidRDefault="00E424E9" w:rsidP="00E424E9">
      <w:pPr>
        <w:spacing w:after="0"/>
        <w:rPr>
          <w:rFonts w:cstheme="minorHAnsi"/>
          <w:bCs/>
          <w:color w:val="0070C0"/>
          <w:szCs w:val="20"/>
          <w:u w:val="single"/>
        </w:rPr>
      </w:pPr>
    </w:p>
    <w:p w14:paraId="4916F59F" w14:textId="2679AD4A" w:rsidR="00E424E9" w:rsidRPr="00E424E9" w:rsidRDefault="00E424E9" w:rsidP="00E424E9">
      <w:pPr>
        <w:spacing w:after="0"/>
        <w:rPr>
          <w:rFonts w:cstheme="minorHAnsi"/>
          <w:bCs/>
          <w:color w:val="0070C0"/>
          <w:szCs w:val="20"/>
          <w:u w:val="single"/>
        </w:rPr>
      </w:pPr>
      <w:r w:rsidRPr="00E424E9">
        <w:rPr>
          <w:rFonts w:cstheme="minorHAnsi"/>
          <w:bCs/>
          <w:color w:val="0070C0"/>
          <w:szCs w:val="20"/>
          <w:u w:val="single"/>
        </w:rPr>
        <w:t>2014 Submission:</w:t>
      </w:r>
    </w:p>
    <w:p w14:paraId="6AFD7572" w14:textId="0AE3B033" w:rsidR="00E424E9" w:rsidRPr="00E424E9" w:rsidRDefault="00E424E9" w:rsidP="00E424E9">
      <w:pPr>
        <w:autoSpaceDE w:val="0"/>
        <w:autoSpaceDN w:val="0"/>
        <w:adjustRightInd w:val="0"/>
        <w:rPr>
          <w:rFonts w:cstheme="minorHAnsi"/>
          <w:bCs/>
          <w:color w:val="0070C0"/>
          <w:szCs w:val="20"/>
        </w:rPr>
      </w:pPr>
      <w:r w:rsidRPr="00E424E9">
        <w:rPr>
          <w:rFonts w:cstheme="minorHAnsi"/>
          <w:bCs/>
          <w:color w:val="0070C0"/>
          <w:szCs w:val="20"/>
        </w:rPr>
        <w:t>N/A – no exclusions</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lastRenderedPageBreak/>
        <w:t>____________________________</w:t>
      </w:r>
    </w:p>
    <w:p w14:paraId="0CABCFEA" w14:textId="1A6C3041" w:rsidR="00AC1D8E" w:rsidRPr="002424D5" w:rsidRDefault="00092566" w:rsidP="00AC1D8E">
      <w:pPr>
        <w:autoSpaceDE w:val="0"/>
        <w:autoSpaceDN w:val="0"/>
        <w:adjustRightInd w:val="0"/>
        <w:spacing w:after="0" w:line="240" w:lineRule="auto"/>
        <w:rPr>
          <w:rFonts w:cstheme="minorHAnsi"/>
          <w:b/>
          <w:bCs/>
          <w:i/>
          <w:color w:val="BFBFBF" w:themeColor="background1" w:themeShade="BF"/>
        </w:rPr>
      </w:pPr>
      <w:bookmarkStart w:id="12" w:name="section2b4"/>
      <w:bookmarkEnd w:id="12"/>
      <w:r w:rsidRPr="002424D5">
        <w:rPr>
          <w:rFonts w:cstheme="minorHAnsi"/>
          <w:b/>
          <w:bCs/>
          <w:color w:val="BFBFBF" w:themeColor="background1" w:themeShade="BF"/>
        </w:rPr>
        <w:t>2b</w:t>
      </w:r>
      <w:r w:rsidR="009C7513" w:rsidRPr="002424D5">
        <w:rPr>
          <w:rFonts w:cstheme="minorHAnsi"/>
          <w:b/>
          <w:bCs/>
          <w:color w:val="BFBFBF" w:themeColor="background1" w:themeShade="BF"/>
        </w:rPr>
        <w:t>3</w:t>
      </w:r>
      <w:r w:rsidRPr="002424D5">
        <w:rPr>
          <w:rFonts w:cstheme="minorHAnsi"/>
          <w:b/>
          <w:bCs/>
          <w:color w:val="BFBFBF" w:themeColor="background1" w:themeShade="BF"/>
        </w:rPr>
        <w:t>. RISK ADJUSTMENT/STRATIFICATION FOR OUTCOME OR RESOURCE USE MEASURES</w:t>
      </w:r>
      <w:r w:rsidRPr="002424D5">
        <w:rPr>
          <w:rFonts w:cstheme="minorHAnsi"/>
          <w:bCs/>
          <w:color w:val="BFBFBF" w:themeColor="background1" w:themeShade="BF"/>
        </w:rPr>
        <w:br/>
      </w:r>
      <w:r w:rsidR="00AC1D8E" w:rsidRPr="002424D5">
        <w:rPr>
          <w:rFonts w:cstheme="minorHAnsi"/>
          <w:b/>
          <w:bCs/>
          <w:i/>
          <w:color w:val="BFBFBF" w:themeColor="background1" w:themeShade="BF"/>
          <w:highlight w:val="green"/>
        </w:rPr>
        <w:t>If not an intermediate or health outcome</w:t>
      </w:r>
      <w:r w:rsidR="00127C06" w:rsidRPr="002424D5">
        <w:rPr>
          <w:rFonts w:cstheme="minorHAnsi"/>
          <w:b/>
          <w:bCs/>
          <w:i/>
          <w:color w:val="BFBFBF" w:themeColor="background1" w:themeShade="BF"/>
          <w:highlight w:val="green"/>
        </w:rPr>
        <w:t>,</w:t>
      </w:r>
      <w:r w:rsidR="00AC1D8E" w:rsidRPr="002424D5">
        <w:rPr>
          <w:rFonts w:cstheme="minorHAnsi"/>
          <w:b/>
          <w:bCs/>
          <w:i/>
          <w:color w:val="BFBFBF" w:themeColor="background1" w:themeShade="BF"/>
          <w:highlight w:val="green"/>
        </w:rPr>
        <w:t xml:space="preserve"> </w:t>
      </w:r>
      <w:r w:rsidR="00127C06" w:rsidRPr="002424D5">
        <w:rPr>
          <w:rFonts w:cstheme="minorHAnsi"/>
          <w:b/>
          <w:bCs/>
          <w:i/>
          <w:color w:val="BFBFBF" w:themeColor="background1" w:themeShade="BF"/>
          <w:highlight w:val="green"/>
        </w:rPr>
        <w:t xml:space="preserve">or PRO-PM, </w:t>
      </w:r>
      <w:r w:rsidR="00AC1D8E" w:rsidRPr="002424D5">
        <w:rPr>
          <w:rFonts w:cstheme="minorHAnsi"/>
          <w:b/>
          <w:bCs/>
          <w:i/>
          <w:color w:val="BFBFBF" w:themeColor="background1" w:themeShade="BF"/>
          <w:highlight w:val="green"/>
        </w:rPr>
        <w:t xml:space="preserve">or resource use measure, </w:t>
      </w:r>
      <w:r w:rsidR="00BE592D" w:rsidRPr="002424D5">
        <w:rPr>
          <w:rFonts w:cstheme="minorHAnsi"/>
          <w:b/>
          <w:bCs/>
          <w:i/>
          <w:color w:val="BFBFBF" w:themeColor="background1" w:themeShade="BF"/>
          <w:highlight w:val="green"/>
        </w:rPr>
        <w:t xml:space="preserve">skip to section </w:t>
      </w:r>
      <w:hyperlink w:anchor="section2b5" w:history="1">
        <w:r w:rsidR="00BE592D" w:rsidRPr="002424D5">
          <w:rPr>
            <w:rStyle w:val="Hyperlink"/>
            <w:rFonts w:cstheme="minorHAnsi"/>
            <w:b/>
            <w:bCs/>
            <w:i/>
            <w:color w:val="BFBFBF" w:themeColor="background1" w:themeShade="BF"/>
            <w:highlight w:val="green"/>
          </w:rPr>
          <w:t>2b</w:t>
        </w:r>
        <w:r w:rsidR="00565946" w:rsidRPr="002424D5">
          <w:rPr>
            <w:rStyle w:val="Hyperlink"/>
            <w:rFonts w:cstheme="minorHAnsi"/>
            <w:b/>
            <w:bCs/>
            <w:i/>
            <w:color w:val="BFBFBF" w:themeColor="background1" w:themeShade="BF"/>
            <w:highlight w:val="green"/>
          </w:rPr>
          <w:t>4</w:t>
        </w:r>
      </w:hyperlink>
      <w:r w:rsidR="00BE592D" w:rsidRPr="002424D5">
        <w:rPr>
          <w:rFonts w:cstheme="minorHAnsi"/>
          <w:b/>
          <w:bCs/>
          <w:i/>
          <w:color w:val="BFBFBF" w:themeColor="background1" w:themeShade="BF"/>
          <w:highlight w:val="green"/>
        </w:rPr>
        <w:t>.</w:t>
      </w:r>
    </w:p>
    <w:p w14:paraId="0CABCFEB" w14:textId="77777777" w:rsidR="008871A9" w:rsidRPr="002424D5" w:rsidRDefault="008871A9" w:rsidP="00092566">
      <w:pPr>
        <w:autoSpaceDE w:val="0"/>
        <w:autoSpaceDN w:val="0"/>
        <w:adjustRightInd w:val="0"/>
        <w:spacing w:after="0" w:line="240" w:lineRule="auto"/>
        <w:rPr>
          <w:rFonts w:cstheme="minorHAnsi"/>
          <w:b/>
          <w:bCs/>
          <w:color w:val="BFBFBF" w:themeColor="background1" w:themeShade="BF"/>
        </w:rPr>
      </w:pPr>
    </w:p>
    <w:p w14:paraId="0CABCFEC" w14:textId="166E6E8B" w:rsidR="00743E46" w:rsidRPr="002424D5" w:rsidRDefault="00092566" w:rsidP="00092566">
      <w:pPr>
        <w:autoSpaceDE w:val="0"/>
        <w:autoSpaceDN w:val="0"/>
        <w:adjustRightInd w:val="0"/>
        <w:spacing w:after="0" w:line="240" w:lineRule="auto"/>
        <w:rPr>
          <w:rFonts w:cstheme="minorHAnsi"/>
          <w:b/>
          <w:bCs/>
          <w:color w:val="BFBFBF" w:themeColor="background1" w:themeShade="BF"/>
        </w:rPr>
      </w:pPr>
      <w:r w:rsidRPr="002424D5">
        <w:rPr>
          <w:rFonts w:cstheme="minorHAnsi"/>
          <w:b/>
          <w:bCs/>
          <w:color w:val="BFBFBF" w:themeColor="background1" w:themeShade="BF"/>
        </w:rPr>
        <w:t>2b</w:t>
      </w:r>
      <w:r w:rsidR="009C7513" w:rsidRPr="002424D5">
        <w:rPr>
          <w:rFonts w:cstheme="minorHAnsi"/>
          <w:b/>
          <w:bCs/>
          <w:color w:val="BFBFBF" w:themeColor="background1" w:themeShade="BF"/>
        </w:rPr>
        <w:t>3</w:t>
      </w:r>
      <w:r w:rsidRPr="002424D5">
        <w:rPr>
          <w:rFonts w:cstheme="minorHAnsi"/>
          <w:b/>
          <w:bCs/>
          <w:color w:val="BFBFBF" w:themeColor="background1" w:themeShade="BF"/>
        </w:rPr>
        <w:t xml:space="preserve">.1. </w:t>
      </w:r>
      <w:r w:rsidR="00743E46" w:rsidRPr="002424D5">
        <w:rPr>
          <w:rFonts w:cstheme="minorHAnsi"/>
          <w:b/>
          <w:bCs/>
          <w:color w:val="BFBFBF" w:themeColor="background1" w:themeShade="BF"/>
        </w:rPr>
        <w:t>What method of controlling for differences in case mix is used?</w:t>
      </w:r>
    </w:p>
    <w:p w14:paraId="0CABCFED" w14:textId="39702635" w:rsidR="00033038" w:rsidRPr="002424D5" w:rsidRDefault="002424D5" w:rsidP="00092566">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1450705013"/>
          <w14:checkbox>
            <w14:checked w14:val="1"/>
            <w14:checkedState w14:val="2612" w14:font="MS Gothic"/>
            <w14:uncheckedState w14:val="2610" w14:font="MS Gothic"/>
          </w14:checkbox>
        </w:sdtPr>
        <w:sdtEndPr>
          <w:rPr>
            <w:color w:val="BFBFBF" w:themeColor="background1" w:themeShade="BF"/>
          </w:rPr>
        </w:sdtEndPr>
        <w:sdtContent>
          <w:r w:rsidR="00D12F41" w:rsidRPr="002424D5">
            <w:rPr>
              <w:rFonts w:ascii="MS Gothic" w:eastAsia="MS Gothic" w:hAnsi="MS Gothic" w:cstheme="minorHAnsi" w:hint="eastAsia"/>
              <w:bCs/>
              <w:color w:val="BFBFBF" w:themeColor="background1" w:themeShade="BF"/>
            </w:rPr>
            <w:t>☒</w:t>
          </w:r>
        </w:sdtContent>
      </w:sdt>
      <w:r w:rsidR="00033038" w:rsidRPr="002424D5">
        <w:rPr>
          <w:rFonts w:eastAsia="MS Mincho" w:cstheme="minorHAnsi"/>
          <w:b/>
          <w:bCs/>
          <w:color w:val="BFBFBF" w:themeColor="background1" w:themeShade="BF"/>
        </w:rPr>
        <w:t xml:space="preserve"> </w:t>
      </w:r>
      <w:r w:rsidR="00033038" w:rsidRPr="002424D5">
        <w:rPr>
          <w:rFonts w:cstheme="minorHAnsi"/>
          <w:b/>
          <w:bCs/>
          <w:color w:val="BFBFBF" w:themeColor="background1" w:themeShade="BF"/>
        </w:rPr>
        <w:t>No risk adjustment or stratification</w:t>
      </w:r>
    </w:p>
    <w:p w14:paraId="0CABCFEE" w14:textId="77777777" w:rsidR="00743E46" w:rsidRPr="002424D5" w:rsidRDefault="002424D5" w:rsidP="00092566">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912162535"/>
          <w14:checkbox>
            <w14:checked w14:val="0"/>
            <w14:checkedState w14:val="2612" w14:font="MS Gothic"/>
            <w14:uncheckedState w14:val="2610" w14:font="MS Gothic"/>
          </w14:checkbox>
        </w:sdtPr>
        <w:sdtEndPr>
          <w:rPr>
            <w:color w:val="BFBFBF" w:themeColor="background1" w:themeShade="BF"/>
          </w:rPr>
        </w:sdtEndPr>
        <w:sdtContent>
          <w:r w:rsidR="006574D2" w:rsidRPr="002424D5">
            <w:rPr>
              <w:rFonts w:ascii="MS Gothic" w:eastAsia="MS Gothic" w:cstheme="minorHAnsi" w:hint="eastAsia"/>
              <w:bCs/>
              <w:color w:val="BFBFBF" w:themeColor="background1" w:themeShade="BF"/>
            </w:rPr>
            <w:t>☐</w:t>
          </w:r>
        </w:sdtContent>
      </w:sdt>
      <w:r w:rsidR="006574D2" w:rsidRPr="002424D5">
        <w:rPr>
          <w:rFonts w:cstheme="minorHAnsi"/>
          <w:bCs/>
          <w:color w:val="BFBFBF" w:themeColor="background1" w:themeShade="BF"/>
        </w:rPr>
        <w:t xml:space="preserve"> </w:t>
      </w:r>
      <w:r w:rsidR="00743E46" w:rsidRPr="002424D5">
        <w:rPr>
          <w:rFonts w:cstheme="minorHAnsi"/>
          <w:b/>
          <w:bCs/>
          <w:color w:val="BFBFBF" w:themeColor="background1" w:themeShade="BF"/>
        </w:rPr>
        <w:t xml:space="preserve">Statistical risk model with </w:t>
      </w:r>
      <w:sdt>
        <w:sdtPr>
          <w:rPr>
            <w:rStyle w:val="Style4"/>
            <w:color w:val="BFBFBF" w:themeColor="background1" w:themeShade="BF"/>
            <w:u w:val="none"/>
          </w:rPr>
          <w:id w:val="309760327"/>
          <w:showingPlcHdr/>
          <w:text/>
        </w:sdtPr>
        <w:sdtEndPr>
          <w:rPr>
            <w:rStyle w:val="DefaultParagraphFont"/>
            <w:rFonts w:asciiTheme="minorHAnsi" w:hAnsiTheme="minorHAnsi" w:cstheme="minorHAnsi"/>
            <w:b w:val="0"/>
            <w:bCs/>
            <w:color w:val="BFBFBF" w:themeColor="background1" w:themeShade="BF"/>
          </w:rPr>
        </w:sdtEndPr>
        <w:sdtContent>
          <w:r w:rsidR="00E562C0" w:rsidRPr="002424D5">
            <w:rPr>
              <w:rStyle w:val="PlaceholderText"/>
              <w:color w:val="BFBFBF" w:themeColor="background1" w:themeShade="BF"/>
            </w:rPr>
            <w:t>Click here to enter number of factors</w:t>
          </w:r>
        </w:sdtContent>
      </w:sdt>
      <w:r w:rsidR="00E562C0" w:rsidRPr="002424D5">
        <w:rPr>
          <w:rStyle w:val="Style4"/>
          <w:color w:val="BFBFBF" w:themeColor="background1" w:themeShade="BF"/>
          <w:u w:val="none"/>
        </w:rPr>
        <w:t xml:space="preserve"> </w:t>
      </w:r>
      <w:r w:rsidR="00743E46" w:rsidRPr="002424D5">
        <w:rPr>
          <w:rFonts w:cstheme="minorHAnsi"/>
          <w:b/>
          <w:bCs/>
          <w:color w:val="BFBFBF" w:themeColor="background1" w:themeShade="BF"/>
        </w:rPr>
        <w:t>risk factors</w:t>
      </w:r>
    </w:p>
    <w:p w14:paraId="0CABCFEF" w14:textId="77777777" w:rsidR="00743E46" w:rsidRPr="002424D5" w:rsidRDefault="002424D5" w:rsidP="00092566">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1831823302"/>
          <w14:checkbox>
            <w14:checked w14:val="0"/>
            <w14:checkedState w14:val="2612" w14:font="MS Gothic"/>
            <w14:uncheckedState w14:val="2610" w14:font="MS Gothic"/>
          </w14:checkbox>
        </w:sdtPr>
        <w:sdtEndPr>
          <w:rPr>
            <w:color w:val="BFBFBF" w:themeColor="background1" w:themeShade="BF"/>
          </w:rPr>
        </w:sdtEndPr>
        <w:sdtContent>
          <w:r w:rsidR="006574D2" w:rsidRPr="002424D5">
            <w:rPr>
              <w:rFonts w:ascii="MS Gothic" w:eastAsia="MS Gothic" w:cstheme="minorHAnsi" w:hint="eastAsia"/>
              <w:bCs/>
              <w:color w:val="BFBFBF" w:themeColor="background1" w:themeShade="BF"/>
            </w:rPr>
            <w:t>☐</w:t>
          </w:r>
        </w:sdtContent>
      </w:sdt>
      <w:r w:rsidR="000414E8" w:rsidRPr="002424D5">
        <w:rPr>
          <w:rFonts w:eastAsia="MS Mincho" w:cstheme="minorHAnsi"/>
          <w:b/>
          <w:bCs/>
          <w:color w:val="BFBFBF" w:themeColor="background1" w:themeShade="BF"/>
        </w:rPr>
        <w:t xml:space="preserve"> </w:t>
      </w:r>
      <w:r w:rsidR="00743E46" w:rsidRPr="002424D5">
        <w:rPr>
          <w:rFonts w:cstheme="minorHAnsi"/>
          <w:b/>
          <w:bCs/>
          <w:color w:val="BFBFBF" w:themeColor="background1" w:themeShade="BF"/>
        </w:rPr>
        <w:t xml:space="preserve">Stratification by </w:t>
      </w:r>
      <w:sdt>
        <w:sdtPr>
          <w:rPr>
            <w:rStyle w:val="Style4"/>
            <w:color w:val="BFBFBF" w:themeColor="background1" w:themeShade="BF"/>
            <w:u w:val="none"/>
          </w:rPr>
          <w:id w:val="-52006544"/>
          <w:showingPlcHdr/>
          <w:text/>
        </w:sdtPr>
        <w:sdtEndPr>
          <w:rPr>
            <w:rStyle w:val="DefaultParagraphFont"/>
            <w:rFonts w:asciiTheme="minorHAnsi" w:hAnsiTheme="minorHAnsi" w:cstheme="minorHAnsi"/>
            <w:b w:val="0"/>
            <w:bCs/>
            <w:color w:val="BFBFBF" w:themeColor="background1" w:themeShade="BF"/>
          </w:rPr>
        </w:sdtEndPr>
        <w:sdtContent>
          <w:r w:rsidR="00E562C0" w:rsidRPr="002424D5">
            <w:rPr>
              <w:rStyle w:val="PlaceholderText"/>
              <w:color w:val="BFBFBF" w:themeColor="background1" w:themeShade="BF"/>
            </w:rPr>
            <w:t>Click here to enter number of categories</w:t>
          </w:r>
        </w:sdtContent>
      </w:sdt>
      <w:r w:rsidR="00E562C0" w:rsidRPr="002424D5">
        <w:rPr>
          <w:rStyle w:val="Style4"/>
          <w:color w:val="BFBFBF" w:themeColor="background1" w:themeShade="BF"/>
          <w:u w:val="none"/>
        </w:rPr>
        <w:t xml:space="preserve"> </w:t>
      </w:r>
      <w:r w:rsidR="00C33F2E" w:rsidRPr="002424D5">
        <w:rPr>
          <w:rFonts w:cstheme="minorHAnsi"/>
          <w:b/>
          <w:bCs/>
          <w:color w:val="BFBFBF" w:themeColor="background1" w:themeShade="BF"/>
        </w:rPr>
        <w:t xml:space="preserve">risk </w:t>
      </w:r>
      <w:r w:rsidR="00743E46" w:rsidRPr="002424D5">
        <w:rPr>
          <w:rFonts w:cstheme="minorHAnsi"/>
          <w:b/>
          <w:bCs/>
          <w:color w:val="BFBFBF" w:themeColor="background1" w:themeShade="BF"/>
        </w:rPr>
        <w:t>categories</w:t>
      </w:r>
    </w:p>
    <w:p w14:paraId="0CABCFF0" w14:textId="77777777" w:rsidR="00743E46" w:rsidRPr="002424D5" w:rsidRDefault="002424D5" w:rsidP="00092566">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2076930997"/>
          <w14:checkbox>
            <w14:checked w14:val="0"/>
            <w14:checkedState w14:val="2612" w14:font="MS Gothic"/>
            <w14:uncheckedState w14:val="2610" w14:font="MS Gothic"/>
          </w14:checkbox>
        </w:sdtPr>
        <w:sdtEndPr>
          <w:rPr>
            <w:color w:val="BFBFBF" w:themeColor="background1" w:themeShade="BF"/>
          </w:rPr>
        </w:sdtEndPr>
        <w:sdtContent>
          <w:r w:rsidR="006574D2" w:rsidRPr="002424D5">
            <w:rPr>
              <w:rFonts w:ascii="MS Gothic" w:eastAsia="MS Gothic" w:cstheme="minorHAnsi" w:hint="eastAsia"/>
              <w:bCs/>
              <w:color w:val="BFBFBF" w:themeColor="background1" w:themeShade="BF"/>
            </w:rPr>
            <w:t>☐</w:t>
          </w:r>
        </w:sdtContent>
      </w:sdt>
      <w:r w:rsidR="000414E8" w:rsidRPr="002424D5">
        <w:rPr>
          <w:rFonts w:eastAsia="MS Mincho" w:cstheme="minorHAnsi"/>
          <w:b/>
          <w:bCs/>
          <w:color w:val="BFBFBF" w:themeColor="background1" w:themeShade="BF"/>
        </w:rPr>
        <w:t xml:space="preserve"> </w:t>
      </w:r>
      <w:r w:rsidR="00743E46" w:rsidRPr="002424D5">
        <w:rPr>
          <w:rFonts w:cstheme="minorHAnsi"/>
          <w:b/>
          <w:bCs/>
          <w:color w:val="BFBFBF" w:themeColor="background1" w:themeShade="BF"/>
        </w:rPr>
        <w:t xml:space="preserve">Other, </w:t>
      </w:r>
      <w:sdt>
        <w:sdtPr>
          <w:rPr>
            <w:rStyle w:val="Style1"/>
            <w:color w:val="BFBFBF" w:themeColor="background1" w:themeShade="BF"/>
          </w:rPr>
          <w:id w:val="-1471512333"/>
          <w:showingPlcHdr/>
          <w:text/>
        </w:sdtPr>
        <w:sdtEndPr>
          <w:rPr>
            <w:rStyle w:val="DefaultParagraphFont"/>
            <w:rFonts w:cstheme="minorHAnsi"/>
            <w:b/>
            <w:bCs/>
            <w:color w:val="BFBFBF" w:themeColor="background1" w:themeShade="BF"/>
          </w:rPr>
        </w:sdtEndPr>
        <w:sdtContent>
          <w:r w:rsidR="00E562C0" w:rsidRPr="002424D5">
            <w:rPr>
              <w:rStyle w:val="PlaceholderText"/>
              <w:color w:val="BFBFBF" w:themeColor="background1" w:themeShade="BF"/>
            </w:rPr>
            <w:t>Click here to enter description</w:t>
          </w:r>
        </w:sdtContent>
      </w:sdt>
    </w:p>
    <w:p w14:paraId="0CABCFF1" w14:textId="77777777" w:rsidR="00743E46" w:rsidRPr="002424D5" w:rsidRDefault="00743E46" w:rsidP="00092566">
      <w:pPr>
        <w:autoSpaceDE w:val="0"/>
        <w:autoSpaceDN w:val="0"/>
        <w:adjustRightInd w:val="0"/>
        <w:spacing w:after="0" w:line="240" w:lineRule="auto"/>
        <w:rPr>
          <w:rFonts w:cstheme="minorHAnsi"/>
          <w:b/>
          <w:bCs/>
          <w:color w:val="BFBFBF" w:themeColor="background1" w:themeShade="BF"/>
        </w:rPr>
      </w:pPr>
    </w:p>
    <w:p w14:paraId="0CABCFF2" w14:textId="7B192693" w:rsidR="00092566" w:rsidRPr="002424D5" w:rsidRDefault="000B7D57" w:rsidP="00F34FAB">
      <w:pPr>
        <w:autoSpaceDE w:val="0"/>
        <w:autoSpaceDN w:val="0"/>
        <w:adjustRightInd w:val="0"/>
        <w:spacing w:after="0" w:line="240" w:lineRule="auto"/>
        <w:rPr>
          <w:rFonts w:cstheme="minorHAnsi"/>
          <w:bCs/>
          <w:color w:val="BFBFBF" w:themeColor="background1" w:themeShade="BF"/>
        </w:rPr>
      </w:pPr>
      <w:r w:rsidRPr="002424D5">
        <w:rPr>
          <w:rFonts w:cstheme="minorHAnsi"/>
          <w:b/>
          <w:bCs/>
          <w:color w:val="BFBFBF" w:themeColor="background1" w:themeShade="BF"/>
        </w:rPr>
        <w:t>2b</w:t>
      </w:r>
      <w:r w:rsidR="009C7513" w:rsidRPr="002424D5">
        <w:rPr>
          <w:rFonts w:cstheme="minorHAnsi"/>
          <w:b/>
          <w:bCs/>
          <w:color w:val="BFBFBF" w:themeColor="background1" w:themeShade="BF"/>
        </w:rPr>
        <w:t>3</w:t>
      </w:r>
      <w:r w:rsidRPr="002424D5">
        <w:rPr>
          <w:rFonts w:cstheme="minorHAnsi"/>
          <w:b/>
          <w:bCs/>
          <w:color w:val="BFBFBF" w:themeColor="background1" w:themeShade="BF"/>
        </w:rPr>
        <w:t xml:space="preserve">.1.1 </w:t>
      </w:r>
      <w:r w:rsidR="00F34FAB" w:rsidRPr="002424D5">
        <w:rPr>
          <w:rFonts w:ascii="Calibri" w:eastAsia="MS Mincho" w:hAnsi="Calibri" w:cs="Calibri"/>
          <w:b/>
          <w:bCs/>
          <w:color w:val="BFBFBF" w:themeColor="background1" w:themeShade="BF"/>
        </w:rPr>
        <w:t xml:space="preserve">If using a statistical risk model, provide detailed risk model specifications, including the risk model method, risk factors, coefficients, equations, codes with descriptors, and definitions. </w:t>
      </w:r>
    </w:p>
    <w:p w14:paraId="521BDA1C" w14:textId="77777777" w:rsidR="00D12F41" w:rsidRPr="002424D5" w:rsidRDefault="00D12F41" w:rsidP="00D12F41">
      <w:pPr>
        <w:spacing w:after="0" w:line="240" w:lineRule="auto"/>
        <w:rPr>
          <w:rFonts w:cs="Times New Roman"/>
          <w:bCs/>
          <w:color w:val="BFBFBF" w:themeColor="background1" w:themeShade="BF"/>
          <w:u w:val="single"/>
        </w:rPr>
      </w:pPr>
    </w:p>
    <w:p w14:paraId="3D435A7F" w14:textId="09432D87" w:rsidR="00D12F41" w:rsidRPr="002424D5" w:rsidRDefault="009C7513" w:rsidP="00D12F41">
      <w:pPr>
        <w:spacing w:after="0" w:line="240" w:lineRule="auto"/>
        <w:rPr>
          <w:rFonts w:cs="Calibri"/>
          <w:bCs/>
          <w:color w:val="BFBFBF" w:themeColor="background1" w:themeShade="BF"/>
        </w:rPr>
      </w:pPr>
      <w:r w:rsidRPr="002424D5">
        <w:rPr>
          <w:rFonts w:cs="Calibri"/>
          <w:b/>
          <w:bCs/>
          <w:color w:val="BFBFBF" w:themeColor="background1" w:themeShade="BF"/>
        </w:rPr>
        <w:t>2b3</w:t>
      </w:r>
      <w:r w:rsidR="009D3882" w:rsidRPr="002424D5">
        <w:rPr>
          <w:rFonts w:cs="Calibri"/>
          <w:b/>
          <w:bCs/>
          <w:color w:val="BFBFBF" w:themeColor="background1" w:themeShade="BF"/>
        </w:rPr>
        <w:t xml:space="preserve">.2. If an outcome or resource use component measure is </w:t>
      </w:r>
      <w:r w:rsidR="009D3882" w:rsidRPr="002424D5">
        <w:rPr>
          <w:rFonts w:cs="Calibri"/>
          <w:b/>
          <w:bCs/>
          <w:color w:val="BFBFBF" w:themeColor="background1" w:themeShade="BF"/>
          <w:u w:val="single"/>
        </w:rPr>
        <w:t>not risk adjusted or stratified</w:t>
      </w:r>
      <w:r w:rsidR="009D3882" w:rsidRPr="002424D5">
        <w:rPr>
          <w:rFonts w:cs="Calibri"/>
          <w:b/>
          <w:bCs/>
          <w:color w:val="BFBFBF" w:themeColor="background1" w:themeShade="BF"/>
        </w:rPr>
        <w:t xml:space="preserve">, provide </w:t>
      </w:r>
      <w:r w:rsidR="009D3882" w:rsidRPr="002424D5">
        <w:rPr>
          <w:rFonts w:cs="Calibri"/>
          <w:b/>
          <w:bCs/>
          <w:color w:val="BFBFBF" w:themeColor="background1" w:themeShade="BF"/>
          <w:u w:val="single"/>
        </w:rPr>
        <w:t>rationale and analyses</w:t>
      </w:r>
      <w:r w:rsidR="009D3882" w:rsidRPr="002424D5">
        <w:rPr>
          <w:rFonts w:cs="Calibri"/>
          <w:b/>
          <w:bCs/>
          <w:color w:val="BFBFBF" w:themeColor="background1" w:themeShade="BF"/>
        </w:rPr>
        <w:t xml:space="preserve"> to demonstrate that controlling for differences in patient characteristics (case mix) is not needed to achieve fair comparisons across measured entities</w:t>
      </w:r>
      <w:r w:rsidR="009D3882" w:rsidRPr="002424D5">
        <w:rPr>
          <w:rFonts w:cs="Calibri"/>
          <w:bCs/>
          <w:color w:val="BFBFBF" w:themeColor="background1" w:themeShade="BF"/>
        </w:rPr>
        <w:t xml:space="preserve">. </w:t>
      </w:r>
      <w:r w:rsidR="009D3882" w:rsidRPr="002424D5">
        <w:rPr>
          <w:rFonts w:cs="Calibri"/>
          <w:bCs/>
          <w:color w:val="BFBFBF" w:themeColor="background1" w:themeShade="BF"/>
        </w:rPr>
        <w:br/>
      </w:r>
    </w:p>
    <w:p w14:paraId="0CABCFF4" w14:textId="72F05C9F" w:rsidR="009D3882" w:rsidRPr="002424D5" w:rsidRDefault="009D3882" w:rsidP="009D3882">
      <w:pPr>
        <w:rPr>
          <w:rFonts w:cstheme="minorHAnsi"/>
          <w:b/>
          <w:bCs/>
          <w:color w:val="BFBFBF" w:themeColor="background1" w:themeShade="BF"/>
          <w:sz w:val="14"/>
        </w:rPr>
      </w:pPr>
    </w:p>
    <w:p w14:paraId="0CABCFF6" w14:textId="512D9AB7" w:rsidR="00001D73" w:rsidRPr="002424D5" w:rsidRDefault="009C7513" w:rsidP="00D12F41">
      <w:pPr>
        <w:spacing w:after="0" w:line="240" w:lineRule="auto"/>
        <w:rPr>
          <w:rFonts w:cs="Calibri"/>
          <w:bCs/>
          <w:color w:val="BFBFBF" w:themeColor="background1" w:themeShade="BF"/>
        </w:rPr>
      </w:pPr>
      <w:r w:rsidRPr="002424D5">
        <w:rPr>
          <w:rFonts w:cstheme="minorHAnsi"/>
          <w:b/>
          <w:bCs/>
          <w:color w:val="BFBFBF" w:themeColor="background1" w:themeShade="BF"/>
        </w:rPr>
        <w:t>2b3</w:t>
      </w:r>
      <w:r w:rsidR="00092566" w:rsidRPr="002424D5">
        <w:rPr>
          <w:rFonts w:cstheme="minorHAnsi"/>
          <w:b/>
          <w:bCs/>
          <w:color w:val="BFBFBF" w:themeColor="background1" w:themeShade="BF"/>
        </w:rPr>
        <w:t>.3</w:t>
      </w:r>
      <w:r w:rsidR="00275563" w:rsidRPr="002424D5">
        <w:rPr>
          <w:rFonts w:cstheme="minorHAnsi"/>
          <w:b/>
          <w:bCs/>
          <w:color w:val="BFBFBF" w:themeColor="background1" w:themeShade="BF"/>
        </w:rPr>
        <w:t>a</w:t>
      </w:r>
      <w:r w:rsidR="00092566" w:rsidRPr="002424D5">
        <w:rPr>
          <w:rFonts w:cstheme="minorHAnsi"/>
          <w:b/>
          <w:bCs/>
          <w:color w:val="BFBFBF" w:themeColor="background1" w:themeShade="BF"/>
        </w:rPr>
        <w:t xml:space="preserve">. </w:t>
      </w:r>
      <w:r w:rsidR="00927027" w:rsidRPr="002424D5">
        <w:rPr>
          <w:rFonts w:cstheme="minorHAnsi"/>
          <w:b/>
          <w:bCs/>
          <w:color w:val="BFBFBF" w:themeColor="background1" w:themeShade="BF"/>
        </w:rPr>
        <w:t>Describe</w:t>
      </w:r>
      <w:r w:rsidR="00092566" w:rsidRPr="002424D5">
        <w:rPr>
          <w:rFonts w:cstheme="minorHAnsi"/>
          <w:b/>
          <w:bCs/>
          <w:color w:val="BFBFBF" w:themeColor="background1" w:themeShade="BF"/>
        </w:rPr>
        <w:t xml:space="preserve"> the conceptual/clinical </w:t>
      </w:r>
      <w:r w:rsidR="00092566" w:rsidRPr="002424D5">
        <w:rPr>
          <w:rFonts w:cstheme="minorHAnsi"/>
          <w:b/>
          <w:bCs/>
          <w:color w:val="BFBFBF" w:themeColor="background1" w:themeShade="BF"/>
          <w:u w:val="single"/>
        </w:rPr>
        <w:t>and</w:t>
      </w:r>
      <w:r w:rsidR="00092566" w:rsidRPr="002424D5">
        <w:rPr>
          <w:rFonts w:cstheme="minorHAnsi"/>
          <w:b/>
          <w:bCs/>
          <w:color w:val="BFBFBF" w:themeColor="background1" w:themeShade="BF"/>
        </w:rPr>
        <w:t xml:space="preserve"> statistical methods and criteria used to select </w:t>
      </w:r>
      <w:r w:rsidR="005363F1" w:rsidRPr="002424D5">
        <w:rPr>
          <w:rFonts w:cstheme="minorHAnsi"/>
          <w:b/>
          <w:bCs/>
          <w:color w:val="BFBFBF" w:themeColor="background1" w:themeShade="BF"/>
        </w:rPr>
        <w:t xml:space="preserve">patient </w:t>
      </w:r>
      <w:r w:rsidR="00092566" w:rsidRPr="002424D5">
        <w:rPr>
          <w:rFonts w:cstheme="minorHAnsi"/>
          <w:b/>
          <w:bCs/>
          <w:color w:val="BFBFBF" w:themeColor="background1" w:themeShade="BF"/>
        </w:rPr>
        <w:t xml:space="preserve">factors </w:t>
      </w:r>
      <w:r w:rsidR="0021054A" w:rsidRPr="002424D5">
        <w:rPr>
          <w:rFonts w:cstheme="minorHAnsi"/>
          <w:b/>
          <w:bCs/>
          <w:color w:val="BFBFBF" w:themeColor="background1" w:themeShade="BF"/>
        </w:rPr>
        <w:t>(</w:t>
      </w:r>
      <w:r w:rsidR="00E967AD" w:rsidRPr="002424D5">
        <w:rPr>
          <w:rFonts w:cstheme="minorHAnsi"/>
          <w:b/>
          <w:bCs/>
          <w:color w:val="BFBFBF" w:themeColor="background1" w:themeShade="BF"/>
        </w:rPr>
        <w:t xml:space="preserve">clinical factors or </w:t>
      </w:r>
      <w:r w:rsidR="00AF2D68" w:rsidRPr="002424D5">
        <w:rPr>
          <w:rFonts w:cstheme="minorHAnsi"/>
          <w:b/>
          <w:bCs/>
          <w:color w:val="BFBFBF" w:themeColor="background1" w:themeShade="BF"/>
        </w:rPr>
        <w:t xml:space="preserve">social risk </w:t>
      </w:r>
      <w:r w:rsidR="0021054A" w:rsidRPr="002424D5">
        <w:rPr>
          <w:rFonts w:cstheme="minorHAnsi"/>
          <w:b/>
          <w:bCs/>
          <w:color w:val="BFBFBF" w:themeColor="background1" w:themeShade="BF"/>
        </w:rPr>
        <w:t xml:space="preserve">factors) </w:t>
      </w:r>
      <w:r w:rsidR="00092566" w:rsidRPr="002424D5">
        <w:rPr>
          <w:rFonts w:cstheme="minorHAnsi"/>
          <w:b/>
          <w:bCs/>
          <w:color w:val="BFBFBF" w:themeColor="background1" w:themeShade="BF"/>
        </w:rPr>
        <w:t>used in the statistical risk model or for stratification by risk</w:t>
      </w:r>
      <w:r w:rsidR="00927027" w:rsidRPr="002424D5">
        <w:rPr>
          <w:rFonts w:cstheme="minorHAnsi"/>
          <w:b/>
          <w:bCs/>
          <w:color w:val="BFBFBF" w:themeColor="background1" w:themeShade="BF"/>
        </w:rPr>
        <w:t xml:space="preserve"> </w:t>
      </w:r>
      <w:r w:rsidR="00092566" w:rsidRPr="002424D5">
        <w:rPr>
          <w:rFonts w:cstheme="minorHAnsi"/>
          <w:bCs/>
          <w:color w:val="BFBFBF" w:themeColor="background1" w:themeShade="BF"/>
        </w:rPr>
        <w:t>(</w:t>
      </w:r>
      <w:r w:rsidR="00092566" w:rsidRPr="002424D5">
        <w:rPr>
          <w:rFonts w:cstheme="minorHAnsi"/>
          <w:bCs/>
          <w:i/>
          <w:color w:val="BFBFBF" w:themeColor="background1" w:themeShade="BF"/>
        </w:rPr>
        <w:t xml:space="preserve">e.g., potential factors identified in </w:t>
      </w:r>
      <w:r w:rsidR="005363F1" w:rsidRPr="002424D5">
        <w:rPr>
          <w:rFonts w:cstheme="minorHAnsi"/>
          <w:bCs/>
          <w:i/>
          <w:color w:val="BFBFBF" w:themeColor="background1" w:themeShade="BF"/>
        </w:rPr>
        <w:t xml:space="preserve">the </w:t>
      </w:r>
      <w:r w:rsidR="00092566" w:rsidRPr="002424D5">
        <w:rPr>
          <w:rFonts w:cstheme="minorHAnsi"/>
          <w:bCs/>
          <w:i/>
          <w:color w:val="BFBFBF" w:themeColor="background1" w:themeShade="BF"/>
        </w:rPr>
        <w:t>literature and/or expert panel; regression analysis; statistical significance of p&lt;0.10; correlation of x or higher</w:t>
      </w:r>
      <w:r w:rsidR="005363F1" w:rsidRPr="002424D5">
        <w:rPr>
          <w:rFonts w:cstheme="minorHAnsi"/>
          <w:bCs/>
          <w:i/>
          <w:color w:val="BFBFBF" w:themeColor="background1" w:themeShade="BF"/>
        </w:rPr>
        <w:t>; patient factors should be present at the start of care</w:t>
      </w:r>
      <w:r w:rsidR="00092566" w:rsidRPr="002424D5">
        <w:rPr>
          <w:rFonts w:cstheme="minorHAnsi"/>
          <w:bCs/>
          <w:color w:val="BFBFBF" w:themeColor="background1" w:themeShade="BF"/>
        </w:rPr>
        <w:t>)</w:t>
      </w:r>
      <w:r w:rsidR="00AF2D68" w:rsidRPr="002424D5">
        <w:rPr>
          <w:rFonts w:cstheme="minorHAnsi"/>
          <w:bCs/>
          <w:color w:val="BFBFBF" w:themeColor="background1" w:themeShade="BF"/>
        </w:rPr>
        <w:t xml:space="preserve">  </w:t>
      </w:r>
      <w:r w:rsidR="00AF2D68" w:rsidRPr="002424D5">
        <w:rPr>
          <w:rFonts w:cstheme="minorHAnsi"/>
          <w:b/>
          <w:bCs/>
          <w:color w:val="BFBFBF" w:themeColor="background1" w:themeShade="BF"/>
        </w:rPr>
        <w:t>Also discuss any “ordering” of risk factor inclusion</w:t>
      </w:r>
      <w:r w:rsidR="00CE284E" w:rsidRPr="002424D5">
        <w:rPr>
          <w:rFonts w:cstheme="minorHAnsi"/>
          <w:bCs/>
          <w:color w:val="BFBFBF" w:themeColor="background1" w:themeShade="BF"/>
        </w:rPr>
        <w:t>; for example, a</w:t>
      </w:r>
      <w:r w:rsidR="00AF2D68" w:rsidRPr="002424D5">
        <w:rPr>
          <w:rFonts w:cstheme="minorHAnsi"/>
          <w:bCs/>
          <w:color w:val="BFBFBF" w:themeColor="background1" w:themeShade="BF"/>
        </w:rPr>
        <w:t>re social risk factors added after all clinical factors?</w:t>
      </w:r>
      <w:r w:rsidR="00092566" w:rsidRPr="002424D5">
        <w:rPr>
          <w:rFonts w:cstheme="minorHAnsi"/>
          <w:bCs/>
          <w:color w:val="BFBFBF" w:themeColor="background1" w:themeShade="BF"/>
        </w:rPr>
        <w:br/>
      </w:r>
    </w:p>
    <w:p w14:paraId="4260792A" w14:textId="019483A8" w:rsidR="00275563" w:rsidRPr="002424D5" w:rsidRDefault="00275563" w:rsidP="00001D73">
      <w:pPr>
        <w:autoSpaceDE w:val="0"/>
        <w:autoSpaceDN w:val="0"/>
        <w:adjustRightInd w:val="0"/>
        <w:spacing w:after="0" w:line="240" w:lineRule="auto"/>
        <w:rPr>
          <w:rFonts w:cstheme="minorHAnsi"/>
          <w:b/>
          <w:bCs/>
          <w:color w:val="BFBFBF" w:themeColor="background1" w:themeShade="BF"/>
        </w:rPr>
      </w:pPr>
      <w:r w:rsidRPr="002424D5">
        <w:rPr>
          <w:rFonts w:cstheme="minorHAnsi"/>
          <w:b/>
          <w:bCs/>
          <w:color w:val="BFBFBF" w:themeColor="background1" w:themeShade="BF"/>
        </w:rPr>
        <w:t xml:space="preserve">2b3.3b. How was the conceptual model </w:t>
      </w:r>
      <w:r w:rsidR="00CE284E" w:rsidRPr="002424D5">
        <w:rPr>
          <w:rFonts w:cstheme="minorHAnsi"/>
          <w:b/>
          <w:bCs/>
          <w:color w:val="BFBFBF" w:themeColor="background1" w:themeShade="BF"/>
        </w:rPr>
        <w:t xml:space="preserve">of how social risk impacts this outcome </w:t>
      </w:r>
      <w:r w:rsidRPr="002424D5">
        <w:rPr>
          <w:rFonts w:cstheme="minorHAnsi"/>
          <w:b/>
          <w:bCs/>
          <w:color w:val="BFBFBF" w:themeColor="background1" w:themeShade="BF"/>
        </w:rPr>
        <w:t>developed?  Please check all that apply:</w:t>
      </w:r>
    </w:p>
    <w:p w14:paraId="2B47DA83" w14:textId="30659D6E" w:rsidR="00275563" w:rsidRPr="002424D5" w:rsidRDefault="002424D5" w:rsidP="00275563">
      <w:pPr>
        <w:tabs>
          <w:tab w:val="left" w:pos="180"/>
        </w:tabs>
        <w:autoSpaceDE w:val="0"/>
        <w:autoSpaceDN w:val="0"/>
        <w:adjustRightInd w:val="0"/>
        <w:spacing w:after="0" w:line="240" w:lineRule="auto"/>
        <w:ind w:left="180"/>
        <w:rPr>
          <w:rFonts w:cstheme="minorHAnsi"/>
          <w:b/>
          <w:bCs/>
          <w:color w:val="BFBFBF" w:themeColor="background1" w:themeShade="BF"/>
        </w:rPr>
      </w:pPr>
      <w:sdt>
        <w:sdtPr>
          <w:rPr>
            <w:rFonts w:cstheme="minorHAnsi"/>
            <w:bCs/>
            <w:color w:val="BFBFBF" w:themeColor="background1" w:themeShade="BF"/>
          </w:rPr>
          <w:id w:val="-319728797"/>
          <w14:checkbox>
            <w14:checked w14:val="0"/>
            <w14:checkedState w14:val="2612" w14:font="MS Gothic"/>
            <w14:uncheckedState w14:val="2610" w14:font="MS Gothic"/>
          </w14:checkbox>
        </w:sdtPr>
        <w:sdtEndPr>
          <w:rPr>
            <w:color w:val="BFBFBF" w:themeColor="background1" w:themeShade="BF"/>
          </w:rPr>
        </w:sdtEndPr>
        <w:sdtContent>
          <w:r w:rsidR="00275563" w:rsidRPr="002424D5">
            <w:rPr>
              <w:rFonts w:ascii="MS Gothic" w:eastAsia="MS Gothic" w:hAnsi="MS Gothic" w:cstheme="minorHAnsi" w:hint="eastAsia"/>
              <w:bCs/>
              <w:color w:val="BFBFBF" w:themeColor="background1" w:themeShade="BF"/>
            </w:rPr>
            <w:t>☐</w:t>
          </w:r>
        </w:sdtContent>
      </w:sdt>
      <w:r w:rsidR="00275563" w:rsidRPr="002424D5">
        <w:rPr>
          <w:rFonts w:eastAsia="MS Mincho" w:cstheme="minorHAnsi"/>
          <w:b/>
          <w:bCs/>
          <w:color w:val="BFBFBF" w:themeColor="background1" w:themeShade="BF"/>
        </w:rPr>
        <w:t xml:space="preserve"> </w:t>
      </w:r>
      <w:r w:rsidR="00CE284E" w:rsidRPr="002424D5">
        <w:rPr>
          <w:rFonts w:cstheme="minorHAnsi"/>
          <w:b/>
          <w:bCs/>
          <w:color w:val="BFBFBF" w:themeColor="background1" w:themeShade="BF"/>
        </w:rPr>
        <w:t>Published l</w:t>
      </w:r>
      <w:r w:rsidR="00275563" w:rsidRPr="002424D5">
        <w:rPr>
          <w:rFonts w:cstheme="minorHAnsi"/>
          <w:b/>
          <w:bCs/>
          <w:color w:val="BFBFBF" w:themeColor="background1" w:themeShade="BF"/>
        </w:rPr>
        <w:t>iterature</w:t>
      </w:r>
    </w:p>
    <w:p w14:paraId="7E969A3E" w14:textId="6BA683BB" w:rsidR="00275563" w:rsidRPr="002424D5" w:rsidRDefault="002424D5" w:rsidP="00275563">
      <w:pPr>
        <w:tabs>
          <w:tab w:val="left" w:pos="180"/>
        </w:tabs>
        <w:autoSpaceDE w:val="0"/>
        <w:autoSpaceDN w:val="0"/>
        <w:adjustRightInd w:val="0"/>
        <w:spacing w:after="0" w:line="240" w:lineRule="auto"/>
        <w:ind w:left="180"/>
        <w:rPr>
          <w:rFonts w:cstheme="minorHAnsi"/>
          <w:b/>
          <w:bCs/>
          <w:color w:val="BFBFBF" w:themeColor="background1" w:themeShade="BF"/>
        </w:rPr>
      </w:pPr>
      <w:sdt>
        <w:sdtPr>
          <w:rPr>
            <w:rFonts w:cstheme="minorHAnsi"/>
            <w:bCs/>
            <w:color w:val="BFBFBF" w:themeColor="background1" w:themeShade="BF"/>
          </w:rPr>
          <w:id w:val="1418363777"/>
          <w14:checkbox>
            <w14:checked w14:val="0"/>
            <w14:checkedState w14:val="2612" w14:font="MS Gothic"/>
            <w14:uncheckedState w14:val="2610" w14:font="MS Gothic"/>
          </w14:checkbox>
        </w:sdtPr>
        <w:sdtEndPr>
          <w:rPr>
            <w:color w:val="BFBFBF" w:themeColor="background1" w:themeShade="BF"/>
          </w:rPr>
        </w:sdtEndPr>
        <w:sdtContent>
          <w:r w:rsidR="00275563" w:rsidRPr="002424D5">
            <w:rPr>
              <w:rFonts w:ascii="MS Gothic" w:eastAsia="MS Gothic" w:hAnsi="MS Gothic" w:cstheme="minorHAnsi" w:hint="eastAsia"/>
              <w:bCs/>
              <w:color w:val="BFBFBF" w:themeColor="background1" w:themeShade="BF"/>
            </w:rPr>
            <w:t>☐</w:t>
          </w:r>
        </w:sdtContent>
      </w:sdt>
      <w:r w:rsidR="00275563" w:rsidRPr="002424D5">
        <w:rPr>
          <w:rFonts w:cstheme="minorHAnsi"/>
          <w:bCs/>
          <w:color w:val="BFBFBF" w:themeColor="background1" w:themeShade="BF"/>
        </w:rPr>
        <w:t xml:space="preserve"> </w:t>
      </w:r>
      <w:r w:rsidR="00CE284E" w:rsidRPr="002424D5">
        <w:rPr>
          <w:rFonts w:cstheme="minorHAnsi"/>
          <w:b/>
          <w:bCs/>
          <w:color w:val="BFBFBF" w:themeColor="background1" w:themeShade="BF"/>
        </w:rPr>
        <w:t>Internal d</w:t>
      </w:r>
      <w:r w:rsidR="00275563" w:rsidRPr="002424D5">
        <w:rPr>
          <w:rFonts w:cstheme="minorHAnsi"/>
          <w:b/>
          <w:bCs/>
          <w:color w:val="BFBFBF" w:themeColor="background1" w:themeShade="BF"/>
        </w:rPr>
        <w:t>ata</w:t>
      </w:r>
      <w:r w:rsidR="00CE284E" w:rsidRPr="002424D5">
        <w:rPr>
          <w:rFonts w:cstheme="minorHAnsi"/>
          <w:b/>
          <w:bCs/>
          <w:color w:val="BFBFBF" w:themeColor="background1" w:themeShade="BF"/>
        </w:rPr>
        <w:t xml:space="preserve"> analysis</w:t>
      </w:r>
    </w:p>
    <w:p w14:paraId="72A847BD" w14:textId="1489D6C2" w:rsidR="00275563" w:rsidRPr="002424D5" w:rsidRDefault="002424D5" w:rsidP="00275563">
      <w:pPr>
        <w:tabs>
          <w:tab w:val="left" w:pos="180"/>
        </w:tabs>
        <w:autoSpaceDE w:val="0"/>
        <w:autoSpaceDN w:val="0"/>
        <w:adjustRightInd w:val="0"/>
        <w:spacing w:after="0" w:line="240" w:lineRule="auto"/>
        <w:ind w:left="180"/>
        <w:rPr>
          <w:rFonts w:cstheme="minorHAnsi"/>
          <w:b/>
          <w:bCs/>
          <w:color w:val="BFBFBF" w:themeColor="background1" w:themeShade="BF"/>
        </w:rPr>
      </w:pPr>
      <w:sdt>
        <w:sdtPr>
          <w:rPr>
            <w:rFonts w:cstheme="minorHAnsi"/>
            <w:bCs/>
            <w:color w:val="BFBFBF" w:themeColor="background1" w:themeShade="BF"/>
          </w:rPr>
          <w:id w:val="776755179"/>
          <w14:checkbox>
            <w14:checked w14:val="0"/>
            <w14:checkedState w14:val="2612" w14:font="MS Gothic"/>
            <w14:uncheckedState w14:val="2610" w14:font="MS Gothic"/>
          </w14:checkbox>
        </w:sdtPr>
        <w:sdtEndPr>
          <w:rPr>
            <w:color w:val="BFBFBF" w:themeColor="background1" w:themeShade="BF"/>
          </w:rPr>
        </w:sdtEndPr>
        <w:sdtContent>
          <w:r w:rsidR="00275563" w:rsidRPr="002424D5">
            <w:rPr>
              <w:rFonts w:ascii="MS Gothic" w:eastAsia="MS Gothic" w:cstheme="minorHAnsi" w:hint="eastAsia"/>
              <w:bCs/>
              <w:color w:val="BFBFBF" w:themeColor="background1" w:themeShade="BF"/>
            </w:rPr>
            <w:t>☐</w:t>
          </w:r>
        </w:sdtContent>
      </w:sdt>
      <w:r w:rsidR="00275563" w:rsidRPr="002424D5">
        <w:rPr>
          <w:rFonts w:eastAsia="MS Mincho" w:cstheme="minorHAnsi"/>
          <w:b/>
          <w:bCs/>
          <w:color w:val="BFBFBF" w:themeColor="background1" w:themeShade="BF"/>
        </w:rPr>
        <w:t xml:space="preserve"> </w:t>
      </w:r>
      <w:r w:rsidR="00275563" w:rsidRPr="002424D5">
        <w:rPr>
          <w:rFonts w:cstheme="minorHAnsi"/>
          <w:b/>
          <w:bCs/>
          <w:color w:val="BFBFBF" w:themeColor="background1" w:themeShade="BF"/>
        </w:rPr>
        <w:t>Other (please describe)</w:t>
      </w:r>
    </w:p>
    <w:p w14:paraId="7C5644B4" w14:textId="77777777" w:rsidR="00275563" w:rsidRPr="002424D5" w:rsidRDefault="00275563" w:rsidP="00001D73">
      <w:pPr>
        <w:autoSpaceDE w:val="0"/>
        <w:autoSpaceDN w:val="0"/>
        <w:adjustRightInd w:val="0"/>
        <w:spacing w:after="0" w:line="240" w:lineRule="auto"/>
        <w:rPr>
          <w:rFonts w:cstheme="minorHAnsi"/>
          <w:b/>
          <w:bCs/>
          <w:color w:val="BFBFBF" w:themeColor="background1" w:themeShade="BF"/>
        </w:rPr>
      </w:pPr>
    </w:p>
    <w:p w14:paraId="0CABCFF7" w14:textId="6194BACA" w:rsidR="00092566" w:rsidRPr="002424D5" w:rsidRDefault="009C7513" w:rsidP="00D12F41">
      <w:pPr>
        <w:spacing w:after="0" w:line="240" w:lineRule="auto"/>
        <w:rPr>
          <w:rFonts w:cs="Calibri"/>
          <w:bCs/>
          <w:color w:val="BFBFBF" w:themeColor="background1" w:themeShade="BF"/>
        </w:rPr>
      </w:pPr>
      <w:r w:rsidRPr="002424D5">
        <w:rPr>
          <w:rFonts w:cstheme="minorHAnsi"/>
          <w:b/>
          <w:bCs/>
          <w:color w:val="BFBFBF" w:themeColor="background1" w:themeShade="BF"/>
        </w:rPr>
        <w:t>2b3</w:t>
      </w:r>
      <w:r w:rsidR="00092566" w:rsidRPr="002424D5">
        <w:rPr>
          <w:rFonts w:cstheme="minorHAnsi"/>
          <w:b/>
          <w:bCs/>
          <w:color w:val="BFBFBF" w:themeColor="background1" w:themeShade="BF"/>
        </w:rPr>
        <w:t>.4</w:t>
      </w:r>
      <w:r w:rsidR="00193F21" w:rsidRPr="002424D5">
        <w:rPr>
          <w:rFonts w:cstheme="minorHAnsi"/>
          <w:b/>
          <w:bCs/>
          <w:color w:val="BFBFBF" w:themeColor="background1" w:themeShade="BF"/>
        </w:rPr>
        <w:t>a</w:t>
      </w:r>
      <w:r w:rsidR="00092566" w:rsidRPr="002424D5">
        <w:rPr>
          <w:rFonts w:cstheme="minorHAnsi"/>
          <w:b/>
          <w:bCs/>
          <w:color w:val="BFBFBF" w:themeColor="background1" w:themeShade="BF"/>
        </w:rPr>
        <w:t>. What were the statistical results of the analyses used to select risk factors?</w:t>
      </w:r>
      <w:r w:rsidR="00001D73" w:rsidRPr="002424D5">
        <w:rPr>
          <w:rFonts w:cstheme="minorHAnsi"/>
          <w:b/>
          <w:bCs/>
          <w:color w:val="BFBFBF" w:themeColor="background1" w:themeShade="BF"/>
        </w:rPr>
        <w:br/>
      </w:r>
    </w:p>
    <w:p w14:paraId="0CABCFF8" w14:textId="350A0D85" w:rsidR="00001D73" w:rsidRPr="002424D5" w:rsidRDefault="009C7513" w:rsidP="00001D73">
      <w:pPr>
        <w:autoSpaceDE w:val="0"/>
        <w:autoSpaceDN w:val="0"/>
        <w:adjustRightInd w:val="0"/>
        <w:spacing w:after="0" w:line="240" w:lineRule="auto"/>
        <w:rPr>
          <w:rFonts w:cstheme="minorHAnsi"/>
          <w:b/>
          <w:bCs/>
          <w:color w:val="BFBFBF" w:themeColor="background1" w:themeShade="BF"/>
        </w:rPr>
      </w:pPr>
      <w:r w:rsidRPr="002424D5">
        <w:rPr>
          <w:rFonts w:cstheme="minorHAnsi"/>
          <w:b/>
          <w:bCs/>
          <w:color w:val="BFBFBF" w:themeColor="background1" w:themeShade="BF"/>
        </w:rPr>
        <w:t>2b3</w:t>
      </w:r>
      <w:r w:rsidR="00C1695E" w:rsidRPr="002424D5">
        <w:rPr>
          <w:rFonts w:cstheme="minorHAnsi"/>
          <w:b/>
          <w:bCs/>
          <w:color w:val="BFBFBF" w:themeColor="background1" w:themeShade="BF"/>
        </w:rPr>
        <w:t xml:space="preserve">.4b. Describe the analyses and interpretation resulting in the decision to select </w:t>
      </w:r>
      <w:r w:rsidR="00AF2D68" w:rsidRPr="002424D5">
        <w:rPr>
          <w:rFonts w:cstheme="minorHAnsi"/>
          <w:b/>
          <w:bCs/>
          <w:color w:val="BFBFBF" w:themeColor="background1" w:themeShade="BF"/>
        </w:rPr>
        <w:t>social risk</w:t>
      </w:r>
      <w:r w:rsidR="00C1695E" w:rsidRPr="002424D5">
        <w:rPr>
          <w:rFonts w:cstheme="minorHAnsi"/>
          <w:b/>
          <w:bCs/>
          <w:color w:val="BFBFBF" w:themeColor="background1" w:themeShade="BF"/>
        </w:rPr>
        <w:t xml:space="preserve"> factors </w:t>
      </w:r>
      <w:r w:rsidR="00C1695E" w:rsidRPr="002424D5">
        <w:rPr>
          <w:rFonts w:cstheme="minorHAnsi"/>
          <w:bCs/>
          <w:i/>
          <w:color w:val="BFBFBF" w:themeColor="background1" w:themeShade="BF"/>
        </w:rPr>
        <w:t>(e.g. prevalence of the factor across measured entities, empirical association with the outcome, contribution of unique variation in the outcome, assessment of between-unit effects and within-unit effects</w:t>
      </w:r>
      <w:r w:rsidR="00CE284E" w:rsidRPr="002424D5">
        <w:rPr>
          <w:rFonts w:cstheme="minorHAnsi"/>
          <w:bCs/>
          <w:i/>
          <w:color w:val="BFBFBF" w:themeColor="background1" w:themeShade="BF"/>
        </w:rPr>
        <w:t xml:space="preserve">.)  </w:t>
      </w:r>
      <w:r w:rsidR="00CE284E" w:rsidRPr="002424D5">
        <w:rPr>
          <w:rFonts w:cstheme="minorHAnsi"/>
          <w:b/>
          <w:bCs/>
          <w:color w:val="BFBFBF" w:themeColor="background1" w:themeShade="BF"/>
        </w:rPr>
        <w:t>Also describe the</w:t>
      </w:r>
      <w:r w:rsidR="00AF2D68" w:rsidRPr="002424D5">
        <w:rPr>
          <w:rFonts w:cstheme="minorHAnsi"/>
          <w:b/>
          <w:bCs/>
          <w:color w:val="BFBFBF" w:themeColor="background1" w:themeShade="BF"/>
        </w:rPr>
        <w:t xml:space="preserve"> impact of adjusting for social risk (or not) on providers</w:t>
      </w:r>
      <w:r w:rsidR="00CE284E" w:rsidRPr="002424D5">
        <w:rPr>
          <w:rFonts w:cstheme="minorHAnsi"/>
          <w:b/>
          <w:bCs/>
          <w:color w:val="BFBFBF" w:themeColor="background1" w:themeShade="BF"/>
        </w:rPr>
        <w:t xml:space="preserve"> at high or low extremes of risk.</w:t>
      </w:r>
    </w:p>
    <w:p w14:paraId="7F9BE9E2" w14:textId="77777777" w:rsidR="00D12F41" w:rsidRPr="002424D5" w:rsidRDefault="00D12F41" w:rsidP="00D12F41">
      <w:pPr>
        <w:spacing w:after="0" w:line="240" w:lineRule="auto"/>
        <w:rPr>
          <w:rFonts w:cs="Times New Roman"/>
          <w:bCs/>
          <w:color w:val="BFBFBF" w:themeColor="background1" w:themeShade="BF"/>
          <w:u w:val="single"/>
        </w:rPr>
      </w:pPr>
    </w:p>
    <w:p w14:paraId="0CABCFFA" w14:textId="04B63981" w:rsidR="00092566" w:rsidRPr="002424D5" w:rsidRDefault="009C7513" w:rsidP="00D12F41">
      <w:pPr>
        <w:spacing w:after="0" w:line="240" w:lineRule="auto"/>
        <w:rPr>
          <w:rFonts w:cs="Calibri"/>
          <w:bCs/>
          <w:color w:val="BFBFBF" w:themeColor="background1" w:themeShade="BF"/>
        </w:rPr>
      </w:pPr>
      <w:r w:rsidRPr="002424D5">
        <w:rPr>
          <w:rFonts w:cstheme="minorHAnsi"/>
          <w:b/>
          <w:bCs/>
          <w:color w:val="BFBFBF" w:themeColor="background1" w:themeShade="BF"/>
        </w:rPr>
        <w:t>2b3</w:t>
      </w:r>
      <w:r w:rsidR="00E1508F" w:rsidRPr="002424D5">
        <w:rPr>
          <w:rFonts w:cstheme="minorHAnsi"/>
          <w:b/>
          <w:bCs/>
          <w:color w:val="BFBFBF" w:themeColor="background1" w:themeShade="BF"/>
        </w:rPr>
        <w:t>.</w:t>
      </w:r>
      <w:r w:rsidR="00092566" w:rsidRPr="002424D5">
        <w:rPr>
          <w:rFonts w:cstheme="minorHAnsi"/>
          <w:b/>
          <w:bCs/>
          <w:color w:val="BFBFBF" w:themeColor="background1" w:themeShade="BF"/>
        </w:rPr>
        <w:t xml:space="preserve">5. </w:t>
      </w:r>
      <w:r w:rsidR="008871A9" w:rsidRPr="002424D5">
        <w:rPr>
          <w:rFonts w:cstheme="minorHAnsi"/>
          <w:b/>
          <w:bCs/>
          <w:color w:val="BFBFBF" w:themeColor="background1" w:themeShade="BF"/>
        </w:rPr>
        <w:t>Describe the method of</w:t>
      </w:r>
      <w:r w:rsidR="00092566" w:rsidRPr="002424D5">
        <w:rPr>
          <w:rFonts w:cstheme="minorHAnsi"/>
          <w:b/>
          <w:bCs/>
          <w:color w:val="BFBFBF" w:themeColor="background1" w:themeShade="BF"/>
        </w:rPr>
        <w:t xml:space="preserve"> </w:t>
      </w:r>
      <w:r w:rsidR="008871A9" w:rsidRPr="002424D5">
        <w:rPr>
          <w:rFonts w:cstheme="minorHAnsi"/>
          <w:b/>
          <w:bCs/>
          <w:color w:val="BFBFBF" w:themeColor="background1" w:themeShade="BF"/>
        </w:rPr>
        <w:t xml:space="preserve">testing/analysis used </w:t>
      </w:r>
      <w:r w:rsidR="00092566" w:rsidRPr="002424D5">
        <w:rPr>
          <w:rFonts w:cstheme="minorHAnsi"/>
          <w:b/>
          <w:bCs/>
          <w:color w:val="BFBFBF" w:themeColor="background1" w:themeShade="BF"/>
        </w:rPr>
        <w:t xml:space="preserve">to develop and validate the adequacy of the statistical model </w:t>
      </w:r>
      <w:r w:rsidR="00092566" w:rsidRPr="002424D5">
        <w:rPr>
          <w:rFonts w:cstheme="minorHAnsi"/>
          <w:b/>
          <w:bCs/>
          <w:color w:val="BFBFBF" w:themeColor="background1" w:themeShade="BF"/>
          <w:u w:val="single"/>
        </w:rPr>
        <w:t>or</w:t>
      </w:r>
      <w:r w:rsidR="00092566" w:rsidRPr="002424D5">
        <w:rPr>
          <w:rFonts w:cstheme="minorHAnsi"/>
          <w:b/>
          <w:bCs/>
          <w:color w:val="BFBFBF" w:themeColor="background1" w:themeShade="BF"/>
        </w:rPr>
        <w:t xml:space="preserve"> stratification approach</w:t>
      </w:r>
      <w:r w:rsidR="00092566" w:rsidRPr="002424D5">
        <w:rPr>
          <w:rFonts w:cstheme="minorHAnsi"/>
          <w:bCs/>
          <w:color w:val="BFBFBF" w:themeColor="background1" w:themeShade="BF"/>
        </w:rPr>
        <w:t xml:space="preserve"> (</w:t>
      </w:r>
      <w:r w:rsidR="008871A9" w:rsidRPr="002424D5">
        <w:rPr>
          <w:rFonts w:cstheme="minorHAnsi"/>
          <w:bCs/>
          <w:i/>
          <w:color w:val="BFBFBF" w:themeColor="background1" w:themeShade="BF"/>
        </w:rPr>
        <w:t>describe the steps―do not just name a method</w:t>
      </w:r>
      <w:r w:rsidR="006C3A4F" w:rsidRPr="002424D5">
        <w:rPr>
          <w:rFonts w:cstheme="minorHAnsi"/>
          <w:bCs/>
          <w:i/>
          <w:color w:val="BFBFBF" w:themeColor="background1" w:themeShade="BF"/>
        </w:rPr>
        <w:t>; what statistical analysis was used</w:t>
      </w:r>
      <w:r w:rsidR="00092566" w:rsidRPr="002424D5">
        <w:rPr>
          <w:rFonts w:cstheme="minorHAnsi"/>
          <w:bCs/>
          <w:color w:val="BFBFBF" w:themeColor="background1" w:themeShade="BF"/>
        </w:rPr>
        <w:t>)</w:t>
      </w:r>
      <w:r w:rsidR="00092566" w:rsidRPr="002424D5">
        <w:rPr>
          <w:rFonts w:cstheme="minorHAnsi"/>
          <w:bCs/>
          <w:color w:val="BFBFBF" w:themeColor="background1" w:themeShade="BF"/>
        </w:rPr>
        <w:br/>
      </w:r>
    </w:p>
    <w:p w14:paraId="0CABCFFB" w14:textId="78FCA6D3" w:rsidR="00E1508F" w:rsidRPr="002424D5" w:rsidRDefault="00001D73" w:rsidP="00092566">
      <w:pPr>
        <w:autoSpaceDE w:val="0"/>
        <w:autoSpaceDN w:val="0"/>
        <w:adjustRightInd w:val="0"/>
        <w:spacing w:after="0" w:line="240" w:lineRule="auto"/>
        <w:rPr>
          <w:rFonts w:cstheme="minorHAnsi"/>
          <w:b/>
          <w:bCs/>
          <w:color w:val="BFBFBF" w:themeColor="background1" w:themeShade="BF"/>
        </w:rPr>
      </w:pPr>
      <w:r w:rsidRPr="002424D5">
        <w:rPr>
          <w:rFonts w:cstheme="minorHAnsi"/>
          <w:bCs/>
          <w:i/>
          <w:color w:val="BFBFBF" w:themeColor="background1" w:themeShade="BF"/>
        </w:rPr>
        <w:t>Provide</w:t>
      </w:r>
      <w:r w:rsidR="00092566" w:rsidRPr="002424D5">
        <w:rPr>
          <w:rFonts w:cstheme="minorHAnsi"/>
          <w:bCs/>
          <w:i/>
          <w:color w:val="BFBFBF" w:themeColor="background1" w:themeShade="BF"/>
        </w:rPr>
        <w:t xml:space="preserve"> the statistical results from testing the approach to controlling for differences in patient characteristics (case mix)</w:t>
      </w:r>
      <w:r w:rsidRPr="002424D5">
        <w:rPr>
          <w:rFonts w:cstheme="minorHAnsi"/>
          <w:bCs/>
          <w:i/>
          <w:color w:val="BFBFBF" w:themeColor="background1" w:themeShade="BF"/>
        </w:rPr>
        <w:t xml:space="preserve"> below</w:t>
      </w:r>
      <w:r w:rsidRPr="002424D5">
        <w:rPr>
          <w:rFonts w:cstheme="minorHAnsi"/>
          <w:bCs/>
          <w:color w:val="BFBFBF" w:themeColor="background1" w:themeShade="BF"/>
        </w:rPr>
        <w:t>.</w:t>
      </w:r>
      <w:r w:rsidR="00092566" w:rsidRPr="002424D5">
        <w:rPr>
          <w:rFonts w:cstheme="minorHAnsi"/>
          <w:bCs/>
          <w:color w:val="BFBFBF" w:themeColor="background1" w:themeShade="BF"/>
        </w:rPr>
        <w:br/>
      </w:r>
      <w:r w:rsidR="001F7A20" w:rsidRPr="002424D5">
        <w:rPr>
          <w:rFonts w:cstheme="minorHAnsi"/>
          <w:b/>
          <w:bCs/>
          <w:i/>
          <w:color w:val="BFBFBF" w:themeColor="background1" w:themeShade="BF"/>
        </w:rPr>
        <w:t>If</w:t>
      </w:r>
      <w:r w:rsidR="00743E46" w:rsidRPr="002424D5">
        <w:rPr>
          <w:rFonts w:cstheme="minorHAnsi"/>
          <w:b/>
          <w:bCs/>
          <w:i/>
          <w:color w:val="BFBFBF" w:themeColor="background1" w:themeShade="BF"/>
        </w:rPr>
        <w:t xml:space="preserve"> stratified, skip to </w:t>
      </w:r>
      <w:hyperlink w:anchor="question2b49" w:history="1">
        <w:r w:rsidR="009C7513" w:rsidRPr="002424D5">
          <w:rPr>
            <w:rStyle w:val="Hyperlink"/>
            <w:rFonts w:cstheme="minorHAnsi"/>
            <w:b/>
            <w:bCs/>
            <w:i/>
            <w:color w:val="BFBFBF" w:themeColor="background1" w:themeShade="BF"/>
          </w:rPr>
          <w:t>2b3.9</w:t>
        </w:r>
      </w:hyperlink>
    </w:p>
    <w:p w14:paraId="07712CCC" w14:textId="77777777" w:rsidR="00D12F41" w:rsidRPr="002424D5" w:rsidRDefault="00D12F41" w:rsidP="00D12F41">
      <w:pPr>
        <w:spacing w:after="0" w:line="240" w:lineRule="auto"/>
        <w:rPr>
          <w:rFonts w:cs="Times New Roman"/>
          <w:bCs/>
          <w:color w:val="BFBFBF" w:themeColor="background1" w:themeShade="BF"/>
          <w:u w:val="single"/>
        </w:rPr>
      </w:pPr>
    </w:p>
    <w:p w14:paraId="0CABCFFD" w14:textId="75DBDCAC" w:rsidR="00001D73" w:rsidRPr="002424D5" w:rsidRDefault="00743E46" w:rsidP="00D12F41">
      <w:pPr>
        <w:spacing w:after="0" w:line="240" w:lineRule="auto"/>
        <w:rPr>
          <w:rFonts w:cs="Calibri"/>
          <w:bCs/>
          <w:color w:val="BFBFBF" w:themeColor="background1" w:themeShade="BF"/>
        </w:rPr>
      </w:pPr>
      <w:r w:rsidRPr="002424D5">
        <w:rPr>
          <w:rFonts w:cstheme="minorHAnsi"/>
          <w:b/>
          <w:bCs/>
          <w:color w:val="BFBFBF" w:themeColor="background1" w:themeShade="BF"/>
        </w:rPr>
        <w:lastRenderedPageBreak/>
        <w:t>2b</w:t>
      </w:r>
      <w:r w:rsidR="009C7513" w:rsidRPr="002424D5">
        <w:rPr>
          <w:rFonts w:cstheme="minorHAnsi"/>
          <w:b/>
          <w:bCs/>
          <w:color w:val="BFBFBF" w:themeColor="background1" w:themeShade="BF"/>
        </w:rPr>
        <w:t>3</w:t>
      </w:r>
      <w:r w:rsidRPr="002424D5">
        <w:rPr>
          <w:rFonts w:cstheme="minorHAnsi"/>
          <w:b/>
          <w:bCs/>
          <w:color w:val="BFBFBF" w:themeColor="background1" w:themeShade="BF"/>
        </w:rPr>
        <w:t xml:space="preserve">.6. </w:t>
      </w:r>
      <w:r w:rsidR="00001D73" w:rsidRPr="002424D5">
        <w:rPr>
          <w:rFonts w:cstheme="minorHAnsi"/>
          <w:b/>
          <w:bCs/>
          <w:color w:val="BFBFBF" w:themeColor="background1" w:themeShade="BF"/>
        </w:rPr>
        <w:t xml:space="preserve">Statistical </w:t>
      </w:r>
      <w:r w:rsidR="00092566" w:rsidRPr="002424D5">
        <w:rPr>
          <w:rFonts w:cstheme="minorHAnsi"/>
          <w:b/>
          <w:bCs/>
          <w:color w:val="BFBFBF" w:themeColor="background1" w:themeShade="BF"/>
        </w:rPr>
        <w:t>Risk Model Discrimination Statistics</w:t>
      </w:r>
      <w:r w:rsidR="003605B4" w:rsidRPr="002424D5">
        <w:rPr>
          <w:rFonts w:cstheme="minorHAnsi"/>
          <w:bCs/>
          <w:color w:val="BFBFBF" w:themeColor="background1" w:themeShade="BF"/>
        </w:rPr>
        <w:t xml:space="preserve"> (</w:t>
      </w:r>
      <w:r w:rsidR="003605B4" w:rsidRPr="002424D5">
        <w:rPr>
          <w:rFonts w:cstheme="minorHAnsi"/>
          <w:bCs/>
          <w:i/>
          <w:color w:val="BFBFBF" w:themeColor="background1" w:themeShade="BF"/>
        </w:rPr>
        <w:t>e.g., c-statistic, R-squared</w:t>
      </w:r>
      <w:r w:rsidR="003605B4" w:rsidRPr="002424D5">
        <w:rPr>
          <w:rFonts w:cstheme="minorHAnsi"/>
          <w:bCs/>
          <w:color w:val="BFBFBF" w:themeColor="background1" w:themeShade="BF"/>
        </w:rPr>
        <w:t>)</w:t>
      </w:r>
      <w:r w:rsidRPr="002424D5">
        <w:rPr>
          <w:rFonts w:cstheme="minorHAnsi"/>
          <w:b/>
          <w:bCs/>
          <w:color w:val="BFBFBF" w:themeColor="background1" w:themeShade="BF"/>
        </w:rPr>
        <w:t>:</w:t>
      </w:r>
      <w:r w:rsidR="00092566" w:rsidRPr="002424D5">
        <w:rPr>
          <w:rFonts w:cstheme="minorHAnsi"/>
          <w:b/>
          <w:bCs/>
          <w:color w:val="BFBFBF" w:themeColor="background1" w:themeShade="BF"/>
        </w:rPr>
        <w:t xml:space="preserve">  </w:t>
      </w:r>
      <w:r w:rsidR="00092566" w:rsidRPr="002424D5">
        <w:rPr>
          <w:rFonts w:cstheme="minorHAnsi"/>
          <w:b/>
          <w:color w:val="BFBFBF" w:themeColor="background1" w:themeShade="BF"/>
        </w:rPr>
        <w:br/>
      </w:r>
    </w:p>
    <w:p w14:paraId="0CABCFFE" w14:textId="0D5AB3A3" w:rsidR="00001D73" w:rsidRPr="002424D5" w:rsidRDefault="009C7513" w:rsidP="00D12F41">
      <w:pPr>
        <w:spacing w:after="0" w:line="240" w:lineRule="auto"/>
        <w:rPr>
          <w:rFonts w:cs="Calibri"/>
          <w:bCs/>
          <w:color w:val="BFBFBF" w:themeColor="background1" w:themeShade="BF"/>
        </w:rPr>
      </w:pPr>
      <w:r w:rsidRPr="002424D5">
        <w:rPr>
          <w:rFonts w:cstheme="minorHAnsi"/>
          <w:b/>
          <w:bCs/>
          <w:color w:val="BFBFBF" w:themeColor="background1" w:themeShade="BF"/>
        </w:rPr>
        <w:t>2b3</w:t>
      </w:r>
      <w:r w:rsidR="00743E46" w:rsidRPr="002424D5">
        <w:rPr>
          <w:rFonts w:cstheme="minorHAnsi"/>
          <w:b/>
          <w:bCs/>
          <w:color w:val="BFBFBF" w:themeColor="background1" w:themeShade="BF"/>
        </w:rPr>
        <w:t>.7</w:t>
      </w:r>
      <w:r w:rsidR="00001D73" w:rsidRPr="002424D5">
        <w:rPr>
          <w:rFonts w:cstheme="minorHAnsi"/>
          <w:b/>
          <w:bCs/>
          <w:color w:val="BFBFBF" w:themeColor="background1" w:themeShade="BF"/>
        </w:rPr>
        <w:t xml:space="preserve">. </w:t>
      </w:r>
      <w:r w:rsidR="00743E46" w:rsidRPr="002424D5">
        <w:rPr>
          <w:rFonts w:cstheme="minorHAnsi"/>
          <w:b/>
          <w:bCs/>
          <w:color w:val="BFBFBF" w:themeColor="background1" w:themeShade="BF"/>
        </w:rPr>
        <w:t xml:space="preserve">Statistical </w:t>
      </w:r>
      <w:r w:rsidR="00092566" w:rsidRPr="002424D5">
        <w:rPr>
          <w:rFonts w:cstheme="minorHAnsi"/>
          <w:b/>
          <w:bCs/>
          <w:color w:val="BFBFBF" w:themeColor="background1" w:themeShade="BF"/>
        </w:rPr>
        <w:t>Risk Model Calibration Statistics</w:t>
      </w:r>
      <w:r w:rsidR="003605B4" w:rsidRPr="002424D5">
        <w:rPr>
          <w:rFonts w:cstheme="minorHAnsi"/>
          <w:b/>
          <w:bCs/>
          <w:color w:val="BFBFBF" w:themeColor="background1" w:themeShade="BF"/>
        </w:rPr>
        <w:t xml:space="preserve"> </w:t>
      </w:r>
      <w:r w:rsidR="003605B4" w:rsidRPr="002424D5">
        <w:rPr>
          <w:rFonts w:cstheme="minorHAnsi"/>
          <w:bCs/>
          <w:color w:val="BFBFBF" w:themeColor="background1" w:themeShade="BF"/>
        </w:rPr>
        <w:t>(</w:t>
      </w:r>
      <w:r w:rsidR="003605B4" w:rsidRPr="002424D5">
        <w:rPr>
          <w:rFonts w:cstheme="minorHAnsi"/>
          <w:bCs/>
          <w:i/>
          <w:color w:val="BFBFBF" w:themeColor="background1" w:themeShade="BF"/>
        </w:rPr>
        <w:t>e.g., Hosmer-Lemeshow statistic</w:t>
      </w:r>
      <w:r w:rsidR="003605B4" w:rsidRPr="002424D5">
        <w:rPr>
          <w:rFonts w:cstheme="minorHAnsi"/>
          <w:bCs/>
          <w:color w:val="BFBFBF" w:themeColor="background1" w:themeShade="BF"/>
        </w:rPr>
        <w:t>)</w:t>
      </w:r>
      <w:r w:rsidR="00092566" w:rsidRPr="002424D5">
        <w:rPr>
          <w:rFonts w:cstheme="minorHAnsi"/>
          <w:bCs/>
          <w:color w:val="BFBFBF" w:themeColor="background1" w:themeShade="BF"/>
        </w:rPr>
        <w:t xml:space="preserve">:  </w:t>
      </w:r>
      <w:r w:rsidR="00092566" w:rsidRPr="002424D5">
        <w:rPr>
          <w:rFonts w:cstheme="minorHAnsi"/>
          <w:bCs/>
          <w:color w:val="BFBFBF" w:themeColor="background1" w:themeShade="BF"/>
        </w:rPr>
        <w:br/>
      </w:r>
    </w:p>
    <w:p w14:paraId="0CABCFFF" w14:textId="54DD4B42" w:rsidR="00743E46" w:rsidRPr="002424D5" w:rsidRDefault="009C7513" w:rsidP="00D12F41">
      <w:pPr>
        <w:spacing w:after="0" w:line="240" w:lineRule="auto"/>
        <w:rPr>
          <w:rFonts w:cs="Calibri"/>
          <w:bCs/>
          <w:color w:val="BFBFBF" w:themeColor="background1" w:themeShade="BF"/>
        </w:rPr>
      </w:pPr>
      <w:r w:rsidRPr="002424D5">
        <w:rPr>
          <w:rFonts w:cstheme="minorHAnsi"/>
          <w:b/>
          <w:bCs/>
          <w:color w:val="BFBFBF" w:themeColor="background1" w:themeShade="BF"/>
        </w:rPr>
        <w:t>2b3</w:t>
      </w:r>
      <w:r w:rsidR="00743E46" w:rsidRPr="002424D5">
        <w:rPr>
          <w:rFonts w:cstheme="minorHAnsi"/>
          <w:b/>
          <w:bCs/>
          <w:color w:val="BFBFBF" w:themeColor="background1" w:themeShade="BF"/>
        </w:rPr>
        <w:t>.8</w:t>
      </w:r>
      <w:r w:rsidR="00001D73" w:rsidRPr="002424D5">
        <w:rPr>
          <w:rFonts w:cstheme="minorHAnsi"/>
          <w:b/>
          <w:bCs/>
          <w:color w:val="BFBFBF" w:themeColor="background1" w:themeShade="BF"/>
        </w:rPr>
        <w:t xml:space="preserve">. </w:t>
      </w:r>
      <w:r w:rsidR="00743E46" w:rsidRPr="002424D5">
        <w:rPr>
          <w:rFonts w:cstheme="minorHAnsi"/>
          <w:b/>
          <w:bCs/>
          <w:color w:val="BFBFBF" w:themeColor="background1" w:themeShade="BF"/>
        </w:rPr>
        <w:t xml:space="preserve">Statistical </w:t>
      </w:r>
      <w:r w:rsidR="00092566" w:rsidRPr="002424D5">
        <w:rPr>
          <w:rFonts w:cstheme="minorHAnsi"/>
          <w:b/>
          <w:bCs/>
          <w:color w:val="BFBFBF" w:themeColor="background1" w:themeShade="BF"/>
        </w:rPr>
        <w:t>Risk Model Calibration – Risk decile plots or calibration curves</w:t>
      </w:r>
      <w:r w:rsidR="00092566" w:rsidRPr="002424D5">
        <w:rPr>
          <w:rFonts w:cstheme="minorHAnsi"/>
          <w:bCs/>
          <w:color w:val="BFBFBF" w:themeColor="background1" w:themeShade="BF"/>
        </w:rPr>
        <w:t>:</w:t>
      </w:r>
      <w:r w:rsidR="00092566" w:rsidRPr="002424D5">
        <w:rPr>
          <w:rFonts w:cstheme="minorHAnsi"/>
          <w:bCs/>
          <w:color w:val="BFBFBF" w:themeColor="background1" w:themeShade="BF"/>
        </w:rPr>
        <w:br/>
      </w:r>
    </w:p>
    <w:p w14:paraId="0CABD000" w14:textId="2277C090" w:rsidR="00092566" w:rsidRPr="002424D5" w:rsidRDefault="009C7513" w:rsidP="00092566">
      <w:pPr>
        <w:autoSpaceDE w:val="0"/>
        <w:autoSpaceDN w:val="0"/>
        <w:adjustRightInd w:val="0"/>
        <w:spacing w:after="0" w:line="240" w:lineRule="auto"/>
        <w:rPr>
          <w:rFonts w:cstheme="minorHAnsi"/>
          <w:bCs/>
          <w:color w:val="BFBFBF" w:themeColor="background1" w:themeShade="BF"/>
        </w:rPr>
      </w:pPr>
      <w:bookmarkStart w:id="13" w:name="question2b49"/>
      <w:bookmarkEnd w:id="13"/>
      <w:r w:rsidRPr="002424D5">
        <w:rPr>
          <w:rFonts w:cstheme="minorHAnsi"/>
          <w:b/>
          <w:color w:val="BFBFBF" w:themeColor="background1" w:themeShade="BF"/>
        </w:rPr>
        <w:t>2b3</w:t>
      </w:r>
      <w:r w:rsidR="00743E46" w:rsidRPr="002424D5">
        <w:rPr>
          <w:rFonts w:cstheme="minorHAnsi"/>
          <w:b/>
          <w:color w:val="BFBFBF" w:themeColor="background1" w:themeShade="BF"/>
        </w:rPr>
        <w:t>.9</w:t>
      </w:r>
      <w:r w:rsidR="00001D73" w:rsidRPr="002424D5">
        <w:rPr>
          <w:rFonts w:cstheme="minorHAnsi"/>
          <w:b/>
          <w:color w:val="BFBFBF" w:themeColor="background1" w:themeShade="BF"/>
        </w:rPr>
        <w:t xml:space="preserve">. Results of </w:t>
      </w:r>
      <w:r w:rsidR="00092566" w:rsidRPr="002424D5">
        <w:rPr>
          <w:rFonts w:cstheme="minorHAnsi"/>
          <w:b/>
          <w:color w:val="BFBFBF" w:themeColor="background1" w:themeShade="BF"/>
        </w:rPr>
        <w:t>Risk Stratification Analysis</w:t>
      </w:r>
      <w:r w:rsidR="00092566" w:rsidRPr="002424D5">
        <w:rPr>
          <w:rFonts w:cstheme="minorHAnsi"/>
          <w:color w:val="BFBFBF" w:themeColor="background1" w:themeShade="BF"/>
        </w:rPr>
        <w:t xml:space="preserve">: </w:t>
      </w:r>
      <w:r w:rsidR="00092566" w:rsidRPr="002424D5">
        <w:rPr>
          <w:rFonts w:cstheme="minorHAnsi"/>
          <w:bCs/>
          <w:color w:val="BFBFBF" w:themeColor="background1" w:themeShade="BF"/>
        </w:rPr>
        <w:t xml:space="preserve"> </w:t>
      </w:r>
    </w:p>
    <w:p w14:paraId="23179143" w14:textId="77777777" w:rsidR="00D12F41" w:rsidRPr="002424D5" w:rsidRDefault="00D12F41" w:rsidP="00D12F41">
      <w:pPr>
        <w:spacing w:after="0" w:line="240" w:lineRule="auto"/>
        <w:rPr>
          <w:rFonts w:cs="Times New Roman"/>
          <w:bCs/>
          <w:color w:val="BFBFBF" w:themeColor="background1" w:themeShade="BF"/>
          <w:u w:val="single"/>
        </w:rPr>
      </w:pPr>
    </w:p>
    <w:p w14:paraId="0CABD002" w14:textId="61D900B6" w:rsidR="00092566" w:rsidRPr="002424D5" w:rsidRDefault="009C7513" w:rsidP="00D12F41">
      <w:pPr>
        <w:spacing w:after="0" w:line="240" w:lineRule="auto"/>
        <w:rPr>
          <w:rFonts w:cs="Calibri"/>
          <w:bCs/>
          <w:color w:val="BFBFBF" w:themeColor="background1" w:themeShade="BF"/>
        </w:rPr>
      </w:pPr>
      <w:r w:rsidRPr="002424D5">
        <w:rPr>
          <w:rFonts w:cstheme="minorHAnsi"/>
          <w:b/>
          <w:bCs/>
          <w:color w:val="BFBFBF" w:themeColor="background1" w:themeShade="BF"/>
        </w:rPr>
        <w:t>2b3</w:t>
      </w:r>
      <w:r w:rsidR="00743E46" w:rsidRPr="002424D5">
        <w:rPr>
          <w:rFonts w:cstheme="minorHAnsi"/>
          <w:b/>
          <w:bCs/>
          <w:color w:val="BFBFBF" w:themeColor="background1" w:themeShade="BF"/>
        </w:rPr>
        <w:t>.10</w:t>
      </w:r>
      <w:r w:rsidR="00001D73" w:rsidRPr="002424D5">
        <w:rPr>
          <w:rFonts w:cstheme="minorHAnsi"/>
          <w:b/>
          <w:bCs/>
          <w:color w:val="BFBFBF" w:themeColor="background1" w:themeShade="BF"/>
        </w:rPr>
        <w:t xml:space="preserve">. </w:t>
      </w:r>
      <w:r w:rsidR="00092566" w:rsidRPr="002424D5">
        <w:rPr>
          <w:rFonts w:cstheme="minorHAnsi"/>
          <w:b/>
          <w:bCs/>
          <w:color w:val="BFBFBF" w:themeColor="background1" w:themeShade="BF"/>
        </w:rPr>
        <w:t>What is your interpretation of the results in terms of demonstrating adequacy of controlling for differences in patient characteristics (case mix)?</w:t>
      </w:r>
      <w:r w:rsidR="00092566" w:rsidRPr="002424D5">
        <w:rPr>
          <w:rFonts w:cstheme="minorHAnsi"/>
          <w:bCs/>
          <w:color w:val="BFBFBF" w:themeColor="background1" w:themeShade="BF"/>
        </w:rPr>
        <w:t xml:space="preserve"> (i</w:t>
      </w:r>
      <w:r w:rsidR="00092566" w:rsidRPr="002424D5">
        <w:rPr>
          <w:rFonts w:cstheme="minorHAnsi"/>
          <w:bCs/>
          <w:i/>
          <w:color w:val="BFBFBF" w:themeColor="background1" w:themeShade="BF"/>
        </w:rPr>
        <w:t>.e., what do the results mean and what are the norms for the test conducted</w:t>
      </w:r>
      <w:r w:rsidR="00092566" w:rsidRPr="002424D5">
        <w:rPr>
          <w:rFonts w:cstheme="minorHAnsi"/>
          <w:bCs/>
          <w:color w:val="BFBFBF" w:themeColor="background1" w:themeShade="BF"/>
        </w:rPr>
        <w:t>)</w:t>
      </w:r>
      <w:r w:rsidR="00092566" w:rsidRPr="002424D5">
        <w:rPr>
          <w:rFonts w:cstheme="minorHAnsi"/>
          <w:bCs/>
          <w:color w:val="BFBFBF" w:themeColor="background1" w:themeShade="BF"/>
        </w:rPr>
        <w:br/>
      </w:r>
    </w:p>
    <w:p w14:paraId="0CABD004" w14:textId="5EC44B7F" w:rsidR="00021170" w:rsidRPr="002424D5" w:rsidRDefault="009C7513" w:rsidP="009B1A15">
      <w:pPr>
        <w:spacing w:after="0" w:line="240" w:lineRule="auto"/>
        <w:rPr>
          <w:rFonts w:cstheme="minorHAnsi"/>
          <w:color w:val="BFBFBF" w:themeColor="background1" w:themeShade="BF"/>
        </w:rPr>
      </w:pPr>
      <w:r w:rsidRPr="002424D5">
        <w:rPr>
          <w:rFonts w:cstheme="minorHAnsi"/>
          <w:b/>
          <w:color w:val="BFBFBF" w:themeColor="background1" w:themeShade="BF"/>
        </w:rPr>
        <w:t>2b3</w:t>
      </w:r>
      <w:r w:rsidR="009B1A15" w:rsidRPr="002424D5">
        <w:rPr>
          <w:rFonts w:cstheme="minorHAnsi"/>
          <w:b/>
          <w:color w:val="BFBFBF" w:themeColor="background1" w:themeShade="BF"/>
        </w:rPr>
        <w:t>.11.</w:t>
      </w:r>
      <w:r w:rsidR="009B1A15" w:rsidRPr="002424D5">
        <w:rPr>
          <w:rFonts w:cstheme="minorHAnsi"/>
          <w:color w:val="BFBFBF" w:themeColor="background1" w:themeShade="BF"/>
        </w:rPr>
        <w:t xml:space="preserve"> </w:t>
      </w:r>
      <w:r w:rsidR="00092566" w:rsidRPr="002424D5">
        <w:rPr>
          <w:rFonts w:cstheme="minorHAnsi"/>
          <w:b/>
          <w:color w:val="BFBFBF" w:themeColor="background1" w:themeShade="BF"/>
        </w:rPr>
        <w:t>Optional</w:t>
      </w:r>
      <w:r w:rsidR="009B1A15" w:rsidRPr="002424D5">
        <w:rPr>
          <w:rFonts w:cstheme="minorHAnsi"/>
          <w:b/>
          <w:color w:val="BFBFBF" w:themeColor="background1" w:themeShade="BF"/>
        </w:rPr>
        <w:t xml:space="preserve"> Additional Testing</w:t>
      </w:r>
      <w:r w:rsidR="004756E1" w:rsidRPr="002424D5">
        <w:rPr>
          <w:rFonts w:cstheme="minorHAnsi"/>
          <w:b/>
          <w:color w:val="BFBFBF" w:themeColor="background1" w:themeShade="BF"/>
        </w:rPr>
        <w:t xml:space="preserve"> for Risk Adjustment</w:t>
      </w:r>
      <w:r w:rsidR="00092566" w:rsidRPr="002424D5">
        <w:rPr>
          <w:rFonts w:cstheme="minorHAnsi"/>
          <w:b/>
          <w:color w:val="BFBFBF" w:themeColor="background1" w:themeShade="BF"/>
        </w:rPr>
        <w:t xml:space="preserve"> </w:t>
      </w:r>
      <w:r w:rsidR="00092566" w:rsidRPr="002424D5">
        <w:rPr>
          <w:rFonts w:cstheme="minorHAnsi"/>
          <w:color w:val="BFBFBF" w:themeColor="background1" w:themeShade="BF"/>
        </w:rPr>
        <w:t>(</w:t>
      </w:r>
      <w:r w:rsidR="00092566" w:rsidRPr="002424D5">
        <w:rPr>
          <w:rFonts w:cstheme="minorHAnsi"/>
          <w:i/>
          <w:color w:val="BFBFBF" w:themeColor="background1" w:themeShade="BF"/>
          <w:u w:val="single"/>
        </w:rPr>
        <w:t>not required</w:t>
      </w:r>
      <w:r w:rsidR="00092566" w:rsidRPr="002424D5">
        <w:rPr>
          <w:rFonts w:cstheme="minorHAnsi"/>
          <w:i/>
          <w:color w:val="BFBFBF" w:themeColor="background1" w:themeShade="BF"/>
        </w:rPr>
        <w:t>, but would provide additional support of adequacy of risk model</w:t>
      </w:r>
      <w:r w:rsidR="009B1A15" w:rsidRPr="002424D5">
        <w:rPr>
          <w:rFonts w:cstheme="minorHAnsi"/>
          <w:i/>
          <w:color w:val="BFBFBF" w:themeColor="background1" w:themeShade="BF"/>
        </w:rPr>
        <w:t>, e.g., testing of risk model in another data se</w:t>
      </w:r>
      <w:r w:rsidR="002408E4" w:rsidRPr="002424D5">
        <w:rPr>
          <w:rFonts w:cstheme="minorHAnsi"/>
          <w:i/>
          <w:color w:val="BFBFBF" w:themeColor="background1" w:themeShade="BF"/>
        </w:rPr>
        <w:t>t</w:t>
      </w:r>
      <w:r w:rsidR="009B1A15" w:rsidRPr="002424D5">
        <w:rPr>
          <w:rFonts w:cstheme="minorHAnsi"/>
          <w:i/>
          <w:color w:val="BFBFBF" w:themeColor="background1" w:themeShade="BF"/>
        </w:rPr>
        <w:t>; sensitivity analysis for missing data</w:t>
      </w:r>
      <w:r w:rsidR="002408E4" w:rsidRPr="002424D5">
        <w:rPr>
          <w:rFonts w:cstheme="minorHAnsi"/>
          <w:i/>
          <w:color w:val="BFBFBF" w:themeColor="background1" w:themeShade="BF"/>
        </w:rPr>
        <w:t>;</w:t>
      </w:r>
      <w:r w:rsidR="009B1A15" w:rsidRPr="002424D5">
        <w:rPr>
          <w:rFonts w:cstheme="minorHAnsi"/>
          <w:i/>
          <w:color w:val="BFBFBF" w:themeColor="background1" w:themeShade="BF"/>
        </w:rPr>
        <w:t xml:space="preserve"> other methods</w:t>
      </w:r>
      <w:r w:rsidR="008F7E67" w:rsidRPr="002424D5">
        <w:rPr>
          <w:rFonts w:cstheme="minorHAnsi"/>
          <w:i/>
          <w:color w:val="BFBFBF" w:themeColor="background1" w:themeShade="BF"/>
        </w:rPr>
        <w:t xml:space="preserve"> that were assessed</w:t>
      </w:r>
      <w:r w:rsidR="009B1A15" w:rsidRPr="002424D5">
        <w:rPr>
          <w:rFonts w:cstheme="minorHAnsi"/>
          <w:color w:val="BFBFBF" w:themeColor="background1" w:themeShade="BF"/>
        </w:rPr>
        <w:t>)</w:t>
      </w:r>
    </w:p>
    <w:p w14:paraId="2B912732" w14:textId="77777777" w:rsidR="00D12F41" w:rsidRPr="002424D5" w:rsidRDefault="00D12F41" w:rsidP="009B1A15">
      <w:pPr>
        <w:spacing w:after="0" w:line="240" w:lineRule="auto"/>
        <w:rPr>
          <w:rFonts w:cstheme="minorHAnsi"/>
          <w:color w:val="BFBFBF" w:themeColor="background1" w:themeShade="BF"/>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59908A9D" w14:textId="77777777" w:rsidR="00D12F41" w:rsidRDefault="009C7513" w:rsidP="00D12F41">
      <w:pPr>
        <w:spacing w:after="0" w:line="240" w:lineRule="auto"/>
        <w:rPr>
          <w:rFonts w:cs="Times New Roman"/>
          <w:bCs/>
          <w:color w:val="0070C0"/>
          <w:u w:val="single"/>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r w:rsidR="00D12F41" w:rsidRPr="00E768B5">
        <w:rPr>
          <w:rFonts w:cs="Times New Roman"/>
          <w:bCs/>
          <w:color w:val="0070C0"/>
          <w:u w:val="single"/>
        </w:rPr>
        <w:t>2014 Submission:</w:t>
      </w:r>
    </w:p>
    <w:p w14:paraId="131FFB8D" w14:textId="34C24C34" w:rsidR="00ED5EF1" w:rsidRPr="00D12F41" w:rsidRDefault="00ED5EF1" w:rsidP="00ED5EF1">
      <w:pPr>
        <w:autoSpaceDE w:val="0"/>
        <w:autoSpaceDN w:val="0"/>
        <w:adjustRightInd w:val="0"/>
        <w:spacing w:after="0" w:line="240" w:lineRule="auto"/>
        <w:rPr>
          <w:rFonts w:cs="Times New Roman"/>
          <w:bCs/>
          <w:color w:val="0070C0"/>
        </w:rPr>
      </w:pPr>
      <w:r w:rsidRPr="00D12F41">
        <w:rPr>
          <w:rFonts w:cs="Times New Roman"/>
          <w:bCs/>
          <w:color w:val="0070C0"/>
        </w:rPr>
        <w:t xml:space="preserve">To demonstrate meaningful differences in performance, NCQA calculates an inter-quartile range (IQR). The IQR provides a measure of the dispersion of performance. The IQR can be interpreted as the difference between the 25th and 75th percentile on a measure.  </w:t>
      </w:r>
    </w:p>
    <w:p w14:paraId="4D020592" w14:textId="77777777" w:rsidR="00ED5EF1" w:rsidRPr="00D12F41" w:rsidRDefault="00ED5EF1" w:rsidP="00ED5EF1">
      <w:pPr>
        <w:autoSpaceDE w:val="0"/>
        <w:autoSpaceDN w:val="0"/>
        <w:adjustRightInd w:val="0"/>
        <w:spacing w:after="0" w:line="240" w:lineRule="auto"/>
        <w:rPr>
          <w:rFonts w:cs="Times New Roman"/>
          <w:bCs/>
          <w:color w:val="0070C0"/>
          <w:u w:val="single"/>
        </w:rPr>
      </w:pPr>
    </w:p>
    <w:p w14:paraId="56663B80" w14:textId="77777777" w:rsidR="00D12F41" w:rsidRDefault="009C7513" w:rsidP="00D12F41">
      <w:pPr>
        <w:spacing w:after="0" w:line="240" w:lineRule="auto"/>
        <w:rPr>
          <w:rFonts w:cs="Times New Roman"/>
          <w:bCs/>
          <w:color w:val="0070C0"/>
          <w:u w:val="single"/>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r w:rsidR="00D12F41" w:rsidRPr="00E768B5">
        <w:rPr>
          <w:rFonts w:cs="Times New Roman"/>
          <w:bCs/>
          <w:color w:val="0070C0"/>
          <w:u w:val="single"/>
        </w:rPr>
        <w:t>2014 Submission:</w:t>
      </w:r>
    </w:p>
    <w:p w14:paraId="2F3B6F3A" w14:textId="77777777" w:rsidR="00ED5EF1" w:rsidRPr="00D12F41" w:rsidRDefault="00ED5EF1" w:rsidP="00ED5EF1">
      <w:pPr>
        <w:spacing w:after="0"/>
        <w:rPr>
          <w:rFonts w:cs="Times New Roman"/>
          <w:bCs/>
          <w:color w:val="0070C0"/>
        </w:rPr>
      </w:pPr>
      <w:r w:rsidRPr="00D12F41">
        <w:rPr>
          <w:rFonts w:cs="Times New Roman"/>
          <w:bCs/>
          <w:color w:val="0070C0"/>
        </w:rPr>
        <w:t>2012 Variation in Performance across Providers</w:t>
      </w:r>
    </w:p>
    <w:tbl>
      <w:tblPr>
        <w:tblStyle w:val="TableGrid"/>
        <w:tblW w:w="4312" w:type="pct"/>
        <w:tblInd w:w="-5" w:type="dxa"/>
        <w:tblLayout w:type="fixed"/>
        <w:tblCellMar>
          <w:left w:w="58" w:type="dxa"/>
          <w:right w:w="58" w:type="dxa"/>
        </w:tblCellMar>
        <w:tblLook w:val="04A0" w:firstRow="1" w:lastRow="0" w:firstColumn="1" w:lastColumn="0" w:noHBand="0" w:noVBand="1"/>
      </w:tblPr>
      <w:tblGrid>
        <w:gridCol w:w="1083"/>
        <w:gridCol w:w="1124"/>
        <w:gridCol w:w="990"/>
        <w:gridCol w:w="992"/>
        <w:gridCol w:w="992"/>
        <w:gridCol w:w="987"/>
        <w:gridCol w:w="990"/>
        <w:gridCol w:w="905"/>
      </w:tblGrid>
      <w:tr w:rsidR="00ED5EF1" w:rsidRPr="00D12F41" w14:paraId="14E47071" w14:textId="77777777" w:rsidTr="00111709">
        <w:tc>
          <w:tcPr>
            <w:tcW w:w="672" w:type="pct"/>
            <w:shd w:val="clear" w:color="auto" w:fill="F2F2F2" w:themeFill="background1" w:themeFillShade="F2"/>
          </w:tcPr>
          <w:p w14:paraId="1626CD6E"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Mean Rate</w:t>
            </w:r>
          </w:p>
        </w:tc>
        <w:tc>
          <w:tcPr>
            <w:tcW w:w="697" w:type="pct"/>
            <w:shd w:val="clear" w:color="auto" w:fill="F2F2F2" w:themeFill="background1" w:themeFillShade="F2"/>
          </w:tcPr>
          <w:p w14:paraId="69A3A1C4"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EP</w:t>
            </w:r>
          </w:p>
        </w:tc>
        <w:tc>
          <w:tcPr>
            <w:tcW w:w="614" w:type="pct"/>
            <w:shd w:val="clear" w:color="auto" w:fill="F2F2F2" w:themeFill="background1" w:themeFillShade="F2"/>
          </w:tcPr>
          <w:p w14:paraId="4581CDDF"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10th</w:t>
            </w:r>
          </w:p>
        </w:tc>
        <w:tc>
          <w:tcPr>
            <w:tcW w:w="615" w:type="pct"/>
            <w:shd w:val="clear" w:color="auto" w:fill="F2F2F2" w:themeFill="background1" w:themeFillShade="F2"/>
          </w:tcPr>
          <w:p w14:paraId="1FC3AC8B"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25th</w:t>
            </w:r>
          </w:p>
        </w:tc>
        <w:tc>
          <w:tcPr>
            <w:tcW w:w="615" w:type="pct"/>
            <w:shd w:val="clear" w:color="auto" w:fill="F2F2F2" w:themeFill="background1" w:themeFillShade="F2"/>
          </w:tcPr>
          <w:p w14:paraId="30BF23BE"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50th</w:t>
            </w:r>
          </w:p>
        </w:tc>
        <w:tc>
          <w:tcPr>
            <w:tcW w:w="612" w:type="pct"/>
            <w:shd w:val="clear" w:color="auto" w:fill="F2F2F2" w:themeFill="background1" w:themeFillShade="F2"/>
          </w:tcPr>
          <w:p w14:paraId="2FCB024C"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75th</w:t>
            </w:r>
          </w:p>
        </w:tc>
        <w:tc>
          <w:tcPr>
            <w:tcW w:w="614" w:type="pct"/>
            <w:shd w:val="clear" w:color="auto" w:fill="F2F2F2" w:themeFill="background1" w:themeFillShade="F2"/>
          </w:tcPr>
          <w:p w14:paraId="1A23E206"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90th</w:t>
            </w:r>
          </w:p>
        </w:tc>
        <w:tc>
          <w:tcPr>
            <w:tcW w:w="562" w:type="pct"/>
            <w:shd w:val="clear" w:color="auto" w:fill="F2F2F2" w:themeFill="background1" w:themeFillShade="F2"/>
          </w:tcPr>
          <w:p w14:paraId="6DA2AD6F"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IQR</w:t>
            </w:r>
          </w:p>
        </w:tc>
      </w:tr>
      <w:tr w:rsidR="00ED5EF1" w:rsidRPr="00D12F41" w14:paraId="33C4BFF0" w14:textId="77777777" w:rsidTr="00111709">
        <w:trPr>
          <w:trHeight w:val="717"/>
        </w:trPr>
        <w:tc>
          <w:tcPr>
            <w:tcW w:w="672" w:type="pct"/>
            <w:shd w:val="clear" w:color="auto" w:fill="FFFFFF" w:themeFill="background1"/>
          </w:tcPr>
          <w:p w14:paraId="1ABA4EEF"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58.7%</w:t>
            </w:r>
          </w:p>
        </w:tc>
        <w:tc>
          <w:tcPr>
            <w:tcW w:w="697" w:type="pct"/>
            <w:shd w:val="clear" w:color="auto" w:fill="FFFFFF" w:themeFill="background1"/>
          </w:tcPr>
          <w:p w14:paraId="7872DCEB"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326,372</w:t>
            </w:r>
          </w:p>
        </w:tc>
        <w:tc>
          <w:tcPr>
            <w:tcW w:w="614" w:type="pct"/>
            <w:shd w:val="clear" w:color="auto" w:fill="FFFFFF" w:themeFill="background1"/>
          </w:tcPr>
          <w:p w14:paraId="6992291E"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0.00%</w:t>
            </w:r>
          </w:p>
        </w:tc>
        <w:tc>
          <w:tcPr>
            <w:tcW w:w="615" w:type="pct"/>
            <w:shd w:val="clear" w:color="auto" w:fill="FFFFFF" w:themeFill="background1"/>
          </w:tcPr>
          <w:p w14:paraId="27404695"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22.7%</w:t>
            </w:r>
          </w:p>
        </w:tc>
        <w:tc>
          <w:tcPr>
            <w:tcW w:w="615" w:type="pct"/>
            <w:shd w:val="clear" w:color="auto" w:fill="FFFFFF" w:themeFill="background1"/>
          </w:tcPr>
          <w:p w14:paraId="67E07E12"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64.3%</w:t>
            </w:r>
          </w:p>
        </w:tc>
        <w:tc>
          <w:tcPr>
            <w:tcW w:w="612" w:type="pct"/>
            <w:shd w:val="clear" w:color="auto" w:fill="FFFFFF" w:themeFill="background1"/>
          </w:tcPr>
          <w:p w14:paraId="2A515E5E"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100.0%</w:t>
            </w:r>
          </w:p>
        </w:tc>
        <w:tc>
          <w:tcPr>
            <w:tcW w:w="614" w:type="pct"/>
            <w:shd w:val="clear" w:color="auto" w:fill="FFFFFF" w:themeFill="background1"/>
          </w:tcPr>
          <w:p w14:paraId="0E9E1039"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100.0%</w:t>
            </w:r>
          </w:p>
        </w:tc>
        <w:tc>
          <w:tcPr>
            <w:tcW w:w="562" w:type="pct"/>
            <w:shd w:val="clear" w:color="auto" w:fill="FFFFFF" w:themeFill="background1"/>
          </w:tcPr>
          <w:p w14:paraId="60E1068A" w14:textId="77777777" w:rsidR="00ED5EF1" w:rsidRPr="00D12F41" w:rsidRDefault="00ED5EF1" w:rsidP="00111709">
            <w:pPr>
              <w:pStyle w:val="Style5"/>
              <w:jc w:val="center"/>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77.3</w:t>
            </w:r>
          </w:p>
        </w:tc>
      </w:tr>
    </w:tbl>
    <w:p w14:paraId="1E0431EE" w14:textId="77777777" w:rsidR="00ED5EF1" w:rsidRPr="00D12F41" w:rsidRDefault="00ED5EF1" w:rsidP="00ED5EF1">
      <w:pPr>
        <w:pStyle w:val="Style5"/>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EP: Number of patients meeting denominator criteria across all providers submitting data to the Physician Quality Reporting System on this measure</w:t>
      </w:r>
    </w:p>
    <w:p w14:paraId="21FC45D7" w14:textId="77777777" w:rsidR="00ED5EF1" w:rsidRPr="00D12F41" w:rsidRDefault="00ED5EF1" w:rsidP="00ED5EF1">
      <w:pPr>
        <w:pStyle w:val="Style5"/>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t>IQR: Interquartile range</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2B50746F" w14:textId="2625E154" w:rsidR="00D12F41" w:rsidRDefault="009C7513" w:rsidP="00D12F41">
      <w:pPr>
        <w:autoSpaceDE w:val="0"/>
        <w:autoSpaceDN w:val="0"/>
        <w:adjustRightInd w:val="0"/>
        <w:spacing w:after="0" w:line="240" w:lineRule="auto"/>
        <w:rPr>
          <w:rFonts w:cs="Times New Roman"/>
          <w:bCs/>
          <w:color w:val="0070C0"/>
          <w:u w:val="single"/>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r w:rsidR="00D12F41" w:rsidRPr="00E768B5">
        <w:rPr>
          <w:rFonts w:cs="Times New Roman"/>
          <w:bCs/>
          <w:color w:val="0070C0"/>
          <w:u w:val="single"/>
        </w:rPr>
        <w:t>2014 Submission:</w:t>
      </w:r>
    </w:p>
    <w:p w14:paraId="01AF511E" w14:textId="77777777" w:rsidR="00ED5EF1" w:rsidRPr="00D12F41" w:rsidRDefault="00ED5EF1" w:rsidP="00ED5EF1">
      <w:pPr>
        <w:pStyle w:val="Style5"/>
        <w:rPr>
          <w:rFonts w:asciiTheme="minorHAnsi" w:hAnsiTheme="minorHAnsi" w:cs="Times New Roman"/>
          <w:bCs/>
          <w:i w:val="0"/>
          <w:color w:val="0070C0"/>
          <w:sz w:val="22"/>
          <w:szCs w:val="22"/>
        </w:rPr>
      </w:pPr>
      <w:r w:rsidRPr="00D12F41">
        <w:rPr>
          <w:rFonts w:asciiTheme="minorHAnsi" w:hAnsiTheme="minorHAnsi" w:cs="Times New Roman"/>
          <w:bCs/>
          <w:i w:val="0"/>
          <w:color w:val="0070C0"/>
          <w:sz w:val="22"/>
          <w:szCs w:val="22"/>
        </w:rPr>
        <w:lastRenderedPageBreak/>
        <w:t>The results above indicate there is a large gap in performance between providers at the 25th and 75th percentiles. This demonstrates a large variation in performance and significant room for improvement on this measure for many providers. It should be noted that performance data from the PQRS program does not reflect performance system wide because physicians have the option to report. We look forward to more detailed performance reports from PQRS that may demonstrate longitudinal provider-specific performance improvements.</w:t>
      </w:r>
    </w:p>
    <w:p w14:paraId="7343B376" w14:textId="77777777" w:rsidR="00ED5EF1" w:rsidRPr="00ED5EF1" w:rsidRDefault="00ED5EF1" w:rsidP="00D61410">
      <w:pPr>
        <w:autoSpaceDE w:val="0"/>
        <w:autoSpaceDN w:val="0"/>
        <w:adjustRightInd w:val="0"/>
        <w:spacing w:after="0" w:line="240" w:lineRule="auto"/>
        <w:rPr>
          <w:rFonts w:cstheme="minorHAnsi"/>
          <w:bCs/>
          <w:color w:val="00B0F0"/>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Pr="002424D5" w:rsidRDefault="00021170" w:rsidP="00DB3627">
      <w:pPr>
        <w:autoSpaceDE w:val="0"/>
        <w:autoSpaceDN w:val="0"/>
        <w:adjustRightInd w:val="0"/>
        <w:spacing w:after="0" w:line="240" w:lineRule="auto"/>
        <w:rPr>
          <w:rFonts w:cstheme="minorHAnsi"/>
          <w:b/>
          <w:bCs/>
          <w:color w:val="BFBFBF" w:themeColor="background1" w:themeShade="BF"/>
        </w:rPr>
      </w:pPr>
      <w:r w:rsidRPr="002424D5">
        <w:rPr>
          <w:rFonts w:cstheme="minorHAnsi"/>
          <w:b/>
          <w:bCs/>
          <w:color w:val="BFBFBF" w:themeColor="background1" w:themeShade="BF"/>
        </w:rPr>
        <w:t>2</w:t>
      </w:r>
      <w:r w:rsidR="00EA5F47" w:rsidRPr="002424D5">
        <w:rPr>
          <w:rFonts w:cstheme="minorHAnsi"/>
          <w:b/>
          <w:bCs/>
          <w:color w:val="BFBFBF" w:themeColor="background1" w:themeShade="BF"/>
        </w:rPr>
        <w:t>b</w:t>
      </w:r>
      <w:r w:rsidR="009C7513" w:rsidRPr="002424D5">
        <w:rPr>
          <w:rFonts w:cstheme="minorHAnsi"/>
          <w:b/>
          <w:bCs/>
          <w:color w:val="BFBFBF" w:themeColor="background1" w:themeShade="BF"/>
        </w:rPr>
        <w:t>5</w:t>
      </w:r>
      <w:r w:rsidRPr="002424D5">
        <w:rPr>
          <w:rFonts w:cstheme="minorHAnsi"/>
          <w:b/>
          <w:bCs/>
          <w:color w:val="BFBFBF" w:themeColor="background1" w:themeShade="BF"/>
        </w:rPr>
        <w:t xml:space="preserve">. COMPARABILITY OF PERFORMANCE SCORES </w:t>
      </w:r>
      <w:r w:rsidR="004C498F" w:rsidRPr="002424D5">
        <w:rPr>
          <w:rFonts w:cstheme="minorHAnsi"/>
          <w:b/>
          <w:bCs/>
          <w:color w:val="BFBFBF" w:themeColor="background1" w:themeShade="BF"/>
        </w:rPr>
        <w:t>WHEN</w:t>
      </w:r>
      <w:r w:rsidR="002B2116" w:rsidRPr="002424D5">
        <w:rPr>
          <w:rFonts w:cstheme="minorHAnsi"/>
          <w:b/>
          <w:bCs/>
          <w:color w:val="BFBFBF" w:themeColor="background1" w:themeShade="BF"/>
        </w:rPr>
        <w:t xml:space="preserve"> MORE THAN ONE SET OF SPECIFICATIONS </w:t>
      </w:r>
    </w:p>
    <w:p w14:paraId="0CABD00F" w14:textId="77777777" w:rsidR="00567D12" w:rsidRPr="002424D5" w:rsidRDefault="00567D12" w:rsidP="00567D12">
      <w:pPr>
        <w:spacing w:after="0" w:line="240" w:lineRule="auto"/>
        <w:rPr>
          <w:rFonts w:cstheme="minorHAnsi"/>
          <w:b/>
          <w:bCs/>
          <w:color w:val="BFBFBF" w:themeColor="background1" w:themeShade="BF"/>
        </w:rPr>
      </w:pPr>
      <w:r w:rsidRPr="002424D5">
        <w:rPr>
          <w:rFonts w:cstheme="minorHAnsi"/>
          <w:b/>
          <w:bCs/>
          <w:i/>
          <w:color w:val="BFBFBF" w:themeColor="background1" w:themeShade="BF"/>
          <w:highlight w:val="green"/>
        </w:rPr>
        <w:t xml:space="preserve">If only one set of specifications, this section can be </w:t>
      </w:r>
      <w:r w:rsidR="00BE592D" w:rsidRPr="002424D5">
        <w:rPr>
          <w:rFonts w:cstheme="minorHAnsi"/>
          <w:b/>
          <w:bCs/>
          <w:i/>
          <w:color w:val="BFBFBF" w:themeColor="background1" w:themeShade="BF"/>
          <w:highlight w:val="green"/>
        </w:rPr>
        <w:t>skipped</w:t>
      </w:r>
      <w:r w:rsidR="00BE592D" w:rsidRPr="002424D5">
        <w:rPr>
          <w:rFonts w:cstheme="minorHAnsi"/>
          <w:b/>
          <w:bCs/>
          <w:i/>
          <w:color w:val="BFBFBF" w:themeColor="background1" w:themeShade="BF"/>
        </w:rPr>
        <w:t>.</w:t>
      </w:r>
    </w:p>
    <w:p w14:paraId="0CABD010" w14:textId="77777777" w:rsidR="00567D12" w:rsidRPr="002424D5" w:rsidRDefault="00567D12" w:rsidP="00DB3627">
      <w:pPr>
        <w:autoSpaceDE w:val="0"/>
        <w:autoSpaceDN w:val="0"/>
        <w:adjustRightInd w:val="0"/>
        <w:spacing w:after="0" w:line="240" w:lineRule="auto"/>
        <w:rPr>
          <w:rFonts w:cstheme="minorHAnsi"/>
          <w:b/>
          <w:bCs/>
          <w:color w:val="BFBFBF" w:themeColor="background1" w:themeShade="BF"/>
        </w:rPr>
      </w:pPr>
    </w:p>
    <w:p w14:paraId="0CABD011" w14:textId="52777D4F" w:rsidR="00052A6F" w:rsidRPr="002424D5" w:rsidRDefault="002B2116" w:rsidP="00DB3627">
      <w:pPr>
        <w:autoSpaceDE w:val="0"/>
        <w:autoSpaceDN w:val="0"/>
        <w:adjustRightInd w:val="0"/>
        <w:spacing w:after="0" w:line="240" w:lineRule="auto"/>
        <w:rPr>
          <w:rFonts w:cstheme="minorHAnsi"/>
          <w:bCs/>
          <w:i/>
          <w:color w:val="BFBFBF" w:themeColor="background1" w:themeShade="BF"/>
        </w:rPr>
      </w:pPr>
      <w:r w:rsidRPr="002424D5">
        <w:rPr>
          <w:rFonts w:cstheme="minorHAnsi"/>
          <w:b/>
          <w:bCs/>
          <w:color w:val="BFBFBF" w:themeColor="background1" w:themeShade="BF"/>
          <w:u w:val="single"/>
        </w:rPr>
        <w:t>Note</w:t>
      </w:r>
      <w:r w:rsidRPr="002424D5">
        <w:rPr>
          <w:rFonts w:cstheme="minorHAnsi"/>
          <w:bCs/>
          <w:i/>
          <w:color w:val="BFBFBF" w:themeColor="background1" w:themeShade="BF"/>
        </w:rPr>
        <w:t xml:space="preserve">: </w:t>
      </w:r>
      <w:r w:rsidR="00F1412B" w:rsidRPr="002424D5">
        <w:rPr>
          <w:rFonts w:ascii="Calibri-Italic" w:eastAsiaTheme="minorHAnsi" w:hAnsi="Calibri-Italic" w:cs="Calibri-Italic"/>
          <w:i/>
          <w:iCs/>
          <w:color w:val="BFBFBF" w:themeColor="background1" w:themeShade="BF"/>
        </w:rPr>
        <w:t xml:space="preserve">This item is directed to measures that are risk-adjusted (with or without </w:t>
      </w:r>
      <w:r w:rsidR="00AF2D68" w:rsidRPr="002424D5">
        <w:rPr>
          <w:rFonts w:ascii="Calibri-Italic" w:eastAsiaTheme="minorHAnsi" w:hAnsi="Calibri-Italic" w:cs="Calibri-Italic"/>
          <w:i/>
          <w:iCs/>
          <w:color w:val="BFBFBF" w:themeColor="background1" w:themeShade="BF"/>
        </w:rPr>
        <w:t>social risk</w:t>
      </w:r>
      <w:r w:rsidR="00F1412B" w:rsidRPr="002424D5">
        <w:rPr>
          <w:rFonts w:ascii="Calibri-Italic" w:eastAsiaTheme="minorHAnsi" w:hAnsi="Calibri-Italic" w:cs="Calibri-Italic"/>
          <w:i/>
          <w:iCs/>
          <w:color w:val="BFBFBF" w:themeColor="background1" w:themeShade="BF"/>
        </w:rPr>
        <w:t xml:space="preserve"> factors) </w:t>
      </w:r>
      <w:r w:rsidR="00F1412B" w:rsidRPr="002424D5">
        <w:rPr>
          <w:rFonts w:ascii="Calibri-Italic" w:eastAsiaTheme="minorHAnsi" w:hAnsi="Calibri-Italic" w:cs="Calibri-Italic"/>
          <w:b/>
          <w:i/>
          <w:iCs/>
          <w:color w:val="BFBFBF" w:themeColor="background1" w:themeShade="BF"/>
        </w:rPr>
        <w:t>OR</w:t>
      </w:r>
      <w:r w:rsidR="00F1412B" w:rsidRPr="002424D5">
        <w:rPr>
          <w:rFonts w:ascii="Calibri-Italic" w:eastAsiaTheme="minorHAnsi" w:hAnsi="Calibri-Italic" w:cs="Calibri-Italic"/>
          <w:i/>
          <w:iCs/>
          <w:color w:val="BFBFBF" w:themeColor="background1" w:themeShade="BF"/>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2424D5">
        <w:rPr>
          <w:rFonts w:ascii="Calibri-BoldItalic" w:eastAsiaTheme="minorHAnsi" w:hAnsi="Calibri-BoldItalic" w:cs="Calibri-BoldItalic"/>
          <w:b/>
          <w:bCs/>
          <w:i/>
          <w:iCs/>
          <w:color w:val="BFBFBF" w:themeColor="background1" w:themeShade="BF"/>
        </w:rPr>
        <w:t xml:space="preserve">Comparability is not required when comparing performance scores with and without </w:t>
      </w:r>
      <w:r w:rsidR="00AF2D68" w:rsidRPr="002424D5">
        <w:rPr>
          <w:rFonts w:ascii="Calibri-BoldItalic" w:eastAsiaTheme="minorHAnsi" w:hAnsi="Calibri-BoldItalic" w:cs="Calibri-BoldItalic"/>
          <w:b/>
          <w:bCs/>
          <w:i/>
          <w:iCs/>
          <w:color w:val="BFBFBF" w:themeColor="background1" w:themeShade="BF"/>
        </w:rPr>
        <w:t>social risk</w:t>
      </w:r>
      <w:r w:rsidR="00F1412B" w:rsidRPr="002424D5">
        <w:rPr>
          <w:rFonts w:ascii="Calibri-BoldItalic" w:eastAsiaTheme="minorHAnsi" w:hAnsi="Calibri-BoldItalic" w:cs="Calibri-BoldItalic"/>
          <w:b/>
          <w:bCs/>
          <w:i/>
          <w:iCs/>
          <w:color w:val="BFBFBF" w:themeColor="background1" w:themeShade="BF"/>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4ED3851B" w14:textId="77777777" w:rsidR="00D12F41" w:rsidRPr="002424D5" w:rsidRDefault="00D12F41" w:rsidP="00DB3627">
      <w:pPr>
        <w:autoSpaceDE w:val="0"/>
        <w:autoSpaceDN w:val="0"/>
        <w:adjustRightInd w:val="0"/>
        <w:spacing w:after="0" w:line="240" w:lineRule="auto"/>
        <w:rPr>
          <w:rFonts w:cs="Times New Roman"/>
          <w:bCs/>
          <w:color w:val="BFBFBF" w:themeColor="background1" w:themeShade="BF"/>
        </w:rPr>
      </w:pPr>
    </w:p>
    <w:p w14:paraId="6EF753E6" w14:textId="45AE2C6B" w:rsidR="00D12F41" w:rsidRPr="002424D5" w:rsidRDefault="009C7513" w:rsidP="002424D5">
      <w:pPr>
        <w:autoSpaceDE w:val="0"/>
        <w:autoSpaceDN w:val="0"/>
        <w:adjustRightInd w:val="0"/>
        <w:spacing w:after="0" w:line="240" w:lineRule="auto"/>
        <w:rPr>
          <w:rFonts w:cs="Times New Roman"/>
          <w:bCs/>
          <w:color w:val="BFBFBF" w:themeColor="background1" w:themeShade="BF"/>
        </w:rPr>
      </w:pPr>
      <w:r w:rsidRPr="002424D5">
        <w:rPr>
          <w:rFonts w:cstheme="minorHAnsi"/>
          <w:b/>
          <w:bCs/>
          <w:color w:val="BFBFBF" w:themeColor="background1" w:themeShade="BF"/>
        </w:rPr>
        <w:t>2b5</w:t>
      </w:r>
      <w:r w:rsidR="00E1508F" w:rsidRPr="002424D5">
        <w:rPr>
          <w:rFonts w:cstheme="minorHAnsi"/>
          <w:b/>
          <w:bCs/>
          <w:color w:val="BFBFBF" w:themeColor="background1" w:themeShade="BF"/>
        </w:rPr>
        <w:t xml:space="preserve">.1. </w:t>
      </w:r>
      <w:r w:rsidR="008871A9" w:rsidRPr="002424D5">
        <w:rPr>
          <w:rFonts w:cstheme="minorHAnsi"/>
          <w:b/>
          <w:bCs/>
          <w:color w:val="BFBFBF" w:themeColor="background1" w:themeShade="BF"/>
        </w:rPr>
        <w:t xml:space="preserve">Describe the method of </w:t>
      </w:r>
      <w:r w:rsidR="000F06B5" w:rsidRPr="002424D5">
        <w:rPr>
          <w:rFonts w:cstheme="minorHAnsi"/>
          <w:b/>
          <w:bCs/>
          <w:color w:val="BFBFBF" w:themeColor="background1" w:themeShade="BF"/>
        </w:rPr>
        <w:t>testing conducted</w:t>
      </w:r>
      <w:r w:rsidR="008871A9" w:rsidRPr="002424D5">
        <w:rPr>
          <w:rFonts w:cstheme="minorHAnsi"/>
          <w:b/>
          <w:bCs/>
          <w:color w:val="BFBFBF" w:themeColor="background1" w:themeShade="BF"/>
        </w:rPr>
        <w:t xml:space="preserve"> to </w:t>
      </w:r>
      <w:r w:rsidR="00F1412B" w:rsidRPr="002424D5">
        <w:rPr>
          <w:rFonts w:cstheme="minorHAnsi"/>
          <w:b/>
          <w:bCs/>
          <w:color w:val="BFBFBF" w:themeColor="background1" w:themeShade="BF"/>
        </w:rPr>
        <w:t>compare</w:t>
      </w:r>
      <w:r w:rsidR="004B6CEE" w:rsidRPr="002424D5">
        <w:rPr>
          <w:rFonts w:cstheme="minorHAnsi"/>
          <w:b/>
          <w:bCs/>
          <w:color w:val="BFBFBF" w:themeColor="background1" w:themeShade="BF"/>
        </w:rPr>
        <w:t xml:space="preserve"> performance scores </w:t>
      </w:r>
      <w:r w:rsidR="00A35F8F" w:rsidRPr="002424D5">
        <w:rPr>
          <w:rFonts w:cstheme="minorHAnsi"/>
          <w:b/>
          <w:bCs/>
          <w:color w:val="BFBFBF" w:themeColor="background1" w:themeShade="BF"/>
        </w:rPr>
        <w:t xml:space="preserve">for the same entities </w:t>
      </w:r>
      <w:r w:rsidR="00287649" w:rsidRPr="002424D5">
        <w:rPr>
          <w:rFonts w:cstheme="minorHAnsi"/>
          <w:b/>
          <w:bCs/>
          <w:color w:val="BFBFBF" w:themeColor="background1" w:themeShade="BF"/>
        </w:rPr>
        <w:t xml:space="preserve">across the different </w:t>
      </w:r>
      <w:r w:rsidR="00864CA8" w:rsidRPr="002424D5">
        <w:rPr>
          <w:rFonts w:cstheme="minorHAnsi"/>
          <w:b/>
          <w:bCs/>
          <w:color w:val="BFBFBF" w:themeColor="background1" w:themeShade="BF"/>
        </w:rPr>
        <w:t>data</w:t>
      </w:r>
      <w:r w:rsidR="0028114D" w:rsidRPr="002424D5">
        <w:rPr>
          <w:rFonts w:cstheme="minorHAnsi"/>
          <w:b/>
          <w:bCs/>
          <w:color w:val="BFBFBF" w:themeColor="background1" w:themeShade="BF"/>
        </w:rPr>
        <w:t xml:space="preserve"> </w:t>
      </w:r>
      <w:r w:rsidR="00864CA8" w:rsidRPr="002424D5">
        <w:rPr>
          <w:rFonts w:cstheme="minorHAnsi"/>
          <w:b/>
          <w:bCs/>
          <w:color w:val="BFBFBF" w:themeColor="background1" w:themeShade="BF"/>
        </w:rPr>
        <w:t>sources/</w:t>
      </w:r>
      <w:r w:rsidR="00287649" w:rsidRPr="002424D5">
        <w:rPr>
          <w:rFonts w:cstheme="minorHAnsi"/>
          <w:b/>
          <w:bCs/>
          <w:color w:val="BFBFBF" w:themeColor="background1" w:themeShade="BF"/>
        </w:rPr>
        <w:t>specifications</w:t>
      </w:r>
      <w:r w:rsidR="000F06B5" w:rsidRPr="002424D5">
        <w:rPr>
          <w:rFonts w:cstheme="minorHAnsi"/>
          <w:bCs/>
          <w:color w:val="BFBFBF" w:themeColor="background1" w:themeShade="BF"/>
        </w:rPr>
        <w:t xml:space="preserve"> (</w:t>
      </w:r>
      <w:r w:rsidR="008871A9" w:rsidRPr="002424D5">
        <w:rPr>
          <w:rFonts w:cstheme="minorHAnsi"/>
          <w:bCs/>
          <w:i/>
          <w:color w:val="BFBFBF" w:themeColor="background1" w:themeShade="BF"/>
        </w:rPr>
        <w:t>describe the steps―do not just name a method</w:t>
      </w:r>
      <w:r w:rsidR="006C3A4F" w:rsidRPr="002424D5">
        <w:rPr>
          <w:rFonts w:cstheme="minorHAnsi"/>
          <w:bCs/>
          <w:i/>
          <w:color w:val="BFBFBF" w:themeColor="background1" w:themeShade="BF"/>
        </w:rPr>
        <w:t>; what statistical analysis was used</w:t>
      </w:r>
      <w:r w:rsidR="000F06B5" w:rsidRPr="002424D5">
        <w:rPr>
          <w:rFonts w:cstheme="minorHAnsi"/>
          <w:bCs/>
          <w:color w:val="BFBFBF" w:themeColor="background1" w:themeShade="BF"/>
        </w:rPr>
        <w:t>)</w:t>
      </w:r>
      <w:r w:rsidR="000F06B5" w:rsidRPr="002424D5">
        <w:rPr>
          <w:rFonts w:cstheme="minorHAnsi"/>
          <w:bCs/>
          <w:color w:val="BFBFBF" w:themeColor="background1" w:themeShade="BF"/>
        </w:rPr>
        <w:br/>
      </w:r>
    </w:p>
    <w:p w14:paraId="0CABD014" w14:textId="77777777" w:rsidR="000F06B5" w:rsidRPr="002424D5" w:rsidRDefault="000F06B5" w:rsidP="00DB3627">
      <w:pPr>
        <w:pStyle w:val="ListParagraph"/>
        <w:autoSpaceDE w:val="0"/>
        <w:autoSpaceDN w:val="0"/>
        <w:adjustRightInd w:val="0"/>
        <w:spacing w:after="0" w:line="240" w:lineRule="auto"/>
        <w:ind w:left="0"/>
        <w:rPr>
          <w:rFonts w:cstheme="minorHAnsi"/>
          <w:bCs/>
          <w:color w:val="BFBFBF" w:themeColor="background1" w:themeShade="BF"/>
        </w:rPr>
      </w:pPr>
    </w:p>
    <w:p w14:paraId="7465032A" w14:textId="22A0022A" w:rsidR="00D12F41" w:rsidRPr="002424D5" w:rsidRDefault="009C7513" w:rsidP="002424D5">
      <w:pPr>
        <w:autoSpaceDE w:val="0"/>
        <w:autoSpaceDN w:val="0"/>
        <w:adjustRightInd w:val="0"/>
        <w:spacing w:after="0" w:line="240" w:lineRule="auto"/>
        <w:rPr>
          <w:rFonts w:cs="Times New Roman"/>
          <w:bCs/>
          <w:color w:val="BFBFBF" w:themeColor="background1" w:themeShade="BF"/>
        </w:rPr>
      </w:pPr>
      <w:r w:rsidRPr="002424D5">
        <w:rPr>
          <w:rFonts w:cstheme="minorHAnsi"/>
          <w:b/>
          <w:bCs/>
          <w:color w:val="BFBFBF" w:themeColor="background1" w:themeShade="BF"/>
        </w:rPr>
        <w:t>2b5</w:t>
      </w:r>
      <w:r w:rsidR="00E1508F" w:rsidRPr="002424D5">
        <w:rPr>
          <w:rFonts w:cstheme="minorHAnsi"/>
          <w:b/>
          <w:bCs/>
          <w:color w:val="BFBFBF" w:themeColor="background1" w:themeShade="BF"/>
        </w:rPr>
        <w:t xml:space="preserve">.2. </w:t>
      </w:r>
      <w:r w:rsidR="000F06B5" w:rsidRPr="002424D5">
        <w:rPr>
          <w:rFonts w:cstheme="minorHAnsi"/>
          <w:b/>
          <w:bCs/>
          <w:color w:val="BFBFBF" w:themeColor="background1" w:themeShade="BF"/>
        </w:rPr>
        <w:t xml:space="preserve">What were the statistical results </w:t>
      </w:r>
      <w:r w:rsidR="00A35F8F" w:rsidRPr="002424D5">
        <w:rPr>
          <w:rFonts w:cstheme="minorHAnsi"/>
          <w:b/>
          <w:bCs/>
          <w:color w:val="BFBFBF" w:themeColor="background1" w:themeShade="BF"/>
        </w:rPr>
        <w:t>from testing</w:t>
      </w:r>
      <w:r w:rsidR="000F06B5" w:rsidRPr="002424D5">
        <w:rPr>
          <w:rFonts w:cstheme="minorHAnsi"/>
          <w:b/>
          <w:bCs/>
          <w:color w:val="BFBFBF" w:themeColor="background1" w:themeShade="BF"/>
        </w:rPr>
        <w:t xml:space="preserve"> comparability of performance scores for the same entities when using different </w:t>
      </w:r>
      <w:r w:rsidR="00864CA8" w:rsidRPr="002424D5">
        <w:rPr>
          <w:rFonts w:cstheme="minorHAnsi"/>
          <w:b/>
          <w:bCs/>
          <w:color w:val="BFBFBF" w:themeColor="background1" w:themeShade="BF"/>
        </w:rPr>
        <w:t>data sources/</w:t>
      </w:r>
      <w:r w:rsidR="000F06B5" w:rsidRPr="002424D5">
        <w:rPr>
          <w:rFonts w:cstheme="minorHAnsi"/>
          <w:b/>
          <w:bCs/>
          <w:color w:val="BFBFBF" w:themeColor="background1" w:themeShade="BF"/>
        </w:rPr>
        <w:t>specifications?</w:t>
      </w:r>
      <w:r w:rsidR="000F06B5" w:rsidRPr="002424D5">
        <w:rPr>
          <w:rFonts w:cstheme="minorHAnsi"/>
          <w:bCs/>
          <w:color w:val="BFBFBF" w:themeColor="background1" w:themeShade="BF"/>
        </w:rPr>
        <w:t xml:space="preserve"> </w:t>
      </w:r>
      <w:r w:rsidR="00287649" w:rsidRPr="002424D5">
        <w:rPr>
          <w:rFonts w:cstheme="minorHAnsi"/>
          <w:bCs/>
          <w:color w:val="BFBFBF" w:themeColor="background1" w:themeShade="BF"/>
        </w:rPr>
        <w:t>(</w:t>
      </w:r>
      <w:r w:rsidR="00287649" w:rsidRPr="002424D5">
        <w:rPr>
          <w:rFonts w:cstheme="minorHAnsi"/>
          <w:bCs/>
          <w:i/>
          <w:color w:val="BFBFBF" w:themeColor="background1" w:themeShade="BF"/>
        </w:rPr>
        <w:t>e.g., correlation</w:t>
      </w:r>
      <w:r w:rsidR="006C3A4F" w:rsidRPr="002424D5">
        <w:rPr>
          <w:rFonts w:cstheme="minorHAnsi"/>
          <w:bCs/>
          <w:i/>
          <w:color w:val="BFBFBF" w:themeColor="background1" w:themeShade="BF"/>
        </w:rPr>
        <w:t>, rank order</w:t>
      </w:r>
      <w:r w:rsidR="00287649" w:rsidRPr="002424D5">
        <w:rPr>
          <w:rFonts w:cstheme="minorHAnsi"/>
          <w:bCs/>
          <w:color w:val="BFBFBF" w:themeColor="background1" w:themeShade="BF"/>
        </w:rPr>
        <w:t>)</w:t>
      </w:r>
      <w:r w:rsidR="000F06B5" w:rsidRPr="002424D5">
        <w:rPr>
          <w:rFonts w:cstheme="minorHAnsi"/>
          <w:bCs/>
          <w:color w:val="BFBFBF" w:themeColor="background1" w:themeShade="BF"/>
        </w:rPr>
        <w:br/>
      </w:r>
    </w:p>
    <w:p w14:paraId="0CABD016" w14:textId="77777777" w:rsidR="00E1508F" w:rsidRPr="002424D5" w:rsidRDefault="00E1508F" w:rsidP="00E1508F">
      <w:pPr>
        <w:autoSpaceDE w:val="0"/>
        <w:autoSpaceDN w:val="0"/>
        <w:adjustRightInd w:val="0"/>
        <w:spacing w:after="0" w:line="240" w:lineRule="auto"/>
        <w:rPr>
          <w:rFonts w:cstheme="minorHAnsi"/>
          <w:bCs/>
          <w:color w:val="BFBFBF" w:themeColor="background1" w:themeShade="BF"/>
        </w:rPr>
      </w:pPr>
    </w:p>
    <w:p w14:paraId="77EFCF1B" w14:textId="7BBD96A9" w:rsidR="00D12F41" w:rsidRDefault="009C7513" w:rsidP="002424D5">
      <w:pPr>
        <w:spacing w:after="0" w:line="240" w:lineRule="auto"/>
        <w:rPr>
          <w:rFonts w:cs="Times New Roman"/>
          <w:bCs/>
          <w:color w:val="0070C0"/>
        </w:rPr>
      </w:pPr>
      <w:r w:rsidRPr="002424D5">
        <w:rPr>
          <w:rFonts w:cstheme="minorHAnsi"/>
          <w:b/>
          <w:bCs/>
          <w:color w:val="BFBFBF" w:themeColor="background1" w:themeShade="BF"/>
        </w:rPr>
        <w:t>2b5</w:t>
      </w:r>
      <w:r w:rsidR="00E1508F" w:rsidRPr="002424D5">
        <w:rPr>
          <w:rFonts w:cstheme="minorHAnsi"/>
          <w:b/>
          <w:bCs/>
          <w:color w:val="BFBFBF" w:themeColor="background1" w:themeShade="BF"/>
        </w:rPr>
        <w:t xml:space="preserve">.3. </w:t>
      </w:r>
      <w:r w:rsidR="002B0C3A" w:rsidRPr="002424D5">
        <w:rPr>
          <w:rFonts w:cstheme="minorHAnsi"/>
          <w:b/>
          <w:bCs/>
          <w:color w:val="BFBFBF" w:themeColor="background1" w:themeShade="BF"/>
        </w:rPr>
        <w:t xml:space="preserve">What is your interpretation of the results </w:t>
      </w:r>
      <w:r w:rsidR="00A35F8F" w:rsidRPr="002424D5">
        <w:rPr>
          <w:rFonts w:cstheme="minorHAnsi"/>
          <w:b/>
          <w:bCs/>
          <w:color w:val="BFBFBF" w:themeColor="background1" w:themeShade="BF"/>
        </w:rPr>
        <w:t xml:space="preserve">in terms of </w:t>
      </w:r>
      <w:r w:rsidR="00F1412B" w:rsidRPr="002424D5">
        <w:rPr>
          <w:rFonts w:cstheme="minorHAnsi"/>
          <w:b/>
          <w:bCs/>
          <w:color w:val="BFBFBF" w:themeColor="background1" w:themeShade="BF"/>
        </w:rPr>
        <w:t>the differences in</w:t>
      </w:r>
      <w:r w:rsidR="002B0C3A" w:rsidRPr="002424D5">
        <w:rPr>
          <w:rFonts w:cstheme="minorHAnsi"/>
          <w:b/>
          <w:bCs/>
          <w:color w:val="BFBFBF" w:themeColor="background1" w:themeShade="BF"/>
        </w:rPr>
        <w:t xml:space="preserve"> performance measure scores </w:t>
      </w:r>
      <w:r w:rsidR="00287649" w:rsidRPr="002424D5">
        <w:rPr>
          <w:rFonts w:cstheme="minorHAnsi"/>
          <w:b/>
          <w:bCs/>
          <w:color w:val="BFBFBF" w:themeColor="background1" w:themeShade="BF"/>
        </w:rPr>
        <w:t xml:space="preserve">for the same entities across the different </w:t>
      </w:r>
      <w:r w:rsidR="00864CA8" w:rsidRPr="002424D5">
        <w:rPr>
          <w:rFonts w:cstheme="minorHAnsi"/>
          <w:b/>
          <w:bCs/>
          <w:color w:val="BFBFBF" w:themeColor="background1" w:themeShade="BF"/>
        </w:rPr>
        <w:t>data sources/</w:t>
      </w:r>
      <w:r w:rsidR="00287649" w:rsidRPr="002424D5">
        <w:rPr>
          <w:rFonts w:cstheme="minorHAnsi"/>
          <w:b/>
          <w:bCs/>
          <w:color w:val="BFBFBF" w:themeColor="background1" w:themeShade="BF"/>
        </w:rPr>
        <w:t>specifications</w:t>
      </w:r>
      <w:r w:rsidR="002B0C3A" w:rsidRPr="002424D5">
        <w:rPr>
          <w:rFonts w:cstheme="minorHAnsi"/>
          <w:b/>
          <w:bCs/>
          <w:color w:val="BFBFBF" w:themeColor="background1" w:themeShade="BF"/>
        </w:rPr>
        <w:t>?</w:t>
      </w:r>
      <w:r w:rsidR="00A35F8F" w:rsidRPr="002424D5">
        <w:rPr>
          <w:rFonts w:cstheme="minorHAnsi"/>
          <w:bCs/>
          <w:color w:val="BFBFBF" w:themeColor="background1" w:themeShade="BF"/>
        </w:rPr>
        <w:t xml:space="preserve"> </w:t>
      </w:r>
      <w:r w:rsidR="002B0C3A" w:rsidRPr="002424D5">
        <w:rPr>
          <w:rFonts w:cstheme="minorHAnsi"/>
          <w:bCs/>
          <w:color w:val="BFBFBF" w:themeColor="background1" w:themeShade="BF"/>
        </w:rPr>
        <w:t>(i</w:t>
      </w:r>
      <w:r w:rsidR="002B0C3A" w:rsidRPr="002424D5">
        <w:rPr>
          <w:rFonts w:cstheme="minorHAnsi"/>
          <w:bCs/>
          <w:i/>
          <w:color w:val="BFBFBF" w:themeColor="background1" w:themeShade="BF"/>
        </w:rPr>
        <w:t>.e., what do the results mean and what are the norms for the test conducted</w:t>
      </w:r>
      <w:r w:rsidR="002B0C3A" w:rsidRPr="002424D5">
        <w:rPr>
          <w:rFonts w:cstheme="minorHAnsi"/>
          <w:bCs/>
          <w:color w:val="BFBFBF" w:themeColor="background1" w:themeShade="BF"/>
        </w:rPr>
        <w:t>)</w:t>
      </w:r>
      <w:bookmarkStart w:id="15" w:name="_GoBack"/>
      <w:bookmarkEnd w:id="15"/>
    </w:p>
    <w:p w14:paraId="0CABD017" w14:textId="0C9FD55C" w:rsidR="0079180E" w:rsidRDefault="0079180E"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149B7" w14:textId="77777777" w:rsidR="00D12F41" w:rsidRDefault="009C7513" w:rsidP="00D12F41">
      <w:pPr>
        <w:spacing w:after="0" w:line="240" w:lineRule="auto"/>
        <w:rPr>
          <w:rFonts w:cs="Times New Roman"/>
          <w:bCs/>
          <w:color w:val="0070C0"/>
          <w:u w:val="single"/>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r w:rsidR="00D12F41" w:rsidRPr="00E768B5">
        <w:rPr>
          <w:rFonts w:cs="Times New Roman"/>
          <w:bCs/>
          <w:color w:val="0070C0"/>
          <w:u w:val="single"/>
        </w:rPr>
        <w:t>2014 Submission:</w:t>
      </w:r>
    </w:p>
    <w:p w14:paraId="0CABD01B" w14:textId="77BFC71A" w:rsidR="008F7E67" w:rsidRPr="00D12F41" w:rsidRDefault="00ED5EF1" w:rsidP="008F7E67">
      <w:pPr>
        <w:autoSpaceDE w:val="0"/>
        <w:autoSpaceDN w:val="0"/>
        <w:adjustRightInd w:val="0"/>
        <w:spacing w:after="0" w:line="240" w:lineRule="auto"/>
        <w:rPr>
          <w:rFonts w:cs="Times New Roman"/>
          <w:bCs/>
          <w:color w:val="0070C0"/>
        </w:rPr>
      </w:pPr>
      <w:r w:rsidRPr="00D12F41">
        <w:rPr>
          <w:rFonts w:cs="Times New Roman"/>
          <w:bCs/>
          <w:color w:val="0070C0"/>
        </w:rPr>
        <w:t xml:space="preserve">This measure is collected with a complete sample through medical record review, there is no missing data on this measure. </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58696DBE" w14:textId="77777777" w:rsidR="00D12F41" w:rsidRDefault="009C7513" w:rsidP="00D12F41">
      <w:pPr>
        <w:spacing w:after="0" w:line="240" w:lineRule="auto"/>
        <w:rPr>
          <w:rFonts w:cs="Times New Roman"/>
          <w:bCs/>
          <w:color w:val="0070C0"/>
          <w:u w:val="single"/>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 xml:space="preserve">effect of </w:t>
      </w:r>
      <w:r w:rsidR="00145D4F" w:rsidRPr="00FC5DE1">
        <w:rPr>
          <w:rFonts w:cstheme="minorHAnsi"/>
          <w:bCs/>
          <w:i/>
        </w:rPr>
        <w:lastRenderedPageBreak/>
        <w:t>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r w:rsidR="00D12F41" w:rsidRPr="00E768B5">
        <w:rPr>
          <w:rFonts w:cs="Times New Roman"/>
          <w:bCs/>
          <w:color w:val="0070C0"/>
          <w:u w:val="single"/>
        </w:rPr>
        <w:t>2014 Submission:</w:t>
      </w:r>
    </w:p>
    <w:p w14:paraId="4A75EAAE" w14:textId="77777777" w:rsidR="00ED5EF1" w:rsidRPr="00D12F41" w:rsidRDefault="00ED5EF1" w:rsidP="00ED5EF1">
      <w:pPr>
        <w:autoSpaceDE w:val="0"/>
        <w:autoSpaceDN w:val="0"/>
        <w:adjustRightInd w:val="0"/>
        <w:spacing w:after="0" w:line="240" w:lineRule="auto"/>
        <w:rPr>
          <w:rFonts w:cs="Times New Roman"/>
          <w:bCs/>
          <w:color w:val="0070C0"/>
        </w:rPr>
      </w:pPr>
      <w:r w:rsidRPr="00D12F41">
        <w:rPr>
          <w:rFonts w:cs="Times New Roman"/>
          <w:bCs/>
          <w:color w:val="0070C0"/>
        </w:rPr>
        <w:t xml:space="preserve">This measure is collected with a complete sample through medical record review, there is no missing data on this measure. </w:t>
      </w:r>
    </w:p>
    <w:p w14:paraId="0CABD01E" w14:textId="5CE9DFC0"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80380F0" w14:textId="77777777" w:rsidR="00D12F41" w:rsidRDefault="00D12F41" w:rsidP="00D12F41">
      <w:pPr>
        <w:spacing w:after="0" w:line="240" w:lineRule="auto"/>
        <w:rPr>
          <w:rFonts w:cs="Times New Roman"/>
          <w:bCs/>
          <w:color w:val="0070C0"/>
          <w:u w:val="single"/>
        </w:rPr>
      </w:pPr>
      <w:r w:rsidRPr="00E768B5">
        <w:rPr>
          <w:rFonts w:cs="Times New Roman"/>
          <w:bCs/>
          <w:color w:val="0070C0"/>
          <w:u w:val="single"/>
        </w:rPr>
        <w:t>2014 Submission:</w:t>
      </w:r>
    </w:p>
    <w:p w14:paraId="6426D640" w14:textId="77777777" w:rsidR="00ED5EF1" w:rsidRPr="00D12F41" w:rsidRDefault="00ED5EF1" w:rsidP="00ED5EF1">
      <w:pPr>
        <w:autoSpaceDE w:val="0"/>
        <w:autoSpaceDN w:val="0"/>
        <w:adjustRightInd w:val="0"/>
        <w:spacing w:after="0" w:line="240" w:lineRule="auto"/>
        <w:rPr>
          <w:rFonts w:cs="Times New Roman"/>
          <w:bCs/>
          <w:color w:val="0070C0"/>
        </w:rPr>
      </w:pPr>
      <w:r w:rsidRPr="00D12F41">
        <w:rPr>
          <w:rFonts w:cs="Times New Roman"/>
          <w:bCs/>
          <w:color w:val="0070C0"/>
        </w:rPr>
        <w:t xml:space="preserve">This measure is collected with a complete sample through medical record review, there is no missing data on this measure. </w:t>
      </w:r>
    </w:p>
    <w:p w14:paraId="40F6541B" w14:textId="77777777" w:rsidR="00ED5EF1" w:rsidRPr="00F77FDE" w:rsidRDefault="00ED5EF1" w:rsidP="00ED5EF1">
      <w:pPr>
        <w:autoSpaceDE w:val="0"/>
        <w:autoSpaceDN w:val="0"/>
        <w:adjustRightInd w:val="0"/>
        <w:spacing w:after="0" w:line="240" w:lineRule="auto"/>
        <w:rPr>
          <w:rFonts w:cstheme="minorHAnsi"/>
          <w:bCs/>
        </w:rPr>
      </w:pPr>
    </w:p>
    <w:p w14:paraId="0CABD020" w14:textId="77777777"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7EE675" w14:textId="77777777" w:rsidR="006507C2" w:rsidRDefault="006507C2" w:rsidP="005C73CA">
      <w:pPr>
        <w:spacing w:after="0" w:line="240" w:lineRule="auto"/>
      </w:pPr>
      <w:r>
        <w:separator/>
      </w:r>
    </w:p>
  </w:endnote>
  <w:endnote w:type="continuationSeparator" w:id="0">
    <w:p w14:paraId="2E8654B5" w14:textId="77777777" w:rsidR="006507C2" w:rsidRDefault="006507C2"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266DC794"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2424D5">
      <w:rPr>
        <w:noProof/>
      </w:rPr>
      <w:t>9</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40F93" w14:textId="77777777" w:rsidR="006507C2" w:rsidRDefault="006507C2" w:rsidP="005C73CA">
      <w:pPr>
        <w:spacing w:after="0" w:line="240" w:lineRule="auto"/>
      </w:pPr>
      <w:r>
        <w:separator/>
      </w:r>
    </w:p>
  </w:footnote>
  <w:footnote w:type="continuationSeparator" w:id="0">
    <w:p w14:paraId="5DA1123A" w14:textId="77777777" w:rsidR="006507C2" w:rsidRDefault="006507C2"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55079EC"/>
    <w:multiLevelType w:val="hybridMultilevel"/>
    <w:tmpl w:val="FAE6DD9C"/>
    <w:lvl w:ilvl="0" w:tplc="8F507604">
      <w:numFmt w:val="bullet"/>
      <w:lvlText w:val="-"/>
      <w:lvlJc w:val="left"/>
      <w:pPr>
        <w:ind w:left="720" w:hanging="360"/>
      </w:pPr>
      <w:rPr>
        <w:rFonts w:ascii="Calibri" w:eastAsiaTheme="minorEastAsia"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8"/>
  </w:num>
  <w:num w:numId="27">
    <w:abstractNumId w:val="0"/>
  </w:num>
  <w:num w:numId="28">
    <w:abstractNumId w:val="9"/>
  </w:num>
  <w:num w:numId="29">
    <w:abstractNumId w:val="17"/>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3F21"/>
    <w:rsid w:val="001969C5"/>
    <w:rsid w:val="001A6CDD"/>
    <w:rsid w:val="001C12EE"/>
    <w:rsid w:val="001C7B02"/>
    <w:rsid w:val="001E4DD4"/>
    <w:rsid w:val="001E69DC"/>
    <w:rsid w:val="001F169D"/>
    <w:rsid w:val="001F1DA1"/>
    <w:rsid w:val="001F6F93"/>
    <w:rsid w:val="001F7A20"/>
    <w:rsid w:val="0021054A"/>
    <w:rsid w:val="0021195A"/>
    <w:rsid w:val="00213383"/>
    <w:rsid w:val="00220250"/>
    <w:rsid w:val="00222444"/>
    <w:rsid w:val="0022691B"/>
    <w:rsid w:val="00232163"/>
    <w:rsid w:val="00233274"/>
    <w:rsid w:val="002376F8"/>
    <w:rsid w:val="002408E4"/>
    <w:rsid w:val="00241591"/>
    <w:rsid w:val="002424D5"/>
    <w:rsid w:val="00250B4F"/>
    <w:rsid w:val="0025762F"/>
    <w:rsid w:val="00275563"/>
    <w:rsid w:val="0028114D"/>
    <w:rsid w:val="00285214"/>
    <w:rsid w:val="00287649"/>
    <w:rsid w:val="00287E84"/>
    <w:rsid w:val="0029286C"/>
    <w:rsid w:val="0029300E"/>
    <w:rsid w:val="002B0C3A"/>
    <w:rsid w:val="002B2116"/>
    <w:rsid w:val="002B2D9B"/>
    <w:rsid w:val="002B5016"/>
    <w:rsid w:val="002B742C"/>
    <w:rsid w:val="002B79F3"/>
    <w:rsid w:val="002B7F4D"/>
    <w:rsid w:val="002C285C"/>
    <w:rsid w:val="002C7BE4"/>
    <w:rsid w:val="002D417D"/>
    <w:rsid w:val="002D5E5D"/>
    <w:rsid w:val="002D6BAE"/>
    <w:rsid w:val="002E78A0"/>
    <w:rsid w:val="002F2687"/>
    <w:rsid w:val="002F48E1"/>
    <w:rsid w:val="002F4F3B"/>
    <w:rsid w:val="00304C86"/>
    <w:rsid w:val="003059EB"/>
    <w:rsid w:val="003116AC"/>
    <w:rsid w:val="00315567"/>
    <w:rsid w:val="00330144"/>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C5F11"/>
    <w:rsid w:val="003D294B"/>
    <w:rsid w:val="003D6401"/>
    <w:rsid w:val="003E1863"/>
    <w:rsid w:val="0041606D"/>
    <w:rsid w:val="00416962"/>
    <w:rsid w:val="0042032B"/>
    <w:rsid w:val="004206A8"/>
    <w:rsid w:val="004348CC"/>
    <w:rsid w:val="00450C58"/>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37C1B"/>
    <w:rsid w:val="0055007C"/>
    <w:rsid w:val="00554922"/>
    <w:rsid w:val="00555282"/>
    <w:rsid w:val="005560E7"/>
    <w:rsid w:val="00556AB8"/>
    <w:rsid w:val="005612CC"/>
    <w:rsid w:val="00563029"/>
    <w:rsid w:val="00565946"/>
    <w:rsid w:val="00567D12"/>
    <w:rsid w:val="00576062"/>
    <w:rsid w:val="0059559F"/>
    <w:rsid w:val="005A49FF"/>
    <w:rsid w:val="005A7634"/>
    <w:rsid w:val="005B6F04"/>
    <w:rsid w:val="005C0447"/>
    <w:rsid w:val="005C739F"/>
    <w:rsid w:val="005C73CA"/>
    <w:rsid w:val="005D2579"/>
    <w:rsid w:val="005D4768"/>
    <w:rsid w:val="005E2CAB"/>
    <w:rsid w:val="005E429E"/>
    <w:rsid w:val="00601ED4"/>
    <w:rsid w:val="006030BC"/>
    <w:rsid w:val="00612866"/>
    <w:rsid w:val="00616EB5"/>
    <w:rsid w:val="006269D4"/>
    <w:rsid w:val="006327D8"/>
    <w:rsid w:val="0064070A"/>
    <w:rsid w:val="00643A01"/>
    <w:rsid w:val="006507C2"/>
    <w:rsid w:val="00651D44"/>
    <w:rsid w:val="006574D2"/>
    <w:rsid w:val="00663563"/>
    <w:rsid w:val="0066742D"/>
    <w:rsid w:val="006676D4"/>
    <w:rsid w:val="00675535"/>
    <w:rsid w:val="00681359"/>
    <w:rsid w:val="0069157C"/>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6709F"/>
    <w:rsid w:val="00870E6C"/>
    <w:rsid w:val="00875846"/>
    <w:rsid w:val="00884486"/>
    <w:rsid w:val="00886D17"/>
    <w:rsid w:val="008871A9"/>
    <w:rsid w:val="008916BA"/>
    <w:rsid w:val="00892176"/>
    <w:rsid w:val="008A1DB7"/>
    <w:rsid w:val="008A403A"/>
    <w:rsid w:val="008A4C13"/>
    <w:rsid w:val="008B604D"/>
    <w:rsid w:val="008C54A9"/>
    <w:rsid w:val="008E1146"/>
    <w:rsid w:val="008E3BC6"/>
    <w:rsid w:val="008E67C3"/>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94BE0"/>
    <w:rsid w:val="009A25B1"/>
    <w:rsid w:val="009A4608"/>
    <w:rsid w:val="009A6A57"/>
    <w:rsid w:val="009A70BF"/>
    <w:rsid w:val="009B1A15"/>
    <w:rsid w:val="009C0852"/>
    <w:rsid w:val="009C13CA"/>
    <w:rsid w:val="009C32C6"/>
    <w:rsid w:val="009C665F"/>
    <w:rsid w:val="009C7513"/>
    <w:rsid w:val="009D2E8B"/>
    <w:rsid w:val="009D3882"/>
    <w:rsid w:val="009D7E38"/>
    <w:rsid w:val="009E095B"/>
    <w:rsid w:val="009E1846"/>
    <w:rsid w:val="009E78FF"/>
    <w:rsid w:val="009F7935"/>
    <w:rsid w:val="00A01494"/>
    <w:rsid w:val="00A22FA9"/>
    <w:rsid w:val="00A23AA3"/>
    <w:rsid w:val="00A25024"/>
    <w:rsid w:val="00A35F8F"/>
    <w:rsid w:val="00A41377"/>
    <w:rsid w:val="00A4263D"/>
    <w:rsid w:val="00A509B8"/>
    <w:rsid w:val="00A52AB9"/>
    <w:rsid w:val="00A6210B"/>
    <w:rsid w:val="00A64EBF"/>
    <w:rsid w:val="00A71200"/>
    <w:rsid w:val="00A7323A"/>
    <w:rsid w:val="00A76B21"/>
    <w:rsid w:val="00A831B4"/>
    <w:rsid w:val="00A97798"/>
    <w:rsid w:val="00AA5213"/>
    <w:rsid w:val="00AA65A6"/>
    <w:rsid w:val="00AC1D8E"/>
    <w:rsid w:val="00AC48FA"/>
    <w:rsid w:val="00AD0240"/>
    <w:rsid w:val="00AD4137"/>
    <w:rsid w:val="00AF2D68"/>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1551"/>
    <w:rsid w:val="00C41680"/>
    <w:rsid w:val="00C60A25"/>
    <w:rsid w:val="00C765C5"/>
    <w:rsid w:val="00C775CE"/>
    <w:rsid w:val="00C82479"/>
    <w:rsid w:val="00C867F0"/>
    <w:rsid w:val="00CA06D8"/>
    <w:rsid w:val="00CA345A"/>
    <w:rsid w:val="00CA39B5"/>
    <w:rsid w:val="00CB49FF"/>
    <w:rsid w:val="00CC02CF"/>
    <w:rsid w:val="00CC086A"/>
    <w:rsid w:val="00CD0E24"/>
    <w:rsid w:val="00CD0F66"/>
    <w:rsid w:val="00CD364B"/>
    <w:rsid w:val="00CE23B8"/>
    <w:rsid w:val="00CE284E"/>
    <w:rsid w:val="00CE50D7"/>
    <w:rsid w:val="00CF4CBE"/>
    <w:rsid w:val="00CF685B"/>
    <w:rsid w:val="00D00344"/>
    <w:rsid w:val="00D12F41"/>
    <w:rsid w:val="00D1754D"/>
    <w:rsid w:val="00D2223F"/>
    <w:rsid w:val="00D274A4"/>
    <w:rsid w:val="00D277AF"/>
    <w:rsid w:val="00D31163"/>
    <w:rsid w:val="00D31F12"/>
    <w:rsid w:val="00D320B1"/>
    <w:rsid w:val="00D33AFD"/>
    <w:rsid w:val="00D36489"/>
    <w:rsid w:val="00D369E9"/>
    <w:rsid w:val="00D42195"/>
    <w:rsid w:val="00D50704"/>
    <w:rsid w:val="00D5760A"/>
    <w:rsid w:val="00D61410"/>
    <w:rsid w:val="00D8181D"/>
    <w:rsid w:val="00D92B69"/>
    <w:rsid w:val="00D968D8"/>
    <w:rsid w:val="00DA563D"/>
    <w:rsid w:val="00DA6B5D"/>
    <w:rsid w:val="00DA7277"/>
    <w:rsid w:val="00DB3627"/>
    <w:rsid w:val="00DB4724"/>
    <w:rsid w:val="00DB6944"/>
    <w:rsid w:val="00DC4746"/>
    <w:rsid w:val="00DE7149"/>
    <w:rsid w:val="00E0314C"/>
    <w:rsid w:val="00E1508F"/>
    <w:rsid w:val="00E261DF"/>
    <w:rsid w:val="00E27240"/>
    <w:rsid w:val="00E27EDD"/>
    <w:rsid w:val="00E30584"/>
    <w:rsid w:val="00E310B9"/>
    <w:rsid w:val="00E37E1B"/>
    <w:rsid w:val="00E424E9"/>
    <w:rsid w:val="00E562C0"/>
    <w:rsid w:val="00E57FAF"/>
    <w:rsid w:val="00E672D6"/>
    <w:rsid w:val="00E76024"/>
    <w:rsid w:val="00E768B5"/>
    <w:rsid w:val="00E856A2"/>
    <w:rsid w:val="00E967AD"/>
    <w:rsid w:val="00E96884"/>
    <w:rsid w:val="00EA13B1"/>
    <w:rsid w:val="00EA5435"/>
    <w:rsid w:val="00EA5F47"/>
    <w:rsid w:val="00EB455E"/>
    <w:rsid w:val="00EC79DE"/>
    <w:rsid w:val="00ED4ACE"/>
    <w:rsid w:val="00ED5EF1"/>
    <w:rsid w:val="00EE4D35"/>
    <w:rsid w:val="00EE72C3"/>
    <w:rsid w:val="00EF2DA7"/>
    <w:rsid w:val="00F1412B"/>
    <w:rsid w:val="00F15BFA"/>
    <w:rsid w:val="00F34FAB"/>
    <w:rsid w:val="00F435AA"/>
    <w:rsid w:val="00F5738A"/>
    <w:rsid w:val="00F612D4"/>
    <w:rsid w:val="00F7389E"/>
    <w:rsid w:val="00F77F1D"/>
    <w:rsid w:val="00F87CCB"/>
    <w:rsid w:val="00FA0AB7"/>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Style5">
    <w:name w:val="Style5"/>
    <w:basedOn w:val="Normal"/>
    <w:link w:val="Style5Char"/>
    <w:qFormat/>
    <w:rsid w:val="00ED5EF1"/>
    <w:pPr>
      <w:autoSpaceDE w:val="0"/>
      <w:autoSpaceDN w:val="0"/>
      <w:adjustRightInd w:val="0"/>
      <w:spacing w:after="0" w:line="240" w:lineRule="auto"/>
    </w:pPr>
    <w:rPr>
      <w:rFonts w:ascii="Trebuchet MS" w:hAnsi="Trebuchet MS" w:cstheme="minorHAnsi"/>
      <w:i/>
      <w:color w:val="FF0000"/>
      <w:sz w:val="20"/>
      <w:szCs w:val="20"/>
    </w:rPr>
  </w:style>
  <w:style w:type="character" w:customStyle="1" w:styleId="Style5Char">
    <w:name w:val="Style5 Char"/>
    <w:basedOn w:val="DefaultParagraphFont"/>
    <w:link w:val="Style5"/>
    <w:rsid w:val="00ED5EF1"/>
    <w:rPr>
      <w:rFonts w:ascii="Trebuchet MS" w:hAnsi="Trebuchet MS" w:cstheme="minorHAnsi"/>
      <w:i/>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199155">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8BE5FC7C495F421DB09AF220F28483C2"/>
        <w:category>
          <w:name w:val="General"/>
          <w:gallery w:val="placeholder"/>
        </w:category>
        <w:types>
          <w:type w:val="bbPlcHdr"/>
        </w:types>
        <w:behaviors>
          <w:behavior w:val="content"/>
        </w:behaviors>
        <w:guid w:val="{DA5BC55D-4A25-4B37-B641-45E0AA2BCF95}"/>
      </w:docPartPr>
      <w:docPartBody>
        <w:p w:rsidR="001241DA" w:rsidRDefault="00DF20A2" w:rsidP="00DF20A2">
          <w:pPr>
            <w:pStyle w:val="8BE5FC7C495F421DB09AF220F28483C2"/>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41DA"/>
    <w:rsid w:val="00127222"/>
    <w:rsid w:val="001736D7"/>
    <w:rsid w:val="00190AF4"/>
    <w:rsid w:val="00223FA3"/>
    <w:rsid w:val="002A288F"/>
    <w:rsid w:val="002C65A7"/>
    <w:rsid w:val="002F052A"/>
    <w:rsid w:val="00350176"/>
    <w:rsid w:val="003840F0"/>
    <w:rsid w:val="00437537"/>
    <w:rsid w:val="004D785E"/>
    <w:rsid w:val="00513FC9"/>
    <w:rsid w:val="0053654E"/>
    <w:rsid w:val="00610196"/>
    <w:rsid w:val="00632A7E"/>
    <w:rsid w:val="00632AB6"/>
    <w:rsid w:val="006B465F"/>
    <w:rsid w:val="00730B33"/>
    <w:rsid w:val="00772B2A"/>
    <w:rsid w:val="007C672A"/>
    <w:rsid w:val="007D4368"/>
    <w:rsid w:val="00822666"/>
    <w:rsid w:val="00823ECC"/>
    <w:rsid w:val="00826796"/>
    <w:rsid w:val="00866C97"/>
    <w:rsid w:val="009017AE"/>
    <w:rsid w:val="009C542D"/>
    <w:rsid w:val="00A01A18"/>
    <w:rsid w:val="00A95183"/>
    <w:rsid w:val="00AB4AF7"/>
    <w:rsid w:val="00AD7C4F"/>
    <w:rsid w:val="00B445F5"/>
    <w:rsid w:val="00BD40CB"/>
    <w:rsid w:val="00C362A2"/>
    <w:rsid w:val="00C90121"/>
    <w:rsid w:val="00C96E73"/>
    <w:rsid w:val="00CA1FE8"/>
    <w:rsid w:val="00CA344F"/>
    <w:rsid w:val="00CA660C"/>
    <w:rsid w:val="00D1676E"/>
    <w:rsid w:val="00DC0246"/>
    <w:rsid w:val="00DF20A2"/>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20A2"/>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8BE5FC7C495F421DB09AF220F28483C2">
    <w:name w:val="8BE5FC7C495F421DB09AF220F28483C2"/>
    <w:rsid w:val="00DF20A2"/>
    <w:pPr>
      <w:spacing w:after="160" w:line="259" w:lineRule="auto"/>
    </w:pPr>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29151-D403-437E-A453-4C841F27C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D700C901-3C40-4C03-AF30-8401D54B3554}">
  <ds:schemaRefs>
    <ds:schemaRef ds:uri="http://purl.org/dc/elements/1.1/"/>
    <ds:schemaRef ds:uri="http://schemas.microsoft.com/office/2006/documentManagement/types"/>
    <ds:schemaRef ds:uri="http://schemas.microsoft.com/office/2006/metadata/properties"/>
    <ds:schemaRef ds:uri="http://purl.org/dc/dcmitype/"/>
    <ds:schemaRef ds:uri="76bce2c7-2e52-4525-a6e0-24f8a73e605d"/>
    <ds:schemaRef ds:uri="http://schemas.microsoft.com/office/infopath/2007/PartnerControls"/>
    <ds:schemaRef ds:uri="http://purl.org/dc/terms/"/>
    <ds:schemaRef ds:uri="http://www.w3.org/XML/1998/namespace"/>
    <ds:schemaRef ds:uri="http://schemas.openxmlformats.org/package/2006/metadata/core-properties"/>
    <ds:schemaRef ds:uri="64615f93-1352-4a7e-b7a8-3b07e39b2009"/>
  </ds:schemaRefs>
</ds:datastoreItem>
</file>

<file path=customXml/itemProps4.xml><?xml version="1.0" encoding="utf-8"?>
<ds:datastoreItem xmlns:ds="http://schemas.openxmlformats.org/officeDocument/2006/customXml" ds:itemID="{3E04DFB3-3E49-4BDA-B74C-A8B3D3D78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12</Pages>
  <Words>5044</Words>
  <Characters>28753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Emily Morden</cp:lastModifiedBy>
  <cp:revision>18</cp:revision>
  <dcterms:created xsi:type="dcterms:W3CDTF">2017-12-04T22:58:00Z</dcterms:created>
  <dcterms:modified xsi:type="dcterms:W3CDTF">2018-03-01T22:48:00Z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