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75A2A3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30DF1">
            <w:rPr>
              <w:rStyle w:val="Style1"/>
            </w:rPr>
            <w:t>0055</w:t>
          </w:r>
        </w:sdtContent>
      </w:sdt>
    </w:p>
    <w:p w14:paraId="0CABCF56" w14:textId="56D92AD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30DF1">
            <w:rPr>
              <w:rStyle w:val="Style1"/>
              <w:rFonts w:cstheme="minorHAnsi"/>
            </w:rPr>
            <w:t>Comprehensive Diabetes Care: Eye exam (retinal) performed</w:t>
          </w:r>
        </w:sdtContent>
      </w:sdt>
    </w:p>
    <w:p w14:paraId="0CABCF57" w14:textId="7766F2F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3-05T00:00:00Z">
            <w:dateFormat w:val="M/d/yyyy"/>
            <w:lid w:val="en-US"/>
            <w:storeMappedDataAs w:val="dateTime"/>
            <w:calendar w:val="gregorian"/>
          </w:date>
        </w:sdtPr>
        <w:sdtEndPr>
          <w:rPr>
            <w:rStyle w:val="DefaultParagraphFont"/>
            <w:noProof/>
            <w:color w:val="auto"/>
            <w:u w:val="none"/>
          </w:rPr>
        </w:sdtEndPr>
        <w:sdtContent>
          <w:r w:rsidR="00920111">
            <w:rPr>
              <w:rStyle w:val="Style2"/>
              <w:rFonts w:cstheme="minorHAnsi"/>
            </w:rPr>
            <w:t>3/5/2018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A707DD"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A707DD"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A707DD"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A707DD"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7BD2E331" w:rsidR="000B7D57" w:rsidRPr="00C775CE" w:rsidRDefault="00A707DD"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D30DF1">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A707DD"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A707D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C6F35DE" w:rsidR="00A01494" w:rsidRPr="00A01494" w:rsidRDefault="00A707DD"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5CF73515" w:rsidR="00A01494" w:rsidRPr="00A01494" w:rsidRDefault="00A707DD"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0C64B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3990644" w:rsidR="00A01494" w:rsidRPr="000F1B7A" w:rsidRDefault="00A707DD"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7ACCB4FA" w:rsidR="00A01494" w:rsidRPr="000F1B7A" w:rsidRDefault="00A707DD"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0C64B7">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A707DD"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A707DD"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A707DD"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A707DD"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A707D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A707D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0FB70EB0" w:rsidR="00A01494" w:rsidRPr="000F1B7A" w:rsidRDefault="00A707DD"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85062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850622">
                  <w:rPr>
                    <w:rStyle w:val="Style1"/>
                  </w:rPr>
                  <w:t xml:space="preserve">     </w:t>
                </w:r>
              </w:sdtContent>
            </w:sdt>
          </w:p>
        </w:tc>
        <w:tc>
          <w:tcPr>
            <w:tcW w:w="4847" w:type="dxa"/>
          </w:tcPr>
          <w:p w14:paraId="0CABCFAB" w14:textId="77777777" w:rsidR="00A01494" w:rsidRPr="000F1B7A" w:rsidRDefault="00A707DD"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741EAF66" w14:textId="77777777" w:rsidR="00910EB4" w:rsidRDefault="002B5016" w:rsidP="00910EB4">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p>
    <w:p w14:paraId="15E53689" w14:textId="77777777" w:rsidR="00910EB4" w:rsidRDefault="00910EB4" w:rsidP="00910EB4">
      <w:pPr>
        <w:autoSpaceDE w:val="0"/>
        <w:autoSpaceDN w:val="0"/>
        <w:adjustRightInd w:val="0"/>
        <w:spacing w:after="0" w:line="240" w:lineRule="auto"/>
        <w:rPr>
          <w:rFonts w:cstheme="minorHAnsi"/>
          <w:bCs/>
        </w:rPr>
      </w:pPr>
    </w:p>
    <w:p w14:paraId="0CABCFAE" w14:textId="3CFF90B0" w:rsidR="00C355B9" w:rsidRPr="00910EB4" w:rsidRDefault="004348CC" w:rsidP="00DB3627">
      <w:pPr>
        <w:autoSpaceDE w:val="0"/>
        <w:autoSpaceDN w:val="0"/>
        <w:adjustRightInd w:val="0"/>
        <w:spacing w:after="0" w:line="240" w:lineRule="auto"/>
        <w:rPr>
          <w:rFonts w:cstheme="minorHAnsi"/>
          <w:color w:val="0000CC"/>
        </w:rPr>
      </w:pPr>
      <w:r w:rsidRPr="00A25024">
        <w:rPr>
          <w:rFonts w:cstheme="minorHAnsi"/>
          <w:bCs/>
        </w:rPr>
        <w:t xml:space="preserve"> </w:t>
      </w:r>
      <w:bookmarkStart w:id="11" w:name="_Hlk507770354"/>
      <w:r w:rsidR="00910EB4" w:rsidRPr="005B549F">
        <w:rPr>
          <w:rFonts w:cstheme="minorHAnsi"/>
          <w:color w:val="0000CC"/>
        </w:rPr>
        <w:t>N/A</w:t>
      </w:r>
    </w:p>
    <w:bookmarkEnd w:id="11"/>
    <w:p w14:paraId="0CABCFAF" w14:textId="77777777" w:rsidR="009E1846" w:rsidRDefault="009E1846" w:rsidP="00DB3627">
      <w:pPr>
        <w:autoSpaceDE w:val="0"/>
        <w:autoSpaceDN w:val="0"/>
        <w:adjustRightInd w:val="0"/>
        <w:spacing w:after="0" w:line="240" w:lineRule="auto"/>
        <w:rPr>
          <w:rFonts w:cstheme="minorHAnsi"/>
          <w:b/>
        </w:rPr>
      </w:pPr>
    </w:p>
    <w:p w14:paraId="0CABCFB0" w14:textId="30BEC13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ascii="Calibri" w:eastAsia="MS Mincho" w:hAnsi="Calibri" w:cs="Calibri"/>
            <w:color w:val="0000CC"/>
          </w:rPr>
          <w:id w:val="950514773"/>
          <w:text/>
        </w:sdtPr>
        <w:sdtEndPr/>
        <w:sdtContent>
          <w:r w:rsidR="000C64B7">
            <w:rPr>
              <w:rFonts w:ascii="Calibri" w:eastAsia="MS Mincho" w:hAnsi="Calibri" w:cs="Calibri"/>
              <w:color w:val="0000CC"/>
            </w:rPr>
            <w:t>2010-2012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5B18843" w:rsidR="000414E8" w:rsidRPr="00A01494" w:rsidRDefault="00A707DD"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4159A454" w:rsidR="000414E8" w:rsidRPr="00A01494" w:rsidRDefault="00A707DD"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0C64B7">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46210B38" w:rsidR="000414E8" w:rsidRPr="00A01494" w:rsidRDefault="00A707DD"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0A04C882" w:rsidR="000414E8" w:rsidRPr="00A01494" w:rsidRDefault="00A707DD"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0C64B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A707DD"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A707DD"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A898B2E" w:rsidR="000414E8" w:rsidRPr="00A01494" w:rsidRDefault="00A707DD"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47A69109" w:rsidR="000414E8" w:rsidRPr="00A01494" w:rsidRDefault="00A707DD"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910EB4">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A707D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A707D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3A8B1A38" w:rsidR="002B5016" w:rsidRDefault="002B5016" w:rsidP="00DB3627">
      <w:pPr>
        <w:autoSpaceDE w:val="0"/>
        <w:autoSpaceDN w:val="0"/>
        <w:adjustRightInd w:val="0"/>
        <w:spacing w:after="0" w:line="240" w:lineRule="auto"/>
        <w:rPr>
          <w:rFonts w:cstheme="minorHAnsi"/>
          <w:bCs/>
        </w:rPr>
      </w:pPr>
    </w:p>
    <w:p w14:paraId="40C5A45A" w14:textId="6A1BE545" w:rsidR="00910EB4" w:rsidRDefault="00910EB4" w:rsidP="00DB3627">
      <w:pPr>
        <w:autoSpaceDE w:val="0"/>
        <w:autoSpaceDN w:val="0"/>
        <w:adjustRightInd w:val="0"/>
        <w:spacing w:after="0" w:line="240" w:lineRule="auto"/>
        <w:rPr>
          <w:rFonts w:cstheme="minorHAnsi"/>
          <w:color w:val="0000CC"/>
          <w:u w:val="single"/>
        </w:rPr>
      </w:pPr>
      <w:r w:rsidRPr="00910EB4">
        <w:rPr>
          <w:rFonts w:cstheme="minorHAnsi"/>
          <w:color w:val="0000CC"/>
          <w:u w:val="single"/>
        </w:rPr>
        <w:t>Health Plan Level</w:t>
      </w:r>
    </w:p>
    <w:p w14:paraId="4B3780A0" w14:textId="7A7692A6" w:rsidR="00910EB4" w:rsidRDefault="000C64B7" w:rsidP="00DB3627">
      <w:pPr>
        <w:autoSpaceDE w:val="0"/>
        <w:autoSpaceDN w:val="0"/>
        <w:adjustRightInd w:val="0"/>
        <w:spacing w:after="0" w:line="240" w:lineRule="auto"/>
        <w:rPr>
          <w:rFonts w:cstheme="minorHAnsi"/>
          <w:color w:val="0000CC"/>
        </w:rPr>
      </w:pPr>
      <w:r>
        <w:rPr>
          <w:rFonts w:cstheme="minorHAnsi"/>
          <w:color w:val="0000CC"/>
        </w:rPr>
        <w:t>We calculated t</w:t>
      </w:r>
      <w:r w:rsidR="00910EB4">
        <w:rPr>
          <w:rFonts w:cstheme="minorHAnsi"/>
          <w:color w:val="0000CC"/>
        </w:rPr>
        <w:t>he measure score reliability</w:t>
      </w:r>
      <w:r w:rsidR="00F87C59">
        <w:rPr>
          <w:rFonts w:cstheme="minorHAnsi"/>
          <w:color w:val="0000CC"/>
        </w:rPr>
        <w:t xml:space="preserve"> and </w:t>
      </w:r>
      <w:r w:rsidR="00F87C59" w:rsidRPr="000C64B7">
        <w:rPr>
          <w:rFonts w:cstheme="minorHAnsi"/>
          <w:color w:val="0000CC"/>
        </w:rPr>
        <w:t>construct validity</w:t>
      </w:r>
      <w:r w:rsidR="00910EB4">
        <w:rPr>
          <w:rFonts w:cstheme="minorHAnsi"/>
          <w:color w:val="0000CC"/>
        </w:rPr>
        <w:t xml:space="preserve"> from HEDIS data that included 416 commercial health plans, 500 Medicare health plans, and 197 Medicaid health plans. The sample </w:t>
      </w:r>
      <w:r w:rsidR="00910EB4">
        <w:rPr>
          <w:rFonts w:cstheme="minorHAnsi"/>
          <w:color w:val="0000CC"/>
        </w:rPr>
        <w:lastRenderedPageBreak/>
        <w:t>included all commercial, Medicare, and Medicaid health plans submitting data to NCQA for HEDIS. The plans were geographically diverse and varied in size</w:t>
      </w:r>
    </w:p>
    <w:p w14:paraId="6723D2A7" w14:textId="28A31250" w:rsidR="00910EB4" w:rsidRDefault="00910EB4" w:rsidP="00DB3627">
      <w:pPr>
        <w:autoSpaceDE w:val="0"/>
        <w:autoSpaceDN w:val="0"/>
        <w:adjustRightInd w:val="0"/>
        <w:spacing w:after="0" w:line="240" w:lineRule="auto"/>
        <w:rPr>
          <w:rFonts w:cstheme="minorHAnsi"/>
          <w:color w:val="0000CC"/>
        </w:rPr>
      </w:pPr>
    </w:p>
    <w:p w14:paraId="1302457B" w14:textId="57163931" w:rsidR="00931A58" w:rsidRPr="00E60F18" w:rsidRDefault="00E60F18" w:rsidP="00DB3627">
      <w:pPr>
        <w:autoSpaceDE w:val="0"/>
        <w:autoSpaceDN w:val="0"/>
        <w:adjustRightInd w:val="0"/>
        <w:spacing w:after="0" w:line="240" w:lineRule="auto"/>
        <w:rPr>
          <w:rFonts w:cstheme="minorHAnsi"/>
          <w:color w:val="0000CC"/>
          <w:u w:val="single"/>
        </w:rPr>
      </w:pPr>
      <w:r w:rsidRPr="00E60F18">
        <w:rPr>
          <w:rFonts w:cstheme="minorHAnsi"/>
          <w:color w:val="0000CC"/>
          <w:u w:val="single"/>
        </w:rPr>
        <w:t>Physician Level:</w:t>
      </w:r>
    </w:p>
    <w:p w14:paraId="10101086" w14:textId="2A240938" w:rsidR="00920111" w:rsidRPr="00920111" w:rsidRDefault="00E60F18" w:rsidP="00920111">
      <w:pPr>
        <w:rPr>
          <w:rFonts w:cstheme="minorHAnsi"/>
          <w:color w:val="0000CC"/>
        </w:rPr>
      </w:pPr>
      <w:r>
        <w:rPr>
          <w:rFonts w:cstheme="minorHAnsi"/>
          <w:color w:val="0000CC"/>
        </w:rPr>
        <w:t xml:space="preserve">We also calculated measure score reliability from physician/practice level data from the NCQA Diabetes Recognition Program (DRP) that included </w:t>
      </w:r>
      <w:r w:rsidR="005A5912">
        <w:rPr>
          <w:rFonts w:cstheme="minorHAnsi"/>
          <w:color w:val="0000CC"/>
        </w:rPr>
        <w:t>3676</w:t>
      </w:r>
      <w:r>
        <w:rPr>
          <w:rFonts w:cstheme="minorHAnsi"/>
          <w:color w:val="0000CC"/>
        </w:rPr>
        <w:t xml:space="preserve"> physicians</w:t>
      </w:r>
      <w:r w:rsidR="00920111">
        <w:rPr>
          <w:rFonts w:cstheme="minorHAnsi"/>
          <w:color w:val="0000CC"/>
        </w:rPr>
        <w:t>.</w:t>
      </w:r>
      <w:r w:rsidR="00920111" w:rsidRPr="00920111">
        <w:t xml:space="preserve"> </w:t>
      </w:r>
      <w:bookmarkStart w:id="12" w:name="_Hlk508034300"/>
      <w:r w:rsidR="00920111" w:rsidRPr="00920111">
        <w:rPr>
          <w:rFonts w:cstheme="minorHAnsi"/>
          <w:color w:val="0000CC"/>
        </w:rPr>
        <w:t xml:space="preserve">Construct validity was calculated with data from a sample of 653 physicians/practices. </w:t>
      </w:r>
    </w:p>
    <w:bookmarkEnd w:id="12"/>
    <w:p w14:paraId="31A3DC64" w14:textId="0867C57D" w:rsidR="00910EB4" w:rsidRPr="00910EB4" w:rsidRDefault="00910EB4" w:rsidP="00DB3627">
      <w:pPr>
        <w:autoSpaceDE w:val="0"/>
        <w:autoSpaceDN w:val="0"/>
        <w:adjustRightInd w:val="0"/>
        <w:spacing w:after="0" w:line="240" w:lineRule="auto"/>
        <w:rPr>
          <w:rFonts w:cstheme="minorHAnsi"/>
          <w:color w:val="0000CC"/>
        </w:rPr>
      </w:pPr>
    </w:p>
    <w:p w14:paraId="0CABCFC9" w14:textId="666201EE"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58F10424" w14:textId="3B054364" w:rsidR="007816AA" w:rsidRDefault="001A3C26" w:rsidP="00DB3627">
      <w:pPr>
        <w:autoSpaceDE w:val="0"/>
        <w:autoSpaceDN w:val="0"/>
        <w:adjustRightInd w:val="0"/>
        <w:spacing w:after="0" w:line="240" w:lineRule="auto"/>
        <w:rPr>
          <w:rFonts w:cstheme="minorHAnsi"/>
          <w:bCs/>
          <w:color w:val="0000CC"/>
        </w:rPr>
      </w:pPr>
      <w:r>
        <w:rPr>
          <w:rFonts w:cstheme="minorHAnsi"/>
          <w:color w:val="0000CC"/>
        </w:rPr>
        <w:t>2012</w:t>
      </w:r>
      <w:r w:rsidR="00E10674">
        <w:rPr>
          <w:rFonts w:cstheme="minorHAnsi"/>
          <w:color w:val="0000CC"/>
        </w:rPr>
        <w:t xml:space="preserve"> </w:t>
      </w:r>
      <w:r>
        <w:rPr>
          <w:rFonts w:cstheme="minorHAnsi"/>
          <w:color w:val="0000CC"/>
        </w:rPr>
        <w:t>d</w:t>
      </w:r>
      <w:r w:rsidR="00E10674" w:rsidRPr="00FD2740">
        <w:rPr>
          <w:rFonts w:cstheme="minorHAnsi"/>
          <w:bCs/>
          <w:color w:val="0000CC"/>
        </w:rPr>
        <w:t xml:space="preserve">ata are summarized at the health plan level and stratified by product line (i.e. commercial, Medicare, Medicaid). Below is a description of the sample. It includes number of health plans included HEDIS data collection and the median eligible </w:t>
      </w:r>
      <w:r w:rsidR="00E10674">
        <w:rPr>
          <w:rFonts w:cstheme="minorHAnsi"/>
          <w:bCs/>
          <w:color w:val="0000CC"/>
        </w:rPr>
        <w:t>population</w:t>
      </w:r>
      <w:r w:rsidR="00E10674" w:rsidRPr="00FD2740">
        <w:rPr>
          <w:rFonts w:cstheme="minorHAnsi"/>
          <w:bCs/>
          <w:color w:val="0000CC"/>
        </w:rPr>
        <w:t xml:space="preserve"> for the measure across health plans.</w:t>
      </w:r>
    </w:p>
    <w:p w14:paraId="4C2681BD" w14:textId="38C19BA2" w:rsidR="00E10674" w:rsidRDefault="00E10674" w:rsidP="00DB3627">
      <w:pPr>
        <w:autoSpaceDE w:val="0"/>
        <w:autoSpaceDN w:val="0"/>
        <w:adjustRightInd w:val="0"/>
        <w:spacing w:after="0" w:line="240" w:lineRule="auto"/>
        <w:rPr>
          <w:rFonts w:cstheme="minorHAnsi"/>
          <w:bCs/>
          <w:color w:val="0000CC"/>
        </w:rPr>
      </w:pPr>
    </w:p>
    <w:p w14:paraId="767C73A9" w14:textId="48077C26" w:rsidR="001A3C26" w:rsidRDefault="001A3C26" w:rsidP="00DB3627">
      <w:pPr>
        <w:autoSpaceDE w:val="0"/>
        <w:autoSpaceDN w:val="0"/>
        <w:adjustRightInd w:val="0"/>
        <w:spacing w:after="0" w:line="240" w:lineRule="auto"/>
        <w:rPr>
          <w:rFonts w:cstheme="minorHAnsi"/>
          <w:bCs/>
          <w:color w:val="0000CC"/>
        </w:rPr>
      </w:pPr>
      <w:r>
        <w:rPr>
          <w:rFonts w:cstheme="minorHAnsi"/>
          <w:bCs/>
          <w:color w:val="0000CC"/>
        </w:rPr>
        <w:t>HEDIS Health Plan</w:t>
      </w:r>
    </w:p>
    <w:tbl>
      <w:tblPr>
        <w:tblStyle w:val="TableGrid"/>
        <w:tblW w:w="9355" w:type="dxa"/>
        <w:tblLook w:val="04A0" w:firstRow="1" w:lastRow="0" w:firstColumn="1" w:lastColumn="0" w:noHBand="0" w:noVBand="1"/>
      </w:tblPr>
      <w:tblGrid>
        <w:gridCol w:w="3145"/>
        <w:gridCol w:w="2610"/>
        <w:gridCol w:w="3600"/>
      </w:tblGrid>
      <w:tr w:rsidR="00E10674" w:rsidRPr="00E10674" w14:paraId="10DABE1B" w14:textId="77777777" w:rsidTr="001A3C26">
        <w:tc>
          <w:tcPr>
            <w:tcW w:w="3145" w:type="dxa"/>
          </w:tcPr>
          <w:p w14:paraId="1C62CF85" w14:textId="1EA12F01" w:rsidR="00E10674" w:rsidRPr="001A3C26" w:rsidRDefault="00E10674" w:rsidP="001A3C26">
            <w:pPr>
              <w:autoSpaceDE w:val="0"/>
              <w:autoSpaceDN w:val="0"/>
              <w:adjustRightInd w:val="0"/>
              <w:jc w:val="center"/>
              <w:rPr>
                <w:rFonts w:cstheme="minorHAnsi"/>
                <w:b/>
                <w:bCs/>
                <w:color w:val="0000CC"/>
              </w:rPr>
            </w:pPr>
            <w:r w:rsidRPr="001A3C26">
              <w:rPr>
                <w:rFonts w:cstheme="minorHAnsi"/>
                <w:b/>
                <w:bCs/>
                <w:color w:val="0000CC"/>
              </w:rPr>
              <w:t xml:space="preserve">Product </w:t>
            </w:r>
            <w:r w:rsidR="00920111">
              <w:rPr>
                <w:rFonts w:cstheme="minorHAnsi"/>
                <w:b/>
                <w:bCs/>
                <w:color w:val="0000CC"/>
              </w:rPr>
              <w:t>t</w:t>
            </w:r>
            <w:r w:rsidRPr="001A3C26">
              <w:rPr>
                <w:rFonts w:cstheme="minorHAnsi"/>
                <w:b/>
                <w:bCs/>
                <w:color w:val="0000CC"/>
              </w:rPr>
              <w:t>ype</w:t>
            </w:r>
          </w:p>
        </w:tc>
        <w:tc>
          <w:tcPr>
            <w:tcW w:w="2610" w:type="dxa"/>
          </w:tcPr>
          <w:p w14:paraId="15BFD2D9" w14:textId="71BE82A3" w:rsidR="00E10674" w:rsidRPr="001A3C26" w:rsidRDefault="00E10674" w:rsidP="001A3C26">
            <w:pPr>
              <w:autoSpaceDE w:val="0"/>
              <w:autoSpaceDN w:val="0"/>
              <w:adjustRightInd w:val="0"/>
              <w:jc w:val="center"/>
              <w:rPr>
                <w:rFonts w:cstheme="minorHAnsi"/>
                <w:b/>
                <w:bCs/>
                <w:color w:val="0000CC"/>
              </w:rPr>
            </w:pPr>
            <w:r w:rsidRPr="001A3C26">
              <w:rPr>
                <w:rFonts w:cstheme="minorHAnsi"/>
                <w:b/>
                <w:bCs/>
                <w:color w:val="0000CC"/>
              </w:rPr>
              <w:t xml:space="preserve">Number of </w:t>
            </w:r>
            <w:r w:rsidR="00920111">
              <w:rPr>
                <w:rFonts w:cstheme="minorHAnsi"/>
                <w:b/>
                <w:bCs/>
                <w:color w:val="0000CC"/>
              </w:rPr>
              <w:t>p</w:t>
            </w:r>
            <w:r w:rsidRPr="001A3C26">
              <w:rPr>
                <w:rFonts w:cstheme="minorHAnsi"/>
                <w:b/>
                <w:bCs/>
                <w:color w:val="0000CC"/>
              </w:rPr>
              <w:t>lans</w:t>
            </w:r>
          </w:p>
        </w:tc>
        <w:tc>
          <w:tcPr>
            <w:tcW w:w="3600" w:type="dxa"/>
          </w:tcPr>
          <w:p w14:paraId="7B0884C7" w14:textId="77777777" w:rsidR="00E10674" w:rsidRPr="001A3C26" w:rsidRDefault="00E10674" w:rsidP="001A3C26">
            <w:pPr>
              <w:autoSpaceDE w:val="0"/>
              <w:autoSpaceDN w:val="0"/>
              <w:adjustRightInd w:val="0"/>
              <w:jc w:val="center"/>
              <w:rPr>
                <w:rFonts w:cstheme="minorHAnsi"/>
                <w:b/>
                <w:bCs/>
                <w:color w:val="0000CC"/>
              </w:rPr>
            </w:pPr>
            <w:r w:rsidRPr="001A3C26">
              <w:rPr>
                <w:rFonts w:cstheme="minorHAnsi"/>
                <w:b/>
                <w:bCs/>
                <w:color w:val="0000CC"/>
              </w:rPr>
              <w:t>Median number of eligible patients per plan</w:t>
            </w:r>
          </w:p>
        </w:tc>
      </w:tr>
      <w:tr w:rsidR="00E10674" w:rsidRPr="00E10674" w14:paraId="7D1B8C54" w14:textId="77777777" w:rsidTr="001A3C26">
        <w:tc>
          <w:tcPr>
            <w:tcW w:w="3145" w:type="dxa"/>
          </w:tcPr>
          <w:p w14:paraId="32BBD65E"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Commercial HMO</w:t>
            </w:r>
          </w:p>
        </w:tc>
        <w:tc>
          <w:tcPr>
            <w:tcW w:w="2610" w:type="dxa"/>
          </w:tcPr>
          <w:p w14:paraId="6B1BB5B4"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218</w:t>
            </w:r>
          </w:p>
        </w:tc>
        <w:tc>
          <w:tcPr>
            <w:tcW w:w="3600" w:type="dxa"/>
          </w:tcPr>
          <w:p w14:paraId="2116A743"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7,433</w:t>
            </w:r>
          </w:p>
        </w:tc>
      </w:tr>
      <w:tr w:rsidR="00E10674" w:rsidRPr="00E10674" w14:paraId="2B4FBD3B" w14:textId="77777777" w:rsidTr="001A3C26">
        <w:tc>
          <w:tcPr>
            <w:tcW w:w="3145" w:type="dxa"/>
          </w:tcPr>
          <w:p w14:paraId="24E36E4D"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Commercial PPO</w:t>
            </w:r>
          </w:p>
        </w:tc>
        <w:tc>
          <w:tcPr>
            <w:tcW w:w="2610" w:type="dxa"/>
          </w:tcPr>
          <w:p w14:paraId="440B3625"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198</w:t>
            </w:r>
          </w:p>
        </w:tc>
        <w:tc>
          <w:tcPr>
            <w:tcW w:w="3600" w:type="dxa"/>
          </w:tcPr>
          <w:p w14:paraId="7D290FCA"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14,513</w:t>
            </w:r>
          </w:p>
        </w:tc>
      </w:tr>
      <w:tr w:rsidR="00E10674" w:rsidRPr="00E10674" w14:paraId="1BAED43E" w14:textId="77777777" w:rsidTr="001A3C26">
        <w:tc>
          <w:tcPr>
            <w:tcW w:w="3145" w:type="dxa"/>
          </w:tcPr>
          <w:p w14:paraId="2D1B5C39"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Medicaid HMO</w:t>
            </w:r>
          </w:p>
        </w:tc>
        <w:tc>
          <w:tcPr>
            <w:tcW w:w="2610" w:type="dxa"/>
          </w:tcPr>
          <w:p w14:paraId="0DADBDBE"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194</w:t>
            </w:r>
          </w:p>
        </w:tc>
        <w:tc>
          <w:tcPr>
            <w:tcW w:w="3600" w:type="dxa"/>
          </w:tcPr>
          <w:p w14:paraId="5D54DCFE"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3,114</w:t>
            </w:r>
          </w:p>
        </w:tc>
      </w:tr>
      <w:tr w:rsidR="00E10674" w:rsidRPr="00E10674" w14:paraId="76A1BF25" w14:textId="77777777" w:rsidTr="001A3C26">
        <w:tc>
          <w:tcPr>
            <w:tcW w:w="3145" w:type="dxa"/>
          </w:tcPr>
          <w:p w14:paraId="1D110B71"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Medicare HMO</w:t>
            </w:r>
          </w:p>
        </w:tc>
        <w:tc>
          <w:tcPr>
            <w:tcW w:w="2610" w:type="dxa"/>
          </w:tcPr>
          <w:p w14:paraId="31F0BB61"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349</w:t>
            </w:r>
          </w:p>
        </w:tc>
        <w:tc>
          <w:tcPr>
            <w:tcW w:w="3600" w:type="dxa"/>
          </w:tcPr>
          <w:p w14:paraId="7B513D18"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4,134</w:t>
            </w:r>
          </w:p>
        </w:tc>
      </w:tr>
      <w:tr w:rsidR="00E10674" w:rsidRPr="00E10674" w14:paraId="62897E03" w14:textId="77777777" w:rsidTr="001A3C26">
        <w:tc>
          <w:tcPr>
            <w:tcW w:w="3145" w:type="dxa"/>
          </w:tcPr>
          <w:p w14:paraId="362EF158"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Medicare PPO</w:t>
            </w:r>
          </w:p>
        </w:tc>
        <w:tc>
          <w:tcPr>
            <w:tcW w:w="2610" w:type="dxa"/>
          </w:tcPr>
          <w:p w14:paraId="41ED7D08"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151</w:t>
            </w:r>
          </w:p>
        </w:tc>
        <w:tc>
          <w:tcPr>
            <w:tcW w:w="3600" w:type="dxa"/>
          </w:tcPr>
          <w:p w14:paraId="4EE2815C" w14:textId="77777777" w:rsidR="00E10674" w:rsidRPr="00E10674" w:rsidRDefault="00E10674" w:rsidP="001A3C26">
            <w:pPr>
              <w:autoSpaceDE w:val="0"/>
              <w:autoSpaceDN w:val="0"/>
              <w:adjustRightInd w:val="0"/>
              <w:jc w:val="center"/>
              <w:rPr>
                <w:rFonts w:cstheme="minorHAnsi"/>
                <w:bCs/>
                <w:color w:val="0000CC"/>
              </w:rPr>
            </w:pPr>
            <w:r w:rsidRPr="00E10674">
              <w:rPr>
                <w:rFonts w:cstheme="minorHAnsi"/>
                <w:bCs/>
                <w:color w:val="0000CC"/>
              </w:rPr>
              <w:t>4,110</w:t>
            </w:r>
          </w:p>
        </w:tc>
      </w:tr>
    </w:tbl>
    <w:p w14:paraId="473E0466" w14:textId="77777777" w:rsidR="00E10674" w:rsidRPr="00E10674" w:rsidRDefault="00E10674" w:rsidP="00DB3627">
      <w:pPr>
        <w:autoSpaceDE w:val="0"/>
        <w:autoSpaceDN w:val="0"/>
        <w:adjustRightInd w:val="0"/>
        <w:spacing w:after="0" w:line="240" w:lineRule="auto"/>
        <w:rPr>
          <w:rFonts w:cstheme="minorHAnsi"/>
          <w:bCs/>
          <w:color w:val="0000CC"/>
        </w:rPr>
      </w:pPr>
    </w:p>
    <w:p w14:paraId="43E25E6A" w14:textId="40BB4122" w:rsidR="00E60F18" w:rsidRDefault="00920111" w:rsidP="00DB3627">
      <w:pPr>
        <w:autoSpaceDE w:val="0"/>
        <w:autoSpaceDN w:val="0"/>
        <w:adjustRightInd w:val="0"/>
        <w:spacing w:after="0" w:line="240" w:lineRule="auto"/>
        <w:rPr>
          <w:rFonts w:cstheme="minorHAnsi"/>
          <w:bCs/>
          <w:color w:val="0000CC"/>
        </w:rPr>
      </w:pPr>
      <w:bookmarkStart w:id="13" w:name="_Hlk507765831"/>
      <w:r w:rsidRPr="00920111">
        <w:rPr>
          <w:rFonts w:cstheme="minorHAnsi"/>
          <w:bCs/>
          <w:color w:val="0000CC"/>
        </w:rPr>
        <w:t>NCQA’s Diabetes Recognition Program currently has more than 10,000 clinicians in solo and group practice who hold recognition for providing quality care for their patients with diabetes. Individual clinicians or clinicians within a group practice must have face to face contact with and submit data on care delivered for a 12-month period to at least 25 different eligible adults patients with diabetes. Below is a description of the sample. It includes the number of physicians and practices reporting on this measure in the DRP program in 2012.</w:t>
      </w:r>
    </w:p>
    <w:p w14:paraId="6ABE99C1" w14:textId="77777777" w:rsidR="00920111" w:rsidRDefault="00920111" w:rsidP="00DB3627">
      <w:pPr>
        <w:autoSpaceDE w:val="0"/>
        <w:autoSpaceDN w:val="0"/>
        <w:adjustRightInd w:val="0"/>
        <w:spacing w:after="0" w:line="240" w:lineRule="auto"/>
        <w:rPr>
          <w:rFonts w:cstheme="minorHAnsi"/>
          <w:bCs/>
        </w:rPr>
      </w:pPr>
    </w:p>
    <w:p w14:paraId="3301590E" w14:textId="18C668DB" w:rsidR="00E60F18" w:rsidRDefault="001A3C26" w:rsidP="00DB3627">
      <w:pPr>
        <w:autoSpaceDE w:val="0"/>
        <w:autoSpaceDN w:val="0"/>
        <w:adjustRightInd w:val="0"/>
        <w:spacing w:after="0" w:line="240" w:lineRule="auto"/>
        <w:rPr>
          <w:rFonts w:cstheme="minorHAnsi"/>
          <w:bCs/>
          <w:color w:val="0000CC"/>
        </w:rPr>
      </w:pPr>
      <w:r>
        <w:rPr>
          <w:rFonts w:cstheme="minorHAnsi"/>
          <w:bCs/>
          <w:color w:val="0000CC"/>
        </w:rPr>
        <w:t>Physician Level</w:t>
      </w:r>
    </w:p>
    <w:tbl>
      <w:tblPr>
        <w:tblStyle w:val="TableGrid"/>
        <w:tblW w:w="0" w:type="auto"/>
        <w:tblLook w:val="04A0" w:firstRow="1" w:lastRow="0" w:firstColumn="1" w:lastColumn="0" w:noHBand="0" w:noVBand="1"/>
      </w:tblPr>
      <w:tblGrid>
        <w:gridCol w:w="2245"/>
        <w:gridCol w:w="3690"/>
        <w:gridCol w:w="3362"/>
      </w:tblGrid>
      <w:tr w:rsidR="00C94841" w:rsidRPr="006B4C66" w14:paraId="66D5CDDD" w14:textId="77777777" w:rsidTr="00C94841">
        <w:trPr>
          <w:trHeight w:val="278"/>
        </w:trPr>
        <w:tc>
          <w:tcPr>
            <w:tcW w:w="2245" w:type="dxa"/>
          </w:tcPr>
          <w:p w14:paraId="5C315076" w14:textId="33EDB032" w:rsidR="00C94841" w:rsidRDefault="004879B4" w:rsidP="007F6928">
            <w:pPr>
              <w:autoSpaceDE w:val="0"/>
              <w:autoSpaceDN w:val="0"/>
              <w:adjustRightInd w:val="0"/>
              <w:jc w:val="center"/>
              <w:rPr>
                <w:b/>
                <w:color w:val="0000FF"/>
              </w:rPr>
            </w:pPr>
            <w:r>
              <w:rPr>
                <w:b/>
                <w:color w:val="0000FF"/>
              </w:rPr>
              <w:t>Analysis</w:t>
            </w:r>
          </w:p>
        </w:tc>
        <w:tc>
          <w:tcPr>
            <w:tcW w:w="3690" w:type="dxa"/>
          </w:tcPr>
          <w:p w14:paraId="00712AAC" w14:textId="1B425E88" w:rsidR="00C94841" w:rsidRPr="006B4C66" w:rsidRDefault="00C94841" w:rsidP="007F6928">
            <w:pPr>
              <w:autoSpaceDE w:val="0"/>
              <w:autoSpaceDN w:val="0"/>
              <w:adjustRightInd w:val="0"/>
              <w:jc w:val="center"/>
              <w:rPr>
                <w:b/>
                <w:color w:val="0000FF"/>
              </w:rPr>
            </w:pPr>
            <w:r>
              <w:rPr>
                <w:b/>
                <w:color w:val="0000FF"/>
              </w:rPr>
              <w:t>Number of physicians</w:t>
            </w:r>
          </w:p>
        </w:tc>
        <w:tc>
          <w:tcPr>
            <w:tcW w:w="3362" w:type="dxa"/>
          </w:tcPr>
          <w:p w14:paraId="107EAD94" w14:textId="20CC52C7" w:rsidR="00C94841" w:rsidRPr="006B4C66" w:rsidRDefault="00C94841" w:rsidP="007F6928">
            <w:pPr>
              <w:autoSpaceDE w:val="0"/>
              <w:autoSpaceDN w:val="0"/>
              <w:adjustRightInd w:val="0"/>
              <w:jc w:val="center"/>
              <w:rPr>
                <w:b/>
                <w:color w:val="0000FF"/>
              </w:rPr>
            </w:pPr>
            <w:r>
              <w:rPr>
                <w:b/>
                <w:color w:val="0000FF"/>
              </w:rPr>
              <w:t xml:space="preserve">Median </w:t>
            </w:r>
            <w:r w:rsidR="00920111">
              <w:rPr>
                <w:b/>
                <w:color w:val="0000FF"/>
              </w:rPr>
              <w:t>d</w:t>
            </w:r>
            <w:r>
              <w:rPr>
                <w:b/>
                <w:color w:val="0000FF"/>
              </w:rPr>
              <w:t xml:space="preserve">enominator </w:t>
            </w:r>
            <w:r w:rsidR="00920111">
              <w:rPr>
                <w:b/>
                <w:color w:val="0000FF"/>
              </w:rPr>
              <w:t>s</w:t>
            </w:r>
            <w:r>
              <w:rPr>
                <w:b/>
                <w:color w:val="0000FF"/>
              </w:rPr>
              <w:t>ize</w:t>
            </w:r>
          </w:p>
        </w:tc>
      </w:tr>
      <w:tr w:rsidR="00C94841" w:rsidRPr="006B4C66" w14:paraId="1A863F4B" w14:textId="77777777" w:rsidTr="00C94841">
        <w:trPr>
          <w:trHeight w:val="252"/>
        </w:trPr>
        <w:tc>
          <w:tcPr>
            <w:tcW w:w="2245" w:type="dxa"/>
          </w:tcPr>
          <w:p w14:paraId="256B796D" w14:textId="00B2EAD1" w:rsidR="00C94841" w:rsidRDefault="00C94841" w:rsidP="007F6928">
            <w:pPr>
              <w:autoSpaceDE w:val="0"/>
              <w:autoSpaceDN w:val="0"/>
              <w:adjustRightInd w:val="0"/>
              <w:jc w:val="center"/>
              <w:rPr>
                <w:color w:val="0000FF"/>
              </w:rPr>
            </w:pPr>
            <w:r>
              <w:rPr>
                <w:color w:val="0000FF"/>
              </w:rPr>
              <w:t>Reliability</w:t>
            </w:r>
          </w:p>
        </w:tc>
        <w:tc>
          <w:tcPr>
            <w:tcW w:w="3690" w:type="dxa"/>
          </w:tcPr>
          <w:p w14:paraId="334792D3" w14:textId="6F442C7C" w:rsidR="00C94841" w:rsidRPr="00012EA4" w:rsidRDefault="00C94841" w:rsidP="007F6928">
            <w:pPr>
              <w:autoSpaceDE w:val="0"/>
              <w:autoSpaceDN w:val="0"/>
              <w:adjustRightInd w:val="0"/>
              <w:jc w:val="center"/>
              <w:rPr>
                <w:color w:val="0000FF"/>
              </w:rPr>
            </w:pPr>
            <w:r>
              <w:rPr>
                <w:color w:val="0000FF"/>
              </w:rPr>
              <w:t>3,676</w:t>
            </w:r>
          </w:p>
        </w:tc>
        <w:tc>
          <w:tcPr>
            <w:tcW w:w="3362" w:type="dxa"/>
          </w:tcPr>
          <w:p w14:paraId="5BD87826" w14:textId="77777777" w:rsidR="00C94841" w:rsidRPr="006B4C66" w:rsidRDefault="00C94841" w:rsidP="007F6928">
            <w:pPr>
              <w:autoSpaceDE w:val="0"/>
              <w:autoSpaceDN w:val="0"/>
              <w:adjustRightInd w:val="0"/>
              <w:jc w:val="center"/>
              <w:rPr>
                <w:color w:val="0000FF"/>
              </w:rPr>
            </w:pPr>
            <w:r>
              <w:rPr>
                <w:color w:val="0000FF"/>
              </w:rPr>
              <w:t>25</w:t>
            </w:r>
          </w:p>
        </w:tc>
      </w:tr>
      <w:tr w:rsidR="00C94841" w:rsidRPr="006B4C66" w14:paraId="2EFFA26E" w14:textId="77777777" w:rsidTr="00C94841">
        <w:trPr>
          <w:trHeight w:val="252"/>
        </w:trPr>
        <w:tc>
          <w:tcPr>
            <w:tcW w:w="2245" w:type="dxa"/>
          </w:tcPr>
          <w:p w14:paraId="1BB12965" w14:textId="43C55682" w:rsidR="00C94841" w:rsidRDefault="00C94841" w:rsidP="007F6928">
            <w:pPr>
              <w:autoSpaceDE w:val="0"/>
              <w:autoSpaceDN w:val="0"/>
              <w:adjustRightInd w:val="0"/>
              <w:jc w:val="center"/>
              <w:rPr>
                <w:color w:val="0000FF"/>
              </w:rPr>
            </w:pPr>
            <w:r>
              <w:rPr>
                <w:color w:val="0000FF"/>
              </w:rPr>
              <w:t>Construct Validity</w:t>
            </w:r>
          </w:p>
        </w:tc>
        <w:tc>
          <w:tcPr>
            <w:tcW w:w="3690" w:type="dxa"/>
          </w:tcPr>
          <w:p w14:paraId="768DDAEF" w14:textId="45904092" w:rsidR="00C94841" w:rsidRDefault="00C94841" w:rsidP="007F6928">
            <w:pPr>
              <w:autoSpaceDE w:val="0"/>
              <w:autoSpaceDN w:val="0"/>
              <w:adjustRightInd w:val="0"/>
              <w:jc w:val="center"/>
              <w:rPr>
                <w:color w:val="0000FF"/>
              </w:rPr>
            </w:pPr>
            <w:r>
              <w:rPr>
                <w:color w:val="0000FF"/>
              </w:rPr>
              <w:t>653</w:t>
            </w:r>
          </w:p>
        </w:tc>
        <w:tc>
          <w:tcPr>
            <w:tcW w:w="3362" w:type="dxa"/>
          </w:tcPr>
          <w:p w14:paraId="3B14FB76" w14:textId="0DB93F1E" w:rsidR="00C94841" w:rsidRDefault="00C94841" w:rsidP="007F6928">
            <w:pPr>
              <w:autoSpaceDE w:val="0"/>
              <w:autoSpaceDN w:val="0"/>
              <w:adjustRightInd w:val="0"/>
              <w:jc w:val="center"/>
              <w:rPr>
                <w:color w:val="0000FF"/>
              </w:rPr>
            </w:pPr>
            <w:r>
              <w:rPr>
                <w:color w:val="0000FF"/>
              </w:rPr>
              <w:t>25</w:t>
            </w:r>
          </w:p>
        </w:tc>
      </w:tr>
      <w:bookmarkEnd w:id="13"/>
    </w:tbl>
    <w:p w14:paraId="4C0B0E6B" w14:textId="77777777" w:rsidR="001A3C26" w:rsidRDefault="001A3C26" w:rsidP="00DB3627">
      <w:pPr>
        <w:autoSpaceDE w:val="0"/>
        <w:autoSpaceDN w:val="0"/>
        <w:adjustRightInd w:val="0"/>
        <w:spacing w:after="0" w:line="240" w:lineRule="auto"/>
        <w:rPr>
          <w:rFonts w:cstheme="minorHAnsi"/>
          <w:bCs/>
        </w:rPr>
      </w:pPr>
    </w:p>
    <w:p w14:paraId="157C7B90" w14:textId="77777777" w:rsidR="00E60F18" w:rsidRDefault="00E60F18"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0ABA8FFC" w:rsidR="00E37E1B" w:rsidRDefault="00E37E1B" w:rsidP="00E37E1B">
      <w:pPr>
        <w:autoSpaceDE w:val="0"/>
        <w:autoSpaceDN w:val="0"/>
        <w:adjustRightInd w:val="0"/>
        <w:spacing w:after="0" w:line="240" w:lineRule="auto"/>
        <w:rPr>
          <w:rFonts w:cstheme="minorHAnsi"/>
          <w:bCs/>
        </w:rPr>
      </w:pPr>
    </w:p>
    <w:p w14:paraId="76A07120" w14:textId="77777777" w:rsidR="00E10674" w:rsidRPr="00770FFF" w:rsidRDefault="00E10674" w:rsidP="00E10674">
      <w:pPr>
        <w:autoSpaceDE w:val="0"/>
        <w:autoSpaceDN w:val="0"/>
        <w:adjustRightInd w:val="0"/>
        <w:spacing w:after="0" w:line="240" w:lineRule="auto"/>
        <w:rPr>
          <w:rFonts w:cstheme="minorHAnsi"/>
          <w:bCs/>
          <w:color w:val="0000CC"/>
          <w:u w:val="single"/>
        </w:rPr>
      </w:pPr>
      <w:r w:rsidRPr="00770FFF">
        <w:rPr>
          <w:rFonts w:cstheme="minorHAnsi"/>
          <w:bCs/>
          <w:color w:val="0000CC"/>
          <w:u w:val="single"/>
        </w:rPr>
        <w:t>Reliability</w:t>
      </w:r>
      <w:r w:rsidRPr="00770FFF">
        <w:rPr>
          <w:rFonts w:cstheme="minorHAnsi"/>
          <w:bCs/>
          <w:color w:val="0000CC"/>
        </w:rPr>
        <w:t>:</w:t>
      </w:r>
    </w:p>
    <w:p w14:paraId="0420D828" w14:textId="15064BF7" w:rsidR="00E10674" w:rsidRDefault="00E10674" w:rsidP="00E10674">
      <w:pPr>
        <w:autoSpaceDE w:val="0"/>
        <w:autoSpaceDN w:val="0"/>
        <w:adjustRightInd w:val="0"/>
        <w:spacing w:after="0" w:line="240" w:lineRule="auto"/>
        <w:rPr>
          <w:rFonts w:cstheme="minorHAnsi"/>
          <w:bCs/>
          <w:color w:val="0000CC"/>
        </w:rPr>
      </w:pPr>
      <w:r w:rsidRPr="00770FFF">
        <w:rPr>
          <w:rFonts w:cstheme="minorHAnsi"/>
          <w:bCs/>
          <w:color w:val="0000CC"/>
        </w:rPr>
        <w:t>Reliability of the health plan measure score was tested using a beta-binomial calculation. This analysis included the entire HEDIS data sample (described above).</w:t>
      </w:r>
    </w:p>
    <w:p w14:paraId="2D9CF648" w14:textId="29526007" w:rsidR="00EE0BB5" w:rsidRDefault="00EE0BB5" w:rsidP="00E10674">
      <w:pPr>
        <w:autoSpaceDE w:val="0"/>
        <w:autoSpaceDN w:val="0"/>
        <w:adjustRightInd w:val="0"/>
        <w:spacing w:after="0" w:line="240" w:lineRule="auto"/>
        <w:rPr>
          <w:rFonts w:cstheme="minorHAnsi"/>
          <w:bCs/>
          <w:color w:val="0000CC"/>
        </w:rPr>
      </w:pPr>
    </w:p>
    <w:p w14:paraId="63446DE3" w14:textId="77777777" w:rsidR="00EE0BB5" w:rsidRPr="006B4C66" w:rsidRDefault="00EE0BB5" w:rsidP="00EE0BB5">
      <w:pPr>
        <w:autoSpaceDE w:val="0"/>
        <w:autoSpaceDN w:val="0"/>
        <w:adjustRightInd w:val="0"/>
        <w:spacing w:after="0" w:line="240" w:lineRule="auto"/>
        <w:rPr>
          <w:color w:val="0000FF"/>
        </w:rPr>
      </w:pPr>
      <w:bookmarkStart w:id="14" w:name="_Hlk502836411"/>
      <w:bookmarkStart w:id="15" w:name="_Hlk507765882"/>
      <w:r w:rsidRPr="3C795A04">
        <w:rPr>
          <w:color w:val="0000FF"/>
        </w:rPr>
        <w:t>Reliability of the physician/practice level measure in the DRP was tested using a beta-binomial calculation. This analysis included the entire DRP sample (described above).</w:t>
      </w:r>
      <w:bookmarkEnd w:id="14"/>
    </w:p>
    <w:p w14:paraId="323279AF" w14:textId="7966FCB7" w:rsidR="00E10674" w:rsidRDefault="00E10674" w:rsidP="00E37E1B">
      <w:pPr>
        <w:autoSpaceDE w:val="0"/>
        <w:autoSpaceDN w:val="0"/>
        <w:adjustRightInd w:val="0"/>
        <w:spacing w:after="0" w:line="240" w:lineRule="auto"/>
        <w:rPr>
          <w:rFonts w:cstheme="minorHAnsi"/>
          <w:bCs/>
        </w:rPr>
      </w:pPr>
    </w:p>
    <w:p w14:paraId="182ADAFB" w14:textId="77777777" w:rsidR="00E10674" w:rsidRPr="00E10674" w:rsidRDefault="00E10674" w:rsidP="00E10674">
      <w:pPr>
        <w:autoSpaceDE w:val="0"/>
        <w:autoSpaceDN w:val="0"/>
        <w:adjustRightInd w:val="0"/>
        <w:spacing w:after="0" w:line="240" w:lineRule="auto"/>
        <w:rPr>
          <w:rFonts w:cstheme="minorHAnsi"/>
          <w:bCs/>
          <w:color w:val="0000CC"/>
          <w:u w:val="single"/>
        </w:rPr>
      </w:pPr>
      <w:r w:rsidRPr="00E10674">
        <w:rPr>
          <w:rFonts w:cstheme="minorHAnsi"/>
          <w:bCs/>
          <w:color w:val="0000CC"/>
          <w:u w:val="single"/>
        </w:rPr>
        <w:t>Validity</w:t>
      </w:r>
      <w:r w:rsidRPr="00E10674">
        <w:rPr>
          <w:rFonts w:cstheme="minorHAnsi"/>
          <w:bCs/>
          <w:color w:val="0000CC"/>
        </w:rPr>
        <w:t>:</w:t>
      </w:r>
    </w:p>
    <w:p w14:paraId="2F34C2BB" w14:textId="77777777" w:rsidR="00EE0BB5" w:rsidRDefault="00EE0BB5" w:rsidP="00EE0BB5">
      <w:pPr>
        <w:autoSpaceDE w:val="0"/>
        <w:autoSpaceDN w:val="0"/>
        <w:adjustRightInd w:val="0"/>
        <w:spacing w:after="0" w:line="240" w:lineRule="auto"/>
        <w:rPr>
          <w:color w:val="0000FF"/>
        </w:rPr>
      </w:pPr>
      <w:r w:rsidRPr="3C795A04">
        <w:rPr>
          <w:color w:val="0000FF"/>
        </w:rPr>
        <w:t>Validity of the health plan measure was demonstrated through construct validity using the entire HEDIS data sample (described above) and through a systematic assessment of face validity with expert panels.</w:t>
      </w:r>
      <w:r>
        <w:rPr>
          <w:color w:val="0000FF"/>
        </w:rPr>
        <w:t xml:space="preserve"> </w:t>
      </w:r>
    </w:p>
    <w:p w14:paraId="161F45FF" w14:textId="77777777" w:rsidR="00EE0BB5" w:rsidRDefault="00EE0BB5" w:rsidP="00EE0BB5">
      <w:pPr>
        <w:autoSpaceDE w:val="0"/>
        <w:autoSpaceDN w:val="0"/>
        <w:adjustRightInd w:val="0"/>
        <w:spacing w:after="0" w:line="240" w:lineRule="auto"/>
        <w:rPr>
          <w:color w:val="0000FF"/>
        </w:rPr>
      </w:pPr>
    </w:p>
    <w:bookmarkEnd w:id="15"/>
    <w:p w14:paraId="6738F64A" w14:textId="75E7E116" w:rsidR="00EE0BB5" w:rsidRDefault="00920111" w:rsidP="00EE0BB5">
      <w:pPr>
        <w:autoSpaceDE w:val="0"/>
        <w:autoSpaceDN w:val="0"/>
        <w:adjustRightInd w:val="0"/>
        <w:spacing w:after="0" w:line="240" w:lineRule="auto"/>
        <w:rPr>
          <w:color w:val="0000FF"/>
        </w:rPr>
      </w:pPr>
      <w:r w:rsidRPr="00920111">
        <w:rPr>
          <w:color w:val="0000FF"/>
        </w:rPr>
        <w:t>Validity was demonstrated through construct validity using data from a sample of 653 physicians/practices and through a systematic assessment of face validity with expert panels.</w:t>
      </w:r>
    </w:p>
    <w:p w14:paraId="5BB302F9" w14:textId="77777777" w:rsidR="00920111" w:rsidRDefault="00920111" w:rsidP="00EE0BB5">
      <w:pPr>
        <w:autoSpaceDE w:val="0"/>
        <w:autoSpaceDN w:val="0"/>
        <w:adjustRightInd w:val="0"/>
        <w:spacing w:after="0" w:line="240" w:lineRule="auto"/>
        <w:rPr>
          <w:rFonts w:cstheme="minorHAnsi"/>
          <w:bCs/>
        </w:rPr>
      </w:pPr>
    </w:p>
    <w:p w14:paraId="0CABCFCC" w14:textId="280023DB"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286C5F07" w14:textId="7470543B" w:rsidR="006C66B3" w:rsidRDefault="006C66B3" w:rsidP="00E37E1B">
      <w:pPr>
        <w:autoSpaceDE w:val="0"/>
        <w:autoSpaceDN w:val="0"/>
        <w:adjustRightInd w:val="0"/>
        <w:spacing w:after="0" w:line="240" w:lineRule="auto"/>
        <w:rPr>
          <w:rFonts w:cstheme="minorHAnsi"/>
          <w:bCs/>
        </w:rPr>
      </w:pPr>
    </w:p>
    <w:p w14:paraId="145C51C0" w14:textId="263CC5D9" w:rsidR="006C66B3" w:rsidRPr="006C66B3" w:rsidRDefault="006C66B3" w:rsidP="00E37E1B">
      <w:pPr>
        <w:autoSpaceDE w:val="0"/>
        <w:autoSpaceDN w:val="0"/>
        <w:adjustRightInd w:val="0"/>
        <w:spacing w:after="0" w:line="240" w:lineRule="auto"/>
        <w:rPr>
          <w:rFonts w:cstheme="minorHAnsi"/>
          <w:noProof/>
          <w:color w:val="0000CC"/>
        </w:rPr>
      </w:pPr>
      <w:bookmarkStart w:id="16" w:name="_Hlk507767270"/>
      <w:r w:rsidRPr="00770FFF">
        <w:rPr>
          <w:rFonts w:cstheme="minorHAnsi"/>
          <w:noProof/>
          <w:color w:val="0000CC"/>
        </w:rPr>
        <w:t>We did not analy</w:t>
      </w:r>
      <w:r w:rsidR="00FE35C4">
        <w:rPr>
          <w:rFonts w:cstheme="minorHAnsi"/>
          <w:noProof/>
          <w:color w:val="0000CC"/>
        </w:rPr>
        <w:t>z</w:t>
      </w:r>
      <w:r w:rsidRPr="00770FFF">
        <w:rPr>
          <w:rFonts w:cstheme="minorHAnsi"/>
          <w:noProof/>
          <w:color w:val="0000CC"/>
        </w:rPr>
        <w:t>e performance by social risk factors.</w:t>
      </w:r>
    </w:p>
    <w:bookmarkEnd w:id="16"/>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F5B4FBA"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6C66B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58F28BFC" w:rsidR="008C54A9" w:rsidRDefault="008C54A9" w:rsidP="008C54A9">
      <w:pPr>
        <w:autoSpaceDE w:val="0"/>
        <w:autoSpaceDN w:val="0"/>
        <w:adjustRightInd w:val="0"/>
        <w:spacing w:after="0" w:line="240" w:lineRule="auto"/>
        <w:rPr>
          <w:rFonts w:cstheme="minorHAnsi"/>
          <w:bCs/>
        </w:rPr>
      </w:pPr>
    </w:p>
    <w:p w14:paraId="28DFDC6C" w14:textId="77777777" w:rsidR="006C66B3" w:rsidRPr="00770FFF" w:rsidRDefault="006C66B3" w:rsidP="006C66B3">
      <w:pPr>
        <w:autoSpaceDE w:val="0"/>
        <w:autoSpaceDN w:val="0"/>
        <w:adjustRightInd w:val="0"/>
        <w:spacing w:after="0" w:line="240" w:lineRule="auto"/>
        <w:rPr>
          <w:rFonts w:cstheme="minorHAnsi"/>
          <w:bCs/>
          <w:color w:val="0000CC"/>
        </w:rPr>
      </w:pPr>
      <w:bookmarkStart w:id="17" w:name="_Hlk507767295"/>
      <w:r w:rsidRPr="00770FFF">
        <w:rPr>
          <w:rFonts w:cstheme="minorHAnsi"/>
          <w:bCs/>
          <w:color w:val="0000CC"/>
          <w:u w:val="single"/>
        </w:rPr>
        <w:t>Reliability testing of performance measure score</w:t>
      </w:r>
      <w:r w:rsidRPr="00770FFF">
        <w:rPr>
          <w:rFonts w:cstheme="minorHAnsi"/>
          <w:bCs/>
          <w:color w:val="0000CC"/>
        </w:rPr>
        <w:t xml:space="preserve">: </w:t>
      </w:r>
    </w:p>
    <w:p w14:paraId="2F17E364" w14:textId="59EFD7AB" w:rsidR="006C66B3" w:rsidRPr="00770FFF" w:rsidRDefault="006C66B3" w:rsidP="006C66B3">
      <w:pPr>
        <w:autoSpaceDE w:val="0"/>
        <w:autoSpaceDN w:val="0"/>
        <w:adjustRightInd w:val="0"/>
        <w:spacing w:after="0" w:line="240" w:lineRule="auto"/>
        <w:rPr>
          <w:rFonts w:cstheme="minorHAnsi"/>
          <w:bCs/>
          <w:color w:val="0000CC"/>
        </w:rPr>
      </w:pPr>
      <w:bookmarkStart w:id="18" w:name="_Hlk507754768"/>
      <w:r w:rsidRPr="00770FFF">
        <w:rPr>
          <w:rFonts w:cstheme="minorHAnsi"/>
          <w:bCs/>
          <w:color w:val="0000CC"/>
        </w:rPr>
        <w:t xml:space="preserve">Reliability was estimated by using the beta-binomial model for the health plan measure and physician/practice level DRP measure. Beta-binomial is a better fit when estimating the reliability of simple pass/fail rate measures as is the case with most HEDIS®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 </w:t>
      </w:r>
    </w:p>
    <w:p w14:paraId="427B4A18" w14:textId="77777777" w:rsidR="006C66B3" w:rsidRPr="00770FFF" w:rsidRDefault="006C66B3" w:rsidP="006C66B3">
      <w:pPr>
        <w:autoSpaceDE w:val="0"/>
        <w:autoSpaceDN w:val="0"/>
        <w:adjustRightInd w:val="0"/>
        <w:spacing w:after="0" w:line="240" w:lineRule="auto"/>
        <w:rPr>
          <w:rFonts w:cstheme="minorHAnsi"/>
          <w:bCs/>
          <w:color w:val="0000CC"/>
        </w:rPr>
      </w:pPr>
    </w:p>
    <w:p w14:paraId="0ED66199" w14:textId="77777777" w:rsidR="006C66B3" w:rsidRPr="00770FFF" w:rsidRDefault="006C66B3" w:rsidP="006C66B3">
      <w:pPr>
        <w:autoSpaceDE w:val="0"/>
        <w:autoSpaceDN w:val="0"/>
        <w:adjustRightInd w:val="0"/>
        <w:spacing w:after="0" w:line="240" w:lineRule="auto"/>
        <w:rPr>
          <w:rFonts w:cstheme="minorHAnsi"/>
          <w:bCs/>
          <w:color w:val="0000CC"/>
        </w:rPr>
      </w:pPr>
      <w:r w:rsidRPr="00770FFF">
        <w:rPr>
          <w:rFonts w:cstheme="minorHAnsi"/>
          <w:bCs/>
          <w:color w:val="0000CC"/>
        </w:rPr>
        <w:t>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bookmarkEnd w:id="17"/>
      <w:r w:rsidRPr="00770FFF">
        <w:rPr>
          <w:rFonts w:cstheme="minorHAnsi"/>
          <w:bCs/>
          <w:color w:val="0000CC"/>
        </w:rPr>
        <w:t xml:space="preserve">. </w:t>
      </w:r>
    </w:p>
    <w:bookmarkEnd w:id="18"/>
    <w:p w14:paraId="6BF11F61" w14:textId="6A3E07E8" w:rsidR="006C66B3" w:rsidRDefault="006C66B3" w:rsidP="008C54A9">
      <w:pPr>
        <w:autoSpaceDE w:val="0"/>
        <w:autoSpaceDN w:val="0"/>
        <w:adjustRightInd w:val="0"/>
        <w:spacing w:after="0" w:line="240" w:lineRule="auto"/>
        <w:rPr>
          <w:rFonts w:cstheme="minorHAnsi"/>
          <w:bCs/>
        </w:rPr>
      </w:pPr>
    </w:p>
    <w:p w14:paraId="68C23DF3" w14:textId="77777777" w:rsidR="006C66B3" w:rsidRPr="00A25024" w:rsidRDefault="006C66B3" w:rsidP="008C54A9">
      <w:pPr>
        <w:autoSpaceDE w:val="0"/>
        <w:autoSpaceDN w:val="0"/>
        <w:adjustRightInd w:val="0"/>
        <w:spacing w:after="0" w:line="240" w:lineRule="auto"/>
        <w:rPr>
          <w:rFonts w:cstheme="minorHAnsi"/>
          <w:bCs/>
        </w:rPr>
      </w:pPr>
    </w:p>
    <w:p w14:paraId="790BB024" w14:textId="77777777" w:rsidR="00F11119"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87CD458" w14:textId="4BB47B86" w:rsidR="008B03FA" w:rsidRDefault="008B03FA" w:rsidP="00F11119">
      <w:pPr>
        <w:autoSpaceDE w:val="0"/>
        <w:autoSpaceDN w:val="0"/>
        <w:adjustRightInd w:val="0"/>
        <w:spacing w:after="0" w:line="240" w:lineRule="auto"/>
        <w:rPr>
          <w:rFonts w:cstheme="minorHAnsi"/>
          <w:bCs/>
          <w:color w:val="0000CC"/>
        </w:rPr>
      </w:pPr>
    </w:p>
    <w:p w14:paraId="4A7A2E5B" w14:textId="1C94EE0B" w:rsidR="00F11119" w:rsidRPr="00770FFF" w:rsidRDefault="00F11119" w:rsidP="00F11119">
      <w:pPr>
        <w:autoSpaceDE w:val="0"/>
        <w:autoSpaceDN w:val="0"/>
        <w:adjustRightInd w:val="0"/>
        <w:spacing w:after="0" w:line="240" w:lineRule="auto"/>
        <w:rPr>
          <w:rFonts w:cstheme="minorHAnsi"/>
          <w:bCs/>
          <w:color w:val="0000CC"/>
        </w:rPr>
      </w:pPr>
      <w:r w:rsidRPr="00770FFF">
        <w:rPr>
          <w:rFonts w:cstheme="minorHAnsi"/>
          <w:bCs/>
          <w:color w:val="0000CC"/>
        </w:rPr>
        <w:t>Health Plan Level</w:t>
      </w:r>
    </w:p>
    <w:tbl>
      <w:tblPr>
        <w:tblStyle w:val="TableGrid"/>
        <w:tblW w:w="0" w:type="auto"/>
        <w:tblLook w:val="04A0" w:firstRow="1" w:lastRow="0" w:firstColumn="1" w:lastColumn="0" w:noHBand="0" w:noVBand="1"/>
      </w:tblPr>
      <w:tblGrid>
        <w:gridCol w:w="4675"/>
        <w:gridCol w:w="4675"/>
      </w:tblGrid>
      <w:tr w:rsidR="00F11119" w:rsidRPr="00770FFF" w14:paraId="6A91A536" w14:textId="77777777" w:rsidTr="00C471A6">
        <w:tc>
          <w:tcPr>
            <w:tcW w:w="4675" w:type="dxa"/>
          </w:tcPr>
          <w:p w14:paraId="4C513B4A" w14:textId="77777777" w:rsidR="00F11119" w:rsidRPr="00770FFF" w:rsidRDefault="00F11119" w:rsidP="00C471A6">
            <w:pPr>
              <w:autoSpaceDE w:val="0"/>
              <w:autoSpaceDN w:val="0"/>
              <w:adjustRightInd w:val="0"/>
              <w:rPr>
                <w:rFonts w:cstheme="minorHAnsi"/>
                <w:b/>
                <w:bCs/>
                <w:color w:val="0000CC"/>
              </w:rPr>
            </w:pPr>
            <w:bookmarkStart w:id="19" w:name="_Hlk502677292"/>
            <w:r w:rsidRPr="00770FFF">
              <w:rPr>
                <w:rFonts w:cstheme="minorHAnsi"/>
                <w:b/>
                <w:bCs/>
                <w:color w:val="0000CC"/>
              </w:rPr>
              <w:t>Product Type</w:t>
            </w:r>
          </w:p>
        </w:tc>
        <w:tc>
          <w:tcPr>
            <w:tcW w:w="4675" w:type="dxa"/>
          </w:tcPr>
          <w:p w14:paraId="635C64BD" w14:textId="77777777" w:rsidR="00F11119" w:rsidRPr="00770FFF" w:rsidRDefault="00F11119" w:rsidP="00C471A6">
            <w:pPr>
              <w:autoSpaceDE w:val="0"/>
              <w:autoSpaceDN w:val="0"/>
              <w:adjustRightInd w:val="0"/>
              <w:jc w:val="center"/>
              <w:rPr>
                <w:rFonts w:cstheme="minorHAnsi"/>
                <w:b/>
                <w:bCs/>
                <w:color w:val="0000CC"/>
              </w:rPr>
            </w:pPr>
            <w:r w:rsidRPr="00770FFF">
              <w:rPr>
                <w:rFonts w:cstheme="minorHAnsi"/>
                <w:b/>
                <w:bCs/>
                <w:color w:val="0000CC"/>
              </w:rPr>
              <w:t>Reliability per Beta Binomial Model</w:t>
            </w:r>
          </w:p>
        </w:tc>
      </w:tr>
      <w:bookmarkEnd w:id="19"/>
      <w:tr w:rsidR="00F11119" w:rsidRPr="00770FFF" w14:paraId="50FA4188" w14:textId="77777777" w:rsidTr="00C471A6">
        <w:tc>
          <w:tcPr>
            <w:tcW w:w="4675" w:type="dxa"/>
          </w:tcPr>
          <w:p w14:paraId="707C00CD" w14:textId="77777777" w:rsidR="00F11119" w:rsidRPr="00770FFF" w:rsidRDefault="00F11119" w:rsidP="00C471A6">
            <w:pPr>
              <w:autoSpaceDE w:val="0"/>
              <w:autoSpaceDN w:val="0"/>
              <w:adjustRightInd w:val="0"/>
              <w:rPr>
                <w:rFonts w:cstheme="minorHAnsi"/>
                <w:bCs/>
                <w:color w:val="0000CC"/>
              </w:rPr>
            </w:pPr>
            <w:r w:rsidRPr="00770FFF">
              <w:rPr>
                <w:rFonts w:cstheme="minorHAnsi"/>
                <w:bCs/>
                <w:color w:val="0000CC"/>
              </w:rPr>
              <w:t>Commercial</w:t>
            </w:r>
          </w:p>
        </w:tc>
        <w:tc>
          <w:tcPr>
            <w:tcW w:w="4675" w:type="dxa"/>
          </w:tcPr>
          <w:p w14:paraId="60379FCC" w14:textId="21738BA4" w:rsidR="00F11119" w:rsidRPr="00770FFF" w:rsidRDefault="008B03FA" w:rsidP="00C471A6">
            <w:pPr>
              <w:autoSpaceDE w:val="0"/>
              <w:autoSpaceDN w:val="0"/>
              <w:adjustRightInd w:val="0"/>
              <w:jc w:val="center"/>
              <w:rPr>
                <w:rFonts w:cstheme="minorHAnsi"/>
                <w:bCs/>
                <w:color w:val="0000CC"/>
              </w:rPr>
            </w:pPr>
            <w:r>
              <w:rPr>
                <w:rFonts w:cstheme="minorHAnsi"/>
                <w:bCs/>
                <w:color w:val="0000CC"/>
              </w:rPr>
              <w:t>1.0</w:t>
            </w:r>
          </w:p>
        </w:tc>
      </w:tr>
      <w:tr w:rsidR="00F11119" w:rsidRPr="00770FFF" w14:paraId="27F4B0A2" w14:textId="77777777" w:rsidTr="00C471A6">
        <w:tc>
          <w:tcPr>
            <w:tcW w:w="4675" w:type="dxa"/>
          </w:tcPr>
          <w:p w14:paraId="2BB0D1E1" w14:textId="77777777" w:rsidR="00F11119" w:rsidRPr="00770FFF" w:rsidRDefault="00F11119" w:rsidP="00C471A6">
            <w:pPr>
              <w:autoSpaceDE w:val="0"/>
              <w:autoSpaceDN w:val="0"/>
              <w:adjustRightInd w:val="0"/>
              <w:rPr>
                <w:rFonts w:cstheme="minorHAnsi"/>
                <w:bCs/>
                <w:color w:val="0000CC"/>
              </w:rPr>
            </w:pPr>
            <w:r w:rsidRPr="00770FFF">
              <w:rPr>
                <w:rFonts w:cstheme="minorHAnsi"/>
                <w:bCs/>
                <w:color w:val="0000CC"/>
              </w:rPr>
              <w:t>Medicare</w:t>
            </w:r>
          </w:p>
        </w:tc>
        <w:tc>
          <w:tcPr>
            <w:tcW w:w="4675" w:type="dxa"/>
          </w:tcPr>
          <w:p w14:paraId="3970658D" w14:textId="63B70252" w:rsidR="00F11119" w:rsidRPr="00770FFF" w:rsidRDefault="008B03FA" w:rsidP="00C471A6">
            <w:pPr>
              <w:autoSpaceDE w:val="0"/>
              <w:autoSpaceDN w:val="0"/>
              <w:adjustRightInd w:val="0"/>
              <w:jc w:val="center"/>
              <w:rPr>
                <w:rFonts w:cstheme="minorHAnsi"/>
                <w:bCs/>
                <w:color w:val="0000CC"/>
              </w:rPr>
            </w:pPr>
            <w:r>
              <w:rPr>
                <w:rFonts w:cstheme="minorHAnsi"/>
                <w:bCs/>
                <w:color w:val="0000CC"/>
              </w:rPr>
              <w:t>0.99</w:t>
            </w:r>
          </w:p>
        </w:tc>
      </w:tr>
      <w:tr w:rsidR="00F11119" w:rsidRPr="00770FFF" w14:paraId="1EC0346F" w14:textId="77777777" w:rsidTr="00C471A6">
        <w:tc>
          <w:tcPr>
            <w:tcW w:w="4675" w:type="dxa"/>
          </w:tcPr>
          <w:p w14:paraId="71290B98" w14:textId="77777777" w:rsidR="00F11119" w:rsidRPr="00770FFF" w:rsidRDefault="00F11119" w:rsidP="00C471A6">
            <w:pPr>
              <w:autoSpaceDE w:val="0"/>
              <w:autoSpaceDN w:val="0"/>
              <w:adjustRightInd w:val="0"/>
              <w:rPr>
                <w:rFonts w:cstheme="minorHAnsi"/>
                <w:bCs/>
                <w:color w:val="0000CC"/>
              </w:rPr>
            </w:pPr>
            <w:r w:rsidRPr="00770FFF">
              <w:rPr>
                <w:rFonts w:cstheme="minorHAnsi"/>
                <w:bCs/>
                <w:color w:val="0000CC"/>
              </w:rPr>
              <w:t>Medicaid</w:t>
            </w:r>
          </w:p>
        </w:tc>
        <w:tc>
          <w:tcPr>
            <w:tcW w:w="4675" w:type="dxa"/>
          </w:tcPr>
          <w:p w14:paraId="4EAEB0C4" w14:textId="2646D6C9" w:rsidR="00F11119" w:rsidRPr="00770FFF" w:rsidRDefault="008B03FA" w:rsidP="00C471A6">
            <w:pPr>
              <w:autoSpaceDE w:val="0"/>
              <w:autoSpaceDN w:val="0"/>
              <w:adjustRightInd w:val="0"/>
              <w:jc w:val="center"/>
              <w:rPr>
                <w:rFonts w:cstheme="minorHAnsi"/>
                <w:bCs/>
                <w:color w:val="0000CC"/>
              </w:rPr>
            </w:pPr>
            <w:r>
              <w:rPr>
                <w:rFonts w:cstheme="minorHAnsi"/>
                <w:bCs/>
                <w:color w:val="0000CC"/>
              </w:rPr>
              <w:t>0.96</w:t>
            </w:r>
          </w:p>
        </w:tc>
      </w:tr>
    </w:tbl>
    <w:p w14:paraId="52A9BA21" w14:textId="77777777" w:rsidR="008B03FA" w:rsidRDefault="008B03FA" w:rsidP="008C54A9">
      <w:pPr>
        <w:autoSpaceDE w:val="0"/>
        <w:autoSpaceDN w:val="0"/>
        <w:adjustRightInd w:val="0"/>
        <w:spacing w:after="0" w:line="240" w:lineRule="auto"/>
        <w:rPr>
          <w:rFonts w:cstheme="minorHAnsi"/>
          <w:bCs/>
        </w:rPr>
      </w:pPr>
    </w:p>
    <w:p w14:paraId="044F33F9" w14:textId="70199ED5" w:rsidR="008B03FA" w:rsidRPr="00770FFF" w:rsidRDefault="008B03FA" w:rsidP="008B03FA">
      <w:pPr>
        <w:autoSpaceDE w:val="0"/>
        <w:autoSpaceDN w:val="0"/>
        <w:adjustRightInd w:val="0"/>
        <w:spacing w:after="0" w:line="240" w:lineRule="auto"/>
        <w:rPr>
          <w:rFonts w:cstheme="minorHAnsi"/>
          <w:bCs/>
          <w:color w:val="0000CC"/>
        </w:rPr>
      </w:pPr>
      <w:bookmarkStart w:id="20" w:name="_Hlk507767604"/>
      <w:r w:rsidRPr="00D461C9">
        <w:rPr>
          <w:rFonts w:cstheme="minorHAnsi"/>
          <w:bCs/>
          <w:color w:val="0000CC"/>
        </w:rPr>
        <w:t>Physician Level</w:t>
      </w:r>
    </w:p>
    <w:tbl>
      <w:tblPr>
        <w:tblStyle w:val="TableGrid"/>
        <w:tblW w:w="0" w:type="auto"/>
        <w:tblLook w:val="04A0" w:firstRow="1" w:lastRow="0" w:firstColumn="1" w:lastColumn="0" w:noHBand="0" w:noVBand="1"/>
      </w:tblPr>
      <w:tblGrid>
        <w:gridCol w:w="4675"/>
        <w:gridCol w:w="4675"/>
      </w:tblGrid>
      <w:tr w:rsidR="008B03FA" w:rsidRPr="00770FFF" w14:paraId="1AB41E0E" w14:textId="77777777" w:rsidTr="00C471A6">
        <w:tc>
          <w:tcPr>
            <w:tcW w:w="4675" w:type="dxa"/>
          </w:tcPr>
          <w:p w14:paraId="09BC3C98" w14:textId="77777777" w:rsidR="008B03FA" w:rsidRPr="00770FFF" w:rsidRDefault="008B03FA" w:rsidP="00C471A6">
            <w:pPr>
              <w:autoSpaceDE w:val="0"/>
              <w:autoSpaceDN w:val="0"/>
              <w:adjustRightInd w:val="0"/>
              <w:rPr>
                <w:rFonts w:cstheme="minorHAnsi"/>
                <w:b/>
                <w:bCs/>
                <w:color w:val="0000CC"/>
              </w:rPr>
            </w:pPr>
            <w:r w:rsidRPr="00770FFF">
              <w:rPr>
                <w:rFonts w:cstheme="minorHAnsi"/>
                <w:b/>
                <w:bCs/>
                <w:color w:val="0000CC"/>
              </w:rPr>
              <w:t>Product Type</w:t>
            </w:r>
          </w:p>
        </w:tc>
        <w:tc>
          <w:tcPr>
            <w:tcW w:w="4675" w:type="dxa"/>
          </w:tcPr>
          <w:p w14:paraId="156D3C6F" w14:textId="77777777" w:rsidR="008B03FA" w:rsidRPr="00770FFF" w:rsidRDefault="008B03FA" w:rsidP="00C471A6">
            <w:pPr>
              <w:autoSpaceDE w:val="0"/>
              <w:autoSpaceDN w:val="0"/>
              <w:adjustRightInd w:val="0"/>
              <w:jc w:val="center"/>
              <w:rPr>
                <w:rFonts w:cstheme="minorHAnsi"/>
                <w:b/>
                <w:bCs/>
                <w:color w:val="0000CC"/>
              </w:rPr>
            </w:pPr>
            <w:r w:rsidRPr="00770FFF">
              <w:rPr>
                <w:rFonts w:cstheme="minorHAnsi"/>
                <w:b/>
                <w:bCs/>
                <w:color w:val="0000CC"/>
              </w:rPr>
              <w:t>Reliability per Beta Binomial Model</w:t>
            </w:r>
          </w:p>
        </w:tc>
      </w:tr>
      <w:tr w:rsidR="008B03FA" w:rsidRPr="00770FFF" w14:paraId="69296277" w14:textId="77777777" w:rsidTr="00C471A6">
        <w:tc>
          <w:tcPr>
            <w:tcW w:w="4675" w:type="dxa"/>
          </w:tcPr>
          <w:p w14:paraId="0AF1CD9D" w14:textId="77777777" w:rsidR="008B03FA" w:rsidRPr="00770FFF" w:rsidRDefault="008B03FA" w:rsidP="00C471A6">
            <w:pPr>
              <w:autoSpaceDE w:val="0"/>
              <w:autoSpaceDN w:val="0"/>
              <w:adjustRightInd w:val="0"/>
              <w:rPr>
                <w:rFonts w:cstheme="minorHAnsi"/>
                <w:bCs/>
                <w:color w:val="0000CC"/>
              </w:rPr>
            </w:pPr>
            <w:r w:rsidRPr="00770FFF">
              <w:rPr>
                <w:rFonts w:cstheme="minorHAnsi"/>
                <w:bCs/>
                <w:color w:val="0000CC"/>
              </w:rPr>
              <w:t>Diabetes Recognition Program</w:t>
            </w:r>
          </w:p>
        </w:tc>
        <w:tc>
          <w:tcPr>
            <w:tcW w:w="4675" w:type="dxa"/>
          </w:tcPr>
          <w:p w14:paraId="7969C14B" w14:textId="7B9BFBC0" w:rsidR="008B03FA" w:rsidRPr="00770FFF" w:rsidRDefault="004879B4" w:rsidP="00C471A6">
            <w:pPr>
              <w:autoSpaceDE w:val="0"/>
              <w:autoSpaceDN w:val="0"/>
              <w:adjustRightInd w:val="0"/>
              <w:jc w:val="center"/>
              <w:rPr>
                <w:rFonts w:cstheme="minorHAnsi"/>
                <w:bCs/>
                <w:color w:val="0000CC"/>
              </w:rPr>
            </w:pPr>
            <w:r>
              <w:rPr>
                <w:rFonts w:cstheme="minorHAnsi"/>
                <w:bCs/>
                <w:color w:val="0000CC"/>
              </w:rPr>
              <w:t>0</w:t>
            </w:r>
            <w:r w:rsidR="004100BB">
              <w:rPr>
                <w:rFonts w:cstheme="minorHAnsi"/>
                <w:bCs/>
                <w:color w:val="0000CC"/>
              </w:rPr>
              <w:t>.8</w:t>
            </w:r>
            <w:r w:rsidR="00502894">
              <w:rPr>
                <w:rFonts w:cstheme="minorHAnsi"/>
                <w:bCs/>
                <w:color w:val="0000CC"/>
              </w:rPr>
              <w:t>0</w:t>
            </w:r>
          </w:p>
        </w:tc>
      </w:tr>
    </w:tbl>
    <w:bookmarkEnd w:id="20"/>
    <w:p w14:paraId="0CABCFD4" w14:textId="3400A66F" w:rsidR="007422FD" w:rsidRDefault="0048008A" w:rsidP="00DB3627">
      <w:pPr>
        <w:autoSpaceDE w:val="0"/>
        <w:autoSpaceDN w:val="0"/>
        <w:adjustRightInd w:val="0"/>
        <w:spacing w:after="0" w:line="240" w:lineRule="auto"/>
        <w:rPr>
          <w:rFonts w:cstheme="minorHAnsi"/>
          <w:bCs/>
        </w:rPr>
      </w:pPr>
      <w:r w:rsidRPr="00A25024">
        <w:rPr>
          <w:rFonts w:cstheme="minorHAnsi"/>
          <w:bCs/>
        </w:rPr>
        <w:br/>
      </w:r>
      <w:r w:rsidR="00092566">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AC34896" w14:textId="77777777" w:rsidR="008B03FA" w:rsidRPr="00770FFF" w:rsidRDefault="008B03FA" w:rsidP="008B03FA">
      <w:pPr>
        <w:autoSpaceDE w:val="0"/>
        <w:autoSpaceDN w:val="0"/>
        <w:adjustRightInd w:val="0"/>
        <w:spacing w:after="0" w:line="240" w:lineRule="auto"/>
        <w:rPr>
          <w:rFonts w:cstheme="minorHAnsi"/>
          <w:bCs/>
          <w:color w:val="0000CC"/>
          <w:u w:val="single"/>
        </w:rPr>
      </w:pPr>
      <w:bookmarkStart w:id="21" w:name="_Hlk507754897"/>
      <w:r w:rsidRPr="00770FFF">
        <w:rPr>
          <w:rFonts w:cstheme="minorHAnsi"/>
          <w:bCs/>
          <w:color w:val="0000CC"/>
          <w:u w:val="single"/>
        </w:rPr>
        <w:t>Health Plan Level</w:t>
      </w:r>
    </w:p>
    <w:p w14:paraId="30C4AA1D" w14:textId="77777777" w:rsidR="008B03FA" w:rsidRPr="00770FFF" w:rsidRDefault="008B03FA" w:rsidP="008B03FA">
      <w:pPr>
        <w:autoSpaceDE w:val="0"/>
        <w:autoSpaceDN w:val="0"/>
        <w:adjustRightInd w:val="0"/>
        <w:spacing w:after="0" w:line="240" w:lineRule="auto"/>
        <w:rPr>
          <w:rFonts w:cstheme="minorHAnsi"/>
          <w:noProof/>
          <w:color w:val="0000CC"/>
        </w:rPr>
      </w:pPr>
      <w:bookmarkStart w:id="22" w:name="_Hlk502677798"/>
      <w:r w:rsidRPr="00770FFF">
        <w:rPr>
          <w:rFonts w:cstheme="minorHAnsi"/>
          <w:noProof/>
          <w:color w:val="0000CC"/>
        </w:rPr>
        <w:t xml:space="preserve">The </w:t>
      </w:r>
      <w:r>
        <w:rPr>
          <w:rFonts w:cstheme="minorHAnsi"/>
          <w:noProof/>
          <w:color w:val="0000CC"/>
        </w:rPr>
        <w:t>values</w:t>
      </w:r>
      <w:r w:rsidRPr="00770FFF">
        <w:rPr>
          <w:rFonts w:cstheme="minorHAnsi"/>
          <w:noProof/>
          <w:color w:val="0000CC"/>
        </w:rPr>
        <w:t xml:space="preserve"> for the beta-binomial statistic across all product lines for the health plan level measure </w:t>
      </w:r>
      <w:r>
        <w:rPr>
          <w:rFonts w:cstheme="minorHAnsi"/>
          <w:noProof/>
          <w:color w:val="0000CC"/>
        </w:rPr>
        <w:t>suggest</w:t>
      </w:r>
      <w:r w:rsidRPr="00770FFF">
        <w:rPr>
          <w:rFonts w:cstheme="minorHAnsi"/>
          <w:noProof/>
          <w:color w:val="0000CC"/>
        </w:rPr>
        <w:t xml:space="preserve"> the measure has high reliability.</w:t>
      </w:r>
    </w:p>
    <w:bookmarkEnd w:id="22"/>
    <w:p w14:paraId="727C898F" w14:textId="48654931" w:rsidR="008B03FA" w:rsidRDefault="008B03FA" w:rsidP="00DB3627">
      <w:pPr>
        <w:autoSpaceDE w:val="0"/>
        <w:autoSpaceDN w:val="0"/>
        <w:adjustRightInd w:val="0"/>
        <w:spacing w:after="0" w:line="240" w:lineRule="auto"/>
        <w:rPr>
          <w:rFonts w:cstheme="minorHAnsi"/>
          <w:bCs/>
        </w:rPr>
      </w:pPr>
    </w:p>
    <w:p w14:paraId="70B5B3DD" w14:textId="08DC3559" w:rsidR="008B03FA" w:rsidRPr="008B03FA" w:rsidRDefault="008B03FA" w:rsidP="00DB3627">
      <w:pPr>
        <w:autoSpaceDE w:val="0"/>
        <w:autoSpaceDN w:val="0"/>
        <w:adjustRightInd w:val="0"/>
        <w:spacing w:after="0" w:line="240" w:lineRule="auto"/>
        <w:rPr>
          <w:rFonts w:cstheme="minorHAnsi"/>
          <w:bCs/>
          <w:color w:val="0000CC"/>
          <w:u w:val="single"/>
        </w:rPr>
      </w:pPr>
      <w:r w:rsidRPr="00646D32">
        <w:rPr>
          <w:rFonts w:cstheme="minorHAnsi"/>
          <w:bCs/>
          <w:color w:val="0000CC"/>
          <w:u w:val="single"/>
        </w:rPr>
        <w:t>Physician Level</w:t>
      </w:r>
    </w:p>
    <w:p w14:paraId="4DF95E36" w14:textId="48597D51" w:rsidR="00646D32" w:rsidRPr="00770FFF" w:rsidRDefault="00646D32" w:rsidP="00646D32">
      <w:pPr>
        <w:autoSpaceDE w:val="0"/>
        <w:autoSpaceDN w:val="0"/>
        <w:adjustRightInd w:val="0"/>
        <w:spacing w:after="0" w:line="240" w:lineRule="auto"/>
        <w:rPr>
          <w:rFonts w:cstheme="minorHAnsi"/>
          <w:noProof/>
          <w:color w:val="0000CC"/>
        </w:rPr>
      </w:pPr>
      <w:bookmarkStart w:id="23" w:name="_Hlk507767674"/>
      <w:r w:rsidRPr="00770FFF">
        <w:rPr>
          <w:rFonts w:cstheme="minorHAnsi"/>
          <w:noProof/>
          <w:color w:val="0000CC"/>
        </w:rPr>
        <w:t xml:space="preserve">The </w:t>
      </w:r>
      <w:r>
        <w:rPr>
          <w:rFonts w:cstheme="minorHAnsi"/>
          <w:noProof/>
          <w:color w:val="0000CC"/>
        </w:rPr>
        <w:t>value</w:t>
      </w:r>
      <w:r w:rsidRPr="00770FFF">
        <w:rPr>
          <w:rFonts w:cstheme="minorHAnsi"/>
          <w:noProof/>
          <w:color w:val="0000CC"/>
        </w:rPr>
        <w:t xml:space="preserve"> for the beta-binomial statistic for</w:t>
      </w:r>
      <w:r w:rsidR="006E7F87">
        <w:rPr>
          <w:rFonts w:cstheme="minorHAnsi"/>
          <w:noProof/>
          <w:color w:val="0000CC"/>
        </w:rPr>
        <w:t xml:space="preserve"> the</w:t>
      </w:r>
      <w:r w:rsidRPr="00770FFF">
        <w:rPr>
          <w:rFonts w:cstheme="minorHAnsi"/>
          <w:noProof/>
          <w:color w:val="0000CC"/>
        </w:rPr>
        <w:t xml:space="preserve"> </w:t>
      </w:r>
      <w:r>
        <w:rPr>
          <w:rFonts w:cstheme="minorHAnsi"/>
          <w:noProof/>
          <w:color w:val="0000CC"/>
        </w:rPr>
        <w:t>physician</w:t>
      </w:r>
      <w:r w:rsidRPr="00770FFF">
        <w:rPr>
          <w:rFonts w:cstheme="minorHAnsi"/>
          <w:noProof/>
          <w:color w:val="0000CC"/>
        </w:rPr>
        <w:t xml:space="preserve"> level measure </w:t>
      </w:r>
      <w:r>
        <w:rPr>
          <w:rFonts w:cstheme="minorHAnsi"/>
          <w:noProof/>
          <w:color w:val="0000CC"/>
        </w:rPr>
        <w:t>suggest</w:t>
      </w:r>
      <w:r w:rsidR="008F1802">
        <w:rPr>
          <w:rFonts w:cstheme="minorHAnsi"/>
          <w:noProof/>
          <w:color w:val="0000CC"/>
        </w:rPr>
        <w:t>s</w:t>
      </w:r>
      <w:r w:rsidRPr="00770FFF">
        <w:rPr>
          <w:rFonts w:cstheme="minorHAnsi"/>
          <w:noProof/>
          <w:color w:val="0000CC"/>
        </w:rPr>
        <w:t xml:space="preserve"> the measure has high reliability.</w:t>
      </w:r>
    </w:p>
    <w:bookmarkEnd w:id="21"/>
    <w:bookmarkEnd w:id="23"/>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bookmarkStart w:id="24" w:name="_Hlk507754937"/>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ADFB0B3" w:rsidR="00696262" w:rsidRPr="00A25024" w:rsidRDefault="00A707D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B03F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EC51A17" w:rsidR="000574AB" w:rsidRPr="00A25024" w:rsidRDefault="00A707D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8B03F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B03F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35E3AD0A" w14:textId="72AED8B0" w:rsidR="008A426A" w:rsidRDefault="009C7513" w:rsidP="008B03FA">
      <w:pPr>
        <w:autoSpaceDE w:val="0"/>
        <w:autoSpaceDN w:val="0"/>
        <w:adjustRightInd w:val="0"/>
        <w:spacing w:after="0" w:line="240" w:lineRule="auto"/>
        <w:rPr>
          <w:rFonts w:cstheme="minorHAnsi"/>
          <w:bCs/>
          <w:color w:val="3333FF"/>
          <w:u w:val="single"/>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bookmarkEnd w:id="24"/>
    </w:p>
    <w:p w14:paraId="40A5A7AF" w14:textId="62140A80" w:rsidR="008B03FA" w:rsidRPr="007A0B7F" w:rsidRDefault="008B03FA" w:rsidP="008B03FA">
      <w:pPr>
        <w:autoSpaceDE w:val="0"/>
        <w:autoSpaceDN w:val="0"/>
        <w:adjustRightInd w:val="0"/>
        <w:spacing w:after="0" w:line="240" w:lineRule="auto"/>
        <w:rPr>
          <w:rFonts w:cstheme="minorHAnsi"/>
          <w:bCs/>
          <w:color w:val="3333FF"/>
        </w:rPr>
      </w:pPr>
      <w:r w:rsidRPr="007A0B7F">
        <w:rPr>
          <w:rFonts w:cstheme="minorHAnsi"/>
          <w:bCs/>
          <w:color w:val="3333FF"/>
          <w:u w:val="single"/>
        </w:rPr>
        <w:t>Method of Testing Construct Validity – Health Plan Level</w:t>
      </w:r>
    </w:p>
    <w:p w14:paraId="644CA11F" w14:textId="77777777" w:rsidR="00D158D0" w:rsidRPr="007A0B7F" w:rsidRDefault="00D158D0" w:rsidP="00D158D0">
      <w:pPr>
        <w:autoSpaceDE w:val="0"/>
        <w:autoSpaceDN w:val="0"/>
        <w:adjustRightInd w:val="0"/>
        <w:spacing w:after="0" w:line="240" w:lineRule="auto"/>
        <w:rPr>
          <w:rFonts w:cstheme="minorHAnsi"/>
          <w:bCs/>
          <w:color w:val="3333FF"/>
        </w:rPr>
      </w:pPr>
      <w:bookmarkStart w:id="25" w:name="_Hlk507767787"/>
      <w:r w:rsidRPr="007A0B7F">
        <w:rPr>
          <w:rFonts w:cstheme="minorHAnsi"/>
          <w:bCs/>
          <w:color w:val="3333FF"/>
        </w:rPr>
        <w:t xml:space="preserve">We tested for construct validity by exploring whether the measure was correlated with other similar measures of quality hypothesized to be related, which are listed below. </w:t>
      </w:r>
    </w:p>
    <w:bookmarkEnd w:id="25"/>
    <w:p w14:paraId="41DEF8FA" w14:textId="04EA1731" w:rsidR="006E7F87" w:rsidRPr="007A0B7F" w:rsidRDefault="006E7F87" w:rsidP="006E7F87">
      <w:pPr>
        <w:pStyle w:val="ListParagraph"/>
        <w:numPr>
          <w:ilvl w:val="0"/>
          <w:numId w:val="30"/>
        </w:numPr>
        <w:autoSpaceDE w:val="0"/>
        <w:autoSpaceDN w:val="0"/>
        <w:adjustRightInd w:val="0"/>
        <w:spacing w:after="0" w:line="240" w:lineRule="auto"/>
        <w:rPr>
          <w:rFonts w:cstheme="minorHAnsi"/>
          <w:bCs/>
          <w:color w:val="3333FF"/>
        </w:rPr>
      </w:pPr>
      <w:r w:rsidRPr="007A0B7F">
        <w:rPr>
          <w:rFonts w:cstheme="minorHAnsi"/>
          <w:bCs/>
          <w:color w:val="3333FF"/>
        </w:rPr>
        <w:t>HbA1c Testing</w:t>
      </w:r>
    </w:p>
    <w:p w14:paraId="564A11DD" w14:textId="255B7D34" w:rsidR="00E93C0F" w:rsidRPr="007A0B7F" w:rsidRDefault="00E93C0F" w:rsidP="00E93C0F">
      <w:pPr>
        <w:pStyle w:val="ListParagraph"/>
        <w:numPr>
          <w:ilvl w:val="0"/>
          <w:numId w:val="30"/>
        </w:numPr>
        <w:autoSpaceDE w:val="0"/>
        <w:autoSpaceDN w:val="0"/>
        <w:adjustRightInd w:val="0"/>
        <w:spacing w:after="0" w:line="240" w:lineRule="auto"/>
        <w:rPr>
          <w:rFonts w:cstheme="minorHAnsi"/>
          <w:bCs/>
          <w:color w:val="3333FF"/>
        </w:rPr>
      </w:pPr>
      <w:r w:rsidRPr="007A0B7F">
        <w:rPr>
          <w:rFonts w:cstheme="minorHAnsi"/>
          <w:bCs/>
          <w:color w:val="3333FF"/>
        </w:rPr>
        <w:t>Hemoglobin (HbA1c) Poor Control (&gt;9.0%)</w:t>
      </w:r>
    </w:p>
    <w:p w14:paraId="23C5BADF" w14:textId="038A42D1" w:rsidR="00D158D0" w:rsidRPr="007A0B7F" w:rsidRDefault="00D158D0" w:rsidP="00D158D0">
      <w:pPr>
        <w:pStyle w:val="ListParagraph"/>
        <w:numPr>
          <w:ilvl w:val="0"/>
          <w:numId w:val="30"/>
        </w:numPr>
        <w:autoSpaceDE w:val="0"/>
        <w:autoSpaceDN w:val="0"/>
        <w:adjustRightInd w:val="0"/>
        <w:spacing w:after="0" w:line="240" w:lineRule="auto"/>
        <w:rPr>
          <w:rFonts w:cstheme="minorHAnsi"/>
          <w:bCs/>
          <w:color w:val="3333FF"/>
        </w:rPr>
      </w:pPr>
      <w:r w:rsidRPr="007A0B7F">
        <w:rPr>
          <w:rFonts w:cstheme="minorHAnsi"/>
          <w:bCs/>
          <w:color w:val="3333FF"/>
        </w:rPr>
        <w:lastRenderedPageBreak/>
        <w:t>Medical attention for nephropathy</w:t>
      </w:r>
    </w:p>
    <w:p w14:paraId="6A320B03" w14:textId="16ABEF2E" w:rsidR="00E93C0F" w:rsidRPr="007A0B7F" w:rsidRDefault="00E93C0F" w:rsidP="00E93C0F">
      <w:pPr>
        <w:pStyle w:val="ListParagraph"/>
        <w:numPr>
          <w:ilvl w:val="0"/>
          <w:numId w:val="30"/>
        </w:numPr>
        <w:autoSpaceDE w:val="0"/>
        <w:autoSpaceDN w:val="0"/>
        <w:adjustRightInd w:val="0"/>
        <w:spacing w:after="0" w:line="240" w:lineRule="auto"/>
        <w:rPr>
          <w:rFonts w:cstheme="minorHAnsi"/>
          <w:bCs/>
          <w:color w:val="3333FF"/>
        </w:rPr>
      </w:pPr>
      <w:r w:rsidRPr="007A0B7F">
        <w:rPr>
          <w:rFonts w:cstheme="minorHAnsi"/>
          <w:bCs/>
          <w:color w:val="3333FF"/>
        </w:rPr>
        <w:t>Hemoglobin (HbA1c) Control (&lt;8%)</w:t>
      </w:r>
    </w:p>
    <w:p w14:paraId="739EB295" w14:textId="77777777" w:rsidR="00D158D0" w:rsidRPr="007A0B7F" w:rsidRDefault="00D158D0" w:rsidP="00D158D0">
      <w:pPr>
        <w:pStyle w:val="ListParagraph"/>
        <w:autoSpaceDE w:val="0"/>
        <w:autoSpaceDN w:val="0"/>
        <w:adjustRightInd w:val="0"/>
        <w:spacing w:after="0" w:line="240" w:lineRule="auto"/>
        <w:rPr>
          <w:rFonts w:cstheme="minorHAnsi"/>
          <w:bCs/>
          <w:color w:val="3333FF"/>
        </w:rPr>
      </w:pPr>
    </w:p>
    <w:p w14:paraId="2A35F976" w14:textId="77777777" w:rsidR="00D158D0" w:rsidRPr="007A0B7F" w:rsidRDefault="00D158D0" w:rsidP="00D158D0">
      <w:pPr>
        <w:autoSpaceDE w:val="0"/>
        <w:autoSpaceDN w:val="0"/>
        <w:adjustRightInd w:val="0"/>
        <w:spacing w:after="0" w:line="240" w:lineRule="auto"/>
        <w:rPr>
          <w:rFonts w:cstheme="minorHAnsi"/>
          <w:bCs/>
          <w:color w:val="3333FF"/>
        </w:rPr>
      </w:pPr>
      <w:bookmarkStart w:id="26" w:name="_Hlk507767799"/>
      <w:r w:rsidRPr="007A0B7F">
        <w:rPr>
          <w:rFonts w:cstheme="minorHAnsi"/>
          <w:bCs/>
          <w:color w:val="3333FF"/>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bookmarkEnd w:id="26"/>
    <w:p w14:paraId="73AFFD1B" w14:textId="77777777" w:rsidR="00D158D0" w:rsidRPr="007A0B7F" w:rsidRDefault="00D158D0" w:rsidP="00D158D0">
      <w:pPr>
        <w:autoSpaceDE w:val="0"/>
        <w:autoSpaceDN w:val="0"/>
        <w:adjustRightInd w:val="0"/>
        <w:spacing w:after="0" w:line="240" w:lineRule="auto"/>
        <w:rPr>
          <w:rFonts w:cstheme="minorHAnsi"/>
          <w:bCs/>
          <w:color w:val="3333FF"/>
        </w:rPr>
      </w:pPr>
    </w:p>
    <w:p w14:paraId="418DDB76" w14:textId="77777777" w:rsidR="00D158D0" w:rsidRPr="007A0B7F" w:rsidRDefault="00D158D0" w:rsidP="00D158D0">
      <w:pPr>
        <w:autoSpaceDE w:val="0"/>
        <w:autoSpaceDN w:val="0"/>
        <w:adjustRightInd w:val="0"/>
        <w:spacing w:after="0"/>
        <w:rPr>
          <w:rFonts w:cstheme="minorHAnsi"/>
          <w:bCs/>
          <w:color w:val="3333FF"/>
          <w:u w:val="single"/>
        </w:rPr>
      </w:pPr>
      <w:r w:rsidRPr="007A0B7F">
        <w:rPr>
          <w:rFonts w:cstheme="minorHAnsi"/>
          <w:bCs/>
          <w:color w:val="3333FF"/>
          <w:u w:val="single"/>
        </w:rPr>
        <w:t>Method of Testing Construct Validity – Physician Level</w:t>
      </w:r>
    </w:p>
    <w:p w14:paraId="7A291202" w14:textId="77777777" w:rsidR="00D158D0" w:rsidRPr="007A0B7F" w:rsidRDefault="00D158D0" w:rsidP="00D158D0">
      <w:pPr>
        <w:autoSpaceDE w:val="0"/>
        <w:autoSpaceDN w:val="0"/>
        <w:adjustRightInd w:val="0"/>
        <w:spacing w:after="0" w:line="240" w:lineRule="auto"/>
        <w:rPr>
          <w:rFonts w:cstheme="minorHAnsi"/>
          <w:bCs/>
          <w:color w:val="3333FF"/>
        </w:rPr>
      </w:pPr>
      <w:bookmarkStart w:id="27" w:name="_Hlk507767812"/>
      <w:r w:rsidRPr="007A0B7F">
        <w:rPr>
          <w:rFonts w:cstheme="minorHAnsi"/>
          <w:bCs/>
          <w:color w:val="3333FF"/>
        </w:rPr>
        <w:t>We tested for construct validity by exploring whether the measure was correlated with other similar measures of quality in NCQA’s Diabetes Recognition Program hypothesized to be related, which are listed below.</w:t>
      </w:r>
    </w:p>
    <w:bookmarkEnd w:id="27"/>
    <w:p w14:paraId="79E21E8A" w14:textId="4858C038" w:rsidR="00E93C0F" w:rsidRPr="007A0B7F" w:rsidRDefault="00E93C0F" w:rsidP="00D158D0">
      <w:pPr>
        <w:numPr>
          <w:ilvl w:val="0"/>
          <w:numId w:val="31"/>
        </w:numPr>
        <w:autoSpaceDE w:val="0"/>
        <w:autoSpaceDN w:val="0"/>
        <w:adjustRightInd w:val="0"/>
        <w:spacing w:after="0" w:line="240" w:lineRule="auto"/>
        <w:contextualSpacing/>
        <w:rPr>
          <w:rFonts w:cstheme="minorHAnsi"/>
          <w:bCs/>
          <w:color w:val="3333FF"/>
        </w:rPr>
      </w:pPr>
      <w:r w:rsidRPr="007A0B7F">
        <w:rPr>
          <w:rFonts w:cstheme="minorHAnsi"/>
          <w:bCs/>
          <w:color w:val="3333FF"/>
        </w:rPr>
        <w:t>Blood pressure control</w:t>
      </w:r>
    </w:p>
    <w:p w14:paraId="2AF607A4" w14:textId="77777777" w:rsidR="006E7F87" w:rsidRPr="007A0B7F" w:rsidRDefault="006E7F87" w:rsidP="006E7F87">
      <w:pPr>
        <w:numPr>
          <w:ilvl w:val="0"/>
          <w:numId w:val="31"/>
        </w:numPr>
        <w:autoSpaceDE w:val="0"/>
        <w:autoSpaceDN w:val="0"/>
        <w:adjustRightInd w:val="0"/>
        <w:spacing w:after="0" w:line="240" w:lineRule="auto"/>
        <w:contextualSpacing/>
        <w:rPr>
          <w:rFonts w:cstheme="minorHAnsi"/>
          <w:bCs/>
          <w:color w:val="3333FF"/>
        </w:rPr>
      </w:pPr>
      <w:bookmarkStart w:id="28" w:name="_Hlk507768771"/>
      <w:r w:rsidRPr="007A0B7F">
        <w:rPr>
          <w:rFonts w:cstheme="minorHAnsi"/>
          <w:bCs/>
          <w:color w:val="3333FF"/>
        </w:rPr>
        <w:t>Foot exam</w:t>
      </w:r>
    </w:p>
    <w:p w14:paraId="0FD30CDF" w14:textId="3661EF89" w:rsidR="006E7F87" w:rsidRPr="007A0B7F" w:rsidRDefault="006E7F87" w:rsidP="006E7F87">
      <w:pPr>
        <w:numPr>
          <w:ilvl w:val="0"/>
          <w:numId w:val="31"/>
        </w:numPr>
        <w:autoSpaceDE w:val="0"/>
        <w:autoSpaceDN w:val="0"/>
        <w:adjustRightInd w:val="0"/>
        <w:spacing w:after="0" w:line="240" w:lineRule="auto"/>
        <w:contextualSpacing/>
        <w:rPr>
          <w:rFonts w:cstheme="minorHAnsi"/>
          <w:bCs/>
          <w:color w:val="3333FF"/>
        </w:rPr>
      </w:pPr>
      <w:r w:rsidRPr="007A0B7F">
        <w:rPr>
          <w:rFonts w:cstheme="minorHAnsi"/>
          <w:bCs/>
          <w:color w:val="3333FF"/>
        </w:rPr>
        <w:t>Medical attention for nephropathy</w:t>
      </w:r>
    </w:p>
    <w:bookmarkEnd w:id="28"/>
    <w:p w14:paraId="5F0D0A77" w14:textId="77777777" w:rsidR="00D158D0" w:rsidRPr="007A0B7F" w:rsidRDefault="00D158D0" w:rsidP="00D158D0">
      <w:pPr>
        <w:autoSpaceDE w:val="0"/>
        <w:autoSpaceDN w:val="0"/>
        <w:adjustRightInd w:val="0"/>
        <w:spacing w:after="0" w:line="240" w:lineRule="auto"/>
        <w:rPr>
          <w:rFonts w:cstheme="minorHAnsi"/>
          <w:bCs/>
          <w:color w:val="3333FF"/>
          <w:u w:val="single"/>
        </w:rPr>
      </w:pPr>
    </w:p>
    <w:p w14:paraId="12576035" w14:textId="77777777" w:rsidR="00D158D0" w:rsidRPr="007A0B7F" w:rsidRDefault="00D158D0" w:rsidP="00D158D0">
      <w:pPr>
        <w:autoSpaceDE w:val="0"/>
        <w:autoSpaceDN w:val="0"/>
        <w:adjustRightInd w:val="0"/>
        <w:spacing w:after="0"/>
        <w:rPr>
          <w:rFonts w:cstheme="minorHAnsi"/>
          <w:bCs/>
          <w:color w:val="3333FF"/>
        </w:rPr>
      </w:pPr>
      <w:r w:rsidRPr="007A0B7F">
        <w:rPr>
          <w:rFonts w:cstheme="minorHAnsi"/>
          <w:bCs/>
          <w:color w:val="3333FF"/>
        </w:rPr>
        <w:t>We tested the correlations using the Pearson correlation test described above.</w:t>
      </w:r>
    </w:p>
    <w:p w14:paraId="54539EB5" w14:textId="77777777" w:rsidR="008B03FA" w:rsidRPr="007A0B7F" w:rsidRDefault="008B03FA" w:rsidP="00DB3627">
      <w:pPr>
        <w:autoSpaceDE w:val="0"/>
        <w:autoSpaceDN w:val="0"/>
        <w:adjustRightInd w:val="0"/>
        <w:spacing w:after="0" w:line="240" w:lineRule="auto"/>
        <w:rPr>
          <w:rFonts w:cstheme="minorHAnsi"/>
          <w:bCs/>
          <w:color w:val="3333FF"/>
        </w:rPr>
      </w:pPr>
    </w:p>
    <w:p w14:paraId="3646E75B" w14:textId="77777777" w:rsidR="004879B4" w:rsidRPr="007A0B7F" w:rsidRDefault="004879B4" w:rsidP="004879B4">
      <w:pPr>
        <w:autoSpaceDE w:val="0"/>
        <w:autoSpaceDN w:val="0"/>
        <w:adjustRightInd w:val="0"/>
        <w:spacing w:after="0" w:line="240" w:lineRule="auto"/>
        <w:rPr>
          <w:color w:val="3333FF"/>
        </w:rPr>
      </w:pPr>
      <w:bookmarkStart w:id="29" w:name="_Hlk507755107"/>
      <w:r w:rsidRPr="007A0B7F">
        <w:rPr>
          <w:color w:val="3333FF"/>
          <w:u w:val="single"/>
        </w:rPr>
        <w:t>Method of Assessing Face Validity – Health Plan Level</w:t>
      </w:r>
      <w:r w:rsidRPr="007A0B7F">
        <w:rPr>
          <w:color w:val="3333FF"/>
        </w:rPr>
        <w:t xml:space="preserve"> </w:t>
      </w:r>
    </w:p>
    <w:p w14:paraId="592653AA" w14:textId="77777777" w:rsidR="004879B4" w:rsidRPr="007A0B7F" w:rsidRDefault="004879B4" w:rsidP="004879B4">
      <w:pPr>
        <w:autoSpaceDE w:val="0"/>
        <w:autoSpaceDN w:val="0"/>
        <w:adjustRightInd w:val="0"/>
        <w:spacing w:after="0" w:line="240" w:lineRule="auto"/>
        <w:rPr>
          <w:color w:val="3333FF"/>
        </w:rPr>
      </w:pPr>
      <w:bookmarkStart w:id="30" w:name="_Hlk507767970"/>
      <w:r w:rsidRPr="007A0B7F">
        <w:rPr>
          <w:color w:val="3333FF"/>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 that the measures we use are valid.</w:t>
      </w:r>
    </w:p>
    <w:p w14:paraId="2E649725" w14:textId="77777777" w:rsidR="004879B4" w:rsidRPr="007A0B7F" w:rsidRDefault="004879B4" w:rsidP="004879B4">
      <w:pPr>
        <w:autoSpaceDE w:val="0"/>
        <w:autoSpaceDN w:val="0"/>
        <w:adjustRightInd w:val="0"/>
        <w:spacing w:after="0" w:line="240" w:lineRule="auto"/>
        <w:rPr>
          <w:color w:val="3333FF"/>
        </w:rPr>
      </w:pPr>
    </w:p>
    <w:p w14:paraId="64073FFB" w14:textId="77777777" w:rsidR="004879B4" w:rsidRPr="007A0B7F" w:rsidRDefault="004879B4" w:rsidP="004879B4">
      <w:pPr>
        <w:spacing w:after="0" w:line="240" w:lineRule="auto"/>
        <w:rPr>
          <w:color w:val="3333FF"/>
        </w:rPr>
      </w:pPr>
      <w:r w:rsidRPr="007A0B7F">
        <w:rPr>
          <w:color w:val="3333FF"/>
        </w:rPr>
        <w:t xml:space="preserve">NCQA has identified and refined measure management into a standardized process called the HEDIS measure life cycle for all plan-level HEDIS measures. </w:t>
      </w:r>
    </w:p>
    <w:p w14:paraId="052E5C59" w14:textId="77777777" w:rsidR="004879B4" w:rsidRPr="007A0B7F" w:rsidRDefault="004879B4" w:rsidP="004879B4">
      <w:pPr>
        <w:spacing w:after="0" w:line="240" w:lineRule="auto"/>
        <w:rPr>
          <w:color w:val="3333FF"/>
        </w:rPr>
      </w:pPr>
    </w:p>
    <w:p w14:paraId="5E9985D7" w14:textId="77777777" w:rsidR="004879B4" w:rsidRPr="007A0B7F" w:rsidRDefault="004879B4" w:rsidP="004879B4">
      <w:pPr>
        <w:spacing w:after="0" w:line="240" w:lineRule="auto"/>
        <w:rPr>
          <w:color w:val="3333FF"/>
        </w:rPr>
      </w:pPr>
      <w:r w:rsidRPr="007A0B7F">
        <w:rPr>
          <w:color w:val="3333FF"/>
        </w:rPr>
        <w:t xml:space="preserve">STEP 1: NCQA staff identifies areas of interest or gaps in care. Measurement Advisory Panels (MAPs) participate in this process. Once topics are identified, a literature review is conducted to find supporting documentation on their importance, scientific soundness and feasibility. This information is gathered into a work-up format. The work-up is vetted by NCQA’s MAPs, the Technical Measurement Advisory </w:t>
      </w:r>
      <w:r w:rsidRPr="007A0B7F">
        <w:rPr>
          <w:color w:val="3333FF"/>
        </w:rPr>
        <w:lastRenderedPageBreak/>
        <w:t xml:space="preserve">Panel (TMAP) and the Committee on Performance Measurement (CPM) as well as other panels as necessary. </w:t>
      </w:r>
    </w:p>
    <w:p w14:paraId="42B07C32" w14:textId="77777777" w:rsidR="004879B4" w:rsidRPr="007A0B7F" w:rsidRDefault="004879B4" w:rsidP="004879B4">
      <w:pPr>
        <w:spacing w:after="0" w:line="240" w:lineRule="auto"/>
        <w:rPr>
          <w:color w:val="3333FF"/>
        </w:rPr>
      </w:pPr>
    </w:p>
    <w:p w14:paraId="07996402" w14:textId="77777777" w:rsidR="004879B4" w:rsidRPr="007A0B7F" w:rsidRDefault="004879B4" w:rsidP="004879B4">
      <w:pPr>
        <w:spacing w:after="0" w:line="240" w:lineRule="auto"/>
        <w:rPr>
          <w:color w:val="3333FF"/>
        </w:rPr>
      </w:pPr>
      <w:r w:rsidRPr="007A0B7F">
        <w:rPr>
          <w:color w:val="3333FF"/>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229E4C0A" w14:textId="77777777" w:rsidR="004879B4" w:rsidRPr="007A0B7F" w:rsidRDefault="004879B4" w:rsidP="004879B4">
      <w:pPr>
        <w:spacing w:after="0" w:line="240" w:lineRule="auto"/>
        <w:rPr>
          <w:color w:val="3333FF"/>
        </w:rPr>
      </w:pPr>
    </w:p>
    <w:p w14:paraId="2DD7CEA9" w14:textId="77777777" w:rsidR="004879B4" w:rsidRPr="007A0B7F" w:rsidRDefault="004879B4" w:rsidP="004879B4">
      <w:pPr>
        <w:spacing w:after="0" w:line="240" w:lineRule="auto"/>
        <w:rPr>
          <w:color w:val="3333FF"/>
        </w:rPr>
      </w:pPr>
      <w:r w:rsidRPr="007A0B7F">
        <w:rPr>
          <w:color w:val="3333FF"/>
        </w:rPr>
        <w:t xml:space="preserve">STEP 3: Public Comment is a 30-day period of review that allows interested parties to offer feedback to NCQA and the CPM about new measures or about changes to existing measures. </w:t>
      </w:r>
    </w:p>
    <w:p w14:paraId="4B1FF79F" w14:textId="77777777" w:rsidR="004879B4" w:rsidRPr="007A0B7F" w:rsidRDefault="004879B4" w:rsidP="004879B4">
      <w:pPr>
        <w:spacing w:after="0" w:line="240" w:lineRule="auto"/>
        <w:rPr>
          <w:color w:val="3333FF"/>
        </w:rPr>
      </w:pPr>
      <w:r w:rsidRPr="007A0B7F">
        <w:rPr>
          <w:color w:val="3333FF"/>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246B5A84" w14:textId="77777777" w:rsidR="004879B4" w:rsidRPr="007A0B7F" w:rsidRDefault="004879B4" w:rsidP="004879B4">
      <w:pPr>
        <w:spacing w:after="0" w:line="240" w:lineRule="auto"/>
        <w:rPr>
          <w:color w:val="3333FF"/>
        </w:rPr>
      </w:pPr>
    </w:p>
    <w:p w14:paraId="457C45EE" w14:textId="77777777" w:rsidR="004879B4" w:rsidRPr="007A0B7F" w:rsidRDefault="004879B4" w:rsidP="004879B4">
      <w:pPr>
        <w:spacing w:after="0" w:line="240" w:lineRule="auto"/>
        <w:rPr>
          <w:color w:val="3333FF"/>
        </w:rPr>
      </w:pPr>
      <w:r w:rsidRPr="007A0B7F">
        <w:rPr>
          <w:color w:val="3333FF"/>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4B939C58" w14:textId="77777777" w:rsidR="004879B4" w:rsidRPr="007A0B7F" w:rsidRDefault="004879B4" w:rsidP="004879B4">
      <w:pPr>
        <w:spacing w:after="0" w:line="240" w:lineRule="auto"/>
        <w:rPr>
          <w:color w:val="3333FF"/>
        </w:rPr>
      </w:pPr>
      <w:r w:rsidRPr="007A0B7F">
        <w:rPr>
          <w:color w:val="3333FF"/>
        </w:rPr>
        <w:t xml:space="preserve">STEP 5: Public reporting is based on the first-year measure evaluation results. If the measure is approved, it will be publicly reported and may be used for scoring in accreditation. </w:t>
      </w:r>
    </w:p>
    <w:p w14:paraId="78E1B07C" w14:textId="77777777" w:rsidR="004879B4" w:rsidRPr="007A0B7F" w:rsidRDefault="004879B4" w:rsidP="004879B4">
      <w:pPr>
        <w:spacing w:after="0" w:line="240" w:lineRule="auto"/>
        <w:rPr>
          <w:color w:val="3333FF"/>
        </w:rPr>
      </w:pPr>
    </w:p>
    <w:p w14:paraId="053C810F" w14:textId="77777777" w:rsidR="004879B4" w:rsidRPr="007A0B7F" w:rsidRDefault="004879B4" w:rsidP="004879B4">
      <w:pPr>
        <w:spacing w:after="0" w:line="240" w:lineRule="auto"/>
        <w:rPr>
          <w:color w:val="3333FF"/>
        </w:rPr>
      </w:pPr>
      <w:r w:rsidRPr="007A0B7F">
        <w:rPr>
          <w:color w:val="3333FF"/>
        </w:rPr>
        <w:t xml:space="preserve">STEP 6: Evaluation is the ongoing review of a measure’s performance and recommendations for its modification or retirement. Every measure is reviewed periodically, based on changes in evidence and guidelines. NCQA staff continually monitors the performance of publicly reported measures. Statistical analysis, audit result review and user comments through NCQA’s Policy Clarification Support (PCS) portal contribute to measure refinement during re-evaluation. Information derived from analyzing the performance of existing measures is used to improve development of the next generation of measures. Over the past four years, NCQA has received and responded to an average of 39 inquiries per year on this measure. </w:t>
      </w:r>
    </w:p>
    <w:p w14:paraId="7D2FC13C" w14:textId="77777777" w:rsidR="004879B4" w:rsidRPr="007A0B7F" w:rsidRDefault="004879B4" w:rsidP="004879B4">
      <w:pPr>
        <w:spacing w:after="0" w:line="240" w:lineRule="auto"/>
        <w:rPr>
          <w:color w:val="3333FF"/>
        </w:rPr>
      </w:pPr>
    </w:p>
    <w:p w14:paraId="2C15221E" w14:textId="541E8974" w:rsidR="004879B4" w:rsidRPr="007A0B7F" w:rsidRDefault="004879B4" w:rsidP="004879B4">
      <w:pPr>
        <w:spacing w:after="0" w:line="240" w:lineRule="auto"/>
        <w:rPr>
          <w:color w:val="3333FF"/>
        </w:rPr>
      </w:pPr>
      <w:r w:rsidRPr="007A0B7F">
        <w:rPr>
          <w:color w:val="3333FF"/>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r w:rsidR="00CC6E59">
        <w:rPr>
          <w:color w:val="3333FF"/>
        </w:rPr>
        <w:t xml:space="preserve"> and in </w:t>
      </w:r>
      <w:r w:rsidR="005C0053">
        <w:rPr>
          <w:color w:val="3333FF"/>
        </w:rPr>
        <w:t>other relevant NCQA programs</w:t>
      </w:r>
      <w:r w:rsidRPr="007A0B7F">
        <w:rPr>
          <w:color w:val="3333FF"/>
        </w:rPr>
        <w:t>.</w:t>
      </w:r>
    </w:p>
    <w:p w14:paraId="114D3672" w14:textId="7D722CE7" w:rsidR="00D158D0" w:rsidRPr="007A0B7F" w:rsidRDefault="00D158D0" w:rsidP="008B03FA">
      <w:pPr>
        <w:autoSpaceDE w:val="0"/>
        <w:autoSpaceDN w:val="0"/>
        <w:adjustRightInd w:val="0"/>
        <w:spacing w:after="0" w:line="240" w:lineRule="auto"/>
        <w:rPr>
          <w:rFonts w:cstheme="minorHAnsi"/>
          <w:bCs/>
          <w:color w:val="3333FF"/>
        </w:rPr>
      </w:pPr>
    </w:p>
    <w:p w14:paraId="6ED317B7" w14:textId="77777777" w:rsidR="00D158D0" w:rsidRPr="007A0B7F" w:rsidRDefault="00D158D0" w:rsidP="00D158D0">
      <w:pPr>
        <w:autoSpaceDE w:val="0"/>
        <w:autoSpaceDN w:val="0"/>
        <w:adjustRightInd w:val="0"/>
        <w:spacing w:after="0" w:line="240" w:lineRule="auto"/>
        <w:rPr>
          <w:rFonts w:cstheme="minorHAnsi"/>
          <w:bCs/>
          <w:color w:val="3333FF"/>
          <w:u w:val="single"/>
        </w:rPr>
      </w:pPr>
      <w:bookmarkStart w:id="31" w:name="_Hlk507767986"/>
      <w:r w:rsidRPr="007A0B7F">
        <w:rPr>
          <w:rFonts w:cstheme="minorHAnsi"/>
          <w:bCs/>
          <w:color w:val="3333FF"/>
          <w:u w:val="single"/>
        </w:rPr>
        <w:t xml:space="preserve">Method of Assessing Face Validity </w:t>
      </w:r>
      <w:bookmarkEnd w:id="31"/>
      <w:r w:rsidRPr="007A0B7F">
        <w:rPr>
          <w:rFonts w:cstheme="minorHAnsi"/>
          <w:bCs/>
          <w:color w:val="3333FF"/>
          <w:u w:val="single"/>
        </w:rPr>
        <w:t xml:space="preserve">- Physician Level </w:t>
      </w:r>
    </w:p>
    <w:p w14:paraId="3341B9D2" w14:textId="77777777" w:rsidR="00D158D0" w:rsidRPr="007A0B7F" w:rsidRDefault="00D158D0" w:rsidP="00D158D0">
      <w:pPr>
        <w:autoSpaceDE w:val="0"/>
        <w:autoSpaceDN w:val="0"/>
        <w:adjustRightInd w:val="0"/>
        <w:spacing w:after="0" w:line="240" w:lineRule="auto"/>
        <w:rPr>
          <w:rFonts w:cstheme="minorHAnsi"/>
          <w:bCs/>
          <w:color w:val="3333FF"/>
        </w:rPr>
      </w:pPr>
      <w:r w:rsidRPr="007A0B7F">
        <w:rPr>
          <w:rFonts w:cstheme="minorHAnsi"/>
          <w:bCs/>
          <w:color w:val="3333FF"/>
        </w:rPr>
        <w:t>The physician level measure was tested for face validity with four panels of experts. The Diabetes Recognition Program (DRP) Advisory Committee included 7 experts in diabetes care including representation by clinicians, health plans, integrated health systems and research organizations; DMAP, CPM and the Clinical Programs Committee (CPC). NCQA’s CPC’s oversees the evolution of NCQA’s recognition programs and related measures including the Diabetes Recognition Program, the Heart/Stroke Recognition Program, the Patient Centered Medical Home and Patient-Centered Specialty Practice Recognition Program, among others. The CPC includes representation by purchasers, consumers, health plans, health care providers and policy makers. This panel is made up of 18 members. The CPC is organized and managed by NCQA and reports to the NCQA Board of Directors and is responsible for advising NCQA staff on the development and maintenance of clinical recognition programs. CPC members reflect the diversity of constituencies that performance measurement serves; some bring other perspectives and additional expertise in quality management and the science of measurement.</w:t>
      </w:r>
    </w:p>
    <w:p w14:paraId="7B828E51" w14:textId="77777777" w:rsidR="00D158D0" w:rsidRPr="007A0B7F" w:rsidRDefault="00D158D0" w:rsidP="00D158D0">
      <w:pPr>
        <w:autoSpaceDE w:val="0"/>
        <w:autoSpaceDN w:val="0"/>
        <w:adjustRightInd w:val="0"/>
        <w:spacing w:after="0" w:line="240" w:lineRule="auto"/>
        <w:rPr>
          <w:rFonts w:cstheme="minorHAnsi"/>
          <w:bCs/>
          <w:color w:val="3333FF"/>
        </w:rPr>
      </w:pPr>
    </w:p>
    <w:p w14:paraId="5A9AC23E" w14:textId="77777777" w:rsidR="00D158D0" w:rsidRPr="007A0B7F" w:rsidRDefault="00D158D0" w:rsidP="00D158D0">
      <w:pPr>
        <w:autoSpaceDE w:val="0"/>
        <w:autoSpaceDN w:val="0"/>
        <w:adjustRightInd w:val="0"/>
        <w:spacing w:after="0" w:line="240" w:lineRule="auto"/>
        <w:rPr>
          <w:rFonts w:cstheme="minorHAnsi"/>
          <w:bCs/>
          <w:color w:val="3333FF"/>
        </w:rPr>
      </w:pPr>
      <w:r w:rsidRPr="007A0B7F">
        <w:rPr>
          <w:rFonts w:cstheme="minorHAnsi"/>
          <w:bCs/>
          <w:color w:val="3333FF"/>
        </w:rPr>
        <w:t>See Additional Information: Ad.1. Workgroup/Expert Panel Involved in Measure Development for names and affiliation of expert panel</w:t>
      </w:r>
    </w:p>
    <w:bookmarkEnd w:id="29"/>
    <w:bookmarkEnd w:id="30"/>
    <w:p w14:paraId="0CABCFDD" w14:textId="471FF1FC" w:rsidR="00833325" w:rsidRPr="007A0B7F" w:rsidRDefault="00833325" w:rsidP="00DB3627">
      <w:pPr>
        <w:autoSpaceDE w:val="0"/>
        <w:autoSpaceDN w:val="0"/>
        <w:adjustRightInd w:val="0"/>
        <w:spacing w:after="0" w:line="240" w:lineRule="auto"/>
        <w:rPr>
          <w:rFonts w:cstheme="minorHAnsi"/>
          <w:bCs/>
          <w:color w:val="3333FF"/>
        </w:rPr>
      </w:pPr>
    </w:p>
    <w:p w14:paraId="2D42289B" w14:textId="77777777" w:rsidR="00D158D0"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2829553" w14:textId="77777777" w:rsidR="00D158D0" w:rsidRPr="005C479E" w:rsidRDefault="00D158D0" w:rsidP="00D158D0">
      <w:pPr>
        <w:autoSpaceDE w:val="0"/>
        <w:autoSpaceDN w:val="0"/>
        <w:adjustRightInd w:val="0"/>
        <w:spacing w:after="0" w:line="240" w:lineRule="auto"/>
        <w:rPr>
          <w:rFonts w:cstheme="minorHAnsi"/>
          <w:bCs/>
          <w:color w:val="0000CC"/>
        </w:rPr>
      </w:pPr>
      <w:r w:rsidRPr="005C479E">
        <w:rPr>
          <w:rFonts w:cstheme="minorHAnsi"/>
          <w:bCs/>
          <w:color w:val="0000CC"/>
          <w:u w:val="single"/>
        </w:rPr>
        <w:t>Construct Validity – Health Plan Level</w:t>
      </w:r>
    </w:p>
    <w:p w14:paraId="19984B7E" w14:textId="77777777" w:rsidR="002B6A24" w:rsidRPr="002B6A24" w:rsidRDefault="002B6A24" w:rsidP="002B6A24">
      <w:pPr>
        <w:autoSpaceDE w:val="0"/>
        <w:autoSpaceDN w:val="0"/>
        <w:adjustRightInd w:val="0"/>
        <w:spacing w:after="0" w:line="240" w:lineRule="auto"/>
        <w:rPr>
          <w:color w:val="0000FF"/>
        </w:rPr>
      </w:pPr>
      <w:r w:rsidRPr="002B6A24">
        <w:rPr>
          <w:color w:val="0000FF"/>
        </w:rPr>
        <w:t>The results from construct validity testing of the health plan level measure are presented by product line in Tables 1a, 1b, and 1c below.</w:t>
      </w:r>
    </w:p>
    <w:p w14:paraId="5F0E2BF6" w14:textId="77777777" w:rsidR="00D158D0" w:rsidRPr="005C479E" w:rsidRDefault="00D158D0" w:rsidP="00D158D0">
      <w:pPr>
        <w:autoSpaceDE w:val="0"/>
        <w:autoSpaceDN w:val="0"/>
        <w:adjustRightInd w:val="0"/>
        <w:spacing w:after="0" w:line="240" w:lineRule="auto"/>
        <w:rPr>
          <w:rFonts w:cstheme="minorHAnsi"/>
          <w:bCs/>
          <w:color w:val="0000CC"/>
        </w:rPr>
      </w:pPr>
    </w:p>
    <w:p w14:paraId="3DB96F15" w14:textId="372E6E7C" w:rsidR="00D158D0" w:rsidRPr="005C479E" w:rsidRDefault="00D158D0" w:rsidP="00D158D0">
      <w:pPr>
        <w:autoSpaceDE w:val="0"/>
        <w:autoSpaceDN w:val="0"/>
        <w:adjustRightInd w:val="0"/>
        <w:spacing w:after="0" w:line="240" w:lineRule="auto"/>
        <w:rPr>
          <w:rFonts w:cstheme="minorHAnsi"/>
          <w:bCs/>
          <w:color w:val="0000CC"/>
        </w:rPr>
      </w:pPr>
      <w:r w:rsidRPr="005C479E">
        <w:rPr>
          <w:rFonts w:cstheme="minorHAnsi"/>
          <w:bCs/>
          <w:color w:val="0000CC"/>
        </w:rPr>
        <w:t xml:space="preserve">Table 1a. Correlations among Diabetes Measures in Commercial Health Plans </w:t>
      </w:r>
      <w:r w:rsidR="0020766D">
        <w:rPr>
          <w:rFonts w:cstheme="minorHAnsi"/>
          <w:bCs/>
          <w:color w:val="0000CC"/>
        </w:rPr>
        <w:t>- 2012</w:t>
      </w:r>
    </w:p>
    <w:tbl>
      <w:tblPr>
        <w:tblStyle w:val="TableGrid"/>
        <w:tblW w:w="0" w:type="auto"/>
        <w:jc w:val="center"/>
        <w:tblLook w:val="04A0" w:firstRow="1" w:lastRow="0" w:firstColumn="1" w:lastColumn="0" w:noHBand="0" w:noVBand="1"/>
      </w:tblPr>
      <w:tblGrid>
        <w:gridCol w:w="1199"/>
        <w:gridCol w:w="2126"/>
        <w:gridCol w:w="2070"/>
        <w:gridCol w:w="2262"/>
        <w:gridCol w:w="1693"/>
      </w:tblGrid>
      <w:tr w:rsidR="00912165" w:rsidRPr="005C479E" w14:paraId="26CC55F5" w14:textId="716374B4" w:rsidTr="007F6928">
        <w:trPr>
          <w:trHeight w:val="368"/>
          <w:jc w:val="center"/>
        </w:trPr>
        <w:tc>
          <w:tcPr>
            <w:tcW w:w="1199" w:type="dxa"/>
            <w:vMerge w:val="restart"/>
            <w:shd w:val="clear" w:color="auto" w:fill="BFBFBF" w:themeFill="background1" w:themeFillShade="BF"/>
            <w:vAlign w:val="center"/>
          </w:tcPr>
          <w:p w14:paraId="0DE755FE" w14:textId="77777777" w:rsidR="00912165" w:rsidRPr="005C479E" w:rsidRDefault="00912165" w:rsidP="00C471A6">
            <w:pPr>
              <w:autoSpaceDE w:val="0"/>
              <w:autoSpaceDN w:val="0"/>
              <w:adjustRightInd w:val="0"/>
              <w:rPr>
                <w:rFonts w:cstheme="minorHAnsi"/>
                <w:bCs/>
                <w:color w:val="0000CC"/>
              </w:rPr>
            </w:pPr>
          </w:p>
        </w:tc>
        <w:tc>
          <w:tcPr>
            <w:tcW w:w="8151" w:type="dxa"/>
            <w:gridSpan w:val="4"/>
            <w:shd w:val="clear" w:color="auto" w:fill="BFBFBF" w:themeFill="background1" w:themeFillShade="BF"/>
            <w:vAlign w:val="center"/>
          </w:tcPr>
          <w:p w14:paraId="0F810731" w14:textId="5C53A4C3" w:rsidR="00912165" w:rsidRPr="005C479E" w:rsidRDefault="00912165" w:rsidP="00C471A6">
            <w:pPr>
              <w:autoSpaceDE w:val="0"/>
              <w:autoSpaceDN w:val="0"/>
              <w:adjustRightInd w:val="0"/>
              <w:jc w:val="center"/>
              <w:rPr>
                <w:rFonts w:cstheme="minorHAnsi"/>
                <w:b/>
                <w:bCs/>
                <w:color w:val="0000CC"/>
              </w:rPr>
            </w:pPr>
            <w:r w:rsidRPr="005C479E">
              <w:rPr>
                <w:rFonts w:cstheme="minorHAnsi"/>
                <w:b/>
                <w:bCs/>
                <w:color w:val="0000CC"/>
              </w:rPr>
              <w:t>Pearson Correlation Coefficient</w:t>
            </w:r>
          </w:p>
        </w:tc>
      </w:tr>
      <w:tr w:rsidR="007637F0" w:rsidRPr="005C479E" w14:paraId="15795D59" w14:textId="2CF7E2F1" w:rsidTr="00912165">
        <w:trPr>
          <w:trHeight w:val="350"/>
          <w:jc w:val="center"/>
        </w:trPr>
        <w:tc>
          <w:tcPr>
            <w:tcW w:w="1199" w:type="dxa"/>
            <w:vMerge/>
            <w:vAlign w:val="center"/>
          </w:tcPr>
          <w:p w14:paraId="080A517A" w14:textId="77777777" w:rsidR="007637F0" w:rsidRPr="005C479E" w:rsidRDefault="007637F0" w:rsidP="007637F0">
            <w:pPr>
              <w:autoSpaceDE w:val="0"/>
              <w:autoSpaceDN w:val="0"/>
              <w:adjustRightInd w:val="0"/>
              <w:rPr>
                <w:rFonts w:cstheme="minorHAnsi"/>
                <w:bCs/>
                <w:color w:val="0000CC"/>
              </w:rPr>
            </w:pPr>
            <w:bookmarkStart w:id="32" w:name="_Hlk507659085"/>
          </w:p>
        </w:tc>
        <w:tc>
          <w:tcPr>
            <w:tcW w:w="2126" w:type="dxa"/>
            <w:vAlign w:val="center"/>
          </w:tcPr>
          <w:p w14:paraId="1C3DB8A3" w14:textId="77777777" w:rsidR="007637F0" w:rsidRPr="005C479E" w:rsidRDefault="007637F0" w:rsidP="007637F0">
            <w:pPr>
              <w:autoSpaceDE w:val="0"/>
              <w:autoSpaceDN w:val="0"/>
              <w:adjustRightInd w:val="0"/>
              <w:jc w:val="center"/>
              <w:rPr>
                <w:rFonts w:cstheme="minorHAnsi"/>
                <w:bCs/>
                <w:color w:val="0000CC"/>
              </w:rPr>
            </w:pPr>
            <w:r w:rsidRPr="005C479E">
              <w:rPr>
                <w:rFonts w:cstheme="minorHAnsi"/>
                <w:bCs/>
                <w:color w:val="0000CC"/>
              </w:rPr>
              <w:t>HbA1c Testing</w:t>
            </w:r>
          </w:p>
        </w:tc>
        <w:tc>
          <w:tcPr>
            <w:tcW w:w="2070" w:type="dxa"/>
            <w:vAlign w:val="center"/>
          </w:tcPr>
          <w:p w14:paraId="06E11265" w14:textId="23482E22" w:rsidR="007637F0" w:rsidRPr="005C479E" w:rsidRDefault="007637F0" w:rsidP="007637F0">
            <w:pPr>
              <w:autoSpaceDE w:val="0"/>
              <w:autoSpaceDN w:val="0"/>
              <w:adjustRightInd w:val="0"/>
              <w:jc w:val="center"/>
              <w:rPr>
                <w:rFonts w:cstheme="minorHAnsi"/>
                <w:bCs/>
                <w:color w:val="0000CC"/>
              </w:rPr>
            </w:pPr>
            <w:r>
              <w:rPr>
                <w:rFonts w:cstheme="minorHAnsi"/>
                <w:bCs/>
                <w:color w:val="0000CC"/>
              </w:rPr>
              <w:t>HbA1c Poor Control (&gt;9.0%)</w:t>
            </w:r>
          </w:p>
        </w:tc>
        <w:tc>
          <w:tcPr>
            <w:tcW w:w="2262" w:type="dxa"/>
            <w:vAlign w:val="center"/>
          </w:tcPr>
          <w:p w14:paraId="1C8CE282" w14:textId="1B4C1747" w:rsidR="007637F0" w:rsidRDefault="007637F0" w:rsidP="007637F0">
            <w:pPr>
              <w:autoSpaceDE w:val="0"/>
              <w:autoSpaceDN w:val="0"/>
              <w:adjustRightInd w:val="0"/>
              <w:jc w:val="center"/>
              <w:rPr>
                <w:rFonts w:cstheme="minorHAnsi"/>
                <w:bCs/>
                <w:color w:val="0000CC"/>
              </w:rPr>
            </w:pPr>
            <w:r>
              <w:rPr>
                <w:rFonts w:cstheme="minorHAnsi"/>
                <w:bCs/>
                <w:color w:val="0000CC"/>
              </w:rPr>
              <w:t>Medical Attention for Diabetic Nephropathy</w:t>
            </w:r>
          </w:p>
        </w:tc>
        <w:tc>
          <w:tcPr>
            <w:tcW w:w="1693" w:type="dxa"/>
            <w:vAlign w:val="center"/>
          </w:tcPr>
          <w:p w14:paraId="3CCA1476" w14:textId="394755D3" w:rsidR="007637F0" w:rsidRDefault="007637F0" w:rsidP="007637F0">
            <w:pPr>
              <w:autoSpaceDE w:val="0"/>
              <w:autoSpaceDN w:val="0"/>
              <w:adjustRightInd w:val="0"/>
              <w:jc w:val="center"/>
              <w:rPr>
                <w:rFonts w:cstheme="minorHAnsi"/>
                <w:bCs/>
                <w:color w:val="0000CC"/>
              </w:rPr>
            </w:pPr>
            <w:r>
              <w:rPr>
                <w:rFonts w:cstheme="minorHAnsi"/>
                <w:bCs/>
                <w:color w:val="0000CC"/>
              </w:rPr>
              <w:t>HbA1c Good Control (&lt;8.0%)</w:t>
            </w:r>
          </w:p>
        </w:tc>
      </w:tr>
      <w:tr w:rsidR="007637F0" w:rsidRPr="005C479E" w14:paraId="08487581" w14:textId="705A8ADD" w:rsidTr="00912165">
        <w:trPr>
          <w:trHeight w:val="291"/>
          <w:jc w:val="center"/>
        </w:trPr>
        <w:tc>
          <w:tcPr>
            <w:tcW w:w="1199" w:type="dxa"/>
            <w:vAlign w:val="center"/>
          </w:tcPr>
          <w:p w14:paraId="6BFED49B" w14:textId="31C2AEFB" w:rsidR="007637F0" w:rsidRPr="005C479E" w:rsidRDefault="007637F0" w:rsidP="007637F0">
            <w:pPr>
              <w:autoSpaceDE w:val="0"/>
              <w:autoSpaceDN w:val="0"/>
              <w:adjustRightInd w:val="0"/>
              <w:rPr>
                <w:rFonts w:cstheme="minorHAnsi"/>
                <w:bCs/>
                <w:color w:val="0000CC"/>
              </w:rPr>
            </w:pPr>
            <w:r>
              <w:rPr>
                <w:rFonts w:cstheme="minorHAnsi"/>
                <w:bCs/>
                <w:color w:val="0000CC"/>
              </w:rPr>
              <w:t>CDC - Eye Exams</w:t>
            </w:r>
          </w:p>
        </w:tc>
        <w:tc>
          <w:tcPr>
            <w:tcW w:w="2126" w:type="dxa"/>
            <w:vAlign w:val="center"/>
          </w:tcPr>
          <w:p w14:paraId="7730B77A" w14:textId="1589F44F" w:rsidR="007637F0" w:rsidRPr="005C479E" w:rsidRDefault="007637F0" w:rsidP="007637F0">
            <w:pPr>
              <w:autoSpaceDE w:val="0"/>
              <w:autoSpaceDN w:val="0"/>
              <w:adjustRightInd w:val="0"/>
              <w:jc w:val="center"/>
              <w:rPr>
                <w:rFonts w:cstheme="minorHAnsi"/>
                <w:bCs/>
                <w:color w:val="0000CC"/>
              </w:rPr>
            </w:pPr>
            <w:r>
              <w:rPr>
                <w:rFonts w:cstheme="minorHAnsi"/>
                <w:bCs/>
                <w:color w:val="0000CC"/>
              </w:rPr>
              <w:t>0.69</w:t>
            </w:r>
          </w:p>
        </w:tc>
        <w:tc>
          <w:tcPr>
            <w:tcW w:w="2070" w:type="dxa"/>
            <w:vAlign w:val="center"/>
          </w:tcPr>
          <w:p w14:paraId="22FBC88C" w14:textId="307AAE50" w:rsidR="007637F0" w:rsidRPr="005C479E" w:rsidRDefault="007637F0" w:rsidP="007637F0">
            <w:pPr>
              <w:autoSpaceDE w:val="0"/>
              <w:autoSpaceDN w:val="0"/>
              <w:adjustRightInd w:val="0"/>
              <w:jc w:val="center"/>
              <w:rPr>
                <w:rFonts w:cstheme="minorHAnsi"/>
                <w:bCs/>
                <w:color w:val="0000CC"/>
              </w:rPr>
            </w:pPr>
            <w:r>
              <w:rPr>
                <w:rFonts w:cstheme="minorHAnsi"/>
                <w:bCs/>
                <w:color w:val="0000CC"/>
              </w:rPr>
              <w:t>-0.63</w:t>
            </w:r>
          </w:p>
        </w:tc>
        <w:tc>
          <w:tcPr>
            <w:tcW w:w="2262" w:type="dxa"/>
            <w:vAlign w:val="center"/>
          </w:tcPr>
          <w:p w14:paraId="4303603E" w14:textId="05DFCB59" w:rsidR="007637F0" w:rsidRDefault="007637F0" w:rsidP="007637F0">
            <w:pPr>
              <w:autoSpaceDE w:val="0"/>
              <w:autoSpaceDN w:val="0"/>
              <w:adjustRightInd w:val="0"/>
              <w:jc w:val="center"/>
              <w:rPr>
                <w:rFonts w:cstheme="minorHAnsi"/>
                <w:bCs/>
                <w:color w:val="0000CC"/>
              </w:rPr>
            </w:pPr>
            <w:r>
              <w:rPr>
                <w:rFonts w:cstheme="minorHAnsi"/>
                <w:bCs/>
                <w:color w:val="0000CC"/>
              </w:rPr>
              <w:t>0.72</w:t>
            </w:r>
          </w:p>
        </w:tc>
        <w:tc>
          <w:tcPr>
            <w:tcW w:w="1693" w:type="dxa"/>
            <w:vAlign w:val="center"/>
          </w:tcPr>
          <w:p w14:paraId="5C8E3B77" w14:textId="6C7B488C" w:rsidR="007637F0" w:rsidRDefault="007637F0" w:rsidP="007637F0">
            <w:pPr>
              <w:autoSpaceDE w:val="0"/>
              <w:autoSpaceDN w:val="0"/>
              <w:adjustRightInd w:val="0"/>
              <w:jc w:val="center"/>
              <w:rPr>
                <w:rFonts w:cstheme="minorHAnsi"/>
                <w:bCs/>
                <w:color w:val="0000CC"/>
              </w:rPr>
            </w:pPr>
            <w:r>
              <w:rPr>
                <w:rFonts w:cstheme="minorHAnsi"/>
                <w:bCs/>
                <w:color w:val="0000CC"/>
              </w:rPr>
              <w:t>0.65</w:t>
            </w:r>
          </w:p>
        </w:tc>
      </w:tr>
    </w:tbl>
    <w:bookmarkEnd w:id="32"/>
    <w:p w14:paraId="5ED08E95" w14:textId="77777777" w:rsidR="00D158D0" w:rsidRPr="005C479E" w:rsidRDefault="00D158D0" w:rsidP="00D158D0">
      <w:pPr>
        <w:autoSpaceDE w:val="0"/>
        <w:autoSpaceDN w:val="0"/>
        <w:adjustRightInd w:val="0"/>
        <w:spacing w:after="0" w:line="240" w:lineRule="auto"/>
        <w:rPr>
          <w:rFonts w:cstheme="minorHAnsi"/>
          <w:bCs/>
          <w:color w:val="0000CC"/>
        </w:rPr>
      </w:pPr>
      <w:r w:rsidRPr="005C479E">
        <w:rPr>
          <w:rFonts w:cstheme="minorHAnsi"/>
          <w:bCs/>
          <w:color w:val="0000CC"/>
        </w:rPr>
        <w:t>Note:</w:t>
      </w:r>
      <w:r>
        <w:rPr>
          <w:rFonts w:cstheme="minorHAnsi"/>
          <w:bCs/>
          <w:color w:val="0000CC"/>
        </w:rPr>
        <w:t xml:space="preserve"> All correlations are significant at</w:t>
      </w:r>
      <w:r w:rsidRPr="005C479E">
        <w:rPr>
          <w:rFonts w:cstheme="minorHAnsi"/>
          <w:bCs/>
          <w:color w:val="0000CC"/>
        </w:rPr>
        <w:t xml:space="preserve"> p&lt;0.0001 </w:t>
      </w:r>
    </w:p>
    <w:p w14:paraId="47E13474" w14:textId="49A27C5E" w:rsidR="0020766D" w:rsidRDefault="0020766D" w:rsidP="00092566">
      <w:pPr>
        <w:autoSpaceDE w:val="0"/>
        <w:autoSpaceDN w:val="0"/>
        <w:adjustRightInd w:val="0"/>
        <w:spacing w:after="0" w:line="240" w:lineRule="auto"/>
        <w:rPr>
          <w:rFonts w:cstheme="minorHAnsi"/>
          <w:bCs/>
        </w:rPr>
      </w:pPr>
    </w:p>
    <w:p w14:paraId="019FA7EF" w14:textId="6FAE0A84" w:rsidR="004879B4" w:rsidRPr="005C479E" w:rsidRDefault="004879B4" w:rsidP="004879B4">
      <w:pPr>
        <w:autoSpaceDE w:val="0"/>
        <w:autoSpaceDN w:val="0"/>
        <w:adjustRightInd w:val="0"/>
        <w:spacing w:after="0" w:line="240" w:lineRule="auto"/>
        <w:rPr>
          <w:rFonts w:cstheme="minorHAnsi"/>
          <w:bCs/>
          <w:color w:val="0000CC"/>
        </w:rPr>
      </w:pPr>
      <w:r w:rsidRPr="005C479E">
        <w:rPr>
          <w:rFonts w:cstheme="minorHAnsi"/>
          <w:bCs/>
          <w:color w:val="0000CC"/>
        </w:rPr>
        <w:t>Table 1</w:t>
      </w:r>
      <w:r>
        <w:rPr>
          <w:rFonts w:cstheme="minorHAnsi"/>
          <w:bCs/>
          <w:color w:val="0000CC"/>
        </w:rPr>
        <w:t>b</w:t>
      </w:r>
      <w:r w:rsidRPr="005C479E">
        <w:rPr>
          <w:rFonts w:cstheme="minorHAnsi"/>
          <w:bCs/>
          <w:color w:val="0000CC"/>
        </w:rPr>
        <w:t xml:space="preserve">. Correlations among Diabetes Measures in </w:t>
      </w:r>
      <w:r>
        <w:rPr>
          <w:rFonts w:cstheme="minorHAnsi"/>
          <w:bCs/>
          <w:color w:val="0000CC"/>
        </w:rPr>
        <w:t>Medicaid</w:t>
      </w:r>
      <w:r w:rsidRPr="005C479E">
        <w:rPr>
          <w:rFonts w:cstheme="minorHAnsi"/>
          <w:bCs/>
          <w:color w:val="0000CC"/>
        </w:rPr>
        <w:t xml:space="preserve"> Health Plans </w:t>
      </w:r>
      <w:r>
        <w:rPr>
          <w:rFonts w:cstheme="minorHAnsi"/>
          <w:bCs/>
          <w:color w:val="0000CC"/>
        </w:rPr>
        <w:t>- 2012</w:t>
      </w:r>
    </w:p>
    <w:tbl>
      <w:tblPr>
        <w:tblStyle w:val="TableGrid"/>
        <w:tblW w:w="0" w:type="auto"/>
        <w:jc w:val="center"/>
        <w:tblLook w:val="04A0" w:firstRow="1" w:lastRow="0" w:firstColumn="1" w:lastColumn="0" w:noHBand="0" w:noVBand="1"/>
      </w:tblPr>
      <w:tblGrid>
        <w:gridCol w:w="1199"/>
        <w:gridCol w:w="2126"/>
        <w:gridCol w:w="2070"/>
        <w:gridCol w:w="2262"/>
        <w:gridCol w:w="1693"/>
      </w:tblGrid>
      <w:tr w:rsidR="004879B4" w:rsidRPr="005C479E" w14:paraId="6DC00F05" w14:textId="77777777" w:rsidTr="007F6928">
        <w:trPr>
          <w:trHeight w:val="368"/>
          <w:jc w:val="center"/>
        </w:trPr>
        <w:tc>
          <w:tcPr>
            <w:tcW w:w="1199" w:type="dxa"/>
            <w:vMerge w:val="restart"/>
            <w:shd w:val="clear" w:color="auto" w:fill="BFBFBF" w:themeFill="background1" w:themeFillShade="BF"/>
            <w:vAlign w:val="center"/>
          </w:tcPr>
          <w:p w14:paraId="64FA2170" w14:textId="77777777" w:rsidR="004879B4" w:rsidRPr="005C479E" w:rsidRDefault="004879B4" w:rsidP="007F6928">
            <w:pPr>
              <w:autoSpaceDE w:val="0"/>
              <w:autoSpaceDN w:val="0"/>
              <w:adjustRightInd w:val="0"/>
              <w:rPr>
                <w:rFonts w:cstheme="minorHAnsi"/>
                <w:bCs/>
                <w:color w:val="0000CC"/>
              </w:rPr>
            </w:pPr>
          </w:p>
        </w:tc>
        <w:tc>
          <w:tcPr>
            <w:tcW w:w="8151" w:type="dxa"/>
            <w:gridSpan w:val="4"/>
            <w:shd w:val="clear" w:color="auto" w:fill="BFBFBF" w:themeFill="background1" w:themeFillShade="BF"/>
            <w:vAlign w:val="center"/>
          </w:tcPr>
          <w:p w14:paraId="6AE1A692" w14:textId="77777777" w:rsidR="004879B4" w:rsidRPr="005C479E" w:rsidRDefault="004879B4" w:rsidP="007F6928">
            <w:pPr>
              <w:autoSpaceDE w:val="0"/>
              <w:autoSpaceDN w:val="0"/>
              <w:adjustRightInd w:val="0"/>
              <w:jc w:val="center"/>
              <w:rPr>
                <w:rFonts w:cstheme="minorHAnsi"/>
                <w:b/>
                <w:bCs/>
                <w:color w:val="0000CC"/>
              </w:rPr>
            </w:pPr>
            <w:r w:rsidRPr="005C479E">
              <w:rPr>
                <w:rFonts w:cstheme="minorHAnsi"/>
                <w:b/>
                <w:bCs/>
                <w:color w:val="0000CC"/>
              </w:rPr>
              <w:t>Pearson Correlation Coefficient</w:t>
            </w:r>
          </w:p>
        </w:tc>
      </w:tr>
      <w:tr w:rsidR="004879B4" w:rsidRPr="005C479E" w14:paraId="12A8AD5D" w14:textId="77777777" w:rsidTr="007F6928">
        <w:trPr>
          <w:trHeight w:val="350"/>
          <w:jc w:val="center"/>
        </w:trPr>
        <w:tc>
          <w:tcPr>
            <w:tcW w:w="1199" w:type="dxa"/>
            <w:vMerge/>
            <w:vAlign w:val="center"/>
          </w:tcPr>
          <w:p w14:paraId="7C0D26E1" w14:textId="77777777" w:rsidR="004879B4" w:rsidRPr="005C479E" w:rsidRDefault="004879B4" w:rsidP="007F6928">
            <w:pPr>
              <w:autoSpaceDE w:val="0"/>
              <w:autoSpaceDN w:val="0"/>
              <w:adjustRightInd w:val="0"/>
              <w:rPr>
                <w:rFonts w:cstheme="minorHAnsi"/>
                <w:bCs/>
                <w:color w:val="0000CC"/>
              </w:rPr>
            </w:pPr>
          </w:p>
        </w:tc>
        <w:tc>
          <w:tcPr>
            <w:tcW w:w="2126" w:type="dxa"/>
            <w:vAlign w:val="center"/>
          </w:tcPr>
          <w:p w14:paraId="1F996D84" w14:textId="77777777" w:rsidR="004879B4" w:rsidRPr="005C479E" w:rsidRDefault="004879B4" w:rsidP="007F6928">
            <w:pPr>
              <w:autoSpaceDE w:val="0"/>
              <w:autoSpaceDN w:val="0"/>
              <w:adjustRightInd w:val="0"/>
              <w:jc w:val="center"/>
              <w:rPr>
                <w:rFonts w:cstheme="minorHAnsi"/>
                <w:bCs/>
                <w:color w:val="0000CC"/>
              </w:rPr>
            </w:pPr>
            <w:r w:rsidRPr="005C479E">
              <w:rPr>
                <w:rFonts w:cstheme="minorHAnsi"/>
                <w:bCs/>
                <w:color w:val="0000CC"/>
              </w:rPr>
              <w:t>HbA1c Testing</w:t>
            </w:r>
          </w:p>
        </w:tc>
        <w:tc>
          <w:tcPr>
            <w:tcW w:w="2070" w:type="dxa"/>
            <w:vAlign w:val="center"/>
          </w:tcPr>
          <w:p w14:paraId="5C0B2A75" w14:textId="77777777"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HbA1c Poor Control (&gt;9.0%)</w:t>
            </w:r>
          </w:p>
        </w:tc>
        <w:tc>
          <w:tcPr>
            <w:tcW w:w="2262" w:type="dxa"/>
            <w:vAlign w:val="center"/>
          </w:tcPr>
          <w:p w14:paraId="3368AB9D" w14:textId="77777777" w:rsidR="004879B4" w:rsidRDefault="004879B4" w:rsidP="007F6928">
            <w:pPr>
              <w:autoSpaceDE w:val="0"/>
              <w:autoSpaceDN w:val="0"/>
              <w:adjustRightInd w:val="0"/>
              <w:jc w:val="center"/>
              <w:rPr>
                <w:rFonts w:cstheme="minorHAnsi"/>
                <w:bCs/>
                <w:color w:val="0000CC"/>
              </w:rPr>
            </w:pPr>
            <w:r>
              <w:rPr>
                <w:rFonts w:cstheme="minorHAnsi"/>
                <w:bCs/>
                <w:color w:val="0000CC"/>
              </w:rPr>
              <w:t>Medical Attention for Diabetic Nephropathy</w:t>
            </w:r>
          </w:p>
        </w:tc>
        <w:tc>
          <w:tcPr>
            <w:tcW w:w="1693" w:type="dxa"/>
            <w:vAlign w:val="center"/>
          </w:tcPr>
          <w:p w14:paraId="518C6918" w14:textId="77777777" w:rsidR="004879B4" w:rsidRDefault="004879B4" w:rsidP="007F6928">
            <w:pPr>
              <w:autoSpaceDE w:val="0"/>
              <w:autoSpaceDN w:val="0"/>
              <w:adjustRightInd w:val="0"/>
              <w:jc w:val="center"/>
              <w:rPr>
                <w:rFonts w:cstheme="minorHAnsi"/>
                <w:bCs/>
                <w:color w:val="0000CC"/>
              </w:rPr>
            </w:pPr>
            <w:r>
              <w:rPr>
                <w:rFonts w:cstheme="minorHAnsi"/>
                <w:bCs/>
                <w:color w:val="0000CC"/>
              </w:rPr>
              <w:t>HbA1c Good Control (&lt;8.0%)</w:t>
            </w:r>
          </w:p>
        </w:tc>
      </w:tr>
      <w:tr w:rsidR="004879B4" w:rsidRPr="005C479E" w14:paraId="134F7229" w14:textId="77777777" w:rsidTr="007F6928">
        <w:trPr>
          <w:trHeight w:val="291"/>
          <w:jc w:val="center"/>
        </w:trPr>
        <w:tc>
          <w:tcPr>
            <w:tcW w:w="1199" w:type="dxa"/>
            <w:vAlign w:val="center"/>
          </w:tcPr>
          <w:p w14:paraId="6C0F94FC" w14:textId="77777777" w:rsidR="004879B4" w:rsidRPr="005C479E" w:rsidRDefault="004879B4" w:rsidP="007F6928">
            <w:pPr>
              <w:autoSpaceDE w:val="0"/>
              <w:autoSpaceDN w:val="0"/>
              <w:adjustRightInd w:val="0"/>
              <w:rPr>
                <w:rFonts w:cstheme="minorHAnsi"/>
                <w:bCs/>
                <w:color w:val="0000CC"/>
              </w:rPr>
            </w:pPr>
            <w:r>
              <w:rPr>
                <w:rFonts w:cstheme="minorHAnsi"/>
                <w:bCs/>
                <w:color w:val="0000CC"/>
              </w:rPr>
              <w:t>CDC - Eye Exams</w:t>
            </w:r>
          </w:p>
        </w:tc>
        <w:tc>
          <w:tcPr>
            <w:tcW w:w="2126" w:type="dxa"/>
            <w:vAlign w:val="center"/>
          </w:tcPr>
          <w:p w14:paraId="2CD37D56" w14:textId="14A03321"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0.53</w:t>
            </w:r>
          </w:p>
        </w:tc>
        <w:tc>
          <w:tcPr>
            <w:tcW w:w="2070" w:type="dxa"/>
            <w:vAlign w:val="center"/>
          </w:tcPr>
          <w:p w14:paraId="487C1466" w14:textId="664547E2"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-0.53</w:t>
            </w:r>
          </w:p>
        </w:tc>
        <w:tc>
          <w:tcPr>
            <w:tcW w:w="2262" w:type="dxa"/>
            <w:vAlign w:val="center"/>
          </w:tcPr>
          <w:p w14:paraId="5B2763D2" w14:textId="12A9BA5D" w:rsidR="004879B4" w:rsidRDefault="004879B4" w:rsidP="007F6928">
            <w:pPr>
              <w:autoSpaceDE w:val="0"/>
              <w:autoSpaceDN w:val="0"/>
              <w:adjustRightInd w:val="0"/>
              <w:jc w:val="center"/>
              <w:rPr>
                <w:rFonts w:cstheme="minorHAnsi"/>
                <w:bCs/>
                <w:color w:val="0000CC"/>
              </w:rPr>
            </w:pPr>
            <w:r>
              <w:rPr>
                <w:rFonts w:cstheme="minorHAnsi"/>
                <w:bCs/>
                <w:color w:val="0000CC"/>
              </w:rPr>
              <w:t>0.45</w:t>
            </w:r>
          </w:p>
        </w:tc>
        <w:tc>
          <w:tcPr>
            <w:tcW w:w="1693" w:type="dxa"/>
            <w:vAlign w:val="center"/>
          </w:tcPr>
          <w:p w14:paraId="112D562B" w14:textId="26AE3909" w:rsidR="004879B4" w:rsidRDefault="004879B4" w:rsidP="007F6928">
            <w:pPr>
              <w:autoSpaceDE w:val="0"/>
              <w:autoSpaceDN w:val="0"/>
              <w:adjustRightInd w:val="0"/>
              <w:jc w:val="center"/>
              <w:rPr>
                <w:rFonts w:cstheme="minorHAnsi"/>
                <w:bCs/>
                <w:color w:val="0000CC"/>
              </w:rPr>
            </w:pPr>
            <w:r>
              <w:rPr>
                <w:rFonts w:cstheme="minorHAnsi"/>
                <w:bCs/>
                <w:color w:val="0000CC"/>
              </w:rPr>
              <w:t>0.51</w:t>
            </w:r>
          </w:p>
        </w:tc>
      </w:tr>
    </w:tbl>
    <w:p w14:paraId="69DB4DC2" w14:textId="77777777" w:rsidR="004879B4" w:rsidRPr="005C479E" w:rsidRDefault="004879B4" w:rsidP="004879B4">
      <w:pPr>
        <w:autoSpaceDE w:val="0"/>
        <w:autoSpaceDN w:val="0"/>
        <w:adjustRightInd w:val="0"/>
        <w:spacing w:after="0" w:line="240" w:lineRule="auto"/>
        <w:rPr>
          <w:rFonts w:cstheme="minorHAnsi"/>
          <w:bCs/>
          <w:color w:val="0000CC"/>
        </w:rPr>
      </w:pPr>
      <w:r w:rsidRPr="005C479E">
        <w:rPr>
          <w:rFonts w:cstheme="minorHAnsi"/>
          <w:bCs/>
          <w:color w:val="0000CC"/>
        </w:rPr>
        <w:t>Note:</w:t>
      </w:r>
      <w:r>
        <w:rPr>
          <w:rFonts w:cstheme="minorHAnsi"/>
          <w:bCs/>
          <w:color w:val="0000CC"/>
        </w:rPr>
        <w:t xml:space="preserve"> All correlations are significant at</w:t>
      </w:r>
      <w:r w:rsidRPr="005C479E">
        <w:rPr>
          <w:rFonts w:cstheme="minorHAnsi"/>
          <w:bCs/>
          <w:color w:val="0000CC"/>
        </w:rPr>
        <w:t xml:space="preserve"> p&lt;0.0001 </w:t>
      </w:r>
    </w:p>
    <w:p w14:paraId="2F8B3822" w14:textId="3AEAC687" w:rsidR="004879B4" w:rsidRDefault="004879B4" w:rsidP="00092566">
      <w:pPr>
        <w:autoSpaceDE w:val="0"/>
        <w:autoSpaceDN w:val="0"/>
        <w:adjustRightInd w:val="0"/>
        <w:spacing w:after="0" w:line="240" w:lineRule="auto"/>
        <w:rPr>
          <w:rFonts w:cstheme="minorHAnsi"/>
          <w:bCs/>
        </w:rPr>
      </w:pPr>
    </w:p>
    <w:p w14:paraId="7416B406" w14:textId="30D020C1" w:rsidR="004879B4" w:rsidRPr="005C479E" w:rsidRDefault="004879B4" w:rsidP="004879B4">
      <w:pPr>
        <w:autoSpaceDE w:val="0"/>
        <w:autoSpaceDN w:val="0"/>
        <w:adjustRightInd w:val="0"/>
        <w:spacing w:after="0" w:line="240" w:lineRule="auto"/>
        <w:rPr>
          <w:rFonts w:cstheme="minorHAnsi"/>
          <w:bCs/>
          <w:color w:val="0000CC"/>
        </w:rPr>
      </w:pPr>
      <w:r w:rsidRPr="005C479E">
        <w:rPr>
          <w:rFonts w:cstheme="minorHAnsi"/>
          <w:bCs/>
          <w:color w:val="0000CC"/>
        </w:rPr>
        <w:t>Table 1</w:t>
      </w:r>
      <w:r>
        <w:rPr>
          <w:rFonts w:cstheme="minorHAnsi"/>
          <w:bCs/>
          <w:color w:val="0000CC"/>
        </w:rPr>
        <w:t>c</w:t>
      </w:r>
      <w:r w:rsidRPr="005C479E">
        <w:rPr>
          <w:rFonts w:cstheme="minorHAnsi"/>
          <w:bCs/>
          <w:color w:val="0000CC"/>
        </w:rPr>
        <w:t xml:space="preserve">. Correlations among Diabetes Measures in </w:t>
      </w:r>
      <w:r>
        <w:rPr>
          <w:rFonts w:cstheme="minorHAnsi"/>
          <w:bCs/>
          <w:color w:val="0000CC"/>
        </w:rPr>
        <w:t>Medicare</w:t>
      </w:r>
      <w:r w:rsidRPr="005C479E">
        <w:rPr>
          <w:rFonts w:cstheme="minorHAnsi"/>
          <w:bCs/>
          <w:color w:val="0000CC"/>
        </w:rPr>
        <w:t xml:space="preserve"> Health Plans </w:t>
      </w:r>
      <w:r>
        <w:rPr>
          <w:rFonts w:cstheme="minorHAnsi"/>
          <w:bCs/>
          <w:color w:val="0000CC"/>
        </w:rPr>
        <w:t>- 2012</w:t>
      </w:r>
    </w:p>
    <w:tbl>
      <w:tblPr>
        <w:tblStyle w:val="TableGrid"/>
        <w:tblW w:w="0" w:type="auto"/>
        <w:jc w:val="center"/>
        <w:tblLook w:val="04A0" w:firstRow="1" w:lastRow="0" w:firstColumn="1" w:lastColumn="0" w:noHBand="0" w:noVBand="1"/>
      </w:tblPr>
      <w:tblGrid>
        <w:gridCol w:w="1199"/>
        <w:gridCol w:w="2126"/>
        <w:gridCol w:w="2070"/>
        <w:gridCol w:w="2262"/>
        <w:gridCol w:w="1693"/>
      </w:tblGrid>
      <w:tr w:rsidR="004879B4" w:rsidRPr="005C479E" w14:paraId="05133009" w14:textId="77777777" w:rsidTr="007F6928">
        <w:trPr>
          <w:trHeight w:val="368"/>
          <w:jc w:val="center"/>
        </w:trPr>
        <w:tc>
          <w:tcPr>
            <w:tcW w:w="1199" w:type="dxa"/>
            <w:vMerge w:val="restart"/>
            <w:shd w:val="clear" w:color="auto" w:fill="BFBFBF" w:themeFill="background1" w:themeFillShade="BF"/>
            <w:vAlign w:val="center"/>
          </w:tcPr>
          <w:p w14:paraId="2605460A" w14:textId="77777777" w:rsidR="004879B4" w:rsidRPr="005C479E" w:rsidRDefault="004879B4" w:rsidP="007F6928">
            <w:pPr>
              <w:autoSpaceDE w:val="0"/>
              <w:autoSpaceDN w:val="0"/>
              <w:adjustRightInd w:val="0"/>
              <w:rPr>
                <w:rFonts w:cstheme="minorHAnsi"/>
                <w:bCs/>
                <w:color w:val="0000CC"/>
              </w:rPr>
            </w:pPr>
          </w:p>
        </w:tc>
        <w:tc>
          <w:tcPr>
            <w:tcW w:w="8151" w:type="dxa"/>
            <w:gridSpan w:val="4"/>
            <w:shd w:val="clear" w:color="auto" w:fill="BFBFBF" w:themeFill="background1" w:themeFillShade="BF"/>
            <w:vAlign w:val="center"/>
          </w:tcPr>
          <w:p w14:paraId="335CAADA" w14:textId="77777777" w:rsidR="004879B4" w:rsidRPr="005C479E" w:rsidRDefault="004879B4" w:rsidP="007F6928">
            <w:pPr>
              <w:autoSpaceDE w:val="0"/>
              <w:autoSpaceDN w:val="0"/>
              <w:adjustRightInd w:val="0"/>
              <w:jc w:val="center"/>
              <w:rPr>
                <w:rFonts w:cstheme="minorHAnsi"/>
                <w:b/>
                <w:bCs/>
                <w:color w:val="0000CC"/>
              </w:rPr>
            </w:pPr>
            <w:r w:rsidRPr="005C479E">
              <w:rPr>
                <w:rFonts w:cstheme="minorHAnsi"/>
                <w:b/>
                <w:bCs/>
                <w:color w:val="0000CC"/>
              </w:rPr>
              <w:t>Pearson Correlation Coefficient</w:t>
            </w:r>
          </w:p>
        </w:tc>
      </w:tr>
      <w:tr w:rsidR="004879B4" w:rsidRPr="005C479E" w14:paraId="3C7D599A" w14:textId="77777777" w:rsidTr="007F6928">
        <w:trPr>
          <w:trHeight w:val="350"/>
          <w:jc w:val="center"/>
        </w:trPr>
        <w:tc>
          <w:tcPr>
            <w:tcW w:w="1199" w:type="dxa"/>
            <w:vMerge/>
            <w:vAlign w:val="center"/>
          </w:tcPr>
          <w:p w14:paraId="4C267DA5" w14:textId="77777777" w:rsidR="004879B4" w:rsidRPr="005C479E" w:rsidRDefault="004879B4" w:rsidP="007F6928">
            <w:pPr>
              <w:autoSpaceDE w:val="0"/>
              <w:autoSpaceDN w:val="0"/>
              <w:adjustRightInd w:val="0"/>
              <w:rPr>
                <w:rFonts w:cstheme="minorHAnsi"/>
                <w:bCs/>
                <w:color w:val="0000CC"/>
              </w:rPr>
            </w:pPr>
          </w:p>
        </w:tc>
        <w:tc>
          <w:tcPr>
            <w:tcW w:w="2126" w:type="dxa"/>
            <w:vAlign w:val="center"/>
          </w:tcPr>
          <w:p w14:paraId="7BAEFB81" w14:textId="77777777" w:rsidR="004879B4" w:rsidRPr="005C479E" w:rsidRDefault="004879B4" w:rsidP="007F6928">
            <w:pPr>
              <w:autoSpaceDE w:val="0"/>
              <w:autoSpaceDN w:val="0"/>
              <w:adjustRightInd w:val="0"/>
              <w:jc w:val="center"/>
              <w:rPr>
                <w:rFonts w:cstheme="minorHAnsi"/>
                <w:bCs/>
                <w:color w:val="0000CC"/>
              </w:rPr>
            </w:pPr>
            <w:r w:rsidRPr="005C479E">
              <w:rPr>
                <w:rFonts w:cstheme="minorHAnsi"/>
                <w:bCs/>
                <w:color w:val="0000CC"/>
              </w:rPr>
              <w:t>HbA1c Testing</w:t>
            </w:r>
          </w:p>
        </w:tc>
        <w:tc>
          <w:tcPr>
            <w:tcW w:w="2070" w:type="dxa"/>
            <w:vAlign w:val="center"/>
          </w:tcPr>
          <w:p w14:paraId="02F37888" w14:textId="77777777"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HbA1c Poor Control (&gt;9.0%)</w:t>
            </w:r>
          </w:p>
        </w:tc>
        <w:tc>
          <w:tcPr>
            <w:tcW w:w="2262" w:type="dxa"/>
            <w:vAlign w:val="center"/>
          </w:tcPr>
          <w:p w14:paraId="5163A5D7" w14:textId="77777777" w:rsidR="004879B4" w:rsidRDefault="004879B4" w:rsidP="007F6928">
            <w:pPr>
              <w:autoSpaceDE w:val="0"/>
              <w:autoSpaceDN w:val="0"/>
              <w:adjustRightInd w:val="0"/>
              <w:jc w:val="center"/>
              <w:rPr>
                <w:rFonts w:cstheme="minorHAnsi"/>
                <w:bCs/>
                <w:color w:val="0000CC"/>
              </w:rPr>
            </w:pPr>
            <w:r>
              <w:rPr>
                <w:rFonts w:cstheme="minorHAnsi"/>
                <w:bCs/>
                <w:color w:val="0000CC"/>
              </w:rPr>
              <w:t>Medical Attention for Diabetic Nephropathy</w:t>
            </w:r>
          </w:p>
        </w:tc>
        <w:tc>
          <w:tcPr>
            <w:tcW w:w="1693" w:type="dxa"/>
            <w:vAlign w:val="center"/>
          </w:tcPr>
          <w:p w14:paraId="76DDF7EE" w14:textId="77777777" w:rsidR="004879B4" w:rsidRDefault="004879B4" w:rsidP="007F6928">
            <w:pPr>
              <w:autoSpaceDE w:val="0"/>
              <w:autoSpaceDN w:val="0"/>
              <w:adjustRightInd w:val="0"/>
              <w:jc w:val="center"/>
              <w:rPr>
                <w:rFonts w:cstheme="minorHAnsi"/>
                <w:bCs/>
                <w:color w:val="0000CC"/>
              </w:rPr>
            </w:pPr>
            <w:r>
              <w:rPr>
                <w:rFonts w:cstheme="minorHAnsi"/>
                <w:bCs/>
                <w:color w:val="0000CC"/>
              </w:rPr>
              <w:t>HbA1c Good Control (&lt;8.0%)</w:t>
            </w:r>
          </w:p>
        </w:tc>
      </w:tr>
      <w:tr w:rsidR="004879B4" w:rsidRPr="005C479E" w14:paraId="68BDC2CA" w14:textId="77777777" w:rsidTr="007F6928">
        <w:trPr>
          <w:trHeight w:val="291"/>
          <w:jc w:val="center"/>
        </w:trPr>
        <w:tc>
          <w:tcPr>
            <w:tcW w:w="1199" w:type="dxa"/>
            <w:vAlign w:val="center"/>
          </w:tcPr>
          <w:p w14:paraId="2FE33167" w14:textId="77777777" w:rsidR="004879B4" w:rsidRPr="005C479E" w:rsidRDefault="004879B4" w:rsidP="007F6928">
            <w:pPr>
              <w:autoSpaceDE w:val="0"/>
              <w:autoSpaceDN w:val="0"/>
              <w:adjustRightInd w:val="0"/>
              <w:rPr>
                <w:rFonts w:cstheme="minorHAnsi"/>
                <w:bCs/>
                <w:color w:val="0000CC"/>
              </w:rPr>
            </w:pPr>
            <w:r>
              <w:rPr>
                <w:rFonts w:cstheme="minorHAnsi"/>
                <w:bCs/>
                <w:color w:val="0000CC"/>
              </w:rPr>
              <w:t>CDC - Eye Exams</w:t>
            </w:r>
          </w:p>
        </w:tc>
        <w:tc>
          <w:tcPr>
            <w:tcW w:w="2126" w:type="dxa"/>
            <w:vAlign w:val="center"/>
          </w:tcPr>
          <w:p w14:paraId="39EB08B2" w14:textId="5370AA39"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0.6</w:t>
            </w:r>
            <w:r w:rsidR="00D85393">
              <w:rPr>
                <w:rFonts w:cstheme="minorHAnsi"/>
                <w:bCs/>
                <w:color w:val="0000CC"/>
              </w:rPr>
              <w:t>0</w:t>
            </w:r>
          </w:p>
        </w:tc>
        <w:tc>
          <w:tcPr>
            <w:tcW w:w="2070" w:type="dxa"/>
            <w:vAlign w:val="center"/>
          </w:tcPr>
          <w:p w14:paraId="08B96B0F" w14:textId="572F471E" w:rsidR="004879B4" w:rsidRPr="005C479E" w:rsidRDefault="004879B4" w:rsidP="007F6928">
            <w:pPr>
              <w:autoSpaceDE w:val="0"/>
              <w:autoSpaceDN w:val="0"/>
              <w:adjustRightInd w:val="0"/>
              <w:jc w:val="center"/>
              <w:rPr>
                <w:rFonts w:cstheme="minorHAnsi"/>
                <w:bCs/>
                <w:color w:val="0000CC"/>
              </w:rPr>
            </w:pPr>
            <w:r>
              <w:rPr>
                <w:rFonts w:cstheme="minorHAnsi"/>
                <w:bCs/>
                <w:color w:val="0000CC"/>
              </w:rPr>
              <w:t>-0.</w:t>
            </w:r>
            <w:r w:rsidR="00D85393">
              <w:rPr>
                <w:rFonts w:cstheme="minorHAnsi"/>
                <w:bCs/>
                <w:color w:val="0000CC"/>
              </w:rPr>
              <w:t>52</w:t>
            </w:r>
          </w:p>
        </w:tc>
        <w:tc>
          <w:tcPr>
            <w:tcW w:w="2262" w:type="dxa"/>
            <w:vAlign w:val="center"/>
          </w:tcPr>
          <w:p w14:paraId="4C4CE27C" w14:textId="178C3301" w:rsidR="004879B4" w:rsidRDefault="004879B4" w:rsidP="007F6928">
            <w:pPr>
              <w:autoSpaceDE w:val="0"/>
              <w:autoSpaceDN w:val="0"/>
              <w:adjustRightInd w:val="0"/>
              <w:jc w:val="center"/>
              <w:rPr>
                <w:rFonts w:cstheme="minorHAnsi"/>
                <w:bCs/>
                <w:color w:val="0000CC"/>
              </w:rPr>
            </w:pPr>
            <w:r>
              <w:rPr>
                <w:rFonts w:cstheme="minorHAnsi"/>
                <w:bCs/>
                <w:color w:val="0000CC"/>
              </w:rPr>
              <w:t>0.</w:t>
            </w:r>
            <w:r w:rsidR="00D85393">
              <w:rPr>
                <w:rFonts w:cstheme="minorHAnsi"/>
                <w:bCs/>
                <w:color w:val="0000CC"/>
              </w:rPr>
              <w:t>38</w:t>
            </w:r>
          </w:p>
        </w:tc>
        <w:tc>
          <w:tcPr>
            <w:tcW w:w="1693" w:type="dxa"/>
            <w:vAlign w:val="center"/>
          </w:tcPr>
          <w:p w14:paraId="3C998630" w14:textId="359FC024" w:rsidR="004879B4" w:rsidRDefault="004879B4" w:rsidP="007F6928">
            <w:pPr>
              <w:autoSpaceDE w:val="0"/>
              <w:autoSpaceDN w:val="0"/>
              <w:adjustRightInd w:val="0"/>
              <w:jc w:val="center"/>
              <w:rPr>
                <w:rFonts w:cstheme="minorHAnsi"/>
                <w:bCs/>
                <w:color w:val="0000CC"/>
              </w:rPr>
            </w:pPr>
            <w:r>
              <w:rPr>
                <w:rFonts w:cstheme="minorHAnsi"/>
                <w:bCs/>
                <w:color w:val="0000CC"/>
              </w:rPr>
              <w:t>0.</w:t>
            </w:r>
            <w:r w:rsidR="00D85393">
              <w:rPr>
                <w:rFonts w:cstheme="minorHAnsi"/>
                <w:bCs/>
                <w:color w:val="0000CC"/>
              </w:rPr>
              <w:t>51</w:t>
            </w:r>
          </w:p>
        </w:tc>
      </w:tr>
    </w:tbl>
    <w:p w14:paraId="52E6BA0A" w14:textId="77777777" w:rsidR="004879B4" w:rsidRPr="005C479E" w:rsidRDefault="004879B4" w:rsidP="004879B4">
      <w:pPr>
        <w:autoSpaceDE w:val="0"/>
        <w:autoSpaceDN w:val="0"/>
        <w:adjustRightInd w:val="0"/>
        <w:spacing w:after="0" w:line="240" w:lineRule="auto"/>
        <w:rPr>
          <w:rFonts w:cstheme="minorHAnsi"/>
          <w:bCs/>
          <w:color w:val="0000CC"/>
        </w:rPr>
      </w:pPr>
      <w:r w:rsidRPr="005C479E">
        <w:rPr>
          <w:rFonts w:cstheme="minorHAnsi"/>
          <w:bCs/>
          <w:color w:val="0000CC"/>
        </w:rPr>
        <w:lastRenderedPageBreak/>
        <w:t>Note:</w:t>
      </w:r>
      <w:r>
        <w:rPr>
          <w:rFonts w:cstheme="minorHAnsi"/>
          <w:bCs/>
          <w:color w:val="0000CC"/>
        </w:rPr>
        <w:t xml:space="preserve"> All correlations are significant at</w:t>
      </w:r>
      <w:r w:rsidRPr="005C479E">
        <w:rPr>
          <w:rFonts w:cstheme="minorHAnsi"/>
          <w:bCs/>
          <w:color w:val="0000CC"/>
        </w:rPr>
        <w:t xml:space="preserve"> p&lt;0.0001 </w:t>
      </w:r>
    </w:p>
    <w:p w14:paraId="0716508D" w14:textId="77777777" w:rsidR="0020766D" w:rsidRPr="005C479E" w:rsidRDefault="0020766D" w:rsidP="0020766D">
      <w:pPr>
        <w:autoSpaceDE w:val="0"/>
        <w:autoSpaceDN w:val="0"/>
        <w:adjustRightInd w:val="0"/>
        <w:spacing w:after="0" w:line="240" w:lineRule="auto"/>
        <w:rPr>
          <w:rFonts w:cstheme="minorHAnsi"/>
          <w:bCs/>
          <w:color w:val="0000CC"/>
          <w:u w:val="single"/>
        </w:rPr>
      </w:pPr>
      <w:bookmarkStart w:id="33" w:name="_Hlk502679245"/>
      <w:bookmarkStart w:id="34" w:name="_Hlk507768610"/>
      <w:r w:rsidRPr="005C479E">
        <w:rPr>
          <w:rFonts w:cstheme="minorHAnsi"/>
          <w:bCs/>
          <w:color w:val="0000CC"/>
          <w:u w:val="single"/>
        </w:rPr>
        <w:t>Construct Validity – Physician Level</w:t>
      </w:r>
    </w:p>
    <w:p w14:paraId="7E1CE512" w14:textId="22CD1873" w:rsidR="0020766D" w:rsidRPr="005C479E" w:rsidRDefault="0020766D" w:rsidP="0020766D">
      <w:pPr>
        <w:autoSpaceDE w:val="0"/>
        <w:autoSpaceDN w:val="0"/>
        <w:adjustRightInd w:val="0"/>
        <w:spacing w:after="0" w:line="240" w:lineRule="auto"/>
        <w:rPr>
          <w:rFonts w:cstheme="minorHAnsi"/>
          <w:bCs/>
          <w:color w:val="0000CC"/>
        </w:rPr>
      </w:pPr>
      <w:r>
        <w:rPr>
          <w:rFonts w:cstheme="minorHAnsi"/>
          <w:bCs/>
          <w:color w:val="0000CC"/>
        </w:rPr>
        <w:t xml:space="preserve">Table </w:t>
      </w:r>
      <w:r w:rsidR="004879B4">
        <w:rPr>
          <w:rFonts w:cstheme="minorHAnsi"/>
          <w:bCs/>
          <w:color w:val="0000CC"/>
        </w:rPr>
        <w:t>2a</w:t>
      </w:r>
      <w:r w:rsidRPr="005C479E">
        <w:rPr>
          <w:rFonts w:cstheme="minorHAnsi"/>
          <w:bCs/>
          <w:color w:val="0000CC"/>
        </w:rPr>
        <w:t xml:space="preserve"> below provides the results from construct validity testing of the physician level measure.</w:t>
      </w:r>
    </w:p>
    <w:bookmarkEnd w:id="33"/>
    <w:p w14:paraId="358CD80E" w14:textId="77777777" w:rsidR="0020766D" w:rsidRDefault="0020766D" w:rsidP="0020766D">
      <w:pPr>
        <w:autoSpaceDE w:val="0"/>
        <w:autoSpaceDN w:val="0"/>
        <w:adjustRightInd w:val="0"/>
        <w:spacing w:after="0" w:line="240" w:lineRule="auto"/>
        <w:rPr>
          <w:rFonts w:cstheme="minorHAnsi"/>
          <w:bCs/>
        </w:rPr>
      </w:pPr>
    </w:p>
    <w:p w14:paraId="774955F1" w14:textId="7C64258D" w:rsidR="0020766D" w:rsidRPr="005C479E" w:rsidRDefault="0020766D" w:rsidP="0020766D">
      <w:pPr>
        <w:autoSpaceDE w:val="0"/>
        <w:autoSpaceDN w:val="0"/>
        <w:adjustRightInd w:val="0"/>
        <w:spacing w:after="0" w:line="240" w:lineRule="auto"/>
        <w:rPr>
          <w:rFonts w:cstheme="minorHAnsi"/>
          <w:bCs/>
          <w:color w:val="0000CC"/>
        </w:rPr>
      </w:pPr>
      <w:r>
        <w:rPr>
          <w:rFonts w:cstheme="minorHAnsi"/>
          <w:bCs/>
          <w:color w:val="0000CC"/>
        </w:rPr>
        <w:t xml:space="preserve">Table </w:t>
      </w:r>
      <w:r w:rsidR="004879B4">
        <w:rPr>
          <w:rFonts w:cstheme="minorHAnsi"/>
          <w:bCs/>
          <w:color w:val="0000CC"/>
        </w:rPr>
        <w:t>2a</w:t>
      </w:r>
      <w:r w:rsidRPr="005C479E">
        <w:rPr>
          <w:rFonts w:cstheme="minorHAnsi"/>
          <w:bCs/>
          <w:color w:val="0000CC"/>
        </w:rPr>
        <w:t xml:space="preserve">. Correlations among </w:t>
      </w:r>
      <w:r>
        <w:rPr>
          <w:rFonts w:cstheme="minorHAnsi"/>
          <w:bCs/>
          <w:color w:val="0000CC"/>
        </w:rPr>
        <w:t xml:space="preserve">Diabetes </w:t>
      </w:r>
      <w:r w:rsidRPr="005C479E">
        <w:rPr>
          <w:rFonts w:cstheme="minorHAnsi"/>
          <w:bCs/>
          <w:color w:val="0000CC"/>
        </w:rPr>
        <w:t xml:space="preserve">Measures in the NCQA Diabetes Recognition Program </w:t>
      </w:r>
      <w:r>
        <w:rPr>
          <w:rFonts w:cstheme="minorHAnsi"/>
          <w:bCs/>
          <w:color w:val="0000CC"/>
        </w:rPr>
        <w:t>- 2012</w:t>
      </w:r>
    </w:p>
    <w:tbl>
      <w:tblPr>
        <w:tblStyle w:val="TableGrid"/>
        <w:tblW w:w="5000" w:type="pct"/>
        <w:jc w:val="center"/>
        <w:tblLook w:val="04A0" w:firstRow="1" w:lastRow="0" w:firstColumn="1" w:lastColumn="0" w:noHBand="0" w:noVBand="1"/>
      </w:tblPr>
      <w:tblGrid>
        <w:gridCol w:w="1705"/>
        <w:gridCol w:w="2521"/>
        <w:gridCol w:w="2786"/>
        <w:gridCol w:w="2338"/>
      </w:tblGrid>
      <w:tr w:rsidR="00A604D1" w:rsidRPr="005C479E" w14:paraId="280A8133" w14:textId="12C03EBE" w:rsidTr="00A604D1">
        <w:trPr>
          <w:jc w:val="center"/>
        </w:trPr>
        <w:tc>
          <w:tcPr>
            <w:tcW w:w="912" w:type="pct"/>
            <w:vMerge w:val="restart"/>
            <w:shd w:val="clear" w:color="auto" w:fill="BFBFBF" w:themeFill="background1" w:themeFillShade="BF"/>
          </w:tcPr>
          <w:p w14:paraId="5372FBFB" w14:textId="77777777" w:rsidR="00A604D1" w:rsidRPr="005C479E" w:rsidRDefault="00A604D1" w:rsidP="00C471A6">
            <w:pPr>
              <w:autoSpaceDE w:val="0"/>
              <w:autoSpaceDN w:val="0"/>
              <w:adjustRightInd w:val="0"/>
              <w:rPr>
                <w:rFonts w:cstheme="minorHAnsi"/>
                <w:bCs/>
                <w:color w:val="0000CC"/>
              </w:rPr>
            </w:pPr>
          </w:p>
        </w:tc>
        <w:tc>
          <w:tcPr>
            <w:tcW w:w="4088" w:type="pct"/>
            <w:gridSpan w:val="3"/>
            <w:shd w:val="clear" w:color="auto" w:fill="BFBFBF" w:themeFill="background1" w:themeFillShade="BF"/>
            <w:vAlign w:val="center"/>
          </w:tcPr>
          <w:p w14:paraId="7433C77A" w14:textId="6B2B6930" w:rsidR="00A604D1" w:rsidRPr="005C479E" w:rsidRDefault="00A604D1" w:rsidP="00C471A6">
            <w:pPr>
              <w:autoSpaceDE w:val="0"/>
              <w:autoSpaceDN w:val="0"/>
              <w:adjustRightInd w:val="0"/>
              <w:jc w:val="center"/>
              <w:rPr>
                <w:rFonts w:cstheme="minorHAnsi"/>
                <w:b/>
                <w:bCs/>
                <w:color w:val="0000CC"/>
              </w:rPr>
            </w:pPr>
            <w:r w:rsidRPr="005C479E">
              <w:rPr>
                <w:rFonts w:cstheme="minorHAnsi"/>
                <w:b/>
                <w:bCs/>
                <w:color w:val="0000CC"/>
              </w:rPr>
              <w:t>Pearson Correlation Coefficient</w:t>
            </w:r>
          </w:p>
        </w:tc>
      </w:tr>
      <w:tr w:rsidR="00397FA6" w:rsidRPr="005C479E" w14:paraId="34B51999" w14:textId="39A1309E" w:rsidTr="00397FA6">
        <w:trPr>
          <w:jc w:val="center"/>
        </w:trPr>
        <w:tc>
          <w:tcPr>
            <w:tcW w:w="912" w:type="pct"/>
            <w:vMerge/>
          </w:tcPr>
          <w:p w14:paraId="360B39CD" w14:textId="77777777" w:rsidR="00397FA6" w:rsidRPr="005C479E" w:rsidRDefault="00397FA6" w:rsidP="00397FA6">
            <w:pPr>
              <w:autoSpaceDE w:val="0"/>
              <w:autoSpaceDN w:val="0"/>
              <w:adjustRightInd w:val="0"/>
              <w:rPr>
                <w:rFonts w:cstheme="minorHAnsi"/>
                <w:bCs/>
                <w:color w:val="0000CC"/>
              </w:rPr>
            </w:pPr>
            <w:bookmarkStart w:id="35" w:name="_Hlk505263531"/>
          </w:p>
        </w:tc>
        <w:tc>
          <w:tcPr>
            <w:tcW w:w="1348" w:type="pct"/>
            <w:vAlign w:val="center"/>
          </w:tcPr>
          <w:p w14:paraId="67B530C2" w14:textId="596A59A9" w:rsidR="00397FA6" w:rsidRPr="005C479E" w:rsidRDefault="00736299" w:rsidP="00397FA6">
            <w:pPr>
              <w:autoSpaceDE w:val="0"/>
              <w:autoSpaceDN w:val="0"/>
              <w:adjustRightInd w:val="0"/>
              <w:jc w:val="center"/>
              <w:rPr>
                <w:rFonts w:cstheme="minorHAnsi"/>
                <w:bCs/>
                <w:color w:val="0000CC"/>
              </w:rPr>
            </w:pPr>
            <w:r>
              <w:rPr>
                <w:rFonts w:cstheme="minorHAnsi"/>
                <w:bCs/>
                <w:color w:val="0000CC"/>
              </w:rPr>
              <w:t>Blood Pressure Control</w:t>
            </w:r>
          </w:p>
        </w:tc>
        <w:tc>
          <w:tcPr>
            <w:tcW w:w="1490" w:type="pct"/>
            <w:vAlign w:val="center"/>
          </w:tcPr>
          <w:p w14:paraId="2D1C60AA" w14:textId="4637CF0B" w:rsidR="00397FA6" w:rsidRPr="005C479E" w:rsidRDefault="00736299" w:rsidP="00397FA6">
            <w:pPr>
              <w:autoSpaceDE w:val="0"/>
              <w:autoSpaceDN w:val="0"/>
              <w:adjustRightInd w:val="0"/>
              <w:jc w:val="center"/>
              <w:rPr>
                <w:rFonts w:cstheme="minorHAnsi"/>
                <w:bCs/>
                <w:color w:val="0000CC"/>
              </w:rPr>
            </w:pPr>
            <w:r>
              <w:rPr>
                <w:rFonts w:cstheme="minorHAnsi"/>
                <w:bCs/>
                <w:color w:val="0000CC"/>
              </w:rPr>
              <w:t>Medical Attention to Nephropathy</w:t>
            </w:r>
          </w:p>
        </w:tc>
        <w:tc>
          <w:tcPr>
            <w:tcW w:w="1250" w:type="pct"/>
            <w:vAlign w:val="center"/>
          </w:tcPr>
          <w:p w14:paraId="77D2F7CC" w14:textId="06238C79" w:rsidR="00397FA6" w:rsidRPr="005C479E" w:rsidRDefault="00736299" w:rsidP="00397FA6">
            <w:pPr>
              <w:autoSpaceDE w:val="0"/>
              <w:autoSpaceDN w:val="0"/>
              <w:adjustRightInd w:val="0"/>
              <w:jc w:val="center"/>
              <w:rPr>
                <w:rFonts w:cstheme="minorHAnsi"/>
                <w:bCs/>
                <w:color w:val="0000CC"/>
              </w:rPr>
            </w:pPr>
            <w:r>
              <w:rPr>
                <w:rFonts w:cstheme="minorHAnsi"/>
                <w:bCs/>
                <w:color w:val="0000CC"/>
              </w:rPr>
              <w:t>Foot Exam</w:t>
            </w:r>
          </w:p>
        </w:tc>
      </w:tr>
      <w:tr w:rsidR="00397FA6" w:rsidRPr="005C479E" w14:paraId="2BA21092" w14:textId="319A4655" w:rsidTr="00397FA6">
        <w:trPr>
          <w:jc w:val="center"/>
        </w:trPr>
        <w:tc>
          <w:tcPr>
            <w:tcW w:w="912" w:type="pct"/>
          </w:tcPr>
          <w:p w14:paraId="22A3D322" w14:textId="0DECA0D5" w:rsidR="00397FA6" w:rsidRPr="005C479E" w:rsidRDefault="00397FA6" w:rsidP="00397FA6">
            <w:pPr>
              <w:autoSpaceDE w:val="0"/>
              <w:autoSpaceDN w:val="0"/>
              <w:adjustRightInd w:val="0"/>
              <w:rPr>
                <w:rFonts w:cstheme="minorHAnsi"/>
                <w:bCs/>
                <w:color w:val="0000CC"/>
              </w:rPr>
            </w:pPr>
            <w:r>
              <w:rPr>
                <w:rFonts w:cstheme="minorHAnsi"/>
                <w:bCs/>
                <w:color w:val="0000CC"/>
              </w:rPr>
              <w:t>CDC – Eye Exams</w:t>
            </w:r>
          </w:p>
        </w:tc>
        <w:tc>
          <w:tcPr>
            <w:tcW w:w="1348" w:type="pct"/>
            <w:vAlign w:val="center"/>
          </w:tcPr>
          <w:p w14:paraId="01E77CF2" w14:textId="4EFF991E" w:rsidR="00397FA6" w:rsidRPr="005C479E" w:rsidRDefault="00160D47" w:rsidP="00397FA6">
            <w:pPr>
              <w:autoSpaceDE w:val="0"/>
              <w:autoSpaceDN w:val="0"/>
              <w:adjustRightInd w:val="0"/>
              <w:jc w:val="center"/>
              <w:rPr>
                <w:rFonts w:cstheme="minorHAnsi"/>
                <w:bCs/>
                <w:color w:val="0000CC"/>
              </w:rPr>
            </w:pPr>
            <w:r>
              <w:rPr>
                <w:rFonts w:cstheme="minorHAnsi"/>
                <w:bCs/>
                <w:color w:val="0000CC"/>
              </w:rPr>
              <w:t>0</w:t>
            </w:r>
            <w:r w:rsidR="00736299">
              <w:rPr>
                <w:rFonts w:cstheme="minorHAnsi"/>
                <w:bCs/>
                <w:color w:val="0000CC"/>
              </w:rPr>
              <w:t>.41</w:t>
            </w:r>
          </w:p>
        </w:tc>
        <w:tc>
          <w:tcPr>
            <w:tcW w:w="1490" w:type="pct"/>
            <w:vAlign w:val="center"/>
          </w:tcPr>
          <w:p w14:paraId="28B10F3B" w14:textId="6EF2A2EC" w:rsidR="00397FA6" w:rsidRPr="005C479E" w:rsidRDefault="00736299" w:rsidP="00397FA6">
            <w:pPr>
              <w:autoSpaceDE w:val="0"/>
              <w:autoSpaceDN w:val="0"/>
              <w:adjustRightInd w:val="0"/>
              <w:jc w:val="center"/>
              <w:rPr>
                <w:rFonts w:cstheme="minorHAnsi"/>
                <w:bCs/>
                <w:color w:val="0000CC"/>
              </w:rPr>
            </w:pPr>
            <w:r>
              <w:rPr>
                <w:rFonts w:cstheme="minorHAnsi"/>
                <w:bCs/>
                <w:color w:val="0000CC"/>
              </w:rPr>
              <w:t>0.26</w:t>
            </w:r>
          </w:p>
        </w:tc>
        <w:tc>
          <w:tcPr>
            <w:tcW w:w="1250" w:type="pct"/>
            <w:vAlign w:val="center"/>
          </w:tcPr>
          <w:p w14:paraId="068909BE" w14:textId="5DB0FA76" w:rsidR="00397FA6" w:rsidRDefault="00397FA6" w:rsidP="00397FA6">
            <w:pPr>
              <w:autoSpaceDE w:val="0"/>
              <w:autoSpaceDN w:val="0"/>
              <w:adjustRightInd w:val="0"/>
              <w:jc w:val="center"/>
              <w:rPr>
                <w:rFonts w:cstheme="minorHAnsi"/>
                <w:bCs/>
                <w:color w:val="0000CC"/>
              </w:rPr>
            </w:pPr>
            <w:r>
              <w:rPr>
                <w:rFonts w:cstheme="minorHAnsi"/>
                <w:bCs/>
                <w:color w:val="0000CC"/>
              </w:rPr>
              <w:t>0.</w:t>
            </w:r>
            <w:r w:rsidR="00736299">
              <w:rPr>
                <w:rFonts w:cstheme="minorHAnsi"/>
                <w:bCs/>
                <w:color w:val="0000CC"/>
              </w:rPr>
              <w:t>42</w:t>
            </w:r>
          </w:p>
        </w:tc>
      </w:tr>
    </w:tbl>
    <w:bookmarkEnd w:id="35"/>
    <w:p w14:paraId="03627C1F" w14:textId="77777777" w:rsidR="0020766D" w:rsidRPr="005C479E" w:rsidRDefault="0020766D" w:rsidP="0020766D">
      <w:pPr>
        <w:autoSpaceDE w:val="0"/>
        <w:autoSpaceDN w:val="0"/>
        <w:adjustRightInd w:val="0"/>
        <w:spacing w:after="0" w:line="240" w:lineRule="auto"/>
        <w:rPr>
          <w:rFonts w:cstheme="minorHAnsi"/>
          <w:bCs/>
          <w:color w:val="0000CC"/>
        </w:rPr>
      </w:pPr>
      <w:r w:rsidRPr="005C479E">
        <w:rPr>
          <w:rFonts w:cstheme="minorHAnsi"/>
          <w:bCs/>
          <w:color w:val="0000CC"/>
        </w:rPr>
        <w:t xml:space="preserve">Note: </w:t>
      </w:r>
      <w:r>
        <w:rPr>
          <w:rFonts w:cstheme="minorHAnsi"/>
          <w:bCs/>
          <w:color w:val="0000CC"/>
        </w:rPr>
        <w:t xml:space="preserve">All correlations are significant at </w:t>
      </w:r>
      <w:r w:rsidRPr="005C479E">
        <w:rPr>
          <w:rFonts w:cstheme="minorHAnsi"/>
          <w:bCs/>
          <w:color w:val="0000CC"/>
        </w:rPr>
        <w:t>p&lt;0.0001</w:t>
      </w:r>
    </w:p>
    <w:bookmarkEnd w:id="34"/>
    <w:p w14:paraId="0CABCFDE" w14:textId="5AF36E74" w:rsidR="007422FD" w:rsidRPr="00092566" w:rsidRDefault="00833325" w:rsidP="00092566">
      <w:pPr>
        <w:autoSpaceDE w:val="0"/>
        <w:autoSpaceDN w:val="0"/>
        <w:adjustRightInd w:val="0"/>
        <w:spacing w:after="0" w:line="240" w:lineRule="auto"/>
        <w:rPr>
          <w:rFonts w:cstheme="minorHAnsi"/>
          <w:bCs/>
        </w:rPr>
      </w:pPr>
      <w:r w:rsidRPr="00A25024">
        <w:rPr>
          <w:rFonts w:cstheme="minorHAnsi"/>
          <w:bCs/>
        </w:rPr>
        <w:br/>
      </w:r>
    </w:p>
    <w:p w14:paraId="0CABCFDF" w14:textId="4EE10219"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3B253E26" w14:textId="47A4C2C3" w:rsidR="00545EB6" w:rsidRPr="007A0B7F" w:rsidRDefault="00545EB6" w:rsidP="00545EB6">
      <w:pPr>
        <w:spacing w:after="0" w:line="240" w:lineRule="auto"/>
        <w:rPr>
          <w:rFonts w:ascii="Calibri" w:eastAsia="Times New Roman" w:hAnsi="Calibri" w:cs="Calibri"/>
          <w:color w:val="3333FF"/>
          <w:u w:val="single"/>
        </w:rPr>
      </w:pPr>
      <w:r w:rsidRPr="007A0B7F">
        <w:rPr>
          <w:rFonts w:ascii="Calibri" w:eastAsia="Times New Roman" w:hAnsi="Calibri" w:cs="Calibri"/>
          <w:color w:val="3333FF"/>
          <w:u w:val="single"/>
        </w:rPr>
        <w:t xml:space="preserve">Construct Validity – </w:t>
      </w:r>
      <w:r w:rsidR="00F10812">
        <w:rPr>
          <w:rFonts w:ascii="Calibri" w:eastAsia="Times New Roman" w:hAnsi="Calibri" w:cs="Calibri"/>
          <w:color w:val="3333FF"/>
          <w:u w:val="single"/>
        </w:rPr>
        <w:t>Health Plan Level</w:t>
      </w:r>
    </w:p>
    <w:p w14:paraId="2FB7B21C" w14:textId="77777777" w:rsidR="007F6928" w:rsidRPr="007A0B7F" w:rsidRDefault="007F6928" w:rsidP="007F6928">
      <w:pPr>
        <w:spacing w:after="0" w:line="240" w:lineRule="auto"/>
        <w:rPr>
          <w:color w:val="3333FF"/>
        </w:rPr>
      </w:pPr>
      <w:bookmarkStart w:id="36" w:name="_Hlk502681013"/>
      <w:r w:rsidRPr="007A0B7F">
        <w:rPr>
          <w:rFonts w:ascii="Calibri" w:eastAsia="Times New Roman" w:hAnsi="Calibri" w:cs="Calibri"/>
          <w:color w:val="3333FF"/>
        </w:rPr>
        <w:t xml:space="preserve">Across all product lines, the correlations are moderate to strong and statistically significant. </w:t>
      </w:r>
      <w:r w:rsidRPr="007A0B7F">
        <w:rPr>
          <w:color w:val="3333FF"/>
        </w:rPr>
        <w:t xml:space="preserve">These results confirmed the hypothesis that the diabetes measures are correlated with each other. Coefficients with absolute value of less than .3 are generally considered indicative of weak associations. Absolute values of .3 to .59 are considered moderate associations, absolute values of .6 to .69 indicate a strong positive relationship, and absolute values of .7 or higher indicate a very strong positive relationship. </w:t>
      </w:r>
      <w:bookmarkStart w:id="37" w:name="_Hlk502681560"/>
      <w:r w:rsidRPr="007A0B7F">
        <w:rPr>
          <w:color w:val="3333FF"/>
        </w:rPr>
        <w:t>These correlation results suggest that at the plan level the measure has sufficient validity.</w:t>
      </w:r>
      <w:bookmarkEnd w:id="37"/>
    </w:p>
    <w:bookmarkEnd w:id="36"/>
    <w:p w14:paraId="3538A621" w14:textId="77777777" w:rsidR="007F6928" w:rsidRPr="007A0B7F" w:rsidRDefault="007F6928" w:rsidP="007F6928">
      <w:pPr>
        <w:spacing w:after="0" w:line="240" w:lineRule="auto"/>
        <w:rPr>
          <w:rFonts w:cstheme="minorHAnsi"/>
          <w:bCs/>
          <w:color w:val="3333FF"/>
        </w:rPr>
      </w:pPr>
    </w:p>
    <w:p w14:paraId="5949FE2D" w14:textId="77777777" w:rsidR="007F6928" w:rsidRPr="007A0B7F" w:rsidRDefault="007F6928" w:rsidP="007F6928">
      <w:pPr>
        <w:spacing w:after="0" w:line="240" w:lineRule="auto"/>
        <w:rPr>
          <w:i/>
          <w:iCs/>
          <w:color w:val="3333FF"/>
        </w:rPr>
      </w:pPr>
      <w:r w:rsidRPr="007A0B7F">
        <w:rPr>
          <w:i/>
          <w:iCs/>
          <w:color w:val="3333FF"/>
        </w:rPr>
        <w:t xml:space="preserve">Note: Correlation values with the HbA1c Poor Control measure are all negative because it is a “lower is better quality” measure, while the other measures are all "higher is better". </w:t>
      </w:r>
    </w:p>
    <w:p w14:paraId="291A5206" w14:textId="4E948F3F" w:rsidR="00545EB6" w:rsidRPr="007A0B7F" w:rsidRDefault="00545EB6" w:rsidP="00DB3627">
      <w:pPr>
        <w:autoSpaceDE w:val="0"/>
        <w:autoSpaceDN w:val="0"/>
        <w:adjustRightInd w:val="0"/>
        <w:spacing w:after="0" w:line="240" w:lineRule="auto"/>
        <w:rPr>
          <w:rFonts w:cstheme="minorHAnsi"/>
          <w:bCs/>
          <w:color w:val="3333FF"/>
        </w:rPr>
      </w:pPr>
    </w:p>
    <w:p w14:paraId="624FE974" w14:textId="77777777" w:rsidR="00897679" w:rsidRPr="007A0B7F" w:rsidRDefault="00897679" w:rsidP="00897679">
      <w:pPr>
        <w:spacing w:after="0" w:line="240" w:lineRule="auto"/>
        <w:rPr>
          <w:rFonts w:cstheme="minorHAnsi"/>
          <w:bCs/>
          <w:color w:val="3333FF"/>
          <w:u w:val="single"/>
        </w:rPr>
      </w:pPr>
      <w:r w:rsidRPr="007A0B7F">
        <w:rPr>
          <w:rFonts w:cstheme="minorHAnsi"/>
          <w:bCs/>
          <w:color w:val="3333FF"/>
          <w:u w:val="single"/>
        </w:rPr>
        <w:t xml:space="preserve">Construct Validity - Physician Level </w:t>
      </w:r>
    </w:p>
    <w:p w14:paraId="3448540E" w14:textId="310F8693" w:rsidR="00897679" w:rsidRPr="007A0B7F" w:rsidRDefault="007D5458" w:rsidP="00DB3627">
      <w:pPr>
        <w:autoSpaceDE w:val="0"/>
        <w:autoSpaceDN w:val="0"/>
        <w:adjustRightInd w:val="0"/>
        <w:spacing w:after="0" w:line="240" w:lineRule="auto"/>
        <w:rPr>
          <w:rFonts w:cstheme="minorHAnsi"/>
          <w:bCs/>
          <w:color w:val="3333FF"/>
        </w:rPr>
      </w:pPr>
      <w:bookmarkStart w:id="38" w:name="_Hlk507768873"/>
      <w:r w:rsidRPr="007A0B7F">
        <w:rPr>
          <w:rFonts w:cstheme="minorHAnsi"/>
          <w:bCs/>
          <w:color w:val="3333FF"/>
        </w:rPr>
        <w:t xml:space="preserve">At the physician level, the </w:t>
      </w:r>
      <w:r w:rsidR="00F10812" w:rsidRPr="00F10812">
        <w:rPr>
          <w:rFonts w:cstheme="minorHAnsi"/>
          <w:bCs/>
          <w:i/>
          <w:color w:val="3333FF"/>
        </w:rPr>
        <w:t>CDC-</w:t>
      </w:r>
      <w:r w:rsidRPr="00F10812">
        <w:rPr>
          <w:rFonts w:cstheme="minorHAnsi"/>
          <w:bCs/>
          <w:i/>
          <w:color w:val="3333FF"/>
        </w:rPr>
        <w:t>Eye Exam</w:t>
      </w:r>
      <w:r w:rsidRPr="007A0B7F">
        <w:rPr>
          <w:rFonts w:cstheme="minorHAnsi"/>
          <w:bCs/>
          <w:color w:val="3333FF"/>
        </w:rPr>
        <w:t xml:space="preserve"> measure has a moderate correlation with the </w:t>
      </w:r>
      <w:r w:rsidRPr="00F10812">
        <w:rPr>
          <w:rFonts w:cstheme="minorHAnsi"/>
          <w:bCs/>
          <w:i/>
          <w:color w:val="3333FF"/>
        </w:rPr>
        <w:t>Blood Pressure Control</w:t>
      </w:r>
      <w:r w:rsidRPr="007A0B7F">
        <w:rPr>
          <w:rFonts w:cstheme="minorHAnsi"/>
          <w:bCs/>
          <w:color w:val="3333FF"/>
        </w:rPr>
        <w:t xml:space="preserve"> and </w:t>
      </w:r>
      <w:r w:rsidRPr="00F10812">
        <w:rPr>
          <w:rFonts w:cstheme="minorHAnsi"/>
          <w:bCs/>
          <w:i/>
          <w:color w:val="3333FF"/>
        </w:rPr>
        <w:t>Foot Exam</w:t>
      </w:r>
      <w:r w:rsidRPr="007A0B7F">
        <w:rPr>
          <w:rFonts w:cstheme="minorHAnsi"/>
          <w:bCs/>
          <w:color w:val="3333FF"/>
        </w:rPr>
        <w:t xml:space="preserve"> measures in the Diabetes Recognition Program. The correlation between the </w:t>
      </w:r>
      <w:r w:rsidRPr="00F10812">
        <w:rPr>
          <w:rFonts w:cstheme="minorHAnsi"/>
          <w:bCs/>
          <w:i/>
          <w:color w:val="3333FF"/>
        </w:rPr>
        <w:t>Eye Exam</w:t>
      </w:r>
      <w:r w:rsidRPr="007A0B7F">
        <w:rPr>
          <w:rFonts w:cstheme="minorHAnsi"/>
          <w:bCs/>
          <w:color w:val="3333FF"/>
        </w:rPr>
        <w:t xml:space="preserve"> measure and the </w:t>
      </w:r>
      <w:r w:rsidRPr="00F10812">
        <w:rPr>
          <w:rFonts w:cstheme="minorHAnsi"/>
          <w:bCs/>
          <w:i/>
          <w:color w:val="3333FF"/>
        </w:rPr>
        <w:t>Medical Attention to Nephropathy</w:t>
      </w:r>
      <w:r w:rsidRPr="007A0B7F">
        <w:rPr>
          <w:rFonts w:cstheme="minorHAnsi"/>
          <w:bCs/>
          <w:color w:val="3333FF"/>
        </w:rPr>
        <w:t xml:space="preserve"> measure is lower and indicates a slightly weak</w:t>
      </w:r>
      <w:r w:rsidR="00AD32D3">
        <w:rPr>
          <w:rFonts w:cstheme="minorHAnsi"/>
          <w:bCs/>
          <w:color w:val="3333FF"/>
        </w:rPr>
        <w:t>er</w:t>
      </w:r>
      <w:r w:rsidRPr="007A0B7F">
        <w:rPr>
          <w:rFonts w:cstheme="minorHAnsi"/>
          <w:bCs/>
          <w:color w:val="3333FF"/>
        </w:rPr>
        <w:t xml:space="preserve"> association.</w:t>
      </w:r>
      <w:r w:rsidR="00C11C76" w:rsidRPr="007A0B7F">
        <w:rPr>
          <w:rFonts w:cstheme="minorHAnsi"/>
          <w:bCs/>
          <w:color w:val="3333FF"/>
        </w:rPr>
        <w:t xml:space="preserve"> Overall these correlation results suggest that the physician level measure has sufficient validity.</w:t>
      </w:r>
    </w:p>
    <w:bookmarkEnd w:id="38"/>
    <w:p w14:paraId="69A5E815" w14:textId="77777777" w:rsidR="006E7F87" w:rsidRPr="007A0B7F" w:rsidRDefault="006E7F87" w:rsidP="00DB3627">
      <w:pPr>
        <w:autoSpaceDE w:val="0"/>
        <w:autoSpaceDN w:val="0"/>
        <w:adjustRightInd w:val="0"/>
        <w:spacing w:after="0" w:line="240" w:lineRule="auto"/>
        <w:rPr>
          <w:rFonts w:cstheme="minorHAnsi"/>
          <w:bCs/>
          <w:color w:val="3333FF"/>
        </w:rPr>
      </w:pPr>
    </w:p>
    <w:p w14:paraId="14D5C998" w14:textId="5FB3BAD3" w:rsidR="00897679" w:rsidRPr="007A0B7F" w:rsidRDefault="00897679" w:rsidP="00897679">
      <w:pPr>
        <w:autoSpaceDE w:val="0"/>
        <w:autoSpaceDN w:val="0"/>
        <w:adjustRightInd w:val="0"/>
        <w:spacing w:after="0" w:line="240" w:lineRule="auto"/>
        <w:rPr>
          <w:rFonts w:cstheme="minorHAnsi"/>
          <w:bCs/>
          <w:color w:val="3333FF"/>
        </w:rPr>
      </w:pPr>
      <w:bookmarkStart w:id="39" w:name="_Hlk507760082"/>
      <w:r w:rsidRPr="007A0B7F">
        <w:rPr>
          <w:rFonts w:cstheme="minorHAnsi"/>
          <w:bCs/>
          <w:color w:val="3333FF"/>
          <w:u w:val="single"/>
        </w:rPr>
        <w:t>Face Validity</w:t>
      </w:r>
      <w:r w:rsidR="004879B4" w:rsidRPr="007A0B7F">
        <w:rPr>
          <w:rFonts w:cstheme="minorHAnsi"/>
          <w:bCs/>
          <w:color w:val="3333FF"/>
          <w:u w:val="single"/>
        </w:rPr>
        <w:t xml:space="preserve"> – Health Plan</w:t>
      </w:r>
      <w:r w:rsidR="00F10812">
        <w:rPr>
          <w:rFonts w:cstheme="minorHAnsi"/>
          <w:bCs/>
          <w:color w:val="3333FF"/>
          <w:u w:val="single"/>
        </w:rPr>
        <w:t xml:space="preserve"> Level</w:t>
      </w:r>
    </w:p>
    <w:p w14:paraId="1031939A" w14:textId="33E217C1" w:rsidR="00897679" w:rsidRPr="007A0B7F" w:rsidRDefault="004879B4" w:rsidP="00DB3627">
      <w:pPr>
        <w:autoSpaceDE w:val="0"/>
        <w:autoSpaceDN w:val="0"/>
        <w:adjustRightInd w:val="0"/>
        <w:spacing w:after="0" w:line="240" w:lineRule="auto"/>
        <w:rPr>
          <w:rFonts w:cstheme="minorHAnsi"/>
          <w:bCs/>
          <w:color w:val="3333FF"/>
        </w:rPr>
      </w:pPr>
      <w:r w:rsidRPr="007A0B7F">
        <w:rPr>
          <w:rFonts w:cstheme="minorHAnsi"/>
          <w:bCs/>
          <w:color w:val="3333FF"/>
        </w:rPr>
        <w:t xml:space="preserve">NCQA’s expert panels, our measurement advisory panels and our Committee on Performance Measurement agreed that the </w:t>
      </w:r>
      <w:r w:rsidRPr="007A0B7F">
        <w:rPr>
          <w:rFonts w:cstheme="minorHAnsi"/>
          <w:bCs/>
          <w:i/>
          <w:color w:val="3333FF"/>
        </w:rPr>
        <w:t>CDC – Eye Exams</w:t>
      </w:r>
      <w:r w:rsidRPr="007A0B7F">
        <w:rPr>
          <w:rFonts w:cstheme="minorHAnsi"/>
          <w:bCs/>
          <w:color w:val="3333FF"/>
        </w:rPr>
        <w:t xml:space="preserve"> measure is measuring what it intends to measure. The results of the measurement allow users to make the correct conclusions about the quality of care that is provided and will accurately differentiate quality across health plans.</w:t>
      </w:r>
    </w:p>
    <w:p w14:paraId="03B605C2" w14:textId="7308D7FB" w:rsidR="004879B4" w:rsidRPr="007A0B7F" w:rsidRDefault="004879B4" w:rsidP="00DB3627">
      <w:pPr>
        <w:autoSpaceDE w:val="0"/>
        <w:autoSpaceDN w:val="0"/>
        <w:adjustRightInd w:val="0"/>
        <w:spacing w:after="0" w:line="240" w:lineRule="auto"/>
        <w:rPr>
          <w:rFonts w:cstheme="minorHAnsi"/>
          <w:bCs/>
          <w:color w:val="3333FF"/>
        </w:rPr>
      </w:pPr>
    </w:p>
    <w:p w14:paraId="3552BDC8" w14:textId="368B5AAE" w:rsidR="004879B4" w:rsidRPr="007A0B7F" w:rsidRDefault="004879B4" w:rsidP="00DB3627">
      <w:pPr>
        <w:autoSpaceDE w:val="0"/>
        <w:autoSpaceDN w:val="0"/>
        <w:adjustRightInd w:val="0"/>
        <w:spacing w:after="0" w:line="240" w:lineRule="auto"/>
        <w:rPr>
          <w:rFonts w:cstheme="minorHAnsi"/>
          <w:bCs/>
          <w:color w:val="3333FF"/>
          <w:u w:val="single"/>
        </w:rPr>
      </w:pPr>
      <w:bookmarkStart w:id="40" w:name="_Hlk507769019"/>
      <w:r w:rsidRPr="007A0B7F">
        <w:rPr>
          <w:rFonts w:cstheme="minorHAnsi"/>
          <w:bCs/>
          <w:color w:val="3333FF"/>
          <w:u w:val="single"/>
        </w:rPr>
        <w:t>Face Validity – Physician Level</w:t>
      </w:r>
    </w:p>
    <w:p w14:paraId="1B229BAE" w14:textId="2E84FD35" w:rsidR="004879B4" w:rsidRPr="007A0B7F" w:rsidRDefault="006F01F9" w:rsidP="00DB3627">
      <w:pPr>
        <w:autoSpaceDE w:val="0"/>
        <w:autoSpaceDN w:val="0"/>
        <w:adjustRightInd w:val="0"/>
        <w:spacing w:after="0" w:line="240" w:lineRule="auto"/>
        <w:rPr>
          <w:rFonts w:cstheme="minorHAnsi"/>
          <w:bCs/>
          <w:color w:val="3333FF"/>
        </w:rPr>
      </w:pPr>
      <w:r>
        <w:rPr>
          <w:rFonts w:cstheme="minorHAnsi"/>
          <w:bCs/>
          <w:color w:val="3333FF"/>
        </w:rPr>
        <w:t>The</w:t>
      </w:r>
      <w:r w:rsidR="004879B4" w:rsidRPr="007A0B7F">
        <w:rPr>
          <w:rFonts w:cstheme="minorHAnsi"/>
          <w:bCs/>
          <w:color w:val="3333FF"/>
        </w:rPr>
        <w:t xml:space="preserve"> results indicate that the multiple experts</w:t>
      </w:r>
      <w:r w:rsidR="00E25E41">
        <w:rPr>
          <w:rFonts w:cstheme="minorHAnsi"/>
          <w:bCs/>
          <w:color w:val="3333FF"/>
        </w:rPr>
        <w:t>,</w:t>
      </w:r>
      <w:r w:rsidR="004879B4" w:rsidRPr="007A0B7F">
        <w:rPr>
          <w:rFonts w:cstheme="minorHAnsi"/>
          <w:bCs/>
          <w:color w:val="3333FF"/>
        </w:rPr>
        <w:t xml:space="preserve"> stakeholders </w:t>
      </w:r>
      <w:r w:rsidR="00E25E41">
        <w:rPr>
          <w:rFonts w:cstheme="minorHAnsi"/>
          <w:bCs/>
          <w:color w:val="3333FF"/>
        </w:rPr>
        <w:t xml:space="preserve">and </w:t>
      </w:r>
      <w:r w:rsidR="0054554D">
        <w:rPr>
          <w:rFonts w:cstheme="minorHAnsi"/>
          <w:bCs/>
          <w:color w:val="3333FF"/>
        </w:rPr>
        <w:t xml:space="preserve">NCQA’s Clinical Programs Committee </w:t>
      </w:r>
      <w:r w:rsidR="004879B4" w:rsidRPr="007A0B7F">
        <w:rPr>
          <w:rFonts w:cstheme="minorHAnsi"/>
          <w:bCs/>
          <w:color w:val="3333FF"/>
        </w:rPr>
        <w:t>concluded with good agreement that the measure as specified is measuring what it intends to measure and that the results of the measurement allow users to make the correct conclusions about the quality of care that is provided and will accurately differentiate quality across providers.</w:t>
      </w:r>
    </w:p>
    <w:bookmarkEnd w:id="39"/>
    <w:p w14:paraId="4326A44D" w14:textId="4788CE22" w:rsidR="004879B4" w:rsidRPr="004879B4" w:rsidRDefault="004879B4" w:rsidP="00DB3627">
      <w:pPr>
        <w:autoSpaceDE w:val="0"/>
        <w:autoSpaceDN w:val="0"/>
        <w:adjustRightInd w:val="0"/>
        <w:spacing w:after="0" w:line="240" w:lineRule="auto"/>
        <w:rPr>
          <w:rFonts w:cstheme="minorHAnsi"/>
          <w:bCs/>
          <w:color w:val="0000CC"/>
        </w:rPr>
      </w:pPr>
    </w:p>
    <w:bookmarkEnd w:id="40"/>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38F68FAC"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lastRenderedPageBreak/>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CABCFE5" w14:textId="2A259B3F" w:rsidR="00833325" w:rsidRPr="00897679" w:rsidRDefault="00897679" w:rsidP="00DB3627">
      <w:pPr>
        <w:autoSpaceDE w:val="0"/>
        <w:autoSpaceDN w:val="0"/>
        <w:adjustRightInd w:val="0"/>
        <w:spacing w:after="0" w:line="240" w:lineRule="auto"/>
        <w:rPr>
          <w:rFonts w:cstheme="minorHAnsi"/>
          <w:bCs/>
          <w:color w:val="0000CC"/>
        </w:rPr>
      </w:pPr>
      <w:bookmarkStart w:id="41" w:name="_Hlk507769143"/>
      <w:r w:rsidRPr="0071665E">
        <w:rPr>
          <w:rFonts w:cstheme="minorHAnsi"/>
          <w:bCs/>
          <w:color w:val="0000CC"/>
        </w:rPr>
        <w:t>Testing was not performed for the excluded sample</w:t>
      </w:r>
      <w:r>
        <w:rPr>
          <w:rFonts w:cstheme="minorHAnsi"/>
          <w:bCs/>
          <w:color w:val="0000CC"/>
        </w:rPr>
        <w:t>.</w:t>
      </w:r>
    </w:p>
    <w:bookmarkEnd w:id="41"/>
    <w:p w14:paraId="1937E1E2" w14:textId="77777777" w:rsidR="00897679" w:rsidRPr="00A25024" w:rsidRDefault="00897679" w:rsidP="00DB3627">
      <w:pPr>
        <w:autoSpaceDE w:val="0"/>
        <w:autoSpaceDN w:val="0"/>
        <w:adjustRightInd w:val="0"/>
        <w:spacing w:after="0" w:line="240" w:lineRule="auto"/>
        <w:rPr>
          <w:rFonts w:cstheme="minorHAnsi"/>
          <w:bCs/>
        </w:rPr>
      </w:pPr>
    </w:p>
    <w:p w14:paraId="0CABCFE6" w14:textId="5341DE29"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14F3ACA9" w14:textId="77777777" w:rsidR="00897679" w:rsidRPr="0071665E" w:rsidRDefault="00897679" w:rsidP="00897679">
      <w:pPr>
        <w:autoSpaceDE w:val="0"/>
        <w:autoSpaceDN w:val="0"/>
        <w:adjustRightInd w:val="0"/>
        <w:spacing w:after="0" w:line="240" w:lineRule="auto"/>
        <w:rPr>
          <w:rFonts w:cstheme="minorHAnsi"/>
          <w:bCs/>
          <w:color w:val="0000CC"/>
        </w:rPr>
      </w:pPr>
      <w:r w:rsidRPr="0071665E">
        <w:rPr>
          <w:rFonts w:cstheme="minorHAnsi"/>
          <w:bCs/>
          <w:color w:val="0000CC"/>
        </w:rPr>
        <w:t>Testing was not performed for the excluded sample</w:t>
      </w:r>
      <w:r>
        <w:rPr>
          <w:rFonts w:cstheme="minorHAnsi"/>
          <w:bCs/>
          <w:color w:val="0000CC"/>
        </w:rPr>
        <w:t>.</w:t>
      </w:r>
    </w:p>
    <w:p w14:paraId="20F49A8C" w14:textId="77777777" w:rsidR="00897679" w:rsidRDefault="00897679"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14DDCD72" w14:textId="77777777" w:rsidR="00897679" w:rsidRDefault="00092566" w:rsidP="00897679">
      <w:pPr>
        <w:autoSpaceDE w:val="0"/>
        <w:autoSpaceDN w:val="0"/>
        <w:adjustRightInd w:val="0"/>
        <w:spacing w:after="0" w:line="240" w:lineRule="auto"/>
        <w:rPr>
          <w:rFonts w:cstheme="minorHAnsi"/>
          <w:bCs/>
          <w:color w:val="0000CC"/>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CABCFE8" w14:textId="589C0768" w:rsidR="007422FD" w:rsidRPr="00897679" w:rsidRDefault="00897679" w:rsidP="00DB3627">
      <w:pPr>
        <w:autoSpaceDE w:val="0"/>
        <w:autoSpaceDN w:val="0"/>
        <w:adjustRightInd w:val="0"/>
        <w:spacing w:after="0" w:line="240" w:lineRule="auto"/>
        <w:rPr>
          <w:rFonts w:cstheme="minorHAnsi"/>
          <w:bCs/>
          <w:color w:val="0000CC"/>
        </w:rPr>
      </w:pPr>
      <w:r w:rsidRPr="0071665E">
        <w:rPr>
          <w:rFonts w:cstheme="minorHAnsi"/>
          <w:bCs/>
          <w:color w:val="0000CC"/>
        </w:rPr>
        <w:t>Testing was not performed for the excluded sample</w:t>
      </w:r>
      <w:r>
        <w:rPr>
          <w:rFonts w:cstheme="minorHAnsi"/>
          <w:bCs/>
          <w:color w:val="0000CC"/>
        </w:rPr>
        <w:t>.</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42" w:name="section2b4"/>
      <w:bookmarkEnd w:id="4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0BC5EAC0" w:rsidR="00033038" w:rsidRPr="005232D6" w:rsidRDefault="00A707DD"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897679">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A707DD"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A707DD"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A707DD"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04600A3B" w:rsidR="00AF2D68" w:rsidRPr="00897679" w:rsidRDefault="00897679" w:rsidP="009D3882">
      <w:pPr>
        <w:rPr>
          <w:rFonts w:cs="Calibri"/>
          <w:bCs/>
          <w:color w:val="0000CC"/>
        </w:rPr>
      </w:pPr>
      <w:bookmarkStart w:id="43" w:name="_Hlk507769190"/>
      <w:r w:rsidRPr="00DE1956">
        <w:rPr>
          <w:rFonts w:cs="Calibri"/>
          <w:bCs/>
          <w:color w:val="0000CC"/>
        </w:rPr>
        <w:t>N/A</w:t>
      </w:r>
      <w:bookmarkEnd w:id="43"/>
    </w:p>
    <w:p w14:paraId="0CABCFF4" w14:textId="78F38FA9"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4879B4">
        <w:rPr>
          <w:rFonts w:cstheme="minorHAnsi"/>
          <w:bCs/>
          <w:color w:val="0000CC"/>
        </w:rPr>
        <w:t>N/A</w:t>
      </w:r>
      <w:r w:rsidR="00897679" w:rsidRPr="007A7D51">
        <w:rPr>
          <w:rFonts w:cstheme="minorHAnsi"/>
          <w:bCs/>
          <w:color w:val="0000CC"/>
        </w:rPr>
        <w:t xml:space="preserve">  </w:t>
      </w:r>
    </w:p>
    <w:p w14:paraId="651AD649" w14:textId="77777777" w:rsidR="00897679" w:rsidRPr="007A7D51" w:rsidRDefault="009C7513" w:rsidP="00897679">
      <w:pPr>
        <w:rPr>
          <w:rFonts w:cstheme="minorHAnsi"/>
          <w:bCs/>
          <w:color w:val="0000CC"/>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897679" w:rsidRPr="007A7D51">
        <w:rPr>
          <w:rFonts w:cstheme="minorHAnsi"/>
          <w:bCs/>
          <w:color w:val="0000CC"/>
        </w:rPr>
        <w:t>N/A</w:t>
      </w:r>
    </w:p>
    <w:p w14:paraId="0CABCFF6" w14:textId="6B194552"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A707D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A707D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A707D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1F326309" w14:textId="7CE2DB9C" w:rsidR="00897679" w:rsidRPr="007A7D51" w:rsidRDefault="009C7513" w:rsidP="00897679">
      <w:pPr>
        <w:rPr>
          <w:rFonts w:cstheme="minorHAnsi"/>
          <w:bCs/>
          <w:color w:val="0000CC"/>
          <w:sz w:val="4"/>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897679" w:rsidRPr="007A7D51">
        <w:rPr>
          <w:rFonts w:cstheme="minorHAnsi"/>
          <w:bCs/>
          <w:color w:val="0000CC"/>
        </w:rPr>
        <w:t>N/A</w:t>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A0A0A64" w14:textId="55AD9EEE" w:rsidR="00897679" w:rsidRPr="007A7D51" w:rsidRDefault="00897679" w:rsidP="00897679">
      <w:pPr>
        <w:rPr>
          <w:rFonts w:cstheme="minorHAnsi"/>
          <w:bCs/>
          <w:color w:val="0000CC"/>
          <w:sz w:val="4"/>
        </w:rPr>
      </w:pPr>
      <w:r w:rsidRPr="007A7D51">
        <w:rPr>
          <w:rFonts w:cstheme="minorHAnsi"/>
          <w:bCs/>
          <w:color w:val="0000CC"/>
        </w:rPr>
        <w:t>N/A</w:t>
      </w:r>
    </w:p>
    <w:p w14:paraId="2BF57326" w14:textId="43C2ED85" w:rsidR="00897679" w:rsidRPr="007A7D51" w:rsidRDefault="009C7513" w:rsidP="00897679">
      <w:pPr>
        <w:rPr>
          <w:rFonts w:cstheme="minorHAnsi"/>
          <w:bCs/>
          <w:color w:val="0000CC"/>
          <w:sz w:val="4"/>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897679" w:rsidRPr="007A7D51">
        <w:rPr>
          <w:rFonts w:cstheme="minorHAnsi"/>
          <w:bCs/>
          <w:color w:val="0000CC"/>
        </w:rPr>
        <w:t>N/A</w:t>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44" w:name="question2b49"/>
      <w:bookmarkEnd w:id="44"/>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5453622D" w14:textId="4551C121" w:rsidR="00C471A6" w:rsidRDefault="00C471A6"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45" w:name="section2b5"/>
      <w:bookmarkEnd w:id="45"/>
      <w:r>
        <w:rPr>
          <w:rFonts w:cstheme="minorHAnsi"/>
          <w:b/>
          <w:bCs/>
        </w:rPr>
        <w:t>2b4</w:t>
      </w:r>
      <w:r w:rsidR="00D61410" w:rsidRPr="00A25024">
        <w:rPr>
          <w:rFonts w:cstheme="minorHAnsi"/>
          <w:b/>
          <w:bCs/>
        </w:rPr>
        <w:t>. IDENTIFICATION OF STATISTICALLY SIGNIFICANT &amp; MEANINGFUL DIFFERENCES IN PERFORMANCE</w:t>
      </w:r>
    </w:p>
    <w:p w14:paraId="2E053EDD" w14:textId="77777777" w:rsidR="00C471A6"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1E4F38CF" w14:textId="77777777" w:rsidR="00C471A6" w:rsidRPr="007A7D51" w:rsidRDefault="00C471A6" w:rsidP="00C471A6">
      <w:pPr>
        <w:autoSpaceDE w:val="0"/>
        <w:autoSpaceDN w:val="0"/>
        <w:adjustRightInd w:val="0"/>
        <w:spacing w:after="0" w:line="240" w:lineRule="auto"/>
        <w:rPr>
          <w:rFonts w:cstheme="minorHAnsi"/>
          <w:bCs/>
          <w:color w:val="0000CC"/>
        </w:rPr>
      </w:pPr>
      <w:bookmarkStart w:id="46" w:name="_Hlk507769238"/>
      <w:r w:rsidRPr="007A7D51">
        <w:rPr>
          <w:rFonts w:cstheme="minorHAnsi"/>
          <w:bCs/>
          <w:color w:val="0000CC"/>
        </w:rPr>
        <w:t xml:space="preserve">To demonstrate meaningful differences in performance, NCQA calculates an inter-quartile range (IQR) for each measure. The IQR provides a measure of the dispersion of performance. The IQR can be interpreted as the difference between the 25th and 75th percentile on a measure. </w:t>
      </w:r>
    </w:p>
    <w:p w14:paraId="60432654" w14:textId="77777777" w:rsidR="00C471A6" w:rsidRPr="007A7D51" w:rsidRDefault="00C471A6" w:rsidP="00C471A6">
      <w:pPr>
        <w:autoSpaceDE w:val="0"/>
        <w:autoSpaceDN w:val="0"/>
        <w:adjustRightInd w:val="0"/>
        <w:spacing w:after="0" w:line="240" w:lineRule="auto"/>
        <w:rPr>
          <w:rFonts w:cstheme="minorHAnsi"/>
          <w:bCs/>
          <w:color w:val="0000CC"/>
        </w:rPr>
      </w:pPr>
    </w:p>
    <w:p w14:paraId="0B224926" w14:textId="77777777" w:rsidR="00C471A6" w:rsidRPr="007A7D51" w:rsidRDefault="00C471A6" w:rsidP="00C471A6">
      <w:pPr>
        <w:autoSpaceDE w:val="0"/>
        <w:autoSpaceDN w:val="0"/>
        <w:adjustRightInd w:val="0"/>
        <w:spacing w:after="0" w:line="240" w:lineRule="auto"/>
        <w:rPr>
          <w:rFonts w:cstheme="minorHAnsi"/>
          <w:bCs/>
          <w:color w:val="0000CC"/>
        </w:rPr>
      </w:pPr>
      <w:r w:rsidRPr="007A7D51">
        <w:rPr>
          <w:rFonts w:cstheme="minorHAnsi"/>
          <w:bCs/>
          <w:color w:val="0000CC"/>
        </w:rPr>
        <w:t>To determine if this difference is statistically significant, NCQA calculates an independent sample t-test of the performance difference between two randomly selected plans at the 25</w:t>
      </w:r>
      <w:r w:rsidRPr="007A7D51">
        <w:rPr>
          <w:rFonts w:cstheme="minorHAnsi"/>
          <w:bCs/>
          <w:color w:val="0000CC"/>
          <w:vertAlign w:val="superscript"/>
        </w:rPr>
        <w:t>th</w:t>
      </w:r>
      <w:r w:rsidRPr="007A7D51">
        <w:rPr>
          <w:rFonts w:cstheme="minorHAnsi"/>
          <w:bCs/>
          <w:color w:val="0000CC"/>
        </w:rPr>
        <w:t xml:space="preserve"> and 75</w:t>
      </w:r>
      <w:r w:rsidRPr="007A7D51">
        <w:rPr>
          <w:rFonts w:cstheme="minorHAnsi"/>
          <w:bCs/>
          <w:color w:val="0000CC"/>
          <w:vertAlign w:val="superscript"/>
        </w:rPr>
        <w:t>th</w:t>
      </w:r>
      <w:r w:rsidRPr="007A7D51">
        <w:rPr>
          <w:rFonts w:cstheme="minorHAnsi"/>
          <w:bCs/>
          <w:color w:val="0000CC"/>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bookmarkEnd w:id="46"/>
    <w:p w14:paraId="0CABD009" w14:textId="4AD3C0EB"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t xml:space="preserve"> </w:t>
      </w: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1ADF66E4" w14:textId="46A5A2B2" w:rsidR="002C1815" w:rsidRPr="002C1815" w:rsidRDefault="00090D1E" w:rsidP="002C1815">
      <w:pPr>
        <w:autoSpaceDE w:val="0"/>
        <w:autoSpaceDN w:val="0"/>
        <w:adjustRightInd w:val="0"/>
        <w:spacing w:after="0" w:line="240" w:lineRule="auto"/>
        <w:rPr>
          <w:rFonts w:cstheme="minorHAnsi"/>
          <w:bCs/>
          <w:color w:val="0000CC"/>
        </w:rPr>
      </w:pPr>
      <w:r w:rsidRPr="00AF0F1A">
        <w:rPr>
          <w:rFonts w:cstheme="minorHAnsi"/>
          <w:bCs/>
          <w:color w:val="0000CC"/>
        </w:rPr>
        <w:t>Health Plan Level</w:t>
      </w:r>
      <w:r w:rsidR="001B07BF">
        <w:rPr>
          <w:rFonts w:cstheme="minorHAnsi"/>
          <w:bCs/>
          <w:color w:val="0000CC"/>
        </w:rPr>
        <w:t xml:space="preserve"> - 201</w:t>
      </w:r>
      <w:r w:rsidR="002C1815">
        <w:rPr>
          <w:rFonts w:cstheme="minorHAnsi"/>
          <w:bCs/>
          <w:color w:val="0000CC"/>
        </w:rPr>
        <w:t>2</w:t>
      </w:r>
    </w:p>
    <w:tbl>
      <w:tblPr>
        <w:tblW w:w="9625" w:type="dxa"/>
        <w:jc w:val="center"/>
        <w:tblLook w:val="04A0" w:firstRow="1" w:lastRow="0" w:firstColumn="1" w:lastColumn="0" w:noHBand="0" w:noVBand="1"/>
      </w:tblPr>
      <w:tblGrid>
        <w:gridCol w:w="1287"/>
        <w:gridCol w:w="551"/>
        <w:gridCol w:w="944"/>
        <w:gridCol w:w="927"/>
        <w:gridCol w:w="751"/>
        <w:gridCol w:w="751"/>
        <w:gridCol w:w="751"/>
        <w:gridCol w:w="751"/>
        <w:gridCol w:w="751"/>
        <w:gridCol w:w="751"/>
        <w:gridCol w:w="1410"/>
      </w:tblGrid>
      <w:tr w:rsidR="002C1815" w:rsidRPr="003E1A42" w14:paraId="330A11BC" w14:textId="77777777" w:rsidTr="007F6928">
        <w:trPr>
          <w:trHeight w:val="300"/>
          <w:jc w:val="center"/>
        </w:trPr>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AF9CB"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Product Type</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14:paraId="13CDA6BB"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N</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14:paraId="5382206F"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Mean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14:paraId="42232D9F"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St Dev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5A9A0ACC"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P10th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629D0C60"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P25th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3DF097AA"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P50th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51F737F6"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P75th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142AC517"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P90th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47D7CC56"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IQR (%)</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3CC6D5EF" w14:textId="77777777" w:rsidR="002C1815" w:rsidRPr="003E1A42" w:rsidRDefault="002C1815" w:rsidP="007F6928">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 value</w:t>
            </w:r>
          </w:p>
        </w:tc>
      </w:tr>
      <w:tr w:rsidR="002C1815" w:rsidRPr="003E1A42" w14:paraId="7FD87567" w14:textId="77777777" w:rsidTr="007F6928">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24571FF5" w14:textId="77777777" w:rsidR="002C1815" w:rsidRPr="003E1A42" w:rsidRDefault="002C1815" w:rsidP="007F6928">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3D71B87F"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218</w:t>
            </w:r>
          </w:p>
        </w:tc>
        <w:tc>
          <w:tcPr>
            <w:tcW w:w="944" w:type="dxa"/>
            <w:tcBorders>
              <w:top w:val="nil"/>
              <w:left w:val="nil"/>
              <w:bottom w:val="single" w:sz="4" w:space="0" w:color="auto"/>
              <w:right w:val="single" w:sz="4" w:space="0" w:color="auto"/>
            </w:tcBorders>
            <w:shd w:val="clear" w:color="auto" w:fill="auto"/>
            <w:noWrap/>
            <w:vAlign w:val="center"/>
          </w:tcPr>
          <w:p w14:paraId="4EBFA658"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56.82</w:t>
            </w:r>
          </w:p>
        </w:tc>
        <w:tc>
          <w:tcPr>
            <w:tcW w:w="927" w:type="dxa"/>
            <w:tcBorders>
              <w:top w:val="nil"/>
              <w:left w:val="nil"/>
              <w:bottom w:val="single" w:sz="4" w:space="0" w:color="auto"/>
              <w:right w:val="single" w:sz="4" w:space="0" w:color="auto"/>
            </w:tcBorders>
            <w:shd w:val="clear" w:color="auto" w:fill="auto"/>
            <w:noWrap/>
            <w:vAlign w:val="center"/>
          </w:tcPr>
          <w:p w14:paraId="295D5F61"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13.83</w:t>
            </w:r>
          </w:p>
        </w:tc>
        <w:tc>
          <w:tcPr>
            <w:tcW w:w="751" w:type="dxa"/>
            <w:tcBorders>
              <w:top w:val="nil"/>
              <w:left w:val="nil"/>
              <w:bottom w:val="single" w:sz="4" w:space="0" w:color="auto"/>
              <w:right w:val="single" w:sz="4" w:space="0" w:color="auto"/>
            </w:tcBorders>
            <w:shd w:val="clear" w:color="auto" w:fill="auto"/>
            <w:noWrap/>
            <w:vAlign w:val="center"/>
          </w:tcPr>
          <w:p w14:paraId="7E20C4CE"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38.44</w:t>
            </w:r>
          </w:p>
        </w:tc>
        <w:tc>
          <w:tcPr>
            <w:tcW w:w="751" w:type="dxa"/>
            <w:tcBorders>
              <w:top w:val="nil"/>
              <w:left w:val="nil"/>
              <w:bottom w:val="single" w:sz="4" w:space="0" w:color="auto"/>
              <w:right w:val="single" w:sz="4" w:space="0" w:color="auto"/>
            </w:tcBorders>
            <w:shd w:val="clear" w:color="auto" w:fill="auto"/>
            <w:noWrap/>
            <w:vAlign w:val="center"/>
          </w:tcPr>
          <w:p w14:paraId="4A2B185C"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47.69</w:t>
            </w:r>
          </w:p>
        </w:tc>
        <w:tc>
          <w:tcPr>
            <w:tcW w:w="751" w:type="dxa"/>
            <w:tcBorders>
              <w:top w:val="nil"/>
              <w:left w:val="nil"/>
              <w:bottom w:val="single" w:sz="4" w:space="0" w:color="auto"/>
              <w:right w:val="single" w:sz="4" w:space="0" w:color="auto"/>
            </w:tcBorders>
            <w:shd w:val="clear" w:color="auto" w:fill="auto"/>
            <w:noWrap/>
            <w:vAlign w:val="center"/>
          </w:tcPr>
          <w:p w14:paraId="72524F4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57.58</w:t>
            </w:r>
          </w:p>
        </w:tc>
        <w:tc>
          <w:tcPr>
            <w:tcW w:w="751" w:type="dxa"/>
            <w:tcBorders>
              <w:top w:val="nil"/>
              <w:left w:val="nil"/>
              <w:bottom w:val="single" w:sz="4" w:space="0" w:color="auto"/>
              <w:right w:val="single" w:sz="4" w:space="0" w:color="auto"/>
            </w:tcBorders>
            <w:shd w:val="clear" w:color="auto" w:fill="auto"/>
            <w:noWrap/>
            <w:vAlign w:val="center"/>
          </w:tcPr>
          <w:p w14:paraId="5AB7FFB4"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66.83</w:t>
            </w:r>
          </w:p>
        </w:tc>
        <w:tc>
          <w:tcPr>
            <w:tcW w:w="751" w:type="dxa"/>
            <w:tcBorders>
              <w:top w:val="nil"/>
              <w:left w:val="nil"/>
              <w:bottom w:val="single" w:sz="4" w:space="0" w:color="auto"/>
              <w:right w:val="single" w:sz="4" w:space="0" w:color="auto"/>
            </w:tcBorders>
            <w:shd w:val="clear" w:color="auto" w:fill="auto"/>
            <w:noWrap/>
            <w:vAlign w:val="center"/>
          </w:tcPr>
          <w:p w14:paraId="5FD97D1F"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75.13</w:t>
            </w:r>
          </w:p>
        </w:tc>
        <w:tc>
          <w:tcPr>
            <w:tcW w:w="751" w:type="dxa"/>
            <w:tcBorders>
              <w:top w:val="nil"/>
              <w:left w:val="nil"/>
              <w:bottom w:val="single" w:sz="4" w:space="0" w:color="auto"/>
              <w:right w:val="single" w:sz="4" w:space="0" w:color="auto"/>
            </w:tcBorders>
            <w:shd w:val="clear" w:color="auto" w:fill="auto"/>
            <w:noWrap/>
            <w:vAlign w:val="center"/>
          </w:tcPr>
          <w:p w14:paraId="35A1FB3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19.14</w:t>
            </w:r>
          </w:p>
        </w:tc>
        <w:tc>
          <w:tcPr>
            <w:tcW w:w="1410" w:type="dxa"/>
            <w:tcBorders>
              <w:top w:val="nil"/>
              <w:left w:val="nil"/>
              <w:bottom w:val="single" w:sz="4" w:space="0" w:color="auto"/>
              <w:right w:val="single" w:sz="4" w:space="0" w:color="auto"/>
            </w:tcBorders>
            <w:shd w:val="clear" w:color="auto" w:fill="auto"/>
            <w:noWrap/>
            <w:vAlign w:val="center"/>
          </w:tcPr>
          <w:p w14:paraId="222EFE24" w14:textId="2D1EBDE5"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2C1815" w:rsidRPr="003E1A42" w14:paraId="23534ECC" w14:textId="77777777" w:rsidTr="007F6928">
        <w:trPr>
          <w:trHeight w:val="300"/>
          <w:jc w:val="center"/>
        </w:trPr>
        <w:tc>
          <w:tcPr>
            <w:tcW w:w="1287" w:type="dxa"/>
            <w:tcBorders>
              <w:top w:val="nil"/>
              <w:left w:val="single" w:sz="4" w:space="0" w:color="auto"/>
              <w:bottom w:val="single" w:sz="4" w:space="0" w:color="auto"/>
              <w:right w:val="single" w:sz="4" w:space="0" w:color="auto"/>
            </w:tcBorders>
            <w:vAlign w:val="center"/>
          </w:tcPr>
          <w:p w14:paraId="2E1CF7D1" w14:textId="77777777" w:rsidR="002C1815" w:rsidRPr="003E1A42" w:rsidRDefault="002C1815" w:rsidP="007F6928">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Pr>
                <w:rFonts w:ascii="Calibri" w:eastAsia="Times New Roman" w:hAnsi="Calibri" w:cs="Times New Roman"/>
                <w:color w:val="0000FF"/>
              </w:rPr>
              <w:t xml:space="preserve"> PPO</w:t>
            </w:r>
          </w:p>
        </w:tc>
        <w:tc>
          <w:tcPr>
            <w:tcW w:w="551" w:type="dxa"/>
            <w:tcBorders>
              <w:top w:val="nil"/>
              <w:left w:val="nil"/>
              <w:bottom w:val="single" w:sz="4" w:space="0" w:color="auto"/>
              <w:right w:val="single" w:sz="4" w:space="0" w:color="auto"/>
            </w:tcBorders>
            <w:shd w:val="clear" w:color="auto" w:fill="auto"/>
            <w:noWrap/>
            <w:vAlign w:val="center"/>
          </w:tcPr>
          <w:p w14:paraId="285BC918"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198</w:t>
            </w:r>
          </w:p>
        </w:tc>
        <w:tc>
          <w:tcPr>
            <w:tcW w:w="944" w:type="dxa"/>
            <w:tcBorders>
              <w:top w:val="nil"/>
              <w:left w:val="nil"/>
              <w:bottom w:val="single" w:sz="4" w:space="0" w:color="auto"/>
              <w:right w:val="single" w:sz="4" w:space="0" w:color="auto"/>
            </w:tcBorders>
            <w:shd w:val="clear" w:color="auto" w:fill="auto"/>
            <w:noWrap/>
            <w:vAlign w:val="center"/>
          </w:tcPr>
          <w:p w14:paraId="643E7216"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48.80</w:t>
            </w:r>
          </w:p>
        </w:tc>
        <w:tc>
          <w:tcPr>
            <w:tcW w:w="927" w:type="dxa"/>
            <w:tcBorders>
              <w:top w:val="nil"/>
              <w:left w:val="nil"/>
              <w:bottom w:val="single" w:sz="4" w:space="0" w:color="auto"/>
              <w:right w:val="single" w:sz="4" w:space="0" w:color="auto"/>
            </w:tcBorders>
            <w:shd w:val="clear" w:color="auto" w:fill="auto"/>
            <w:noWrap/>
            <w:vAlign w:val="center"/>
          </w:tcPr>
          <w:p w14:paraId="4AABA410"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10.03</w:t>
            </w:r>
          </w:p>
        </w:tc>
        <w:tc>
          <w:tcPr>
            <w:tcW w:w="751" w:type="dxa"/>
            <w:tcBorders>
              <w:top w:val="nil"/>
              <w:left w:val="nil"/>
              <w:bottom w:val="single" w:sz="4" w:space="0" w:color="auto"/>
              <w:right w:val="single" w:sz="4" w:space="0" w:color="auto"/>
            </w:tcBorders>
            <w:shd w:val="clear" w:color="auto" w:fill="auto"/>
            <w:noWrap/>
            <w:vAlign w:val="center"/>
          </w:tcPr>
          <w:p w14:paraId="35C1CD22"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33.20</w:t>
            </w:r>
          </w:p>
        </w:tc>
        <w:tc>
          <w:tcPr>
            <w:tcW w:w="751" w:type="dxa"/>
            <w:tcBorders>
              <w:top w:val="nil"/>
              <w:left w:val="nil"/>
              <w:bottom w:val="single" w:sz="4" w:space="0" w:color="auto"/>
              <w:right w:val="single" w:sz="4" w:space="0" w:color="auto"/>
            </w:tcBorders>
            <w:shd w:val="clear" w:color="auto" w:fill="auto"/>
            <w:noWrap/>
            <w:vAlign w:val="center"/>
          </w:tcPr>
          <w:p w14:paraId="66E76A97"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43.08</w:t>
            </w:r>
          </w:p>
        </w:tc>
        <w:tc>
          <w:tcPr>
            <w:tcW w:w="751" w:type="dxa"/>
            <w:tcBorders>
              <w:top w:val="nil"/>
              <w:left w:val="nil"/>
              <w:bottom w:val="single" w:sz="4" w:space="0" w:color="auto"/>
              <w:right w:val="single" w:sz="4" w:space="0" w:color="auto"/>
            </w:tcBorders>
            <w:shd w:val="clear" w:color="auto" w:fill="auto"/>
            <w:noWrap/>
            <w:vAlign w:val="center"/>
          </w:tcPr>
          <w:p w14:paraId="56F10982"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49.85</w:t>
            </w:r>
          </w:p>
        </w:tc>
        <w:tc>
          <w:tcPr>
            <w:tcW w:w="751" w:type="dxa"/>
            <w:tcBorders>
              <w:top w:val="nil"/>
              <w:left w:val="nil"/>
              <w:bottom w:val="single" w:sz="4" w:space="0" w:color="auto"/>
              <w:right w:val="single" w:sz="4" w:space="0" w:color="auto"/>
            </w:tcBorders>
            <w:shd w:val="clear" w:color="auto" w:fill="auto"/>
            <w:noWrap/>
            <w:vAlign w:val="center"/>
          </w:tcPr>
          <w:p w14:paraId="78069438"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54.74</w:t>
            </w:r>
          </w:p>
        </w:tc>
        <w:tc>
          <w:tcPr>
            <w:tcW w:w="751" w:type="dxa"/>
            <w:tcBorders>
              <w:top w:val="nil"/>
              <w:left w:val="nil"/>
              <w:bottom w:val="single" w:sz="4" w:space="0" w:color="auto"/>
              <w:right w:val="single" w:sz="4" w:space="0" w:color="auto"/>
            </w:tcBorders>
            <w:shd w:val="clear" w:color="auto" w:fill="auto"/>
            <w:noWrap/>
            <w:vAlign w:val="center"/>
          </w:tcPr>
          <w:p w14:paraId="2F7119F0"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60.25</w:t>
            </w:r>
          </w:p>
        </w:tc>
        <w:tc>
          <w:tcPr>
            <w:tcW w:w="751" w:type="dxa"/>
            <w:tcBorders>
              <w:top w:val="nil"/>
              <w:left w:val="nil"/>
              <w:bottom w:val="single" w:sz="4" w:space="0" w:color="auto"/>
              <w:right w:val="single" w:sz="4" w:space="0" w:color="auto"/>
            </w:tcBorders>
            <w:shd w:val="clear" w:color="auto" w:fill="auto"/>
            <w:noWrap/>
            <w:vAlign w:val="center"/>
          </w:tcPr>
          <w:p w14:paraId="20FCCDC1"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11.66</w:t>
            </w:r>
          </w:p>
        </w:tc>
        <w:tc>
          <w:tcPr>
            <w:tcW w:w="1410" w:type="dxa"/>
            <w:tcBorders>
              <w:top w:val="nil"/>
              <w:left w:val="nil"/>
              <w:bottom w:val="single" w:sz="4" w:space="0" w:color="auto"/>
              <w:right w:val="single" w:sz="4" w:space="0" w:color="auto"/>
            </w:tcBorders>
            <w:shd w:val="clear" w:color="auto" w:fill="auto"/>
            <w:noWrap/>
            <w:vAlign w:val="center"/>
          </w:tcPr>
          <w:p w14:paraId="1D6E161E" w14:textId="4B8BEC13" w:rsidR="002C1815" w:rsidRPr="003E1A42" w:rsidRDefault="002C1815" w:rsidP="007F6928">
            <w:pPr>
              <w:spacing w:after="0" w:line="240" w:lineRule="auto"/>
              <w:jc w:val="center"/>
              <w:rPr>
                <w:color w:val="0000FF"/>
              </w:rPr>
            </w:pPr>
            <w:r>
              <w:rPr>
                <w:color w:val="0000FF"/>
              </w:rPr>
              <w:t>&lt;0.05</w:t>
            </w:r>
          </w:p>
        </w:tc>
      </w:tr>
      <w:tr w:rsidR="002C1815" w:rsidRPr="003E1A42" w14:paraId="4844E984" w14:textId="77777777" w:rsidTr="007F6928">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4E02B00A" w14:textId="77777777" w:rsidR="002C1815" w:rsidRPr="003E1A42" w:rsidRDefault="002C1815" w:rsidP="007F6928">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Medicaid</w:t>
            </w:r>
            <w:r>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582857DB"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194</w:t>
            </w:r>
          </w:p>
        </w:tc>
        <w:tc>
          <w:tcPr>
            <w:tcW w:w="944" w:type="dxa"/>
            <w:tcBorders>
              <w:top w:val="nil"/>
              <w:left w:val="nil"/>
              <w:bottom w:val="single" w:sz="4" w:space="0" w:color="auto"/>
              <w:right w:val="single" w:sz="4" w:space="0" w:color="auto"/>
            </w:tcBorders>
            <w:shd w:val="clear" w:color="auto" w:fill="auto"/>
            <w:noWrap/>
            <w:vAlign w:val="center"/>
          </w:tcPr>
          <w:p w14:paraId="1EBF5FCD"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53.22</w:t>
            </w:r>
          </w:p>
        </w:tc>
        <w:tc>
          <w:tcPr>
            <w:tcW w:w="927" w:type="dxa"/>
            <w:tcBorders>
              <w:top w:val="nil"/>
              <w:left w:val="nil"/>
              <w:bottom w:val="single" w:sz="4" w:space="0" w:color="auto"/>
              <w:right w:val="single" w:sz="4" w:space="0" w:color="auto"/>
            </w:tcBorders>
            <w:shd w:val="clear" w:color="auto" w:fill="auto"/>
            <w:noWrap/>
            <w:vAlign w:val="center"/>
          </w:tcPr>
          <w:p w14:paraId="2ECAFCE3"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11.96</w:t>
            </w:r>
          </w:p>
        </w:tc>
        <w:tc>
          <w:tcPr>
            <w:tcW w:w="751" w:type="dxa"/>
            <w:tcBorders>
              <w:top w:val="nil"/>
              <w:left w:val="nil"/>
              <w:bottom w:val="single" w:sz="4" w:space="0" w:color="auto"/>
              <w:right w:val="single" w:sz="4" w:space="0" w:color="auto"/>
            </w:tcBorders>
            <w:shd w:val="clear" w:color="auto" w:fill="auto"/>
            <w:noWrap/>
            <w:vAlign w:val="center"/>
          </w:tcPr>
          <w:p w14:paraId="3C5459E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37.14</w:t>
            </w:r>
          </w:p>
        </w:tc>
        <w:tc>
          <w:tcPr>
            <w:tcW w:w="751" w:type="dxa"/>
            <w:tcBorders>
              <w:top w:val="nil"/>
              <w:left w:val="nil"/>
              <w:bottom w:val="single" w:sz="4" w:space="0" w:color="auto"/>
              <w:right w:val="single" w:sz="4" w:space="0" w:color="auto"/>
            </w:tcBorders>
            <w:shd w:val="clear" w:color="auto" w:fill="auto"/>
            <w:noWrap/>
            <w:vAlign w:val="center"/>
          </w:tcPr>
          <w:p w14:paraId="0B09805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44.37</w:t>
            </w:r>
          </w:p>
        </w:tc>
        <w:tc>
          <w:tcPr>
            <w:tcW w:w="751" w:type="dxa"/>
            <w:tcBorders>
              <w:top w:val="nil"/>
              <w:left w:val="nil"/>
              <w:bottom w:val="single" w:sz="4" w:space="0" w:color="auto"/>
              <w:right w:val="single" w:sz="4" w:space="0" w:color="auto"/>
            </w:tcBorders>
            <w:shd w:val="clear" w:color="auto" w:fill="auto"/>
            <w:noWrap/>
            <w:vAlign w:val="center"/>
          </w:tcPr>
          <w:p w14:paraId="068D0411"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54.43</w:t>
            </w:r>
          </w:p>
        </w:tc>
        <w:tc>
          <w:tcPr>
            <w:tcW w:w="751" w:type="dxa"/>
            <w:tcBorders>
              <w:top w:val="nil"/>
              <w:left w:val="nil"/>
              <w:bottom w:val="single" w:sz="4" w:space="0" w:color="auto"/>
              <w:right w:val="single" w:sz="4" w:space="0" w:color="auto"/>
            </w:tcBorders>
            <w:shd w:val="clear" w:color="auto" w:fill="auto"/>
            <w:noWrap/>
            <w:vAlign w:val="center"/>
          </w:tcPr>
          <w:p w14:paraId="6AE1A2B7"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62.46</w:t>
            </w:r>
          </w:p>
        </w:tc>
        <w:tc>
          <w:tcPr>
            <w:tcW w:w="751" w:type="dxa"/>
            <w:tcBorders>
              <w:top w:val="nil"/>
              <w:left w:val="nil"/>
              <w:bottom w:val="single" w:sz="4" w:space="0" w:color="auto"/>
              <w:right w:val="single" w:sz="4" w:space="0" w:color="auto"/>
            </w:tcBorders>
            <w:shd w:val="clear" w:color="auto" w:fill="auto"/>
            <w:noWrap/>
            <w:vAlign w:val="center"/>
          </w:tcPr>
          <w:p w14:paraId="6D2C3C91"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67.64</w:t>
            </w:r>
          </w:p>
        </w:tc>
        <w:tc>
          <w:tcPr>
            <w:tcW w:w="751" w:type="dxa"/>
            <w:tcBorders>
              <w:top w:val="nil"/>
              <w:left w:val="nil"/>
              <w:bottom w:val="single" w:sz="4" w:space="0" w:color="auto"/>
              <w:right w:val="single" w:sz="4" w:space="0" w:color="auto"/>
            </w:tcBorders>
            <w:shd w:val="clear" w:color="auto" w:fill="auto"/>
            <w:noWrap/>
            <w:vAlign w:val="center"/>
          </w:tcPr>
          <w:p w14:paraId="551C6AB4"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18.09</w:t>
            </w:r>
          </w:p>
        </w:tc>
        <w:tc>
          <w:tcPr>
            <w:tcW w:w="1410" w:type="dxa"/>
            <w:tcBorders>
              <w:top w:val="nil"/>
              <w:left w:val="nil"/>
              <w:bottom w:val="single" w:sz="4" w:space="0" w:color="auto"/>
              <w:right w:val="single" w:sz="4" w:space="0" w:color="auto"/>
            </w:tcBorders>
            <w:shd w:val="clear" w:color="auto" w:fill="auto"/>
            <w:noWrap/>
            <w:vAlign w:val="center"/>
          </w:tcPr>
          <w:p w14:paraId="3E36681D" w14:textId="76497589"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2C1815" w:rsidRPr="003E1A42" w14:paraId="65C0985D" w14:textId="77777777" w:rsidTr="007F6928">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hideMark/>
          </w:tcPr>
          <w:p w14:paraId="16BF43A6" w14:textId="77777777" w:rsidR="002C1815" w:rsidRPr="003E1A42" w:rsidRDefault="002C1815" w:rsidP="007F6928">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Pr>
                <w:rFonts w:ascii="Calibri" w:eastAsia="Times New Roman" w:hAnsi="Calibri" w:cs="Times New Roman"/>
                <w:color w:val="0000FF"/>
              </w:rPr>
              <w:t xml:space="preserve"> HMO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4292F0DA"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349</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1A2EA1DB"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66.79</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0A040D0D"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11.40</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87571EE"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53.04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CA098DF"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59.85</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8155B96"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67.35</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6674249"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74.35</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266DE9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80.87</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4F75E1D4"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14.60</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78656AD6" w14:textId="3B74E381"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2C1815" w:rsidRPr="003E1A42" w14:paraId="0F8E6BC4" w14:textId="77777777" w:rsidTr="007F6928">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tcPr>
          <w:p w14:paraId="28A2151B" w14:textId="77777777" w:rsidR="002C1815" w:rsidRPr="003E1A42" w:rsidRDefault="002C1815" w:rsidP="007F6928">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Pr>
                <w:rFonts w:ascii="Calibri" w:eastAsia="Times New Roman" w:hAnsi="Calibri" w:cs="Times New Roman"/>
                <w:color w:val="0000FF"/>
              </w:rPr>
              <w:t xml:space="preserve"> PPO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6D10872B"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151</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2E1E7F13"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64.63</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62FDB884"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10.34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3A9C9E22"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53.04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56B53B2"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56.94</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176A93C"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64.72</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604726E8"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70.56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4AC7065"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77.86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06608B91" w14:textId="77777777" w:rsidR="002C1815" w:rsidRPr="003E1A42" w:rsidRDefault="002C1815" w:rsidP="007F6928">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13.62</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40D6E7FB" w14:textId="54605320" w:rsidR="002C1815" w:rsidRPr="003E1A42" w:rsidRDefault="002C1815" w:rsidP="007F6928">
            <w:pPr>
              <w:spacing w:after="0" w:line="240" w:lineRule="auto"/>
              <w:jc w:val="center"/>
              <w:rPr>
                <w:color w:val="0000FF"/>
              </w:rPr>
            </w:pPr>
            <w:r>
              <w:rPr>
                <w:color w:val="0000FF"/>
              </w:rPr>
              <w:t>&lt;0.05</w:t>
            </w:r>
          </w:p>
        </w:tc>
      </w:tr>
    </w:tbl>
    <w:p w14:paraId="65C9010A" w14:textId="77777777" w:rsidR="002C1815" w:rsidRPr="003E1A42" w:rsidRDefault="002C1815" w:rsidP="002C1815">
      <w:pPr>
        <w:autoSpaceDE w:val="0"/>
        <w:autoSpaceDN w:val="0"/>
        <w:adjustRightInd w:val="0"/>
        <w:spacing w:after="0" w:line="240" w:lineRule="auto"/>
        <w:rPr>
          <w:color w:val="0000FF"/>
        </w:rPr>
      </w:pPr>
      <w:r w:rsidRPr="3C795A04">
        <w:rPr>
          <w:color w:val="0000FF"/>
        </w:rPr>
        <w:t>N = total number of plans reporting data</w:t>
      </w:r>
    </w:p>
    <w:p w14:paraId="6B39B75E" w14:textId="77777777" w:rsidR="002C1815" w:rsidRPr="003E1A42" w:rsidRDefault="002C1815" w:rsidP="002C1815">
      <w:pPr>
        <w:autoSpaceDE w:val="0"/>
        <w:autoSpaceDN w:val="0"/>
        <w:adjustRightInd w:val="0"/>
        <w:spacing w:after="0" w:line="240" w:lineRule="auto"/>
        <w:rPr>
          <w:color w:val="0000FF"/>
        </w:rPr>
      </w:pPr>
      <w:r w:rsidRPr="3C795A04">
        <w:rPr>
          <w:color w:val="0000FF"/>
        </w:rPr>
        <w:t>IQR: Interquartile range</w:t>
      </w:r>
    </w:p>
    <w:p w14:paraId="203C9014" w14:textId="77777777" w:rsidR="002C1815" w:rsidRPr="003E1A42" w:rsidRDefault="002C1815" w:rsidP="002C1815">
      <w:pPr>
        <w:widowControl w:val="0"/>
        <w:spacing w:after="0" w:line="240" w:lineRule="auto"/>
        <w:rPr>
          <w:color w:val="0000FF"/>
        </w:rPr>
      </w:pPr>
      <w:r w:rsidRPr="3C795A04">
        <w:rPr>
          <w:color w:val="0000FF"/>
        </w:rPr>
        <w:t>p-value: p value of independent samples t-test comparing plans at the 25</w:t>
      </w:r>
      <w:r w:rsidRPr="3C795A04">
        <w:rPr>
          <w:color w:val="0000FF"/>
          <w:vertAlign w:val="superscript"/>
        </w:rPr>
        <w:t>th</w:t>
      </w:r>
      <w:r w:rsidRPr="3C795A04">
        <w:rPr>
          <w:color w:val="0000FF"/>
        </w:rPr>
        <w:t xml:space="preserve"> percentile to plans at the 75</w:t>
      </w:r>
      <w:r w:rsidRPr="3C795A04">
        <w:rPr>
          <w:color w:val="0000FF"/>
          <w:vertAlign w:val="superscript"/>
        </w:rPr>
        <w:t>th</w:t>
      </w:r>
      <w:r w:rsidRPr="3C795A04">
        <w:rPr>
          <w:color w:val="0000FF"/>
        </w:rPr>
        <w:t xml:space="preserve"> percentile</w:t>
      </w:r>
    </w:p>
    <w:p w14:paraId="0CABD00B" w14:textId="68157146" w:rsidR="00D61410" w:rsidRDefault="00D61410" w:rsidP="00D61410">
      <w:pPr>
        <w:autoSpaceDE w:val="0"/>
        <w:autoSpaceDN w:val="0"/>
        <w:adjustRightInd w:val="0"/>
        <w:spacing w:after="0" w:line="240" w:lineRule="auto"/>
        <w:rPr>
          <w:rFonts w:cstheme="minorHAnsi"/>
          <w:bCs/>
        </w:rPr>
      </w:pPr>
    </w:p>
    <w:p w14:paraId="10B4677F" w14:textId="6C2E12BE" w:rsidR="001B07BF" w:rsidRPr="00AF0F1A" w:rsidRDefault="001B07BF" w:rsidP="001B07BF">
      <w:pPr>
        <w:autoSpaceDE w:val="0"/>
        <w:autoSpaceDN w:val="0"/>
        <w:adjustRightInd w:val="0"/>
        <w:spacing w:after="0" w:line="240" w:lineRule="auto"/>
        <w:rPr>
          <w:rFonts w:cstheme="minorHAnsi"/>
          <w:bCs/>
          <w:color w:val="0000CC"/>
        </w:rPr>
      </w:pPr>
      <w:r w:rsidRPr="00AF0F1A">
        <w:rPr>
          <w:rFonts w:cstheme="minorHAnsi"/>
          <w:bCs/>
          <w:color w:val="0000CC"/>
        </w:rPr>
        <w:t xml:space="preserve">Physician Level </w:t>
      </w:r>
      <w:r w:rsidR="00DA0D41">
        <w:rPr>
          <w:rFonts w:cstheme="minorHAnsi"/>
          <w:bCs/>
          <w:color w:val="0000CC"/>
        </w:rPr>
        <w:t>- 2012</w:t>
      </w:r>
    </w:p>
    <w:tbl>
      <w:tblPr>
        <w:tblStyle w:val="TableGrid"/>
        <w:tblW w:w="0" w:type="auto"/>
        <w:tblLook w:val="04A0" w:firstRow="1" w:lastRow="0" w:firstColumn="1" w:lastColumn="0" w:noHBand="0" w:noVBand="1"/>
      </w:tblPr>
      <w:tblGrid>
        <w:gridCol w:w="1119"/>
        <w:gridCol w:w="777"/>
        <w:gridCol w:w="856"/>
        <w:gridCol w:w="751"/>
        <w:gridCol w:w="751"/>
        <w:gridCol w:w="751"/>
        <w:gridCol w:w="751"/>
        <w:gridCol w:w="751"/>
        <w:gridCol w:w="746"/>
        <w:gridCol w:w="1063"/>
      </w:tblGrid>
      <w:tr w:rsidR="002C1815" w:rsidRPr="00AF0F1A" w14:paraId="24581E5E" w14:textId="77777777" w:rsidTr="002C1815">
        <w:tc>
          <w:tcPr>
            <w:tcW w:w="1119" w:type="dxa"/>
          </w:tcPr>
          <w:p w14:paraId="73F33179" w14:textId="77777777" w:rsidR="002C1815" w:rsidRPr="00AF0F1A" w:rsidRDefault="002C1815" w:rsidP="001B07BF">
            <w:pPr>
              <w:autoSpaceDE w:val="0"/>
              <w:autoSpaceDN w:val="0"/>
              <w:adjustRightInd w:val="0"/>
              <w:rPr>
                <w:rFonts w:cstheme="minorHAnsi"/>
                <w:b/>
                <w:bCs/>
                <w:color w:val="0000CC"/>
              </w:rPr>
            </w:pPr>
            <w:bookmarkStart w:id="47" w:name="_Hlk507769444"/>
            <w:r w:rsidRPr="00AF0F1A">
              <w:rPr>
                <w:rFonts w:ascii="Calibri" w:hAnsi="Calibri"/>
                <w:b/>
                <w:bCs/>
                <w:color w:val="0000CC"/>
              </w:rPr>
              <w:t>N (# of clinicians)</w:t>
            </w:r>
          </w:p>
        </w:tc>
        <w:tc>
          <w:tcPr>
            <w:tcW w:w="777" w:type="dxa"/>
          </w:tcPr>
          <w:p w14:paraId="3944C15D"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Mean (%)</w:t>
            </w:r>
          </w:p>
        </w:tc>
        <w:tc>
          <w:tcPr>
            <w:tcW w:w="856" w:type="dxa"/>
          </w:tcPr>
          <w:p w14:paraId="1DBAF1F1"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St Dev</w:t>
            </w:r>
          </w:p>
          <w:p w14:paraId="27E06645"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751" w:type="dxa"/>
          </w:tcPr>
          <w:p w14:paraId="66C035FD"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10</w:t>
            </w:r>
            <w:r w:rsidRPr="00AF0F1A">
              <w:rPr>
                <w:rFonts w:cstheme="minorHAnsi"/>
                <w:b/>
                <w:bCs/>
                <w:color w:val="0000CC"/>
                <w:vertAlign w:val="superscript"/>
              </w:rPr>
              <w:t>th</w:t>
            </w:r>
          </w:p>
          <w:p w14:paraId="76E40B57"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w:t>
            </w:r>
          </w:p>
        </w:tc>
        <w:tc>
          <w:tcPr>
            <w:tcW w:w="751" w:type="dxa"/>
          </w:tcPr>
          <w:p w14:paraId="2594000B"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25</w:t>
            </w:r>
            <w:r w:rsidRPr="00AF0F1A">
              <w:rPr>
                <w:rFonts w:cstheme="minorHAnsi"/>
                <w:b/>
                <w:bCs/>
                <w:color w:val="0000CC"/>
                <w:vertAlign w:val="superscript"/>
              </w:rPr>
              <w:t>th</w:t>
            </w:r>
          </w:p>
          <w:p w14:paraId="39D26E27"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751" w:type="dxa"/>
          </w:tcPr>
          <w:p w14:paraId="58D8A4EF"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50</w:t>
            </w:r>
            <w:r w:rsidRPr="00AF0F1A">
              <w:rPr>
                <w:rFonts w:cstheme="minorHAnsi"/>
                <w:b/>
                <w:bCs/>
                <w:color w:val="0000CC"/>
                <w:vertAlign w:val="superscript"/>
              </w:rPr>
              <w:t>th</w:t>
            </w:r>
          </w:p>
          <w:p w14:paraId="0A3C4BB4"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751" w:type="dxa"/>
          </w:tcPr>
          <w:p w14:paraId="4630FAED"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75</w:t>
            </w:r>
            <w:r w:rsidRPr="00AF0F1A">
              <w:rPr>
                <w:rFonts w:cstheme="minorHAnsi"/>
                <w:b/>
                <w:bCs/>
                <w:color w:val="0000CC"/>
                <w:vertAlign w:val="superscript"/>
              </w:rPr>
              <w:t>th</w:t>
            </w:r>
          </w:p>
          <w:p w14:paraId="60173B53"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751" w:type="dxa"/>
          </w:tcPr>
          <w:p w14:paraId="764BC833" w14:textId="77777777" w:rsidR="002C1815" w:rsidRPr="00AF0F1A" w:rsidRDefault="002C1815" w:rsidP="001B07BF">
            <w:pPr>
              <w:autoSpaceDE w:val="0"/>
              <w:autoSpaceDN w:val="0"/>
              <w:adjustRightInd w:val="0"/>
              <w:jc w:val="center"/>
              <w:rPr>
                <w:rFonts w:cstheme="minorHAnsi"/>
                <w:b/>
                <w:bCs/>
                <w:color w:val="0000CC"/>
                <w:vertAlign w:val="superscript"/>
              </w:rPr>
            </w:pPr>
            <w:r w:rsidRPr="00AF0F1A">
              <w:rPr>
                <w:rFonts w:cstheme="minorHAnsi"/>
                <w:b/>
                <w:bCs/>
                <w:color w:val="0000CC"/>
              </w:rPr>
              <w:t>90</w:t>
            </w:r>
            <w:r w:rsidRPr="00AF0F1A">
              <w:rPr>
                <w:rFonts w:cstheme="minorHAnsi"/>
                <w:b/>
                <w:bCs/>
                <w:color w:val="0000CC"/>
                <w:vertAlign w:val="superscript"/>
              </w:rPr>
              <w:t>th</w:t>
            </w:r>
          </w:p>
          <w:p w14:paraId="544C3FB1"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746" w:type="dxa"/>
          </w:tcPr>
          <w:p w14:paraId="0C344A30"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IQR</w:t>
            </w:r>
          </w:p>
          <w:p w14:paraId="4D0EC198"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w:t>
            </w:r>
          </w:p>
        </w:tc>
        <w:tc>
          <w:tcPr>
            <w:tcW w:w="1063" w:type="dxa"/>
          </w:tcPr>
          <w:p w14:paraId="4A25B9DD" w14:textId="77777777" w:rsidR="002C1815" w:rsidRPr="00AF0F1A" w:rsidRDefault="002C1815" w:rsidP="001B07BF">
            <w:pPr>
              <w:autoSpaceDE w:val="0"/>
              <w:autoSpaceDN w:val="0"/>
              <w:adjustRightInd w:val="0"/>
              <w:jc w:val="center"/>
              <w:rPr>
                <w:rFonts w:cstheme="minorHAnsi"/>
                <w:b/>
                <w:bCs/>
                <w:color w:val="0000CC"/>
              </w:rPr>
            </w:pPr>
            <w:r w:rsidRPr="00AF0F1A">
              <w:rPr>
                <w:rFonts w:cstheme="minorHAnsi"/>
                <w:b/>
                <w:bCs/>
                <w:color w:val="0000CC"/>
              </w:rPr>
              <w:t xml:space="preserve">p value </w:t>
            </w:r>
          </w:p>
        </w:tc>
      </w:tr>
      <w:bookmarkEnd w:id="47"/>
      <w:tr w:rsidR="002C1815" w:rsidRPr="00AF0F1A" w14:paraId="385307BD" w14:textId="77777777" w:rsidTr="002C1815">
        <w:tc>
          <w:tcPr>
            <w:tcW w:w="1119" w:type="dxa"/>
          </w:tcPr>
          <w:p w14:paraId="6391AFC6" w14:textId="46A4BFCC"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3676</w:t>
            </w:r>
          </w:p>
        </w:tc>
        <w:tc>
          <w:tcPr>
            <w:tcW w:w="777" w:type="dxa"/>
          </w:tcPr>
          <w:p w14:paraId="16CD6548" w14:textId="59AD06BF"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52.0</w:t>
            </w:r>
          </w:p>
        </w:tc>
        <w:tc>
          <w:tcPr>
            <w:tcW w:w="856" w:type="dxa"/>
          </w:tcPr>
          <w:p w14:paraId="60B34A21" w14:textId="59EFCD32"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25.6</w:t>
            </w:r>
          </w:p>
        </w:tc>
        <w:tc>
          <w:tcPr>
            <w:tcW w:w="751" w:type="dxa"/>
          </w:tcPr>
          <w:p w14:paraId="592FBF0F" w14:textId="18F2EF16"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16.0</w:t>
            </w:r>
          </w:p>
        </w:tc>
        <w:tc>
          <w:tcPr>
            <w:tcW w:w="751" w:type="dxa"/>
          </w:tcPr>
          <w:p w14:paraId="17C191F2" w14:textId="5A96154C"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32.0</w:t>
            </w:r>
          </w:p>
        </w:tc>
        <w:tc>
          <w:tcPr>
            <w:tcW w:w="751" w:type="dxa"/>
          </w:tcPr>
          <w:p w14:paraId="7808AF2D" w14:textId="2B8B810C"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53.0</w:t>
            </w:r>
          </w:p>
        </w:tc>
        <w:tc>
          <w:tcPr>
            <w:tcW w:w="751" w:type="dxa"/>
          </w:tcPr>
          <w:p w14:paraId="00354F62" w14:textId="0D424164"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72.0</w:t>
            </w:r>
          </w:p>
        </w:tc>
        <w:tc>
          <w:tcPr>
            <w:tcW w:w="751" w:type="dxa"/>
          </w:tcPr>
          <w:p w14:paraId="183303CC" w14:textId="6653CE21"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87.0</w:t>
            </w:r>
          </w:p>
        </w:tc>
        <w:tc>
          <w:tcPr>
            <w:tcW w:w="746" w:type="dxa"/>
          </w:tcPr>
          <w:p w14:paraId="78256E7E" w14:textId="12AB059D"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40.0</w:t>
            </w:r>
          </w:p>
        </w:tc>
        <w:tc>
          <w:tcPr>
            <w:tcW w:w="1063" w:type="dxa"/>
          </w:tcPr>
          <w:p w14:paraId="4F0CC79F" w14:textId="2F19BD80" w:rsidR="002C1815" w:rsidRPr="00AF0F1A" w:rsidRDefault="002C1815" w:rsidP="001B07BF">
            <w:pPr>
              <w:autoSpaceDE w:val="0"/>
              <w:autoSpaceDN w:val="0"/>
              <w:adjustRightInd w:val="0"/>
              <w:jc w:val="center"/>
              <w:rPr>
                <w:rFonts w:cstheme="minorHAnsi"/>
                <w:bCs/>
                <w:color w:val="0000CC"/>
              </w:rPr>
            </w:pPr>
            <w:r>
              <w:rPr>
                <w:rFonts w:cstheme="minorHAnsi"/>
                <w:bCs/>
                <w:color w:val="0000CC"/>
              </w:rPr>
              <w:t>&lt;0.05</w:t>
            </w:r>
          </w:p>
        </w:tc>
      </w:tr>
    </w:tbl>
    <w:p w14:paraId="50F8FDB3" w14:textId="77777777" w:rsidR="001B07BF" w:rsidRPr="00AF0F1A" w:rsidRDefault="001B07BF" w:rsidP="001B07BF">
      <w:pPr>
        <w:autoSpaceDE w:val="0"/>
        <w:autoSpaceDN w:val="0"/>
        <w:adjustRightInd w:val="0"/>
        <w:spacing w:after="0" w:line="240" w:lineRule="auto"/>
        <w:rPr>
          <w:rFonts w:cstheme="minorHAnsi"/>
          <w:bCs/>
          <w:color w:val="0000CC"/>
        </w:rPr>
      </w:pPr>
      <w:bookmarkStart w:id="48" w:name="_Hlk507770058"/>
      <w:r w:rsidRPr="00AF0F1A">
        <w:rPr>
          <w:rFonts w:cstheme="minorHAnsi"/>
          <w:bCs/>
          <w:color w:val="0000CC"/>
        </w:rPr>
        <w:t>IQR: Interquartile range</w:t>
      </w:r>
    </w:p>
    <w:p w14:paraId="19A78C22" w14:textId="69A05D75" w:rsidR="001B07BF" w:rsidRDefault="001B07BF" w:rsidP="00D61410">
      <w:pPr>
        <w:autoSpaceDE w:val="0"/>
        <w:autoSpaceDN w:val="0"/>
        <w:adjustRightInd w:val="0"/>
        <w:spacing w:after="0" w:line="240" w:lineRule="auto"/>
        <w:rPr>
          <w:rFonts w:cstheme="minorHAnsi"/>
          <w:bCs/>
          <w:color w:val="0000CC"/>
        </w:rPr>
      </w:pPr>
      <w:r w:rsidRPr="00AF0F1A">
        <w:rPr>
          <w:rFonts w:cstheme="minorHAnsi"/>
          <w:bCs/>
          <w:color w:val="0000CC"/>
        </w:rPr>
        <w:t>p-value: p value of independent samples t-test comparing plans at the 25</w:t>
      </w:r>
      <w:r w:rsidRPr="00AF0F1A">
        <w:rPr>
          <w:rFonts w:cstheme="minorHAnsi"/>
          <w:bCs/>
          <w:color w:val="0000CC"/>
          <w:vertAlign w:val="superscript"/>
        </w:rPr>
        <w:t>th</w:t>
      </w:r>
      <w:r w:rsidRPr="00AF0F1A">
        <w:rPr>
          <w:rFonts w:cstheme="minorHAnsi"/>
          <w:bCs/>
          <w:color w:val="0000CC"/>
        </w:rPr>
        <w:t xml:space="preserve"> percentile to plans at the 75</w:t>
      </w:r>
      <w:r w:rsidRPr="00AF0F1A">
        <w:rPr>
          <w:rFonts w:cstheme="minorHAnsi"/>
          <w:bCs/>
          <w:color w:val="0000CC"/>
          <w:vertAlign w:val="superscript"/>
        </w:rPr>
        <w:t>th</w:t>
      </w:r>
      <w:r w:rsidRPr="00AF0F1A">
        <w:rPr>
          <w:rFonts w:cstheme="minorHAnsi"/>
          <w:bCs/>
          <w:color w:val="0000CC"/>
        </w:rPr>
        <w:t xml:space="preserve"> percentile</w:t>
      </w:r>
      <w:bookmarkEnd w:id="48"/>
    </w:p>
    <w:p w14:paraId="482E432C" w14:textId="35180F59" w:rsidR="002C1815" w:rsidRDefault="002C1815" w:rsidP="00D61410">
      <w:pPr>
        <w:autoSpaceDE w:val="0"/>
        <w:autoSpaceDN w:val="0"/>
        <w:adjustRightInd w:val="0"/>
        <w:spacing w:after="0" w:line="240" w:lineRule="auto"/>
        <w:rPr>
          <w:rFonts w:cstheme="minorHAnsi"/>
          <w:bCs/>
          <w:color w:val="0000CC"/>
          <w:u w:val="single"/>
        </w:rPr>
      </w:pPr>
      <w:r w:rsidRPr="002C1815">
        <w:rPr>
          <w:rFonts w:cstheme="minorHAnsi"/>
          <w:bCs/>
          <w:color w:val="0000CC"/>
          <w:u w:val="single"/>
        </w:rPr>
        <w:lastRenderedPageBreak/>
        <w:t>Health Plan</w:t>
      </w:r>
    </w:p>
    <w:p w14:paraId="0BC25B95" w14:textId="48E2F202" w:rsidR="002C1815" w:rsidRPr="002C1815" w:rsidRDefault="002C1815" w:rsidP="00D61410">
      <w:pPr>
        <w:autoSpaceDE w:val="0"/>
        <w:autoSpaceDN w:val="0"/>
        <w:adjustRightInd w:val="0"/>
        <w:spacing w:after="0" w:line="240" w:lineRule="auto"/>
        <w:rPr>
          <w:rFonts w:cstheme="minorHAnsi"/>
          <w:b/>
          <w:bCs/>
          <w:color w:val="0000CC"/>
        </w:rPr>
      </w:pPr>
      <w:bookmarkStart w:id="49" w:name="_Hlk507760400"/>
      <w:r w:rsidRPr="002C1815">
        <w:rPr>
          <w:rFonts w:cstheme="minorHAnsi"/>
          <w:b/>
          <w:bCs/>
          <w:color w:val="0000CC"/>
        </w:rPr>
        <w:t xml:space="preserve">Chart 1. Boxplot of </w:t>
      </w:r>
      <w:r>
        <w:rPr>
          <w:rFonts w:cstheme="minorHAnsi"/>
          <w:b/>
          <w:bCs/>
          <w:color w:val="0000CC"/>
        </w:rPr>
        <w:t>Eye Exams</w:t>
      </w:r>
      <w:r w:rsidRPr="002C1815">
        <w:rPr>
          <w:rFonts w:cstheme="minorHAnsi"/>
          <w:b/>
          <w:bCs/>
          <w:color w:val="0000CC"/>
        </w:rPr>
        <w:t xml:space="preserve"> Measure, Commercial, HEDIS 2011-2013*</w:t>
      </w:r>
    </w:p>
    <w:bookmarkEnd w:id="49"/>
    <w:p w14:paraId="48322EB7" w14:textId="54794474" w:rsidR="00DA0D41" w:rsidRDefault="00DA0D41" w:rsidP="00D61410">
      <w:pPr>
        <w:autoSpaceDE w:val="0"/>
        <w:autoSpaceDN w:val="0"/>
        <w:adjustRightInd w:val="0"/>
        <w:spacing w:after="0" w:line="240" w:lineRule="auto"/>
        <w:rPr>
          <w:rFonts w:cstheme="minorHAnsi"/>
          <w:bCs/>
        </w:rPr>
      </w:pPr>
      <w:r w:rsidRPr="00C23672">
        <w:rPr>
          <w:rFonts w:cstheme="minorHAnsi"/>
          <w:bCs/>
          <w:noProof/>
        </w:rPr>
        <w:drawing>
          <wp:inline distT="0" distB="0" distL="0" distR="0" wp14:anchorId="5E210734" wp14:editId="47F23369">
            <wp:extent cx="4888055" cy="3400425"/>
            <wp:effectExtent l="19050" t="19050" r="27305" b="9525"/>
            <wp:docPr id="4" name="Picture 4" descr="\\Profs5\data\RPM-QSG\Analysis Outputs\FYA REEVAL 2013\NQF REEVAL\HEDIS\PLOTS_NEW\COM\diabeye\boxplot diabeye c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s5\data\RPM-QSG\Analysis Outputs\FYA REEVAL 2013\NQF REEVAL\HEDIS\PLOTS_NEW\COM\diabeye\boxplot diabeye com.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7212"/>
                    <a:stretch/>
                  </pic:blipFill>
                  <pic:spPr bwMode="auto">
                    <a:xfrm>
                      <a:off x="0" y="0"/>
                      <a:ext cx="4905055" cy="3412251"/>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B43E6FD" w14:textId="6AC5F74E" w:rsidR="002C1815" w:rsidRDefault="002C1815" w:rsidP="002C1815">
      <w:pPr>
        <w:autoSpaceDE w:val="0"/>
        <w:autoSpaceDN w:val="0"/>
        <w:adjustRightInd w:val="0"/>
        <w:spacing w:after="0" w:line="240" w:lineRule="auto"/>
        <w:rPr>
          <w:rFonts w:cstheme="minorHAnsi"/>
          <w:bCs/>
          <w:color w:val="0000CC"/>
        </w:rPr>
      </w:pPr>
      <w:bookmarkStart w:id="50" w:name="_Hlk507760501"/>
      <w:r w:rsidRPr="002C1815">
        <w:rPr>
          <w:rFonts w:cstheme="minorHAnsi"/>
          <w:bCs/>
          <w:color w:val="0000CC"/>
        </w:rPr>
        <w:t>*</w:t>
      </w:r>
      <w:r>
        <w:rPr>
          <w:rFonts w:cstheme="minorHAnsi"/>
          <w:bCs/>
        </w:rPr>
        <w:t xml:space="preserve"> </w:t>
      </w:r>
      <w:r>
        <w:rPr>
          <w:rFonts w:cstheme="minorHAnsi"/>
          <w:bCs/>
          <w:color w:val="0000CC"/>
        </w:rPr>
        <w:t>In this chart data is presented in HEDIS reporting years, which are a year ahead of the measurement year. Therefore, the measurement year is 2010-2012</w:t>
      </w:r>
    </w:p>
    <w:bookmarkEnd w:id="50"/>
    <w:p w14:paraId="47AD4D7E" w14:textId="77777777" w:rsidR="002C1815" w:rsidRDefault="002C1815" w:rsidP="002C1815">
      <w:pPr>
        <w:autoSpaceDE w:val="0"/>
        <w:autoSpaceDN w:val="0"/>
        <w:adjustRightInd w:val="0"/>
        <w:spacing w:after="0" w:line="240" w:lineRule="auto"/>
        <w:rPr>
          <w:rFonts w:cstheme="minorHAnsi"/>
          <w:bCs/>
          <w:color w:val="0000CC"/>
        </w:rPr>
      </w:pPr>
    </w:p>
    <w:p w14:paraId="4252854F" w14:textId="545A4D0F" w:rsidR="002C1815" w:rsidRPr="002C1815" w:rsidRDefault="002C1815" w:rsidP="002C1815">
      <w:pPr>
        <w:autoSpaceDE w:val="0"/>
        <w:autoSpaceDN w:val="0"/>
        <w:adjustRightInd w:val="0"/>
        <w:spacing w:after="0" w:line="240" w:lineRule="auto"/>
        <w:rPr>
          <w:rFonts w:cstheme="minorHAnsi"/>
          <w:b/>
          <w:bCs/>
          <w:color w:val="0000CC"/>
        </w:rPr>
      </w:pPr>
      <w:r>
        <w:rPr>
          <w:rFonts w:cstheme="minorHAnsi"/>
          <w:b/>
          <w:bCs/>
          <w:color w:val="0000CC"/>
        </w:rPr>
        <w:t>Chart 2</w:t>
      </w:r>
      <w:r w:rsidRPr="002C1815">
        <w:rPr>
          <w:rFonts w:cstheme="minorHAnsi"/>
          <w:b/>
          <w:bCs/>
          <w:color w:val="0000CC"/>
        </w:rPr>
        <w:t xml:space="preserve">. Boxplot of </w:t>
      </w:r>
      <w:r>
        <w:rPr>
          <w:rFonts w:cstheme="minorHAnsi"/>
          <w:b/>
          <w:bCs/>
          <w:color w:val="0000CC"/>
        </w:rPr>
        <w:t>Eye Exams</w:t>
      </w:r>
      <w:r w:rsidRPr="002C1815">
        <w:rPr>
          <w:rFonts w:cstheme="minorHAnsi"/>
          <w:b/>
          <w:bCs/>
          <w:color w:val="0000CC"/>
        </w:rPr>
        <w:t xml:space="preserve"> Measure, </w:t>
      </w:r>
      <w:r>
        <w:rPr>
          <w:rFonts w:cstheme="minorHAnsi"/>
          <w:b/>
          <w:bCs/>
          <w:color w:val="0000CC"/>
        </w:rPr>
        <w:t>Medicare</w:t>
      </w:r>
      <w:r w:rsidRPr="002C1815">
        <w:rPr>
          <w:rFonts w:cstheme="minorHAnsi"/>
          <w:b/>
          <w:bCs/>
          <w:color w:val="0000CC"/>
        </w:rPr>
        <w:t>, HEDIS 2011-2013*</w:t>
      </w:r>
    </w:p>
    <w:p w14:paraId="74D9FF56" w14:textId="4B66251F" w:rsidR="002C1815" w:rsidRDefault="002C1815" w:rsidP="002C1815">
      <w:pPr>
        <w:autoSpaceDE w:val="0"/>
        <w:autoSpaceDN w:val="0"/>
        <w:adjustRightInd w:val="0"/>
        <w:spacing w:after="0" w:line="240" w:lineRule="auto"/>
        <w:rPr>
          <w:rFonts w:cstheme="minorHAnsi"/>
          <w:bCs/>
          <w:color w:val="0000CC"/>
        </w:rPr>
      </w:pPr>
      <w:r w:rsidRPr="00C23672">
        <w:rPr>
          <w:rFonts w:cstheme="minorHAnsi"/>
          <w:bCs/>
          <w:noProof/>
        </w:rPr>
        <w:drawing>
          <wp:inline distT="0" distB="0" distL="0" distR="0" wp14:anchorId="28AAF13A" wp14:editId="774D8B51">
            <wp:extent cx="4848225" cy="3370448"/>
            <wp:effectExtent l="19050" t="19050" r="9525" b="20955"/>
            <wp:docPr id="3" name="Picture 3" descr="\\Profs5\data\RPM-QSG\Analysis Outputs\FYA REEVAL 2013\NQF REEVAL\HEDIS\PLOTS_NEW\MCARE\diabeye\boxplot diabeye mc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s5\data\RPM-QSG\Analysis Outputs\FYA REEVAL 2013\NQF REEVAL\HEDIS\PLOTS_NEW\MCARE\diabeye\boxplot diabeye mcare.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7268"/>
                    <a:stretch/>
                  </pic:blipFill>
                  <pic:spPr bwMode="auto">
                    <a:xfrm>
                      <a:off x="0" y="0"/>
                      <a:ext cx="4854741" cy="3374978"/>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6D51B34C" w14:textId="77777777" w:rsidR="002C1815" w:rsidRDefault="002C1815" w:rsidP="002C1815">
      <w:pPr>
        <w:autoSpaceDE w:val="0"/>
        <w:autoSpaceDN w:val="0"/>
        <w:adjustRightInd w:val="0"/>
        <w:spacing w:after="0" w:line="240" w:lineRule="auto"/>
        <w:rPr>
          <w:rFonts w:cstheme="minorHAnsi"/>
          <w:bCs/>
          <w:color w:val="0000CC"/>
        </w:rPr>
      </w:pPr>
      <w:r w:rsidRPr="002C1815">
        <w:rPr>
          <w:rFonts w:cstheme="minorHAnsi"/>
          <w:bCs/>
          <w:color w:val="0000CC"/>
        </w:rPr>
        <w:t>*</w:t>
      </w:r>
      <w:r>
        <w:rPr>
          <w:rFonts w:cstheme="minorHAnsi"/>
          <w:bCs/>
        </w:rPr>
        <w:t xml:space="preserve"> </w:t>
      </w:r>
      <w:r>
        <w:rPr>
          <w:rFonts w:cstheme="minorHAnsi"/>
          <w:bCs/>
          <w:color w:val="0000CC"/>
        </w:rPr>
        <w:t>In this chart data is presented in HEDIS reporting years, which are a year ahead of the measurement year. Therefore, the measurement year is 2010-2012</w:t>
      </w:r>
    </w:p>
    <w:p w14:paraId="294309D8" w14:textId="035147B4" w:rsidR="002C1815" w:rsidRPr="002C1815" w:rsidRDefault="002C1815" w:rsidP="002C1815">
      <w:pPr>
        <w:autoSpaceDE w:val="0"/>
        <w:autoSpaceDN w:val="0"/>
        <w:adjustRightInd w:val="0"/>
        <w:spacing w:after="0" w:line="240" w:lineRule="auto"/>
        <w:rPr>
          <w:rFonts w:cstheme="minorHAnsi"/>
          <w:b/>
          <w:bCs/>
          <w:color w:val="0000CC"/>
        </w:rPr>
      </w:pPr>
      <w:r>
        <w:rPr>
          <w:rFonts w:cstheme="minorHAnsi"/>
          <w:b/>
          <w:bCs/>
          <w:color w:val="0000CC"/>
        </w:rPr>
        <w:lastRenderedPageBreak/>
        <w:t>Chart 3</w:t>
      </w:r>
      <w:r w:rsidRPr="002C1815">
        <w:rPr>
          <w:rFonts w:cstheme="minorHAnsi"/>
          <w:b/>
          <w:bCs/>
          <w:color w:val="0000CC"/>
        </w:rPr>
        <w:t xml:space="preserve">. Boxplot of </w:t>
      </w:r>
      <w:r>
        <w:rPr>
          <w:rFonts w:cstheme="minorHAnsi"/>
          <w:b/>
          <w:bCs/>
          <w:color w:val="0000CC"/>
        </w:rPr>
        <w:t>Eye Exams</w:t>
      </w:r>
      <w:r w:rsidRPr="002C1815">
        <w:rPr>
          <w:rFonts w:cstheme="minorHAnsi"/>
          <w:b/>
          <w:bCs/>
          <w:color w:val="0000CC"/>
        </w:rPr>
        <w:t xml:space="preserve"> Measure, </w:t>
      </w:r>
      <w:r>
        <w:rPr>
          <w:rFonts w:cstheme="minorHAnsi"/>
          <w:b/>
          <w:bCs/>
          <w:color w:val="0000CC"/>
        </w:rPr>
        <w:t>Medicaid</w:t>
      </w:r>
      <w:r w:rsidRPr="002C1815">
        <w:rPr>
          <w:rFonts w:cstheme="minorHAnsi"/>
          <w:b/>
          <w:bCs/>
          <w:color w:val="0000CC"/>
        </w:rPr>
        <w:t xml:space="preserve"> HEDIS 2011-2013*</w:t>
      </w:r>
    </w:p>
    <w:p w14:paraId="3C78DCA4" w14:textId="3FA531A7" w:rsidR="00DA0D41" w:rsidRDefault="00DA0D41" w:rsidP="00D61410">
      <w:pPr>
        <w:autoSpaceDE w:val="0"/>
        <w:autoSpaceDN w:val="0"/>
        <w:adjustRightInd w:val="0"/>
        <w:spacing w:after="0" w:line="240" w:lineRule="auto"/>
        <w:rPr>
          <w:rFonts w:cstheme="minorHAnsi"/>
          <w:bCs/>
        </w:rPr>
      </w:pPr>
      <w:r w:rsidRPr="00C23672">
        <w:rPr>
          <w:rFonts w:cstheme="minorHAnsi"/>
          <w:bCs/>
          <w:noProof/>
        </w:rPr>
        <w:drawing>
          <wp:inline distT="0" distB="0" distL="0" distR="0" wp14:anchorId="5CC4F46D" wp14:editId="59F5BBFE">
            <wp:extent cx="4848225" cy="3383060"/>
            <wp:effectExtent l="19050" t="19050" r="9525" b="27305"/>
            <wp:docPr id="2" name="Picture 2" descr="\\Profs5\data\RPM-QSG\Analysis Outputs\FYA REEVAL 2013\NQF REEVAL\HEDIS\PLOTS_NEW\MED\diabeye\boxplot diabeye 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s5\data\RPM-QSG\Analysis Outputs\FYA REEVAL 2013\NQF REEVAL\HEDIS\PLOTS_NEW\MED\diabeye\boxplot diabeye med.png"/>
                    <pic:cNvPicPr>
                      <a:picLocks noChangeAspect="1" noChangeArrowheads="1"/>
                    </pic:cNvPicPr>
                  </pic:nvPicPr>
                  <pic:blipFill rotWithShape="1">
                    <a:blip r:embed="rId14">
                      <a:extLst>
                        <a:ext uri="{28A0092B-C50C-407E-A947-70E740481C1C}">
                          <a14:useLocalDpi xmlns:a14="http://schemas.microsoft.com/office/drawing/2010/main" val="0"/>
                        </a:ext>
                      </a:extLst>
                    </a:blip>
                    <a:srcRect t="6921"/>
                    <a:stretch/>
                  </pic:blipFill>
                  <pic:spPr bwMode="auto">
                    <a:xfrm>
                      <a:off x="0" y="0"/>
                      <a:ext cx="4892871" cy="341421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70DF256A" w14:textId="77777777" w:rsidR="002C1815" w:rsidRDefault="002C1815" w:rsidP="002C1815">
      <w:pPr>
        <w:autoSpaceDE w:val="0"/>
        <w:autoSpaceDN w:val="0"/>
        <w:adjustRightInd w:val="0"/>
        <w:spacing w:after="0" w:line="240" w:lineRule="auto"/>
        <w:rPr>
          <w:rFonts w:cstheme="minorHAnsi"/>
          <w:bCs/>
          <w:color w:val="0000CC"/>
        </w:rPr>
      </w:pPr>
      <w:r w:rsidRPr="002C1815">
        <w:rPr>
          <w:rFonts w:cstheme="minorHAnsi"/>
          <w:bCs/>
          <w:color w:val="0000CC"/>
        </w:rPr>
        <w:t>*</w:t>
      </w:r>
      <w:r>
        <w:rPr>
          <w:rFonts w:cstheme="minorHAnsi"/>
          <w:bCs/>
        </w:rPr>
        <w:t xml:space="preserve"> </w:t>
      </w:r>
      <w:r>
        <w:rPr>
          <w:rFonts w:cstheme="minorHAnsi"/>
          <w:bCs/>
          <w:color w:val="0000CC"/>
        </w:rPr>
        <w:t>In this chart data is presented in HEDIS reporting years, which are a year ahead of the measurement year. Therefore, the measurement year is 2010-2012</w:t>
      </w:r>
    </w:p>
    <w:p w14:paraId="3F6EA4D1" w14:textId="22690E86" w:rsidR="00DA0D41" w:rsidRDefault="00DA0D41" w:rsidP="00D61410">
      <w:pPr>
        <w:autoSpaceDE w:val="0"/>
        <w:autoSpaceDN w:val="0"/>
        <w:adjustRightInd w:val="0"/>
        <w:spacing w:after="0" w:line="240" w:lineRule="auto"/>
        <w:rPr>
          <w:rFonts w:cstheme="minorHAnsi"/>
          <w:bCs/>
        </w:rPr>
      </w:pPr>
    </w:p>
    <w:p w14:paraId="36200F0F" w14:textId="3453C780" w:rsidR="002C1815" w:rsidRPr="00EA27C6" w:rsidRDefault="002C1815" w:rsidP="00D61410">
      <w:pPr>
        <w:autoSpaceDE w:val="0"/>
        <w:autoSpaceDN w:val="0"/>
        <w:adjustRightInd w:val="0"/>
        <w:spacing w:after="0" w:line="240" w:lineRule="auto"/>
        <w:rPr>
          <w:rFonts w:cstheme="minorHAnsi"/>
          <w:bCs/>
          <w:color w:val="0000CC"/>
          <w:u w:val="single"/>
        </w:rPr>
      </w:pPr>
      <w:r w:rsidRPr="002C1815">
        <w:rPr>
          <w:rFonts w:cstheme="minorHAnsi"/>
          <w:bCs/>
          <w:color w:val="0000CC"/>
          <w:u w:val="single"/>
        </w:rPr>
        <w:t>Physician Level</w:t>
      </w:r>
    </w:p>
    <w:p w14:paraId="0A8338D8" w14:textId="0372329B" w:rsidR="002C1815" w:rsidRDefault="002C1815" w:rsidP="00D61410">
      <w:pPr>
        <w:autoSpaceDE w:val="0"/>
        <w:autoSpaceDN w:val="0"/>
        <w:adjustRightInd w:val="0"/>
        <w:spacing w:after="0" w:line="240" w:lineRule="auto"/>
        <w:rPr>
          <w:rFonts w:cstheme="minorHAnsi"/>
          <w:bCs/>
        </w:rPr>
      </w:pPr>
    </w:p>
    <w:p w14:paraId="76BF1399" w14:textId="46E97808" w:rsidR="00DA0D41" w:rsidRDefault="002C1815" w:rsidP="00D61410">
      <w:pPr>
        <w:autoSpaceDE w:val="0"/>
        <w:autoSpaceDN w:val="0"/>
        <w:adjustRightInd w:val="0"/>
        <w:spacing w:after="0" w:line="240" w:lineRule="auto"/>
        <w:rPr>
          <w:rFonts w:cstheme="minorHAnsi"/>
          <w:bCs/>
        </w:rPr>
      </w:pPr>
      <w:bookmarkStart w:id="51" w:name="_Hlk507762167"/>
      <w:r>
        <w:rPr>
          <w:rFonts w:cstheme="minorHAnsi"/>
          <w:b/>
          <w:bCs/>
          <w:color w:val="0000CC"/>
        </w:rPr>
        <w:t>Chart 4.</w:t>
      </w:r>
      <w:r w:rsidRPr="002C1815">
        <w:rPr>
          <w:rFonts w:cstheme="minorHAnsi"/>
          <w:b/>
          <w:bCs/>
          <w:color w:val="0000CC"/>
        </w:rPr>
        <w:t xml:space="preserve"> Boxplot of </w:t>
      </w:r>
      <w:r>
        <w:rPr>
          <w:rFonts w:cstheme="minorHAnsi"/>
          <w:b/>
          <w:bCs/>
          <w:color w:val="0000CC"/>
        </w:rPr>
        <w:t>Eye Exams</w:t>
      </w:r>
      <w:r w:rsidRPr="002C1815">
        <w:rPr>
          <w:rFonts w:cstheme="minorHAnsi"/>
          <w:b/>
          <w:bCs/>
          <w:color w:val="0000CC"/>
        </w:rPr>
        <w:t xml:space="preserve"> Measure, </w:t>
      </w:r>
      <w:r>
        <w:rPr>
          <w:rFonts w:cstheme="minorHAnsi"/>
          <w:b/>
          <w:bCs/>
          <w:color w:val="0000CC"/>
        </w:rPr>
        <w:t>Diabetes Recognition Program</w:t>
      </w:r>
      <w:r w:rsidR="003D4789">
        <w:rPr>
          <w:rFonts w:cstheme="minorHAnsi"/>
          <w:b/>
          <w:bCs/>
          <w:color w:val="0000CC"/>
        </w:rPr>
        <w:t>, 2010-2012</w:t>
      </w:r>
      <w:bookmarkEnd w:id="51"/>
      <w:r w:rsidR="00DA0D41">
        <w:rPr>
          <w:noProof/>
        </w:rPr>
        <w:drawing>
          <wp:inline distT="0" distB="0" distL="0" distR="0" wp14:anchorId="11723176" wp14:editId="1DA4E874">
            <wp:extent cx="5164111" cy="3533775"/>
            <wp:effectExtent l="0" t="0" r="0" b="0"/>
            <wp:docPr id="8" name="Picture 8" descr="C:\Users\rey\AppData\Local\Microsoft\Windows\Temporary Internet Files\Content.Outlook\Y0AVR23R\boxplot eye examination 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y\AppData\Local\Microsoft\Windows\Temporary Internet Files\Content.Outlook\Y0AVR23R\boxplot eye examination 4.gif"/>
                    <pic:cNvPicPr>
                      <a:picLocks noChangeAspect="1" noChangeArrowheads="1"/>
                    </pic:cNvPicPr>
                  </pic:nvPicPr>
                  <pic:blipFill rotWithShape="1">
                    <a:blip r:embed="rId15">
                      <a:extLst>
                        <a:ext uri="{28A0092B-C50C-407E-A947-70E740481C1C}">
                          <a14:useLocalDpi xmlns:a14="http://schemas.microsoft.com/office/drawing/2010/main" val="0"/>
                        </a:ext>
                      </a:extLst>
                    </a:blip>
                    <a:srcRect t="8761"/>
                    <a:stretch/>
                  </pic:blipFill>
                  <pic:spPr bwMode="auto">
                    <a:xfrm>
                      <a:off x="0" y="0"/>
                      <a:ext cx="5166189" cy="3535197"/>
                    </a:xfrm>
                    <a:prstGeom prst="rect">
                      <a:avLst/>
                    </a:prstGeom>
                    <a:noFill/>
                    <a:ln>
                      <a:noFill/>
                    </a:ln>
                    <a:extLst>
                      <a:ext uri="{53640926-AAD7-44D8-BBD7-CCE9431645EC}">
                        <a14:shadowObscured xmlns:a14="http://schemas.microsoft.com/office/drawing/2010/main"/>
                      </a:ext>
                    </a:extLst>
                  </pic:spPr>
                </pic:pic>
              </a:graphicData>
            </a:graphic>
          </wp:inline>
        </w:drawing>
      </w:r>
    </w:p>
    <w:p w14:paraId="0CABD00C" w14:textId="58BC8E9C" w:rsidR="00D61410"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1C457287" w14:textId="77777777" w:rsidR="008F1E36" w:rsidRPr="00AF0F1A" w:rsidRDefault="008F1E36" w:rsidP="008F1E36">
      <w:pPr>
        <w:autoSpaceDE w:val="0"/>
        <w:autoSpaceDN w:val="0"/>
        <w:adjustRightInd w:val="0"/>
        <w:spacing w:after="0" w:line="240" w:lineRule="auto"/>
        <w:rPr>
          <w:rFonts w:cstheme="minorHAnsi"/>
          <w:bCs/>
          <w:color w:val="0000CC"/>
        </w:rPr>
      </w:pPr>
      <w:bookmarkStart w:id="52" w:name="_Hlk507762280"/>
      <w:r w:rsidRPr="00AF0F1A">
        <w:rPr>
          <w:rFonts w:cstheme="minorHAnsi"/>
          <w:bCs/>
          <w:color w:val="0000CC"/>
          <w:u w:val="single"/>
        </w:rPr>
        <w:t>Health Plan Level</w:t>
      </w:r>
    </w:p>
    <w:p w14:paraId="2F47700C" w14:textId="77777777" w:rsidR="008F1E36" w:rsidRPr="00AF0F1A" w:rsidRDefault="008F1E36" w:rsidP="008F1E36">
      <w:pPr>
        <w:autoSpaceDE w:val="0"/>
        <w:autoSpaceDN w:val="0"/>
        <w:adjustRightInd w:val="0"/>
        <w:spacing w:after="0" w:line="240" w:lineRule="auto"/>
        <w:rPr>
          <w:rFonts w:cstheme="minorHAnsi"/>
          <w:bCs/>
          <w:color w:val="0000CC"/>
        </w:rPr>
      </w:pPr>
      <w:r w:rsidRPr="00AF0F1A">
        <w:rPr>
          <w:rFonts w:cstheme="minorHAnsi"/>
          <w:bCs/>
          <w:color w:val="0000CC"/>
        </w:rPr>
        <w:t>Across all product lines, the difference between the 25</w:t>
      </w:r>
      <w:r w:rsidRPr="00AF0F1A">
        <w:rPr>
          <w:rFonts w:cstheme="minorHAnsi"/>
          <w:bCs/>
          <w:color w:val="0000CC"/>
          <w:vertAlign w:val="superscript"/>
        </w:rPr>
        <w:t>th</w:t>
      </w:r>
      <w:r w:rsidRPr="00AF0F1A">
        <w:rPr>
          <w:rFonts w:cstheme="minorHAnsi"/>
          <w:bCs/>
          <w:color w:val="0000CC"/>
        </w:rPr>
        <w:t xml:space="preserve"> (better performance) and 75</w:t>
      </w:r>
      <w:r w:rsidRPr="00AF0F1A">
        <w:rPr>
          <w:rFonts w:cstheme="minorHAnsi"/>
          <w:bCs/>
          <w:color w:val="0000CC"/>
          <w:vertAlign w:val="superscript"/>
        </w:rPr>
        <w:t>th</w:t>
      </w:r>
      <w:r w:rsidRPr="00AF0F1A">
        <w:rPr>
          <w:rFonts w:cstheme="minorHAnsi"/>
          <w:bCs/>
          <w:color w:val="0000CC"/>
        </w:rPr>
        <w:t xml:space="preserve"> percentile is statistically significant. Overall, these results suggest there are meaningful differences in performance. </w:t>
      </w:r>
    </w:p>
    <w:p w14:paraId="62A24F61" w14:textId="77777777" w:rsidR="008F1E36" w:rsidRPr="00AF0F1A" w:rsidRDefault="008F1E36" w:rsidP="008F1E36">
      <w:pPr>
        <w:autoSpaceDE w:val="0"/>
        <w:autoSpaceDN w:val="0"/>
        <w:adjustRightInd w:val="0"/>
        <w:spacing w:after="0" w:line="240" w:lineRule="auto"/>
        <w:rPr>
          <w:rFonts w:cstheme="minorHAnsi"/>
          <w:bCs/>
          <w:color w:val="0000CC"/>
        </w:rPr>
      </w:pPr>
    </w:p>
    <w:p w14:paraId="07CC1FF9" w14:textId="77777777" w:rsidR="008F1E36" w:rsidRPr="00AF0F1A" w:rsidRDefault="008F1E36" w:rsidP="008F1E36">
      <w:pPr>
        <w:autoSpaceDE w:val="0"/>
        <w:autoSpaceDN w:val="0"/>
        <w:adjustRightInd w:val="0"/>
        <w:spacing w:after="0" w:line="240" w:lineRule="auto"/>
        <w:rPr>
          <w:rFonts w:cstheme="minorHAnsi"/>
          <w:bCs/>
          <w:color w:val="0000CC"/>
          <w:u w:val="single"/>
        </w:rPr>
      </w:pPr>
      <w:r w:rsidRPr="00AF0F1A">
        <w:rPr>
          <w:rFonts w:cstheme="minorHAnsi"/>
          <w:bCs/>
          <w:color w:val="0000CC"/>
          <w:u w:val="single"/>
        </w:rPr>
        <w:t xml:space="preserve">Physician Level </w:t>
      </w:r>
    </w:p>
    <w:p w14:paraId="3CF33DDE" w14:textId="77777777" w:rsidR="008F1E36" w:rsidRPr="00AF0F1A" w:rsidRDefault="008F1E36" w:rsidP="008F1E36">
      <w:pPr>
        <w:autoSpaceDE w:val="0"/>
        <w:autoSpaceDN w:val="0"/>
        <w:adjustRightInd w:val="0"/>
        <w:spacing w:after="0" w:line="240" w:lineRule="auto"/>
        <w:rPr>
          <w:rFonts w:cstheme="minorHAnsi"/>
          <w:bCs/>
          <w:color w:val="0000CC"/>
        </w:rPr>
      </w:pPr>
      <w:bookmarkStart w:id="53" w:name="_Hlk502682274"/>
      <w:r w:rsidRPr="00AF0F1A">
        <w:rPr>
          <w:rFonts w:cstheme="minorHAnsi"/>
          <w:bCs/>
          <w:color w:val="0000CC"/>
        </w:rPr>
        <w:t>The difference between the 25</w:t>
      </w:r>
      <w:r w:rsidRPr="00AF0F1A">
        <w:rPr>
          <w:rFonts w:cstheme="minorHAnsi"/>
          <w:bCs/>
          <w:color w:val="0000CC"/>
          <w:vertAlign w:val="superscript"/>
        </w:rPr>
        <w:t>th</w:t>
      </w:r>
      <w:r w:rsidRPr="00AF0F1A">
        <w:rPr>
          <w:rFonts w:cstheme="minorHAnsi"/>
          <w:bCs/>
          <w:color w:val="0000CC"/>
        </w:rPr>
        <w:t xml:space="preserve"> and 75</w:t>
      </w:r>
      <w:r w:rsidRPr="00AF0F1A">
        <w:rPr>
          <w:rFonts w:cstheme="minorHAnsi"/>
          <w:bCs/>
          <w:color w:val="0000CC"/>
          <w:vertAlign w:val="superscript"/>
        </w:rPr>
        <w:t>th</w:t>
      </w:r>
      <w:r w:rsidRPr="00AF0F1A">
        <w:rPr>
          <w:rFonts w:cstheme="minorHAnsi"/>
          <w:bCs/>
          <w:color w:val="0000CC"/>
        </w:rPr>
        <w:t xml:space="preserve"> percentile is statistically significant, suggesting there are meaningful differences in performance. </w:t>
      </w:r>
    </w:p>
    <w:bookmarkEnd w:id="53"/>
    <w:bookmarkEnd w:id="52"/>
    <w:p w14:paraId="54B7C93E" w14:textId="77777777" w:rsidR="008F1E36" w:rsidRPr="00A25024" w:rsidRDefault="008F1E36"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E6DCED2" w14:textId="77777777" w:rsidR="008F1E36" w:rsidRPr="007A7D51" w:rsidRDefault="008F1E36" w:rsidP="008F1E36">
      <w:pPr>
        <w:rPr>
          <w:rFonts w:cstheme="minorHAnsi"/>
          <w:bCs/>
          <w:color w:val="0000CC"/>
          <w:sz w:val="4"/>
        </w:rPr>
      </w:pPr>
      <w:bookmarkStart w:id="54" w:name="_Hlk507762313"/>
      <w:r w:rsidRPr="007A7D51">
        <w:rPr>
          <w:rFonts w:cstheme="minorHAnsi"/>
          <w:bCs/>
          <w:color w:val="0000CC"/>
        </w:rPr>
        <w:t>N/A</w:t>
      </w:r>
    </w:p>
    <w:bookmarkEnd w:id="54"/>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84BEDB6" w14:textId="77777777" w:rsidR="008F1E36" w:rsidRPr="007A7D51" w:rsidRDefault="008F1E36" w:rsidP="008F1E36">
      <w:pPr>
        <w:rPr>
          <w:rFonts w:cstheme="minorHAnsi"/>
          <w:bCs/>
          <w:color w:val="0000CC"/>
          <w:sz w:val="4"/>
        </w:rPr>
      </w:pPr>
      <w:r w:rsidRPr="007A7D51">
        <w:rPr>
          <w:rFonts w:cstheme="minorHAnsi"/>
          <w:bCs/>
          <w:color w:val="0000CC"/>
        </w:rPr>
        <w:t>N/A</w:t>
      </w:r>
    </w:p>
    <w:p w14:paraId="276F6522" w14:textId="77777777" w:rsidR="008F1E36" w:rsidRPr="007A7D51" w:rsidRDefault="009C7513" w:rsidP="008F1E36">
      <w:pPr>
        <w:rPr>
          <w:rFonts w:cstheme="minorHAnsi"/>
          <w:bCs/>
          <w:color w:val="0000CC"/>
          <w:sz w:val="4"/>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8F1E36" w:rsidRPr="007A7D51">
        <w:rPr>
          <w:rFonts w:cstheme="minorHAnsi"/>
          <w:bCs/>
          <w:color w:val="0000CC"/>
        </w:rPr>
        <w:t>N/A</w:t>
      </w:r>
    </w:p>
    <w:p w14:paraId="0CABD018" w14:textId="3AB26E35" w:rsidR="008F7E67" w:rsidRDefault="008F7E67" w:rsidP="008F7E67">
      <w:pPr>
        <w:spacing w:after="0" w:line="240" w:lineRule="auto"/>
        <w:rPr>
          <w:rFonts w:cstheme="minorHAnsi"/>
          <w:b/>
          <w:bCs/>
        </w:rPr>
      </w:pPr>
      <w:r>
        <w:rPr>
          <w:rFonts w:cstheme="minorHAnsi"/>
          <w:b/>
          <w:bCs/>
        </w:rPr>
        <w:t>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72B69C4C"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w:t>
      </w:r>
      <w:r w:rsidR="00771B2A" w:rsidRPr="006A028C">
        <w:rPr>
          <w:rFonts w:ascii="Calibri" w:eastAsia="Calibri" w:hAnsi="Calibri" w:cs="Calibri"/>
        </w:rPr>
        <w:lastRenderedPageBreak/>
        <w:t>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70F1B084" w14:textId="77777777" w:rsidR="008F1E36" w:rsidRPr="00520736" w:rsidRDefault="008F1E36" w:rsidP="008F1E36">
      <w:pPr>
        <w:autoSpaceDE w:val="0"/>
        <w:autoSpaceDN w:val="0"/>
        <w:adjustRightInd w:val="0"/>
        <w:spacing w:after="0" w:line="240" w:lineRule="auto"/>
        <w:rPr>
          <w:rFonts w:cstheme="minorHAnsi"/>
          <w:bCs/>
          <w:color w:val="0000CC"/>
        </w:rPr>
      </w:pPr>
      <w:bookmarkStart w:id="55" w:name="_Hlk507770183"/>
      <w:r w:rsidRPr="00520736">
        <w:rPr>
          <w:rFonts w:cstheme="minorHAnsi"/>
          <w:bCs/>
          <w:color w:val="0000CC"/>
        </w:rPr>
        <w:t>This measure is collected with a complete sample.</w:t>
      </w:r>
    </w:p>
    <w:bookmarkEnd w:id="55"/>
    <w:p w14:paraId="6296FF53" w14:textId="77777777" w:rsidR="008F1E36" w:rsidRPr="00A25024" w:rsidRDefault="008F1E36"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B594413" w14:textId="77777777" w:rsidR="008F1E36" w:rsidRPr="00520736" w:rsidRDefault="008F1E36" w:rsidP="008F1E36">
      <w:pPr>
        <w:autoSpaceDE w:val="0"/>
        <w:autoSpaceDN w:val="0"/>
        <w:adjustRightInd w:val="0"/>
        <w:spacing w:after="0" w:line="240" w:lineRule="auto"/>
        <w:rPr>
          <w:rFonts w:cstheme="minorHAnsi"/>
          <w:bCs/>
          <w:color w:val="0000CC"/>
        </w:rPr>
      </w:pPr>
      <w:r w:rsidRPr="00520736">
        <w:rPr>
          <w:rFonts w:cstheme="minorHAnsi"/>
          <w:bCs/>
          <w:color w:val="0000CC"/>
        </w:rPr>
        <w:t>This measure is collected with a complete sample.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679B2315" w:rsidR="00BA053B" w:rsidRDefault="00BA053B">
      <w:pPr>
        <w:autoSpaceDE w:val="0"/>
        <w:autoSpaceDN w:val="0"/>
        <w:adjustRightInd w:val="0"/>
        <w:spacing w:after="0" w:line="240" w:lineRule="auto"/>
        <w:rPr>
          <w:rFonts w:cstheme="minorHAnsi"/>
          <w:bCs/>
        </w:rPr>
      </w:pPr>
    </w:p>
    <w:p w14:paraId="6628424D" w14:textId="77777777" w:rsidR="008F1E36" w:rsidRPr="00520736" w:rsidRDefault="008F1E36" w:rsidP="008F1E36">
      <w:pPr>
        <w:autoSpaceDE w:val="0"/>
        <w:autoSpaceDN w:val="0"/>
        <w:adjustRightInd w:val="0"/>
        <w:spacing w:after="0" w:line="240" w:lineRule="auto"/>
        <w:rPr>
          <w:rFonts w:cstheme="minorHAnsi"/>
          <w:bCs/>
          <w:color w:val="0000CC"/>
        </w:rPr>
      </w:pPr>
      <w:r w:rsidRPr="00520736">
        <w:rPr>
          <w:rFonts w:cstheme="minorHAnsi"/>
          <w:bCs/>
          <w:color w:val="0000CC"/>
        </w:rPr>
        <w:t>This measure is collected with a complete sample.</w:t>
      </w:r>
    </w:p>
    <w:p w14:paraId="459DD078" w14:textId="77777777" w:rsidR="008F1E36" w:rsidRPr="005560E7" w:rsidRDefault="008F1E36">
      <w:pPr>
        <w:autoSpaceDE w:val="0"/>
        <w:autoSpaceDN w:val="0"/>
        <w:adjustRightInd w:val="0"/>
        <w:spacing w:after="0" w:line="240" w:lineRule="auto"/>
        <w:rPr>
          <w:rFonts w:cstheme="minorHAnsi"/>
          <w:bCs/>
        </w:rPr>
      </w:pPr>
    </w:p>
    <w:sectPr w:rsidR="008F1E36"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FF5AA9" w:rsidRDefault="00FF5AA9" w:rsidP="005C73CA">
      <w:pPr>
        <w:spacing w:after="0" w:line="240" w:lineRule="auto"/>
      </w:pPr>
      <w:r>
        <w:separator/>
      </w:r>
    </w:p>
  </w:endnote>
  <w:endnote w:type="continuationSeparator" w:id="0">
    <w:p w14:paraId="54D3EA29" w14:textId="77777777" w:rsidR="00FF5AA9" w:rsidRDefault="00FF5AA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6FD67BB0" w:rsidR="00FF5AA9" w:rsidRDefault="00FF5AA9">
    <w:pPr>
      <w:pStyle w:val="Footer"/>
    </w:pPr>
    <w:r>
      <w:t>Version 7.1 9/6/2017</w:t>
    </w:r>
    <w:r>
      <w:ptab w:relativeTo="margin" w:alignment="right" w:leader="none"/>
    </w:r>
    <w:r>
      <w:fldChar w:fldCharType="begin"/>
    </w:r>
    <w:r>
      <w:instrText xml:space="preserve"> PAGE   \* MERGEFORMAT </w:instrText>
    </w:r>
    <w:r>
      <w:fldChar w:fldCharType="separate"/>
    </w:r>
    <w:r w:rsidR="00A707DD">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FF5AA9" w:rsidRDefault="00FF5AA9" w:rsidP="005C73CA">
      <w:pPr>
        <w:spacing w:after="0" w:line="240" w:lineRule="auto"/>
      </w:pPr>
      <w:r>
        <w:separator/>
      </w:r>
    </w:p>
  </w:footnote>
  <w:footnote w:type="continuationSeparator" w:id="0">
    <w:p w14:paraId="67B64C5E" w14:textId="77777777" w:rsidR="00FF5AA9" w:rsidRDefault="00FF5AA9"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FF5AA9" w:rsidRPr="00105D8B" w:rsidRDefault="00FF5AA9"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7C7A2E"/>
    <w:multiLevelType w:val="hybridMultilevel"/>
    <w:tmpl w:val="1F0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40D013A"/>
    <w:multiLevelType w:val="hybridMultilevel"/>
    <w:tmpl w:val="6688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4"/>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0D1E"/>
    <w:rsid w:val="00092566"/>
    <w:rsid w:val="000968F8"/>
    <w:rsid w:val="00097012"/>
    <w:rsid w:val="000B032A"/>
    <w:rsid w:val="000B0B74"/>
    <w:rsid w:val="000B2DF7"/>
    <w:rsid w:val="000B3880"/>
    <w:rsid w:val="000B7D57"/>
    <w:rsid w:val="000C036D"/>
    <w:rsid w:val="000C0FF8"/>
    <w:rsid w:val="000C64B7"/>
    <w:rsid w:val="000D2722"/>
    <w:rsid w:val="000D7948"/>
    <w:rsid w:val="000D7C84"/>
    <w:rsid w:val="000E3765"/>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3752"/>
    <w:rsid w:val="00145149"/>
    <w:rsid w:val="00145D4F"/>
    <w:rsid w:val="0014773C"/>
    <w:rsid w:val="00160D47"/>
    <w:rsid w:val="0017696D"/>
    <w:rsid w:val="001848FC"/>
    <w:rsid w:val="001877EA"/>
    <w:rsid w:val="00193F21"/>
    <w:rsid w:val="001969C5"/>
    <w:rsid w:val="001A12FB"/>
    <w:rsid w:val="001A3C26"/>
    <w:rsid w:val="001A6CDD"/>
    <w:rsid w:val="001B07BF"/>
    <w:rsid w:val="001C12EE"/>
    <w:rsid w:val="001C7B02"/>
    <w:rsid w:val="001E4DD4"/>
    <w:rsid w:val="001E69DC"/>
    <w:rsid w:val="001F169D"/>
    <w:rsid w:val="001F1DA1"/>
    <w:rsid w:val="001F6F93"/>
    <w:rsid w:val="001F7A20"/>
    <w:rsid w:val="0020766D"/>
    <w:rsid w:val="0021054A"/>
    <w:rsid w:val="0021195A"/>
    <w:rsid w:val="00213383"/>
    <w:rsid w:val="00220250"/>
    <w:rsid w:val="00222444"/>
    <w:rsid w:val="0022691B"/>
    <w:rsid w:val="002309B0"/>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6A24"/>
    <w:rsid w:val="002B6C12"/>
    <w:rsid w:val="002B742C"/>
    <w:rsid w:val="002B7F4D"/>
    <w:rsid w:val="002C1815"/>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48BA"/>
    <w:rsid w:val="00345CBA"/>
    <w:rsid w:val="00346245"/>
    <w:rsid w:val="00356267"/>
    <w:rsid w:val="00356BAD"/>
    <w:rsid w:val="003605B4"/>
    <w:rsid w:val="003627AC"/>
    <w:rsid w:val="00366914"/>
    <w:rsid w:val="00372FE3"/>
    <w:rsid w:val="003755CB"/>
    <w:rsid w:val="00383F85"/>
    <w:rsid w:val="003879AE"/>
    <w:rsid w:val="00387BA1"/>
    <w:rsid w:val="00392C57"/>
    <w:rsid w:val="00397FA6"/>
    <w:rsid w:val="003A306C"/>
    <w:rsid w:val="003A7DE7"/>
    <w:rsid w:val="003B1006"/>
    <w:rsid w:val="003C5F11"/>
    <w:rsid w:val="003D294B"/>
    <w:rsid w:val="003D4789"/>
    <w:rsid w:val="003D6401"/>
    <w:rsid w:val="003E1863"/>
    <w:rsid w:val="004100BB"/>
    <w:rsid w:val="0041606D"/>
    <w:rsid w:val="00416962"/>
    <w:rsid w:val="004206A8"/>
    <w:rsid w:val="00433984"/>
    <w:rsid w:val="004348CC"/>
    <w:rsid w:val="00450C58"/>
    <w:rsid w:val="004658FF"/>
    <w:rsid w:val="00474ED7"/>
    <w:rsid w:val="004756E1"/>
    <w:rsid w:val="0048008A"/>
    <w:rsid w:val="00483E94"/>
    <w:rsid w:val="00484120"/>
    <w:rsid w:val="004853A0"/>
    <w:rsid w:val="004879B4"/>
    <w:rsid w:val="00496B5F"/>
    <w:rsid w:val="004A2E10"/>
    <w:rsid w:val="004B17FF"/>
    <w:rsid w:val="004B1BA0"/>
    <w:rsid w:val="004B6CEE"/>
    <w:rsid w:val="004C2443"/>
    <w:rsid w:val="004C498F"/>
    <w:rsid w:val="004C5D29"/>
    <w:rsid w:val="004C681A"/>
    <w:rsid w:val="004D4D8A"/>
    <w:rsid w:val="004F68EE"/>
    <w:rsid w:val="00502894"/>
    <w:rsid w:val="005038D5"/>
    <w:rsid w:val="00511BA4"/>
    <w:rsid w:val="005149E7"/>
    <w:rsid w:val="005232D6"/>
    <w:rsid w:val="005333CC"/>
    <w:rsid w:val="005363F1"/>
    <w:rsid w:val="00537C1B"/>
    <w:rsid w:val="0054554D"/>
    <w:rsid w:val="00545EB6"/>
    <w:rsid w:val="0055007C"/>
    <w:rsid w:val="00554922"/>
    <w:rsid w:val="00555282"/>
    <w:rsid w:val="005560E7"/>
    <w:rsid w:val="005612CC"/>
    <w:rsid w:val="00563029"/>
    <w:rsid w:val="00565946"/>
    <w:rsid w:val="00567D12"/>
    <w:rsid w:val="00576062"/>
    <w:rsid w:val="0059559F"/>
    <w:rsid w:val="005A49FF"/>
    <w:rsid w:val="005A4C68"/>
    <w:rsid w:val="005A5912"/>
    <w:rsid w:val="005A7634"/>
    <w:rsid w:val="005B19B9"/>
    <w:rsid w:val="005B6F04"/>
    <w:rsid w:val="005C0053"/>
    <w:rsid w:val="005C0447"/>
    <w:rsid w:val="005C739F"/>
    <w:rsid w:val="005C73CA"/>
    <w:rsid w:val="005D2579"/>
    <w:rsid w:val="005D4768"/>
    <w:rsid w:val="005E2CAB"/>
    <w:rsid w:val="005E429E"/>
    <w:rsid w:val="005F6B99"/>
    <w:rsid w:val="00601642"/>
    <w:rsid w:val="00601ED4"/>
    <w:rsid w:val="006030BC"/>
    <w:rsid w:val="00612866"/>
    <w:rsid w:val="006136D9"/>
    <w:rsid w:val="00616EB5"/>
    <w:rsid w:val="00625A35"/>
    <w:rsid w:val="006269D4"/>
    <w:rsid w:val="006327D8"/>
    <w:rsid w:val="0064070A"/>
    <w:rsid w:val="00643A01"/>
    <w:rsid w:val="00646D32"/>
    <w:rsid w:val="00651D44"/>
    <w:rsid w:val="006527B7"/>
    <w:rsid w:val="006574D2"/>
    <w:rsid w:val="00663563"/>
    <w:rsid w:val="006676D4"/>
    <w:rsid w:val="00675535"/>
    <w:rsid w:val="00681359"/>
    <w:rsid w:val="0069157C"/>
    <w:rsid w:val="00696262"/>
    <w:rsid w:val="006A7668"/>
    <w:rsid w:val="006C3A4F"/>
    <w:rsid w:val="006C4845"/>
    <w:rsid w:val="006C66B3"/>
    <w:rsid w:val="006D504A"/>
    <w:rsid w:val="006D6BC1"/>
    <w:rsid w:val="006E2BFC"/>
    <w:rsid w:val="006E5C57"/>
    <w:rsid w:val="006E7F87"/>
    <w:rsid w:val="006F01F9"/>
    <w:rsid w:val="006F042D"/>
    <w:rsid w:val="006F22A5"/>
    <w:rsid w:val="00702C73"/>
    <w:rsid w:val="00713394"/>
    <w:rsid w:val="00724677"/>
    <w:rsid w:val="00725AC2"/>
    <w:rsid w:val="00732880"/>
    <w:rsid w:val="00736299"/>
    <w:rsid w:val="007416B9"/>
    <w:rsid w:val="007422FD"/>
    <w:rsid w:val="00743E46"/>
    <w:rsid w:val="00747C45"/>
    <w:rsid w:val="00756FDB"/>
    <w:rsid w:val="007629B6"/>
    <w:rsid w:val="007637F0"/>
    <w:rsid w:val="007665BF"/>
    <w:rsid w:val="00771B2A"/>
    <w:rsid w:val="007757CE"/>
    <w:rsid w:val="00775800"/>
    <w:rsid w:val="007816AA"/>
    <w:rsid w:val="00783A47"/>
    <w:rsid w:val="0079180E"/>
    <w:rsid w:val="007950CC"/>
    <w:rsid w:val="0079538B"/>
    <w:rsid w:val="007961B8"/>
    <w:rsid w:val="00797624"/>
    <w:rsid w:val="007A0B7F"/>
    <w:rsid w:val="007A29BF"/>
    <w:rsid w:val="007A4828"/>
    <w:rsid w:val="007B093D"/>
    <w:rsid w:val="007B2069"/>
    <w:rsid w:val="007C04A1"/>
    <w:rsid w:val="007C21FA"/>
    <w:rsid w:val="007D13B1"/>
    <w:rsid w:val="007D4351"/>
    <w:rsid w:val="007D5458"/>
    <w:rsid w:val="007D7019"/>
    <w:rsid w:val="007E18DB"/>
    <w:rsid w:val="007E6F1C"/>
    <w:rsid w:val="007F4302"/>
    <w:rsid w:val="007F6928"/>
    <w:rsid w:val="00803799"/>
    <w:rsid w:val="00804C69"/>
    <w:rsid w:val="0080711D"/>
    <w:rsid w:val="00814E7B"/>
    <w:rsid w:val="008155CD"/>
    <w:rsid w:val="00833325"/>
    <w:rsid w:val="00840A41"/>
    <w:rsid w:val="00842F3C"/>
    <w:rsid w:val="008505D1"/>
    <w:rsid w:val="00850622"/>
    <w:rsid w:val="00855158"/>
    <w:rsid w:val="00857EE8"/>
    <w:rsid w:val="0086464B"/>
    <w:rsid w:val="008647FC"/>
    <w:rsid w:val="00864CA8"/>
    <w:rsid w:val="00865E2D"/>
    <w:rsid w:val="00870E6C"/>
    <w:rsid w:val="00875846"/>
    <w:rsid w:val="00884486"/>
    <w:rsid w:val="008871A9"/>
    <w:rsid w:val="008916BA"/>
    <w:rsid w:val="00892176"/>
    <w:rsid w:val="00897679"/>
    <w:rsid w:val="008A1DB7"/>
    <w:rsid w:val="008A403A"/>
    <w:rsid w:val="008A426A"/>
    <w:rsid w:val="008A4C13"/>
    <w:rsid w:val="008B03FA"/>
    <w:rsid w:val="008B604D"/>
    <w:rsid w:val="008C54A9"/>
    <w:rsid w:val="008E67C3"/>
    <w:rsid w:val="008F1802"/>
    <w:rsid w:val="008F1E36"/>
    <w:rsid w:val="008F589F"/>
    <w:rsid w:val="008F76A9"/>
    <w:rsid w:val="008F7E67"/>
    <w:rsid w:val="00900DBF"/>
    <w:rsid w:val="009048B9"/>
    <w:rsid w:val="00904E91"/>
    <w:rsid w:val="00910EB4"/>
    <w:rsid w:val="00912165"/>
    <w:rsid w:val="00915886"/>
    <w:rsid w:val="00920111"/>
    <w:rsid w:val="009214DC"/>
    <w:rsid w:val="0092491B"/>
    <w:rsid w:val="00927027"/>
    <w:rsid w:val="00931A58"/>
    <w:rsid w:val="009344BA"/>
    <w:rsid w:val="00946E61"/>
    <w:rsid w:val="00947F78"/>
    <w:rsid w:val="00953234"/>
    <w:rsid w:val="00955865"/>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04D1"/>
    <w:rsid w:val="00A6210B"/>
    <w:rsid w:val="00A64EBF"/>
    <w:rsid w:val="00A707DD"/>
    <w:rsid w:val="00A71200"/>
    <w:rsid w:val="00A7323A"/>
    <w:rsid w:val="00A831B4"/>
    <w:rsid w:val="00A97798"/>
    <w:rsid w:val="00AA5213"/>
    <w:rsid w:val="00AA65A6"/>
    <w:rsid w:val="00AC1D8E"/>
    <w:rsid w:val="00AC48FA"/>
    <w:rsid w:val="00AD0240"/>
    <w:rsid w:val="00AD32D3"/>
    <w:rsid w:val="00AD4137"/>
    <w:rsid w:val="00AF2D68"/>
    <w:rsid w:val="00B00E44"/>
    <w:rsid w:val="00B037BA"/>
    <w:rsid w:val="00B143D1"/>
    <w:rsid w:val="00B20139"/>
    <w:rsid w:val="00B218DA"/>
    <w:rsid w:val="00B342FA"/>
    <w:rsid w:val="00B53E8B"/>
    <w:rsid w:val="00B63C6B"/>
    <w:rsid w:val="00B774D2"/>
    <w:rsid w:val="00B8015A"/>
    <w:rsid w:val="00B82A57"/>
    <w:rsid w:val="00BA053B"/>
    <w:rsid w:val="00BB35AE"/>
    <w:rsid w:val="00BC03A1"/>
    <w:rsid w:val="00BC0D25"/>
    <w:rsid w:val="00BD2505"/>
    <w:rsid w:val="00BE592D"/>
    <w:rsid w:val="00BF52B0"/>
    <w:rsid w:val="00BF5697"/>
    <w:rsid w:val="00C11C76"/>
    <w:rsid w:val="00C14CCC"/>
    <w:rsid w:val="00C1695E"/>
    <w:rsid w:val="00C22C1C"/>
    <w:rsid w:val="00C33F2E"/>
    <w:rsid w:val="00C34936"/>
    <w:rsid w:val="00C34C14"/>
    <w:rsid w:val="00C355B9"/>
    <w:rsid w:val="00C37EF1"/>
    <w:rsid w:val="00C401C4"/>
    <w:rsid w:val="00C41680"/>
    <w:rsid w:val="00C471A6"/>
    <w:rsid w:val="00C54232"/>
    <w:rsid w:val="00C60A25"/>
    <w:rsid w:val="00C632CD"/>
    <w:rsid w:val="00C765C5"/>
    <w:rsid w:val="00C775CE"/>
    <w:rsid w:val="00C82479"/>
    <w:rsid w:val="00C867F0"/>
    <w:rsid w:val="00C94841"/>
    <w:rsid w:val="00CA06D8"/>
    <w:rsid w:val="00CA345A"/>
    <w:rsid w:val="00CB49FF"/>
    <w:rsid w:val="00CC02CF"/>
    <w:rsid w:val="00CC086A"/>
    <w:rsid w:val="00CC6E59"/>
    <w:rsid w:val="00CD0E24"/>
    <w:rsid w:val="00CD0F66"/>
    <w:rsid w:val="00CD364B"/>
    <w:rsid w:val="00CD5EEF"/>
    <w:rsid w:val="00CE23B8"/>
    <w:rsid w:val="00CE284E"/>
    <w:rsid w:val="00CE50D7"/>
    <w:rsid w:val="00CF4CBE"/>
    <w:rsid w:val="00D00344"/>
    <w:rsid w:val="00D158D0"/>
    <w:rsid w:val="00D1754D"/>
    <w:rsid w:val="00D2223F"/>
    <w:rsid w:val="00D274A4"/>
    <w:rsid w:val="00D277AF"/>
    <w:rsid w:val="00D30DF1"/>
    <w:rsid w:val="00D31163"/>
    <w:rsid w:val="00D320B1"/>
    <w:rsid w:val="00D33AFD"/>
    <w:rsid w:val="00D36489"/>
    <w:rsid w:val="00D369E9"/>
    <w:rsid w:val="00D42195"/>
    <w:rsid w:val="00D461C9"/>
    <w:rsid w:val="00D50704"/>
    <w:rsid w:val="00D5760A"/>
    <w:rsid w:val="00D61410"/>
    <w:rsid w:val="00D8181D"/>
    <w:rsid w:val="00D85393"/>
    <w:rsid w:val="00D968D8"/>
    <w:rsid w:val="00DA0D41"/>
    <w:rsid w:val="00DA563D"/>
    <w:rsid w:val="00DA7277"/>
    <w:rsid w:val="00DB3627"/>
    <w:rsid w:val="00DB4724"/>
    <w:rsid w:val="00DB6944"/>
    <w:rsid w:val="00DC4746"/>
    <w:rsid w:val="00DD3FE9"/>
    <w:rsid w:val="00DE7149"/>
    <w:rsid w:val="00E0314C"/>
    <w:rsid w:val="00E10674"/>
    <w:rsid w:val="00E1508F"/>
    <w:rsid w:val="00E25E41"/>
    <w:rsid w:val="00E261DF"/>
    <w:rsid w:val="00E27240"/>
    <w:rsid w:val="00E27EDD"/>
    <w:rsid w:val="00E30584"/>
    <w:rsid w:val="00E310B9"/>
    <w:rsid w:val="00E37E1B"/>
    <w:rsid w:val="00E562C0"/>
    <w:rsid w:val="00E57FAF"/>
    <w:rsid w:val="00E60F18"/>
    <w:rsid w:val="00E672D6"/>
    <w:rsid w:val="00E76024"/>
    <w:rsid w:val="00E856A2"/>
    <w:rsid w:val="00E93C0F"/>
    <w:rsid w:val="00E967AD"/>
    <w:rsid w:val="00E96884"/>
    <w:rsid w:val="00EA27C6"/>
    <w:rsid w:val="00EA5435"/>
    <w:rsid w:val="00EA5F47"/>
    <w:rsid w:val="00EB455E"/>
    <w:rsid w:val="00EC79DE"/>
    <w:rsid w:val="00ED4ACE"/>
    <w:rsid w:val="00EE0BB5"/>
    <w:rsid w:val="00EE4D35"/>
    <w:rsid w:val="00EF2DA7"/>
    <w:rsid w:val="00F10812"/>
    <w:rsid w:val="00F11119"/>
    <w:rsid w:val="00F1412B"/>
    <w:rsid w:val="00F15BFA"/>
    <w:rsid w:val="00F34FAB"/>
    <w:rsid w:val="00F435AA"/>
    <w:rsid w:val="00F5738A"/>
    <w:rsid w:val="00F612D4"/>
    <w:rsid w:val="00F7389E"/>
    <w:rsid w:val="00F77F1D"/>
    <w:rsid w:val="00F83E49"/>
    <w:rsid w:val="00F87C59"/>
    <w:rsid w:val="00F87CCB"/>
    <w:rsid w:val="00FA48C7"/>
    <w:rsid w:val="00FB51FB"/>
    <w:rsid w:val="00FB73C1"/>
    <w:rsid w:val="00FE35C4"/>
    <w:rsid w:val="00FF5AA9"/>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8232">
      <w:bodyDiv w:val="1"/>
      <w:marLeft w:val="0"/>
      <w:marRight w:val="0"/>
      <w:marTop w:val="0"/>
      <w:marBottom w:val="0"/>
      <w:divBdr>
        <w:top w:val="none" w:sz="0" w:space="0" w:color="auto"/>
        <w:left w:val="none" w:sz="0" w:space="0" w:color="auto"/>
        <w:bottom w:val="none" w:sz="0" w:space="0" w:color="auto"/>
        <w:right w:val="none" w:sz="0" w:space="0" w:color="auto"/>
      </w:divBdr>
    </w:div>
    <w:div w:id="25402016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254970339">
      <w:bodyDiv w:val="1"/>
      <w:marLeft w:val="0"/>
      <w:marRight w:val="0"/>
      <w:marTop w:val="0"/>
      <w:marBottom w:val="0"/>
      <w:divBdr>
        <w:top w:val="none" w:sz="0" w:space="0" w:color="auto"/>
        <w:left w:val="none" w:sz="0" w:space="0" w:color="auto"/>
        <w:bottom w:val="none" w:sz="0" w:space="0" w:color="auto"/>
        <w:right w:val="none" w:sz="0" w:space="0" w:color="auto"/>
      </w:divBdr>
    </w:div>
    <w:div w:id="137299931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image" Target="media/image4.gif"/><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52F31"/>
    <w:rsid w:val="001736D7"/>
    <w:rsid w:val="00190AF4"/>
    <w:rsid w:val="00223DE4"/>
    <w:rsid w:val="00223FA3"/>
    <w:rsid w:val="002A288F"/>
    <w:rsid w:val="002C65A7"/>
    <w:rsid w:val="002F052A"/>
    <w:rsid w:val="002F5527"/>
    <w:rsid w:val="00350176"/>
    <w:rsid w:val="003840F0"/>
    <w:rsid w:val="00437537"/>
    <w:rsid w:val="004D785E"/>
    <w:rsid w:val="00513FC9"/>
    <w:rsid w:val="0053654E"/>
    <w:rsid w:val="00610196"/>
    <w:rsid w:val="00632A7E"/>
    <w:rsid w:val="00632AB6"/>
    <w:rsid w:val="00667864"/>
    <w:rsid w:val="00730B33"/>
    <w:rsid w:val="00772B2A"/>
    <w:rsid w:val="007C672A"/>
    <w:rsid w:val="007D4368"/>
    <w:rsid w:val="00822666"/>
    <w:rsid w:val="00823ECC"/>
    <w:rsid w:val="00826796"/>
    <w:rsid w:val="00866C97"/>
    <w:rsid w:val="008E576D"/>
    <w:rsid w:val="009017AE"/>
    <w:rsid w:val="009C542D"/>
    <w:rsid w:val="00A01A18"/>
    <w:rsid w:val="00A71EB2"/>
    <w:rsid w:val="00A95183"/>
    <w:rsid w:val="00AB4AF7"/>
    <w:rsid w:val="00AD7C4F"/>
    <w:rsid w:val="00B445F5"/>
    <w:rsid w:val="00B75B4C"/>
    <w:rsid w:val="00BD40CB"/>
    <w:rsid w:val="00C362A2"/>
    <w:rsid w:val="00C90121"/>
    <w:rsid w:val="00C96E73"/>
    <w:rsid w:val="00CA1FE8"/>
    <w:rsid w:val="00CA344F"/>
    <w:rsid w:val="00CA660C"/>
    <w:rsid w:val="00CD3C18"/>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D9E41-0B4D-46B8-9957-2A9E6168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D700C901-3C40-4C03-AF30-8401D54B3554}">
  <ds:schemaRefs>
    <ds:schemaRef ds:uri="http://www.w3.org/XML/1998/namespace"/>
    <ds:schemaRef ds:uri="http://schemas.openxmlformats.org/package/2006/metadata/core-properties"/>
    <ds:schemaRef ds:uri="76bce2c7-2e52-4525-a6e0-24f8a73e605d"/>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elements/1.1/"/>
    <ds:schemaRef ds:uri="64615f93-1352-4a7e-b7a8-3b07e39b2009"/>
  </ds:schemaRefs>
</ds:datastoreItem>
</file>

<file path=customXml/itemProps4.xml><?xml version="1.0" encoding="utf-8"?>
<ds:datastoreItem xmlns:ds="http://schemas.openxmlformats.org/officeDocument/2006/customXml" ds:itemID="{EDAF25F8-0FFD-465D-8125-42E740FA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6363</Words>
  <Characters>36271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2018-04-18T22:23:00Z</dcterms:created>
  <dcterms:modified xsi:type="dcterms:W3CDTF">2018-04-18T22:23:00Z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