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422FF4C2"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055B2B">
            <w:rPr>
              <w:rStyle w:val="Style1"/>
            </w:rPr>
            <w:t>0056</w:t>
          </w:r>
        </w:sdtContent>
      </w:sdt>
    </w:p>
    <w:p w14:paraId="0CABCF56" w14:textId="7FDED411" w:rsidR="00105D8B" w:rsidRPr="00081512"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055B2B" w:rsidRPr="00055B2B">
            <w:rPr>
              <w:rStyle w:val="Style1"/>
              <w:rFonts w:cstheme="minorHAnsi"/>
            </w:rPr>
            <w:t xml:space="preserve">Comprehensive </w:t>
          </w:r>
          <w:r w:rsidR="00055B2B" w:rsidRPr="00081512">
            <w:rPr>
              <w:rStyle w:val="Style1"/>
              <w:rFonts w:cstheme="minorHAnsi"/>
            </w:rPr>
            <w:t>Diabetes Care: Foot Exam</w:t>
          </w:r>
        </w:sdtContent>
      </w:sdt>
    </w:p>
    <w:p w14:paraId="0CABCF57" w14:textId="5F8066E2" w:rsidR="005C73CA" w:rsidRPr="00450C58" w:rsidRDefault="00105D8B" w:rsidP="009E1846">
      <w:pPr>
        <w:spacing w:after="0"/>
        <w:rPr>
          <w:rStyle w:val="Style2"/>
          <w:rFonts w:cstheme="minorHAnsi"/>
        </w:rPr>
      </w:pPr>
      <w:r w:rsidRPr="00081512">
        <w:rPr>
          <w:rFonts w:cstheme="minorHAnsi"/>
          <w:b/>
          <w:noProof/>
        </w:rPr>
        <w:t>Date of Submission</w:t>
      </w:r>
      <w:r w:rsidRPr="00081512">
        <w:rPr>
          <w:rFonts w:cstheme="minorHAnsi"/>
          <w:noProof/>
        </w:rPr>
        <w:t xml:space="preserve">:  </w:t>
      </w:r>
      <w:sdt>
        <w:sdtPr>
          <w:rPr>
            <w:rStyle w:val="Style2"/>
            <w:rFonts w:cstheme="minorHAnsi"/>
          </w:rPr>
          <w:id w:val="-1689821638"/>
          <w:placeholder>
            <w:docPart w:val="D0A5AE3409394D21BA5FA5F27780E302"/>
          </w:placeholder>
          <w:date w:fullDate="2018-03-05T00:00:00Z">
            <w:dateFormat w:val="M/d/yyyy"/>
            <w:lid w:val="en-US"/>
            <w:storeMappedDataAs w:val="dateTime"/>
            <w:calendar w:val="gregorian"/>
          </w:date>
        </w:sdtPr>
        <w:sdtEndPr>
          <w:rPr>
            <w:rStyle w:val="DefaultParagraphFont"/>
            <w:noProof/>
            <w:color w:val="auto"/>
            <w:u w:val="none"/>
          </w:rPr>
        </w:sdtEndPr>
        <w:sdtContent>
          <w:r w:rsidR="00081512" w:rsidRPr="00081512">
            <w:rPr>
              <w:rStyle w:val="Style2"/>
              <w:rFonts w:cstheme="minorHAnsi"/>
            </w:rPr>
            <w:t>3/5/2018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DB0687"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DB0687"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DB0687"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DB0687"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0BF2CF62" w:rsidR="000B7D57" w:rsidRPr="00C775CE" w:rsidRDefault="00DB0687"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055B2B">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DB0687"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DB0687"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55EA4E8F" w:rsidR="00A01494" w:rsidRPr="00A01494" w:rsidRDefault="00DB0687"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F9385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22B6EFE7" w:rsidR="00A01494" w:rsidRPr="00A01494" w:rsidRDefault="00DB0687"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8E48A5">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682CF4FE" w:rsidR="00A01494" w:rsidRPr="000F1B7A" w:rsidRDefault="00DB0687"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AC3079">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6984E307" w:rsidR="00A01494" w:rsidRPr="000F1B7A" w:rsidRDefault="00DB0687"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AC3079">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DB0687"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DB0687"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DB0687"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51BD8FDC" w:rsidR="00A01494" w:rsidRPr="000F1B7A" w:rsidRDefault="00DB0687"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73319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DB0687"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DB0687"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4F5EBD73" w:rsidR="00A01494" w:rsidRPr="000F1B7A" w:rsidRDefault="00DB0687"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3214AD">
                  <w:rPr>
                    <w:rStyle w:val="Style1"/>
                  </w:rPr>
                  <w:t>electronic health data</w:t>
                </w:r>
              </w:sdtContent>
            </w:sdt>
          </w:p>
        </w:tc>
        <w:tc>
          <w:tcPr>
            <w:tcW w:w="4847" w:type="dxa"/>
          </w:tcPr>
          <w:p w14:paraId="0CABCFAB" w14:textId="6145F183" w:rsidR="00A01494" w:rsidRPr="000F1B7A" w:rsidRDefault="00DB0687" w:rsidP="00DB3627">
            <w:pPr>
              <w:autoSpaceDE w:val="0"/>
              <w:autoSpaceDN w:val="0"/>
              <w:adjustRightInd w:val="0"/>
              <w:rPr>
                <w:rFonts w:cstheme="minorHAnsi"/>
                <w:bCs/>
              </w:rPr>
            </w:pPr>
            <w:sdt>
              <w:sdtPr>
                <w:rPr>
                  <w:rFonts w:cstheme="minorHAnsi"/>
                  <w:bCs/>
                  <w:color w:val="0000FF"/>
                </w:rPr>
                <w:id w:val="1689098749"/>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3214AD">
                  <w:rPr>
                    <w:rStyle w:val="Style1"/>
                  </w:rPr>
                  <w:t>electronic health data</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137026BE"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7D67CCC8" w14:textId="77777777" w:rsidR="0033214F" w:rsidRPr="00910EB4" w:rsidRDefault="0033214F" w:rsidP="0033214F">
      <w:pPr>
        <w:autoSpaceDE w:val="0"/>
        <w:autoSpaceDN w:val="0"/>
        <w:adjustRightInd w:val="0"/>
        <w:spacing w:after="0" w:line="240" w:lineRule="auto"/>
        <w:rPr>
          <w:rFonts w:cstheme="minorHAnsi"/>
          <w:color w:val="0000CC"/>
        </w:rPr>
      </w:pPr>
      <w:r w:rsidRPr="005B549F">
        <w:rPr>
          <w:rFonts w:cstheme="minorHAnsi"/>
          <w:color w:val="0000CC"/>
        </w:rPr>
        <w:t>N/A</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0A333600"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E208B0">
            <w:rPr>
              <w:rStyle w:val="Style1"/>
            </w:rPr>
            <w:t>2010-2012</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55FA5F82" w:rsidR="000414E8" w:rsidRPr="00A01494" w:rsidRDefault="00DB0687"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8E48A5">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4C3B1362" w:rsidR="000414E8" w:rsidRPr="00A01494" w:rsidRDefault="00DB0687"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8E48A5">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3A0D7461" w:rsidR="000414E8" w:rsidRPr="00A01494" w:rsidRDefault="00DB0687"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8E48A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3FA5FCC5" w:rsidR="000414E8" w:rsidRPr="00A01494" w:rsidRDefault="00DB0687"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8E48A5">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DB0687"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DB0687"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DB0687"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DB0687"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DB0687"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DB0687"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3F1BEECB"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DA4B4D8" w14:textId="021A2FD5" w:rsidR="0012200C" w:rsidRDefault="0012200C" w:rsidP="00DB3627">
      <w:pPr>
        <w:autoSpaceDE w:val="0"/>
        <w:autoSpaceDN w:val="0"/>
        <w:adjustRightInd w:val="0"/>
        <w:spacing w:after="0" w:line="240" w:lineRule="auto"/>
        <w:rPr>
          <w:rFonts w:cstheme="minorHAnsi"/>
          <w:bCs/>
        </w:rPr>
      </w:pPr>
    </w:p>
    <w:p w14:paraId="475A57DD" w14:textId="09E74BE3" w:rsidR="0012200C" w:rsidRPr="0056247D" w:rsidRDefault="0012200C" w:rsidP="0012200C">
      <w:pPr>
        <w:autoSpaceDE w:val="0"/>
        <w:autoSpaceDN w:val="0"/>
        <w:adjustRightInd w:val="0"/>
        <w:spacing w:after="0" w:line="240" w:lineRule="auto"/>
        <w:rPr>
          <w:rFonts w:cstheme="minorHAnsi"/>
          <w:color w:val="0033CC"/>
        </w:rPr>
      </w:pPr>
      <w:r w:rsidRPr="0056247D">
        <w:rPr>
          <w:rFonts w:cstheme="minorHAnsi"/>
          <w:color w:val="0033CC"/>
        </w:rPr>
        <w:t xml:space="preserve">We calculated measure score reliability from physician/practice level data from the NCQA Diabetes Recognition Program (DRP) that included </w:t>
      </w:r>
      <w:r w:rsidR="0056247D" w:rsidRPr="0056247D">
        <w:rPr>
          <w:rFonts w:cstheme="minorHAnsi"/>
          <w:bCs/>
          <w:color w:val="0033CC"/>
        </w:rPr>
        <w:t>2866</w:t>
      </w:r>
      <w:r w:rsidRPr="0056247D">
        <w:rPr>
          <w:rFonts w:cstheme="minorHAnsi"/>
          <w:color w:val="0033CC"/>
        </w:rPr>
        <w:t xml:space="preserve"> physicians</w:t>
      </w:r>
      <w:r w:rsidRPr="00271D2F">
        <w:rPr>
          <w:rFonts w:cstheme="minorHAnsi"/>
          <w:color w:val="0033CC"/>
        </w:rPr>
        <w:t xml:space="preserve">. </w:t>
      </w:r>
      <w:bookmarkStart w:id="11" w:name="_Hlk508034219"/>
      <w:r w:rsidRPr="00271D2F">
        <w:rPr>
          <w:rFonts w:cstheme="minorHAnsi"/>
          <w:color w:val="0033CC"/>
        </w:rPr>
        <w:t xml:space="preserve">Construct validity was calculated with </w:t>
      </w:r>
      <w:r w:rsidR="0056247D" w:rsidRPr="00271D2F">
        <w:rPr>
          <w:rFonts w:cstheme="minorHAnsi"/>
          <w:color w:val="0033CC"/>
        </w:rPr>
        <w:t xml:space="preserve">data from </w:t>
      </w:r>
      <w:r w:rsidR="00271D2F" w:rsidRPr="00271D2F">
        <w:rPr>
          <w:rFonts w:cstheme="minorHAnsi"/>
          <w:color w:val="0033CC"/>
        </w:rPr>
        <w:t>a</w:t>
      </w:r>
      <w:r w:rsidR="00271D2F">
        <w:rPr>
          <w:rFonts w:cstheme="minorHAnsi"/>
          <w:color w:val="0033CC"/>
        </w:rPr>
        <w:t xml:space="preserve"> sample </w:t>
      </w:r>
      <w:r w:rsidR="0056247D" w:rsidRPr="00271D2F">
        <w:rPr>
          <w:rFonts w:cstheme="minorHAnsi"/>
          <w:color w:val="0033CC"/>
        </w:rPr>
        <w:t>of</w:t>
      </w:r>
      <w:r w:rsidRPr="00271D2F">
        <w:rPr>
          <w:rFonts w:cstheme="minorHAnsi"/>
          <w:color w:val="0033CC"/>
        </w:rPr>
        <w:t xml:space="preserve"> 653 physicians</w:t>
      </w:r>
      <w:r w:rsidR="00271D2F">
        <w:rPr>
          <w:rFonts w:cstheme="minorHAnsi"/>
          <w:color w:val="0033CC"/>
        </w:rPr>
        <w:t>/practices</w:t>
      </w:r>
      <w:r w:rsidRPr="00271D2F">
        <w:rPr>
          <w:rFonts w:cstheme="minorHAnsi"/>
          <w:color w:val="0033CC"/>
        </w:rPr>
        <w:t>.</w:t>
      </w:r>
      <w:r w:rsidRPr="0056247D">
        <w:rPr>
          <w:rFonts w:cstheme="minorHAnsi"/>
          <w:color w:val="0033CC"/>
        </w:rPr>
        <w:t xml:space="preserve"> </w:t>
      </w:r>
    </w:p>
    <w:p w14:paraId="41A9A15F" w14:textId="77777777" w:rsidR="0012200C" w:rsidRDefault="0012200C" w:rsidP="00DB3627">
      <w:pPr>
        <w:autoSpaceDE w:val="0"/>
        <w:autoSpaceDN w:val="0"/>
        <w:adjustRightInd w:val="0"/>
        <w:spacing w:after="0" w:line="240" w:lineRule="auto"/>
        <w:rPr>
          <w:rFonts w:cstheme="minorHAnsi"/>
          <w:bCs/>
        </w:rPr>
      </w:pPr>
    </w:p>
    <w:bookmarkEnd w:id="11"/>
    <w:p w14:paraId="0CABCFC8" w14:textId="77777777" w:rsidR="002B5016" w:rsidRPr="00A25024" w:rsidRDefault="002B5016" w:rsidP="00DB3627">
      <w:pPr>
        <w:autoSpaceDE w:val="0"/>
        <w:autoSpaceDN w:val="0"/>
        <w:adjustRightInd w:val="0"/>
        <w:spacing w:after="0" w:line="240" w:lineRule="auto"/>
        <w:rPr>
          <w:rFonts w:cstheme="minorHAnsi"/>
          <w:bCs/>
        </w:rPr>
      </w:pPr>
    </w:p>
    <w:p w14:paraId="0CABCFC9" w14:textId="68E8AD35"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14:paraId="1F638824" w14:textId="4D7FAAEB" w:rsidR="0056247D" w:rsidRPr="0056247D" w:rsidRDefault="0056247D" w:rsidP="0056247D">
      <w:pPr>
        <w:autoSpaceDE w:val="0"/>
        <w:autoSpaceDN w:val="0"/>
        <w:adjustRightInd w:val="0"/>
        <w:spacing w:after="0" w:line="240" w:lineRule="auto"/>
        <w:rPr>
          <w:rFonts w:cstheme="minorHAnsi"/>
          <w:bCs/>
          <w:color w:val="0033CC"/>
        </w:rPr>
      </w:pPr>
      <w:bookmarkStart w:id="12" w:name="_Hlk508034451"/>
      <w:r w:rsidRPr="0056247D">
        <w:rPr>
          <w:rFonts w:cstheme="minorHAnsi"/>
          <w:bCs/>
          <w:color w:val="0033CC"/>
        </w:rPr>
        <w:t xml:space="preserve">NCQA’s Diabetes Recognition Program currently has more than 10,000 clinicians </w:t>
      </w:r>
      <w:r w:rsidR="00426809">
        <w:rPr>
          <w:rFonts w:cstheme="minorHAnsi"/>
          <w:bCs/>
          <w:color w:val="0033CC"/>
        </w:rPr>
        <w:t xml:space="preserve">in solo and group practice </w:t>
      </w:r>
      <w:r w:rsidRPr="0056247D">
        <w:rPr>
          <w:rFonts w:cstheme="minorHAnsi"/>
          <w:bCs/>
          <w:color w:val="0033CC"/>
        </w:rPr>
        <w:t>who hold recognition for providing quality care for their patients with diabetes. Individual clinicians or clinicians within a group practice must have face to face contact with and submit data on care delivered for a 12-month period to at least 25 different eligible adults patients with diabetes. Below is a description of the sample. It includes the number of physicians and practices reporting on this measure in the DRP program in 2012.</w:t>
      </w:r>
    </w:p>
    <w:bookmarkEnd w:id="12"/>
    <w:p w14:paraId="486A7E02" w14:textId="77777777" w:rsidR="0056247D" w:rsidRPr="0056247D" w:rsidRDefault="0056247D" w:rsidP="0056247D">
      <w:pPr>
        <w:autoSpaceDE w:val="0"/>
        <w:autoSpaceDN w:val="0"/>
        <w:adjustRightInd w:val="0"/>
        <w:spacing w:after="0" w:line="240" w:lineRule="auto"/>
        <w:rPr>
          <w:rFonts w:cstheme="minorHAnsi"/>
          <w:bCs/>
          <w:color w:val="0033CC"/>
        </w:rPr>
      </w:pPr>
    </w:p>
    <w:p w14:paraId="3870DDA8" w14:textId="0F11A6B6" w:rsidR="0056247D" w:rsidRPr="0056247D" w:rsidRDefault="0056247D" w:rsidP="0056247D">
      <w:pPr>
        <w:autoSpaceDE w:val="0"/>
        <w:autoSpaceDN w:val="0"/>
        <w:adjustRightInd w:val="0"/>
        <w:spacing w:after="0" w:line="240" w:lineRule="auto"/>
        <w:rPr>
          <w:rFonts w:cstheme="minorHAnsi"/>
          <w:bCs/>
          <w:color w:val="0033CC"/>
        </w:rPr>
      </w:pPr>
    </w:p>
    <w:tbl>
      <w:tblPr>
        <w:tblStyle w:val="TableGrid"/>
        <w:tblW w:w="0" w:type="auto"/>
        <w:tblLook w:val="04A0" w:firstRow="1" w:lastRow="0" w:firstColumn="1" w:lastColumn="0" w:noHBand="0" w:noVBand="1"/>
      </w:tblPr>
      <w:tblGrid>
        <w:gridCol w:w="2245"/>
        <w:gridCol w:w="3690"/>
        <w:gridCol w:w="3362"/>
      </w:tblGrid>
      <w:tr w:rsidR="0056247D" w:rsidRPr="0056247D" w14:paraId="6F4C5DA5" w14:textId="77777777" w:rsidTr="00C56126">
        <w:trPr>
          <w:trHeight w:val="278"/>
        </w:trPr>
        <w:tc>
          <w:tcPr>
            <w:tcW w:w="2245" w:type="dxa"/>
          </w:tcPr>
          <w:p w14:paraId="5CF44215" w14:textId="77777777" w:rsidR="0056247D" w:rsidRPr="0056247D" w:rsidRDefault="0056247D" w:rsidP="00C56126">
            <w:pPr>
              <w:autoSpaceDE w:val="0"/>
              <w:autoSpaceDN w:val="0"/>
              <w:adjustRightInd w:val="0"/>
              <w:jc w:val="center"/>
              <w:rPr>
                <w:b/>
                <w:color w:val="0033CC"/>
              </w:rPr>
            </w:pPr>
            <w:r w:rsidRPr="0056247D">
              <w:rPr>
                <w:b/>
                <w:color w:val="0033CC"/>
              </w:rPr>
              <w:t>Analysis</w:t>
            </w:r>
          </w:p>
        </w:tc>
        <w:tc>
          <w:tcPr>
            <w:tcW w:w="3690" w:type="dxa"/>
          </w:tcPr>
          <w:p w14:paraId="2198077B" w14:textId="77777777" w:rsidR="0056247D" w:rsidRPr="0056247D" w:rsidRDefault="0056247D" w:rsidP="00C56126">
            <w:pPr>
              <w:autoSpaceDE w:val="0"/>
              <w:autoSpaceDN w:val="0"/>
              <w:adjustRightInd w:val="0"/>
              <w:jc w:val="center"/>
              <w:rPr>
                <w:b/>
                <w:color w:val="0033CC"/>
              </w:rPr>
            </w:pPr>
            <w:r w:rsidRPr="0056247D">
              <w:rPr>
                <w:b/>
                <w:color w:val="0033CC"/>
              </w:rPr>
              <w:t>Number of physicians</w:t>
            </w:r>
          </w:p>
        </w:tc>
        <w:tc>
          <w:tcPr>
            <w:tcW w:w="3362" w:type="dxa"/>
          </w:tcPr>
          <w:p w14:paraId="6063CA14" w14:textId="7D1A6F0F" w:rsidR="0056247D" w:rsidRPr="0056247D" w:rsidRDefault="0056247D" w:rsidP="00C56126">
            <w:pPr>
              <w:autoSpaceDE w:val="0"/>
              <w:autoSpaceDN w:val="0"/>
              <w:adjustRightInd w:val="0"/>
              <w:jc w:val="center"/>
              <w:rPr>
                <w:b/>
                <w:color w:val="0033CC"/>
              </w:rPr>
            </w:pPr>
            <w:r w:rsidRPr="0056247D">
              <w:rPr>
                <w:b/>
                <w:color w:val="0033CC"/>
              </w:rPr>
              <w:t xml:space="preserve">Median </w:t>
            </w:r>
            <w:r w:rsidR="00271D2F">
              <w:rPr>
                <w:b/>
                <w:color w:val="0033CC"/>
              </w:rPr>
              <w:t>d</w:t>
            </w:r>
            <w:r w:rsidRPr="0056247D">
              <w:rPr>
                <w:b/>
                <w:color w:val="0033CC"/>
              </w:rPr>
              <w:t xml:space="preserve">enominator </w:t>
            </w:r>
            <w:r w:rsidR="00271D2F">
              <w:rPr>
                <w:b/>
                <w:color w:val="0033CC"/>
              </w:rPr>
              <w:t>s</w:t>
            </w:r>
            <w:r w:rsidRPr="0056247D">
              <w:rPr>
                <w:b/>
                <w:color w:val="0033CC"/>
              </w:rPr>
              <w:t>ize</w:t>
            </w:r>
          </w:p>
        </w:tc>
      </w:tr>
      <w:tr w:rsidR="0056247D" w:rsidRPr="0056247D" w14:paraId="0022ABBE" w14:textId="77777777" w:rsidTr="00C56126">
        <w:trPr>
          <w:trHeight w:val="252"/>
        </w:trPr>
        <w:tc>
          <w:tcPr>
            <w:tcW w:w="2245" w:type="dxa"/>
          </w:tcPr>
          <w:p w14:paraId="5FB170DC" w14:textId="77777777" w:rsidR="0056247D" w:rsidRPr="0056247D" w:rsidRDefault="0056247D" w:rsidP="00C56126">
            <w:pPr>
              <w:autoSpaceDE w:val="0"/>
              <w:autoSpaceDN w:val="0"/>
              <w:adjustRightInd w:val="0"/>
              <w:jc w:val="center"/>
              <w:rPr>
                <w:color w:val="0033CC"/>
              </w:rPr>
            </w:pPr>
            <w:r w:rsidRPr="0056247D">
              <w:rPr>
                <w:color w:val="0033CC"/>
              </w:rPr>
              <w:t>Reliability</w:t>
            </w:r>
          </w:p>
        </w:tc>
        <w:tc>
          <w:tcPr>
            <w:tcW w:w="3690" w:type="dxa"/>
          </w:tcPr>
          <w:p w14:paraId="354393BF" w14:textId="0042083F" w:rsidR="0056247D" w:rsidRPr="0056247D" w:rsidRDefault="0056247D" w:rsidP="00C56126">
            <w:pPr>
              <w:autoSpaceDE w:val="0"/>
              <w:autoSpaceDN w:val="0"/>
              <w:adjustRightInd w:val="0"/>
              <w:jc w:val="center"/>
              <w:rPr>
                <w:color w:val="0033CC"/>
              </w:rPr>
            </w:pPr>
            <w:r w:rsidRPr="0056247D">
              <w:rPr>
                <w:color w:val="0033CC"/>
              </w:rPr>
              <w:t>2,866</w:t>
            </w:r>
          </w:p>
        </w:tc>
        <w:tc>
          <w:tcPr>
            <w:tcW w:w="3362" w:type="dxa"/>
          </w:tcPr>
          <w:p w14:paraId="7C87C878" w14:textId="77777777" w:rsidR="0056247D" w:rsidRPr="0056247D" w:rsidRDefault="0056247D" w:rsidP="00C56126">
            <w:pPr>
              <w:autoSpaceDE w:val="0"/>
              <w:autoSpaceDN w:val="0"/>
              <w:adjustRightInd w:val="0"/>
              <w:jc w:val="center"/>
              <w:rPr>
                <w:color w:val="0033CC"/>
              </w:rPr>
            </w:pPr>
            <w:r w:rsidRPr="0056247D">
              <w:rPr>
                <w:color w:val="0033CC"/>
              </w:rPr>
              <w:t>25</w:t>
            </w:r>
          </w:p>
        </w:tc>
      </w:tr>
      <w:tr w:rsidR="0056247D" w:rsidRPr="0056247D" w14:paraId="701080BA" w14:textId="77777777" w:rsidTr="00C56126">
        <w:trPr>
          <w:trHeight w:val="252"/>
        </w:trPr>
        <w:tc>
          <w:tcPr>
            <w:tcW w:w="2245" w:type="dxa"/>
          </w:tcPr>
          <w:p w14:paraId="4D234D26" w14:textId="77777777" w:rsidR="0056247D" w:rsidRPr="0056247D" w:rsidRDefault="0056247D" w:rsidP="00C56126">
            <w:pPr>
              <w:autoSpaceDE w:val="0"/>
              <w:autoSpaceDN w:val="0"/>
              <w:adjustRightInd w:val="0"/>
              <w:jc w:val="center"/>
              <w:rPr>
                <w:color w:val="0033CC"/>
              </w:rPr>
            </w:pPr>
            <w:r w:rsidRPr="0056247D">
              <w:rPr>
                <w:color w:val="0033CC"/>
              </w:rPr>
              <w:t>Construct Validity</w:t>
            </w:r>
          </w:p>
        </w:tc>
        <w:tc>
          <w:tcPr>
            <w:tcW w:w="3690" w:type="dxa"/>
          </w:tcPr>
          <w:p w14:paraId="5E537C54" w14:textId="77777777" w:rsidR="0056247D" w:rsidRPr="0056247D" w:rsidRDefault="0056247D" w:rsidP="00C56126">
            <w:pPr>
              <w:autoSpaceDE w:val="0"/>
              <w:autoSpaceDN w:val="0"/>
              <w:adjustRightInd w:val="0"/>
              <w:jc w:val="center"/>
              <w:rPr>
                <w:color w:val="0033CC"/>
              </w:rPr>
            </w:pPr>
            <w:r w:rsidRPr="0056247D">
              <w:rPr>
                <w:color w:val="0033CC"/>
              </w:rPr>
              <w:t>653</w:t>
            </w:r>
          </w:p>
        </w:tc>
        <w:tc>
          <w:tcPr>
            <w:tcW w:w="3362" w:type="dxa"/>
          </w:tcPr>
          <w:p w14:paraId="43D57C5B" w14:textId="77777777" w:rsidR="0056247D" w:rsidRPr="0056247D" w:rsidRDefault="0056247D" w:rsidP="00C56126">
            <w:pPr>
              <w:autoSpaceDE w:val="0"/>
              <w:autoSpaceDN w:val="0"/>
              <w:adjustRightInd w:val="0"/>
              <w:jc w:val="center"/>
              <w:rPr>
                <w:color w:val="0033CC"/>
              </w:rPr>
            </w:pPr>
            <w:r w:rsidRPr="0056247D">
              <w:rPr>
                <w:color w:val="0033CC"/>
              </w:rPr>
              <w:t>25</w:t>
            </w:r>
          </w:p>
        </w:tc>
      </w:tr>
    </w:tbl>
    <w:p w14:paraId="4149BCBF" w14:textId="6D76B089" w:rsidR="0056247D" w:rsidRDefault="0056247D" w:rsidP="00DB3627">
      <w:pPr>
        <w:autoSpaceDE w:val="0"/>
        <w:autoSpaceDN w:val="0"/>
        <w:adjustRightInd w:val="0"/>
        <w:spacing w:after="0" w:line="240" w:lineRule="auto"/>
        <w:rPr>
          <w:rFonts w:cstheme="minorHAnsi"/>
          <w:bCs/>
        </w:rPr>
      </w:pPr>
    </w:p>
    <w:p w14:paraId="7D5F58F3" w14:textId="77777777" w:rsidR="0056247D" w:rsidRDefault="0056247D"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7B6F90ED" w:rsidR="00E37E1B" w:rsidRDefault="00E37E1B" w:rsidP="00E37E1B">
      <w:pPr>
        <w:autoSpaceDE w:val="0"/>
        <w:autoSpaceDN w:val="0"/>
        <w:adjustRightInd w:val="0"/>
        <w:spacing w:after="0" w:line="240" w:lineRule="auto"/>
        <w:rPr>
          <w:rFonts w:cstheme="minorHAnsi"/>
          <w:bCs/>
        </w:rPr>
      </w:pPr>
    </w:p>
    <w:p w14:paraId="015EB762" w14:textId="1BEFB416" w:rsidR="0056247D" w:rsidRPr="006B4C66" w:rsidRDefault="0056247D" w:rsidP="0056247D">
      <w:pPr>
        <w:autoSpaceDE w:val="0"/>
        <w:autoSpaceDN w:val="0"/>
        <w:adjustRightInd w:val="0"/>
        <w:spacing w:after="0" w:line="240" w:lineRule="auto"/>
        <w:rPr>
          <w:color w:val="0000FF"/>
        </w:rPr>
      </w:pPr>
      <w:bookmarkStart w:id="13" w:name="_Hlk502836411"/>
      <w:r w:rsidRPr="3C795A04">
        <w:rPr>
          <w:color w:val="0000FF"/>
        </w:rPr>
        <w:t>Reliability was tested using a beta-binomial calculation. This analysis included the entire DRP sample described above.</w:t>
      </w:r>
      <w:bookmarkEnd w:id="13"/>
    </w:p>
    <w:p w14:paraId="29ADDB28" w14:textId="77777777" w:rsidR="0056247D" w:rsidRDefault="0056247D" w:rsidP="0056247D">
      <w:pPr>
        <w:autoSpaceDE w:val="0"/>
        <w:autoSpaceDN w:val="0"/>
        <w:adjustRightInd w:val="0"/>
        <w:spacing w:after="0" w:line="240" w:lineRule="auto"/>
        <w:rPr>
          <w:rFonts w:cstheme="minorHAnsi"/>
          <w:bCs/>
        </w:rPr>
      </w:pPr>
    </w:p>
    <w:p w14:paraId="64D857DA" w14:textId="717E9956" w:rsidR="0056247D" w:rsidRDefault="0056247D" w:rsidP="0056247D">
      <w:pPr>
        <w:autoSpaceDE w:val="0"/>
        <w:autoSpaceDN w:val="0"/>
        <w:adjustRightInd w:val="0"/>
        <w:spacing w:after="0" w:line="240" w:lineRule="auto"/>
        <w:rPr>
          <w:color w:val="0000FF"/>
        </w:rPr>
      </w:pPr>
      <w:bookmarkStart w:id="14" w:name="_Hlk502836429"/>
      <w:bookmarkStart w:id="15" w:name="_Hlk507754704"/>
      <w:r w:rsidRPr="00271D2F">
        <w:rPr>
          <w:color w:val="0000FF"/>
        </w:rPr>
        <w:t xml:space="preserve">Validity was demonstrated through construct validity </w:t>
      </w:r>
      <w:bookmarkStart w:id="16" w:name="_Hlk507766052"/>
      <w:r w:rsidRPr="00271D2F">
        <w:rPr>
          <w:color w:val="0000FF"/>
        </w:rPr>
        <w:t xml:space="preserve">using data from </w:t>
      </w:r>
      <w:r w:rsidR="00271D2F" w:rsidRPr="00271D2F">
        <w:rPr>
          <w:color w:val="0000FF"/>
        </w:rPr>
        <w:t>a</w:t>
      </w:r>
      <w:r w:rsidRPr="00271D2F">
        <w:rPr>
          <w:color w:val="0000FF"/>
        </w:rPr>
        <w:t xml:space="preserve"> </w:t>
      </w:r>
      <w:r w:rsidR="00271D2F" w:rsidRPr="00271D2F">
        <w:rPr>
          <w:color w:val="0000FF"/>
        </w:rPr>
        <w:t>sample of 653 physicians</w:t>
      </w:r>
      <w:r w:rsidR="00271D2F">
        <w:rPr>
          <w:color w:val="0000FF"/>
        </w:rPr>
        <w:t>/practices</w:t>
      </w:r>
      <w:r w:rsidRPr="00271D2F">
        <w:rPr>
          <w:color w:val="0000FF"/>
        </w:rPr>
        <w:t xml:space="preserve"> </w:t>
      </w:r>
      <w:bookmarkEnd w:id="16"/>
      <w:r w:rsidRPr="00271D2F">
        <w:rPr>
          <w:color w:val="0000FF"/>
        </w:rPr>
        <w:t>and through a systematic assessment of face validity with expert panels.</w:t>
      </w:r>
      <w:bookmarkEnd w:id="14"/>
    </w:p>
    <w:bookmarkEnd w:id="15"/>
    <w:p w14:paraId="0217C23F" w14:textId="6BC10DF3" w:rsidR="0056247D" w:rsidRDefault="0056247D" w:rsidP="00E37E1B">
      <w:pPr>
        <w:autoSpaceDE w:val="0"/>
        <w:autoSpaceDN w:val="0"/>
        <w:adjustRightInd w:val="0"/>
        <w:spacing w:after="0" w:line="240" w:lineRule="auto"/>
        <w:rPr>
          <w:rFonts w:cstheme="minorHAnsi"/>
          <w:bCs/>
        </w:rPr>
      </w:pPr>
    </w:p>
    <w:p w14:paraId="53D3A36E" w14:textId="77777777" w:rsidR="0056247D" w:rsidRDefault="0056247D" w:rsidP="00E37E1B">
      <w:pPr>
        <w:autoSpaceDE w:val="0"/>
        <w:autoSpaceDN w:val="0"/>
        <w:adjustRightInd w:val="0"/>
        <w:spacing w:after="0" w:line="240" w:lineRule="auto"/>
        <w:rPr>
          <w:rFonts w:cstheme="minorHAnsi"/>
          <w:bCs/>
        </w:rPr>
      </w:pPr>
    </w:p>
    <w:p w14:paraId="0CABCFCC" w14:textId="45DA31CE"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5EB576EA" w14:textId="2D9A0BC7" w:rsidR="00293FD6" w:rsidRDefault="00293FD6" w:rsidP="00E37E1B">
      <w:pPr>
        <w:autoSpaceDE w:val="0"/>
        <w:autoSpaceDN w:val="0"/>
        <w:adjustRightInd w:val="0"/>
        <w:spacing w:after="0" w:line="240" w:lineRule="auto"/>
        <w:rPr>
          <w:rFonts w:cstheme="minorHAnsi"/>
          <w:bCs/>
        </w:rPr>
      </w:pPr>
    </w:p>
    <w:p w14:paraId="32AFDC7A" w14:textId="77777777" w:rsidR="00293FD6" w:rsidRPr="006C66B3" w:rsidRDefault="00293FD6" w:rsidP="00293FD6">
      <w:pPr>
        <w:autoSpaceDE w:val="0"/>
        <w:autoSpaceDN w:val="0"/>
        <w:adjustRightInd w:val="0"/>
        <w:spacing w:after="0" w:line="240" w:lineRule="auto"/>
        <w:rPr>
          <w:rFonts w:cstheme="minorHAnsi"/>
          <w:noProof/>
          <w:color w:val="0000CC"/>
        </w:rPr>
      </w:pPr>
      <w:r w:rsidRPr="00770FFF">
        <w:rPr>
          <w:rFonts w:cstheme="minorHAnsi"/>
          <w:noProof/>
          <w:color w:val="0000CC"/>
        </w:rPr>
        <w:t>We did not analy</w:t>
      </w:r>
      <w:r>
        <w:rPr>
          <w:rFonts w:cstheme="minorHAnsi"/>
          <w:noProof/>
          <w:color w:val="0000CC"/>
        </w:rPr>
        <w:t>z</w:t>
      </w:r>
      <w:r w:rsidRPr="00770FFF">
        <w:rPr>
          <w:rFonts w:cstheme="minorHAnsi"/>
          <w:noProof/>
          <w:color w:val="0000CC"/>
        </w:rPr>
        <w:t>e performance by social risk factors.</w:t>
      </w:r>
    </w:p>
    <w:p w14:paraId="09C2A404" w14:textId="77777777" w:rsidR="00293FD6" w:rsidRDefault="00293FD6" w:rsidP="00E37E1B">
      <w:pPr>
        <w:autoSpaceDE w:val="0"/>
        <w:autoSpaceDN w:val="0"/>
        <w:adjustRightInd w:val="0"/>
        <w:spacing w:after="0" w:line="240" w:lineRule="auto"/>
        <w:rPr>
          <w:rFonts w:cstheme="minorHAnsi"/>
          <w:bCs/>
        </w:rPr>
      </w:pP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13F36055"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93FD6">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lastRenderedPageBreak/>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68B5D742" w:rsidR="008C54A9" w:rsidRDefault="008C54A9" w:rsidP="008C54A9">
      <w:pPr>
        <w:autoSpaceDE w:val="0"/>
        <w:autoSpaceDN w:val="0"/>
        <w:adjustRightInd w:val="0"/>
        <w:spacing w:after="0" w:line="240" w:lineRule="auto"/>
        <w:rPr>
          <w:rFonts w:cstheme="minorHAnsi"/>
          <w:bCs/>
        </w:rPr>
      </w:pPr>
    </w:p>
    <w:p w14:paraId="15F49F98" w14:textId="2A1806DB" w:rsidR="00293FD6" w:rsidRPr="004D0701" w:rsidRDefault="00293FD6" w:rsidP="00293FD6">
      <w:pPr>
        <w:autoSpaceDE w:val="0"/>
        <w:autoSpaceDN w:val="0"/>
        <w:adjustRightInd w:val="0"/>
        <w:spacing w:after="0" w:line="240" w:lineRule="auto"/>
        <w:rPr>
          <w:rFonts w:ascii="Calibri" w:eastAsia="Calibri" w:hAnsi="Calibri" w:cs="Times New Roman"/>
          <w:bCs/>
          <w:color w:val="0000FF"/>
        </w:rPr>
      </w:pPr>
      <w:r w:rsidRPr="004D0701">
        <w:rPr>
          <w:rFonts w:ascii="Calibri" w:eastAsia="Calibri" w:hAnsi="Calibri" w:cs="Times New Roman"/>
          <w:bCs/>
          <w:color w:val="0000FF"/>
        </w:rPr>
        <w:t xml:space="preserve">Reliability was estimated by using the beta-binomial model </w:t>
      </w:r>
      <w:r w:rsidRPr="004D0701">
        <w:rPr>
          <w:rFonts w:cstheme="minorHAnsi"/>
          <w:bCs/>
          <w:color w:val="0000FF"/>
        </w:rPr>
        <w:t xml:space="preserve">for the physician/practice level </w:t>
      </w:r>
      <w:r>
        <w:rPr>
          <w:rFonts w:cstheme="minorHAnsi"/>
          <w:bCs/>
          <w:color w:val="0000FF"/>
        </w:rPr>
        <w:t xml:space="preserve">Diabetes Recognition Program </w:t>
      </w:r>
      <w:r w:rsidRPr="004D0701">
        <w:rPr>
          <w:rFonts w:cstheme="minorHAnsi"/>
          <w:bCs/>
          <w:color w:val="0000FF"/>
        </w:rPr>
        <w:t>measure</w:t>
      </w:r>
      <w:r w:rsidRPr="004D0701">
        <w:rPr>
          <w:rFonts w:ascii="Calibri" w:eastAsia="Calibri" w:hAnsi="Calibri" w:cs="Times New Roman"/>
          <w:bCs/>
          <w:color w:val="0000FF"/>
        </w:rPr>
        <w:t xml:space="preserve">. The beta-binomial model assumes the </w:t>
      </w:r>
      <w:r>
        <w:rPr>
          <w:rFonts w:ascii="Calibri" w:eastAsia="Calibri" w:hAnsi="Calibri" w:cs="Times New Roman"/>
          <w:bCs/>
          <w:color w:val="0000FF"/>
        </w:rPr>
        <w:t>performance</w:t>
      </w:r>
      <w:r w:rsidRPr="004D0701">
        <w:rPr>
          <w:rFonts w:ascii="Calibri" w:eastAsia="Calibri" w:hAnsi="Calibri" w:cs="Times New Roman"/>
          <w:bCs/>
          <w:color w:val="0000FF"/>
        </w:rPr>
        <w:t xml:space="preserve"> score is a binomial random variable conditional on the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 </w:t>
      </w:r>
      <w:r>
        <w:rPr>
          <w:color w:val="0000FF"/>
        </w:rPr>
        <w:t>T</w:t>
      </w:r>
      <w:r w:rsidRPr="00583359">
        <w:rPr>
          <w:color w:val="0000FF"/>
        </w:rPr>
        <w:t>his is the general way we look at beta</w:t>
      </w:r>
      <w:r>
        <w:rPr>
          <w:color w:val="0000FF"/>
        </w:rPr>
        <w:t>-</w:t>
      </w:r>
      <w:r w:rsidRPr="00583359">
        <w:rPr>
          <w:color w:val="0000FF"/>
        </w:rPr>
        <w:t>binomial data, which is typically drawn from a group</w:t>
      </w:r>
      <w:r>
        <w:rPr>
          <w:color w:val="0000FF"/>
        </w:rPr>
        <w:t xml:space="preserve"> with varied performance. We will note however, that for this measure, </w:t>
      </w:r>
      <w:r w:rsidRPr="00583359">
        <w:rPr>
          <w:color w:val="0000FF"/>
        </w:rPr>
        <w:t>our data does not comply with those assumptions</w:t>
      </w:r>
      <w:r>
        <w:rPr>
          <w:color w:val="0000FF"/>
        </w:rPr>
        <w:t>.</w:t>
      </w:r>
    </w:p>
    <w:p w14:paraId="649B3A78" w14:textId="77777777" w:rsidR="00293FD6" w:rsidRPr="004D0701" w:rsidRDefault="00293FD6" w:rsidP="00293FD6">
      <w:pPr>
        <w:autoSpaceDE w:val="0"/>
        <w:autoSpaceDN w:val="0"/>
        <w:adjustRightInd w:val="0"/>
        <w:spacing w:after="0" w:line="240" w:lineRule="auto"/>
        <w:rPr>
          <w:rFonts w:ascii="Calibri" w:eastAsia="Calibri" w:hAnsi="Calibri" w:cs="Times New Roman"/>
          <w:bCs/>
          <w:color w:val="0000FF"/>
        </w:rPr>
      </w:pPr>
    </w:p>
    <w:p w14:paraId="321F0CE6" w14:textId="77777777" w:rsidR="00293FD6" w:rsidRPr="004D0701" w:rsidRDefault="00293FD6" w:rsidP="00293FD6">
      <w:pPr>
        <w:autoSpaceDE w:val="0"/>
        <w:autoSpaceDN w:val="0"/>
        <w:adjustRightInd w:val="0"/>
        <w:spacing w:after="0" w:line="240" w:lineRule="auto"/>
        <w:rPr>
          <w:rFonts w:cstheme="minorHAnsi"/>
          <w:bCs/>
          <w:color w:val="0000FF"/>
        </w:rPr>
      </w:pPr>
      <w:r w:rsidRPr="004D0701">
        <w:rPr>
          <w:rFonts w:ascii="Calibri" w:eastAsia="Calibri" w:hAnsi="Calibri" w:cs="Times New Roman"/>
          <w:bCs/>
          <w:color w:val="0000FF"/>
        </w:rPr>
        <w:t xml:space="preserve">Reliability </w:t>
      </w:r>
      <w:r>
        <w:rPr>
          <w:rFonts w:ascii="Calibri" w:eastAsia="Calibri" w:hAnsi="Calibri" w:cs="Times New Roman"/>
          <w:bCs/>
          <w:color w:val="0000FF"/>
        </w:rPr>
        <w:t>as we’ve described it</w:t>
      </w:r>
      <w:r w:rsidRPr="004D0701">
        <w:rPr>
          <w:rFonts w:ascii="Calibri" w:eastAsia="Calibri" w:hAnsi="Calibri" w:cs="Times New Roman"/>
          <w:bCs/>
          <w:color w:val="0000FF"/>
        </w:rPr>
        <w:t xml:space="preserv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w:t>
      </w:r>
    </w:p>
    <w:p w14:paraId="1CC42230" w14:textId="77777777" w:rsidR="00293FD6" w:rsidRPr="00A25024" w:rsidRDefault="00293FD6" w:rsidP="00293FD6">
      <w:pPr>
        <w:autoSpaceDE w:val="0"/>
        <w:autoSpaceDN w:val="0"/>
        <w:adjustRightInd w:val="0"/>
        <w:spacing w:after="0" w:line="240" w:lineRule="auto"/>
        <w:rPr>
          <w:rFonts w:cstheme="minorHAnsi"/>
          <w:bCs/>
        </w:rPr>
      </w:pPr>
    </w:p>
    <w:p w14:paraId="62906B97" w14:textId="7AB33118" w:rsidR="00293FD6" w:rsidRPr="00293FD6" w:rsidRDefault="00092566" w:rsidP="00293FD6">
      <w:pPr>
        <w:autoSpaceDE w:val="0"/>
        <w:autoSpaceDN w:val="0"/>
        <w:adjustRightInd w:val="0"/>
        <w:spacing w:after="0" w:line="240" w:lineRule="auto"/>
        <w:rPr>
          <w:rFonts w:cstheme="minorHAnsi"/>
          <w:bCs/>
          <w:color w:val="0000CC"/>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tbl>
      <w:tblPr>
        <w:tblStyle w:val="TableGrid1"/>
        <w:tblW w:w="0" w:type="auto"/>
        <w:tblLook w:val="04A0" w:firstRow="1" w:lastRow="0" w:firstColumn="1" w:lastColumn="0" w:noHBand="0" w:noVBand="1"/>
      </w:tblPr>
      <w:tblGrid>
        <w:gridCol w:w="4675"/>
        <w:gridCol w:w="4675"/>
      </w:tblGrid>
      <w:tr w:rsidR="00293FD6" w:rsidRPr="00293FD6" w14:paraId="7B1BAE04" w14:textId="77777777" w:rsidTr="00C56126">
        <w:tc>
          <w:tcPr>
            <w:tcW w:w="4675" w:type="dxa"/>
          </w:tcPr>
          <w:p w14:paraId="597C7378" w14:textId="77777777" w:rsidR="00293FD6" w:rsidRPr="00293FD6" w:rsidRDefault="00293FD6" w:rsidP="00293FD6">
            <w:pPr>
              <w:autoSpaceDE w:val="0"/>
              <w:autoSpaceDN w:val="0"/>
              <w:adjustRightInd w:val="0"/>
              <w:rPr>
                <w:rFonts w:cstheme="minorHAnsi"/>
                <w:b/>
                <w:bCs/>
                <w:color w:val="0000CC"/>
              </w:rPr>
            </w:pPr>
            <w:r w:rsidRPr="00293FD6">
              <w:rPr>
                <w:rFonts w:cstheme="minorHAnsi"/>
                <w:b/>
                <w:bCs/>
                <w:color w:val="0000CC"/>
              </w:rPr>
              <w:t>Product Type</w:t>
            </w:r>
          </w:p>
        </w:tc>
        <w:tc>
          <w:tcPr>
            <w:tcW w:w="4675" w:type="dxa"/>
          </w:tcPr>
          <w:p w14:paraId="1666A6DA" w14:textId="77777777" w:rsidR="00293FD6" w:rsidRPr="00293FD6" w:rsidRDefault="00293FD6" w:rsidP="00293FD6">
            <w:pPr>
              <w:autoSpaceDE w:val="0"/>
              <w:autoSpaceDN w:val="0"/>
              <w:adjustRightInd w:val="0"/>
              <w:jc w:val="center"/>
              <w:rPr>
                <w:rFonts w:cstheme="minorHAnsi"/>
                <w:b/>
                <w:bCs/>
                <w:color w:val="0000CC"/>
              </w:rPr>
            </w:pPr>
            <w:r w:rsidRPr="00293FD6">
              <w:rPr>
                <w:rFonts w:cstheme="minorHAnsi"/>
                <w:b/>
                <w:bCs/>
                <w:color w:val="0000CC"/>
              </w:rPr>
              <w:t>Reliability per Beta Binomial Model</w:t>
            </w:r>
          </w:p>
        </w:tc>
      </w:tr>
      <w:tr w:rsidR="00293FD6" w:rsidRPr="00293FD6" w14:paraId="79BF9EAE" w14:textId="77777777" w:rsidTr="00C56126">
        <w:tc>
          <w:tcPr>
            <w:tcW w:w="4675" w:type="dxa"/>
          </w:tcPr>
          <w:p w14:paraId="6FEFD1D3" w14:textId="77777777" w:rsidR="00293FD6" w:rsidRPr="00293FD6" w:rsidRDefault="00293FD6" w:rsidP="00293FD6">
            <w:pPr>
              <w:autoSpaceDE w:val="0"/>
              <w:autoSpaceDN w:val="0"/>
              <w:adjustRightInd w:val="0"/>
              <w:rPr>
                <w:rFonts w:cstheme="minorHAnsi"/>
                <w:bCs/>
                <w:color w:val="0000CC"/>
              </w:rPr>
            </w:pPr>
            <w:r w:rsidRPr="00293FD6">
              <w:rPr>
                <w:rFonts w:cstheme="minorHAnsi"/>
                <w:bCs/>
                <w:color w:val="0000CC"/>
              </w:rPr>
              <w:t>Diabetes Recognition Program</w:t>
            </w:r>
          </w:p>
        </w:tc>
        <w:tc>
          <w:tcPr>
            <w:tcW w:w="4675" w:type="dxa"/>
          </w:tcPr>
          <w:p w14:paraId="5E518DF3" w14:textId="19FEBAE5" w:rsidR="00293FD6" w:rsidRPr="00293FD6" w:rsidRDefault="00293FD6" w:rsidP="00293FD6">
            <w:pPr>
              <w:autoSpaceDE w:val="0"/>
              <w:autoSpaceDN w:val="0"/>
              <w:adjustRightInd w:val="0"/>
              <w:jc w:val="center"/>
              <w:rPr>
                <w:rFonts w:cstheme="minorHAnsi"/>
                <w:bCs/>
                <w:color w:val="0000CC"/>
              </w:rPr>
            </w:pPr>
            <w:r w:rsidRPr="00293FD6">
              <w:rPr>
                <w:rFonts w:cstheme="minorHAnsi"/>
                <w:bCs/>
                <w:color w:val="0000CC"/>
              </w:rPr>
              <w:t>0.</w:t>
            </w:r>
            <w:r>
              <w:rPr>
                <w:rFonts w:cstheme="minorHAnsi"/>
                <w:bCs/>
                <w:color w:val="0000CC"/>
              </w:rPr>
              <w:t>91</w:t>
            </w:r>
          </w:p>
        </w:tc>
      </w:tr>
    </w:tbl>
    <w:p w14:paraId="06A24237" w14:textId="77777777" w:rsidR="00293FD6" w:rsidRPr="00A25024" w:rsidRDefault="00293FD6" w:rsidP="008C54A9">
      <w:pPr>
        <w:autoSpaceDE w:val="0"/>
        <w:autoSpaceDN w:val="0"/>
        <w:adjustRightInd w:val="0"/>
        <w:spacing w:after="0" w:line="240" w:lineRule="auto"/>
        <w:rPr>
          <w:rFonts w:cstheme="minorHAnsi"/>
          <w:bCs/>
        </w:rPr>
      </w:pPr>
    </w:p>
    <w:p w14:paraId="62FB0E30" w14:textId="77777777" w:rsidR="00293FD6" w:rsidRDefault="00293FD6" w:rsidP="00DB3627">
      <w:pPr>
        <w:autoSpaceDE w:val="0"/>
        <w:autoSpaceDN w:val="0"/>
        <w:adjustRightInd w:val="0"/>
        <w:spacing w:after="0" w:line="240" w:lineRule="auto"/>
        <w:rPr>
          <w:rFonts w:cstheme="minorHAnsi"/>
          <w:b/>
          <w:bCs/>
        </w:rPr>
      </w:pPr>
    </w:p>
    <w:p w14:paraId="0CABCFD4" w14:textId="02B178E9"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2DA20701" w14:textId="6D34382E" w:rsidR="00293FD6" w:rsidRPr="00293FD6" w:rsidRDefault="00293FD6" w:rsidP="00293FD6">
      <w:pPr>
        <w:autoSpaceDE w:val="0"/>
        <w:autoSpaceDN w:val="0"/>
        <w:adjustRightInd w:val="0"/>
        <w:spacing w:after="0" w:line="240" w:lineRule="auto"/>
        <w:rPr>
          <w:rFonts w:cstheme="minorHAnsi"/>
          <w:noProof/>
          <w:color w:val="0000CC"/>
        </w:rPr>
      </w:pPr>
      <w:r w:rsidRPr="00293FD6">
        <w:rPr>
          <w:rFonts w:cstheme="minorHAnsi"/>
          <w:noProof/>
          <w:color w:val="0000CC"/>
        </w:rPr>
        <w:t>The value for the beta-binomial statistic for the physician level measure suggest</w:t>
      </w:r>
      <w:r>
        <w:rPr>
          <w:rFonts w:cstheme="minorHAnsi"/>
          <w:noProof/>
          <w:color w:val="0000CC"/>
        </w:rPr>
        <w:t>s</w:t>
      </w:r>
      <w:r w:rsidRPr="00293FD6">
        <w:rPr>
          <w:rFonts w:cstheme="minorHAnsi"/>
          <w:noProof/>
          <w:color w:val="0000CC"/>
        </w:rPr>
        <w:t xml:space="preserve"> the measure has high reliability.</w:t>
      </w:r>
    </w:p>
    <w:p w14:paraId="6D78440E" w14:textId="77777777" w:rsidR="00293FD6" w:rsidRPr="00A25024" w:rsidRDefault="00293FD6"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011F4783" w:rsidR="00696262" w:rsidRPr="00A25024" w:rsidRDefault="00DB0687"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293FD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638D11D" w:rsidR="000574AB" w:rsidRPr="00A25024" w:rsidRDefault="00DB0687"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293FD6">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293FD6">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0CABCFDC" w14:textId="23CABF8D" w:rsidR="00833325" w:rsidRDefault="009C7513" w:rsidP="00DB3627">
      <w:pPr>
        <w:autoSpaceDE w:val="0"/>
        <w:autoSpaceDN w:val="0"/>
        <w:adjustRightInd w:val="0"/>
        <w:spacing w:after="0"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38DE3918" w14:textId="77777777" w:rsidR="00293FD6" w:rsidRPr="007A0B7F" w:rsidRDefault="00293FD6" w:rsidP="00293FD6">
      <w:pPr>
        <w:autoSpaceDE w:val="0"/>
        <w:autoSpaceDN w:val="0"/>
        <w:adjustRightInd w:val="0"/>
        <w:spacing w:after="0" w:line="240" w:lineRule="auto"/>
        <w:rPr>
          <w:rFonts w:cstheme="minorHAnsi"/>
          <w:bCs/>
          <w:color w:val="3333FF"/>
        </w:rPr>
      </w:pPr>
      <w:r w:rsidRPr="007A0B7F">
        <w:rPr>
          <w:rFonts w:cstheme="minorHAnsi"/>
          <w:bCs/>
          <w:color w:val="3333FF"/>
        </w:rPr>
        <w:t>We tested for construct validity by exploring whether the measure was correlated with other similar measures of quality in NCQA’s Diabetes Recognition Program hypothesized to be related, which are listed below.</w:t>
      </w:r>
    </w:p>
    <w:p w14:paraId="79FD1514" w14:textId="5CE28127" w:rsidR="00586532" w:rsidRPr="007A0B7F" w:rsidRDefault="00586532" w:rsidP="00586532">
      <w:pPr>
        <w:numPr>
          <w:ilvl w:val="0"/>
          <w:numId w:val="30"/>
        </w:numPr>
        <w:autoSpaceDE w:val="0"/>
        <w:autoSpaceDN w:val="0"/>
        <w:adjustRightInd w:val="0"/>
        <w:spacing w:after="0" w:line="240" w:lineRule="auto"/>
        <w:contextualSpacing/>
        <w:rPr>
          <w:rFonts w:cstheme="minorHAnsi"/>
          <w:bCs/>
          <w:color w:val="3333FF"/>
        </w:rPr>
      </w:pPr>
      <w:r>
        <w:rPr>
          <w:rFonts w:cstheme="minorHAnsi"/>
          <w:bCs/>
          <w:color w:val="3333FF"/>
        </w:rPr>
        <w:t>Eye</w:t>
      </w:r>
      <w:r w:rsidRPr="007A0B7F">
        <w:rPr>
          <w:rFonts w:cstheme="minorHAnsi"/>
          <w:bCs/>
          <w:color w:val="3333FF"/>
        </w:rPr>
        <w:t xml:space="preserve"> </w:t>
      </w:r>
      <w:r>
        <w:rPr>
          <w:rFonts w:cstheme="minorHAnsi"/>
          <w:bCs/>
          <w:color w:val="3333FF"/>
        </w:rPr>
        <w:t>E</w:t>
      </w:r>
      <w:r w:rsidRPr="007A0B7F">
        <w:rPr>
          <w:rFonts w:cstheme="minorHAnsi"/>
          <w:bCs/>
          <w:color w:val="3333FF"/>
        </w:rPr>
        <w:t>xam</w:t>
      </w:r>
    </w:p>
    <w:p w14:paraId="7D1E9C91" w14:textId="4B49196C" w:rsidR="00586532" w:rsidRPr="007A0B7F" w:rsidRDefault="00586532" w:rsidP="00586532">
      <w:pPr>
        <w:numPr>
          <w:ilvl w:val="0"/>
          <w:numId w:val="30"/>
        </w:numPr>
        <w:autoSpaceDE w:val="0"/>
        <w:autoSpaceDN w:val="0"/>
        <w:adjustRightInd w:val="0"/>
        <w:spacing w:after="0" w:line="240" w:lineRule="auto"/>
        <w:contextualSpacing/>
        <w:rPr>
          <w:rFonts w:cstheme="minorHAnsi"/>
          <w:bCs/>
          <w:color w:val="3333FF"/>
        </w:rPr>
      </w:pPr>
      <w:r w:rsidRPr="007A0B7F">
        <w:rPr>
          <w:rFonts w:cstheme="minorHAnsi"/>
          <w:bCs/>
          <w:color w:val="3333FF"/>
        </w:rPr>
        <w:t xml:space="preserve">Medical </w:t>
      </w:r>
      <w:r>
        <w:rPr>
          <w:rFonts w:cstheme="minorHAnsi"/>
          <w:bCs/>
          <w:color w:val="3333FF"/>
        </w:rPr>
        <w:t>A</w:t>
      </w:r>
      <w:r w:rsidRPr="007A0B7F">
        <w:rPr>
          <w:rFonts w:cstheme="minorHAnsi"/>
          <w:bCs/>
          <w:color w:val="3333FF"/>
        </w:rPr>
        <w:t xml:space="preserve">ttention for </w:t>
      </w:r>
      <w:r>
        <w:rPr>
          <w:rFonts w:cstheme="minorHAnsi"/>
          <w:bCs/>
          <w:color w:val="3333FF"/>
        </w:rPr>
        <w:t>N</w:t>
      </w:r>
      <w:r w:rsidRPr="007A0B7F">
        <w:rPr>
          <w:rFonts w:cstheme="minorHAnsi"/>
          <w:bCs/>
          <w:color w:val="3333FF"/>
        </w:rPr>
        <w:t>ephropathy</w:t>
      </w:r>
    </w:p>
    <w:p w14:paraId="313F3E76" w14:textId="77777777" w:rsidR="00293FD6" w:rsidRDefault="00293FD6" w:rsidP="00DB3627">
      <w:pPr>
        <w:autoSpaceDE w:val="0"/>
        <w:autoSpaceDN w:val="0"/>
        <w:adjustRightInd w:val="0"/>
        <w:spacing w:after="0" w:line="240" w:lineRule="auto"/>
        <w:rPr>
          <w:rFonts w:cstheme="minorHAnsi"/>
          <w:bCs/>
        </w:rPr>
      </w:pPr>
    </w:p>
    <w:p w14:paraId="4C8549F5" w14:textId="77777777" w:rsidR="00293FD6" w:rsidRPr="00293FD6" w:rsidRDefault="00293FD6" w:rsidP="00293FD6">
      <w:pPr>
        <w:autoSpaceDE w:val="0"/>
        <w:autoSpaceDN w:val="0"/>
        <w:adjustRightInd w:val="0"/>
        <w:spacing w:after="0" w:line="240" w:lineRule="auto"/>
        <w:rPr>
          <w:rFonts w:cstheme="minorHAnsi"/>
          <w:bCs/>
          <w:color w:val="3333FF"/>
        </w:rPr>
      </w:pPr>
      <w:r w:rsidRPr="00293FD6">
        <w:rPr>
          <w:rFonts w:cstheme="minorHAnsi"/>
          <w:bCs/>
          <w:color w:val="3333FF"/>
        </w:rPr>
        <w:t>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w:t>
      </w:r>
    </w:p>
    <w:p w14:paraId="0FF395D3" w14:textId="77777777" w:rsidR="00293FD6" w:rsidRPr="00A25024" w:rsidRDefault="00293FD6" w:rsidP="00DB3627">
      <w:pPr>
        <w:autoSpaceDE w:val="0"/>
        <w:autoSpaceDN w:val="0"/>
        <w:adjustRightInd w:val="0"/>
        <w:spacing w:after="0" w:line="240" w:lineRule="auto"/>
        <w:rPr>
          <w:rFonts w:cstheme="minorHAnsi"/>
          <w:bCs/>
        </w:rPr>
      </w:pPr>
    </w:p>
    <w:p w14:paraId="48C2238C" w14:textId="55BF3626" w:rsidR="002E6B4F" w:rsidRPr="002E6B4F" w:rsidRDefault="002E6B4F" w:rsidP="002E6B4F">
      <w:pPr>
        <w:autoSpaceDE w:val="0"/>
        <w:autoSpaceDN w:val="0"/>
        <w:adjustRightInd w:val="0"/>
        <w:spacing w:after="0" w:line="240" w:lineRule="auto"/>
        <w:rPr>
          <w:rFonts w:cstheme="minorHAnsi"/>
          <w:bCs/>
          <w:color w:val="3333FF"/>
          <w:u w:val="single"/>
        </w:rPr>
      </w:pPr>
      <w:r w:rsidRPr="002E6B4F">
        <w:rPr>
          <w:rFonts w:cstheme="minorHAnsi"/>
          <w:bCs/>
          <w:color w:val="3333FF"/>
          <w:u w:val="single"/>
        </w:rPr>
        <w:t>Me</w:t>
      </w:r>
      <w:r>
        <w:rPr>
          <w:rFonts w:cstheme="minorHAnsi"/>
          <w:bCs/>
          <w:color w:val="3333FF"/>
          <w:u w:val="single"/>
        </w:rPr>
        <w:t>thod of Assessing Face Validity</w:t>
      </w:r>
    </w:p>
    <w:p w14:paraId="5ADA9118" w14:textId="4A1E43FB" w:rsidR="002E6B4F" w:rsidRPr="002E6B4F" w:rsidRDefault="002E6B4F" w:rsidP="002E6B4F">
      <w:pPr>
        <w:autoSpaceDE w:val="0"/>
        <w:autoSpaceDN w:val="0"/>
        <w:adjustRightInd w:val="0"/>
        <w:spacing w:after="0" w:line="240" w:lineRule="auto"/>
        <w:rPr>
          <w:rFonts w:cstheme="minorHAnsi"/>
          <w:bCs/>
          <w:color w:val="3333FF"/>
        </w:rPr>
      </w:pPr>
      <w:r>
        <w:rPr>
          <w:rFonts w:cstheme="minorHAnsi"/>
          <w:bCs/>
          <w:color w:val="3333FF"/>
        </w:rPr>
        <w:t xml:space="preserve">This </w:t>
      </w:r>
      <w:r w:rsidRPr="002E6B4F">
        <w:rPr>
          <w:rFonts w:cstheme="minorHAnsi"/>
          <w:bCs/>
          <w:color w:val="3333FF"/>
        </w:rPr>
        <w:t xml:space="preserve">measure was tested for face validity with four panels of experts. The Diabetes Recognition Program (DRP) Advisory Committee included 7 experts in diabetes care including representation by clinicians, health plans, integrated health systems and research organizations; </w:t>
      </w:r>
      <w:r w:rsidR="00271D2F">
        <w:rPr>
          <w:rFonts w:cstheme="minorHAnsi"/>
          <w:bCs/>
          <w:color w:val="3333FF"/>
        </w:rPr>
        <w:t>Diabetes Measurement Advisory Panel (</w:t>
      </w:r>
      <w:r w:rsidRPr="002E6B4F">
        <w:rPr>
          <w:rFonts w:cstheme="minorHAnsi"/>
          <w:bCs/>
          <w:color w:val="3333FF"/>
        </w:rPr>
        <w:t>DMAP</w:t>
      </w:r>
      <w:r w:rsidR="00271D2F">
        <w:rPr>
          <w:rFonts w:cstheme="minorHAnsi"/>
          <w:bCs/>
          <w:color w:val="3333FF"/>
        </w:rPr>
        <w:t>)</w:t>
      </w:r>
      <w:r w:rsidRPr="002E6B4F">
        <w:rPr>
          <w:rFonts w:cstheme="minorHAnsi"/>
          <w:bCs/>
          <w:color w:val="3333FF"/>
        </w:rPr>
        <w:t xml:space="preserve">, </w:t>
      </w:r>
      <w:r w:rsidR="00271D2F">
        <w:rPr>
          <w:rFonts w:cstheme="minorHAnsi"/>
          <w:bCs/>
          <w:color w:val="3333FF"/>
        </w:rPr>
        <w:t>Committee on Performance Measurement (</w:t>
      </w:r>
      <w:r w:rsidRPr="002E6B4F">
        <w:rPr>
          <w:rFonts w:cstheme="minorHAnsi"/>
          <w:bCs/>
          <w:color w:val="3333FF"/>
        </w:rPr>
        <w:t>CPM</w:t>
      </w:r>
      <w:r w:rsidR="00271D2F">
        <w:rPr>
          <w:rFonts w:cstheme="minorHAnsi"/>
          <w:bCs/>
          <w:color w:val="3333FF"/>
        </w:rPr>
        <w:t>)</w:t>
      </w:r>
      <w:r w:rsidRPr="002E6B4F">
        <w:rPr>
          <w:rFonts w:cstheme="minorHAnsi"/>
          <w:bCs/>
          <w:color w:val="3333FF"/>
        </w:rPr>
        <w:t xml:space="preserve"> and the Clinical Programs Committee (CPC). </w:t>
      </w:r>
      <w:r w:rsidR="00EF3D57">
        <w:rPr>
          <w:rFonts w:cstheme="minorHAnsi"/>
          <w:bCs/>
          <w:color w:val="3333FF"/>
        </w:rPr>
        <w:t xml:space="preserve">All measures incorporated in NCQA programs benefit from a 30-day public comment period and real-time feedback from our Policy Clarification System portal that receives over 3,500 inquiries annually. </w:t>
      </w:r>
      <w:r w:rsidRPr="002E6B4F">
        <w:rPr>
          <w:rFonts w:cstheme="minorHAnsi"/>
          <w:bCs/>
          <w:color w:val="3333FF"/>
        </w:rPr>
        <w:t>NCQA’s CPC’s oversees the evolution of NCQA’s recognition programs and related measures including the Diabetes Recognition Program, the Heart/Stroke Recognition Program, the Patient Centered Medical Home and Patient-Centered Specialty Practice Recognition Program, among others. The CPC includes representation by purchasers, consumers, health plans, health care providers and policy makers. This panel is made up of 18 members. The CPC is organized and managed by NCQA and reports to the NCQA Board of Directors and is responsible for advising NCQA staff on the development and maintenance of clinical recognition programs. CPC members reflect the diversity of constituencies that performance measurement serves; some bring other perspectives and additional expertise in quality management and the science of measurement.</w:t>
      </w:r>
    </w:p>
    <w:p w14:paraId="0DFD1A64" w14:textId="77777777" w:rsidR="002E6B4F" w:rsidRPr="002E6B4F" w:rsidRDefault="002E6B4F" w:rsidP="002E6B4F">
      <w:pPr>
        <w:autoSpaceDE w:val="0"/>
        <w:autoSpaceDN w:val="0"/>
        <w:adjustRightInd w:val="0"/>
        <w:spacing w:after="0" w:line="240" w:lineRule="auto"/>
        <w:rPr>
          <w:rFonts w:cstheme="minorHAnsi"/>
          <w:bCs/>
          <w:color w:val="3333FF"/>
        </w:rPr>
      </w:pPr>
    </w:p>
    <w:p w14:paraId="41EA2B8B" w14:textId="77777777" w:rsidR="002E6B4F" w:rsidRPr="002E6B4F" w:rsidRDefault="002E6B4F" w:rsidP="002E6B4F">
      <w:pPr>
        <w:autoSpaceDE w:val="0"/>
        <w:autoSpaceDN w:val="0"/>
        <w:adjustRightInd w:val="0"/>
        <w:spacing w:after="0" w:line="240" w:lineRule="auto"/>
        <w:rPr>
          <w:rFonts w:cstheme="minorHAnsi"/>
          <w:bCs/>
          <w:color w:val="3333FF"/>
        </w:rPr>
      </w:pPr>
      <w:r w:rsidRPr="002E6B4F">
        <w:rPr>
          <w:rFonts w:cstheme="minorHAnsi"/>
          <w:bCs/>
          <w:color w:val="3333FF"/>
        </w:rPr>
        <w:t>See Additional Information: Ad.1. Workgroup/Expert Panel Involved in Measure Development for names and affiliation of expert panel</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7C51B846" w14:textId="77777777" w:rsidR="00586532" w:rsidRDefault="00586532" w:rsidP="00092566">
      <w:pPr>
        <w:autoSpaceDE w:val="0"/>
        <w:autoSpaceDN w:val="0"/>
        <w:adjustRightInd w:val="0"/>
        <w:spacing w:after="0" w:line="240" w:lineRule="auto"/>
        <w:rPr>
          <w:rFonts w:cstheme="minorHAnsi"/>
          <w:b/>
          <w:bCs/>
        </w:rPr>
      </w:pPr>
    </w:p>
    <w:p w14:paraId="420DCE8D" w14:textId="77777777" w:rsidR="00586532" w:rsidRDefault="00586532" w:rsidP="00092566">
      <w:pPr>
        <w:autoSpaceDE w:val="0"/>
        <w:autoSpaceDN w:val="0"/>
        <w:adjustRightInd w:val="0"/>
        <w:spacing w:after="0" w:line="240" w:lineRule="auto"/>
        <w:rPr>
          <w:rFonts w:cstheme="minorHAnsi"/>
          <w:b/>
          <w:bCs/>
        </w:rPr>
      </w:pPr>
    </w:p>
    <w:p w14:paraId="1F9DCEB8" w14:textId="77777777" w:rsidR="00586532" w:rsidRDefault="00586532" w:rsidP="00092566">
      <w:pPr>
        <w:autoSpaceDE w:val="0"/>
        <w:autoSpaceDN w:val="0"/>
        <w:adjustRightInd w:val="0"/>
        <w:spacing w:after="0" w:line="240" w:lineRule="auto"/>
        <w:rPr>
          <w:rFonts w:cstheme="minorHAnsi"/>
          <w:b/>
          <w:bCs/>
        </w:rPr>
      </w:pPr>
    </w:p>
    <w:p w14:paraId="36138AAD" w14:textId="77777777" w:rsidR="00586532" w:rsidRDefault="00586532" w:rsidP="00092566">
      <w:pPr>
        <w:autoSpaceDE w:val="0"/>
        <w:autoSpaceDN w:val="0"/>
        <w:adjustRightInd w:val="0"/>
        <w:spacing w:after="0" w:line="240" w:lineRule="auto"/>
        <w:rPr>
          <w:rFonts w:cstheme="minorHAnsi"/>
          <w:b/>
          <w:bCs/>
        </w:rPr>
      </w:pPr>
    </w:p>
    <w:p w14:paraId="564FCE03" w14:textId="77777777" w:rsidR="00586532" w:rsidRDefault="00586532" w:rsidP="00092566">
      <w:pPr>
        <w:autoSpaceDE w:val="0"/>
        <w:autoSpaceDN w:val="0"/>
        <w:adjustRightInd w:val="0"/>
        <w:spacing w:after="0" w:line="240" w:lineRule="auto"/>
        <w:rPr>
          <w:rFonts w:cstheme="minorHAnsi"/>
          <w:b/>
          <w:bCs/>
        </w:rPr>
      </w:pPr>
    </w:p>
    <w:p w14:paraId="784FBC0D" w14:textId="77777777" w:rsidR="00586532" w:rsidRDefault="00586532" w:rsidP="00092566">
      <w:pPr>
        <w:autoSpaceDE w:val="0"/>
        <w:autoSpaceDN w:val="0"/>
        <w:adjustRightInd w:val="0"/>
        <w:spacing w:after="0" w:line="240" w:lineRule="auto"/>
        <w:rPr>
          <w:rFonts w:cstheme="minorHAnsi"/>
          <w:b/>
          <w:bCs/>
        </w:rPr>
      </w:pPr>
    </w:p>
    <w:p w14:paraId="0E22433B" w14:textId="77777777" w:rsidR="00586532" w:rsidRDefault="00586532" w:rsidP="00092566">
      <w:pPr>
        <w:autoSpaceDE w:val="0"/>
        <w:autoSpaceDN w:val="0"/>
        <w:adjustRightInd w:val="0"/>
        <w:spacing w:after="0" w:line="240" w:lineRule="auto"/>
        <w:rPr>
          <w:rFonts w:cstheme="minorHAnsi"/>
          <w:b/>
          <w:bCs/>
        </w:rPr>
      </w:pPr>
    </w:p>
    <w:p w14:paraId="0CABCFDE" w14:textId="28A99E15" w:rsidR="007422FD" w:rsidRDefault="009C7513" w:rsidP="00092566">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14:paraId="5F9C1455" w14:textId="36A56063" w:rsidR="00586532" w:rsidRPr="00586532" w:rsidRDefault="00586532" w:rsidP="00586532">
      <w:pPr>
        <w:autoSpaceDE w:val="0"/>
        <w:autoSpaceDN w:val="0"/>
        <w:adjustRightInd w:val="0"/>
        <w:spacing w:after="0" w:line="240" w:lineRule="auto"/>
        <w:rPr>
          <w:rFonts w:cstheme="minorHAnsi"/>
          <w:bCs/>
          <w:color w:val="0000CC"/>
          <w:u w:val="single"/>
        </w:rPr>
      </w:pPr>
      <w:bookmarkStart w:id="17" w:name="_Hlk502679245"/>
      <w:r>
        <w:rPr>
          <w:rFonts w:cstheme="minorHAnsi"/>
          <w:bCs/>
          <w:color w:val="0000CC"/>
          <w:u w:val="single"/>
        </w:rPr>
        <w:t>Construct Validity</w:t>
      </w:r>
    </w:p>
    <w:p w14:paraId="01C4F6BF" w14:textId="77B3784C" w:rsidR="00586532" w:rsidRPr="00586532" w:rsidRDefault="00586532" w:rsidP="00586532">
      <w:pPr>
        <w:autoSpaceDE w:val="0"/>
        <w:autoSpaceDN w:val="0"/>
        <w:adjustRightInd w:val="0"/>
        <w:spacing w:after="0" w:line="240" w:lineRule="auto"/>
        <w:rPr>
          <w:rFonts w:cstheme="minorHAnsi"/>
          <w:bCs/>
          <w:color w:val="0000CC"/>
        </w:rPr>
      </w:pPr>
      <w:r w:rsidRPr="00586532">
        <w:rPr>
          <w:rFonts w:cstheme="minorHAnsi"/>
          <w:bCs/>
          <w:color w:val="0000CC"/>
        </w:rPr>
        <w:t xml:space="preserve">Table </w:t>
      </w:r>
      <w:r>
        <w:rPr>
          <w:rFonts w:cstheme="minorHAnsi"/>
          <w:bCs/>
          <w:color w:val="0000CC"/>
        </w:rPr>
        <w:t>1</w:t>
      </w:r>
      <w:r w:rsidRPr="00586532">
        <w:rPr>
          <w:rFonts w:cstheme="minorHAnsi"/>
          <w:bCs/>
          <w:color w:val="0000CC"/>
        </w:rPr>
        <w:t xml:space="preserve"> below provides the results from construct validity testing of the physician level measure.</w:t>
      </w:r>
    </w:p>
    <w:bookmarkEnd w:id="17"/>
    <w:p w14:paraId="7C3AA625" w14:textId="77777777" w:rsidR="00586532" w:rsidRPr="00586532" w:rsidRDefault="00586532" w:rsidP="00586532">
      <w:pPr>
        <w:autoSpaceDE w:val="0"/>
        <w:autoSpaceDN w:val="0"/>
        <w:adjustRightInd w:val="0"/>
        <w:spacing w:after="0" w:line="240" w:lineRule="auto"/>
        <w:rPr>
          <w:rFonts w:cstheme="minorHAnsi"/>
          <w:bCs/>
        </w:rPr>
      </w:pPr>
    </w:p>
    <w:p w14:paraId="7104D273" w14:textId="00F45F61" w:rsidR="00586532" w:rsidRPr="00586532" w:rsidRDefault="00586532" w:rsidP="00586532">
      <w:pPr>
        <w:autoSpaceDE w:val="0"/>
        <w:autoSpaceDN w:val="0"/>
        <w:adjustRightInd w:val="0"/>
        <w:spacing w:after="0" w:line="240" w:lineRule="auto"/>
        <w:rPr>
          <w:rFonts w:cstheme="minorHAnsi"/>
          <w:bCs/>
          <w:color w:val="0000CC"/>
        </w:rPr>
      </w:pPr>
      <w:r w:rsidRPr="00586532">
        <w:rPr>
          <w:rFonts w:cstheme="minorHAnsi"/>
          <w:bCs/>
          <w:color w:val="0000CC"/>
        </w:rPr>
        <w:t xml:space="preserve">Table </w:t>
      </w:r>
      <w:r>
        <w:rPr>
          <w:rFonts w:cstheme="minorHAnsi"/>
          <w:bCs/>
          <w:color w:val="0000CC"/>
        </w:rPr>
        <w:t>1</w:t>
      </w:r>
      <w:r w:rsidRPr="00586532">
        <w:rPr>
          <w:rFonts w:cstheme="minorHAnsi"/>
          <w:bCs/>
          <w:color w:val="0000CC"/>
        </w:rPr>
        <w:t>. Correlations among Diabetes Measures in the NCQA Diabetes Recognition Program - 2012</w:t>
      </w:r>
    </w:p>
    <w:tbl>
      <w:tblPr>
        <w:tblStyle w:val="TableGrid2"/>
        <w:tblW w:w="3750" w:type="pct"/>
        <w:tblInd w:w="-5" w:type="dxa"/>
        <w:tblLook w:val="04A0" w:firstRow="1" w:lastRow="0" w:firstColumn="1" w:lastColumn="0" w:noHBand="0" w:noVBand="1"/>
      </w:tblPr>
      <w:tblGrid>
        <w:gridCol w:w="1889"/>
        <w:gridCol w:w="2337"/>
        <w:gridCol w:w="2787"/>
      </w:tblGrid>
      <w:tr w:rsidR="00586532" w:rsidRPr="00586532" w14:paraId="76232CA9" w14:textId="77777777" w:rsidTr="00C47B6F">
        <w:tc>
          <w:tcPr>
            <w:tcW w:w="1347" w:type="pct"/>
            <w:vMerge w:val="restart"/>
            <w:shd w:val="clear" w:color="auto" w:fill="BFBFBF" w:themeFill="background1" w:themeFillShade="BF"/>
          </w:tcPr>
          <w:p w14:paraId="610A8408" w14:textId="77777777" w:rsidR="00586532" w:rsidRPr="00586532" w:rsidRDefault="00586532" w:rsidP="00586532">
            <w:pPr>
              <w:autoSpaceDE w:val="0"/>
              <w:autoSpaceDN w:val="0"/>
              <w:adjustRightInd w:val="0"/>
              <w:rPr>
                <w:rFonts w:cstheme="minorHAnsi"/>
                <w:bCs/>
                <w:color w:val="0000CC"/>
              </w:rPr>
            </w:pPr>
          </w:p>
        </w:tc>
        <w:tc>
          <w:tcPr>
            <w:tcW w:w="3653" w:type="pct"/>
            <w:gridSpan w:val="2"/>
            <w:shd w:val="clear" w:color="auto" w:fill="BFBFBF" w:themeFill="background1" w:themeFillShade="BF"/>
            <w:vAlign w:val="center"/>
          </w:tcPr>
          <w:p w14:paraId="6B78034A" w14:textId="77777777" w:rsidR="00586532" w:rsidRPr="00586532" w:rsidRDefault="00586532" w:rsidP="00586532">
            <w:pPr>
              <w:autoSpaceDE w:val="0"/>
              <w:autoSpaceDN w:val="0"/>
              <w:adjustRightInd w:val="0"/>
              <w:jc w:val="center"/>
              <w:rPr>
                <w:rFonts w:cstheme="minorHAnsi"/>
                <w:b/>
                <w:bCs/>
                <w:color w:val="0000CC"/>
              </w:rPr>
            </w:pPr>
            <w:r w:rsidRPr="00586532">
              <w:rPr>
                <w:rFonts w:cstheme="minorHAnsi"/>
                <w:b/>
                <w:bCs/>
                <w:color w:val="0000CC"/>
              </w:rPr>
              <w:t>Pearson Correlation Coefficient</w:t>
            </w:r>
          </w:p>
        </w:tc>
      </w:tr>
      <w:tr w:rsidR="00586532" w:rsidRPr="00586532" w14:paraId="1E6F205B" w14:textId="77777777" w:rsidTr="00C47B6F">
        <w:tc>
          <w:tcPr>
            <w:tcW w:w="1347" w:type="pct"/>
            <w:vMerge/>
          </w:tcPr>
          <w:p w14:paraId="3E75361F" w14:textId="77777777" w:rsidR="00586532" w:rsidRPr="00586532" w:rsidRDefault="00586532" w:rsidP="00586532">
            <w:pPr>
              <w:autoSpaceDE w:val="0"/>
              <w:autoSpaceDN w:val="0"/>
              <w:adjustRightInd w:val="0"/>
              <w:rPr>
                <w:rFonts w:cstheme="minorHAnsi"/>
                <w:bCs/>
                <w:color w:val="0000CC"/>
              </w:rPr>
            </w:pPr>
            <w:bookmarkStart w:id="18" w:name="_Hlk505263531"/>
          </w:p>
        </w:tc>
        <w:tc>
          <w:tcPr>
            <w:tcW w:w="1666" w:type="pct"/>
            <w:vAlign w:val="center"/>
          </w:tcPr>
          <w:p w14:paraId="31AA1E4D" w14:textId="5E2FEC64" w:rsidR="00586532" w:rsidRPr="00586532" w:rsidRDefault="00586532" w:rsidP="00586532">
            <w:pPr>
              <w:autoSpaceDE w:val="0"/>
              <w:autoSpaceDN w:val="0"/>
              <w:adjustRightInd w:val="0"/>
              <w:jc w:val="center"/>
              <w:rPr>
                <w:rFonts w:cstheme="minorHAnsi"/>
                <w:bCs/>
                <w:color w:val="0000CC"/>
              </w:rPr>
            </w:pPr>
            <w:r>
              <w:rPr>
                <w:rFonts w:cstheme="minorHAnsi"/>
                <w:bCs/>
                <w:color w:val="0000CC"/>
              </w:rPr>
              <w:t>Eye Exam</w:t>
            </w:r>
          </w:p>
        </w:tc>
        <w:tc>
          <w:tcPr>
            <w:tcW w:w="1986" w:type="pct"/>
            <w:vAlign w:val="center"/>
          </w:tcPr>
          <w:p w14:paraId="66593E0C" w14:textId="77777777" w:rsidR="00586532" w:rsidRPr="00586532" w:rsidRDefault="00586532" w:rsidP="00586532">
            <w:pPr>
              <w:autoSpaceDE w:val="0"/>
              <w:autoSpaceDN w:val="0"/>
              <w:adjustRightInd w:val="0"/>
              <w:jc w:val="center"/>
              <w:rPr>
                <w:rFonts w:cstheme="minorHAnsi"/>
                <w:bCs/>
                <w:color w:val="0000CC"/>
              </w:rPr>
            </w:pPr>
            <w:r w:rsidRPr="00586532">
              <w:rPr>
                <w:rFonts w:cstheme="minorHAnsi"/>
                <w:bCs/>
                <w:color w:val="0000CC"/>
              </w:rPr>
              <w:t>Medical Attention to Nephropathy</w:t>
            </w:r>
          </w:p>
        </w:tc>
      </w:tr>
      <w:tr w:rsidR="00586532" w:rsidRPr="00586532" w14:paraId="7C6D5E8A" w14:textId="77777777" w:rsidTr="00C47B6F">
        <w:tc>
          <w:tcPr>
            <w:tcW w:w="1347" w:type="pct"/>
          </w:tcPr>
          <w:p w14:paraId="2838FCD5" w14:textId="12DD8E00" w:rsidR="00586532" w:rsidRPr="00586532" w:rsidRDefault="00586532" w:rsidP="00586532">
            <w:pPr>
              <w:autoSpaceDE w:val="0"/>
              <w:autoSpaceDN w:val="0"/>
              <w:adjustRightInd w:val="0"/>
              <w:rPr>
                <w:rFonts w:cstheme="minorHAnsi"/>
                <w:bCs/>
                <w:color w:val="0000CC"/>
              </w:rPr>
            </w:pPr>
            <w:r w:rsidRPr="00586532">
              <w:rPr>
                <w:rFonts w:cstheme="minorHAnsi"/>
                <w:bCs/>
                <w:color w:val="0000CC"/>
              </w:rPr>
              <w:t>CDC –</w:t>
            </w:r>
            <w:r>
              <w:rPr>
                <w:rFonts w:cstheme="minorHAnsi"/>
                <w:bCs/>
                <w:color w:val="0000CC"/>
              </w:rPr>
              <w:t xml:space="preserve"> Foot Exam</w:t>
            </w:r>
          </w:p>
        </w:tc>
        <w:tc>
          <w:tcPr>
            <w:tcW w:w="1666" w:type="pct"/>
            <w:vAlign w:val="center"/>
          </w:tcPr>
          <w:p w14:paraId="2D482C94" w14:textId="46B7557B" w:rsidR="00586532" w:rsidRPr="00586532" w:rsidRDefault="00586532" w:rsidP="00586532">
            <w:pPr>
              <w:autoSpaceDE w:val="0"/>
              <w:autoSpaceDN w:val="0"/>
              <w:adjustRightInd w:val="0"/>
              <w:jc w:val="center"/>
              <w:rPr>
                <w:rFonts w:cstheme="minorHAnsi"/>
                <w:bCs/>
                <w:color w:val="0000CC"/>
              </w:rPr>
            </w:pPr>
            <w:r>
              <w:rPr>
                <w:rFonts w:cstheme="minorHAnsi"/>
                <w:bCs/>
                <w:color w:val="0000CC"/>
              </w:rPr>
              <w:t>0.42</w:t>
            </w:r>
          </w:p>
        </w:tc>
        <w:tc>
          <w:tcPr>
            <w:tcW w:w="1986" w:type="pct"/>
            <w:vAlign w:val="center"/>
          </w:tcPr>
          <w:p w14:paraId="44E30242" w14:textId="3F97CC82" w:rsidR="00586532" w:rsidRPr="00586532" w:rsidRDefault="00586532" w:rsidP="00586532">
            <w:pPr>
              <w:autoSpaceDE w:val="0"/>
              <w:autoSpaceDN w:val="0"/>
              <w:adjustRightInd w:val="0"/>
              <w:jc w:val="center"/>
              <w:rPr>
                <w:rFonts w:cstheme="minorHAnsi"/>
                <w:bCs/>
                <w:color w:val="0000CC"/>
              </w:rPr>
            </w:pPr>
            <w:r w:rsidRPr="00586532">
              <w:rPr>
                <w:rFonts w:cstheme="minorHAnsi"/>
                <w:bCs/>
                <w:color w:val="0000CC"/>
              </w:rPr>
              <w:t>0.</w:t>
            </w:r>
            <w:r>
              <w:rPr>
                <w:rFonts w:cstheme="minorHAnsi"/>
                <w:bCs/>
                <w:color w:val="0000CC"/>
              </w:rPr>
              <w:t>29</w:t>
            </w:r>
          </w:p>
        </w:tc>
      </w:tr>
    </w:tbl>
    <w:bookmarkEnd w:id="18"/>
    <w:p w14:paraId="0AD0C1FB" w14:textId="77777777" w:rsidR="00586532" w:rsidRPr="00586532" w:rsidRDefault="00586532" w:rsidP="00586532">
      <w:pPr>
        <w:autoSpaceDE w:val="0"/>
        <w:autoSpaceDN w:val="0"/>
        <w:adjustRightInd w:val="0"/>
        <w:spacing w:after="0" w:line="240" w:lineRule="auto"/>
        <w:rPr>
          <w:rFonts w:cstheme="minorHAnsi"/>
          <w:bCs/>
          <w:color w:val="0000CC"/>
        </w:rPr>
      </w:pPr>
      <w:r w:rsidRPr="00586532">
        <w:rPr>
          <w:rFonts w:cstheme="minorHAnsi"/>
          <w:bCs/>
          <w:color w:val="0000CC"/>
        </w:rPr>
        <w:t>Note: All correlations are significant at p&lt;0.0001</w:t>
      </w:r>
    </w:p>
    <w:p w14:paraId="2A7C3A36" w14:textId="247A57A3" w:rsidR="00586532" w:rsidRDefault="00586532" w:rsidP="00092566">
      <w:pPr>
        <w:autoSpaceDE w:val="0"/>
        <w:autoSpaceDN w:val="0"/>
        <w:adjustRightInd w:val="0"/>
        <w:spacing w:after="0" w:line="240" w:lineRule="auto"/>
        <w:rPr>
          <w:rFonts w:cstheme="minorHAnsi"/>
          <w:bCs/>
        </w:rPr>
      </w:pPr>
    </w:p>
    <w:p w14:paraId="0CABCFDF" w14:textId="68807B33" w:rsidR="007422FD"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14A586AF" w14:textId="346E144F" w:rsidR="008531E4" w:rsidRPr="008531E4" w:rsidRDefault="008531E4" w:rsidP="00586532">
      <w:pPr>
        <w:autoSpaceDE w:val="0"/>
        <w:autoSpaceDN w:val="0"/>
        <w:adjustRightInd w:val="0"/>
        <w:spacing w:after="0" w:line="240" w:lineRule="auto"/>
        <w:rPr>
          <w:rFonts w:cstheme="minorHAnsi"/>
          <w:bCs/>
          <w:color w:val="3333FF"/>
          <w:u w:val="single"/>
        </w:rPr>
      </w:pPr>
      <w:r w:rsidRPr="008531E4">
        <w:rPr>
          <w:rFonts w:cstheme="minorHAnsi"/>
          <w:bCs/>
          <w:color w:val="3333FF"/>
          <w:u w:val="single"/>
        </w:rPr>
        <w:t>Construct Validity</w:t>
      </w:r>
    </w:p>
    <w:p w14:paraId="2B536317" w14:textId="27F85A16" w:rsidR="00586532" w:rsidRPr="00586532" w:rsidRDefault="00586532" w:rsidP="00586532">
      <w:pPr>
        <w:autoSpaceDE w:val="0"/>
        <w:autoSpaceDN w:val="0"/>
        <w:adjustRightInd w:val="0"/>
        <w:spacing w:after="0" w:line="240" w:lineRule="auto"/>
        <w:rPr>
          <w:rFonts w:cstheme="minorHAnsi"/>
          <w:bCs/>
          <w:color w:val="3333FF"/>
        </w:rPr>
      </w:pPr>
      <w:r>
        <w:rPr>
          <w:rFonts w:cstheme="minorHAnsi"/>
          <w:bCs/>
          <w:color w:val="3333FF"/>
        </w:rPr>
        <w:t>T</w:t>
      </w:r>
      <w:r w:rsidRPr="00586532">
        <w:rPr>
          <w:rFonts w:cstheme="minorHAnsi"/>
          <w:bCs/>
          <w:color w:val="3333FF"/>
        </w:rPr>
        <w:t xml:space="preserve">he </w:t>
      </w:r>
      <w:r w:rsidRPr="00586532">
        <w:rPr>
          <w:rFonts w:cstheme="minorHAnsi"/>
          <w:bCs/>
          <w:i/>
          <w:color w:val="3333FF"/>
        </w:rPr>
        <w:t>CDC-</w:t>
      </w:r>
      <w:r>
        <w:rPr>
          <w:rFonts w:cstheme="minorHAnsi"/>
          <w:bCs/>
          <w:i/>
          <w:color w:val="3333FF"/>
        </w:rPr>
        <w:t>Foot</w:t>
      </w:r>
      <w:r w:rsidRPr="00586532">
        <w:rPr>
          <w:rFonts w:cstheme="minorHAnsi"/>
          <w:bCs/>
          <w:i/>
          <w:color w:val="3333FF"/>
        </w:rPr>
        <w:t xml:space="preserve"> Exam</w:t>
      </w:r>
      <w:r w:rsidRPr="00586532">
        <w:rPr>
          <w:rFonts w:cstheme="minorHAnsi"/>
          <w:bCs/>
          <w:color w:val="3333FF"/>
        </w:rPr>
        <w:t xml:space="preserve"> measure has a moderate correlation with the </w:t>
      </w:r>
      <w:r>
        <w:rPr>
          <w:rFonts w:cstheme="minorHAnsi"/>
          <w:bCs/>
          <w:i/>
          <w:color w:val="3333FF"/>
        </w:rPr>
        <w:t xml:space="preserve">Eye </w:t>
      </w:r>
      <w:r w:rsidRPr="00586532">
        <w:rPr>
          <w:rFonts w:cstheme="minorHAnsi"/>
          <w:bCs/>
          <w:i/>
          <w:color w:val="3333FF"/>
        </w:rPr>
        <w:t>Exam</w:t>
      </w:r>
      <w:r w:rsidRPr="00586532">
        <w:rPr>
          <w:rFonts w:cstheme="minorHAnsi"/>
          <w:bCs/>
          <w:color w:val="3333FF"/>
        </w:rPr>
        <w:t xml:space="preserve"> measures in the Diabetes Recognition Program. The correlation between the </w:t>
      </w:r>
      <w:r>
        <w:rPr>
          <w:rFonts w:cstheme="minorHAnsi"/>
          <w:bCs/>
          <w:i/>
          <w:color w:val="3333FF"/>
        </w:rPr>
        <w:t xml:space="preserve">Foot </w:t>
      </w:r>
      <w:r w:rsidRPr="00586532">
        <w:rPr>
          <w:rFonts w:cstheme="minorHAnsi"/>
          <w:bCs/>
          <w:i/>
          <w:color w:val="3333FF"/>
        </w:rPr>
        <w:t>Exam</w:t>
      </w:r>
      <w:r w:rsidRPr="00586532">
        <w:rPr>
          <w:rFonts w:cstheme="minorHAnsi"/>
          <w:bCs/>
          <w:color w:val="3333FF"/>
        </w:rPr>
        <w:t xml:space="preserve"> measure and the </w:t>
      </w:r>
      <w:r w:rsidRPr="00586532">
        <w:rPr>
          <w:rFonts w:cstheme="minorHAnsi"/>
          <w:bCs/>
          <w:i/>
          <w:color w:val="3333FF"/>
        </w:rPr>
        <w:t>Medical Attention to Nephropathy</w:t>
      </w:r>
      <w:r w:rsidRPr="00586532">
        <w:rPr>
          <w:rFonts w:cstheme="minorHAnsi"/>
          <w:bCs/>
          <w:color w:val="3333FF"/>
        </w:rPr>
        <w:t xml:space="preserve"> measure is</w:t>
      </w:r>
      <w:r>
        <w:rPr>
          <w:rFonts w:cstheme="minorHAnsi"/>
          <w:bCs/>
          <w:color w:val="3333FF"/>
        </w:rPr>
        <w:t xml:space="preserve"> just under the .3 value</w:t>
      </w:r>
      <w:r w:rsidRPr="00586532">
        <w:rPr>
          <w:rFonts w:cstheme="minorHAnsi"/>
          <w:bCs/>
          <w:color w:val="3333FF"/>
        </w:rPr>
        <w:t xml:space="preserve"> and indicates a slightly weaker</w:t>
      </w:r>
      <w:r w:rsidR="006D5742">
        <w:rPr>
          <w:rFonts w:cstheme="minorHAnsi"/>
          <w:bCs/>
          <w:color w:val="3333FF"/>
        </w:rPr>
        <w:t xml:space="preserve"> but still relevant</w:t>
      </w:r>
      <w:r w:rsidRPr="00586532">
        <w:rPr>
          <w:rFonts w:cstheme="minorHAnsi"/>
          <w:bCs/>
          <w:color w:val="3333FF"/>
        </w:rPr>
        <w:t xml:space="preserve"> association. </w:t>
      </w:r>
      <w:r w:rsidR="00C47B6F">
        <w:rPr>
          <w:rFonts w:cstheme="minorHAnsi"/>
          <w:bCs/>
          <w:color w:val="3333FF"/>
        </w:rPr>
        <w:t xml:space="preserve">Overall, these correlation results </w:t>
      </w:r>
      <w:r w:rsidRPr="00586532">
        <w:rPr>
          <w:rFonts w:cstheme="minorHAnsi"/>
          <w:bCs/>
          <w:color w:val="3333FF"/>
        </w:rPr>
        <w:t>suggest that the physician level measure has sufficient validity.</w:t>
      </w:r>
    </w:p>
    <w:p w14:paraId="24034C50" w14:textId="618EAF46" w:rsidR="00586532" w:rsidRDefault="00586532" w:rsidP="00DB3627">
      <w:pPr>
        <w:autoSpaceDE w:val="0"/>
        <w:autoSpaceDN w:val="0"/>
        <w:adjustRightInd w:val="0"/>
        <w:spacing w:after="0" w:line="240" w:lineRule="auto"/>
        <w:rPr>
          <w:rFonts w:cstheme="minorHAnsi"/>
          <w:bCs/>
        </w:rPr>
      </w:pPr>
    </w:p>
    <w:p w14:paraId="361E675E" w14:textId="0952070C" w:rsidR="008531E4" w:rsidRPr="008531E4" w:rsidRDefault="008531E4" w:rsidP="008531E4">
      <w:pPr>
        <w:autoSpaceDE w:val="0"/>
        <w:autoSpaceDN w:val="0"/>
        <w:adjustRightInd w:val="0"/>
        <w:spacing w:after="0" w:line="240" w:lineRule="auto"/>
        <w:rPr>
          <w:rFonts w:cstheme="minorHAnsi"/>
          <w:bCs/>
          <w:color w:val="3333FF"/>
          <w:u w:val="single"/>
        </w:rPr>
      </w:pPr>
      <w:r>
        <w:rPr>
          <w:rFonts w:cstheme="minorHAnsi"/>
          <w:bCs/>
          <w:color w:val="3333FF"/>
          <w:u w:val="single"/>
        </w:rPr>
        <w:t>Face Validity</w:t>
      </w:r>
    </w:p>
    <w:p w14:paraId="477042C9" w14:textId="4B3BD569" w:rsidR="008531E4" w:rsidRPr="008531E4" w:rsidRDefault="008531E4" w:rsidP="008531E4">
      <w:pPr>
        <w:autoSpaceDE w:val="0"/>
        <w:autoSpaceDN w:val="0"/>
        <w:adjustRightInd w:val="0"/>
        <w:spacing w:after="0" w:line="240" w:lineRule="auto"/>
        <w:rPr>
          <w:rFonts w:cstheme="minorHAnsi"/>
          <w:bCs/>
          <w:color w:val="3333FF"/>
        </w:rPr>
      </w:pPr>
      <w:r w:rsidRPr="008531E4">
        <w:rPr>
          <w:rFonts w:cstheme="minorHAnsi"/>
          <w:bCs/>
          <w:color w:val="3333FF"/>
        </w:rPr>
        <w:t>The results indicate that the multiple experts, stakeholders and NCQA’s Clinical Programs Committee concluded with good agreement that the measure as specified is measuring what it intends to measure and that the results of the measurement allow users to make the correct conclusions about the quality of care that is provided and will accurately differentiate quality across providers.</w:t>
      </w:r>
    </w:p>
    <w:p w14:paraId="6F323FE2" w14:textId="77777777" w:rsidR="0033214F" w:rsidRDefault="0033214F" w:rsidP="00DB3627">
      <w:pPr>
        <w:autoSpaceDE w:val="0"/>
        <w:autoSpaceDN w:val="0"/>
        <w:adjustRightInd w:val="0"/>
        <w:spacing w:after="0" w:line="240" w:lineRule="auto"/>
        <w:rPr>
          <w:rFonts w:cstheme="minorHAnsi"/>
          <w:bCs/>
        </w:rPr>
      </w:pPr>
    </w:p>
    <w:p w14:paraId="0CABCFE0" w14:textId="0459417E"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6FC0F821" w14:textId="77777777" w:rsidR="00C47B6F" w:rsidRPr="00897679" w:rsidRDefault="00C47B6F" w:rsidP="00C47B6F">
      <w:pPr>
        <w:autoSpaceDE w:val="0"/>
        <w:autoSpaceDN w:val="0"/>
        <w:adjustRightInd w:val="0"/>
        <w:spacing w:after="0" w:line="240" w:lineRule="auto"/>
        <w:rPr>
          <w:rFonts w:cstheme="minorHAnsi"/>
          <w:bCs/>
          <w:color w:val="0000CC"/>
        </w:rPr>
      </w:pPr>
      <w:r w:rsidRPr="0071665E">
        <w:rPr>
          <w:rFonts w:cstheme="minorHAnsi"/>
          <w:bCs/>
          <w:color w:val="0000CC"/>
        </w:rPr>
        <w:t>Testing was not performed for the excluded sample</w:t>
      </w:r>
      <w:r>
        <w:rPr>
          <w:rFonts w:cstheme="minorHAnsi"/>
          <w:bCs/>
          <w:color w:val="0000CC"/>
        </w:rPr>
        <w:t>.</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4E18F198" w14:textId="77777777" w:rsidR="00C47B6F" w:rsidRDefault="00092566" w:rsidP="00C47B6F">
      <w:pPr>
        <w:autoSpaceDE w:val="0"/>
        <w:autoSpaceDN w:val="0"/>
        <w:adjustRightInd w:val="0"/>
        <w:spacing w:after="0" w:line="240" w:lineRule="auto"/>
        <w:rPr>
          <w:rFonts w:cstheme="minorHAnsi"/>
          <w:bCs/>
          <w:color w:val="0000CC"/>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5130BA9" w14:textId="2ABA74A0" w:rsidR="00C47B6F" w:rsidRPr="00897679" w:rsidRDefault="00C47B6F" w:rsidP="00C47B6F">
      <w:pPr>
        <w:autoSpaceDE w:val="0"/>
        <w:autoSpaceDN w:val="0"/>
        <w:adjustRightInd w:val="0"/>
        <w:spacing w:after="0" w:line="240" w:lineRule="auto"/>
        <w:rPr>
          <w:rFonts w:cstheme="minorHAnsi"/>
          <w:bCs/>
          <w:color w:val="0000CC"/>
        </w:rPr>
      </w:pPr>
      <w:r w:rsidRPr="0071665E">
        <w:rPr>
          <w:rFonts w:cstheme="minorHAnsi"/>
          <w:bCs/>
          <w:color w:val="0000CC"/>
        </w:rPr>
        <w:t>Testing was not performed for the excluded sample</w:t>
      </w:r>
      <w:r>
        <w:rPr>
          <w:rFonts w:cstheme="minorHAnsi"/>
          <w:bCs/>
          <w:color w:val="0000CC"/>
        </w:rPr>
        <w:t>.</w:t>
      </w:r>
    </w:p>
    <w:p w14:paraId="0CABCFE6" w14:textId="38532CDE" w:rsidR="007422FD" w:rsidRDefault="007422FD" w:rsidP="00092566">
      <w:pPr>
        <w:autoSpaceDE w:val="0"/>
        <w:autoSpaceDN w:val="0"/>
        <w:adjustRightInd w:val="0"/>
        <w:spacing w:after="0" w:line="240" w:lineRule="auto"/>
        <w:rPr>
          <w:rFonts w:cstheme="minorHAnsi"/>
          <w:bCs/>
        </w:rPr>
      </w:pPr>
    </w:p>
    <w:p w14:paraId="0CABCFE8" w14:textId="54060A55" w:rsidR="007422FD" w:rsidRDefault="00092566" w:rsidP="00DB3627">
      <w:pPr>
        <w:autoSpaceDE w:val="0"/>
        <w:autoSpaceDN w:val="0"/>
        <w:adjustRightInd w:val="0"/>
        <w:spacing w:after="0" w:line="240" w:lineRule="auto"/>
        <w:rPr>
          <w:rFonts w:cstheme="minorHAnsi"/>
          <w:bCs/>
        </w:rPr>
      </w:pPr>
      <w:r>
        <w:rPr>
          <w:rFonts w:cstheme="minorHAnsi"/>
          <w:b/>
          <w:bCs/>
        </w:rPr>
        <w:lastRenderedPageBreak/>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6BD45EAB" w14:textId="77777777" w:rsidR="00C47B6F" w:rsidRPr="00897679" w:rsidRDefault="00C47B6F" w:rsidP="00C47B6F">
      <w:pPr>
        <w:autoSpaceDE w:val="0"/>
        <w:autoSpaceDN w:val="0"/>
        <w:adjustRightInd w:val="0"/>
        <w:spacing w:after="0" w:line="240" w:lineRule="auto"/>
        <w:rPr>
          <w:rFonts w:cstheme="minorHAnsi"/>
          <w:bCs/>
          <w:color w:val="0000CC"/>
        </w:rPr>
      </w:pPr>
      <w:r w:rsidRPr="0071665E">
        <w:rPr>
          <w:rFonts w:cstheme="minorHAnsi"/>
          <w:bCs/>
          <w:color w:val="0000CC"/>
        </w:rPr>
        <w:t>Testing was not performed for the excluded sample</w:t>
      </w:r>
      <w:r>
        <w:rPr>
          <w:rFonts w:cstheme="minorHAnsi"/>
          <w:bCs/>
          <w:color w:val="0000CC"/>
        </w:rPr>
        <w:t>.</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9" w:name="section2b4"/>
      <w:bookmarkEnd w:id="19"/>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1C2B699C" w:rsidR="00033038" w:rsidRPr="005232D6" w:rsidRDefault="00DB0687"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C47B6F">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DB0687"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DB0687"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DB0687"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0A1E352E" w14:textId="6F51ACA2" w:rsidR="00AF2D68" w:rsidRDefault="00C47B6F" w:rsidP="009D3882">
      <w:pPr>
        <w:rPr>
          <w:rFonts w:cs="Calibri"/>
          <w:b/>
          <w:bCs/>
        </w:rPr>
      </w:pPr>
      <w:r w:rsidRPr="00DE1956">
        <w:rPr>
          <w:rFonts w:cs="Calibri"/>
          <w:bCs/>
          <w:color w:val="0000CC"/>
        </w:rPr>
        <w:t>N/A</w:t>
      </w:r>
    </w:p>
    <w:p w14:paraId="0CABCFF4" w14:textId="48B2A9A9" w:rsidR="009D3882" w:rsidRPr="009D3882" w:rsidRDefault="009C7513" w:rsidP="009D3882">
      <w:pPr>
        <w:rPr>
          <w:rFonts w:cstheme="minorHAnsi"/>
          <w:b/>
          <w:bCs/>
          <w:sz w:val="14"/>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C47B6F" w:rsidRPr="00DE1956">
        <w:rPr>
          <w:rFonts w:cs="Calibri"/>
          <w:bCs/>
          <w:color w:val="0000CC"/>
        </w:rPr>
        <w:t>N/A</w:t>
      </w:r>
    </w:p>
    <w:p w14:paraId="0CABCFF6" w14:textId="29B1EF73"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r w:rsidR="00C47B6F" w:rsidRPr="00DE1956">
        <w:rPr>
          <w:rFonts w:cs="Calibri"/>
          <w:bCs/>
          <w:color w:val="0000CC"/>
        </w:rPr>
        <w:t>N/A</w:t>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DB068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DB068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DB0687"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3373642C" w:rsidR="00092566" w:rsidRDefault="009C7513" w:rsidP="00001D73">
      <w:pPr>
        <w:autoSpaceDE w:val="0"/>
        <w:autoSpaceDN w:val="0"/>
        <w:adjustRightInd w:val="0"/>
        <w:spacing w:after="0" w:line="240" w:lineRule="auto"/>
        <w:rPr>
          <w:rFonts w:cs="Calibri"/>
          <w:bCs/>
          <w:color w:val="0000CC"/>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r w:rsidR="00C47B6F" w:rsidRPr="00DE1956">
        <w:rPr>
          <w:rFonts w:cs="Calibri"/>
          <w:bCs/>
          <w:color w:val="0000CC"/>
        </w:rPr>
        <w:t>N/A</w:t>
      </w:r>
    </w:p>
    <w:p w14:paraId="6CD6A839" w14:textId="77777777" w:rsidR="00C47B6F" w:rsidRDefault="00C47B6F"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 xml:space="preserve">(e.g. prevalence of the factor across measured entities, empirical association with the outcome, contribution of unique variation in the outcome, assessment of between-unit effects and within-unit </w:t>
      </w:r>
      <w:r w:rsidR="00C1695E" w:rsidRPr="00AF2D68">
        <w:rPr>
          <w:rFonts w:cstheme="minorHAnsi"/>
          <w:bCs/>
          <w:i/>
        </w:rPr>
        <w:lastRenderedPageBreak/>
        <w:t>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1B224296" w:rsidR="00C1695E" w:rsidRPr="00001D73" w:rsidRDefault="00C47B6F" w:rsidP="00001D73">
      <w:pPr>
        <w:autoSpaceDE w:val="0"/>
        <w:autoSpaceDN w:val="0"/>
        <w:adjustRightInd w:val="0"/>
        <w:spacing w:after="0" w:line="240" w:lineRule="auto"/>
        <w:rPr>
          <w:rFonts w:cstheme="minorHAnsi"/>
          <w:b/>
          <w:bCs/>
        </w:rPr>
      </w:pPr>
      <w:r w:rsidRPr="00DE1956">
        <w:rPr>
          <w:rFonts w:cs="Calibri"/>
          <w:bCs/>
          <w:color w:val="0000CC"/>
        </w:rPr>
        <w:t>N/A</w:t>
      </w:r>
    </w:p>
    <w:p w14:paraId="0CABCFFA" w14:textId="410D3F53" w:rsidR="00092566" w:rsidRDefault="009C7513" w:rsidP="00092566">
      <w:pPr>
        <w:autoSpaceDE w:val="0"/>
        <w:autoSpaceDN w:val="0"/>
        <w:adjustRightInd w:val="0"/>
        <w:spacing w:after="0" w:line="240" w:lineRule="auto"/>
        <w:rPr>
          <w:rFonts w:cs="Calibri"/>
          <w:bCs/>
          <w:color w:val="0000CC"/>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r w:rsidR="00C47B6F" w:rsidRPr="00DE1956">
        <w:rPr>
          <w:rFonts w:cs="Calibri"/>
          <w:bCs/>
          <w:color w:val="0000CC"/>
        </w:rPr>
        <w:t>N/A</w:t>
      </w:r>
    </w:p>
    <w:p w14:paraId="34431AD3" w14:textId="77777777" w:rsidR="00C47B6F" w:rsidRPr="00A25024" w:rsidRDefault="00C47B6F"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0CABCFFD" w14:textId="79D5D7A7" w:rsidR="00001D73" w:rsidRP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CABCFFE" w14:textId="57E7DDD4" w:rsidR="00001D73" w:rsidRDefault="009C7513" w:rsidP="00092566">
      <w:pPr>
        <w:autoSpaceDE w:val="0"/>
        <w:autoSpaceDN w:val="0"/>
        <w:adjustRightInd w:val="0"/>
        <w:spacing w:after="0" w:line="240" w:lineRule="auto"/>
        <w:rPr>
          <w:rFonts w:cstheme="minorHAnsi"/>
          <w:b/>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CABCFFF" w14:textId="7ECFB7AA" w:rsidR="00743E46" w:rsidRDefault="009C7513" w:rsidP="00092566">
      <w:pPr>
        <w:autoSpaceDE w:val="0"/>
        <w:autoSpaceDN w:val="0"/>
        <w:adjustRightInd w:val="0"/>
        <w:spacing w:after="0" w:line="240" w:lineRule="auto"/>
        <w:rPr>
          <w:rFonts w:cstheme="minorHAnsi"/>
          <w:b/>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20" w:name="question2b49"/>
      <w:bookmarkEnd w:id="20"/>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0CABD001" w14:textId="77777777" w:rsidR="00092566" w:rsidRPr="00A25024" w:rsidRDefault="00092566" w:rsidP="00092566">
      <w:pPr>
        <w:pStyle w:val="ListParagraph"/>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1" w:name="section2b5"/>
      <w:bookmarkEnd w:id="21"/>
      <w:r>
        <w:rPr>
          <w:rFonts w:cstheme="minorHAnsi"/>
          <w:b/>
          <w:bCs/>
        </w:rPr>
        <w:t>2b4</w:t>
      </w:r>
      <w:r w:rsidR="00D61410" w:rsidRPr="00A25024">
        <w:rPr>
          <w:rFonts w:cstheme="minorHAnsi"/>
          <w:b/>
          <w:bCs/>
        </w:rPr>
        <w:t>. IDENTIFICATION OF STATISTICALLY SIGNIFICANT &amp; MEANINGFUL DIFFERENCES IN PERFORMANCE</w:t>
      </w:r>
    </w:p>
    <w:p w14:paraId="6E8DDEA6" w14:textId="11CFD8E2" w:rsidR="00C47B6F" w:rsidRPr="00C47B6F" w:rsidRDefault="009C7513" w:rsidP="00C47B6F">
      <w:pPr>
        <w:autoSpaceDE w:val="0"/>
        <w:autoSpaceDN w:val="0"/>
        <w:adjustRightInd w:val="0"/>
        <w:spacing w:after="0" w:line="240" w:lineRule="auto"/>
        <w:rPr>
          <w:rFonts w:cstheme="minorHAnsi"/>
          <w:bCs/>
          <w:color w:val="0000CC"/>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C47B6F" w:rsidRPr="00C47B6F">
        <w:rPr>
          <w:rFonts w:cstheme="minorHAnsi"/>
          <w:bCs/>
          <w:color w:val="0000CC"/>
        </w:rPr>
        <w:t xml:space="preserve">To demonstrate meaningful differences in performance, NCQA calculates an inter-quartile range (IQR) for each measure. The IQR provides a measure of the dispersion of performance. The IQR can be interpreted as the difference between the 25th and 75th percentile on a measure. </w:t>
      </w:r>
    </w:p>
    <w:p w14:paraId="53A37892" w14:textId="77777777" w:rsidR="00C47B6F" w:rsidRPr="00C47B6F" w:rsidRDefault="00C47B6F" w:rsidP="00C47B6F">
      <w:pPr>
        <w:autoSpaceDE w:val="0"/>
        <w:autoSpaceDN w:val="0"/>
        <w:adjustRightInd w:val="0"/>
        <w:spacing w:after="0" w:line="240" w:lineRule="auto"/>
        <w:rPr>
          <w:rFonts w:cstheme="minorHAnsi"/>
          <w:bCs/>
          <w:color w:val="0000CC"/>
        </w:rPr>
      </w:pPr>
    </w:p>
    <w:p w14:paraId="41555307" w14:textId="77777777" w:rsidR="00C47B6F" w:rsidRPr="00C47B6F" w:rsidRDefault="00C47B6F" w:rsidP="00C47B6F">
      <w:pPr>
        <w:autoSpaceDE w:val="0"/>
        <w:autoSpaceDN w:val="0"/>
        <w:adjustRightInd w:val="0"/>
        <w:spacing w:after="0" w:line="240" w:lineRule="auto"/>
        <w:rPr>
          <w:rFonts w:cstheme="minorHAnsi"/>
          <w:bCs/>
          <w:color w:val="0000CC"/>
        </w:rPr>
      </w:pPr>
      <w:r w:rsidRPr="00C47B6F">
        <w:rPr>
          <w:rFonts w:cstheme="minorHAnsi"/>
          <w:bCs/>
          <w:color w:val="0000CC"/>
        </w:rPr>
        <w:t>To determine if this difference is statistically significant, NCQA calculates an independent sample t-test of the performance difference between two randomly selected plans at the 25</w:t>
      </w:r>
      <w:r w:rsidRPr="00C47B6F">
        <w:rPr>
          <w:rFonts w:cstheme="minorHAnsi"/>
          <w:bCs/>
          <w:color w:val="0000CC"/>
          <w:vertAlign w:val="superscript"/>
        </w:rPr>
        <w:t>th</w:t>
      </w:r>
      <w:r w:rsidRPr="00C47B6F">
        <w:rPr>
          <w:rFonts w:cstheme="minorHAnsi"/>
          <w:bCs/>
          <w:color w:val="0000CC"/>
        </w:rPr>
        <w:t xml:space="preserve"> and 75</w:t>
      </w:r>
      <w:r w:rsidRPr="00C47B6F">
        <w:rPr>
          <w:rFonts w:cstheme="minorHAnsi"/>
          <w:bCs/>
          <w:color w:val="0000CC"/>
          <w:vertAlign w:val="superscript"/>
        </w:rPr>
        <w:t>th</w:t>
      </w:r>
      <w:r w:rsidRPr="00C47B6F">
        <w:rPr>
          <w:rFonts w:cstheme="minorHAnsi"/>
          <w:bCs/>
          <w:color w:val="0000CC"/>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p w14:paraId="0CABD008" w14:textId="2D3565CB" w:rsidR="00D61410" w:rsidRPr="00A25024" w:rsidRDefault="00D61410" w:rsidP="00D61410">
      <w:pPr>
        <w:autoSpaceDE w:val="0"/>
        <w:autoSpaceDN w:val="0"/>
        <w:adjustRightInd w:val="0"/>
        <w:spacing w:after="0" w:line="240" w:lineRule="auto"/>
        <w:rPr>
          <w:rFonts w:cstheme="minorHAnsi"/>
          <w:bCs/>
        </w:rPr>
      </w:pPr>
    </w:p>
    <w:p w14:paraId="0CABD00A" w14:textId="4795D8A9" w:rsidR="00D61410" w:rsidRDefault="009C7513" w:rsidP="00D61410">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tbl>
      <w:tblPr>
        <w:tblStyle w:val="TableGrid"/>
        <w:tblW w:w="0" w:type="auto"/>
        <w:tblLook w:val="04A0" w:firstRow="1" w:lastRow="0" w:firstColumn="1" w:lastColumn="0" w:noHBand="0" w:noVBand="1"/>
      </w:tblPr>
      <w:tblGrid>
        <w:gridCol w:w="722"/>
        <w:gridCol w:w="1049"/>
        <w:gridCol w:w="788"/>
        <w:gridCol w:w="718"/>
        <w:gridCol w:w="597"/>
        <w:gridCol w:w="665"/>
        <w:gridCol w:w="665"/>
        <w:gridCol w:w="642"/>
        <w:gridCol w:w="665"/>
        <w:gridCol w:w="744"/>
        <w:gridCol w:w="718"/>
        <w:gridCol w:w="636"/>
        <w:gridCol w:w="741"/>
      </w:tblGrid>
      <w:tr w:rsidR="00514017" w:rsidRPr="00514017" w14:paraId="7444BE48" w14:textId="4FA6BA14" w:rsidTr="00514017">
        <w:tc>
          <w:tcPr>
            <w:tcW w:w="722" w:type="dxa"/>
            <w:vAlign w:val="center"/>
          </w:tcPr>
          <w:p w14:paraId="7FEBA7C4" w14:textId="09ACAE3F"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Year</w:t>
            </w:r>
          </w:p>
        </w:tc>
        <w:tc>
          <w:tcPr>
            <w:tcW w:w="1049" w:type="dxa"/>
            <w:vAlign w:val="center"/>
          </w:tcPr>
          <w:p w14:paraId="0E900B3C" w14:textId="2CAE19E5"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N (# of clinicians</w:t>
            </w:r>
          </w:p>
        </w:tc>
        <w:tc>
          <w:tcPr>
            <w:tcW w:w="788" w:type="dxa"/>
            <w:vAlign w:val="center"/>
          </w:tcPr>
          <w:p w14:paraId="38E4A218" w14:textId="3CB79F1C"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Mean</w:t>
            </w:r>
          </w:p>
          <w:p w14:paraId="470BA82E" w14:textId="18599D3B"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718" w:type="dxa"/>
            <w:vAlign w:val="center"/>
          </w:tcPr>
          <w:p w14:paraId="274920C9" w14:textId="77777777"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St Dev</w:t>
            </w:r>
          </w:p>
          <w:p w14:paraId="253FCD12" w14:textId="464392E6"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597" w:type="dxa"/>
            <w:vAlign w:val="center"/>
          </w:tcPr>
          <w:p w14:paraId="7E90549D" w14:textId="77777777"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Min</w:t>
            </w:r>
          </w:p>
          <w:p w14:paraId="0190D656" w14:textId="2434F425"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665" w:type="dxa"/>
            <w:vAlign w:val="center"/>
          </w:tcPr>
          <w:p w14:paraId="3DFFE3C4" w14:textId="01F07A4F" w:rsidR="00514017" w:rsidRPr="00514017" w:rsidRDefault="00514017" w:rsidP="00514017">
            <w:pPr>
              <w:autoSpaceDE w:val="0"/>
              <w:autoSpaceDN w:val="0"/>
              <w:adjustRightInd w:val="0"/>
              <w:jc w:val="center"/>
              <w:rPr>
                <w:rFonts w:cstheme="minorHAnsi"/>
                <w:b/>
                <w:bCs/>
                <w:color w:val="0033CC"/>
                <w:vertAlign w:val="superscript"/>
              </w:rPr>
            </w:pPr>
            <w:r w:rsidRPr="00514017">
              <w:rPr>
                <w:rFonts w:cstheme="minorHAnsi"/>
                <w:b/>
                <w:bCs/>
                <w:color w:val="0033CC"/>
              </w:rPr>
              <w:t>10</w:t>
            </w:r>
            <w:r w:rsidRPr="00514017">
              <w:rPr>
                <w:rFonts w:cstheme="minorHAnsi"/>
                <w:b/>
                <w:bCs/>
                <w:color w:val="0033CC"/>
                <w:vertAlign w:val="superscript"/>
              </w:rPr>
              <w:t>th</w:t>
            </w:r>
          </w:p>
          <w:p w14:paraId="1BAAF5A5" w14:textId="1CD1B032"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665" w:type="dxa"/>
            <w:vAlign w:val="center"/>
          </w:tcPr>
          <w:p w14:paraId="33612769" w14:textId="77777777" w:rsidR="00514017" w:rsidRPr="00514017" w:rsidRDefault="00514017" w:rsidP="00514017">
            <w:pPr>
              <w:autoSpaceDE w:val="0"/>
              <w:autoSpaceDN w:val="0"/>
              <w:adjustRightInd w:val="0"/>
              <w:jc w:val="center"/>
              <w:rPr>
                <w:rFonts w:cstheme="minorHAnsi"/>
                <w:b/>
                <w:bCs/>
                <w:color w:val="0033CC"/>
                <w:vertAlign w:val="superscript"/>
              </w:rPr>
            </w:pPr>
            <w:r w:rsidRPr="00514017">
              <w:rPr>
                <w:rFonts w:cstheme="minorHAnsi"/>
                <w:b/>
                <w:bCs/>
                <w:color w:val="0033CC"/>
              </w:rPr>
              <w:t>25</w:t>
            </w:r>
            <w:r w:rsidRPr="00514017">
              <w:rPr>
                <w:rFonts w:cstheme="minorHAnsi"/>
                <w:b/>
                <w:bCs/>
                <w:color w:val="0033CC"/>
                <w:vertAlign w:val="superscript"/>
              </w:rPr>
              <w:t>th</w:t>
            </w:r>
          </w:p>
          <w:p w14:paraId="089E8712" w14:textId="3131B84B"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642" w:type="dxa"/>
            <w:vAlign w:val="center"/>
          </w:tcPr>
          <w:p w14:paraId="5B77E438" w14:textId="77777777" w:rsidR="00514017" w:rsidRPr="00514017" w:rsidRDefault="00514017" w:rsidP="00514017">
            <w:pPr>
              <w:autoSpaceDE w:val="0"/>
              <w:autoSpaceDN w:val="0"/>
              <w:adjustRightInd w:val="0"/>
              <w:jc w:val="center"/>
              <w:rPr>
                <w:rFonts w:cstheme="minorHAnsi"/>
                <w:b/>
                <w:bCs/>
                <w:color w:val="0033CC"/>
                <w:vertAlign w:val="superscript"/>
              </w:rPr>
            </w:pPr>
            <w:r w:rsidRPr="00514017">
              <w:rPr>
                <w:rFonts w:cstheme="minorHAnsi"/>
                <w:b/>
                <w:bCs/>
                <w:color w:val="0033CC"/>
              </w:rPr>
              <w:t>50</w:t>
            </w:r>
            <w:r w:rsidRPr="00514017">
              <w:rPr>
                <w:rFonts w:cstheme="minorHAnsi"/>
                <w:b/>
                <w:bCs/>
                <w:color w:val="0033CC"/>
                <w:vertAlign w:val="superscript"/>
              </w:rPr>
              <w:t>th</w:t>
            </w:r>
          </w:p>
          <w:p w14:paraId="44B085FF" w14:textId="217B236B"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665" w:type="dxa"/>
            <w:vAlign w:val="center"/>
          </w:tcPr>
          <w:p w14:paraId="0C0A8901" w14:textId="77777777" w:rsidR="00514017" w:rsidRPr="00514017" w:rsidRDefault="00514017" w:rsidP="00514017">
            <w:pPr>
              <w:autoSpaceDE w:val="0"/>
              <w:autoSpaceDN w:val="0"/>
              <w:adjustRightInd w:val="0"/>
              <w:jc w:val="center"/>
              <w:rPr>
                <w:rFonts w:cstheme="minorHAnsi"/>
                <w:b/>
                <w:bCs/>
                <w:color w:val="0033CC"/>
                <w:vertAlign w:val="superscript"/>
              </w:rPr>
            </w:pPr>
            <w:r w:rsidRPr="00514017">
              <w:rPr>
                <w:rFonts w:cstheme="minorHAnsi"/>
                <w:b/>
                <w:bCs/>
                <w:color w:val="0033CC"/>
              </w:rPr>
              <w:t>75</w:t>
            </w:r>
            <w:r w:rsidRPr="00514017">
              <w:rPr>
                <w:rFonts w:cstheme="minorHAnsi"/>
                <w:b/>
                <w:bCs/>
                <w:color w:val="0033CC"/>
                <w:vertAlign w:val="superscript"/>
              </w:rPr>
              <w:t>th</w:t>
            </w:r>
          </w:p>
          <w:p w14:paraId="431153EA" w14:textId="0B36A9A2"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744" w:type="dxa"/>
            <w:vAlign w:val="center"/>
          </w:tcPr>
          <w:p w14:paraId="4B165D27" w14:textId="77777777" w:rsidR="00514017" w:rsidRPr="00514017" w:rsidRDefault="00514017" w:rsidP="00514017">
            <w:pPr>
              <w:autoSpaceDE w:val="0"/>
              <w:autoSpaceDN w:val="0"/>
              <w:adjustRightInd w:val="0"/>
              <w:jc w:val="center"/>
              <w:rPr>
                <w:rFonts w:cstheme="minorHAnsi"/>
                <w:b/>
                <w:bCs/>
                <w:color w:val="0033CC"/>
                <w:vertAlign w:val="superscript"/>
              </w:rPr>
            </w:pPr>
            <w:r w:rsidRPr="00514017">
              <w:rPr>
                <w:rFonts w:cstheme="minorHAnsi"/>
                <w:b/>
                <w:bCs/>
                <w:color w:val="0033CC"/>
              </w:rPr>
              <w:t>90</w:t>
            </w:r>
            <w:r w:rsidRPr="00514017">
              <w:rPr>
                <w:rFonts w:cstheme="minorHAnsi"/>
                <w:b/>
                <w:bCs/>
                <w:color w:val="0033CC"/>
                <w:vertAlign w:val="superscript"/>
              </w:rPr>
              <w:t>th</w:t>
            </w:r>
          </w:p>
          <w:p w14:paraId="0ACD0E67" w14:textId="34008EF0"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718" w:type="dxa"/>
            <w:vAlign w:val="center"/>
          </w:tcPr>
          <w:p w14:paraId="12D2EAE2" w14:textId="77777777"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Max</w:t>
            </w:r>
          </w:p>
          <w:p w14:paraId="26B4CAF7" w14:textId="2F772611"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636" w:type="dxa"/>
            <w:vAlign w:val="center"/>
          </w:tcPr>
          <w:p w14:paraId="14786B00" w14:textId="75CBCE43"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IQR</w:t>
            </w:r>
          </w:p>
          <w:p w14:paraId="77AE4973" w14:textId="6AADA25C"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w:t>
            </w:r>
          </w:p>
        </w:tc>
        <w:tc>
          <w:tcPr>
            <w:tcW w:w="741" w:type="dxa"/>
            <w:vAlign w:val="center"/>
          </w:tcPr>
          <w:p w14:paraId="4A3D834E" w14:textId="6B5FC26C" w:rsidR="00514017" w:rsidRPr="00514017" w:rsidRDefault="00514017" w:rsidP="00514017">
            <w:pPr>
              <w:autoSpaceDE w:val="0"/>
              <w:autoSpaceDN w:val="0"/>
              <w:adjustRightInd w:val="0"/>
              <w:jc w:val="center"/>
              <w:rPr>
                <w:rFonts w:cstheme="minorHAnsi"/>
                <w:b/>
                <w:bCs/>
                <w:color w:val="0033CC"/>
              </w:rPr>
            </w:pPr>
            <w:r w:rsidRPr="00514017">
              <w:rPr>
                <w:rFonts w:cstheme="minorHAnsi"/>
                <w:b/>
                <w:bCs/>
                <w:color w:val="0033CC"/>
              </w:rPr>
              <w:t>p value</w:t>
            </w:r>
          </w:p>
        </w:tc>
      </w:tr>
      <w:tr w:rsidR="00514017" w:rsidRPr="00514017" w14:paraId="09D22AE8" w14:textId="79979C9E" w:rsidTr="00514017">
        <w:tc>
          <w:tcPr>
            <w:tcW w:w="722" w:type="dxa"/>
            <w:vAlign w:val="center"/>
          </w:tcPr>
          <w:p w14:paraId="0C44B397" w14:textId="027E98C2" w:rsidR="00514017" w:rsidRPr="00514017" w:rsidRDefault="00514017" w:rsidP="00514017">
            <w:pPr>
              <w:autoSpaceDE w:val="0"/>
              <w:autoSpaceDN w:val="0"/>
              <w:adjustRightInd w:val="0"/>
              <w:jc w:val="center"/>
              <w:rPr>
                <w:rFonts w:cstheme="minorHAnsi"/>
                <w:bCs/>
                <w:color w:val="0033CC"/>
              </w:rPr>
            </w:pPr>
            <w:r w:rsidRPr="00514017">
              <w:rPr>
                <w:rFonts w:cstheme="minorHAnsi"/>
                <w:bCs/>
                <w:color w:val="0033CC"/>
              </w:rPr>
              <w:t>2010</w:t>
            </w:r>
          </w:p>
        </w:tc>
        <w:tc>
          <w:tcPr>
            <w:tcW w:w="104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2AA5CD4" w14:textId="6A8DF3D7" w:rsidR="00514017" w:rsidRPr="00514017" w:rsidRDefault="00514017" w:rsidP="00514017">
            <w:pPr>
              <w:autoSpaceDE w:val="0"/>
              <w:autoSpaceDN w:val="0"/>
              <w:adjustRightInd w:val="0"/>
              <w:jc w:val="center"/>
              <w:rPr>
                <w:rFonts w:cstheme="minorHAnsi"/>
                <w:bCs/>
                <w:color w:val="0033CC"/>
              </w:rPr>
            </w:pPr>
            <w:r w:rsidRPr="00514017">
              <w:rPr>
                <w:rFonts w:cs="Arial"/>
                <w:bCs/>
                <w:color w:val="0033CC"/>
              </w:rPr>
              <w:t>1763</w:t>
            </w:r>
          </w:p>
        </w:tc>
        <w:tc>
          <w:tcPr>
            <w:tcW w:w="788" w:type="dxa"/>
            <w:tcBorders>
              <w:top w:val="single" w:sz="4" w:space="0" w:color="000000"/>
              <w:left w:val="nil"/>
              <w:bottom w:val="single" w:sz="4" w:space="0" w:color="000000"/>
              <w:right w:val="single" w:sz="4" w:space="0" w:color="000000"/>
            </w:tcBorders>
            <w:shd w:val="clear" w:color="000000" w:fill="FFFFFF"/>
            <w:vAlign w:val="center"/>
          </w:tcPr>
          <w:p w14:paraId="1CB81AF7" w14:textId="6F193744"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79.52</w:t>
            </w:r>
          </w:p>
        </w:tc>
        <w:tc>
          <w:tcPr>
            <w:tcW w:w="718" w:type="dxa"/>
            <w:tcBorders>
              <w:top w:val="single" w:sz="4" w:space="0" w:color="000000"/>
              <w:left w:val="nil"/>
              <w:bottom w:val="single" w:sz="4" w:space="0" w:color="000000"/>
              <w:right w:val="single" w:sz="4" w:space="0" w:color="000000"/>
            </w:tcBorders>
            <w:shd w:val="clear" w:color="000000" w:fill="FFFFFF"/>
            <w:vAlign w:val="center"/>
          </w:tcPr>
          <w:p w14:paraId="5DEF496D" w14:textId="435749B8"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23.61</w:t>
            </w:r>
          </w:p>
        </w:tc>
        <w:tc>
          <w:tcPr>
            <w:tcW w:w="597" w:type="dxa"/>
            <w:tcBorders>
              <w:top w:val="single" w:sz="4" w:space="0" w:color="000000"/>
              <w:left w:val="nil"/>
              <w:bottom w:val="single" w:sz="4" w:space="0" w:color="000000"/>
              <w:right w:val="single" w:sz="4" w:space="0" w:color="000000"/>
            </w:tcBorders>
            <w:shd w:val="clear" w:color="000000" w:fill="FFFFFF"/>
            <w:vAlign w:val="center"/>
          </w:tcPr>
          <w:p w14:paraId="351F5B59" w14:textId="06B3FF66"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0.0</w:t>
            </w:r>
          </w:p>
        </w:tc>
        <w:tc>
          <w:tcPr>
            <w:tcW w:w="665" w:type="dxa"/>
            <w:tcBorders>
              <w:top w:val="single" w:sz="4" w:space="0" w:color="000000"/>
              <w:left w:val="nil"/>
              <w:bottom w:val="single" w:sz="4" w:space="0" w:color="000000"/>
              <w:right w:val="single" w:sz="4" w:space="0" w:color="000000"/>
            </w:tcBorders>
            <w:shd w:val="clear" w:color="000000" w:fill="FFFFFF"/>
            <w:vAlign w:val="center"/>
          </w:tcPr>
          <w:p w14:paraId="3FE0B051" w14:textId="03723446"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43.0</w:t>
            </w:r>
          </w:p>
        </w:tc>
        <w:tc>
          <w:tcPr>
            <w:tcW w:w="665" w:type="dxa"/>
            <w:tcBorders>
              <w:top w:val="single" w:sz="4" w:space="0" w:color="000000"/>
              <w:left w:val="nil"/>
              <w:bottom w:val="single" w:sz="4" w:space="0" w:color="000000"/>
              <w:right w:val="single" w:sz="4" w:space="0" w:color="000000"/>
            </w:tcBorders>
            <w:shd w:val="clear" w:color="000000" w:fill="FFFFFF"/>
            <w:vAlign w:val="center"/>
          </w:tcPr>
          <w:p w14:paraId="29D8E579" w14:textId="31D3FC19"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72.0</w:t>
            </w:r>
          </w:p>
        </w:tc>
        <w:tc>
          <w:tcPr>
            <w:tcW w:w="642" w:type="dxa"/>
            <w:tcBorders>
              <w:top w:val="single" w:sz="4" w:space="0" w:color="000000"/>
              <w:left w:val="nil"/>
              <w:bottom w:val="single" w:sz="4" w:space="0" w:color="000000"/>
              <w:right w:val="single" w:sz="4" w:space="0" w:color="000000"/>
            </w:tcBorders>
            <w:shd w:val="clear" w:color="000000" w:fill="FFFFFF"/>
            <w:vAlign w:val="center"/>
          </w:tcPr>
          <w:p w14:paraId="00E828D4" w14:textId="07842E9B"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88.0</w:t>
            </w:r>
          </w:p>
        </w:tc>
        <w:tc>
          <w:tcPr>
            <w:tcW w:w="665" w:type="dxa"/>
            <w:tcBorders>
              <w:top w:val="single" w:sz="4" w:space="0" w:color="000000"/>
              <w:left w:val="nil"/>
              <w:bottom w:val="single" w:sz="4" w:space="0" w:color="000000"/>
              <w:right w:val="single" w:sz="4" w:space="0" w:color="000000"/>
            </w:tcBorders>
            <w:shd w:val="clear" w:color="000000" w:fill="FFFFFF"/>
            <w:vAlign w:val="center"/>
          </w:tcPr>
          <w:p w14:paraId="657306A2" w14:textId="1A60B07D"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96.0</w:t>
            </w:r>
          </w:p>
        </w:tc>
        <w:tc>
          <w:tcPr>
            <w:tcW w:w="744" w:type="dxa"/>
            <w:tcBorders>
              <w:top w:val="single" w:sz="4" w:space="0" w:color="000000"/>
              <w:left w:val="nil"/>
              <w:bottom w:val="single" w:sz="4" w:space="0" w:color="000000"/>
              <w:right w:val="single" w:sz="4" w:space="0" w:color="000000"/>
            </w:tcBorders>
            <w:shd w:val="clear" w:color="000000" w:fill="FFFFFF"/>
            <w:vAlign w:val="center"/>
          </w:tcPr>
          <w:p w14:paraId="08D268D8" w14:textId="097CE87C"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100.0</w:t>
            </w:r>
          </w:p>
        </w:tc>
        <w:tc>
          <w:tcPr>
            <w:tcW w:w="718" w:type="dxa"/>
            <w:tcBorders>
              <w:top w:val="single" w:sz="4" w:space="0" w:color="000000"/>
              <w:left w:val="nil"/>
              <w:bottom w:val="single" w:sz="4" w:space="0" w:color="000000"/>
              <w:right w:val="single" w:sz="8" w:space="0" w:color="000000"/>
            </w:tcBorders>
            <w:shd w:val="clear" w:color="000000" w:fill="FFFFFF"/>
            <w:vAlign w:val="center"/>
          </w:tcPr>
          <w:p w14:paraId="6D919EB9" w14:textId="17EF837D"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100.0</w:t>
            </w:r>
          </w:p>
        </w:tc>
        <w:tc>
          <w:tcPr>
            <w:tcW w:w="636" w:type="dxa"/>
            <w:vAlign w:val="center"/>
          </w:tcPr>
          <w:p w14:paraId="0B0CEC4E" w14:textId="2863178A" w:rsidR="00514017" w:rsidRPr="00514017" w:rsidRDefault="00514017" w:rsidP="00514017">
            <w:pPr>
              <w:autoSpaceDE w:val="0"/>
              <w:autoSpaceDN w:val="0"/>
              <w:adjustRightInd w:val="0"/>
              <w:jc w:val="center"/>
              <w:rPr>
                <w:rFonts w:cstheme="minorHAnsi"/>
                <w:bCs/>
                <w:color w:val="0033CC"/>
              </w:rPr>
            </w:pPr>
            <w:r w:rsidRPr="00514017">
              <w:rPr>
                <w:rFonts w:cstheme="minorHAnsi"/>
                <w:bCs/>
                <w:color w:val="0033CC"/>
              </w:rPr>
              <w:t>24.0</w:t>
            </w:r>
          </w:p>
        </w:tc>
        <w:tc>
          <w:tcPr>
            <w:tcW w:w="741" w:type="dxa"/>
            <w:vAlign w:val="center"/>
          </w:tcPr>
          <w:p w14:paraId="486058ED" w14:textId="78DA362F" w:rsidR="00514017" w:rsidRPr="00514017" w:rsidRDefault="00514017" w:rsidP="00514017">
            <w:pPr>
              <w:autoSpaceDE w:val="0"/>
              <w:autoSpaceDN w:val="0"/>
              <w:adjustRightInd w:val="0"/>
              <w:jc w:val="center"/>
              <w:rPr>
                <w:rFonts w:cstheme="minorHAnsi"/>
                <w:bCs/>
                <w:color w:val="0033CC"/>
              </w:rPr>
            </w:pPr>
            <w:r w:rsidRPr="00514017">
              <w:rPr>
                <w:rFonts w:eastAsia="Times New Roman" w:cs="Times New Roman"/>
                <w:color w:val="0000FF"/>
              </w:rPr>
              <w:t>&lt;0.05</w:t>
            </w:r>
          </w:p>
        </w:tc>
      </w:tr>
      <w:tr w:rsidR="00514017" w:rsidRPr="00514017" w14:paraId="0FF0DF60" w14:textId="56DB4D90" w:rsidTr="00514017">
        <w:tc>
          <w:tcPr>
            <w:tcW w:w="722" w:type="dxa"/>
            <w:vAlign w:val="center"/>
          </w:tcPr>
          <w:p w14:paraId="5EC4AD18" w14:textId="150209F4" w:rsidR="00514017" w:rsidRPr="00514017" w:rsidRDefault="00514017" w:rsidP="00514017">
            <w:pPr>
              <w:autoSpaceDE w:val="0"/>
              <w:autoSpaceDN w:val="0"/>
              <w:adjustRightInd w:val="0"/>
              <w:jc w:val="center"/>
              <w:rPr>
                <w:rFonts w:cstheme="minorHAnsi"/>
                <w:bCs/>
                <w:color w:val="0033CC"/>
              </w:rPr>
            </w:pPr>
            <w:r w:rsidRPr="00514017">
              <w:rPr>
                <w:rFonts w:cstheme="minorHAnsi"/>
                <w:bCs/>
                <w:color w:val="0033CC"/>
              </w:rPr>
              <w:t>2011</w:t>
            </w:r>
          </w:p>
        </w:tc>
        <w:tc>
          <w:tcPr>
            <w:tcW w:w="1049" w:type="dxa"/>
            <w:tcBorders>
              <w:top w:val="nil"/>
              <w:left w:val="single" w:sz="4" w:space="0" w:color="000000"/>
              <w:bottom w:val="single" w:sz="4" w:space="0" w:color="000000"/>
              <w:right w:val="single" w:sz="4" w:space="0" w:color="000000"/>
            </w:tcBorders>
            <w:shd w:val="clear" w:color="000000" w:fill="FFFFFF"/>
            <w:vAlign w:val="center"/>
          </w:tcPr>
          <w:p w14:paraId="3A314F01" w14:textId="5A940CDA" w:rsidR="00514017" w:rsidRPr="00514017" w:rsidRDefault="00514017" w:rsidP="00514017">
            <w:pPr>
              <w:autoSpaceDE w:val="0"/>
              <w:autoSpaceDN w:val="0"/>
              <w:adjustRightInd w:val="0"/>
              <w:jc w:val="center"/>
              <w:rPr>
                <w:rFonts w:cstheme="minorHAnsi"/>
                <w:bCs/>
                <w:color w:val="0033CC"/>
              </w:rPr>
            </w:pPr>
            <w:r w:rsidRPr="00514017">
              <w:rPr>
                <w:rFonts w:cs="Arial"/>
                <w:bCs/>
                <w:color w:val="0033CC"/>
              </w:rPr>
              <w:t>2359</w:t>
            </w:r>
          </w:p>
        </w:tc>
        <w:tc>
          <w:tcPr>
            <w:tcW w:w="788" w:type="dxa"/>
            <w:tcBorders>
              <w:top w:val="nil"/>
              <w:left w:val="nil"/>
              <w:bottom w:val="single" w:sz="4" w:space="0" w:color="000000"/>
              <w:right w:val="single" w:sz="4" w:space="0" w:color="000000"/>
            </w:tcBorders>
            <w:shd w:val="clear" w:color="000000" w:fill="FFFFFF"/>
            <w:vAlign w:val="center"/>
          </w:tcPr>
          <w:p w14:paraId="10B0B8AD" w14:textId="7CBDFB1B"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78.08</w:t>
            </w:r>
          </w:p>
        </w:tc>
        <w:tc>
          <w:tcPr>
            <w:tcW w:w="718" w:type="dxa"/>
            <w:tcBorders>
              <w:top w:val="nil"/>
              <w:left w:val="nil"/>
              <w:bottom w:val="single" w:sz="4" w:space="0" w:color="000000"/>
              <w:right w:val="single" w:sz="4" w:space="0" w:color="000000"/>
            </w:tcBorders>
            <w:shd w:val="clear" w:color="000000" w:fill="FFFFFF"/>
            <w:vAlign w:val="center"/>
          </w:tcPr>
          <w:p w14:paraId="66A97A1F" w14:textId="1F573AF0"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25.39</w:t>
            </w:r>
          </w:p>
        </w:tc>
        <w:tc>
          <w:tcPr>
            <w:tcW w:w="597" w:type="dxa"/>
            <w:tcBorders>
              <w:top w:val="nil"/>
              <w:left w:val="nil"/>
              <w:bottom w:val="single" w:sz="4" w:space="0" w:color="000000"/>
              <w:right w:val="single" w:sz="4" w:space="0" w:color="000000"/>
            </w:tcBorders>
            <w:shd w:val="clear" w:color="000000" w:fill="FFFFFF"/>
            <w:vAlign w:val="center"/>
          </w:tcPr>
          <w:p w14:paraId="418F0938" w14:textId="707CD40A"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0.0</w:t>
            </w:r>
          </w:p>
        </w:tc>
        <w:tc>
          <w:tcPr>
            <w:tcW w:w="665" w:type="dxa"/>
            <w:tcBorders>
              <w:top w:val="nil"/>
              <w:left w:val="nil"/>
              <w:bottom w:val="single" w:sz="4" w:space="0" w:color="000000"/>
              <w:right w:val="single" w:sz="4" w:space="0" w:color="000000"/>
            </w:tcBorders>
            <w:shd w:val="clear" w:color="000000" w:fill="FFFFFF"/>
            <w:vAlign w:val="center"/>
          </w:tcPr>
          <w:p w14:paraId="0EBED6B9" w14:textId="7FDF6F14"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36.0</w:t>
            </w:r>
          </w:p>
        </w:tc>
        <w:tc>
          <w:tcPr>
            <w:tcW w:w="665" w:type="dxa"/>
            <w:tcBorders>
              <w:top w:val="nil"/>
              <w:left w:val="nil"/>
              <w:bottom w:val="single" w:sz="4" w:space="0" w:color="000000"/>
              <w:right w:val="single" w:sz="4" w:space="0" w:color="000000"/>
            </w:tcBorders>
            <w:shd w:val="clear" w:color="000000" w:fill="FFFFFF"/>
            <w:vAlign w:val="center"/>
          </w:tcPr>
          <w:p w14:paraId="4A403A6B" w14:textId="39B53E63"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69.0</w:t>
            </w:r>
          </w:p>
        </w:tc>
        <w:tc>
          <w:tcPr>
            <w:tcW w:w="642" w:type="dxa"/>
            <w:tcBorders>
              <w:top w:val="nil"/>
              <w:left w:val="nil"/>
              <w:bottom w:val="single" w:sz="4" w:space="0" w:color="000000"/>
              <w:right w:val="single" w:sz="4" w:space="0" w:color="000000"/>
            </w:tcBorders>
            <w:shd w:val="clear" w:color="000000" w:fill="FFFFFF"/>
            <w:vAlign w:val="center"/>
          </w:tcPr>
          <w:p w14:paraId="1D0DF217" w14:textId="792739FF"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88.0</w:t>
            </w:r>
          </w:p>
        </w:tc>
        <w:tc>
          <w:tcPr>
            <w:tcW w:w="665" w:type="dxa"/>
            <w:tcBorders>
              <w:top w:val="nil"/>
              <w:left w:val="nil"/>
              <w:bottom w:val="single" w:sz="4" w:space="0" w:color="000000"/>
              <w:right w:val="single" w:sz="4" w:space="0" w:color="000000"/>
            </w:tcBorders>
            <w:shd w:val="clear" w:color="000000" w:fill="FFFFFF"/>
            <w:vAlign w:val="center"/>
          </w:tcPr>
          <w:p w14:paraId="3B0D2051" w14:textId="70E8EA43"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96.0</w:t>
            </w:r>
          </w:p>
        </w:tc>
        <w:tc>
          <w:tcPr>
            <w:tcW w:w="744" w:type="dxa"/>
            <w:tcBorders>
              <w:top w:val="nil"/>
              <w:left w:val="nil"/>
              <w:bottom w:val="single" w:sz="4" w:space="0" w:color="000000"/>
              <w:right w:val="single" w:sz="4" w:space="0" w:color="000000"/>
            </w:tcBorders>
            <w:shd w:val="clear" w:color="000000" w:fill="FFFFFF"/>
            <w:vAlign w:val="center"/>
          </w:tcPr>
          <w:p w14:paraId="019D939A" w14:textId="32700BA5"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100.0</w:t>
            </w:r>
          </w:p>
        </w:tc>
        <w:tc>
          <w:tcPr>
            <w:tcW w:w="718" w:type="dxa"/>
            <w:tcBorders>
              <w:top w:val="nil"/>
              <w:left w:val="nil"/>
              <w:bottom w:val="single" w:sz="4" w:space="0" w:color="000000"/>
              <w:right w:val="single" w:sz="8" w:space="0" w:color="000000"/>
            </w:tcBorders>
            <w:shd w:val="clear" w:color="000000" w:fill="FFFFFF"/>
            <w:vAlign w:val="center"/>
          </w:tcPr>
          <w:p w14:paraId="0B10A51F" w14:textId="0F7B83CC"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100.0</w:t>
            </w:r>
          </w:p>
        </w:tc>
        <w:tc>
          <w:tcPr>
            <w:tcW w:w="636" w:type="dxa"/>
            <w:vAlign w:val="center"/>
          </w:tcPr>
          <w:p w14:paraId="15343C10" w14:textId="0D6ADF18" w:rsidR="00514017" w:rsidRPr="00514017" w:rsidRDefault="00514017" w:rsidP="00514017">
            <w:pPr>
              <w:autoSpaceDE w:val="0"/>
              <w:autoSpaceDN w:val="0"/>
              <w:adjustRightInd w:val="0"/>
              <w:jc w:val="center"/>
              <w:rPr>
                <w:rFonts w:cstheme="minorHAnsi"/>
                <w:bCs/>
                <w:color w:val="0033CC"/>
              </w:rPr>
            </w:pPr>
            <w:r w:rsidRPr="00514017">
              <w:rPr>
                <w:rFonts w:cstheme="minorHAnsi"/>
                <w:bCs/>
                <w:color w:val="0033CC"/>
              </w:rPr>
              <w:t>27.0</w:t>
            </w:r>
          </w:p>
        </w:tc>
        <w:tc>
          <w:tcPr>
            <w:tcW w:w="741" w:type="dxa"/>
            <w:vAlign w:val="center"/>
          </w:tcPr>
          <w:p w14:paraId="363B7983" w14:textId="69B7146D" w:rsidR="00514017" w:rsidRPr="00514017" w:rsidRDefault="00514017" w:rsidP="00514017">
            <w:pPr>
              <w:autoSpaceDE w:val="0"/>
              <w:autoSpaceDN w:val="0"/>
              <w:adjustRightInd w:val="0"/>
              <w:jc w:val="center"/>
              <w:rPr>
                <w:rFonts w:cstheme="minorHAnsi"/>
                <w:bCs/>
                <w:color w:val="0033CC"/>
              </w:rPr>
            </w:pPr>
            <w:r w:rsidRPr="00514017">
              <w:rPr>
                <w:rFonts w:eastAsia="Times New Roman" w:cs="Times New Roman"/>
                <w:color w:val="0000FF"/>
              </w:rPr>
              <w:t>&lt;0.05</w:t>
            </w:r>
          </w:p>
        </w:tc>
      </w:tr>
      <w:tr w:rsidR="00514017" w:rsidRPr="00514017" w14:paraId="2B681BC1" w14:textId="4F1A790A" w:rsidTr="00514017">
        <w:tc>
          <w:tcPr>
            <w:tcW w:w="722" w:type="dxa"/>
            <w:vAlign w:val="center"/>
          </w:tcPr>
          <w:p w14:paraId="26B60F46" w14:textId="631C0799" w:rsidR="00514017" w:rsidRPr="00514017" w:rsidRDefault="00514017" w:rsidP="00514017">
            <w:pPr>
              <w:autoSpaceDE w:val="0"/>
              <w:autoSpaceDN w:val="0"/>
              <w:adjustRightInd w:val="0"/>
              <w:jc w:val="center"/>
              <w:rPr>
                <w:rFonts w:cstheme="minorHAnsi"/>
                <w:bCs/>
                <w:color w:val="0033CC"/>
              </w:rPr>
            </w:pPr>
            <w:r w:rsidRPr="00514017">
              <w:rPr>
                <w:rFonts w:cstheme="minorHAnsi"/>
                <w:bCs/>
                <w:color w:val="0033CC"/>
              </w:rPr>
              <w:t>2012</w:t>
            </w:r>
          </w:p>
        </w:tc>
        <w:tc>
          <w:tcPr>
            <w:tcW w:w="1049" w:type="dxa"/>
            <w:tcBorders>
              <w:top w:val="nil"/>
              <w:left w:val="single" w:sz="4" w:space="0" w:color="000000"/>
              <w:bottom w:val="single" w:sz="8" w:space="0" w:color="000000"/>
              <w:right w:val="single" w:sz="4" w:space="0" w:color="000000"/>
            </w:tcBorders>
            <w:shd w:val="clear" w:color="000000" w:fill="FFFFFF"/>
            <w:vAlign w:val="center"/>
          </w:tcPr>
          <w:p w14:paraId="3174C4C3" w14:textId="66BB7381" w:rsidR="00514017" w:rsidRPr="00514017" w:rsidRDefault="00514017" w:rsidP="00514017">
            <w:pPr>
              <w:autoSpaceDE w:val="0"/>
              <w:autoSpaceDN w:val="0"/>
              <w:adjustRightInd w:val="0"/>
              <w:jc w:val="center"/>
              <w:rPr>
                <w:rFonts w:cstheme="minorHAnsi"/>
                <w:bCs/>
                <w:color w:val="0033CC"/>
              </w:rPr>
            </w:pPr>
            <w:r w:rsidRPr="00514017">
              <w:rPr>
                <w:rFonts w:cs="Arial"/>
                <w:bCs/>
                <w:color w:val="0033CC"/>
              </w:rPr>
              <w:t>2866</w:t>
            </w:r>
          </w:p>
        </w:tc>
        <w:tc>
          <w:tcPr>
            <w:tcW w:w="788" w:type="dxa"/>
            <w:tcBorders>
              <w:top w:val="nil"/>
              <w:left w:val="nil"/>
              <w:bottom w:val="single" w:sz="8" w:space="0" w:color="000000"/>
              <w:right w:val="single" w:sz="4" w:space="0" w:color="000000"/>
            </w:tcBorders>
            <w:shd w:val="clear" w:color="000000" w:fill="FFFFFF"/>
            <w:vAlign w:val="center"/>
          </w:tcPr>
          <w:p w14:paraId="67AD443E" w14:textId="7D6DB9C5"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78.04</w:t>
            </w:r>
          </w:p>
        </w:tc>
        <w:tc>
          <w:tcPr>
            <w:tcW w:w="718" w:type="dxa"/>
            <w:tcBorders>
              <w:top w:val="nil"/>
              <w:left w:val="nil"/>
              <w:bottom w:val="single" w:sz="8" w:space="0" w:color="000000"/>
              <w:right w:val="single" w:sz="4" w:space="0" w:color="000000"/>
            </w:tcBorders>
            <w:shd w:val="clear" w:color="000000" w:fill="FFFFFF"/>
            <w:vAlign w:val="center"/>
          </w:tcPr>
          <w:p w14:paraId="7D1FE715" w14:textId="757CB0F3"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25.56</w:t>
            </w:r>
          </w:p>
        </w:tc>
        <w:tc>
          <w:tcPr>
            <w:tcW w:w="597" w:type="dxa"/>
            <w:tcBorders>
              <w:top w:val="nil"/>
              <w:left w:val="nil"/>
              <w:bottom w:val="single" w:sz="8" w:space="0" w:color="000000"/>
              <w:right w:val="single" w:sz="4" w:space="0" w:color="000000"/>
            </w:tcBorders>
            <w:shd w:val="clear" w:color="000000" w:fill="FFFFFF"/>
            <w:vAlign w:val="center"/>
          </w:tcPr>
          <w:p w14:paraId="646F8A23" w14:textId="4B9D5A2E"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0.0</w:t>
            </w:r>
          </w:p>
        </w:tc>
        <w:tc>
          <w:tcPr>
            <w:tcW w:w="665" w:type="dxa"/>
            <w:tcBorders>
              <w:top w:val="nil"/>
              <w:left w:val="nil"/>
              <w:bottom w:val="single" w:sz="8" w:space="0" w:color="000000"/>
              <w:right w:val="single" w:sz="4" w:space="0" w:color="000000"/>
            </w:tcBorders>
            <w:shd w:val="clear" w:color="000000" w:fill="FFFFFF"/>
            <w:vAlign w:val="center"/>
          </w:tcPr>
          <w:p w14:paraId="4BF11002" w14:textId="6E9972F2"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36.0</w:t>
            </w:r>
          </w:p>
        </w:tc>
        <w:tc>
          <w:tcPr>
            <w:tcW w:w="665" w:type="dxa"/>
            <w:tcBorders>
              <w:top w:val="nil"/>
              <w:left w:val="nil"/>
              <w:bottom w:val="single" w:sz="8" w:space="0" w:color="000000"/>
              <w:right w:val="single" w:sz="4" w:space="0" w:color="000000"/>
            </w:tcBorders>
            <w:shd w:val="clear" w:color="000000" w:fill="FFFFFF"/>
            <w:vAlign w:val="center"/>
          </w:tcPr>
          <w:p w14:paraId="79FFEE78" w14:textId="0FDB9EC2"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72.0</w:t>
            </w:r>
          </w:p>
        </w:tc>
        <w:tc>
          <w:tcPr>
            <w:tcW w:w="642" w:type="dxa"/>
            <w:tcBorders>
              <w:top w:val="nil"/>
              <w:left w:val="nil"/>
              <w:bottom w:val="single" w:sz="8" w:space="0" w:color="000000"/>
              <w:right w:val="single" w:sz="4" w:space="0" w:color="000000"/>
            </w:tcBorders>
            <w:shd w:val="clear" w:color="000000" w:fill="FFFFFF"/>
            <w:vAlign w:val="center"/>
          </w:tcPr>
          <w:p w14:paraId="6A6C7850" w14:textId="7766413B"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88.0</w:t>
            </w:r>
          </w:p>
        </w:tc>
        <w:tc>
          <w:tcPr>
            <w:tcW w:w="665" w:type="dxa"/>
            <w:tcBorders>
              <w:top w:val="nil"/>
              <w:left w:val="nil"/>
              <w:bottom w:val="single" w:sz="8" w:space="0" w:color="000000"/>
              <w:right w:val="single" w:sz="4" w:space="0" w:color="000000"/>
            </w:tcBorders>
            <w:shd w:val="clear" w:color="000000" w:fill="FFFFFF"/>
            <w:vAlign w:val="center"/>
          </w:tcPr>
          <w:p w14:paraId="5E5085AE" w14:textId="28E15C96"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96.0</w:t>
            </w:r>
          </w:p>
        </w:tc>
        <w:tc>
          <w:tcPr>
            <w:tcW w:w="744" w:type="dxa"/>
            <w:tcBorders>
              <w:top w:val="nil"/>
              <w:left w:val="nil"/>
              <w:bottom w:val="single" w:sz="8" w:space="0" w:color="000000"/>
              <w:right w:val="single" w:sz="4" w:space="0" w:color="000000"/>
            </w:tcBorders>
            <w:shd w:val="clear" w:color="000000" w:fill="FFFFFF"/>
            <w:vAlign w:val="center"/>
          </w:tcPr>
          <w:p w14:paraId="52253E46" w14:textId="68A9AC8C"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100.0</w:t>
            </w:r>
          </w:p>
        </w:tc>
        <w:tc>
          <w:tcPr>
            <w:tcW w:w="718" w:type="dxa"/>
            <w:tcBorders>
              <w:top w:val="nil"/>
              <w:left w:val="nil"/>
              <w:bottom w:val="single" w:sz="8" w:space="0" w:color="000000"/>
              <w:right w:val="single" w:sz="8" w:space="0" w:color="000000"/>
            </w:tcBorders>
            <w:shd w:val="clear" w:color="000000" w:fill="FFFFFF"/>
            <w:vAlign w:val="center"/>
          </w:tcPr>
          <w:p w14:paraId="1C23EA23" w14:textId="504D70B1" w:rsidR="00514017" w:rsidRPr="00514017" w:rsidRDefault="00514017" w:rsidP="00514017">
            <w:pPr>
              <w:autoSpaceDE w:val="0"/>
              <w:autoSpaceDN w:val="0"/>
              <w:adjustRightInd w:val="0"/>
              <w:jc w:val="center"/>
              <w:rPr>
                <w:rFonts w:cstheme="minorHAnsi"/>
                <w:bCs/>
                <w:color w:val="0033CC"/>
              </w:rPr>
            </w:pPr>
            <w:r w:rsidRPr="00514017">
              <w:rPr>
                <w:rFonts w:cs="Arial"/>
                <w:color w:val="0033CC"/>
              </w:rPr>
              <w:t>100.0</w:t>
            </w:r>
          </w:p>
        </w:tc>
        <w:tc>
          <w:tcPr>
            <w:tcW w:w="636" w:type="dxa"/>
            <w:vAlign w:val="center"/>
          </w:tcPr>
          <w:p w14:paraId="79D2EA01" w14:textId="51524372" w:rsidR="00514017" w:rsidRPr="00514017" w:rsidRDefault="00514017" w:rsidP="00514017">
            <w:pPr>
              <w:autoSpaceDE w:val="0"/>
              <w:autoSpaceDN w:val="0"/>
              <w:adjustRightInd w:val="0"/>
              <w:jc w:val="center"/>
              <w:rPr>
                <w:rFonts w:cstheme="minorHAnsi"/>
                <w:bCs/>
                <w:color w:val="0033CC"/>
              </w:rPr>
            </w:pPr>
            <w:r w:rsidRPr="00514017">
              <w:rPr>
                <w:rFonts w:cstheme="minorHAnsi"/>
                <w:bCs/>
                <w:color w:val="0033CC"/>
              </w:rPr>
              <w:t>24.0</w:t>
            </w:r>
          </w:p>
        </w:tc>
        <w:tc>
          <w:tcPr>
            <w:tcW w:w="741" w:type="dxa"/>
            <w:vAlign w:val="center"/>
          </w:tcPr>
          <w:p w14:paraId="45A253F1" w14:textId="4ED82DA9" w:rsidR="00514017" w:rsidRPr="00514017" w:rsidRDefault="00514017" w:rsidP="00514017">
            <w:pPr>
              <w:autoSpaceDE w:val="0"/>
              <w:autoSpaceDN w:val="0"/>
              <w:adjustRightInd w:val="0"/>
              <w:jc w:val="center"/>
              <w:rPr>
                <w:rFonts w:cstheme="minorHAnsi"/>
                <w:bCs/>
                <w:color w:val="0033CC"/>
              </w:rPr>
            </w:pPr>
            <w:r w:rsidRPr="00514017">
              <w:rPr>
                <w:rFonts w:eastAsia="Times New Roman" w:cs="Times New Roman"/>
                <w:color w:val="0000FF"/>
              </w:rPr>
              <w:t>&lt;0.05</w:t>
            </w:r>
          </w:p>
        </w:tc>
      </w:tr>
    </w:tbl>
    <w:p w14:paraId="372B291D" w14:textId="77777777" w:rsidR="00514017" w:rsidRPr="00AF0F1A" w:rsidRDefault="00514017" w:rsidP="00514017">
      <w:pPr>
        <w:autoSpaceDE w:val="0"/>
        <w:autoSpaceDN w:val="0"/>
        <w:adjustRightInd w:val="0"/>
        <w:spacing w:after="0" w:line="240" w:lineRule="auto"/>
        <w:rPr>
          <w:rFonts w:cstheme="minorHAnsi"/>
          <w:bCs/>
          <w:color w:val="0000CC"/>
        </w:rPr>
      </w:pPr>
      <w:r w:rsidRPr="00AF0F1A">
        <w:rPr>
          <w:rFonts w:cstheme="minorHAnsi"/>
          <w:bCs/>
          <w:color w:val="0000CC"/>
        </w:rPr>
        <w:t>IQR: Interquartile range</w:t>
      </w:r>
    </w:p>
    <w:p w14:paraId="5AA5AB27" w14:textId="0DD507CB" w:rsidR="00C47B6F" w:rsidRPr="00514017" w:rsidRDefault="00514017" w:rsidP="00514017">
      <w:pPr>
        <w:autoSpaceDE w:val="0"/>
        <w:autoSpaceDN w:val="0"/>
        <w:adjustRightInd w:val="0"/>
        <w:spacing w:after="0" w:line="240" w:lineRule="auto"/>
        <w:rPr>
          <w:rFonts w:cstheme="minorHAnsi"/>
          <w:bCs/>
        </w:rPr>
      </w:pPr>
      <w:r w:rsidRPr="00AF0F1A">
        <w:rPr>
          <w:rFonts w:cstheme="minorHAnsi"/>
          <w:bCs/>
          <w:color w:val="0000CC"/>
        </w:rPr>
        <w:t>p-value: p value of independent samples t-test comparing plans at the 25</w:t>
      </w:r>
      <w:r w:rsidRPr="00AF0F1A">
        <w:rPr>
          <w:rFonts w:cstheme="minorHAnsi"/>
          <w:bCs/>
          <w:color w:val="0000CC"/>
          <w:vertAlign w:val="superscript"/>
        </w:rPr>
        <w:t>th</w:t>
      </w:r>
      <w:r w:rsidRPr="00AF0F1A">
        <w:rPr>
          <w:rFonts w:cstheme="minorHAnsi"/>
          <w:bCs/>
          <w:color w:val="0000CC"/>
        </w:rPr>
        <w:t xml:space="preserve"> percentile to plans at the 75</w:t>
      </w:r>
      <w:r w:rsidRPr="00AF0F1A">
        <w:rPr>
          <w:rFonts w:cstheme="minorHAnsi"/>
          <w:bCs/>
          <w:color w:val="0000CC"/>
          <w:vertAlign w:val="superscript"/>
        </w:rPr>
        <w:t>th</w:t>
      </w:r>
      <w:r w:rsidRPr="00AF0F1A">
        <w:rPr>
          <w:rFonts w:cstheme="minorHAnsi"/>
          <w:bCs/>
          <w:color w:val="0000CC"/>
        </w:rPr>
        <w:t xml:space="preserve"> percentile</w:t>
      </w:r>
    </w:p>
    <w:p w14:paraId="0CABD00B" w14:textId="05C9A871" w:rsidR="00D61410" w:rsidRDefault="00D61410" w:rsidP="00D61410">
      <w:pPr>
        <w:autoSpaceDE w:val="0"/>
        <w:autoSpaceDN w:val="0"/>
        <w:adjustRightInd w:val="0"/>
        <w:spacing w:after="0" w:line="240" w:lineRule="auto"/>
        <w:rPr>
          <w:rFonts w:cstheme="minorHAnsi"/>
          <w:bCs/>
        </w:rPr>
      </w:pPr>
    </w:p>
    <w:p w14:paraId="244FB0AC" w14:textId="41DBD61F" w:rsidR="00514017" w:rsidRDefault="00514017" w:rsidP="00D61410">
      <w:pPr>
        <w:autoSpaceDE w:val="0"/>
        <w:autoSpaceDN w:val="0"/>
        <w:adjustRightInd w:val="0"/>
        <w:spacing w:after="0" w:line="240" w:lineRule="auto"/>
        <w:rPr>
          <w:rFonts w:cstheme="minorHAnsi"/>
          <w:bCs/>
        </w:rPr>
      </w:pPr>
      <w:bookmarkStart w:id="22" w:name="_Hlk507762167"/>
      <w:r>
        <w:rPr>
          <w:rFonts w:cstheme="minorHAnsi"/>
          <w:b/>
          <w:bCs/>
          <w:color w:val="0000CC"/>
        </w:rPr>
        <w:t>Chart 1.</w:t>
      </w:r>
      <w:r w:rsidRPr="002C1815">
        <w:rPr>
          <w:rFonts w:cstheme="minorHAnsi"/>
          <w:b/>
          <w:bCs/>
          <w:color w:val="0000CC"/>
        </w:rPr>
        <w:t xml:space="preserve"> Boxplot of </w:t>
      </w:r>
      <w:r>
        <w:rPr>
          <w:rFonts w:cstheme="minorHAnsi"/>
          <w:b/>
          <w:bCs/>
          <w:color w:val="0000CC"/>
        </w:rPr>
        <w:t>Foot Exam</w:t>
      </w:r>
      <w:r w:rsidRPr="002C1815">
        <w:rPr>
          <w:rFonts w:cstheme="minorHAnsi"/>
          <w:b/>
          <w:bCs/>
          <w:color w:val="0000CC"/>
        </w:rPr>
        <w:t xml:space="preserve"> Measure, </w:t>
      </w:r>
      <w:r>
        <w:rPr>
          <w:rFonts w:cstheme="minorHAnsi"/>
          <w:b/>
          <w:bCs/>
          <w:color w:val="0000CC"/>
        </w:rPr>
        <w:t>Diabetes Recognition Program, 2010-2012</w:t>
      </w:r>
      <w:bookmarkEnd w:id="22"/>
    </w:p>
    <w:p w14:paraId="72DCA909" w14:textId="3C6DE65F" w:rsidR="00514017" w:rsidRDefault="00514017" w:rsidP="00D61410">
      <w:pPr>
        <w:autoSpaceDE w:val="0"/>
        <w:autoSpaceDN w:val="0"/>
        <w:adjustRightInd w:val="0"/>
        <w:spacing w:after="0" w:line="240" w:lineRule="auto"/>
        <w:rPr>
          <w:rFonts w:cstheme="minorHAnsi"/>
          <w:bCs/>
        </w:rPr>
      </w:pPr>
      <w:r w:rsidRPr="00AB588F">
        <w:rPr>
          <w:rFonts w:cstheme="minorHAnsi"/>
          <w:bCs/>
          <w:noProof/>
        </w:rPr>
        <w:drawing>
          <wp:inline distT="0" distB="0" distL="0" distR="0" wp14:anchorId="5F2BA7F2" wp14:editId="2C9A214C">
            <wp:extent cx="5943600" cy="4208318"/>
            <wp:effectExtent l="0" t="0" r="0" b="1905"/>
            <wp:docPr id="2" name="Picture 2" descr="H:\RPM-QSG\Analysis Outputs\FYA REEVAL 2013\NQF REEVAL\RP DATA\boxplot footex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PM-QSG\Analysis Outputs\FYA REEVAL 2013\NQF REEVAL\RP DATA\boxplot footexam.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5594"/>
                    <a:stretch/>
                  </pic:blipFill>
                  <pic:spPr bwMode="auto">
                    <a:xfrm>
                      <a:off x="0" y="0"/>
                      <a:ext cx="5943600" cy="4208318"/>
                    </a:xfrm>
                    <a:prstGeom prst="rect">
                      <a:avLst/>
                    </a:prstGeom>
                    <a:noFill/>
                    <a:ln>
                      <a:noFill/>
                    </a:ln>
                    <a:extLst>
                      <a:ext uri="{53640926-AAD7-44D8-BBD7-CCE9431645EC}">
                        <a14:shadowObscured xmlns:a14="http://schemas.microsoft.com/office/drawing/2010/main"/>
                      </a:ext>
                    </a:extLst>
                  </pic:spPr>
                </pic:pic>
              </a:graphicData>
            </a:graphic>
          </wp:inline>
        </w:drawing>
      </w:r>
    </w:p>
    <w:p w14:paraId="42056156" w14:textId="6E34BB76" w:rsidR="00514017" w:rsidRDefault="00514017" w:rsidP="00D61410">
      <w:pPr>
        <w:autoSpaceDE w:val="0"/>
        <w:autoSpaceDN w:val="0"/>
        <w:adjustRightInd w:val="0"/>
        <w:spacing w:after="0" w:line="240" w:lineRule="auto"/>
        <w:rPr>
          <w:rFonts w:cstheme="minorHAnsi"/>
          <w:bCs/>
        </w:rPr>
      </w:pPr>
    </w:p>
    <w:p w14:paraId="78088065" w14:textId="77777777" w:rsidR="00514017" w:rsidRPr="00927027" w:rsidRDefault="00514017" w:rsidP="00D61410">
      <w:pPr>
        <w:autoSpaceDE w:val="0"/>
        <w:autoSpaceDN w:val="0"/>
        <w:adjustRightInd w:val="0"/>
        <w:spacing w:after="0" w:line="240" w:lineRule="auto"/>
        <w:rPr>
          <w:rFonts w:cstheme="minorHAnsi"/>
          <w:bCs/>
        </w:rPr>
      </w:pPr>
    </w:p>
    <w:p w14:paraId="411F0A71" w14:textId="77777777" w:rsidR="00514017" w:rsidRDefault="009C7513" w:rsidP="00514017">
      <w:pPr>
        <w:autoSpaceDE w:val="0"/>
        <w:autoSpaceDN w:val="0"/>
        <w:adjustRightInd w:val="0"/>
        <w:spacing w:after="0" w:line="240" w:lineRule="auto"/>
        <w:rPr>
          <w:rFonts w:cstheme="minorHAnsi"/>
          <w:bCs/>
          <w:color w:val="0000CC"/>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bookmarkStart w:id="23" w:name="_Hlk502682274"/>
    </w:p>
    <w:p w14:paraId="6A428970" w14:textId="76E81949" w:rsidR="00514017" w:rsidRPr="00AF0F1A" w:rsidRDefault="00514017" w:rsidP="00514017">
      <w:pPr>
        <w:autoSpaceDE w:val="0"/>
        <w:autoSpaceDN w:val="0"/>
        <w:adjustRightInd w:val="0"/>
        <w:spacing w:after="0" w:line="240" w:lineRule="auto"/>
        <w:rPr>
          <w:rFonts w:cstheme="minorHAnsi"/>
          <w:bCs/>
          <w:color w:val="0000CC"/>
        </w:rPr>
      </w:pPr>
      <w:r w:rsidRPr="00AF0F1A">
        <w:rPr>
          <w:rFonts w:cstheme="minorHAnsi"/>
          <w:bCs/>
          <w:color w:val="0000CC"/>
        </w:rPr>
        <w:lastRenderedPageBreak/>
        <w:t>The difference between the 25</w:t>
      </w:r>
      <w:r w:rsidRPr="00AF0F1A">
        <w:rPr>
          <w:rFonts w:cstheme="minorHAnsi"/>
          <w:bCs/>
          <w:color w:val="0000CC"/>
          <w:vertAlign w:val="superscript"/>
        </w:rPr>
        <w:t>th</w:t>
      </w:r>
      <w:r w:rsidRPr="00AF0F1A">
        <w:rPr>
          <w:rFonts w:cstheme="minorHAnsi"/>
          <w:bCs/>
          <w:color w:val="0000CC"/>
        </w:rPr>
        <w:t xml:space="preserve"> and 75</w:t>
      </w:r>
      <w:r w:rsidRPr="00AF0F1A">
        <w:rPr>
          <w:rFonts w:cstheme="minorHAnsi"/>
          <w:bCs/>
          <w:color w:val="0000CC"/>
          <w:vertAlign w:val="superscript"/>
        </w:rPr>
        <w:t>th</w:t>
      </w:r>
      <w:r w:rsidRPr="00AF0F1A">
        <w:rPr>
          <w:rFonts w:cstheme="minorHAnsi"/>
          <w:bCs/>
          <w:color w:val="0000CC"/>
        </w:rPr>
        <w:t xml:space="preserve"> percentile is statistically significant, suggesting there are meaningful differences in performance. </w:t>
      </w:r>
    </w:p>
    <w:bookmarkEnd w:id="23"/>
    <w:p w14:paraId="0CABD00C" w14:textId="18591064" w:rsidR="00D61410" w:rsidRPr="00A25024" w:rsidRDefault="00D61410"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7B703C5B" w14:textId="77777777" w:rsidR="00514017" w:rsidRPr="007A7D51" w:rsidRDefault="009C7513" w:rsidP="00514017">
      <w:pPr>
        <w:rPr>
          <w:rFonts w:cstheme="minorHAnsi"/>
          <w:bCs/>
          <w:color w:val="0000CC"/>
          <w:sz w:val="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bookmarkStart w:id="24" w:name="_Hlk507762313"/>
      <w:r w:rsidR="00514017" w:rsidRPr="007A7D51">
        <w:rPr>
          <w:rFonts w:cstheme="minorHAnsi"/>
          <w:bCs/>
          <w:color w:val="0000CC"/>
        </w:rPr>
        <w:t>N/A</w:t>
      </w:r>
    </w:p>
    <w:bookmarkEnd w:id="24"/>
    <w:p w14:paraId="41AC58AA" w14:textId="77777777" w:rsidR="00514017" w:rsidRPr="007A7D51" w:rsidRDefault="009C7513" w:rsidP="00514017">
      <w:pPr>
        <w:rPr>
          <w:rFonts w:cstheme="minorHAnsi"/>
          <w:bCs/>
          <w:color w:val="0000CC"/>
          <w:sz w:val="4"/>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514017" w:rsidRPr="007A7D51">
        <w:rPr>
          <w:rFonts w:cstheme="minorHAnsi"/>
          <w:bCs/>
          <w:color w:val="0000CC"/>
        </w:rPr>
        <w:t>N/A</w:t>
      </w:r>
    </w:p>
    <w:p w14:paraId="2276DCC6" w14:textId="77777777" w:rsidR="00514017" w:rsidRPr="007A7D51" w:rsidRDefault="009C7513" w:rsidP="00514017">
      <w:pPr>
        <w:rPr>
          <w:rFonts w:cstheme="minorHAnsi"/>
          <w:bCs/>
          <w:color w:val="0000CC"/>
          <w:sz w:val="4"/>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514017" w:rsidRPr="007A7D51">
        <w:rPr>
          <w:rFonts w:cstheme="minorHAnsi"/>
          <w:bCs/>
          <w:color w:val="0000CC"/>
        </w:rPr>
        <w:t>N/A</w:t>
      </w:r>
    </w:p>
    <w:p w14:paraId="0CABD018" w14:textId="691A38BF" w:rsidR="008F7E67" w:rsidRDefault="008F7E67" w:rsidP="008F7E67">
      <w:pPr>
        <w:spacing w:after="0" w:line="240" w:lineRule="auto"/>
        <w:rPr>
          <w:rFonts w:cstheme="minorHAnsi"/>
          <w:b/>
          <w:bCs/>
        </w:rPr>
      </w:pPr>
      <w:r>
        <w:rPr>
          <w:rFonts w:cstheme="minorHAnsi"/>
          <w:b/>
          <w:bCs/>
        </w:rPr>
        <w:t>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1336583" w14:textId="77777777" w:rsidR="00514017" w:rsidRDefault="009C7513" w:rsidP="0051401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159A33D8" w14:textId="50E8773E" w:rsidR="00514017" w:rsidRPr="00520736" w:rsidRDefault="008F7E67" w:rsidP="00514017">
      <w:pPr>
        <w:autoSpaceDE w:val="0"/>
        <w:autoSpaceDN w:val="0"/>
        <w:adjustRightInd w:val="0"/>
        <w:spacing w:after="0" w:line="240" w:lineRule="auto"/>
        <w:rPr>
          <w:rFonts w:cstheme="minorHAnsi"/>
          <w:bCs/>
          <w:color w:val="0000CC"/>
        </w:rPr>
      </w:pPr>
      <w:r w:rsidRPr="00A25024">
        <w:rPr>
          <w:rFonts w:cstheme="minorHAnsi"/>
          <w:bCs/>
        </w:rPr>
        <w:t xml:space="preserve"> </w:t>
      </w:r>
      <w:r w:rsidR="00514017" w:rsidRPr="00520736">
        <w:rPr>
          <w:rFonts w:cstheme="minorHAnsi"/>
          <w:bCs/>
          <w:color w:val="0000CC"/>
        </w:rPr>
        <w:t>This measure is collected with a complete sample.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245C91ED" w14:textId="77777777" w:rsidR="00514017" w:rsidRDefault="009C7513" w:rsidP="00514017">
      <w:pPr>
        <w:autoSpaceDE w:val="0"/>
        <w:autoSpaceDN w:val="0"/>
        <w:adjustRightInd w:val="0"/>
        <w:spacing w:after="0" w:line="240" w:lineRule="auto"/>
        <w:rPr>
          <w:rFonts w:cstheme="minorHAnsi"/>
          <w:bCs/>
          <w:color w:val="0000CC"/>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B39EBD5" w14:textId="69455862" w:rsidR="00514017" w:rsidRPr="00520736" w:rsidRDefault="00514017" w:rsidP="00514017">
      <w:pPr>
        <w:autoSpaceDE w:val="0"/>
        <w:autoSpaceDN w:val="0"/>
        <w:adjustRightInd w:val="0"/>
        <w:spacing w:after="0" w:line="240" w:lineRule="auto"/>
        <w:rPr>
          <w:rFonts w:cstheme="minorHAnsi"/>
          <w:bCs/>
          <w:color w:val="0000CC"/>
        </w:rPr>
      </w:pPr>
      <w:r w:rsidRPr="00520736">
        <w:rPr>
          <w:rFonts w:cstheme="minorHAnsi"/>
          <w:bCs/>
          <w:color w:val="0000CC"/>
        </w:rPr>
        <w:lastRenderedPageBreak/>
        <w:t>This measure is collected with a complete sample.</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4E3EFD94" w:rsidR="00BA053B" w:rsidRDefault="00BA053B">
      <w:pPr>
        <w:autoSpaceDE w:val="0"/>
        <w:autoSpaceDN w:val="0"/>
        <w:adjustRightInd w:val="0"/>
        <w:spacing w:after="0" w:line="240" w:lineRule="auto"/>
        <w:rPr>
          <w:rFonts w:cstheme="minorHAnsi"/>
          <w:bCs/>
        </w:rPr>
      </w:pPr>
    </w:p>
    <w:p w14:paraId="36AA8908" w14:textId="77777777" w:rsidR="00514017" w:rsidRPr="00520736" w:rsidRDefault="00514017" w:rsidP="00514017">
      <w:pPr>
        <w:autoSpaceDE w:val="0"/>
        <w:autoSpaceDN w:val="0"/>
        <w:adjustRightInd w:val="0"/>
        <w:spacing w:after="0" w:line="240" w:lineRule="auto"/>
        <w:rPr>
          <w:rFonts w:cstheme="minorHAnsi"/>
          <w:bCs/>
          <w:color w:val="0000CC"/>
        </w:rPr>
      </w:pPr>
      <w:r w:rsidRPr="00520736">
        <w:rPr>
          <w:rFonts w:cstheme="minorHAnsi"/>
          <w:bCs/>
          <w:color w:val="0000CC"/>
        </w:rPr>
        <w:t>This measure is collected with a complete sample.</w:t>
      </w:r>
    </w:p>
    <w:p w14:paraId="6192F134" w14:textId="77777777" w:rsidR="00514017" w:rsidRPr="005560E7" w:rsidRDefault="00514017">
      <w:pPr>
        <w:autoSpaceDE w:val="0"/>
        <w:autoSpaceDN w:val="0"/>
        <w:adjustRightInd w:val="0"/>
        <w:spacing w:after="0" w:line="240" w:lineRule="auto"/>
        <w:rPr>
          <w:rFonts w:cstheme="minorHAnsi"/>
          <w:bCs/>
        </w:rPr>
      </w:pPr>
    </w:p>
    <w:sectPr w:rsidR="00514017"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50AFE" w14:textId="77777777" w:rsidR="009D2E8B" w:rsidRDefault="009D2E8B" w:rsidP="005C73CA">
      <w:pPr>
        <w:spacing w:after="0" w:line="240" w:lineRule="auto"/>
      </w:pPr>
      <w:r>
        <w:separator/>
      </w:r>
    </w:p>
  </w:endnote>
  <w:endnote w:type="continuationSeparator" w:id="0">
    <w:p w14:paraId="54D3EA29" w14:textId="77777777" w:rsidR="009D2E8B" w:rsidRDefault="009D2E8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4029145B"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DB0687">
      <w:rPr>
        <w:noProof/>
      </w:rPr>
      <w:t>3</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9AB1B" w14:textId="77777777" w:rsidR="009D2E8B" w:rsidRDefault="009D2E8B" w:rsidP="005C73CA">
      <w:pPr>
        <w:spacing w:after="0" w:line="240" w:lineRule="auto"/>
      </w:pPr>
      <w:r>
        <w:separator/>
      </w:r>
    </w:p>
  </w:footnote>
  <w:footnote w:type="continuationSeparator" w:id="0">
    <w:p w14:paraId="67B64C5E" w14:textId="77777777" w:rsidR="009D2E8B" w:rsidRDefault="009D2E8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40D013A"/>
    <w:multiLevelType w:val="hybridMultilevel"/>
    <w:tmpl w:val="6688D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FF1BED"/>
    <w:multiLevelType w:val="hybridMultilevel"/>
    <w:tmpl w:val="0DC81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8"/>
  </w:num>
  <w:num w:numId="27">
    <w:abstractNumId w:val="0"/>
  </w:num>
  <w:num w:numId="28">
    <w:abstractNumId w:val="9"/>
  </w:num>
  <w:num w:numId="29">
    <w:abstractNumId w:val="17"/>
  </w:num>
  <w:num w:numId="30">
    <w:abstractNumId w:val="29"/>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21E3"/>
    <w:rsid w:val="00024DFD"/>
    <w:rsid w:val="00027AB8"/>
    <w:rsid w:val="000309DD"/>
    <w:rsid w:val="00031414"/>
    <w:rsid w:val="00033038"/>
    <w:rsid w:val="00033D63"/>
    <w:rsid w:val="0003436F"/>
    <w:rsid w:val="000414E8"/>
    <w:rsid w:val="0004593A"/>
    <w:rsid w:val="00050A3E"/>
    <w:rsid w:val="00052A6F"/>
    <w:rsid w:val="00053F02"/>
    <w:rsid w:val="00055B2B"/>
    <w:rsid w:val="0005612B"/>
    <w:rsid w:val="000574AB"/>
    <w:rsid w:val="0006147A"/>
    <w:rsid w:val="0006234F"/>
    <w:rsid w:val="000775F8"/>
    <w:rsid w:val="00080CF7"/>
    <w:rsid w:val="00081512"/>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200C"/>
    <w:rsid w:val="0012454F"/>
    <w:rsid w:val="00125273"/>
    <w:rsid w:val="0012575E"/>
    <w:rsid w:val="00127C06"/>
    <w:rsid w:val="00145149"/>
    <w:rsid w:val="00145D4F"/>
    <w:rsid w:val="0014773C"/>
    <w:rsid w:val="0017696D"/>
    <w:rsid w:val="001848FC"/>
    <w:rsid w:val="00193F21"/>
    <w:rsid w:val="001969C5"/>
    <w:rsid w:val="001A6CDD"/>
    <w:rsid w:val="001C12EE"/>
    <w:rsid w:val="001C7B02"/>
    <w:rsid w:val="001E4DD4"/>
    <w:rsid w:val="001E69DC"/>
    <w:rsid w:val="001F169D"/>
    <w:rsid w:val="001F1DA1"/>
    <w:rsid w:val="001F6F93"/>
    <w:rsid w:val="001F7A20"/>
    <w:rsid w:val="0021054A"/>
    <w:rsid w:val="00211350"/>
    <w:rsid w:val="0021195A"/>
    <w:rsid w:val="00213383"/>
    <w:rsid w:val="00220250"/>
    <w:rsid w:val="00222444"/>
    <w:rsid w:val="0022691B"/>
    <w:rsid w:val="00232163"/>
    <w:rsid w:val="002376F8"/>
    <w:rsid w:val="002408E4"/>
    <w:rsid w:val="00241591"/>
    <w:rsid w:val="00250B4F"/>
    <w:rsid w:val="0025762F"/>
    <w:rsid w:val="00271D2F"/>
    <w:rsid w:val="00275563"/>
    <w:rsid w:val="0028114D"/>
    <w:rsid w:val="00287649"/>
    <w:rsid w:val="00287E84"/>
    <w:rsid w:val="0029286C"/>
    <w:rsid w:val="0029300E"/>
    <w:rsid w:val="00293FD6"/>
    <w:rsid w:val="002B0C3A"/>
    <w:rsid w:val="002B2116"/>
    <w:rsid w:val="002B2D9B"/>
    <w:rsid w:val="002B5016"/>
    <w:rsid w:val="002B742C"/>
    <w:rsid w:val="002B7F4D"/>
    <w:rsid w:val="002C285C"/>
    <w:rsid w:val="002C7BE4"/>
    <w:rsid w:val="002D417D"/>
    <w:rsid w:val="002D5E5D"/>
    <w:rsid w:val="002D76BB"/>
    <w:rsid w:val="002E6B4F"/>
    <w:rsid w:val="002E78A0"/>
    <w:rsid w:val="002F2687"/>
    <w:rsid w:val="002F48E1"/>
    <w:rsid w:val="002F4F3B"/>
    <w:rsid w:val="00304C86"/>
    <w:rsid w:val="003059EB"/>
    <w:rsid w:val="003116AC"/>
    <w:rsid w:val="00315567"/>
    <w:rsid w:val="003214AD"/>
    <w:rsid w:val="00330144"/>
    <w:rsid w:val="0033214F"/>
    <w:rsid w:val="00334329"/>
    <w:rsid w:val="00345CBA"/>
    <w:rsid w:val="00346245"/>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41606D"/>
    <w:rsid w:val="00416962"/>
    <w:rsid w:val="004206A8"/>
    <w:rsid w:val="00426809"/>
    <w:rsid w:val="004348CC"/>
    <w:rsid w:val="00450C58"/>
    <w:rsid w:val="004658FF"/>
    <w:rsid w:val="00474ED7"/>
    <w:rsid w:val="004756E1"/>
    <w:rsid w:val="004759B5"/>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017"/>
    <w:rsid w:val="005149E7"/>
    <w:rsid w:val="005232D6"/>
    <w:rsid w:val="005333CC"/>
    <w:rsid w:val="005363F1"/>
    <w:rsid w:val="00537C1B"/>
    <w:rsid w:val="0055007C"/>
    <w:rsid w:val="00554922"/>
    <w:rsid w:val="00555282"/>
    <w:rsid w:val="005560E7"/>
    <w:rsid w:val="005612CC"/>
    <w:rsid w:val="0056247D"/>
    <w:rsid w:val="00563029"/>
    <w:rsid w:val="00565946"/>
    <w:rsid w:val="00567D12"/>
    <w:rsid w:val="00576062"/>
    <w:rsid w:val="00586532"/>
    <w:rsid w:val="0059559F"/>
    <w:rsid w:val="005A49FF"/>
    <w:rsid w:val="005A7634"/>
    <w:rsid w:val="005B6F04"/>
    <w:rsid w:val="005C0447"/>
    <w:rsid w:val="005C739F"/>
    <w:rsid w:val="005C73CA"/>
    <w:rsid w:val="005D2579"/>
    <w:rsid w:val="005D4768"/>
    <w:rsid w:val="005E2CAB"/>
    <w:rsid w:val="005E429E"/>
    <w:rsid w:val="00601ED4"/>
    <w:rsid w:val="006030BC"/>
    <w:rsid w:val="00612866"/>
    <w:rsid w:val="00616EB5"/>
    <w:rsid w:val="006269D4"/>
    <w:rsid w:val="006327D8"/>
    <w:rsid w:val="0064070A"/>
    <w:rsid w:val="00643A01"/>
    <w:rsid w:val="00651D44"/>
    <w:rsid w:val="006574D2"/>
    <w:rsid w:val="00663563"/>
    <w:rsid w:val="006676D4"/>
    <w:rsid w:val="00675535"/>
    <w:rsid w:val="00681359"/>
    <w:rsid w:val="0069157C"/>
    <w:rsid w:val="00696262"/>
    <w:rsid w:val="006C3A4F"/>
    <w:rsid w:val="006C4845"/>
    <w:rsid w:val="006D5742"/>
    <w:rsid w:val="006D6BC1"/>
    <w:rsid w:val="006E2BFC"/>
    <w:rsid w:val="006E5C57"/>
    <w:rsid w:val="006F22A5"/>
    <w:rsid w:val="00702C73"/>
    <w:rsid w:val="00713394"/>
    <w:rsid w:val="00724677"/>
    <w:rsid w:val="00725AC2"/>
    <w:rsid w:val="00732880"/>
    <w:rsid w:val="00733194"/>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0975"/>
    <w:rsid w:val="007E18DB"/>
    <w:rsid w:val="007E6F1C"/>
    <w:rsid w:val="00804C69"/>
    <w:rsid w:val="0080711D"/>
    <w:rsid w:val="008155CD"/>
    <w:rsid w:val="00833325"/>
    <w:rsid w:val="00840A41"/>
    <w:rsid w:val="00842F3C"/>
    <w:rsid w:val="008505D1"/>
    <w:rsid w:val="008531E4"/>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11AE"/>
    <w:rsid w:val="008C54A9"/>
    <w:rsid w:val="008E48A5"/>
    <w:rsid w:val="008E67C3"/>
    <w:rsid w:val="008F589F"/>
    <w:rsid w:val="008F76A9"/>
    <w:rsid w:val="008F7E67"/>
    <w:rsid w:val="00900DBF"/>
    <w:rsid w:val="009048B9"/>
    <w:rsid w:val="00904E91"/>
    <w:rsid w:val="00915886"/>
    <w:rsid w:val="009214DC"/>
    <w:rsid w:val="00927027"/>
    <w:rsid w:val="009344BA"/>
    <w:rsid w:val="00946E61"/>
    <w:rsid w:val="00947F78"/>
    <w:rsid w:val="00953234"/>
    <w:rsid w:val="00961EAF"/>
    <w:rsid w:val="0096278F"/>
    <w:rsid w:val="009726E1"/>
    <w:rsid w:val="00972A04"/>
    <w:rsid w:val="00977591"/>
    <w:rsid w:val="00980E75"/>
    <w:rsid w:val="00994BE0"/>
    <w:rsid w:val="009A25B1"/>
    <w:rsid w:val="009A3452"/>
    <w:rsid w:val="009A4608"/>
    <w:rsid w:val="009A6A57"/>
    <w:rsid w:val="009A70BF"/>
    <w:rsid w:val="009B1A15"/>
    <w:rsid w:val="009C0852"/>
    <w:rsid w:val="009C13CA"/>
    <w:rsid w:val="009C32C6"/>
    <w:rsid w:val="009C665F"/>
    <w:rsid w:val="009C7513"/>
    <w:rsid w:val="009D2E8B"/>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3079"/>
    <w:rsid w:val="00AC48FA"/>
    <w:rsid w:val="00AD0240"/>
    <w:rsid w:val="00AD4137"/>
    <w:rsid w:val="00AF2D68"/>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47B6F"/>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0687"/>
    <w:rsid w:val="00DB3627"/>
    <w:rsid w:val="00DB4724"/>
    <w:rsid w:val="00DB6944"/>
    <w:rsid w:val="00DC4746"/>
    <w:rsid w:val="00DE7149"/>
    <w:rsid w:val="00E0314C"/>
    <w:rsid w:val="00E1508F"/>
    <w:rsid w:val="00E208B0"/>
    <w:rsid w:val="00E261DF"/>
    <w:rsid w:val="00E27240"/>
    <w:rsid w:val="00E27EDD"/>
    <w:rsid w:val="00E30584"/>
    <w:rsid w:val="00E310B9"/>
    <w:rsid w:val="00E37E1B"/>
    <w:rsid w:val="00E562C0"/>
    <w:rsid w:val="00E57FAF"/>
    <w:rsid w:val="00E672D6"/>
    <w:rsid w:val="00E76024"/>
    <w:rsid w:val="00E856A2"/>
    <w:rsid w:val="00E967AD"/>
    <w:rsid w:val="00E96884"/>
    <w:rsid w:val="00EA5435"/>
    <w:rsid w:val="00EA5F47"/>
    <w:rsid w:val="00EB455E"/>
    <w:rsid w:val="00EC79DE"/>
    <w:rsid w:val="00ED4ACE"/>
    <w:rsid w:val="00EE4D35"/>
    <w:rsid w:val="00EF2DA7"/>
    <w:rsid w:val="00EF3D57"/>
    <w:rsid w:val="00F1412B"/>
    <w:rsid w:val="00F15BFA"/>
    <w:rsid w:val="00F34FAB"/>
    <w:rsid w:val="00F435AA"/>
    <w:rsid w:val="00F5738A"/>
    <w:rsid w:val="00F612D4"/>
    <w:rsid w:val="00F7389E"/>
    <w:rsid w:val="00F77F1D"/>
    <w:rsid w:val="00F87CCB"/>
    <w:rsid w:val="00F9385E"/>
    <w:rsid w:val="00FA48C7"/>
    <w:rsid w:val="00FB51FB"/>
    <w:rsid w:val="00FB73C1"/>
    <w:rsid w:val="00FE319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TableGrid1">
    <w:name w:val="Table Grid1"/>
    <w:basedOn w:val="TableNormal"/>
    <w:next w:val="TableGrid"/>
    <w:uiPriority w:val="59"/>
    <w:rsid w:val="0029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86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378D9E41-0B4D-46B8-9957-2A9E61686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purl.org/dc/terms/"/>
    <ds:schemaRef ds:uri="http://schemas.microsoft.com/office/2006/documentManagement/types"/>
    <ds:schemaRef ds:uri="76bce2c7-2e52-4525-a6e0-24f8a73e605d"/>
    <ds:schemaRef ds:uri="http://schemas.microsoft.com/office/2006/metadata/properties"/>
    <ds:schemaRef ds:uri="http://schemas.openxmlformats.org/package/2006/metadata/core-properties"/>
    <ds:schemaRef ds:uri="http://purl.org/dc/elements/1.1/"/>
    <ds:schemaRef ds:uri="http://purl.org/dc/dcmitype/"/>
    <ds:schemaRef ds:uri="http://schemas.microsoft.com/office/infopath/2007/PartnerControls"/>
    <ds:schemaRef ds:uri="64615f93-1352-4a7e-b7a8-3b07e39b2009"/>
    <ds:schemaRef ds:uri="http://www.w3.org/XML/1998/namespace"/>
  </ds:schemaRefs>
</ds:datastoreItem>
</file>

<file path=customXml/itemProps4.xml><?xml version="1.0" encoding="utf-8"?>
<ds:datastoreItem xmlns:ds="http://schemas.openxmlformats.org/officeDocument/2006/customXml" ds:itemID="{9F0B7568-8A60-4D14-9B63-ED80DDE6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4666</Words>
  <Characters>26600</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2018-04-19T01:30:00Z</dcterms:created>
  <dcterms:modified xsi:type="dcterms:W3CDTF">2018-04-19T01:30:00Z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