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1397F50"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62726" w:rsidRPr="00962726">
            <w:rPr>
              <w:rStyle w:val="Style1"/>
              <w:color w:val="FF0000"/>
            </w:rPr>
            <w:t>0056</w:t>
          </w:r>
        </w:sdtContent>
      </w:sdt>
    </w:p>
    <w:p w14:paraId="55B8DA2F" w14:textId="355AFEF5" w:rsidR="00496AF8" w:rsidRPr="003B1CC5" w:rsidRDefault="00496AF8" w:rsidP="002E2177">
      <w:pPr>
        <w:ind w:left="0" w:firstLine="0"/>
        <w:rPr>
          <w:noProof/>
        </w:rPr>
      </w:pPr>
      <w:r w:rsidRPr="003B1CC5">
        <w:rPr>
          <w:b/>
          <w:noProof/>
        </w:rPr>
        <w:t>Measure Title</w:t>
      </w:r>
      <w:r w:rsidRPr="00962726">
        <w:rPr>
          <w:noProof/>
          <w:color w:val="FF0000"/>
        </w:rPr>
        <w:t xml:space="preserve">:  </w:t>
      </w:r>
      <w:sdt>
        <w:sdtPr>
          <w:rPr>
            <w:rStyle w:val="Style1"/>
            <w:color w:val="FF0000"/>
          </w:rPr>
          <w:id w:val="-882640736"/>
          <w:placeholder>
            <w:docPart w:val="61E91D4220034A64A72268AE9C6EBC95"/>
          </w:placeholder>
        </w:sdtPr>
        <w:sdtEndPr>
          <w:rPr>
            <w:rStyle w:val="DefaultParagraphFont"/>
            <w:noProof/>
          </w:rPr>
        </w:sdtEndPr>
        <w:sdtContent>
          <w:r w:rsidR="00962726" w:rsidRPr="00962726">
            <w:rPr>
              <w:rStyle w:val="Style1"/>
              <w:color w:val="FF0000"/>
            </w:rPr>
            <w:t>Diabetes: Foot Exam</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60AB5A62" w:rsidR="00496AF8" w:rsidRPr="003B1CC5" w:rsidRDefault="00496AF8" w:rsidP="002E2177">
      <w:pPr>
        <w:ind w:left="0" w:firstLine="0"/>
        <w:rPr>
          <w:rStyle w:val="Style2"/>
        </w:rPr>
      </w:pPr>
      <w:r w:rsidRPr="003B1CC5">
        <w:rPr>
          <w:b/>
          <w:noProof/>
        </w:rPr>
        <w:t>Date of Submission</w:t>
      </w:r>
      <w:r w:rsidRPr="00962726">
        <w:rPr>
          <w:noProof/>
          <w:color w:val="FF0000"/>
        </w:rPr>
        <w:t xml:space="preserve">:  </w:t>
      </w:r>
      <w:sdt>
        <w:sdtPr>
          <w:rPr>
            <w:rStyle w:val="Style2"/>
            <w:color w:val="FF0000"/>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u w:val="none"/>
          </w:rPr>
        </w:sdtEndPr>
        <w:sdtContent>
          <w:r w:rsidR="00962726" w:rsidRPr="00962726">
            <w:rPr>
              <w:rStyle w:val="Style2"/>
              <w:color w:val="FF0000"/>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A332D2"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A332D2" w:rsidP="00A9011D">
      <w:pPr>
        <w:ind w:left="864" w:hanging="432"/>
        <w:rPr>
          <w:b/>
          <w:bCs/>
        </w:rPr>
      </w:pPr>
      <w:sdt>
        <w:sdtPr>
          <w:rPr>
            <w:bCs/>
            <w:color w:val="0000FF"/>
          </w:rPr>
          <w:id w:val="-1541041819"/>
          <w14:checkbox>
            <w14:checked w14:val="0"/>
            <w14:checkedState w14:val="2612" w14:font="MS Gothic"/>
            <w14:uncheckedState w14:val="2610" w14:font="MS Gothic"/>
          </w14:checkbox>
        </w:sdt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A332D2" w:rsidP="004E7215">
      <w:pPr>
        <w:rPr>
          <w:bCs/>
        </w:rPr>
      </w:pPr>
      <w:sdt>
        <w:sdtPr>
          <w:rPr>
            <w:bCs/>
            <w:color w:val="0000FF"/>
          </w:rPr>
          <w:id w:val="-720977531"/>
          <w14:checkbox>
            <w14:checked w14:val="0"/>
            <w14:checkedState w14:val="2612" w14:font="MS Gothic"/>
            <w14:uncheckedState w14:val="2610" w14:font="MS Gothic"/>
          </w14:checkbox>
        </w:sdt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28B3C5A6" w:rsidR="00D73685" w:rsidRDefault="00A332D2" w:rsidP="00015986">
      <w:pPr>
        <w:ind w:left="432" w:hanging="432"/>
        <w:rPr>
          <w:bCs/>
        </w:rPr>
      </w:pPr>
      <w:sdt>
        <w:sdtPr>
          <w:rPr>
            <w:bCs/>
            <w:color w:val="0000FF"/>
          </w:rPr>
          <w:id w:val="-1535727686"/>
          <w14:checkbox>
            <w14:checked w14:val="1"/>
            <w14:checkedState w14:val="2612" w14:font="MS Gothic"/>
            <w14:uncheckedState w14:val="2610" w14:font="MS Gothic"/>
          </w14:checkbox>
        </w:sdtPr>
        <w:sdtContent>
          <w:r w:rsidR="00962726">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CB009C">
            <w:rPr>
              <w:rStyle w:val="Style2"/>
              <w:rFonts w:cstheme="minorHAnsi"/>
            </w:rPr>
            <w:t>Diabetic Foot Exam</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A332D2" w:rsidP="00015986">
      <w:pPr>
        <w:ind w:left="432" w:hanging="432"/>
        <w:rPr>
          <w:bCs/>
        </w:rPr>
      </w:pPr>
      <w:sdt>
        <w:sdtPr>
          <w:rPr>
            <w:bCs/>
            <w:color w:val="0000FF"/>
          </w:rPr>
          <w:id w:val="1676770628"/>
          <w14:checkbox>
            <w14:checked w14:val="0"/>
            <w14:checkedState w14:val="2612" w14:font="MS Gothic"/>
            <w14:uncheckedState w14:val="2610" w14:font="MS Gothic"/>
          </w14:checkbox>
        </w:sdt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A332D2" w:rsidP="00015986">
      <w:pPr>
        <w:ind w:left="432" w:hanging="432"/>
        <w:rPr>
          <w:bCs/>
        </w:rPr>
      </w:pPr>
      <w:sdt>
        <w:sdtPr>
          <w:rPr>
            <w:bCs/>
            <w:color w:val="0000FF"/>
          </w:rPr>
          <w:id w:val="1719405626"/>
          <w14:checkbox>
            <w14:checked w14:val="0"/>
            <w14:checkedState w14:val="2612" w14:font="MS Gothic"/>
            <w14:uncheckedState w14:val="2610" w14:font="MS Gothic"/>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131BD5E5" w14:textId="77777777" w:rsidR="00962726" w:rsidRPr="00962726" w:rsidRDefault="00962726" w:rsidP="00962726">
      <w:pPr>
        <w:ind w:firstLine="0"/>
        <w:rPr>
          <w:iCs/>
          <w:color w:val="FF0000"/>
        </w:rPr>
      </w:pPr>
      <w:r w:rsidRPr="00962726">
        <w:rPr>
          <w:iCs/>
          <w:color w:val="FF0000"/>
        </w:rPr>
        <w:t>Adults with diabetes (type 1 or 2) &gt;&gt;&gt; foot exam (visual inspection with sensory and pulse exam)&gt;&gt;&gt; Exam results are evaluated &gt;&gt;&gt;Results indicative of improper foot care &gt;&gt;&gt;Health provider determines treatment to prevent further damage to the foot, such as possible infections or amputations&gt;&gt;&gt;improvement in diabetes complications and quality of life.</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3ED8F070" w:rsidR="004922E4" w:rsidRPr="00962726" w:rsidRDefault="00962726" w:rsidP="00962726">
      <w:pPr>
        <w:ind w:left="792" w:hanging="432"/>
        <w:rPr>
          <w:color w:val="FF0000"/>
        </w:rPr>
      </w:pPr>
      <w:r w:rsidRPr="00962726">
        <w:rPr>
          <w:color w:val="FF0000"/>
        </w:rPr>
        <w:t>N/A</w:t>
      </w:r>
    </w:p>
    <w:p w14:paraId="55B8DA5F" w14:textId="4A9C3E51"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6D6E7952" w:rsidR="00D14F0B" w:rsidRPr="00962726" w:rsidRDefault="00962726" w:rsidP="00962726">
      <w:pPr>
        <w:ind w:left="432" w:firstLine="0"/>
        <w:rPr>
          <w:iCs/>
          <w:color w:val="FF0000"/>
        </w:rPr>
      </w:pPr>
      <w:r>
        <w:rPr>
          <w:iCs/>
          <w:color w:val="FF0000"/>
        </w:rPr>
        <w:t>N/A</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w:t>
      </w:r>
      <w:r>
        <w:rPr>
          <w:rFonts w:ascii="Calibri" w:eastAsia="Calibri" w:hAnsi="Calibri" w:cs="Times New Roman"/>
          <w:b/>
        </w:rPr>
        <w:lastRenderedPageBreak/>
        <w:t>explicit, prespecified scientific methods to identify, select, assess, and summarize the findings of similar but separate studies. It may include a quantitative synthesis (meta-analysis), depending on the available data. (IOM)</w:t>
      </w:r>
    </w:p>
    <w:p w14:paraId="55B8DA69" w14:textId="7B62F3E5" w:rsidR="00A9011D" w:rsidRPr="00A9011D" w:rsidRDefault="00A332D2" w:rsidP="00A9011D">
      <w:pPr>
        <w:ind w:left="0" w:firstLine="0"/>
        <w:rPr>
          <w:rFonts w:ascii="Calibri" w:eastAsia="Calibri" w:hAnsi="Calibri" w:cs="Times New Roman"/>
        </w:rPr>
      </w:pPr>
      <w:sdt>
        <w:sdtPr>
          <w:rPr>
            <w:rFonts w:ascii="Times New Roman" w:eastAsia="Arial Unicode MS" w:hAnsi="Times New Roman" w:cs="Mangal"/>
            <w:bCs/>
            <w:color w:val="FF0000"/>
            <w:kern w:val="1"/>
            <w:sz w:val="24"/>
            <w:szCs w:val="24"/>
            <w:lang w:eastAsia="hi-IN" w:bidi="hi-IN"/>
          </w:rPr>
          <w:id w:val="-468508862"/>
          <w14:checkbox>
            <w14:checked w14:val="1"/>
            <w14:checkedState w14:val="2612" w14:font="MS Gothic"/>
            <w14:uncheckedState w14:val="2610" w14:font="MS Gothic"/>
          </w14:checkbox>
        </w:sdtPr>
        <w:sdtContent>
          <w:r w:rsidR="00962726" w:rsidRPr="00BE4925">
            <w:rPr>
              <w:rFonts w:ascii="Times New Roman" w:eastAsia="Arial Unicode MS" w:hAnsi="Times New Roman" w:cs="Mangal" w:hint="eastAsia"/>
              <w:bCs/>
              <w:color w:val="FF0000"/>
              <w:kern w:val="1"/>
              <w:sz w:val="24"/>
              <w:szCs w:val="24"/>
              <w:lang w:eastAsia="hi-IN" w:bidi="hi-IN"/>
            </w:rPr>
            <w:t>☒</w:t>
          </w:r>
        </w:sdtContent>
      </w:sdt>
      <w:r w:rsidR="00EC1225" w:rsidRPr="00BE4925">
        <w:rPr>
          <w:rFonts w:ascii="Times New Roman" w:eastAsia="Arial Unicode MS" w:hAnsi="Times New Roman" w:cs="Mangal"/>
          <w:color w:val="FF0000"/>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4312B1F7" w:rsidR="004E7215" w:rsidRPr="00962726" w:rsidRDefault="00962726" w:rsidP="002E2177">
      <w:pPr>
        <w:ind w:left="0" w:firstLine="0"/>
        <w:rPr>
          <w:iCs/>
          <w:color w:val="FF0000"/>
        </w:rPr>
      </w:pPr>
      <w:r w:rsidRPr="00962726">
        <w:rPr>
          <w:iCs/>
          <w:color w:val="FF0000"/>
        </w:rPr>
        <w:t>Table 1. American Diabetes Association (ADA) Guidelines</w:t>
      </w:r>
    </w:p>
    <w:tbl>
      <w:tblPr>
        <w:tblStyle w:val="TableGrid"/>
        <w:tblW w:w="0" w:type="auto"/>
        <w:tblLook w:val="04A0" w:firstRow="1" w:lastRow="0" w:firstColumn="1" w:lastColumn="0" w:noHBand="0" w:noVBand="1"/>
      </w:tblPr>
      <w:tblGrid>
        <w:gridCol w:w="3363"/>
        <w:gridCol w:w="5987"/>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35613A28" w14:textId="77777777" w:rsidR="00962726" w:rsidRDefault="00962726" w:rsidP="00962726">
            <w:pPr>
              <w:ind w:left="0" w:firstLine="0"/>
              <w:rPr>
                <w:color w:val="FF0000"/>
                <w:u w:val="single"/>
              </w:rPr>
            </w:pPr>
            <w:r w:rsidRPr="00BC5BF7">
              <w:rPr>
                <w:color w:val="FF0000"/>
                <w:u w:val="single"/>
              </w:rPr>
              <w:t>2018 Submission</w:t>
            </w:r>
          </w:p>
          <w:p w14:paraId="6E00D863" w14:textId="77777777" w:rsidR="00962726" w:rsidRDefault="00962726" w:rsidP="00962726">
            <w:pPr>
              <w:pStyle w:val="example"/>
              <w:rPr>
                <w:rFonts w:asciiTheme="minorHAnsi" w:hAnsiTheme="minorHAnsi"/>
                <w:bCs/>
                <w:i w:val="0"/>
              </w:rPr>
            </w:pPr>
            <w:r w:rsidRPr="003A043C">
              <w:rPr>
                <w:rFonts w:asciiTheme="minorHAnsi" w:hAnsiTheme="minorHAnsi"/>
                <w:bCs/>
                <w:i w:val="0"/>
              </w:rPr>
              <w:t>American Diabetes Association. (201</w:t>
            </w:r>
            <w:r>
              <w:rPr>
                <w:rFonts w:asciiTheme="minorHAnsi" w:hAnsiTheme="minorHAnsi"/>
                <w:bCs/>
                <w:i w:val="0"/>
              </w:rPr>
              <w:t>8</w:t>
            </w:r>
            <w:r w:rsidRPr="003A043C">
              <w:rPr>
                <w:rFonts w:asciiTheme="minorHAnsi" w:hAnsiTheme="minorHAnsi"/>
                <w:bCs/>
                <w:i w:val="0"/>
              </w:rPr>
              <w:t>). Standards of Medical Care in Diabetes – 201</w:t>
            </w:r>
            <w:r>
              <w:rPr>
                <w:rFonts w:asciiTheme="minorHAnsi" w:hAnsiTheme="minorHAnsi"/>
                <w:bCs/>
                <w:i w:val="0"/>
              </w:rPr>
              <w:t>8</w:t>
            </w:r>
            <w:r w:rsidRPr="003A043C">
              <w:rPr>
                <w:rFonts w:asciiTheme="minorHAnsi" w:hAnsiTheme="minorHAnsi"/>
                <w:bCs/>
                <w:i w:val="0"/>
              </w:rPr>
              <w:t>. Diabetes Care</w:t>
            </w:r>
            <w:r>
              <w:rPr>
                <w:rFonts w:asciiTheme="minorHAnsi" w:hAnsiTheme="minorHAnsi"/>
                <w:bCs/>
                <w:i w:val="0"/>
              </w:rPr>
              <w:t xml:space="preserve"> 2018;</w:t>
            </w:r>
            <w:r w:rsidRPr="003A043C">
              <w:rPr>
                <w:rFonts w:asciiTheme="minorHAnsi" w:hAnsiTheme="minorHAnsi"/>
                <w:bCs/>
                <w:i w:val="0"/>
              </w:rPr>
              <w:t xml:space="preserve"> </w:t>
            </w:r>
            <w:r>
              <w:rPr>
                <w:rFonts w:asciiTheme="minorHAnsi" w:hAnsiTheme="minorHAnsi"/>
                <w:bCs/>
                <w:i w:val="0"/>
              </w:rPr>
              <w:t>41(Suppl. 1): S105-S118</w:t>
            </w:r>
            <w:r w:rsidRPr="003A043C">
              <w:rPr>
                <w:rFonts w:asciiTheme="minorHAnsi" w:hAnsiTheme="minorHAnsi"/>
                <w:bCs/>
                <w:i w:val="0"/>
              </w:rPr>
              <w:t>; doi: 10.2337/dc1</w:t>
            </w:r>
            <w:r>
              <w:rPr>
                <w:rFonts w:asciiTheme="minorHAnsi" w:hAnsiTheme="minorHAnsi"/>
                <w:bCs/>
                <w:i w:val="0"/>
              </w:rPr>
              <w:t>8</w:t>
            </w:r>
            <w:r w:rsidRPr="003A043C">
              <w:rPr>
                <w:rFonts w:asciiTheme="minorHAnsi" w:hAnsiTheme="minorHAnsi"/>
                <w:bCs/>
                <w:i w:val="0"/>
              </w:rPr>
              <w:t>-</w:t>
            </w:r>
            <w:r>
              <w:rPr>
                <w:rFonts w:asciiTheme="minorHAnsi" w:hAnsiTheme="minorHAnsi"/>
                <w:bCs/>
                <w:i w:val="0"/>
              </w:rPr>
              <w:t>S010</w:t>
            </w:r>
          </w:p>
          <w:p w14:paraId="317A2F39" w14:textId="77777777" w:rsidR="00962726" w:rsidRDefault="00962726" w:rsidP="00962726">
            <w:pPr>
              <w:pStyle w:val="example"/>
              <w:rPr>
                <w:rFonts w:asciiTheme="minorHAnsi" w:hAnsiTheme="minorHAnsi"/>
                <w:bCs/>
                <w:i w:val="0"/>
              </w:rPr>
            </w:pPr>
            <w:r>
              <w:rPr>
                <w:rFonts w:asciiTheme="minorHAnsi" w:hAnsiTheme="minorHAnsi"/>
                <w:bCs/>
                <w:i w:val="0"/>
              </w:rPr>
              <w:t>Guideline available from:</w:t>
            </w:r>
          </w:p>
          <w:p w14:paraId="37726EDB" w14:textId="77777777" w:rsidR="00962726" w:rsidRPr="00E14D84" w:rsidRDefault="00A332D2" w:rsidP="00962726">
            <w:pPr>
              <w:ind w:firstLine="0"/>
              <w:rPr>
                <w:rFonts w:eastAsia="Times New Roman" w:cs="Times New Roman"/>
                <w:bCs/>
                <w:color w:val="FF0000"/>
              </w:rPr>
            </w:pPr>
            <w:hyperlink r:id="rId15" w:history="1">
              <w:r w:rsidR="00962726" w:rsidRPr="00E14D84">
                <w:rPr>
                  <w:rStyle w:val="Hyperlink"/>
                  <w:rFonts w:eastAsia="Times New Roman" w:cs="Times New Roman"/>
                  <w:color w:val="FF0000"/>
                </w:rPr>
                <w:t>http://care.diabetesjournals.org/content/41/Supplement_1</w:t>
              </w:r>
            </w:hyperlink>
          </w:p>
          <w:p w14:paraId="4A9C7AC2" w14:textId="77777777" w:rsidR="00AB4ECE" w:rsidRDefault="00AB4ECE" w:rsidP="002E2177">
            <w:pPr>
              <w:ind w:left="0" w:firstLine="0"/>
              <w:rPr>
                <w:b/>
              </w:rPr>
            </w:pPr>
          </w:p>
          <w:p w14:paraId="2D1CF844" w14:textId="77777777" w:rsidR="00962726" w:rsidRDefault="00962726" w:rsidP="00962726">
            <w:pPr>
              <w:ind w:left="0" w:firstLine="0"/>
              <w:rPr>
                <w:color w:val="0000FF"/>
                <w:u w:val="single"/>
              </w:rPr>
            </w:pPr>
            <w:r>
              <w:rPr>
                <w:color w:val="0000FF"/>
                <w:u w:val="single"/>
              </w:rPr>
              <w:t>2013 Submission</w:t>
            </w:r>
          </w:p>
          <w:p w14:paraId="4B6D1EF2" w14:textId="77777777" w:rsidR="00962726" w:rsidRPr="00BC5BF7" w:rsidRDefault="00962726" w:rsidP="00962726">
            <w:pPr>
              <w:pStyle w:val="example"/>
              <w:rPr>
                <w:rFonts w:asciiTheme="minorHAnsi" w:hAnsiTheme="minorHAnsi"/>
                <w:bCs/>
                <w:i w:val="0"/>
                <w:color w:val="0000FF"/>
              </w:rPr>
            </w:pPr>
            <w:r w:rsidRPr="00BC5BF7">
              <w:rPr>
                <w:rFonts w:asciiTheme="minorHAnsi" w:hAnsiTheme="minorHAnsi"/>
                <w:bCs/>
                <w:i w:val="0"/>
                <w:color w:val="0000FF"/>
              </w:rPr>
              <w:t>American Diabetes Association. (2013). Standards of Medical Care in Diabetes – 2013. Diabetes Care</w:t>
            </w:r>
            <w:r>
              <w:rPr>
                <w:rFonts w:asciiTheme="minorHAnsi" w:hAnsiTheme="minorHAnsi"/>
                <w:bCs/>
                <w:i w:val="0"/>
                <w:color w:val="0000FF"/>
              </w:rPr>
              <w:t xml:space="preserve"> 2013;</w:t>
            </w:r>
            <w:r w:rsidRPr="00BC5BF7">
              <w:rPr>
                <w:rFonts w:asciiTheme="minorHAnsi" w:hAnsiTheme="minorHAnsi"/>
                <w:bCs/>
                <w:i w:val="0"/>
                <w:color w:val="0000FF"/>
              </w:rPr>
              <w:t xml:space="preserve"> 36:S1-e4; doi: 10.2337/dc13-S001  </w:t>
            </w:r>
          </w:p>
          <w:p w14:paraId="34490660" w14:textId="77777777" w:rsidR="00962726" w:rsidRDefault="00962726" w:rsidP="00962726">
            <w:pPr>
              <w:ind w:left="0" w:firstLine="0"/>
              <w:rPr>
                <w:color w:val="0000FF"/>
              </w:rPr>
            </w:pPr>
            <w:r>
              <w:rPr>
                <w:color w:val="0000FF"/>
              </w:rPr>
              <w:t xml:space="preserve">Guideline available from:                   </w:t>
            </w:r>
          </w:p>
          <w:p w14:paraId="70867042" w14:textId="77777777" w:rsidR="00962726" w:rsidRDefault="00A332D2" w:rsidP="00962726">
            <w:pPr>
              <w:ind w:left="0" w:firstLine="0"/>
              <w:rPr>
                <w:color w:val="0000FF"/>
              </w:rPr>
            </w:pPr>
            <w:hyperlink r:id="rId16" w:history="1">
              <w:r w:rsidR="00962726" w:rsidRPr="003577DC">
                <w:rPr>
                  <w:rStyle w:val="Hyperlink"/>
                </w:rPr>
                <w:t>http://care.diabetesjournals.org/content/36/Supplement_1/S11</w:t>
              </w:r>
            </w:hyperlink>
            <w:r w:rsidR="00962726">
              <w:rPr>
                <w:color w:val="0000FF"/>
              </w:rPr>
              <w:t xml:space="preserve"> </w:t>
            </w:r>
          </w:p>
          <w:p w14:paraId="55B8DA75" w14:textId="21BC29CE" w:rsidR="00962726" w:rsidRPr="00AB4ECE" w:rsidRDefault="00962726"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0D7076E7" w14:textId="3FDABF95" w:rsidR="00AB4ECE" w:rsidRPr="006E4A29" w:rsidRDefault="006E4A29" w:rsidP="002E2177">
            <w:pPr>
              <w:ind w:left="0" w:firstLine="0"/>
              <w:rPr>
                <w:color w:val="FF0000"/>
                <w:u w:val="single"/>
              </w:rPr>
            </w:pPr>
            <w:r w:rsidRPr="006E4A29">
              <w:rPr>
                <w:color w:val="FF0000"/>
                <w:u w:val="single"/>
              </w:rPr>
              <w:t>2018 Submission</w:t>
            </w:r>
          </w:p>
          <w:p w14:paraId="19A1702C" w14:textId="0A087570" w:rsidR="006E4A29" w:rsidRPr="001F6E9F" w:rsidRDefault="008B149D" w:rsidP="008B149D">
            <w:pPr>
              <w:pStyle w:val="ListParagraph"/>
              <w:numPr>
                <w:ilvl w:val="0"/>
                <w:numId w:val="13"/>
              </w:numPr>
              <w:spacing w:line="240" w:lineRule="auto"/>
              <w:rPr>
                <w:color w:val="FF0000"/>
              </w:rPr>
            </w:pPr>
            <w:r w:rsidRPr="001F6E9F">
              <w:rPr>
                <w:color w:val="FF0000"/>
              </w:rPr>
              <w:t>Perform a comprehensive foot evaluation at least annually to identify risk factors for ulcers and amputations. B</w:t>
            </w:r>
          </w:p>
          <w:p w14:paraId="51A4FDE7" w14:textId="492572CD" w:rsidR="008B149D" w:rsidRPr="001F6E9F" w:rsidRDefault="008B149D" w:rsidP="008B149D">
            <w:pPr>
              <w:pStyle w:val="ListParagraph"/>
              <w:numPr>
                <w:ilvl w:val="0"/>
                <w:numId w:val="13"/>
              </w:numPr>
              <w:spacing w:line="240" w:lineRule="auto"/>
              <w:rPr>
                <w:color w:val="FF0000"/>
              </w:rPr>
            </w:pPr>
            <w:r w:rsidRPr="001F6E9F">
              <w:rPr>
                <w:color w:val="FF0000"/>
              </w:rPr>
              <w:t>All patients with diabetes should have their feet inspected at every visit. C</w:t>
            </w:r>
          </w:p>
          <w:p w14:paraId="018E04BC" w14:textId="462878A4" w:rsidR="008B149D" w:rsidRPr="001F6E9F" w:rsidRDefault="008B149D" w:rsidP="008B149D">
            <w:pPr>
              <w:pStyle w:val="ListParagraph"/>
              <w:numPr>
                <w:ilvl w:val="0"/>
                <w:numId w:val="13"/>
              </w:numPr>
              <w:spacing w:line="240" w:lineRule="auto"/>
              <w:rPr>
                <w:color w:val="FF0000"/>
              </w:rPr>
            </w:pPr>
            <w:r w:rsidRPr="001F6E9F">
              <w:rPr>
                <w:color w:val="FF0000"/>
              </w:rPr>
              <w:t>Obtain a prior history of ulceration, amputation, Charcot foot, angioplasty or vascular surgery, cigarette smoking, retinopathy, and renal disease and assess current symptoms of neuropathy (pain, burning, numbness) and vascular disease (leg fatigue, claudication). B</w:t>
            </w:r>
          </w:p>
          <w:p w14:paraId="19A90AAA" w14:textId="65C30114" w:rsidR="008B149D" w:rsidRPr="001F6E9F" w:rsidRDefault="008B149D" w:rsidP="008B149D">
            <w:pPr>
              <w:pStyle w:val="ListParagraph"/>
              <w:numPr>
                <w:ilvl w:val="0"/>
                <w:numId w:val="13"/>
              </w:numPr>
              <w:spacing w:line="240" w:lineRule="auto"/>
              <w:rPr>
                <w:color w:val="FF0000"/>
              </w:rPr>
            </w:pPr>
            <w:r w:rsidRPr="001F6E9F">
              <w:rPr>
                <w:color w:val="FF0000"/>
              </w:rPr>
              <w:t>The examination should include inspection of the skin, assessment of foot deformities, neurological assessment (10-g monofilament testing with at least one other assessment: pinprick, temperature, vibration), and vascular assessment including pulses in the legs and feet. B</w:t>
            </w:r>
          </w:p>
          <w:p w14:paraId="050D417F" w14:textId="332E1B43" w:rsidR="001F6E9F" w:rsidRPr="001F6E9F" w:rsidRDefault="001F6E9F" w:rsidP="001F6E9F">
            <w:pPr>
              <w:pStyle w:val="ListParagraph"/>
              <w:numPr>
                <w:ilvl w:val="0"/>
                <w:numId w:val="13"/>
              </w:numPr>
              <w:spacing w:line="240" w:lineRule="auto"/>
              <w:rPr>
                <w:color w:val="FF0000"/>
              </w:rPr>
            </w:pPr>
            <w:r w:rsidRPr="001F6E9F">
              <w:rPr>
                <w:color w:val="FF0000"/>
              </w:rPr>
              <w:t xml:space="preserve">Patients with symptoms of claudication or decreased or absent pedal pulses should be referred for anklebrachial </w:t>
            </w:r>
            <w:r w:rsidRPr="001F6E9F">
              <w:rPr>
                <w:color w:val="FF0000"/>
              </w:rPr>
              <w:lastRenderedPageBreak/>
              <w:t>index and for further vascular assessment as appropriate. C</w:t>
            </w:r>
          </w:p>
          <w:p w14:paraId="13DDD750" w14:textId="6153C556" w:rsidR="00194E25" w:rsidRPr="001F6E9F" w:rsidRDefault="00194E25" w:rsidP="00194E25">
            <w:pPr>
              <w:pStyle w:val="ListParagraph"/>
              <w:numPr>
                <w:ilvl w:val="0"/>
                <w:numId w:val="13"/>
              </w:numPr>
              <w:spacing w:line="240" w:lineRule="auto"/>
              <w:rPr>
                <w:color w:val="FF0000"/>
              </w:rPr>
            </w:pPr>
            <w:r w:rsidRPr="001F6E9F">
              <w:rPr>
                <w:color w:val="FF0000"/>
              </w:rPr>
              <w:t>A multidisciplinary approach is recommended for individuals with foot ulcers and high-risk feet (e.g., dialysis patients and those with Charcot foot, prior ulcers, or amputation). B</w:t>
            </w:r>
          </w:p>
          <w:p w14:paraId="65C66A41" w14:textId="10C5EB23" w:rsidR="00194E25" w:rsidRPr="001F6E9F" w:rsidRDefault="00194E25" w:rsidP="00194E25">
            <w:pPr>
              <w:pStyle w:val="ListParagraph"/>
              <w:numPr>
                <w:ilvl w:val="0"/>
                <w:numId w:val="13"/>
              </w:numPr>
              <w:spacing w:line="240" w:lineRule="auto"/>
              <w:rPr>
                <w:color w:val="FF0000"/>
              </w:rPr>
            </w:pPr>
            <w:r w:rsidRPr="001F6E9F">
              <w:rPr>
                <w:color w:val="FF0000"/>
              </w:rPr>
              <w:t>Refer patients who smoke or who have histories of prior lower-extremity complications, loss of protective sensation, structural abnormalities, or peripheral arterial disease to foot care specialists for ongoing preventive care and life-long surveillance. C</w:t>
            </w:r>
          </w:p>
          <w:p w14:paraId="167ACEFE" w14:textId="77024071" w:rsidR="001F6E9F" w:rsidRPr="001F6E9F" w:rsidRDefault="001F6E9F" w:rsidP="001F6E9F">
            <w:pPr>
              <w:pStyle w:val="ListParagraph"/>
              <w:numPr>
                <w:ilvl w:val="0"/>
                <w:numId w:val="13"/>
              </w:numPr>
              <w:spacing w:line="240" w:lineRule="auto"/>
              <w:rPr>
                <w:color w:val="FF0000"/>
              </w:rPr>
            </w:pPr>
            <w:r w:rsidRPr="001F6E9F">
              <w:rPr>
                <w:color w:val="FF0000"/>
              </w:rPr>
              <w:t>Provide general preventive foot self-care education to all patients with diabetes. B</w:t>
            </w:r>
          </w:p>
          <w:p w14:paraId="13DA5996" w14:textId="02235A4C" w:rsidR="001F6E9F" w:rsidRPr="001F6E9F" w:rsidRDefault="001F6E9F" w:rsidP="001F6E9F">
            <w:pPr>
              <w:pStyle w:val="ListParagraph"/>
              <w:numPr>
                <w:ilvl w:val="0"/>
                <w:numId w:val="13"/>
              </w:numPr>
              <w:spacing w:line="240" w:lineRule="auto"/>
              <w:rPr>
                <w:color w:val="FF0000"/>
              </w:rPr>
            </w:pPr>
            <w:r w:rsidRPr="001F6E9F">
              <w:rPr>
                <w:color w:val="FF0000"/>
              </w:rPr>
              <w:t>The use of specialized therapeutic footwear is recommended for highrisk patients with diabetes including those with severe neuropathy, foot deformities, or history of amputation. B</w:t>
            </w:r>
          </w:p>
          <w:p w14:paraId="436592CD" w14:textId="77777777" w:rsidR="006E4A29" w:rsidRPr="006E4A29" w:rsidRDefault="006E4A29" w:rsidP="002E2177">
            <w:pPr>
              <w:ind w:left="0" w:firstLine="0"/>
              <w:rPr>
                <w:color w:val="0000CC"/>
              </w:rPr>
            </w:pPr>
          </w:p>
          <w:p w14:paraId="615D4999" w14:textId="77777777" w:rsidR="006E4A29" w:rsidRPr="006E4A29" w:rsidRDefault="006E4A29" w:rsidP="002E2177">
            <w:pPr>
              <w:ind w:left="0" w:firstLine="0"/>
              <w:rPr>
                <w:color w:val="0000CC"/>
                <w:u w:val="single"/>
              </w:rPr>
            </w:pPr>
            <w:r w:rsidRPr="006E4A29">
              <w:rPr>
                <w:color w:val="0000CC"/>
                <w:u w:val="single"/>
              </w:rPr>
              <w:t>2013 Submission</w:t>
            </w:r>
          </w:p>
          <w:p w14:paraId="61E555D2" w14:textId="77777777" w:rsidR="006E4A29" w:rsidRPr="006E4A29" w:rsidRDefault="006E4A29" w:rsidP="006E4A29">
            <w:pPr>
              <w:ind w:left="0" w:firstLine="0"/>
              <w:rPr>
                <w:color w:val="0000CC"/>
              </w:rPr>
            </w:pPr>
            <w:r w:rsidRPr="006E4A29">
              <w:rPr>
                <w:color w:val="0000CC"/>
              </w:rPr>
              <w:t>Pg S8-S9</w:t>
            </w:r>
          </w:p>
          <w:p w14:paraId="361A4F27" w14:textId="77777777" w:rsidR="006E4A29" w:rsidRPr="006E4A29" w:rsidRDefault="006E4A29" w:rsidP="006E4A29">
            <w:pPr>
              <w:numPr>
                <w:ilvl w:val="0"/>
                <w:numId w:val="12"/>
              </w:numPr>
              <w:rPr>
                <w:color w:val="0000CC"/>
              </w:rPr>
            </w:pPr>
            <w:r w:rsidRPr="006E4A29">
              <w:rPr>
                <w:color w:val="0000CC"/>
              </w:rPr>
              <w:t>“For all patients with diabetes, perform an annual comprehensive foot examination to identify risk factors predictive of ulcers and amputations. The foot examination should include inspection, assessment of foot pulses, and testing for loss of protective sensation (LOPS) (10-g monofilament plus testing any one of the following: vibration using 128-Hz tuning fork, pinprick sensation, ankle reflexes, or vibration perception threshold). (B)</w:t>
            </w:r>
          </w:p>
          <w:p w14:paraId="2A5B5A4B" w14:textId="77777777" w:rsidR="006E4A29" w:rsidRPr="006E4A29" w:rsidRDefault="006E4A29" w:rsidP="006E4A29">
            <w:pPr>
              <w:numPr>
                <w:ilvl w:val="0"/>
                <w:numId w:val="12"/>
              </w:numPr>
              <w:rPr>
                <w:color w:val="0000CC"/>
              </w:rPr>
            </w:pPr>
            <w:r w:rsidRPr="006E4A29">
              <w:rPr>
                <w:color w:val="0000CC"/>
              </w:rPr>
              <w:t>Provide general foot self-care education to all patients with diabetes. (B)</w:t>
            </w:r>
          </w:p>
          <w:p w14:paraId="0DA3C1E5" w14:textId="77777777" w:rsidR="006E4A29" w:rsidRPr="006E4A29" w:rsidRDefault="006E4A29" w:rsidP="006E4A29">
            <w:pPr>
              <w:numPr>
                <w:ilvl w:val="0"/>
                <w:numId w:val="12"/>
              </w:numPr>
              <w:rPr>
                <w:color w:val="0000CC"/>
              </w:rPr>
            </w:pPr>
            <w:r w:rsidRPr="006E4A29">
              <w:rPr>
                <w:color w:val="0000CC"/>
              </w:rPr>
              <w:t>A multidisciplinary approach is recommended for individuals with foot ulcers and high-risk feet, especially those with a history of prior ulcer or amputation. (B)</w:t>
            </w:r>
          </w:p>
          <w:p w14:paraId="5E522F14" w14:textId="77777777" w:rsidR="006E4A29" w:rsidRPr="006E4A29" w:rsidRDefault="006E4A29" w:rsidP="006E4A29">
            <w:pPr>
              <w:numPr>
                <w:ilvl w:val="0"/>
                <w:numId w:val="12"/>
              </w:numPr>
              <w:rPr>
                <w:color w:val="0000CC"/>
              </w:rPr>
            </w:pPr>
            <w:r w:rsidRPr="006E4A29">
              <w:rPr>
                <w:color w:val="0000CC"/>
              </w:rPr>
              <w:t>Refer patients who smoke, have LOPS and structural abnormalities, or have a history of prior lower-extremity complications to foot care specialists for ongoing preventive care and lifelong surveillance. (C)</w:t>
            </w:r>
          </w:p>
          <w:p w14:paraId="11E4F7A6" w14:textId="77777777" w:rsidR="006E4A29" w:rsidRPr="006E4A29" w:rsidRDefault="006E4A29" w:rsidP="006E4A29">
            <w:pPr>
              <w:numPr>
                <w:ilvl w:val="0"/>
                <w:numId w:val="12"/>
              </w:numPr>
              <w:rPr>
                <w:color w:val="0000CC"/>
              </w:rPr>
            </w:pPr>
            <w:r w:rsidRPr="006E4A29">
              <w:rPr>
                <w:color w:val="0000CC"/>
              </w:rPr>
              <w:t>Initial screening for peripheral arterial disease (PAD) should include a history for claudication and an assessment of the pedal pulses. Consider obtaining an ankle-brachial index (ABI), as many patients with PAD are asymptomatic. (C)</w:t>
            </w:r>
          </w:p>
          <w:p w14:paraId="17FD4591" w14:textId="77777777" w:rsidR="006E4A29" w:rsidRPr="006E4A29" w:rsidRDefault="006E4A29" w:rsidP="006E4A29">
            <w:pPr>
              <w:numPr>
                <w:ilvl w:val="0"/>
                <w:numId w:val="12"/>
              </w:numPr>
              <w:rPr>
                <w:color w:val="0000CC"/>
              </w:rPr>
            </w:pPr>
            <w:r w:rsidRPr="006E4A29">
              <w:rPr>
                <w:color w:val="0000CC"/>
              </w:rPr>
              <w:t>Refer patients with significant claudication or a positive ABI for further vascular assessment and consider exercise, medications, and surgical options. (C)”</w:t>
            </w:r>
          </w:p>
          <w:p w14:paraId="55B8DA78" w14:textId="7A77CF6C" w:rsidR="006E4A29" w:rsidRPr="006E4A29" w:rsidRDefault="006E4A29" w:rsidP="002E2177">
            <w:pPr>
              <w:ind w:left="0" w:firstLine="0"/>
              <w:rPr>
                <w:color w:val="0000CC"/>
              </w:rPr>
            </w:pP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32C014E8" w14:textId="77777777" w:rsidR="006B5E44" w:rsidRDefault="006B5E44" w:rsidP="006B5E44">
            <w:pPr>
              <w:ind w:left="0" w:firstLine="0"/>
              <w:rPr>
                <w:color w:val="FF0000"/>
                <w:u w:val="single"/>
              </w:rPr>
            </w:pPr>
            <w:r w:rsidRPr="00465E2D">
              <w:rPr>
                <w:color w:val="FF0000"/>
                <w:u w:val="single"/>
              </w:rPr>
              <w:t>2018 Submission</w:t>
            </w:r>
          </w:p>
          <w:p w14:paraId="0DEEE113" w14:textId="77777777" w:rsidR="006B5E44" w:rsidRPr="005240A3" w:rsidRDefault="006B5E44" w:rsidP="006B5E44">
            <w:pPr>
              <w:ind w:left="0" w:firstLine="0"/>
              <w:rPr>
                <w:color w:val="000000" w:themeColor="text1"/>
              </w:rPr>
            </w:pPr>
            <w:r w:rsidRPr="005240A3">
              <w:rPr>
                <w:color w:val="FF0000"/>
              </w:rPr>
              <w:t>Level of evidence</w:t>
            </w:r>
            <w:r>
              <w:rPr>
                <w:color w:val="FF0000"/>
              </w:rPr>
              <w:t xml:space="preserve"> and description</w:t>
            </w:r>
            <w:r w:rsidRPr="005240A3">
              <w:rPr>
                <w:color w:val="FF0000"/>
              </w:rPr>
              <w:t>:</w:t>
            </w:r>
          </w:p>
          <w:p w14:paraId="203D52BF" w14:textId="77777777" w:rsidR="006B5E44" w:rsidRPr="0072154C" w:rsidRDefault="006B5E44" w:rsidP="006B5E44">
            <w:pPr>
              <w:numPr>
                <w:ilvl w:val="0"/>
                <w:numId w:val="14"/>
              </w:numPr>
              <w:rPr>
                <w:color w:val="FF0000"/>
              </w:rPr>
            </w:pPr>
            <w:r w:rsidRPr="0072154C">
              <w:rPr>
                <w:color w:val="FF0000"/>
              </w:rPr>
              <w:t xml:space="preserve">B: </w:t>
            </w:r>
          </w:p>
          <w:p w14:paraId="6B9C2FBE" w14:textId="77777777" w:rsidR="006B5E44" w:rsidRPr="0072154C" w:rsidRDefault="006B5E44" w:rsidP="006B5E44">
            <w:pPr>
              <w:ind w:left="0" w:firstLine="0"/>
              <w:rPr>
                <w:color w:val="FF0000"/>
              </w:rPr>
            </w:pPr>
            <w:r w:rsidRPr="0072154C">
              <w:rPr>
                <w:color w:val="FF0000"/>
              </w:rPr>
              <w:t xml:space="preserve"> Supportive evidence from well-conducted cohort studies, including:</w:t>
            </w:r>
          </w:p>
          <w:p w14:paraId="61E07B5D" w14:textId="77777777" w:rsidR="006B5E44" w:rsidRPr="0072154C" w:rsidRDefault="006B5E44" w:rsidP="006B5E44">
            <w:pPr>
              <w:numPr>
                <w:ilvl w:val="1"/>
                <w:numId w:val="14"/>
              </w:numPr>
              <w:rPr>
                <w:color w:val="FF0000"/>
              </w:rPr>
            </w:pPr>
            <w:r w:rsidRPr="0072154C">
              <w:rPr>
                <w:color w:val="FF0000"/>
              </w:rPr>
              <w:t xml:space="preserve"> Evidence from a well-conducted prospective cohort study or registry</w:t>
            </w:r>
          </w:p>
          <w:p w14:paraId="7BE99BFD" w14:textId="77777777" w:rsidR="006B5E44" w:rsidRPr="0072154C" w:rsidRDefault="006B5E44" w:rsidP="006B5E44">
            <w:pPr>
              <w:numPr>
                <w:ilvl w:val="1"/>
                <w:numId w:val="14"/>
              </w:numPr>
              <w:rPr>
                <w:color w:val="FF0000"/>
              </w:rPr>
            </w:pPr>
            <w:r w:rsidRPr="0072154C">
              <w:rPr>
                <w:color w:val="FF0000"/>
              </w:rPr>
              <w:t xml:space="preserve"> Evidence from a well-conducted meta-analysis of cohort studies</w:t>
            </w:r>
          </w:p>
          <w:p w14:paraId="5A70B5D9" w14:textId="77777777" w:rsidR="00AB4ECE" w:rsidRDefault="006B5E44" w:rsidP="006B5E44">
            <w:pPr>
              <w:ind w:left="0" w:firstLine="0"/>
              <w:rPr>
                <w:color w:val="FF0000"/>
              </w:rPr>
            </w:pPr>
            <w:r w:rsidRPr="0072154C">
              <w:rPr>
                <w:color w:val="FF0000"/>
              </w:rPr>
              <w:t>Supportive evidence from a well-conducted case-control study</w:t>
            </w:r>
          </w:p>
          <w:p w14:paraId="213DEF66" w14:textId="77777777" w:rsidR="006B5E44" w:rsidRPr="0072154C" w:rsidRDefault="006B5E44" w:rsidP="006B5E44">
            <w:pPr>
              <w:numPr>
                <w:ilvl w:val="0"/>
                <w:numId w:val="15"/>
              </w:numPr>
              <w:rPr>
                <w:color w:val="FF0000"/>
              </w:rPr>
            </w:pPr>
            <w:r w:rsidRPr="0072154C">
              <w:rPr>
                <w:color w:val="FF0000"/>
              </w:rPr>
              <w:t xml:space="preserve">C </w:t>
            </w:r>
          </w:p>
          <w:p w14:paraId="6015E901" w14:textId="77777777" w:rsidR="006B5E44" w:rsidRPr="0072154C" w:rsidRDefault="006B5E44" w:rsidP="006B5E44">
            <w:pPr>
              <w:ind w:left="0" w:firstLine="0"/>
              <w:rPr>
                <w:color w:val="FF0000"/>
              </w:rPr>
            </w:pPr>
            <w:r w:rsidRPr="0072154C">
              <w:rPr>
                <w:color w:val="FF0000"/>
              </w:rPr>
              <w:t>Supportive evidence from poorly controlled or uncontrolled studies</w:t>
            </w:r>
          </w:p>
          <w:p w14:paraId="4398BA1B" w14:textId="77777777" w:rsidR="006B5E44" w:rsidRPr="0072154C" w:rsidRDefault="006B5E44" w:rsidP="006B5E44">
            <w:pPr>
              <w:numPr>
                <w:ilvl w:val="1"/>
                <w:numId w:val="15"/>
              </w:numPr>
              <w:rPr>
                <w:color w:val="FF0000"/>
              </w:rPr>
            </w:pPr>
            <w:r w:rsidRPr="0072154C">
              <w:rPr>
                <w:color w:val="FF0000"/>
              </w:rPr>
              <w:t>Evidence from randomized clinical trials with one or more major or three or more minor methodological flaws that could invalidate the results</w:t>
            </w:r>
          </w:p>
          <w:p w14:paraId="5528897B" w14:textId="77777777" w:rsidR="006B5E44" w:rsidRPr="0072154C" w:rsidRDefault="006B5E44" w:rsidP="006B5E44">
            <w:pPr>
              <w:numPr>
                <w:ilvl w:val="1"/>
                <w:numId w:val="15"/>
              </w:numPr>
              <w:rPr>
                <w:color w:val="FF0000"/>
              </w:rPr>
            </w:pPr>
            <w:r w:rsidRPr="0072154C">
              <w:rPr>
                <w:color w:val="FF0000"/>
              </w:rPr>
              <w:t xml:space="preserve"> Evidence from observational studies with high potential for bias (such as case series with comparison to historical controls)</w:t>
            </w:r>
          </w:p>
          <w:p w14:paraId="0F2F0E33" w14:textId="77777777" w:rsidR="006B5E44" w:rsidRPr="0072154C" w:rsidRDefault="006B5E44" w:rsidP="006B5E44">
            <w:pPr>
              <w:numPr>
                <w:ilvl w:val="1"/>
                <w:numId w:val="15"/>
              </w:numPr>
              <w:rPr>
                <w:color w:val="FF0000"/>
              </w:rPr>
            </w:pPr>
            <w:r w:rsidRPr="0072154C">
              <w:rPr>
                <w:color w:val="FF0000"/>
              </w:rPr>
              <w:t>Evidence from case series or case reports</w:t>
            </w:r>
          </w:p>
          <w:p w14:paraId="1B407E31" w14:textId="77777777" w:rsidR="006B5E44" w:rsidRPr="0072154C" w:rsidRDefault="006B5E44" w:rsidP="006B5E44">
            <w:pPr>
              <w:ind w:left="0" w:firstLine="0"/>
              <w:rPr>
                <w:color w:val="FF0000"/>
              </w:rPr>
            </w:pPr>
            <w:r w:rsidRPr="0072154C">
              <w:rPr>
                <w:color w:val="FF0000"/>
              </w:rPr>
              <w:t>Conflicting evidence with the weight of evidence supporting the recommendation</w:t>
            </w:r>
          </w:p>
          <w:p w14:paraId="3734CFC7" w14:textId="77777777" w:rsidR="006B5E44" w:rsidRDefault="006B5E44" w:rsidP="006B5E44">
            <w:pPr>
              <w:ind w:left="0" w:firstLine="0"/>
              <w:rPr>
                <w:color w:val="FF0000"/>
              </w:rPr>
            </w:pPr>
          </w:p>
          <w:p w14:paraId="317285E4" w14:textId="77777777" w:rsidR="006B5E44" w:rsidRPr="006B5E44" w:rsidRDefault="006B5E44" w:rsidP="006B5E44">
            <w:pPr>
              <w:ind w:left="0" w:firstLine="0"/>
              <w:rPr>
                <w:color w:val="0000CC"/>
                <w:u w:val="single"/>
              </w:rPr>
            </w:pPr>
            <w:r w:rsidRPr="006B5E44">
              <w:rPr>
                <w:color w:val="0000CC"/>
                <w:u w:val="single"/>
              </w:rPr>
              <w:t>2013 Submission</w:t>
            </w:r>
          </w:p>
          <w:p w14:paraId="55B8DA7B" w14:textId="59B2AA5F" w:rsidR="006B5E44" w:rsidRPr="006B5E44" w:rsidRDefault="006B5E44" w:rsidP="006B5E44">
            <w:pPr>
              <w:ind w:left="0" w:firstLine="0"/>
              <w:rPr>
                <w:color w:val="FF0000"/>
              </w:rPr>
            </w:pPr>
            <w:r w:rsidRPr="006B5E44">
              <w:rPr>
                <w:color w:val="0000CC"/>
              </w:rPr>
              <w:t>Same as above</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66B9FC6D" w14:textId="77777777" w:rsidR="006B5E44" w:rsidRDefault="006B5E44" w:rsidP="006B5E44">
            <w:pPr>
              <w:ind w:left="0" w:firstLine="0"/>
              <w:rPr>
                <w:color w:val="000000" w:themeColor="text1"/>
                <w:u w:val="single"/>
              </w:rPr>
            </w:pPr>
            <w:r w:rsidRPr="00465E2D">
              <w:rPr>
                <w:color w:val="FF0000"/>
                <w:u w:val="single"/>
              </w:rPr>
              <w:t xml:space="preserve">2018 Submission </w:t>
            </w:r>
            <w:r w:rsidRPr="00465E2D">
              <w:rPr>
                <w:color w:val="000000" w:themeColor="text1"/>
                <w:u w:val="single"/>
              </w:rPr>
              <w:t xml:space="preserve"> </w:t>
            </w:r>
          </w:p>
          <w:p w14:paraId="0815DD9C" w14:textId="77777777" w:rsidR="006B5E44" w:rsidRPr="0072154C" w:rsidRDefault="006B5E44" w:rsidP="006B5E44">
            <w:pPr>
              <w:ind w:left="0" w:firstLine="0"/>
              <w:rPr>
                <w:color w:val="FF0000"/>
              </w:rPr>
            </w:pPr>
            <w:r w:rsidRPr="0072154C">
              <w:rPr>
                <w:color w:val="FF0000"/>
              </w:rPr>
              <w:t>Level of Evidence &amp; Description:</w:t>
            </w:r>
          </w:p>
          <w:p w14:paraId="49E34E63" w14:textId="77777777" w:rsidR="006B5E44" w:rsidRPr="0072154C" w:rsidRDefault="006B5E44" w:rsidP="006B5E44">
            <w:pPr>
              <w:numPr>
                <w:ilvl w:val="0"/>
                <w:numId w:val="14"/>
              </w:numPr>
              <w:rPr>
                <w:color w:val="FF0000"/>
              </w:rPr>
            </w:pPr>
            <w:r w:rsidRPr="0072154C">
              <w:rPr>
                <w:color w:val="FF0000"/>
              </w:rPr>
              <w:t xml:space="preserve">A: </w:t>
            </w:r>
          </w:p>
          <w:p w14:paraId="304305F4" w14:textId="77777777" w:rsidR="006B5E44" w:rsidRPr="0072154C" w:rsidRDefault="006B5E44" w:rsidP="006B5E44">
            <w:pPr>
              <w:ind w:left="0" w:firstLine="0"/>
              <w:rPr>
                <w:color w:val="FF0000"/>
              </w:rPr>
            </w:pPr>
            <w:r w:rsidRPr="0072154C">
              <w:rPr>
                <w:color w:val="FF0000"/>
              </w:rPr>
              <w:t xml:space="preserve"> Clear evidence from well-conducted, generalizable, randomized controlled trials that are adequately powered, including:</w:t>
            </w:r>
          </w:p>
          <w:p w14:paraId="16484141" w14:textId="77777777" w:rsidR="006B5E44" w:rsidRPr="0072154C" w:rsidRDefault="006B5E44" w:rsidP="006B5E44">
            <w:pPr>
              <w:numPr>
                <w:ilvl w:val="1"/>
                <w:numId w:val="14"/>
              </w:numPr>
              <w:rPr>
                <w:color w:val="FF0000"/>
              </w:rPr>
            </w:pPr>
            <w:r w:rsidRPr="0072154C">
              <w:rPr>
                <w:color w:val="FF0000"/>
              </w:rPr>
              <w:t>Evidence from a well-conducted multicenter trial</w:t>
            </w:r>
          </w:p>
          <w:p w14:paraId="6CFC0565" w14:textId="77777777" w:rsidR="006B5E44" w:rsidRPr="0072154C" w:rsidRDefault="006B5E44" w:rsidP="006B5E44">
            <w:pPr>
              <w:numPr>
                <w:ilvl w:val="1"/>
                <w:numId w:val="14"/>
              </w:numPr>
              <w:rPr>
                <w:color w:val="FF0000"/>
              </w:rPr>
            </w:pPr>
            <w:r w:rsidRPr="0072154C">
              <w:rPr>
                <w:color w:val="FF0000"/>
              </w:rPr>
              <w:t>Evidence from a meta-analysis that incorporated quality ratings in the analysis</w:t>
            </w:r>
          </w:p>
          <w:p w14:paraId="1B67E908" w14:textId="77777777" w:rsidR="006B5E44" w:rsidRPr="0072154C" w:rsidRDefault="006B5E44" w:rsidP="006B5E44">
            <w:pPr>
              <w:ind w:left="0" w:firstLine="0"/>
              <w:rPr>
                <w:color w:val="FF0000"/>
              </w:rPr>
            </w:pPr>
            <w:r w:rsidRPr="0072154C">
              <w:rPr>
                <w:color w:val="FF0000"/>
              </w:rPr>
              <w:t>Compelling nonexperimental evidence, i.e., “all or none” rule developed by the Centre for Evidence-Based Medicine at Oxford</w:t>
            </w:r>
          </w:p>
          <w:p w14:paraId="7C639CC3" w14:textId="77777777" w:rsidR="006B5E44" w:rsidRPr="0072154C" w:rsidRDefault="006B5E44" w:rsidP="006B5E44">
            <w:pPr>
              <w:ind w:left="0" w:firstLine="0"/>
              <w:rPr>
                <w:color w:val="FF0000"/>
              </w:rPr>
            </w:pPr>
          </w:p>
          <w:p w14:paraId="1481E246" w14:textId="77777777" w:rsidR="006B5E44" w:rsidRPr="0072154C" w:rsidRDefault="006B5E44" w:rsidP="006B5E44">
            <w:pPr>
              <w:ind w:left="0" w:firstLine="0"/>
              <w:rPr>
                <w:color w:val="FF0000"/>
              </w:rPr>
            </w:pPr>
            <w:r w:rsidRPr="0072154C">
              <w:rPr>
                <w:color w:val="FF0000"/>
              </w:rPr>
              <w:t>Supportive evidence from well-conducted randomized controlled trials that are adequately powered, including:</w:t>
            </w:r>
          </w:p>
          <w:p w14:paraId="55D24D9A" w14:textId="77777777" w:rsidR="006B5E44" w:rsidRPr="0072154C" w:rsidRDefault="006B5E44" w:rsidP="006B5E44">
            <w:pPr>
              <w:numPr>
                <w:ilvl w:val="1"/>
                <w:numId w:val="14"/>
              </w:numPr>
              <w:rPr>
                <w:color w:val="FF0000"/>
              </w:rPr>
            </w:pPr>
            <w:r w:rsidRPr="0072154C">
              <w:rPr>
                <w:color w:val="FF0000"/>
              </w:rPr>
              <w:t xml:space="preserve">Evidence from a well-conducted trial at one or more institutions </w:t>
            </w:r>
          </w:p>
          <w:p w14:paraId="4E997463" w14:textId="0BD4FD0E" w:rsidR="006B5E44" w:rsidRDefault="006B5E44" w:rsidP="006B5E44">
            <w:pPr>
              <w:numPr>
                <w:ilvl w:val="1"/>
                <w:numId w:val="14"/>
              </w:numPr>
              <w:rPr>
                <w:color w:val="FF0000"/>
              </w:rPr>
            </w:pPr>
            <w:r w:rsidRPr="0072154C">
              <w:rPr>
                <w:color w:val="FF0000"/>
              </w:rPr>
              <w:t>Evidence from a meta-analysis that incorporated quality ratings in the analysis</w:t>
            </w:r>
          </w:p>
          <w:p w14:paraId="0BD31FF3" w14:textId="77777777" w:rsidR="006B5E44" w:rsidRPr="0072154C" w:rsidRDefault="006B5E44" w:rsidP="006B5E44">
            <w:pPr>
              <w:numPr>
                <w:ilvl w:val="0"/>
                <w:numId w:val="14"/>
              </w:numPr>
              <w:rPr>
                <w:color w:val="FF0000"/>
              </w:rPr>
            </w:pPr>
            <w:r w:rsidRPr="0072154C">
              <w:rPr>
                <w:color w:val="FF0000"/>
              </w:rPr>
              <w:t xml:space="preserve">E:  </w:t>
            </w:r>
          </w:p>
          <w:p w14:paraId="3D7D71EA" w14:textId="77777777" w:rsidR="006B5E44" w:rsidRPr="0072154C" w:rsidRDefault="006B5E44" w:rsidP="006B5E44">
            <w:pPr>
              <w:ind w:left="0" w:firstLine="0"/>
              <w:rPr>
                <w:color w:val="FF0000"/>
              </w:rPr>
            </w:pPr>
            <w:r w:rsidRPr="0072154C">
              <w:rPr>
                <w:color w:val="FF0000"/>
              </w:rPr>
              <w:t>Expert consensus or clinical experience</w:t>
            </w:r>
          </w:p>
          <w:p w14:paraId="04FCC334" w14:textId="06DCC7B9" w:rsidR="006B5E44" w:rsidRDefault="006B5E44" w:rsidP="006B5E44">
            <w:pPr>
              <w:rPr>
                <w:color w:val="FF0000"/>
              </w:rPr>
            </w:pPr>
          </w:p>
          <w:p w14:paraId="5EE6B6B5" w14:textId="50F9FEAC" w:rsidR="006B5E44" w:rsidRPr="006B5E44" w:rsidRDefault="006B5E44" w:rsidP="006B5E44">
            <w:pPr>
              <w:rPr>
                <w:color w:val="0000CC"/>
                <w:u w:val="single"/>
              </w:rPr>
            </w:pPr>
            <w:r w:rsidRPr="006B5E44">
              <w:rPr>
                <w:color w:val="0000CC"/>
                <w:u w:val="single"/>
              </w:rPr>
              <w:t>2013 Submission</w:t>
            </w:r>
          </w:p>
          <w:p w14:paraId="21ABE6ED" w14:textId="2353061D" w:rsidR="006B5E44" w:rsidRPr="006B5E44" w:rsidRDefault="006B5E44" w:rsidP="006B5E44">
            <w:pPr>
              <w:rPr>
                <w:color w:val="0000CC"/>
              </w:rPr>
            </w:pPr>
            <w:r w:rsidRPr="006B5E44">
              <w:rPr>
                <w:color w:val="0000CC"/>
              </w:rPr>
              <w:t>Same as above</w:t>
            </w:r>
          </w:p>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lastRenderedPageBreak/>
              <w:t xml:space="preserve">Grade assigned to the </w:t>
            </w:r>
            <w:r w:rsidRPr="004E7215">
              <w:rPr>
                <w:b/>
              </w:rPr>
              <w:t>recommendation</w:t>
            </w:r>
            <w:r>
              <w:t xml:space="preserve"> with definition of the grade</w:t>
            </w:r>
          </w:p>
        </w:tc>
        <w:tc>
          <w:tcPr>
            <w:tcW w:w="5130" w:type="dxa"/>
          </w:tcPr>
          <w:p w14:paraId="73D9F356" w14:textId="77777777" w:rsidR="00F7565E" w:rsidRPr="00687BD6" w:rsidRDefault="00F7565E" w:rsidP="00F7565E">
            <w:pPr>
              <w:ind w:left="0" w:firstLine="0"/>
              <w:rPr>
                <w:color w:val="FF0000"/>
                <w:u w:val="single"/>
              </w:rPr>
            </w:pPr>
            <w:r w:rsidRPr="00687BD6">
              <w:rPr>
                <w:color w:val="FF0000"/>
                <w:u w:val="single"/>
              </w:rPr>
              <w:t>2018 Submission</w:t>
            </w:r>
          </w:p>
          <w:p w14:paraId="0B590EE0" w14:textId="77777777" w:rsidR="00F7565E" w:rsidRDefault="00F7565E" w:rsidP="00F7565E">
            <w:pPr>
              <w:ind w:left="0" w:firstLine="0"/>
              <w:rPr>
                <w:color w:val="FF0000"/>
              </w:rPr>
            </w:pPr>
            <w:r>
              <w:rPr>
                <w:color w:val="FF0000"/>
              </w:rPr>
              <w:t>No additional grading was provided for the recommendations aside from what is described above</w:t>
            </w:r>
          </w:p>
          <w:p w14:paraId="729C58C0" w14:textId="77777777" w:rsidR="00F7565E" w:rsidRDefault="00F7565E" w:rsidP="00F7565E">
            <w:pPr>
              <w:ind w:left="0" w:firstLine="0"/>
            </w:pPr>
          </w:p>
          <w:p w14:paraId="7305B27C" w14:textId="77777777" w:rsidR="00F7565E" w:rsidRPr="00687BD6" w:rsidRDefault="00F7565E" w:rsidP="00F7565E">
            <w:pPr>
              <w:ind w:left="0" w:firstLine="0"/>
              <w:rPr>
                <w:color w:val="0000FF"/>
                <w:u w:val="single"/>
              </w:rPr>
            </w:pPr>
            <w:r w:rsidRPr="00687BD6">
              <w:rPr>
                <w:color w:val="0000FF"/>
                <w:u w:val="single"/>
              </w:rPr>
              <w:t>2013 Submission</w:t>
            </w:r>
          </w:p>
          <w:p w14:paraId="3C9D3F40" w14:textId="77777777" w:rsidR="00F7565E" w:rsidRPr="00D63A3D" w:rsidRDefault="00F7565E" w:rsidP="00F7565E">
            <w:pPr>
              <w:ind w:left="0" w:firstLine="0"/>
              <w:rPr>
                <w:color w:val="0000CC"/>
              </w:rPr>
            </w:pPr>
            <w:r w:rsidRPr="00D63A3D">
              <w:rPr>
                <w:color w:val="0000CC"/>
              </w:rPr>
              <w:t>No additional grading was provided for the recommendations aside from what is described above</w:t>
            </w:r>
          </w:p>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BA9FE5B" w14:textId="77777777" w:rsidR="00F7565E" w:rsidRPr="00687BD6" w:rsidRDefault="00F7565E" w:rsidP="00F7565E">
            <w:pPr>
              <w:ind w:left="0" w:firstLine="0"/>
              <w:rPr>
                <w:color w:val="FF0000"/>
                <w:u w:val="single"/>
              </w:rPr>
            </w:pPr>
            <w:r w:rsidRPr="00687BD6">
              <w:rPr>
                <w:color w:val="FF0000"/>
                <w:u w:val="single"/>
              </w:rPr>
              <w:t>2018 Submission</w:t>
            </w:r>
          </w:p>
          <w:p w14:paraId="238FBF4E" w14:textId="77777777" w:rsidR="00F7565E" w:rsidRDefault="00F7565E" w:rsidP="00F7565E">
            <w:pPr>
              <w:ind w:left="0" w:firstLine="0"/>
              <w:rPr>
                <w:color w:val="FF0000"/>
              </w:rPr>
            </w:pPr>
            <w:r>
              <w:rPr>
                <w:color w:val="FF0000"/>
              </w:rPr>
              <w:t>No additional grading was provided for the recommendations aside from what is described above</w:t>
            </w:r>
          </w:p>
          <w:p w14:paraId="5CAAC96F" w14:textId="77777777" w:rsidR="00F7565E" w:rsidRDefault="00F7565E" w:rsidP="00F7565E">
            <w:pPr>
              <w:ind w:left="0" w:firstLine="0"/>
            </w:pPr>
          </w:p>
          <w:p w14:paraId="1EFE86B6" w14:textId="77777777" w:rsidR="00F7565E" w:rsidRPr="00687BD6" w:rsidRDefault="00F7565E" w:rsidP="00F7565E">
            <w:pPr>
              <w:ind w:left="0" w:firstLine="0"/>
              <w:rPr>
                <w:color w:val="0000FF"/>
                <w:u w:val="single"/>
              </w:rPr>
            </w:pPr>
            <w:r w:rsidRPr="00687BD6">
              <w:rPr>
                <w:color w:val="0000FF"/>
                <w:u w:val="single"/>
              </w:rPr>
              <w:t>2013 Submission</w:t>
            </w:r>
          </w:p>
          <w:p w14:paraId="2582B05D" w14:textId="77777777" w:rsidR="00F7565E" w:rsidRPr="00D63A3D" w:rsidRDefault="00F7565E" w:rsidP="00F7565E">
            <w:pPr>
              <w:ind w:left="0" w:firstLine="0"/>
              <w:rPr>
                <w:color w:val="0000CC"/>
              </w:rPr>
            </w:pPr>
            <w:r w:rsidRPr="00D63A3D">
              <w:rPr>
                <w:color w:val="0000CC"/>
              </w:rPr>
              <w:t>No additional grading was provided for the recommendations aside from what is described above</w:t>
            </w:r>
          </w:p>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6BAE037D" w:rsidR="00AB4ECE" w:rsidRDefault="00F7565E" w:rsidP="002E2177">
            <w:pPr>
              <w:ind w:left="0" w:firstLine="0"/>
            </w:pPr>
            <w:r w:rsidRPr="0098701A">
              <w:rPr>
                <w:color w:val="FF0000"/>
              </w:rPr>
              <w:t xml:space="preserve">The ADA does not provide information on the systematic review conducted to support its 2018 </w:t>
            </w:r>
            <w:r>
              <w:rPr>
                <w:color w:val="FF0000"/>
              </w:rPr>
              <w:t xml:space="preserve">or 2013 </w:t>
            </w:r>
            <w:r w:rsidRPr="0098701A">
              <w:rPr>
                <w:color w:val="FF0000"/>
              </w:rPr>
              <w:t>guideline and the recommendations mentioned above. In lieu of the ADA systematic revie</w:t>
            </w:r>
            <w:r w:rsidR="00A332D2">
              <w:rPr>
                <w:color w:val="FF0000"/>
              </w:rPr>
              <w:t>w, we provide information on one</w:t>
            </w:r>
            <w:r w:rsidRPr="0098701A">
              <w:rPr>
                <w:color w:val="FF0000"/>
              </w:rPr>
              <w:t xml:space="preserve"> other syste</w:t>
            </w:r>
            <w:r w:rsidR="00A332D2">
              <w:rPr>
                <w:color w:val="FF0000"/>
              </w:rPr>
              <w:t>matic review</w:t>
            </w:r>
            <w:r w:rsidRPr="0098701A">
              <w:rPr>
                <w:color w:val="FF0000"/>
              </w:rPr>
              <w:t xml:space="preserve"> that support the ADA’s recommendations in Table 4.</w:t>
            </w: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1E01D39" w:rsidR="00AB4ECE" w:rsidRPr="00971FFA" w:rsidRDefault="00971FFA" w:rsidP="002E2177">
            <w:pPr>
              <w:ind w:left="0" w:firstLine="0"/>
              <w:rPr>
                <w:color w:val="FF0000"/>
              </w:rPr>
            </w:pPr>
            <w:r>
              <w:rPr>
                <w:color w:val="FF0000"/>
              </w:rPr>
              <w:t>Se</w:t>
            </w:r>
            <w:r w:rsidR="00C95321">
              <w:rPr>
                <w:color w:val="FF0000"/>
              </w:rPr>
              <w:t>e Table 3</w:t>
            </w:r>
            <w:r>
              <w:rPr>
                <w:color w:val="FF0000"/>
              </w:rPr>
              <w:t xml:space="preserve"> below</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5DE2ABBE" w:rsidR="000E5C93" w:rsidRDefault="00C95321" w:rsidP="002E2177">
            <w:pPr>
              <w:ind w:left="0" w:firstLine="0"/>
            </w:pPr>
            <w:r>
              <w:rPr>
                <w:color w:val="FF0000"/>
              </w:rPr>
              <w:t>See Table 3</w:t>
            </w:r>
            <w:r w:rsidR="00971FFA" w:rsidRPr="00971FFA">
              <w:rPr>
                <w:color w:val="FF0000"/>
              </w:rPr>
              <w:t xml:space="preserve"> below</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5D9A22F0" w:rsidR="000E5C93" w:rsidRDefault="00971FFA" w:rsidP="002E2177">
            <w:pPr>
              <w:ind w:left="0" w:firstLine="0"/>
            </w:pPr>
            <w:r w:rsidRPr="00971FFA">
              <w:rPr>
                <w:color w:val="FF0000"/>
              </w:rPr>
              <w:t>N/A</w:t>
            </w:r>
          </w:p>
        </w:tc>
      </w:tr>
    </w:tbl>
    <w:p w14:paraId="55B8DA94" w14:textId="6E05A117" w:rsidR="007C1887" w:rsidRDefault="007C1887" w:rsidP="002E2177">
      <w:pPr>
        <w:ind w:left="0" w:firstLine="0"/>
      </w:pPr>
    </w:p>
    <w:p w14:paraId="7A4DB902" w14:textId="14B20DA1" w:rsidR="00971FFA" w:rsidRPr="00962726" w:rsidRDefault="00971FFA" w:rsidP="00971FFA">
      <w:pPr>
        <w:ind w:left="0" w:firstLine="0"/>
        <w:rPr>
          <w:iCs/>
          <w:color w:val="FF0000"/>
        </w:rPr>
      </w:pPr>
      <w:r>
        <w:rPr>
          <w:iCs/>
          <w:color w:val="FF0000"/>
        </w:rPr>
        <w:t>Table 2</w:t>
      </w:r>
      <w:r w:rsidRPr="00962726">
        <w:rPr>
          <w:iCs/>
          <w:color w:val="FF0000"/>
        </w:rPr>
        <w:t xml:space="preserve">. </w:t>
      </w:r>
      <w:r>
        <w:rPr>
          <w:iCs/>
          <w:color w:val="FF0000"/>
        </w:rPr>
        <w:t>American Geriatrics Society (AGS)</w:t>
      </w:r>
    </w:p>
    <w:tbl>
      <w:tblPr>
        <w:tblStyle w:val="TableGrid"/>
        <w:tblW w:w="0" w:type="auto"/>
        <w:tblLayout w:type="fixed"/>
        <w:tblLook w:val="04A0" w:firstRow="1" w:lastRow="0" w:firstColumn="1" w:lastColumn="0" w:noHBand="0" w:noVBand="1"/>
      </w:tblPr>
      <w:tblGrid>
        <w:gridCol w:w="3325"/>
        <w:gridCol w:w="6025"/>
      </w:tblGrid>
      <w:tr w:rsidR="00971FFA" w14:paraId="07FA9088" w14:textId="77777777" w:rsidTr="00971FFA">
        <w:tc>
          <w:tcPr>
            <w:tcW w:w="3325" w:type="dxa"/>
          </w:tcPr>
          <w:p w14:paraId="12BF7FE9" w14:textId="77777777" w:rsidR="00971FFA" w:rsidRPr="00AB4ECE" w:rsidRDefault="00971FFA" w:rsidP="00A332D2">
            <w:pPr>
              <w:ind w:left="0" w:firstLine="0"/>
              <w:rPr>
                <w:b/>
              </w:rPr>
            </w:pPr>
            <w:r w:rsidRPr="00AB4ECE">
              <w:rPr>
                <w:b/>
              </w:rPr>
              <w:t>Source of Systematic Review:</w:t>
            </w:r>
          </w:p>
          <w:p w14:paraId="579ABCA0" w14:textId="77777777" w:rsidR="00971FFA" w:rsidRPr="00AB4ECE" w:rsidRDefault="00971FFA" w:rsidP="00A332D2">
            <w:pPr>
              <w:pStyle w:val="ListParagraph"/>
              <w:numPr>
                <w:ilvl w:val="0"/>
                <w:numId w:val="9"/>
              </w:numPr>
              <w:rPr>
                <w:b/>
              </w:rPr>
            </w:pPr>
            <w:r w:rsidRPr="00AB4ECE">
              <w:rPr>
                <w:b/>
              </w:rPr>
              <w:t>Title</w:t>
            </w:r>
          </w:p>
          <w:p w14:paraId="66431BB1" w14:textId="77777777" w:rsidR="00971FFA" w:rsidRPr="00AB4ECE" w:rsidRDefault="00971FFA" w:rsidP="00A332D2">
            <w:pPr>
              <w:pStyle w:val="ListParagraph"/>
              <w:numPr>
                <w:ilvl w:val="0"/>
                <w:numId w:val="9"/>
              </w:numPr>
              <w:rPr>
                <w:b/>
              </w:rPr>
            </w:pPr>
            <w:r w:rsidRPr="00AB4ECE">
              <w:rPr>
                <w:b/>
              </w:rPr>
              <w:t>Author</w:t>
            </w:r>
          </w:p>
          <w:p w14:paraId="378A3FC6" w14:textId="77777777" w:rsidR="00971FFA" w:rsidRPr="00AB4ECE" w:rsidRDefault="00971FFA" w:rsidP="00A332D2">
            <w:pPr>
              <w:pStyle w:val="ListParagraph"/>
              <w:numPr>
                <w:ilvl w:val="0"/>
                <w:numId w:val="9"/>
              </w:numPr>
              <w:rPr>
                <w:b/>
              </w:rPr>
            </w:pPr>
            <w:r w:rsidRPr="00AB4ECE">
              <w:rPr>
                <w:b/>
              </w:rPr>
              <w:t>Date</w:t>
            </w:r>
          </w:p>
          <w:p w14:paraId="4DBD6D0A" w14:textId="77777777" w:rsidR="00971FFA" w:rsidRPr="00AB4ECE" w:rsidRDefault="00971FFA" w:rsidP="00A332D2">
            <w:pPr>
              <w:pStyle w:val="ListParagraph"/>
              <w:numPr>
                <w:ilvl w:val="0"/>
                <w:numId w:val="9"/>
              </w:numPr>
              <w:rPr>
                <w:b/>
              </w:rPr>
            </w:pPr>
            <w:r w:rsidRPr="00AB4ECE">
              <w:rPr>
                <w:b/>
              </w:rPr>
              <w:t>Citation, including page number</w:t>
            </w:r>
          </w:p>
          <w:p w14:paraId="770CF7DD" w14:textId="77777777" w:rsidR="00971FFA" w:rsidRPr="00AB4ECE" w:rsidRDefault="00971FFA" w:rsidP="00A332D2">
            <w:pPr>
              <w:pStyle w:val="ListParagraph"/>
              <w:numPr>
                <w:ilvl w:val="0"/>
                <w:numId w:val="9"/>
              </w:numPr>
              <w:rPr>
                <w:b/>
              </w:rPr>
            </w:pPr>
            <w:r w:rsidRPr="00AB4ECE">
              <w:rPr>
                <w:b/>
              </w:rPr>
              <w:t>URL</w:t>
            </w:r>
          </w:p>
        </w:tc>
        <w:tc>
          <w:tcPr>
            <w:tcW w:w="6025" w:type="dxa"/>
          </w:tcPr>
          <w:p w14:paraId="478DD451" w14:textId="77777777" w:rsidR="00971FFA" w:rsidRDefault="00971FFA" w:rsidP="00A332D2">
            <w:pPr>
              <w:ind w:left="0" w:firstLine="0"/>
              <w:rPr>
                <w:color w:val="FF0000"/>
                <w:u w:val="single"/>
              </w:rPr>
            </w:pPr>
            <w:r w:rsidRPr="00BC5BF7">
              <w:rPr>
                <w:color w:val="FF0000"/>
                <w:u w:val="single"/>
              </w:rPr>
              <w:t>2018 Submission</w:t>
            </w:r>
          </w:p>
          <w:p w14:paraId="0A56DB59" w14:textId="77777777" w:rsidR="00971FFA" w:rsidRDefault="00971FFA" w:rsidP="00971FFA">
            <w:pPr>
              <w:ind w:left="0" w:firstLine="0"/>
              <w:rPr>
                <w:color w:val="FF0000"/>
              </w:rPr>
            </w:pPr>
            <w:r w:rsidRPr="00A80126">
              <w:rPr>
                <w:color w:val="FF0000"/>
              </w:rPr>
              <w:t xml:space="preserve">American </w:t>
            </w:r>
            <w:r>
              <w:rPr>
                <w:color w:val="FF0000"/>
              </w:rPr>
              <w:t>Geriatrics Society (AGS). 2013</w:t>
            </w:r>
            <w:r w:rsidRPr="00A80126">
              <w:rPr>
                <w:color w:val="FF0000"/>
              </w:rPr>
              <w:t xml:space="preserve">. </w:t>
            </w:r>
            <w:r>
              <w:rPr>
                <w:color w:val="FF0000"/>
              </w:rPr>
              <w:t>Guidelines Abstracted from the American Geriatrics Society Guidelines for Improving the Care of Older Adults with Diabetes Mellitus: 2013 Update. American Geriatrics Society Panel on the Care for Older Adults with Diabetes Mellitus. Journal of American Geriatric Society. 2013 November; 61 (11): 2020-2026. Doi:10.1111/jgs.12514</w:t>
            </w:r>
          </w:p>
          <w:p w14:paraId="41298A1F" w14:textId="77777777" w:rsidR="00971FFA" w:rsidRPr="00BE4925" w:rsidRDefault="00971FFA" w:rsidP="00971FFA">
            <w:pPr>
              <w:ind w:left="0" w:firstLine="0"/>
              <w:rPr>
                <w:color w:val="0033CC"/>
              </w:rPr>
            </w:pPr>
            <w:r>
              <w:rPr>
                <w:color w:val="FF0000"/>
              </w:rPr>
              <w:t xml:space="preserve">URL: </w:t>
            </w:r>
            <w:hyperlink r:id="rId17" w:history="1">
              <w:r w:rsidRPr="00BE4925">
                <w:rPr>
                  <w:rStyle w:val="Hyperlink"/>
                  <w:color w:val="FF0000"/>
                </w:rPr>
                <w:t>https://www.ncbi.nlm.nih.gov/pmc/articles/PMC4064258/pdf/nihms583558.pdf</w:t>
              </w:r>
            </w:hyperlink>
            <w:r w:rsidRPr="00BE4925">
              <w:rPr>
                <w:color w:val="FF0000"/>
              </w:rPr>
              <w:t xml:space="preserve"> </w:t>
            </w:r>
          </w:p>
          <w:p w14:paraId="0102BCB3" w14:textId="29B217D5" w:rsidR="00971FFA" w:rsidRDefault="00971FFA" w:rsidP="00A332D2">
            <w:pPr>
              <w:ind w:left="0" w:firstLine="0"/>
              <w:rPr>
                <w:b/>
              </w:rPr>
            </w:pPr>
          </w:p>
          <w:p w14:paraId="21BF095F" w14:textId="77777777" w:rsidR="00971FFA" w:rsidRDefault="00971FFA" w:rsidP="00A332D2">
            <w:pPr>
              <w:ind w:left="0" w:firstLine="0"/>
              <w:rPr>
                <w:color w:val="0000FF"/>
                <w:u w:val="single"/>
              </w:rPr>
            </w:pPr>
            <w:r>
              <w:rPr>
                <w:color w:val="0000FF"/>
                <w:u w:val="single"/>
              </w:rPr>
              <w:t>2013 Submission</w:t>
            </w:r>
          </w:p>
          <w:p w14:paraId="64A028E7" w14:textId="0A17472E" w:rsidR="00971FFA" w:rsidRDefault="00971FFA" w:rsidP="00971FFA">
            <w:pPr>
              <w:ind w:left="0" w:firstLine="0"/>
              <w:rPr>
                <w:color w:val="0000FF"/>
              </w:rPr>
            </w:pPr>
            <w:r>
              <w:rPr>
                <w:color w:val="0000FF"/>
              </w:rPr>
              <w:t xml:space="preserve">American Geriatrics Society (AGS). 2003. Guidelines for Improving the Care of the Older Person with Diabetes Mellitus. California Healthcare Foundation/American Geriatrics Society </w:t>
            </w:r>
            <w:r>
              <w:rPr>
                <w:color w:val="0000FF"/>
              </w:rPr>
              <w:lastRenderedPageBreak/>
              <w:t>Panel on Improving Care for Elders with Diabetes. American</w:t>
            </w:r>
            <w:r w:rsidR="00FA094E">
              <w:rPr>
                <w:color w:val="0000FF"/>
              </w:rPr>
              <w:t xml:space="preserve"> Geriatrics Society. May 200</w:t>
            </w:r>
            <w:r>
              <w:rPr>
                <w:color w:val="0000FF"/>
              </w:rPr>
              <w:t>3; 51, Suppl 5, JAGS</w:t>
            </w:r>
          </w:p>
          <w:p w14:paraId="64043A0B" w14:textId="3340717A" w:rsidR="00971FFA" w:rsidRPr="00971FFA" w:rsidRDefault="00971FFA" w:rsidP="00A332D2">
            <w:pPr>
              <w:ind w:left="0" w:firstLine="0"/>
              <w:rPr>
                <w:color w:val="0000CC"/>
                <w:u w:val="single"/>
              </w:rPr>
            </w:pPr>
            <w:commentRangeStart w:id="6"/>
            <w:r>
              <w:rPr>
                <w:color w:val="0000CC"/>
              </w:rPr>
              <w:t>URL</w:t>
            </w:r>
            <w:r w:rsidRPr="00971FFA">
              <w:rPr>
                <w:color w:val="0000CC"/>
              </w:rPr>
              <w:t xml:space="preserve"> </w:t>
            </w:r>
            <w:commentRangeEnd w:id="6"/>
            <w:r>
              <w:rPr>
                <w:rStyle w:val="CommentReference"/>
              </w:rPr>
              <w:commentReference w:id="6"/>
            </w:r>
          </w:p>
          <w:p w14:paraId="1133B6DA" w14:textId="77777777" w:rsidR="00971FFA" w:rsidRPr="00AB4ECE" w:rsidRDefault="00971FFA" w:rsidP="00A332D2">
            <w:pPr>
              <w:ind w:left="0" w:firstLine="0"/>
              <w:rPr>
                <w:b/>
              </w:rPr>
            </w:pPr>
          </w:p>
        </w:tc>
      </w:tr>
      <w:tr w:rsidR="00971FFA" w14:paraId="36494F06" w14:textId="77777777" w:rsidTr="00971FFA">
        <w:tc>
          <w:tcPr>
            <w:tcW w:w="3325" w:type="dxa"/>
          </w:tcPr>
          <w:p w14:paraId="328761E3" w14:textId="77777777" w:rsidR="00971FFA" w:rsidRDefault="00971FFA" w:rsidP="00A332D2">
            <w:pPr>
              <w:ind w:left="0" w:firstLine="0"/>
            </w:pPr>
            <w:r>
              <w:lastRenderedPageBreak/>
              <w:t>Quote the guideline or recommendation verbatim about the process, structure or intermediate outcome being measured. If not a guideline, summarize the conclusions from the SR.</w:t>
            </w:r>
          </w:p>
        </w:tc>
        <w:tc>
          <w:tcPr>
            <w:tcW w:w="6025" w:type="dxa"/>
          </w:tcPr>
          <w:p w14:paraId="0EC308F3" w14:textId="77777777" w:rsidR="00971FFA" w:rsidRPr="006E4A29" w:rsidRDefault="00971FFA" w:rsidP="00A332D2">
            <w:pPr>
              <w:ind w:left="0" w:firstLine="0"/>
              <w:rPr>
                <w:color w:val="FF0000"/>
                <w:u w:val="single"/>
              </w:rPr>
            </w:pPr>
            <w:r w:rsidRPr="006E4A29">
              <w:rPr>
                <w:color w:val="FF0000"/>
                <w:u w:val="single"/>
              </w:rPr>
              <w:t>2018 Submission</w:t>
            </w:r>
          </w:p>
          <w:p w14:paraId="2C3FD8E9" w14:textId="4C5DEE52" w:rsidR="00BE4925" w:rsidRPr="00C95321" w:rsidRDefault="002E2A07" w:rsidP="00C95321">
            <w:pPr>
              <w:pStyle w:val="ListParagraph"/>
              <w:numPr>
                <w:ilvl w:val="0"/>
                <w:numId w:val="16"/>
              </w:numPr>
              <w:rPr>
                <w:color w:val="FF0000"/>
                <w:u w:val="single"/>
              </w:rPr>
            </w:pPr>
            <w:r>
              <w:rPr>
                <w:color w:val="FF0000"/>
              </w:rPr>
              <w:t>Older adults with DM should have a careful foot examination at least annually to check skin integrity and to determine whether there is loss of sensation or decreased perfusion and more frequently if there is evidence of any of these findings (IIIA)</w:t>
            </w:r>
          </w:p>
          <w:p w14:paraId="084A9296" w14:textId="77777777" w:rsidR="00BE4925" w:rsidRDefault="00971FFA" w:rsidP="00BE4925">
            <w:pPr>
              <w:ind w:left="0" w:firstLine="0"/>
              <w:rPr>
                <w:color w:val="0000CC"/>
              </w:rPr>
            </w:pPr>
            <w:r w:rsidRPr="00971FFA">
              <w:rPr>
                <w:color w:val="0000CC"/>
                <w:u w:val="single"/>
              </w:rPr>
              <w:t>2013 Submission</w:t>
            </w:r>
            <w:r w:rsidRPr="00971FFA">
              <w:rPr>
                <w:color w:val="0000CC"/>
              </w:rPr>
              <w:t xml:space="preserve"> </w:t>
            </w:r>
          </w:p>
          <w:p w14:paraId="057FAB74" w14:textId="1C306976" w:rsidR="00BE4925" w:rsidRPr="00BE4925" w:rsidRDefault="00BE4925" w:rsidP="00BE4925">
            <w:pPr>
              <w:ind w:left="0" w:firstLine="0"/>
              <w:rPr>
                <w:color w:val="0000CC"/>
              </w:rPr>
            </w:pPr>
            <w:r w:rsidRPr="00BE4925">
              <w:rPr>
                <w:color w:val="0000CC"/>
              </w:rPr>
              <w:t>Pg S272</w:t>
            </w:r>
          </w:p>
          <w:p w14:paraId="7EE0B17C" w14:textId="6715D5C8" w:rsidR="00BE4925" w:rsidRPr="00BE4925" w:rsidRDefault="00BE4925" w:rsidP="00BE4925">
            <w:pPr>
              <w:numPr>
                <w:ilvl w:val="0"/>
                <w:numId w:val="12"/>
              </w:numPr>
              <w:rPr>
                <w:color w:val="0000CC"/>
              </w:rPr>
            </w:pPr>
            <w:r w:rsidRPr="00BE4925">
              <w:rPr>
                <w:color w:val="0000CC"/>
              </w:rPr>
              <w:t xml:space="preserve">“The older adult who has DM should have a careful foot examination at least annually to check skin integrity and to determine whether there is bony deformity, loss of sensation, or decreased perfusion and more frequently if there is evidence of any of these findings. (IIIA) There are no RCT data to support examination of the feet at regular intervals to prevent lower-extremity ulceration or amputation, but a randomized trial of an intervention consisting of patient and provider foot-care education and a team approach to foot care found an increase in rates of foot examinations at routine office visits and a reduction in serious foot lesions (odds ratio (OR) = 0.41, </w:t>
            </w:r>
            <w:r w:rsidRPr="00BE4925">
              <w:rPr>
                <w:i/>
                <w:iCs/>
                <w:color w:val="0000CC"/>
              </w:rPr>
              <w:t xml:space="preserve">P </w:t>
            </w:r>
            <w:r w:rsidRPr="00BE4925">
              <w:rPr>
                <w:color w:val="0000CC"/>
              </w:rPr>
              <w:t>=.05).  In addition, several uncontrolled studies have found a reduction in rates of amputation after implementation of comprehensive foot-care programs.  Regular foot examinations permit identification of diabetic neuropathy and foot lesions and may in turn prevent progression to ulcers and amputation, but there are no data to support the optimal interval for evaluation. Most current recommendations specify that the foot examination should</w:t>
            </w:r>
            <w:r>
              <w:rPr>
                <w:color w:val="0000CC"/>
              </w:rPr>
              <w:t xml:space="preserve"> </w:t>
            </w:r>
            <w:r w:rsidRPr="00BE4925">
              <w:rPr>
                <w:color w:val="0000CC"/>
              </w:rPr>
              <w:t>be done at all nonurgent outpatient visits. Quality of evidence is level II for more frequent examinations</w:t>
            </w:r>
            <w:r>
              <w:rPr>
                <w:color w:val="0000CC"/>
              </w:rPr>
              <w:t xml:space="preserve"> </w:t>
            </w:r>
            <w:r w:rsidRPr="00BE4925">
              <w:rPr>
                <w:color w:val="0000CC"/>
              </w:rPr>
              <w:t>for persons at high risk for foot problems and level III for routine annual screening.”</w:t>
            </w:r>
          </w:p>
          <w:p w14:paraId="17E7E502" w14:textId="2568817A" w:rsidR="00BE4925" w:rsidRPr="00971FFA" w:rsidRDefault="00BE4925" w:rsidP="00971FFA">
            <w:pPr>
              <w:ind w:left="0" w:firstLine="0"/>
              <w:rPr>
                <w:color w:val="0000CC"/>
                <w:u w:val="single"/>
              </w:rPr>
            </w:pPr>
          </w:p>
        </w:tc>
      </w:tr>
      <w:tr w:rsidR="00971FFA" w14:paraId="514709F9" w14:textId="77777777" w:rsidTr="00971FFA">
        <w:tc>
          <w:tcPr>
            <w:tcW w:w="3325" w:type="dxa"/>
          </w:tcPr>
          <w:p w14:paraId="35697617" w14:textId="77777777" w:rsidR="00971FFA" w:rsidRDefault="00971FFA" w:rsidP="00A332D2">
            <w:pPr>
              <w:ind w:left="0" w:firstLine="0"/>
            </w:pPr>
            <w:r>
              <w:t xml:space="preserve">Grade assigned to the </w:t>
            </w:r>
            <w:r w:rsidRPr="004E7215">
              <w:rPr>
                <w:b/>
              </w:rPr>
              <w:t>evidence</w:t>
            </w:r>
            <w:r>
              <w:t xml:space="preserve"> associated with the recommendation with the definition of the grade</w:t>
            </w:r>
          </w:p>
        </w:tc>
        <w:tc>
          <w:tcPr>
            <w:tcW w:w="6025" w:type="dxa"/>
          </w:tcPr>
          <w:p w14:paraId="29E43330" w14:textId="77777777" w:rsidR="00971FFA" w:rsidRDefault="00971FFA" w:rsidP="00A332D2">
            <w:pPr>
              <w:ind w:left="0" w:firstLine="0"/>
              <w:rPr>
                <w:color w:val="FF0000"/>
                <w:u w:val="single"/>
              </w:rPr>
            </w:pPr>
            <w:r w:rsidRPr="00465E2D">
              <w:rPr>
                <w:color w:val="FF0000"/>
                <w:u w:val="single"/>
              </w:rPr>
              <w:t>2018 Submission</w:t>
            </w:r>
          </w:p>
          <w:p w14:paraId="6C64ACE3" w14:textId="77777777" w:rsidR="002E2A07" w:rsidRDefault="002E2A07" w:rsidP="002E2A07">
            <w:pPr>
              <w:ind w:left="0" w:firstLine="0"/>
              <w:rPr>
                <w:color w:val="FF0000"/>
              </w:rPr>
            </w:pPr>
            <w:r>
              <w:rPr>
                <w:color w:val="FF0000"/>
              </w:rPr>
              <w:t>Quality of Evidence</w:t>
            </w:r>
          </w:p>
          <w:p w14:paraId="6D497EA4" w14:textId="1A7E5D94" w:rsidR="002E2A07" w:rsidRDefault="002E2A07" w:rsidP="002E2A07">
            <w:pPr>
              <w:pStyle w:val="ListParagraph"/>
              <w:numPr>
                <w:ilvl w:val="0"/>
                <w:numId w:val="17"/>
              </w:numPr>
              <w:rPr>
                <w:color w:val="FF0000"/>
              </w:rPr>
            </w:pPr>
            <w:r w:rsidRPr="005D3845">
              <w:rPr>
                <w:color w:val="FF0000"/>
              </w:rPr>
              <w:t>Le</w:t>
            </w:r>
            <w:r>
              <w:rPr>
                <w:color w:val="FF0000"/>
              </w:rPr>
              <w:t xml:space="preserve">vel III: Evidence from respected authorities based on clinical experience, descriptive studies, or reports of expert </w:t>
            </w:r>
            <w:r w:rsidR="00C95321">
              <w:rPr>
                <w:color w:val="FF0000"/>
              </w:rPr>
              <w:t>committees</w:t>
            </w:r>
          </w:p>
          <w:p w14:paraId="4ABDA3B9" w14:textId="77777777" w:rsidR="002E2A07" w:rsidRDefault="002E2A07" w:rsidP="002E2A07">
            <w:pPr>
              <w:rPr>
                <w:color w:val="FF0000"/>
              </w:rPr>
            </w:pPr>
            <w:r>
              <w:rPr>
                <w:color w:val="FF0000"/>
              </w:rPr>
              <w:t>Strength of Evidence</w:t>
            </w:r>
          </w:p>
          <w:p w14:paraId="683ECC4B" w14:textId="77777777" w:rsidR="002E2A07" w:rsidRPr="005D3845" w:rsidRDefault="002E2A07" w:rsidP="002E2A07">
            <w:pPr>
              <w:numPr>
                <w:ilvl w:val="0"/>
                <w:numId w:val="17"/>
              </w:numPr>
              <w:rPr>
                <w:color w:val="FF0000"/>
              </w:rPr>
            </w:pPr>
            <w:r w:rsidRPr="005D3845">
              <w:rPr>
                <w:color w:val="FF0000"/>
              </w:rPr>
              <w:t>A: Good evidence to support the use of a recommendation; clinicians should do this all the time</w:t>
            </w:r>
          </w:p>
          <w:p w14:paraId="15469DEA" w14:textId="080C2999" w:rsidR="00971FFA" w:rsidRDefault="00971FFA" w:rsidP="00A332D2">
            <w:pPr>
              <w:ind w:left="0" w:firstLine="0"/>
              <w:rPr>
                <w:color w:val="FF0000"/>
              </w:rPr>
            </w:pPr>
          </w:p>
          <w:p w14:paraId="5124D533" w14:textId="77777777" w:rsidR="00971FFA" w:rsidRPr="006B5E44" w:rsidRDefault="00971FFA" w:rsidP="00A332D2">
            <w:pPr>
              <w:ind w:left="0" w:firstLine="0"/>
              <w:rPr>
                <w:color w:val="0000CC"/>
                <w:u w:val="single"/>
              </w:rPr>
            </w:pPr>
            <w:r w:rsidRPr="006B5E44">
              <w:rPr>
                <w:color w:val="0000CC"/>
                <w:u w:val="single"/>
              </w:rPr>
              <w:t>2013 Submission</w:t>
            </w:r>
          </w:p>
          <w:p w14:paraId="0D13F267" w14:textId="77777777" w:rsidR="00971FFA" w:rsidRPr="006B5E44" w:rsidRDefault="00971FFA" w:rsidP="00A332D2">
            <w:pPr>
              <w:ind w:left="0" w:firstLine="0"/>
              <w:rPr>
                <w:color w:val="FF0000"/>
              </w:rPr>
            </w:pPr>
            <w:r w:rsidRPr="006B5E44">
              <w:rPr>
                <w:color w:val="0000CC"/>
              </w:rPr>
              <w:t>Same as above</w:t>
            </w:r>
          </w:p>
        </w:tc>
      </w:tr>
      <w:tr w:rsidR="00971FFA" w14:paraId="31D6763A" w14:textId="77777777" w:rsidTr="00971FFA">
        <w:tc>
          <w:tcPr>
            <w:tcW w:w="3325" w:type="dxa"/>
          </w:tcPr>
          <w:p w14:paraId="2D5663E9" w14:textId="77777777" w:rsidR="00971FFA" w:rsidRDefault="00971FFA" w:rsidP="00A332D2">
            <w:pPr>
              <w:ind w:left="0" w:firstLine="0"/>
            </w:pPr>
            <w:r>
              <w:lastRenderedPageBreak/>
              <w:t>Provide all other grades and definitions from the evidence grading system</w:t>
            </w:r>
          </w:p>
        </w:tc>
        <w:tc>
          <w:tcPr>
            <w:tcW w:w="6025" w:type="dxa"/>
          </w:tcPr>
          <w:p w14:paraId="66439BF0" w14:textId="77777777" w:rsidR="00971FFA" w:rsidRDefault="00971FFA" w:rsidP="00A332D2">
            <w:pPr>
              <w:ind w:left="0" w:firstLine="0"/>
              <w:rPr>
                <w:color w:val="000000" w:themeColor="text1"/>
                <w:u w:val="single"/>
              </w:rPr>
            </w:pPr>
            <w:r w:rsidRPr="00465E2D">
              <w:rPr>
                <w:color w:val="FF0000"/>
                <w:u w:val="single"/>
              </w:rPr>
              <w:t xml:space="preserve">2018 Submission </w:t>
            </w:r>
            <w:r w:rsidRPr="00465E2D">
              <w:rPr>
                <w:color w:val="000000" w:themeColor="text1"/>
                <w:u w:val="single"/>
              </w:rPr>
              <w:t xml:space="preserve"> </w:t>
            </w:r>
          </w:p>
          <w:p w14:paraId="184D6E0F" w14:textId="77777777" w:rsidR="002E2A07" w:rsidRDefault="002E2A07" w:rsidP="002E2A07">
            <w:pPr>
              <w:ind w:left="0" w:firstLine="0"/>
              <w:rPr>
                <w:color w:val="FF0000"/>
              </w:rPr>
            </w:pPr>
            <w:r>
              <w:rPr>
                <w:color w:val="FF0000"/>
              </w:rPr>
              <w:t>Quality of Evidence</w:t>
            </w:r>
          </w:p>
          <w:p w14:paraId="6D840399" w14:textId="77777777" w:rsidR="002E2A07" w:rsidRDefault="002E2A07" w:rsidP="002E2A07">
            <w:pPr>
              <w:pStyle w:val="ListParagraph"/>
              <w:numPr>
                <w:ilvl w:val="0"/>
                <w:numId w:val="18"/>
              </w:numPr>
              <w:rPr>
                <w:color w:val="FF0000"/>
              </w:rPr>
            </w:pPr>
            <w:r>
              <w:rPr>
                <w:color w:val="FF0000"/>
              </w:rPr>
              <w:t>Level I: Evidence from at least one properly randomized controlled trial</w:t>
            </w:r>
          </w:p>
          <w:p w14:paraId="7C8AEFBA" w14:textId="1C367EF3" w:rsidR="002E2A07" w:rsidRDefault="002E2A07" w:rsidP="002E2A07">
            <w:pPr>
              <w:pStyle w:val="ListParagraph"/>
              <w:numPr>
                <w:ilvl w:val="0"/>
                <w:numId w:val="18"/>
              </w:numPr>
              <w:rPr>
                <w:color w:val="FF0000"/>
              </w:rPr>
            </w:pPr>
            <w:r>
              <w:rPr>
                <w:color w:val="FF0000"/>
              </w:rPr>
              <w:t>Level II: Evidence from at least one well-designed clinical trial without randomization, from cohort or case-controlled analytical studies, from multiple time-series, or from dramatic results in uncontrolled experiments</w:t>
            </w:r>
          </w:p>
          <w:p w14:paraId="5ADA8472" w14:textId="77777777" w:rsidR="002E2A07" w:rsidRDefault="002E2A07" w:rsidP="002E2A07">
            <w:pPr>
              <w:rPr>
                <w:color w:val="FF0000"/>
              </w:rPr>
            </w:pPr>
            <w:r>
              <w:rPr>
                <w:color w:val="FF0000"/>
              </w:rPr>
              <w:t>Strength of Evidence</w:t>
            </w:r>
          </w:p>
          <w:p w14:paraId="72A0A8F9" w14:textId="77777777" w:rsidR="002E2A07" w:rsidRDefault="002E2A07" w:rsidP="002E2A07">
            <w:pPr>
              <w:pStyle w:val="ListParagraph"/>
              <w:numPr>
                <w:ilvl w:val="0"/>
                <w:numId w:val="18"/>
              </w:numPr>
              <w:rPr>
                <w:color w:val="FF0000"/>
              </w:rPr>
            </w:pPr>
            <w:r>
              <w:rPr>
                <w:color w:val="FF0000"/>
              </w:rPr>
              <w:t>B: Moderate evidence to support the use of a recommendation clinicians “should do this most of the time”</w:t>
            </w:r>
          </w:p>
          <w:p w14:paraId="47AA43B2" w14:textId="77777777" w:rsidR="002E2A07" w:rsidRDefault="002E2A07" w:rsidP="002E2A07">
            <w:pPr>
              <w:pStyle w:val="ListParagraph"/>
              <w:numPr>
                <w:ilvl w:val="0"/>
                <w:numId w:val="18"/>
              </w:numPr>
              <w:rPr>
                <w:color w:val="FF0000"/>
              </w:rPr>
            </w:pPr>
            <w:r w:rsidRPr="002E2A07">
              <w:rPr>
                <w:color w:val="FF0000"/>
              </w:rPr>
              <w:t>C: Poor evidence to support or to reject the use of a recommendation; clinicians may or may not follow the recommendation</w:t>
            </w:r>
          </w:p>
          <w:p w14:paraId="3D371C86" w14:textId="77777777" w:rsidR="002E2A07" w:rsidRDefault="002E2A07" w:rsidP="002E2A07">
            <w:pPr>
              <w:pStyle w:val="ListParagraph"/>
              <w:numPr>
                <w:ilvl w:val="0"/>
                <w:numId w:val="18"/>
              </w:numPr>
              <w:rPr>
                <w:color w:val="FF0000"/>
              </w:rPr>
            </w:pPr>
            <w:r w:rsidRPr="002E2A07">
              <w:rPr>
                <w:color w:val="FF0000"/>
              </w:rPr>
              <w:t>D: Moderate evidence against the use of a recommendation; clinicians should not do this</w:t>
            </w:r>
          </w:p>
          <w:p w14:paraId="6E5B0973" w14:textId="7DCA0D16" w:rsidR="00971FFA" w:rsidRPr="002E2A07" w:rsidRDefault="002E2A07" w:rsidP="00A332D2">
            <w:pPr>
              <w:pStyle w:val="ListParagraph"/>
              <w:numPr>
                <w:ilvl w:val="0"/>
                <w:numId w:val="18"/>
              </w:numPr>
              <w:rPr>
                <w:color w:val="FF0000"/>
              </w:rPr>
            </w:pPr>
            <w:r w:rsidRPr="002E2A07">
              <w:rPr>
                <w:color w:val="FF0000"/>
              </w:rPr>
              <w:t>E: Good evidence against the use of a recommendation; clinicians should not do this</w:t>
            </w:r>
          </w:p>
          <w:p w14:paraId="35867C7C" w14:textId="77777777" w:rsidR="00971FFA" w:rsidRPr="006B5E44" w:rsidRDefault="00971FFA" w:rsidP="00A332D2">
            <w:pPr>
              <w:rPr>
                <w:color w:val="0000CC"/>
                <w:u w:val="single"/>
              </w:rPr>
            </w:pPr>
            <w:r w:rsidRPr="006B5E44">
              <w:rPr>
                <w:color w:val="0000CC"/>
                <w:u w:val="single"/>
              </w:rPr>
              <w:t>2013 Submission</w:t>
            </w:r>
          </w:p>
          <w:p w14:paraId="73702F60" w14:textId="162D8577" w:rsidR="00971FFA" w:rsidRDefault="002E2A07" w:rsidP="00971FFA">
            <w:r w:rsidRPr="002E2A07">
              <w:rPr>
                <w:color w:val="0033CC"/>
              </w:rPr>
              <w:t>Same as above</w:t>
            </w:r>
          </w:p>
        </w:tc>
      </w:tr>
      <w:tr w:rsidR="00971FFA" w14:paraId="2E495F86" w14:textId="77777777" w:rsidTr="00971FFA">
        <w:tc>
          <w:tcPr>
            <w:tcW w:w="3325" w:type="dxa"/>
          </w:tcPr>
          <w:p w14:paraId="0B826EC2" w14:textId="77777777" w:rsidR="00971FFA" w:rsidRDefault="00971FFA" w:rsidP="00A332D2">
            <w:pPr>
              <w:ind w:left="0" w:firstLine="0"/>
            </w:pPr>
            <w:r>
              <w:t xml:space="preserve">Grade assigned to the </w:t>
            </w:r>
            <w:r w:rsidRPr="004E7215">
              <w:rPr>
                <w:b/>
              </w:rPr>
              <w:t>recommendation</w:t>
            </w:r>
            <w:r>
              <w:t xml:space="preserve"> with definition of the grade</w:t>
            </w:r>
          </w:p>
        </w:tc>
        <w:tc>
          <w:tcPr>
            <w:tcW w:w="6025" w:type="dxa"/>
          </w:tcPr>
          <w:p w14:paraId="25DFBA3B" w14:textId="77777777" w:rsidR="00971FFA" w:rsidRPr="00687BD6" w:rsidRDefault="00971FFA" w:rsidP="00A332D2">
            <w:pPr>
              <w:ind w:left="0" w:firstLine="0"/>
              <w:rPr>
                <w:color w:val="FF0000"/>
                <w:u w:val="single"/>
              </w:rPr>
            </w:pPr>
            <w:r w:rsidRPr="00687BD6">
              <w:rPr>
                <w:color w:val="FF0000"/>
                <w:u w:val="single"/>
              </w:rPr>
              <w:t>2018 Submission</w:t>
            </w:r>
          </w:p>
          <w:p w14:paraId="12F8344A" w14:textId="77777777" w:rsidR="00971FFA" w:rsidRDefault="00971FFA" w:rsidP="00A332D2">
            <w:pPr>
              <w:ind w:left="0" w:firstLine="0"/>
              <w:rPr>
                <w:color w:val="FF0000"/>
              </w:rPr>
            </w:pPr>
            <w:r>
              <w:rPr>
                <w:color w:val="FF0000"/>
              </w:rPr>
              <w:t>No additional grading was provided for the recommendations aside from what is described above</w:t>
            </w:r>
          </w:p>
          <w:p w14:paraId="56FABFF7" w14:textId="77777777" w:rsidR="00971FFA" w:rsidRDefault="00971FFA" w:rsidP="00A332D2">
            <w:pPr>
              <w:ind w:left="0" w:firstLine="0"/>
            </w:pPr>
          </w:p>
          <w:p w14:paraId="6CA352B3" w14:textId="77777777" w:rsidR="00971FFA" w:rsidRPr="00687BD6" w:rsidRDefault="00971FFA" w:rsidP="00A332D2">
            <w:pPr>
              <w:ind w:left="0" w:firstLine="0"/>
              <w:rPr>
                <w:color w:val="0000FF"/>
                <w:u w:val="single"/>
              </w:rPr>
            </w:pPr>
            <w:r w:rsidRPr="00687BD6">
              <w:rPr>
                <w:color w:val="0000FF"/>
                <w:u w:val="single"/>
              </w:rPr>
              <w:t>2013 Submission</w:t>
            </w:r>
          </w:p>
          <w:p w14:paraId="50A8936A" w14:textId="77777777" w:rsidR="00971FFA" w:rsidRPr="00D63A3D" w:rsidRDefault="00971FFA" w:rsidP="00A332D2">
            <w:pPr>
              <w:ind w:left="0" w:firstLine="0"/>
              <w:rPr>
                <w:color w:val="0000CC"/>
              </w:rPr>
            </w:pPr>
            <w:r w:rsidRPr="00D63A3D">
              <w:rPr>
                <w:color w:val="0000CC"/>
              </w:rPr>
              <w:t>No additional grading was provided for the recommendations aside from what is described above</w:t>
            </w:r>
          </w:p>
          <w:p w14:paraId="6E2C230B" w14:textId="77777777" w:rsidR="00971FFA" w:rsidRDefault="00971FFA" w:rsidP="00A332D2">
            <w:pPr>
              <w:ind w:left="0" w:firstLine="0"/>
            </w:pPr>
          </w:p>
        </w:tc>
      </w:tr>
      <w:tr w:rsidR="00971FFA" w14:paraId="0DEB9715" w14:textId="77777777" w:rsidTr="00971FFA">
        <w:tc>
          <w:tcPr>
            <w:tcW w:w="3325" w:type="dxa"/>
          </w:tcPr>
          <w:p w14:paraId="4FE25B57" w14:textId="77777777" w:rsidR="00971FFA" w:rsidRDefault="00971FFA" w:rsidP="00A332D2">
            <w:pPr>
              <w:ind w:left="0" w:firstLine="0"/>
            </w:pPr>
            <w:r>
              <w:t>Provide all other grades and definitions from the recommendation grading system</w:t>
            </w:r>
          </w:p>
        </w:tc>
        <w:tc>
          <w:tcPr>
            <w:tcW w:w="6025" w:type="dxa"/>
          </w:tcPr>
          <w:p w14:paraId="39D6F345" w14:textId="77777777" w:rsidR="00971FFA" w:rsidRPr="00687BD6" w:rsidRDefault="00971FFA" w:rsidP="00A332D2">
            <w:pPr>
              <w:ind w:left="0" w:firstLine="0"/>
              <w:rPr>
                <w:color w:val="FF0000"/>
                <w:u w:val="single"/>
              </w:rPr>
            </w:pPr>
            <w:r w:rsidRPr="00687BD6">
              <w:rPr>
                <w:color w:val="FF0000"/>
                <w:u w:val="single"/>
              </w:rPr>
              <w:t>2018 Submission</w:t>
            </w:r>
          </w:p>
          <w:p w14:paraId="063F6FAB" w14:textId="77777777" w:rsidR="00971FFA" w:rsidRDefault="00971FFA" w:rsidP="00A332D2">
            <w:pPr>
              <w:ind w:left="0" w:firstLine="0"/>
              <w:rPr>
                <w:color w:val="FF0000"/>
              </w:rPr>
            </w:pPr>
            <w:r>
              <w:rPr>
                <w:color w:val="FF0000"/>
              </w:rPr>
              <w:t>No additional grading was provided for the recommendations aside from what is described above</w:t>
            </w:r>
          </w:p>
          <w:p w14:paraId="4AAB9F2E" w14:textId="77777777" w:rsidR="00971FFA" w:rsidRDefault="00971FFA" w:rsidP="00A332D2">
            <w:pPr>
              <w:ind w:left="0" w:firstLine="0"/>
            </w:pPr>
          </w:p>
          <w:p w14:paraId="35067A0F" w14:textId="77777777" w:rsidR="00971FFA" w:rsidRPr="00687BD6" w:rsidRDefault="00971FFA" w:rsidP="00A332D2">
            <w:pPr>
              <w:ind w:left="0" w:firstLine="0"/>
              <w:rPr>
                <w:color w:val="0000FF"/>
                <w:u w:val="single"/>
              </w:rPr>
            </w:pPr>
            <w:r w:rsidRPr="00687BD6">
              <w:rPr>
                <w:color w:val="0000FF"/>
                <w:u w:val="single"/>
              </w:rPr>
              <w:t>2013 Submission</w:t>
            </w:r>
          </w:p>
          <w:p w14:paraId="54855CD3" w14:textId="77777777" w:rsidR="00971FFA" w:rsidRPr="00D63A3D" w:rsidRDefault="00971FFA" w:rsidP="00A332D2">
            <w:pPr>
              <w:ind w:left="0" w:firstLine="0"/>
              <w:rPr>
                <w:color w:val="0000CC"/>
              </w:rPr>
            </w:pPr>
            <w:r w:rsidRPr="00D63A3D">
              <w:rPr>
                <w:color w:val="0000CC"/>
              </w:rPr>
              <w:t>No additional grading was provided for the recommendations aside from what is described above</w:t>
            </w:r>
          </w:p>
          <w:p w14:paraId="1B470084" w14:textId="77777777" w:rsidR="00971FFA" w:rsidRDefault="00971FFA" w:rsidP="00A332D2">
            <w:pPr>
              <w:ind w:left="0" w:firstLine="0"/>
            </w:pPr>
          </w:p>
        </w:tc>
      </w:tr>
      <w:tr w:rsidR="00971FFA" w14:paraId="5D2C7251" w14:textId="77777777" w:rsidTr="00971FFA">
        <w:tc>
          <w:tcPr>
            <w:tcW w:w="3325" w:type="dxa"/>
          </w:tcPr>
          <w:p w14:paraId="220FACEA" w14:textId="77777777" w:rsidR="00971FFA" w:rsidRDefault="00971FFA" w:rsidP="00A332D2">
            <w:pPr>
              <w:ind w:left="0" w:firstLine="0"/>
            </w:pPr>
            <w:r>
              <w:t>Body of evidence:</w:t>
            </w:r>
          </w:p>
          <w:p w14:paraId="4E694DE5" w14:textId="77777777" w:rsidR="00971FFA" w:rsidRDefault="00971FFA" w:rsidP="00A332D2">
            <w:pPr>
              <w:pStyle w:val="ListParagraph"/>
              <w:numPr>
                <w:ilvl w:val="0"/>
                <w:numId w:val="10"/>
              </w:numPr>
            </w:pPr>
            <w:r>
              <w:t>Quantity – how many studies?</w:t>
            </w:r>
          </w:p>
          <w:p w14:paraId="38DE2F92" w14:textId="77777777" w:rsidR="00971FFA" w:rsidRDefault="00971FFA" w:rsidP="00A332D2">
            <w:pPr>
              <w:pStyle w:val="ListParagraph"/>
              <w:numPr>
                <w:ilvl w:val="0"/>
                <w:numId w:val="10"/>
              </w:numPr>
            </w:pPr>
            <w:r>
              <w:lastRenderedPageBreak/>
              <w:t>Quality – what type of studies?</w:t>
            </w:r>
          </w:p>
        </w:tc>
        <w:tc>
          <w:tcPr>
            <w:tcW w:w="6025" w:type="dxa"/>
          </w:tcPr>
          <w:p w14:paraId="3ED3C4AA" w14:textId="2DECACEC" w:rsidR="00971FFA" w:rsidRDefault="002E2A07" w:rsidP="00A332D2">
            <w:pPr>
              <w:ind w:left="0" w:firstLine="0"/>
            </w:pPr>
            <w:r w:rsidRPr="0098701A">
              <w:rPr>
                <w:color w:val="FF0000"/>
              </w:rPr>
              <w:lastRenderedPageBreak/>
              <w:t xml:space="preserve">The </w:t>
            </w:r>
            <w:r>
              <w:rPr>
                <w:color w:val="FF0000"/>
              </w:rPr>
              <w:t>AGS</w:t>
            </w:r>
            <w:r w:rsidRPr="0098701A">
              <w:rPr>
                <w:color w:val="FF0000"/>
              </w:rPr>
              <w:t xml:space="preserve"> does not provide information on the systematic revi</w:t>
            </w:r>
            <w:r>
              <w:rPr>
                <w:color w:val="FF0000"/>
              </w:rPr>
              <w:t xml:space="preserve">ew conducted to support its </w:t>
            </w:r>
            <w:r w:rsidRPr="0098701A">
              <w:rPr>
                <w:color w:val="FF0000"/>
              </w:rPr>
              <w:t xml:space="preserve">guideline and the recommendations mentioned above. In lieu of the </w:t>
            </w:r>
            <w:r>
              <w:rPr>
                <w:color w:val="FF0000"/>
              </w:rPr>
              <w:t>AGS</w:t>
            </w:r>
            <w:r w:rsidRPr="0098701A">
              <w:rPr>
                <w:color w:val="FF0000"/>
              </w:rPr>
              <w:t xml:space="preserve"> systematic review, we provide information on two other systematic reviews that support the </w:t>
            </w:r>
            <w:r>
              <w:rPr>
                <w:color w:val="FF0000"/>
              </w:rPr>
              <w:t>AGS</w:t>
            </w:r>
            <w:r w:rsidRPr="0098701A">
              <w:rPr>
                <w:color w:val="FF0000"/>
              </w:rPr>
              <w:t>’s recommendations in Table 4.</w:t>
            </w:r>
          </w:p>
        </w:tc>
      </w:tr>
      <w:tr w:rsidR="00971FFA" w14:paraId="386D7001" w14:textId="77777777" w:rsidTr="00971FFA">
        <w:tc>
          <w:tcPr>
            <w:tcW w:w="3325" w:type="dxa"/>
          </w:tcPr>
          <w:p w14:paraId="0D2A6EFC" w14:textId="77777777" w:rsidR="00971FFA" w:rsidRDefault="00971FFA" w:rsidP="00A332D2">
            <w:pPr>
              <w:ind w:left="0" w:firstLine="0"/>
            </w:pPr>
            <w:r>
              <w:t xml:space="preserve">Estimates of benefit and consistency across studies </w:t>
            </w:r>
          </w:p>
        </w:tc>
        <w:tc>
          <w:tcPr>
            <w:tcW w:w="6025" w:type="dxa"/>
          </w:tcPr>
          <w:p w14:paraId="2FF0800E" w14:textId="2026BB66" w:rsidR="00971FFA" w:rsidRPr="00971FFA" w:rsidRDefault="002E2A07" w:rsidP="00A332D2">
            <w:pPr>
              <w:ind w:left="0" w:firstLine="0"/>
              <w:rPr>
                <w:color w:val="FF0000"/>
              </w:rPr>
            </w:pPr>
            <w:r>
              <w:rPr>
                <w:color w:val="FF0000"/>
              </w:rPr>
              <w:t>See Table 3</w:t>
            </w:r>
            <w:r w:rsidR="00971FFA">
              <w:rPr>
                <w:color w:val="FF0000"/>
              </w:rPr>
              <w:t xml:space="preserve"> below</w:t>
            </w:r>
          </w:p>
        </w:tc>
      </w:tr>
      <w:tr w:rsidR="00971FFA" w14:paraId="46D06A52" w14:textId="77777777" w:rsidTr="00971FFA">
        <w:tc>
          <w:tcPr>
            <w:tcW w:w="3325" w:type="dxa"/>
          </w:tcPr>
          <w:p w14:paraId="596EA4D0" w14:textId="77777777" w:rsidR="00971FFA" w:rsidRDefault="00971FFA" w:rsidP="00A332D2">
            <w:pPr>
              <w:ind w:left="0" w:firstLine="0"/>
            </w:pPr>
            <w:r>
              <w:t>What harms were identified?</w:t>
            </w:r>
          </w:p>
        </w:tc>
        <w:tc>
          <w:tcPr>
            <w:tcW w:w="6025" w:type="dxa"/>
          </w:tcPr>
          <w:p w14:paraId="04B5A039" w14:textId="3A1D4B61" w:rsidR="00971FFA" w:rsidRDefault="00971FFA" w:rsidP="00A332D2">
            <w:pPr>
              <w:ind w:left="0" w:firstLine="0"/>
            </w:pPr>
            <w:r w:rsidRPr="00971FFA">
              <w:rPr>
                <w:color w:val="FF0000"/>
              </w:rPr>
              <w:t>See Ta</w:t>
            </w:r>
            <w:r w:rsidR="002E2A07">
              <w:rPr>
                <w:color w:val="FF0000"/>
              </w:rPr>
              <w:t xml:space="preserve">ble 3 </w:t>
            </w:r>
            <w:r w:rsidRPr="00971FFA">
              <w:rPr>
                <w:color w:val="FF0000"/>
              </w:rPr>
              <w:t>below</w:t>
            </w:r>
          </w:p>
        </w:tc>
      </w:tr>
      <w:tr w:rsidR="00971FFA" w14:paraId="6CDB8B5D" w14:textId="77777777" w:rsidTr="00971FFA">
        <w:tc>
          <w:tcPr>
            <w:tcW w:w="3325" w:type="dxa"/>
          </w:tcPr>
          <w:p w14:paraId="448BADCC" w14:textId="77777777" w:rsidR="00971FFA" w:rsidRDefault="00971FFA" w:rsidP="00A332D2">
            <w:pPr>
              <w:ind w:left="0" w:firstLine="0"/>
            </w:pPr>
            <w:r>
              <w:t>Identify any new studies conducted since the SR. Do the new studies change the conclusions from the SR?</w:t>
            </w:r>
          </w:p>
        </w:tc>
        <w:tc>
          <w:tcPr>
            <w:tcW w:w="6025" w:type="dxa"/>
          </w:tcPr>
          <w:p w14:paraId="3D973510" w14:textId="77777777" w:rsidR="00971FFA" w:rsidRDefault="00971FFA" w:rsidP="00A332D2">
            <w:pPr>
              <w:ind w:left="0" w:firstLine="0"/>
            </w:pPr>
            <w:r w:rsidRPr="00971FFA">
              <w:rPr>
                <w:color w:val="FF0000"/>
              </w:rPr>
              <w:t>N/A</w:t>
            </w:r>
          </w:p>
        </w:tc>
      </w:tr>
    </w:tbl>
    <w:p w14:paraId="6901E0A6" w14:textId="5D3E5F58" w:rsidR="00971FFA" w:rsidRDefault="00971FFA" w:rsidP="002E2177">
      <w:pPr>
        <w:ind w:left="0" w:firstLine="0"/>
      </w:pPr>
    </w:p>
    <w:p w14:paraId="0F529D7D" w14:textId="018C7908" w:rsidR="00C95321" w:rsidRPr="00891EE7" w:rsidRDefault="00C95321" w:rsidP="00C95321">
      <w:pPr>
        <w:ind w:left="0" w:firstLine="0"/>
        <w:rPr>
          <w:color w:val="FF0000"/>
        </w:rPr>
      </w:pPr>
      <w:r>
        <w:rPr>
          <w:color w:val="FF0000"/>
        </w:rPr>
        <w:t>Table 3</w:t>
      </w:r>
      <w:r w:rsidRPr="00891EE7">
        <w:rPr>
          <w:color w:val="FF0000"/>
        </w:rPr>
        <w:t>. Additional Systematic Reviews</w:t>
      </w:r>
    </w:p>
    <w:tbl>
      <w:tblPr>
        <w:tblStyle w:val="TableGrid"/>
        <w:tblW w:w="9373" w:type="dxa"/>
        <w:tblLayout w:type="fixed"/>
        <w:tblLook w:val="04A0" w:firstRow="1" w:lastRow="0" w:firstColumn="1" w:lastColumn="0" w:noHBand="0" w:noVBand="1"/>
      </w:tblPr>
      <w:tblGrid>
        <w:gridCol w:w="1885"/>
        <w:gridCol w:w="7488"/>
      </w:tblGrid>
      <w:tr w:rsidR="00C95321" w:rsidRPr="00891EE7" w14:paraId="4F0C4364" w14:textId="77777777" w:rsidTr="00A332D2">
        <w:tc>
          <w:tcPr>
            <w:tcW w:w="1885" w:type="dxa"/>
          </w:tcPr>
          <w:p w14:paraId="6F707735" w14:textId="77777777" w:rsidR="00C95321" w:rsidRPr="00DC4956" w:rsidRDefault="00C95321" w:rsidP="00A332D2">
            <w:pPr>
              <w:ind w:left="0" w:firstLine="0"/>
              <w:rPr>
                <w:b/>
                <w:color w:val="FF0000"/>
              </w:rPr>
            </w:pPr>
            <w:r w:rsidRPr="00DC4956">
              <w:rPr>
                <w:b/>
                <w:color w:val="FF0000"/>
              </w:rPr>
              <w:t>Citations</w:t>
            </w:r>
          </w:p>
        </w:tc>
        <w:tc>
          <w:tcPr>
            <w:tcW w:w="7488" w:type="dxa"/>
          </w:tcPr>
          <w:p w14:paraId="4D9586E4" w14:textId="77777777" w:rsidR="00C95321" w:rsidRPr="00C95321" w:rsidRDefault="00C95321" w:rsidP="00C95321">
            <w:pPr>
              <w:ind w:left="0" w:firstLine="0"/>
              <w:rPr>
                <w:color w:val="FF0000"/>
              </w:rPr>
            </w:pPr>
            <w:r w:rsidRPr="00C95321">
              <w:rPr>
                <w:color w:val="FF0000"/>
              </w:rPr>
              <w:t>Singh, N., Armstrong, D. G., &amp; Lipsky, B. A. (2005). Preventing foot ulcers in patients with diabetes. </w:t>
            </w:r>
            <w:r w:rsidRPr="00C95321">
              <w:rPr>
                <w:i/>
                <w:iCs/>
                <w:color w:val="FF0000"/>
              </w:rPr>
              <w:t>JAMA: the journal of the American Medical Association</w:t>
            </w:r>
            <w:r w:rsidRPr="00C95321">
              <w:rPr>
                <w:color w:val="FF0000"/>
              </w:rPr>
              <w:t>,</w:t>
            </w:r>
            <w:r w:rsidRPr="00C95321">
              <w:rPr>
                <w:i/>
                <w:iCs/>
                <w:color w:val="FF0000"/>
              </w:rPr>
              <w:t>293</w:t>
            </w:r>
            <w:r w:rsidRPr="00C95321">
              <w:rPr>
                <w:color w:val="FF0000"/>
              </w:rPr>
              <w:t>(2), 217-228.</w:t>
            </w:r>
          </w:p>
          <w:p w14:paraId="37839C34" w14:textId="77777777" w:rsidR="00C95321" w:rsidRPr="00891EE7" w:rsidRDefault="00C95321" w:rsidP="00C95321">
            <w:pPr>
              <w:ind w:left="0" w:firstLine="0"/>
              <w:rPr>
                <w:color w:val="FF0000"/>
              </w:rPr>
            </w:pPr>
          </w:p>
        </w:tc>
      </w:tr>
      <w:tr w:rsidR="00C95321" w:rsidRPr="00891EE7" w14:paraId="038E232A" w14:textId="77777777" w:rsidTr="00A332D2">
        <w:tc>
          <w:tcPr>
            <w:tcW w:w="1885" w:type="dxa"/>
          </w:tcPr>
          <w:p w14:paraId="24823EA1" w14:textId="77777777" w:rsidR="00C95321" w:rsidRPr="00891EE7" w:rsidRDefault="00C95321" w:rsidP="00A332D2">
            <w:pPr>
              <w:ind w:left="0" w:firstLine="0"/>
              <w:rPr>
                <w:b/>
                <w:color w:val="FF0000"/>
              </w:rPr>
            </w:pPr>
            <w:r w:rsidRPr="00891EE7">
              <w:rPr>
                <w:b/>
                <w:color w:val="FF0000"/>
              </w:rPr>
              <w:t>What was the specific structure, treatment, intervention, service, or intermediate outcome addressed in the evidence review?</w:t>
            </w:r>
          </w:p>
        </w:tc>
        <w:tc>
          <w:tcPr>
            <w:tcW w:w="7488" w:type="dxa"/>
          </w:tcPr>
          <w:p w14:paraId="4E6BAC72" w14:textId="77777777" w:rsidR="00C95321" w:rsidRPr="00C95321" w:rsidRDefault="00C95321" w:rsidP="00C95321">
            <w:pPr>
              <w:ind w:left="0" w:firstLine="0"/>
              <w:rPr>
                <w:color w:val="FF0000"/>
              </w:rPr>
            </w:pPr>
            <w:r w:rsidRPr="00C95321">
              <w:rPr>
                <w:color w:val="FF0000"/>
              </w:rPr>
              <w:t xml:space="preserve">This systematic evidence review focused on the efficacy of methods advocated for preventing diabetic foot ulcers. We will present the evidence for the efficacy of screening to identify patients at risk for diabetic foot ulcers and two specific clinical interventions to prevent foot ulcers (foot examination by a clinician and foot specialist/multidisciplinary care team).  Additional information (not presented here) can be found in the review on the effectiveness of optimizing glycemic control, smoking cessation, custom footwear, debridement of calluses, and surgery on reducing the incidence of foot ulcers. </w:t>
            </w:r>
          </w:p>
          <w:p w14:paraId="33A95E29" w14:textId="37EE5CD2" w:rsidR="00C95321" w:rsidRPr="00891EE7" w:rsidRDefault="00C95321" w:rsidP="00A332D2">
            <w:pPr>
              <w:ind w:left="0" w:firstLine="0"/>
              <w:rPr>
                <w:color w:val="FF0000"/>
              </w:rPr>
            </w:pPr>
          </w:p>
        </w:tc>
      </w:tr>
      <w:tr w:rsidR="00C95321" w:rsidRPr="00891EE7" w14:paraId="62731BC6" w14:textId="77777777" w:rsidTr="00A332D2">
        <w:tc>
          <w:tcPr>
            <w:tcW w:w="1885" w:type="dxa"/>
          </w:tcPr>
          <w:p w14:paraId="7EE7B4AE" w14:textId="77777777" w:rsidR="00C95321" w:rsidRPr="00891EE7" w:rsidRDefault="00C95321" w:rsidP="00A332D2">
            <w:pPr>
              <w:ind w:left="0" w:firstLine="0"/>
              <w:rPr>
                <w:b/>
                <w:color w:val="FF0000"/>
              </w:rPr>
            </w:pPr>
            <w:r w:rsidRPr="00891EE7">
              <w:rPr>
                <w:b/>
                <w:color w:val="FF0000"/>
              </w:rPr>
              <w:t>Grade assigned for the quality of the quoted evidence with definition of the grade</w:t>
            </w:r>
          </w:p>
        </w:tc>
        <w:tc>
          <w:tcPr>
            <w:tcW w:w="7488" w:type="dxa"/>
          </w:tcPr>
          <w:p w14:paraId="2BD69732" w14:textId="02978A57" w:rsidR="00C95321" w:rsidRPr="00891EE7" w:rsidRDefault="00C95321" w:rsidP="00A332D2">
            <w:pPr>
              <w:ind w:left="0" w:firstLine="0"/>
              <w:rPr>
                <w:color w:val="FF0000"/>
              </w:rPr>
            </w:pPr>
            <w:r>
              <w:rPr>
                <w:color w:val="FF0000"/>
              </w:rPr>
              <w:t>No grading provided.</w:t>
            </w:r>
          </w:p>
        </w:tc>
      </w:tr>
      <w:tr w:rsidR="00C95321" w:rsidRPr="00891EE7" w14:paraId="4BC46CFF" w14:textId="77777777" w:rsidTr="00A332D2">
        <w:tc>
          <w:tcPr>
            <w:tcW w:w="1885" w:type="dxa"/>
          </w:tcPr>
          <w:p w14:paraId="74FD6720" w14:textId="77777777" w:rsidR="00C95321" w:rsidRPr="00891EE7" w:rsidRDefault="00C95321" w:rsidP="00A332D2">
            <w:pPr>
              <w:ind w:left="0" w:firstLine="0"/>
              <w:rPr>
                <w:b/>
                <w:color w:val="FF0000"/>
              </w:rPr>
            </w:pPr>
            <w:r w:rsidRPr="00891EE7">
              <w:rPr>
                <w:b/>
                <w:color w:val="FF0000"/>
              </w:rPr>
              <w:t>Provide all other grades and associated definitions of the evidence in the grading system</w:t>
            </w:r>
          </w:p>
        </w:tc>
        <w:tc>
          <w:tcPr>
            <w:tcW w:w="7488" w:type="dxa"/>
          </w:tcPr>
          <w:p w14:paraId="59AFE3D6" w14:textId="77777777" w:rsidR="00C95321" w:rsidRPr="00891EE7" w:rsidRDefault="00C95321" w:rsidP="00A332D2">
            <w:pPr>
              <w:ind w:left="0" w:firstLine="0"/>
              <w:rPr>
                <w:color w:val="FF0000"/>
              </w:rPr>
            </w:pPr>
            <w:r w:rsidRPr="00891EE7">
              <w:rPr>
                <w:color w:val="FF0000"/>
              </w:rPr>
              <w:t>N/A</w:t>
            </w:r>
          </w:p>
        </w:tc>
      </w:tr>
      <w:tr w:rsidR="00C95321" w:rsidRPr="00891EE7" w14:paraId="2DC7ADA2" w14:textId="77777777" w:rsidTr="00A332D2">
        <w:tc>
          <w:tcPr>
            <w:tcW w:w="1885" w:type="dxa"/>
          </w:tcPr>
          <w:p w14:paraId="49964DD3" w14:textId="77777777" w:rsidR="00C95321" w:rsidRPr="00891EE7" w:rsidRDefault="00C95321" w:rsidP="00A332D2">
            <w:pPr>
              <w:ind w:left="0" w:firstLine="0"/>
              <w:rPr>
                <w:b/>
                <w:color w:val="FF0000"/>
              </w:rPr>
            </w:pPr>
            <w:r w:rsidRPr="00891EE7">
              <w:rPr>
                <w:b/>
                <w:color w:val="FF0000"/>
              </w:rPr>
              <w:t>What is the time period covered by the body of evidence?</w:t>
            </w:r>
          </w:p>
        </w:tc>
        <w:tc>
          <w:tcPr>
            <w:tcW w:w="7488" w:type="dxa"/>
          </w:tcPr>
          <w:p w14:paraId="45461CB2" w14:textId="0D5AE309" w:rsidR="00C95321" w:rsidRPr="00891EE7" w:rsidRDefault="00C95321" w:rsidP="00A332D2">
            <w:pPr>
              <w:ind w:left="0" w:firstLine="0"/>
              <w:rPr>
                <w:color w:val="FF0000"/>
              </w:rPr>
            </w:pPr>
            <w:r>
              <w:rPr>
                <w:rFonts w:cs="Times"/>
                <w:bCs/>
                <w:color w:val="FF0000"/>
              </w:rPr>
              <w:t>1980-2004</w:t>
            </w:r>
          </w:p>
        </w:tc>
      </w:tr>
      <w:tr w:rsidR="00C95321" w:rsidRPr="00891EE7" w14:paraId="718A5B58" w14:textId="77777777" w:rsidTr="00A332D2">
        <w:tc>
          <w:tcPr>
            <w:tcW w:w="1885" w:type="dxa"/>
          </w:tcPr>
          <w:p w14:paraId="605CF8F1" w14:textId="77777777" w:rsidR="00C95321" w:rsidRPr="00891EE7" w:rsidRDefault="00C95321" w:rsidP="00A332D2">
            <w:pPr>
              <w:ind w:left="0" w:firstLine="0"/>
              <w:rPr>
                <w:b/>
                <w:color w:val="FF0000"/>
              </w:rPr>
            </w:pPr>
            <w:r w:rsidRPr="00891EE7">
              <w:rPr>
                <w:b/>
                <w:color w:val="FF0000"/>
              </w:rPr>
              <w:t xml:space="preserve">Quantity and Quality of Body of Evidence </w:t>
            </w:r>
          </w:p>
        </w:tc>
        <w:tc>
          <w:tcPr>
            <w:tcW w:w="7488" w:type="dxa"/>
          </w:tcPr>
          <w:p w14:paraId="6A634BDC" w14:textId="77777777" w:rsidR="00C95321" w:rsidRPr="00C95321" w:rsidRDefault="00C95321" w:rsidP="00C95321">
            <w:pPr>
              <w:ind w:left="0" w:firstLine="0"/>
              <w:rPr>
                <w:color w:val="FF0000"/>
              </w:rPr>
            </w:pPr>
            <w:r w:rsidRPr="00C95321">
              <w:rPr>
                <w:color w:val="FF0000"/>
              </w:rPr>
              <w:t>Studies related to efficacy of screening to identify patients at risk for diabetic foot ulcer: 5 prospective cohort studies; 2 case control studies</w:t>
            </w:r>
          </w:p>
          <w:p w14:paraId="7E6236BF" w14:textId="77777777" w:rsidR="00C95321" w:rsidRPr="00C95321" w:rsidRDefault="00C95321" w:rsidP="00C95321">
            <w:pPr>
              <w:ind w:left="0" w:firstLine="0"/>
              <w:rPr>
                <w:color w:val="FF0000"/>
              </w:rPr>
            </w:pPr>
            <w:r w:rsidRPr="00C95321">
              <w:rPr>
                <w:color w:val="FF0000"/>
              </w:rPr>
              <w:t>Studies related to clinical interventions to prevent food ulceration: 3 RCTs; 1 case-control; 1 cohort study</w:t>
            </w:r>
          </w:p>
          <w:p w14:paraId="45192AC3" w14:textId="77777777" w:rsidR="00C95321" w:rsidRPr="00891EE7" w:rsidRDefault="00C95321" w:rsidP="00C95321">
            <w:pPr>
              <w:ind w:left="0" w:firstLine="0"/>
              <w:rPr>
                <w:color w:val="FF0000"/>
              </w:rPr>
            </w:pPr>
          </w:p>
        </w:tc>
      </w:tr>
      <w:tr w:rsidR="00C95321" w:rsidRPr="00891EE7" w14:paraId="7346BC7B" w14:textId="77777777" w:rsidTr="00A332D2">
        <w:tc>
          <w:tcPr>
            <w:tcW w:w="1885" w:type="dxa"/>
          </w:tcPr>
          <w:p w14:paraId="63DF3D5F" w14:textId="77777777" w:rsidR="00C95321" w:rsidRPr="00891EE7" w:rsidRDefault="00C95321" w:rsidP="00A332D2">
            <w:pPr>
              <w:ind w:left="0" w:firstLine="0"/>
              <w:rPr>
                <w:b/>
                <w:color w:val="FF0000"/>
              </w:rPr>
            </w:pPr>
            <w:r w:rsidRPr="00891EE7">
              <w:rPr>
                <w:b/>
                <w:color w:val="FF0000"/>
              </w:rPr>
              <w:lastRenderedPageBreak/>
              <w:t xml:space="preserve">What is the overall quality of evidence </w:t>
            </w:r>
            <w:r w:rsidRPr="00891EE7">
              <w:rPr>
                <w:b/>
                <w:color w:val="FF0000"/>
                <w:u w:val="single"/>
              </w:rPr>
              <w:t>across studies</w:t>
            </w:r>
            <w:r w:rsidRPr="00891EE7">
              <w:rPr>
                <w:b/>
                <w:color w:val="FF0000"/>
              </w:rPr>
              <w:t xml:space="preserve"> in the body of evidence?</w:t>
            </w:r>
          </w:p>
        </w:tc>
        <w:tc>
          <w:tcPr>
            <w:tcW w:w="7488" w:type="dxa"/>
          </w:tcPr>
          <w:p w14:paraId="656AF38A" w14:textId="77777777" w:rsidR="00437FEC" w:rsidRPr="00437FEC" w:rsidRDefault="00437FEC" w:rsidP="00437FEC">
            <w:pPr>
              <w:ind w:left="0" w:firstLine="0"/>
              <w:rPr>
                <w:color w:val="FF0000"/>
              </w:rPr>
            </w:pPr>
            <w:r w:rsidRPr="00437FEC">
              <w:rPr>
                <w:color w:val="FF0000"/>
              </w:rPr>
              <w:t xml:space="preserve">The authors of the review did not comment on the quality of the evidence related to efficacy of screening to identify patients at risk for foot ulcers.  However, authors concluded the evidence from the seven studies of screening test efficacy was strong enough to support the use of screening to identify patients at risk.  </w:t>
            </w:r>
          </w:p>
          <w:p w14:paraId="530DDD48" w14:textId="77777777" w:rsidR="00437FEC" w:rsidRPr="00437FEC" w:rsidRDefault="00437FEC" w:rsidP="00437FEC">
            <w:pPr>
              <w:ind w:left="0" w:firstLine="0"/>
              <w:rPr>
                <w:color w:val="FF0000"/>
              </w:rPr>
            </w:pPr>
          </w:p>
          <w:p w14:paraId="55EEFF6D" w14:textId="4A65EA0E" w:rsidR="00437FEC" w:rsidRPr="00437FEC" w:rsidRDefault="00437FEC" w:rsidP="00437FEC">
            <w:pPr>
              <w:ind w:left="0" w:firstLine="0"/>
              <w:rPr>
                <w:color w:val="FF0000"/>
              </w:rPr>
            </w:pPr>
            <w:r w:rsidRPr="00437FEC">
              <w:rPr>
                <w:color w:val="FF0000"/>
              </w:rPr>
              <w:t xml:space="preserve">The case-control study of the effectiveness of foot examination by a clinician did not show any significant reduction in amputation among 244 diabetic patients (OR 0.55; 95% CI, 0.2-1.7; P=.31).  </w:t>
            </w:r>
            <w:r w:rsidR="00A332D2" w:rsidRPr="00437FEC">
              <w:rPr>
                <w:color w:val="FF0000"/>
              </w:rPr>
              <w:t>However,</w:t>
            </w:r>
            <w:r w:rsidRPr="00437FEC">
              <w:rPr>
                <w:color w:val="FF0000"/>
              </w:rPr>
              <w:t xml:space="preserve"> the study was limited by high rates of foot examination in both case and control patients, different degree of risk between the groups as well as the unusually high rates of diabetes and amputation among the Pima Indian population included in the study.  </w:t>
            </w:r>
          </w:p>
          <w:p w14:paraId="4CC9E47E" w14:textId="77777777" w:rsidR="00437FEC" w:rsidRPr="00437FEC" w:rsidRDefault="00437FEC" w:rsidP="00437FEC">
            <w:pPr>
              <w:ind w:left="0" w:firstLine="0"/>
              <w:rPr>
                <w:color w:val="FF0000"/>
              </w:rPr>
            </w:pPr>
          </w:p>
          <w:p w14:paraId="784FA530" w14:textId="5040925C" w:rsidR="00437FEC" w:rsidRPr="00437FEC" w:rsidRDefault="00437FEC" w:rsidP="00437FEC">
            <w:pPr>
              <w:rPr>
                <w:color w:val="FF0000"/>
              </w:rPr>
            </w:pPr>
            <w:r w:rsidRPr="00437FEC">
              <w:rPr>
                <w:color w:val="FF0000"/>
              </w:rPr>
              <w:t>The three RCTs of clinician and specialist interven</w:t>
            </w:r>
            <w:r>
              <w:rPr>
                <w:color w:val="FF0000"/>
              </w:rPr>
              <w:t xml:space="preserve">tion were of reasonable size </w:t>
            </w:r>
            <w:r w:rsidRPr="00437FEC">
              <w:rPr>
                <w:color w:val="FF0000"/>
              </w:rPr>
              <w:t xml:space="preserve">(N=91-498) and good quality.  </w:t>
            </w:r>
          </w:p>
          <w:p w14:paraId="38FD94EB" w14:textId="77777777" w:rsidR="00C95321" w:rsidRPr="00891EE7" w:rsidRDefault="00C95321" w:rsidP="00A332D2">
            <w:pPr>
              <w:ind w:left="0" w:firstLine="0"/>
              <w:rPr>
                <w:color w:val="FF0000"/>
              </w:rPr>
            </w:pPr>
          </w:p>
        </w:tc>
      </w:tr>
      <w:tr w:rsidR="00C95321" w:rsidRPr="00891EE7" w14:paraId="704432D0" w14:textId="77777777" w:rsidTr="00A332D2">
        <w:tc>
          <w:tcPr>
            <w:tcW w:w="1885" w:type="dxa"/>
          </w:tcPr>
          <w:p w14:paraId="7BB9B4F7" w14:textId="77777777" w:rsidR="00C95321" w:rsidRPr="00891EE7" w:rsidRDefault="00C95321" w:rsidP="00A332D2">
            <w:pPr>
              <w:ind w:left="0" w:firstLine="0"/>
              <w:rPr>
                <w:b/>
                <w:color w:val="FF0000"/>
              </w:rPr>
            </w:pPr>
            <w:r w:rsidRPr="00891EE7">
              <w:rPr>
                <w:b/>
                <w:color w:val="FF0000"/>
              </w:rPr>
              <w:t>Estimates of benefit and consistency across studies in body of evidence – what are the estimates of benefits?</w:t>
            </w:r>
          </w:p>
        </w:tc>
        <w:tc>
          <w:tcPr>
            <w:tcW w:w="7488" w:type="dxa"/>
          </w:tcPr>
          <w:p w14:paraId="1ED04C10" w14:textId="77777777" w:rsidR="00437FEC" w:rsidRPr="00437FEC" w:rsidRDefault="00437FEC" w:rsidP="00437FEC">
            <w:pPr>
              <w:autoSpaceDE w:val="0"/>
              <w:autoSpaceDN w:val="0"/>
              <w:adjustRightInd w:val="0"/>
              <w:ind w:left="0" w:firstLine="0"/>
              <w:rPr>
                <w:color w:val="FF0000"/>
              </w:rPr>
            </w:pPr>
            <w:r w:rsidRPr="00437FEC">
              <w:rPr>
                <w:noProof/>
                <w:color w:val="FF0000"/>
              </w:rPr>
              <w:t>Evidence related to efficacy of screening to identify patients at risk for diabetic foot ulcer: The authors summarized the efficacy of different screening methods in the table below.  They conclused that the monofilament test is the most validated test, however the number of test sites needed for the test is still unclear.  The Biothesiometer test has similar accuracy to the monofilament test, but is not as widely available.  The Tuning form and pressure mat tests are not as accurate.</w:t>
            </w:r>
          </w:p>
          <w:p w14:paraId="3802D369" w14:textId="77777777" w:rsidR="00437FEC" w:rsidRPr="00437FEC" w:rsidRDefault="00437FEC" w:rsidP="00437FEC">
            <w:pPr>
              <w:autoSpaceDE w:val="0"/>
              <w:autoSpaceDN w:val="0"/>
              <w:adjustRightInd w:val="0"/>
              <w:ind w:left="0" w:firstLine="0"/>
              <w:rPr>
                <w:rFonts w:ascii="Berkeley-Medium" w:hAnsi="Berkeley-Medium" w:cs="Berkeley-Medium"/>
                <w:color w:val="FF0000"/>
                <w:sz w:val="20"/>
                <w:szCs w:val="20"/>
              </w:rPr>
            </w:pPr>
          </w:p>
          <w:tbl>
            <w:tblPr>
              <w:tblStyle w:val="TableGrid"/>
              <w:tblW w:w="0" w:type="auto"/>
              <w:tblInd w:w="432" w:type="dxa"/>
              <w:tblLayout w:type="fixed"/>
              <w:tblLook w:val="04A0" w:firstRow="1" w:lastRow="0" w:firstColumn="1" w:lastColumn="0" w:noHBand="0" w:noVBand="1"/>
            </w:tblPr>
            <w:tblGrid>
              <w:gridCol w:w="1075"/>
              <w:gridCol w:w="1465"/>
              <w:gridCol w:w="1499"/>
              <w:gridCol w:w="1380"/>
              <w:gridCol w:w="1380"/>
            </w:tblGrid>
            <w:tr w:rsidR="00437FEC" w:rsidRPr="00437FEC" w14:paraId="456A9A90" w14:textId="77777777" w:rsidTr="00437FEC">
              <w:trPr>
                <w:trHeight w:val="1809"/>
              </w:trPr>
              <w:tc>
                <w:tcPr>
                  <w:tcW w:w="1075" w:type="dxa"/>
                </w:tcPr>
                <w:p w14:paraId="5F753590" w14:textId="77777777" w:rsidR="00437FEC" w:rsidRPr="00437FEC" w:rsidRDefault="00437FEC" w:rsidP="00437FEC">
                  <w:pPr>
                    <w:ind w:left="0" w:firstLine="0"/>
                    <w:rPr>
                      <w:noProof/>
                      <w:color w:val="FF0000"/>
                    </w:rPr>
                  </w:pPr>
                  <w:r w:rsidRPr="00437FEC">
                    <w:rPr>
                      <w:noProof/>
                      <w:color w:val="FF0000"/>
                    </w:rPr>
                    <w:t xml:space="preserve">Screening Method to Identify Patients at Risk for Diabetic Foot Ulcer </w:t>
                  </w:r>
                </w:p>
              </w:tc>
              <w:tc>
                <w:tcPr>
                  <w:tcW w:w="1465" w:type="dxa"/>
                </w:tcPr>
                <w:p w14:paraId="2E94CE06" w14:textId="77777777" w:rsidR="00437FEC" w:rsidRPr="00437FEC" w:rsidRDefault="00437FEC" w:rsidP="00437FEC">
                  <w:pPr>
                    <w:ind w:left="0" w:firstLine="0"/>
                    <w:rPr>
                      <w:noProof/>
                      <w:color w:val="FF0000"/>
                    </w:rPr>
                  </w:pPr>
                  <w:r w:rsidRPr="00437FEC">
                    <w:rPr>
                      <w:noProof/>
                      <w:color w:val="FF0000"/>
                    </w:rPr>
                    <w:t>Monofilament (Light Touch Sensation)</w:t>
                  </w:r>
                </w:p>
              </w:tc>
              <w:tc>
                <w:tcPr>
                  <w:tcW w:w="1499" w:type="dxa"/>
                </w:tcPr>
                <w:p w14:paraId="1DB0878F" w14:textId="77777777" w:rsidR="00437FEC" w:rsidRPr="00437FEC" w:rsidRDefault="00437FEC" w:rsidP="00437FEC">
                  <w:pPr>
                    <w:ind w:left="0" w:firstLine="0"/>
                    <w:rPr>
                      <w:noProof/>
                      <w:color w:val="FF0000"/>
                    </w:rPr>
                  </w:pPr>
                  <w:r w:rsidRPr="00437FEC">
                    <w:rPr>
                      <w:noProof/>
                      <w:color w:val="FF0000"/>
                    </w:rPr>
                    <w:t>Biothesiometer (Vibratory Sensation)</w:t>
                  </w:r>
                </w:p>
              </w:tc>
              <w:tc>
                <w:tcPr>
                  <w:tcW w:w="1380" w:type="dxa"/>
                </w:tcPr>
                <w:p w14:paraId="184D4873" w14:textId="77777777" w:rsidR="00437FEC" w:rsidRPr="00437FEC" w:rsidRDefault="00437FEC" w:rsidP="00437FEC">
                  <w:pPr>
                    <w:ind w:left="0" w:firstLine="0"/>
                    <w:rPr>
                      <w:noProof/>
                      <w:color w:val="FF0000"/>
                    </w:rPr>
                  </w:pPr>
                  <w:r w:rsidRPr="00437FEC">
                    <w:rPr>
                      <w:noProof/>
                      <w:color w:val="FF0000"/>
                    </w:rPr>
                    <w:t>Tuning Fork (Vibratory Sensation)</w:t>
                  </w:r>
                </w:p>
              </w:tc>
              <w:tc>
                <w:tcPr>
                  <w:tcW w:w="1380" w:type="dxa"/>
                </w:tcPr>
                <w:p w14:paraId="67E132E6" w14:textId="77777777" w:rsidR="00437FEC" w:rsidRPr="00437FEC" w:rsidRDefault="00437FEC" w:rsidP="00437FEC">
                  <w:pPr>
                    <w:ind w:left="0" w:firstLine="0"/>
                    <w:rPr>
                      <w:noProof/>
                      <w:color w:val="FF0000"/>
                    </w:rPr>
                  </w:pPr>
                  <w:r w:rsidRPr="00437FEC">
                    <w:rPr>
                      <w:noProof/>
                      <w:color w:val="FF0000"/>
                    </w:rPr>
                    <w:t>Pressure Mat or Platform (Plantar Pressure)</w:t>
                  </w:r>
                </w:p>
              </w:tc>
            </w:tr>
            <w:tr w:rsidR="00437FEC" w:rsidRPr="00437FEC" w14:paraId="10AC655E" w14:textId="77777777" w:rsidTr="00437FEC">
              <w:trPr>
                <w:trHeight w:val="253"/>
              </w:trPr>
              <w:tc>
                <w:tcPr>
                  <w:tcW w:w="1075" w:type="dxa"/>
                </w:tcPr>
                <w:p w14:paraId="25B86D91" w14:textId="77777777" w:rsidR="00437FEC" w:rsidRPr="00437FEC" w:rsidRDefault="00437FEC" w:rsidP="00437FEC">
                  <w:pPr>
                    <w:ind w:left="0" w:firstLine="0"/>
                    <w:rPr>
                      <w:noProof/>
                      <w:color w:val="FF0000"/>
                    </w:rPr>
                  </w:pPr>
                  <w:r w:rsidRPr="00437FEC">
                    <w:rPr>
                      <w:noProof/>
                      <w:color w:val="FF0000"/>
                    </w:rPr>
                    <w:t>Sensitivity, %</w:t>
                  </w:r>
                </w:p>
              </w:tc>
              <w:tc>
                <w:tcPr>
                  <w:tcW w:w="1465" w:type="dxa"/>
                </w:tcPr>
                <w:p w14:paraId="2F5012B1" w14:textId="77777777" w:rsidR="00437FEC" w:rsidRPr="00437FEC" w:rsidRDefault="00437FEC" w:rsidP="00437FEC">
                  <w:pPr>
                    <w:ind w:left="0" w:firstLine="0"/>
                    <w:rPr>
                      <w:noProof/>
                      <w:color w:val="FF0000"/>
                    </w:rPr>
                  </w:pPr>
                  <w:r w:rsidRPr="00437FEC">
                    <w:rPr>
                      <w:noProof/>
                      <w:color w:val="FF0000"/>
                    </w:rPr>
                    <w:t>66-91</w:t>
                  </w:r>
                </w:p>
              </w:tc>
              <w:tc>
                <w:tcPr>
                  <w:tcW w:w="1499" w:type="dxa"/>
                </w:tcPr>
                <w:p w14:paraId="2DE9E0ED" w14:textId="77777777" w:rsidR="00437FEC" w:rsidRPr="00437FEC" w:rsidRDefault="00437FEC" w:rsidP="00437FEC">
                  <w:pPr>
                    <w:ind w:left="0" w:firstLine="0"/>
                    <w:rPr>
                      <w:noProof/>
                      <w:color w:val="FF0000"/>
                    </w:rPr>
                  </w:pPr>
                  <w:r w:rsidRPr="00437FEC">
                    <w:rPr>
                      <w:noProof/>
                      <w:color w:val="FF0000"/>
                    </w:rPr>
                    <w:t>83-86</w:t>
                  </w:r>
                </w:p>
              </w:tc>
              <w:tc>
                <w:tcPr>
                  <w:tcW w:w="1380" w:type="dxa"/>
                </w:tcPr>
                <w:p w14:paraId="0066A8A9" w14:textId="77777777" w:rsidR="00437FEC" w:rsidRPr="00437FEC" w:rsidRDefault="00437FEC" w:rsidP="00437FEC">
                  <w:pPr>
                    <w:ind w:left="0" w:firstLine="0"/>
                    <w:rPr>
                      <w:noProof/>
                      <w:color w:val="FF0000"/>
                    </w:rPr>
                  </w:pPr>
                  <w:r w:rsidRPr="00437FEC">
                    <w:rPr>
                      <w:noProof/>
                      <w:color w:val="FF0000"/>
                    </w:rPr>
                    <w:t>55-61</w:t>
                  </w:r>
                </w:p>
              </w:tc>
              <w:tc>
                <w:tcPr>
                  <w:tcW w:w="1380" w:type="dxa"/>
                </w:tcPr>
                <w:p w14:paraId="7D611696" w14:textId="77777777" w:rsidR="00437FEC" w:rsidRPr="00437FEC" w:rsidRDefault="00437FEC" w:rsidP="00437FEC">
                  <w:pPr>
                    <w:ind w:left="0" w:firstLine="0"/>
                    <w:rPr>
                      <w:noProof/>
                      <w:color w:val="FF0000"/>
                    </w:rPr>
                  </w:pPr>
                  <w:r w:rsidRPr="00437FEC">
                    <w:rPr>
                      <w:noProof/>
                      <w:color w:val="FF0000"/>
                    </w:rPr>
                    <w:t>57-64</w:t>
                  </w:r>
                </w:p>
              </w:tc>
            </w:tr>
            <w:tr w:rsidR="00437FEC" w:rsidRPr="00437FEC" w14:paraId="05643ABA" w14:textId="77777777" w:rsidTr="00437FEC">
              <w:trPr>
                <w:trHeight w:val="253"/>
              </w:trPr>
              <w:tc>
                <w:tcPr>
                  <w:tcW w:w="1075" w:type="dxa"/>
                </w:tcPr>
                <w:p w14:paraId="40B9862A" w14:textId="77777777" w:rsidR="00437FEC" w:rsidRPr="00437FEC" w:rsidRDefault="00437FEC" w:rsidP="00437FEC">
                  <w:pPr>
                    <w:ind w:left="0" w:firstLine="0"/>
                    <w:rPr>
                      <w:noProof/>
                      <w:color w:val="FF0000"/>
                    </w:rPr>
                  </w:pPr>
                  <w:r w:rsidRPr="00437FEC">
                    <w:rPr>
                      <w:noProof/>
                      <w:color w:val="FF0000"/>
                    </w:rPr>
                    <w:t>Specificity, %</w:t>
                  </w:r>
                </w:p>
              </w:tc>
              <w:tc>
                <w:tcPr>
                  <w:tcW w:w="1465" w:type="dxa"/>
                </w:tcPr>
                <w:p w14:paraId="285CC9E2" w14:textId="77777777" w:rsidR="00437FEC" w:rsidRPr="00437FEC" w:rsidRDefault="00437FEC" w:rsidP="00437FEC">
                  <w:pPr>
                    <w:ind w:left="0" w:firstLine="0"/>
                    <w:rPr>
                      <w:noProof/>
                      <w:color w:val="FF0000"/>
                    </w:rPr>
                  </w:pPr>
                  <w:r w:rsidRPr="00437FEC">
                    <w:rPr>
                      <w:noProof/>
                      <w:color w:val="FF0000"/>
                    </w:rPr>
                    <w:t>34-86</w:t>
                  </w:r>
                </w:p>
              </w:tc>
              <w:tc>
                <w:tcPr>
                  <w:tcW w:w="1499" w:type="dxa"/>
                </w:tcPr>
                <w:p w14:paraId="0AB9A7AA" w14:textId="77777777" w:rsidR="00437FEC" w:rsidRPr="00437FEC" w:rsidRDefault="00437FEC" w:rsidP="00437FEC">
                  <w:pPr>
                    <w:ind w:left="0" w:firstLine="0"/>
                    <w:rPr>
                      <w:noProof/>
                      <w:color w:val="FF0000"/>
                    </w:rPr>
                  </w:pPr>
                  <w:r w:rsidRPr="00437FEC">
                    <w:rPr>
                      <w:noProof/>
                      <w:color w:val="FF0000"/>
                    </w:rPr>
                    <w:t>57-63</w:t>
                  </w:r>
                </w:p>
              </w:tc>
              <w:tc>
                <w:tcPr>
                  <w:tcW w:w="1380" w:type="dxa"/>
                </w:tcPr>
                <w:p w14:paraId="0F61DFF4" w14:textId="77777777" w:rsidR="00437FEC" w:rsidRPr="00437FEC" w:rsidRDefault="00437FEC" w:rsidP="00437FEC">
                  <w:pPr>
                    <w:ind w:left="0" w:firstLine="0"/>
                    <w:rPr>
                      <w:noProof/>
                      <w:color w:val="FF0000"/>
                    </w:rPr>
                  </w:pPr>
                  <w:r w:rsidRPr="00437FEC">
                    <w:rPr>
                      <w:noProof/>
                      <w:color w:val="FF0000"/>
                    </w:rPr>
                    <w:t>59-72</w:t>
                  </w:r>
                </w:p>
              </w:tc>
              <w:tc>
                <w:tcPr>
                  <w:tcW w:w="1380" w:type="dxa"/>
                </w:tcPr>
                <w:p w14:paraId="38D95A26" w14:textId="77777777" w:rsidR="00437FEC" w:rsidRPr="00437FEC" w:rsidRDefault="00437FEC" w:rsidP="00437FEC">
                  <w:pPr>
                    <w:ind w:left="0" w:firstLine="0"/>
                    <w:rPr>
                      <w:noProof/>
                      <w:color w:val="FF0000"/>
                    </w:rPr>
                  </w:pPr>
                  <w:r w:rsidRPr="00437FEC">
                    <w:rPr>
                      <w:noProof/>
                      <w:color w:val="FF0000"/>
                    </w:rPr>
                    <w:t>46-70</w:t>
                  </w:r>
                </w:p>
              </w:tc>
            </w:tr>
            <w:tr w:rsidR="00437FEC" w:rsidRPr="00437FEC" w14:paraId="5C21E1A1" w14:textId="77777777" w:rsidTr="00437FEC">
              <w:trPr>
                <w:trHeight w:val="759"/>
              </w:trPr>
              <w:tc>
                <w:tcPr>
                  <w:tcW w:w="1075" w:type="dxa"/>
                </w:tcPr>
                <w:p w14:paraId="712D99A7" w14:textId="77777777" w:rsidR="00437FEC" w:rsidRPr="00437FEC" w:rsidRDefault="00437FEC" w:rsidP="00437FEC">
                  <w:pPr>
                    <w:ind w:left="0" w:firstLine="0"/>
                    <w:rPr>
                      <w:noProof/>
                      <w:color w:val="FF0000"/>
                    </w:rPr>
                  </w:pPr>
                  <w:r w:rsidRPr="00437FEC">
                    <w:rPr>
                      <w:noProof/>
                      <w:color w:val="FF0000"/>
                    </w:rPr>
                    <w:t>Positive Predictive Value %</w:t>
                  </w:r>
                </w:p>
              </w:tc>
              <w:tc>
                <w:tcPr>
                  <w:tcW w:w="1465" w:type="dxa"/>
                </w:tcPr>
                <w:p w14:paraId="7D6CA2AF" w14:textId="77777777" w:rsidR="00437FEC" w:rsidRPr="00437FEC" w:rsidRDefault="00437FEC" w:rsidP="00437FEC">
                  <w:pPr>
                    <w:ind w:left="0" w:firstLine="0"/>
                    <w:rPr>
                      <w:noProof/>
                      <w:color w:val="FF0000"/>
                    </w:rPr>
                  </w:pPr>
                  <w:r w:rsidRPr="00437FEC">
                    <w:rPr>
                      <w:noProof/>
                      <w:color w:val="FF0000"/>
                    </w:rPr>
                    <w:t>18-39</w:t>
                  </w:r>
                </w:p>
              </w:tc>
              <w:tc>
                <w:tcPr>
                  <w:tcW w:w="1499" w:type="dxa"/>
                </w:tcPr>
                <w:p w14:paraId="4BAA2010" w14:textId="77777777" w:rsidR="00437FEC" w:rsidRPr="00437FEC" w:rsidRDefault="00437FEC" w:rsidP="00437FEC">
                  <w:pPr>
                    <w:ind w:left="0" w:firstLine="0"/>
                    <w:rPr>
                      <w:noProof/>
                      <w:color w:val="FF0000"/>
                    </w:rPr>
                  </w:pPr>
                  <w:r w:rsidRPr="00437FEC">
                    <w:rPr>
                      <w:noProof/>
                      <w:color w:val="FF0000"/>
                    </w:rPr>
                    <w:t>20-32</w:t>
                  </w:r>
                </w:p>
              </w:tc>
              <w:tc>
                <w:tcPr>
                  <w:tcW w:w="1380" w:type="dxa"/>
                </w:tcPr>
                <w:p w14:paraId="589CF5D4" w14:textId="77777777" w:rsidR="00437FEC" w:rsidRPr="00437FEC" w:rsidRDefault="00437FEC" w:rsidP="00437FEC">
                  <w:pPr>
                    <w:ind w:left="0" w:firstLine="0"/>
                    <w:rPr>
                      <w:noProof/>
                      <w:color w:val="FF0000"/>
                    </w:rPr>
                  </w:pPr>
                  <w:r w:rsidRPr="00437FEC">
                    <w:rPr>
                      <w:noProof/>
                      <w:color w:val="FF0000"/>
                    </w:rPr>
                    <w:t>16</w:t>
                  </w:r>
                </w:p>
              </w:tc>
              <w:tc>
                <w:tcPr>
                  <w:tcW w:w="1380" w:type="dxa"/>
                </w:tcPr>
                <w:p w14:paraId="188FB510" w14:textId="77777777" w:rsidR="00437FEC" w:rsidRPr="00437FEC" w:rsidRDefault="00437FEC" w:rsidP="00437FEC">
                  <w:pPr>
                    <w:ind w:left="0" w:firstLine="0"/>
                    <w:rPr>
                      <w:noProof/>
                      <w:color w:val="FF0000"/>
                    </w:rPr>
                  </w:pPr>
                  <w:r w:rsidRPr="00437FEC">
                    <w:rPr>
                      <w:noProof/>
                      <w:color w:val="FF0000"/>
                    </w:rPr>
                    <w:t>17-31</w:t>
                  </w:r>
                </w:p>
              </w:tc>
            </w:tr>
            <w:tr w:rsidR="00437FEC" w:rsidRPr="00437FEC" w14:paraId="2AE1089C" w14:textId="77777777" w:rsidTr="00437FEC">
              <w:trPr>
                <w:trHeight w:val="778"/>
              </w:trPr>
              <w:tc>
                <w:tcPr>
                  <w:tcW w:w="1075" w:type="dxa"/>
                </w:tcPr>
                <w:p w14:paraId="1AD9CDE2" w14:textId="77777777" w:rsidR="00437FEC" w:rsidRPr="00437FEC" w:rsidRDefault="00437FEC" w:rsidP="00437FEC">
                  <w:pPr>
                    <w:ind w:left="0" w:firstLine="0"/>
                    <w:rPr>
                      <w:noProof/>
                      <w:color w:val="FF0000"/>
                    </w:rPr>
                  </w:pPr>
                  <w:r w:rsidRPr="00437FEC">
                    <w:rPr>
                      <w:noProof/>
                      <w:color w:val="FF0000"/>
                    </w:rPr>
                    <w:t>Negative Predictive Value %</w:t>
                  </w:r>
                </w:p>
              </w:tc>
              <w:tc>
                <w:tcPr>
                  <w:tcW w:w="1465" w:type="dxa"/>
                </w:tcPr>
                <w:p w14:paraId="30BC1C43" w14:textId="77777777" w:rsidR="00437FEC" w:rsidRPr="00437FEC" w:rsidRDefault="00437FEC" w:rsidP="00437FEC">
                  <w:pPr>
                    <w:ind w:left="0" w:firstLine="0"/>
                    <w:rPr>
                      <w:noProof/>
                      <w:color w:val="FF0000"/>
                    </w:rPr>
                  </w:pPr>
                  <w:r w:rsidRPr="00437FEC">
                    <w:rPr>
                      <w:noProof/>
                      <w:color w:val="FF0000"/>
                    </w:rPr>
                    <w:t>94-95</w:t>
                  </w:r>
                </w:p>
              </w:tc>
              <w:tc>
                <w:tcPr>
                  <w:tcW w:w="1499" w:type="dxa"/>
                </w:tcPr>
                <w:p w14:paraId="3B9502EB" w14:textId="77777777" w:rsidR="00437FEC" w:rsidRPr="00437FEC" w:rsidRDefault="00437FEC" w:rsidP="00437FEC">
                  <w:pPr>
                    <w:ind w:left="0" w:firstLine="0"/>
                    <w:rPr>
                      <w:noProof/>
                      <w:color w:val="FF0000"/>
                    </w:rPr>
                  </w:pPr>
                  <w:r w:rsidRPr="00437FEC">
                    <w:rPr>
                      <w:noProof/>
                      <w:color w:val="FF0000"/>
                    </w:rPr>
                    <w:t>95-97</w:t>
                  </w:r>
                </w:p>
              </w:tc>
              <w:tc>
                <w:tcPr>
                  <w:tcW w:w="1380" w:type="dxa"/>
                </w:tcPr>
                <w:p w14:paraId="5E9DBD46" w14:textId="77777777" w:rsidR="00437FEC" w:rsidRPr="00437FEC" w:rsidRDefault="00437FEC" w:rsidP="00437FEC">
                  <w:pPr>
                    <w:ind w:left="0" w:firstLine="0"/>
                    <w:rPr>
                      <w:noProof/>
                      <w:color w:val="FF0000"/>
                    </w:rPr>
                  </w:pPr>
                  <w:r w:rsidRPr="00437FEC">
                    <w:rPr>
                      <w:noProof/>
                      <w:color w:val="FF0000"/>
                    </w:rPr>
                    <w:t>93</w:t>
                  </w:r>
                </w:p>
              </w:tc>
              <w:tc>
                <w:tcPr>
                  <w:tcW w:w="1380" w:type="dxa"/>
                </w:tcPr>
                <w:p w14:paraId="64730057" w14:textId="77777777" w:rsidR="00437FEC" w:rsidRPr="00437FEC" w:rsidRDefault="00437FEC" w:rsidP="00437FEC">
                  <w:pPr>
                    <w:ind w:left="0" w:firstLine="0"/>
                    <w:rPr>
                      <w:noProof/>
                      <w:color w:val="FF0000"/>
                    </w:rPr>
                  </w:pPr>
                  <w:r w:rsidRPr="00437FEC">
                    <w:rPr>
                      <w:noProof/>
                      <w:color w:val="FF0000"/>
                    </w:rPr>
                    <w:t>82-90</w:t>
                  </w:r>
                </w:p>
              </w:tc>
            </w:tr>
          </w:tbl>
          <w:p w14:paraId="16141DF1" w14:textId="77777777" w:rsidR="00437FEC" w:rsidRPr="00437FEC" w:rsidRDefault="00437FEC" w:rsidP="00437FEC">
            <w:pPr>
              <w:ind w:left="0" w:firstLine="0"/>
              <w:rPr>
                <w:color w:val="FF0000"/>
              </w:rPr>
            </w:pPr>
          </w:p>
          <w:p w14:paraId="1CCD7527" w14:textId="77777777" w:rsidR="00437FEC" w:rsidRPr="00437FEC" w:rsidRDefault="00437FEC" w:rsidP="00437FEC">
            <w:pPr>
              <w:ind w:left="0" w:firstLine="0"/>
              <w:rPr>
                <w:color w:val="FF0000"/>
              </w:rPr>
            </w:pPr>
            <w:r w:rsidRPr="00437FEC">
              <w:rPr>
                <w:color w:val="FF0000"/>
              </w:rPr>
              <w:lastRenderedPageBreak/>
              <w:t xml:space="preserve">Evidence Related to </w:t>
            </w:r>
            <w:r w:rsidRPr="00437FEC">
              <w:rPr>
                <w:noProof/>
                <w:color w:val="FF0000"/>
              </w:rPr>
              <w:t>Clinical interventions to prevent food ulceration:</w:t>
            </w:r>
            <w:r w:rsidRPr="00437FEC">
              <w:rPr>
                <w:color w:val="FF0000"/>
              </w:rPr>
              <w:t xml:space="preserve"> One randomized study of diabetic persons (N=91) with a previous foot ulceration found a significantly reduced risk for ulceration recurrence (RR, 0.52; 95% CI, 0.29-0.93; P = .03) at 1 year for those who received routine podiatric care. In another randomized study trial of diabetic persons with neuropathy (N=498), patients randomized to receive podiatric care at least twice a year had no difference in the incidence of foot ulcers compared to usual care, but fewer deep ulcers (6 vs 12), infected ulcers (1 vs 10; P_.01), and hospital admission days (24 vs 346; P_.01) compared to usual care patients.  A cohort study included diabetic persons (N=341) who were examined to categorize baseline risk, initiate appropriate education and interventions, and schedule follow-up foot examinations and podiatric care with a multidisciplinary team.  After 3 years, the incidence of lower-extremity amputation was only 1.1 per 1000 persons per year. Among high-risk persons, those who missed more than 50% of their appointments with the team were 54 times more likely to develop an ulcer and 20 times more likely to require an amputation than those who kept most appointments.</w:t>
            </w:r>
          </w:p>
          <w:p w14:paraId="1E60525B" w14:textId="4BEBCBDB" w:rsidR="00C95321" w:rsidRPr="00437FEC" w:rsidRDefault="00C95321" w:rsidP="00A332D2">
            <w:pPr>
              <w:ind w:left="0" w:firstLine="0"/>
              <w:rPr>
                <w:color w:val="FF0000"/>
              </w:rPr>
            </w:pPr>
          </w:p>
        </w:tc>
      </w:tr>
      <w:tr w:rsidR="00C95321" w:rsidRPr="00891EE7" w14:paraId="0C84175D" w14:textId="77777777" w:rsidTr="00A332D2">
        <w:tc>
          <w:tcPr>
            <w:tcW w:w="1885" w:type="dxa"/>
          </w:tcPr>
          <w:p w14:paraId="035E59E4" w14:textId="77777777" w:rsidR="00C95321" w:rsidRPr="00891EE7" w:rsidRDefault="00C95321" w:rsidP="00A332D2">
            <w:pPr>
              <w:ind w:left="0" w:firstLine="0"/>
              <w:rPr>
                <w:b/>
                <w:color w:val="FF0000"/>
              </w:rPr>
            </w:pPr>
            <w:r w:rsidRPr="00891EE7">
              <w:rPr>
                <w:b/>
                <w:color w:val="FF0000"/>
              </w:rPr>
              <w:lastRenderedPageBreak/>
              <w:t>What harms were studied and how do they affect the net benefit (benefits over harms)?</w:t>
            </w:r>
          </w:p>
        </w:tc>
        <w:tc>
          <w:tcPr>
            <w:tcW w:w="7488" w:type="dxa"/>
          </w:tcPr>
          <w:p w14:paraId="229A177F" w14:textId="77C9F048" w:rsidR="00C95321" w:rsidRPr="00891EE7" w:rsidRDefault="00437FEC" w:rsidP="00437FEC">
            <w:pPr>
              <w:ind w:left="0" w:firstLine="0"/>
              <w:rPr>
                <w:color w:val="FF0000"/>
              </w:rPr>
            </w:pPr>
            <w:r w:rsidRPr="00437FEC">
              <w:rPr>
                <w:color w:val="FF0000"/>
              </w:rPr>
              <w:t>There were no harms to screening or clinician examination reported in the review.</w:t>
            </w:r>
          </w:p>
        </w:tc>
      </w:tr>
      <w:tr w:rsidR="00C95321" w14:paraId="12EC19E8" w14:textId="77777777" w:rsidTr="00A332D2">
        <w:tc>
          <w:tcPr>
            <w:tcW w:w="1885" w:type="dxa"/>
          </w:tcPr>
          <w:p w14:paraId="4281156A" w14:textId="77777777" w:rsidR="00C95321" w:rsidRPr="001F5186" w:rsidRDefault="00C95321" w:rsidP="00A332D2">
            <w:pPr>
              <w:ind w:left="0" w:firstLine="0"/>
              <w:rPr>
                <w:b/>
              </w:rPr>
            </w:pPr>
            <w:r w:rsidRPr="001F5186">
              <w:rPr>
                <w:b/>
                <w:color w:val="FF0000"/>
              </w:rPr>
              <w:t>Identify any new studies conducted since the SR. Do the new studies change the conclusions from the SR?</w:t>
            </w:r>
          </w:p>
        </w:tc>
        <w:tc>
          <w:tcPr>
            <w:tcW w:w="7488" w:type="dxa"/>
          </w:tcPr>
          <w:p w14:paraId="6D1F5A0C" w14:textId="4B0F7EE4" w:rsidR="00C95321" w:rsidRDefault="00C95321" w:rsidP="00A332D2">
            <w:pPr>
              <w:ind w:left="0" w:firstLine="0"/>
              <w:rPr>
                <w:color w:val="FF0000"/>
              </w:rPr>
            </w:pPr>
            <w:r>
              <w:rPr>
                <w:color w:val="FF0000"/>
              </w:rPr>
              <w:t xml:space="preserve">Numerous studies have been conducted since the systematic review we cite in this table, none of which change the conclusion that routine </w:t>
            </w:r>
            <w:r w:rsidR="00A332D2">
              <w:rPr>
                <w:color w:val="FF0000"/>
              </w:rPr>
              <w:t xml:space="preserve">foot </w:t>
            </w:r>
            <w:r>
              <w:rPr>
                <w:color w:val="FF0000"/>
              </w:rPr>
              <w:t>exams for individuals with diabetes are appropriate. Below we list two additional studies that support this measure.</w:t>
            </w:r>
          </w:p>
          <w:p w14:paraId="66CE76B1" w14:textId="77777777" w:rsidR="00C95321" w:rsidRDefault="00C95321" w:rsidP="00A332D2">
            <w:pPr>
              <w:ind w:left="0" w:firstLine="0"/>
              <w:rPr>
                <w:color w:val="FF0000"/>
              </w:rPr>
            </w:pPr>
          </w:p>
          <w:p w14:paraId="03FA8D29" w14:textId="017AEBE4" w:rsidR="00C95321" w:rsidRDefault="00F22E37" w:rsidP="00A332D2">
            <w:pPr>
              <w:rPr>
                <w:color w:val="FF0000"/>
              </w:rPr>
            </w:pPr>
            <w:r w:rsidRPr="00F22E37">
              <w:rPr>
                <w:color w:val="FF0000"/>
              </w:rPr>
              <w:t>Sloan FA, Feinglos MN, Grossman DS. Receipt of care and reduction of lower extremity amputations in a nationally representative sample of U.S. Elderly. Health Serv Res. 2010;45(6 pt 1):1740-1762.</w:t>
            </w:r>
          </w:p>
          <w:p w14:paraId="63B8386F" w14:textId="77777777" w:rsidR="00F22E37" w:rsidRPr="00F22E37" w:rsidRDefault="00F22E37" w:rsidP="00A332D2">
            <w:pPr>
              <w:rPr>
                <w:color w:val="FF0000"/>
              </w:rPr>
            </w:pPr>
          </w:p>
          <w:p w14:paraId="0C75DCED" w14:textId="5A99E8B6" w:rsidR="00C95321" w:rsidRPr="00F22E37" w:rsidRDefault="00F22E37" w:rsidP="00A332D2">
            <w:pPr>
              <w:rPr>
                <w:color w:val="FF0000"/>
              </w:rPr>
            </w:pPr>
            <w:r w:rsidRPr="00F22E37">
              <w:rPr>
                <w:color w:val="FF0000"/>
              </w:rPr>
              <w:t>Carls GS, Gibson TB, Driver VR, et al. The economic value of specialized lower-extremity medical care by podiatric physicians in the treatment of diabetic foot ulcers. J Am Podiatr Med Assoc. 2011;101:93-115.</w:t>
            </w:r>
          </w:p>
          <w:p w14:paraId="20A91DE2" w14:textId="77777777" w:rsidR="00C95321" w:rsidRPr="00343EF8" w:rsidRDefault="00C95321" w:rsidP="00A332D2">
            <w:pPr>
              <w:rPr>
                <w:color w:val="FF0000"/>
              </w:rPr>
            </w:pPr>
          </w:p>
        </w:tc>
      </w:tr>
    </w:tbl>
    <w:p w14:paraId="3CDC9CFE" w14:textId="77777777" w:rsidR="00C95321" w:rsidRPr="003B1CC5" w:rsidRDefault="00C95321"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w:t>
      </w:r>
      <w:bookmarkStart w:id="8" w:name="_GoBack"/>
      <w:bookmarkEnd w:id="8"/>
      <w:r w:rsidRPr="003B1CC5">
        <w:rPr>
          <w:i/>
        </w:rPr>
        <w:t xml:space="preserve">describe the evidence on which you are basing </w:t>
      </w:r>
      <w:r w:rsidR="00EE1F87" w:rsidRPr="003B1CC5">
        <w:rPr>
          <w:i/>
        </w:rPr>
        <w:t xml:space="preserve">the </w:t>
      </w:r>
      <w:r w:rsidRPr="003B1CC5">
        <w:rPr>
          <w:i/>
        </w:rPr>
        <w:t>performance measure.</w:t>
      </w:r>
    </w:p>
    <w:p w14:paraId="55B8DA98" w14:textId="77C9F9A4" w:rsidR="00837121" w:rsidRPr="00CE19C8" w:rsidRDefault="00CE19C8" w:rsidP="002E2177">
      <w:pPr>
        <w:ind w:left="0" w:firstLine="0"/>
        <w:rPr>
          <w:color w:val="FF0000"/>
        </w:rPr>
      </w:pPr>
      <w:r w:rsidRPr="00CE19C8">
        <w:rPr>
          <w:color w:val="FF0000"/>
        </w:rPr>
        <w:t>N/A</w:t>
      </w: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4ADE190D" w:rsidR="000E5C93" w:rsidRPr="009F63A5" w:rsidRDefault="00CE19C8" w:rsidP="002E2177">
      <w:pPr>
        <w:ind w:left="0" w:firstLine="0"/>
        <w:rPr>
          <w:color w:val="FF0000"/>
        </w:rPr>
      </w:pPr>
      <w:r w:rsidRPr="009F63A5">
        <w:rPr>
          <w:color w:val="FF0000"/>
        </w:rPr>
        <w:t>N/A</w:t>
      </w: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39416DB4" w:rsidR="00837121" w:rsidRDefault="000E5C93" w:rsidP="002E2177">
      <w:pPr>
        <w:ind w:left="0" w:firstLine="0"/>
        <w:rPr>
          <w:b/>
        </w:rPr>
      </w:pPr>
      <w:r>
        <w:rPr>
          <w:b/>
          <w:color w:val="0000FF"/>
        </w:rPr>
        <w:lastRenderedPageBreak/>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1E1A7599" w14:textId="690EE56E" w:rsidR="009F63A5" w:rsidRPr="009F63A5" w:rsidRDefault="009F63A5" w:rsidP="002E2177">
      <w:pPr>
        <w:ind w:left="0" w:firstLine="0"/>
        <w:rPr>
          <w:color w:val="FF0000"/>
        </w:rPr>
      </w:pPr>
      <w:r w:rsidRPr="009F63A5">
        <w:rPr>
          <w:color w:val="FF0000"/>
        </w:rPr>
        <w:t>N/A</w:t>
      </w:r>
    </w:p>
    <w:sectPr w:rsidR="009F63A5" w:rsidRPr="009F63A5">
      <w:headerReference w:type="default" r:id="rId21"/>
      <w:footerReference w:type="default" r:id="rId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Tejal Patel" w:date="2018-03-27T21:33:00Z" w:initials="TP">
    <w:p w14:paraId="2B9C3344" w14:textId="4A0DA8EE" w:rsidR="00A332D2" w:rsidRDefault="00A332D2">
      <w:pPr>
        <w:pStyle w:val="CommentText"/>
      </w:pPr>
      <w:r>
        <w:rPr>
          <w:rStyle w:val="CommentReference"/>
        </w:rPr>
        <w:annotationRef/>
      </w:r>
      <w:hyperlink r:id="rId1" w:history="1">
        <w:r w:rsidRPr="004074EF">
          <w:rPr>
            <w:rStyle w:val="Hyperlink"/>
            <w:rFonts w:cs="Arial"/>
          </w:rPr>
          <w:t>http://www.medicine.emory.edu/ger/bibliographies/geriatrics/bibliography87_files/Guidelines_for_Improving_the_Care_of_the_Older_Person_with_Diabetes_Mellitus.pdf</w:t>
        </w:r>
      </w:hyperlink>
      <w:r>
        <w:rPr>
          <w:rStyle w:val="Hyperlink"/>
          <w:rFonts w:cs="Arial"/>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9C33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9C3344" w16cid:durableId="1E6537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44C78" w14:textId="77777777" w:rsidR="00A332D2" w:rsidRDefault="00A332D2" w:rsidP="007E37A5">
      <w:r>
        <w:separator/>
      </w:r>
    </w:p>
  </w:endnote>
  <w:endnote w:type="continuationSeparator" w:id="0">
    <w:p w14:paraId="76683E9C" w14:textId="77777777" w:rsidR="00A332D2" w:rsidRDefault="00A332D2" w:rsidP="007E37A5">
      <w:r>
        <w:continuationSeparator/>
      </w:r>
    </w:p>
  </w:endnote>
  <w:endnote w:type="continuationNotice" w:id="1">
    <w:p w14:paraId="41C4B5D4" w14:textId="77777777" w:rsidR="00585178" w:rsidRDefault="005851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Berkeley-Medium">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3904BF4A" w:rsidR="00A332D2" w:rsidRDefault="00A332D2">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Pr>
        <w:noProof/>
      </w:rPr>
      <w:t>12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39EBA" w14:textId="77777777" w:rsidR="00A332D2" w:rsidRDefault="00A332D2" w:rsidP="007E37A5">
      <w:r>
        <w:separator/>
      </w:r>
    </w:p>
  </w:footnote>
  <w:footnote w:type="continuationSeparator" w:id="0">
    <w:p w14:paraId="7D6ACAA9" w14:textId="77777777" w:rsidR="00A332D2" w:rsidRDefault="00A332D2" w:rsidP="007E37A5">
      <w:r>
        <w:continuationSeparator/>
      </w:r>
    </w:p>
  </w:footnote>
  <w:footnote w:type="continuationNotice" w:id="1">
    <w:p w14:paraId="10EEDB98" w14:textId="77777777" w:rsidR="00585178" w:rsidRDefault="005851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A332D2" w:rsidRDefault="00A332D2"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20A76"/>
    <w:multiLevelType w:val="hybridMultilevel"/>
    <w:tmpl w:val="7766F1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CD7C53"/>
    <w:multiLevelType w:val="hybridMultilevel"/>
    <w:tmpl w:val="4126C6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8F05C01"/>
    <w:multiLevelType w:val="hybridMultilevel"/>
    <w:tmpl w:val="4BAEB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9E93976"/>
    <w:multiLevelType w:val="hybridMultilevel"/>
    <w:tmpl w:val="3F70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B10E57"/>
    <w:multiLevelType w:val="hybridMultilevel"/>
    <w:tmpl w:val="8EAC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61744C"/>
    <w:multiLevelType w:val="hybridMultilevel"/>
    <w:tmpl w:val="02864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9C24F7"/>
    <w:multiLevelType w:val="hybridMultilevel"/>
    <w:tmpl w:val="7BF6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4448B1"/>
    <w:multiLevelType w:val="hybridMultilevel"/>
    <w:tmpl w:val="F648C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3"/>
  </w:num>
  <w:num w:numId="5">
    <w:abstractNumId w:val="5"/>
  </w:num>
  <w:num w:numId="6">
    <w:abstractNumId w:val="4"/>
  </w:num>
  <w:num w:numId="7">
    <w:abstractNumId w:val="13"/>
  </w:num>
  <w:num w:numId="8">
    <w:abstractNumId w:val="12"/>
  </w:num>
  <w:num w:numId="9">
    <w:abstractNumId w:val="16"/>
  </w:num>
  <w:num w:numId="10">
    <w:abstractNumId w:val="0"/>
  </w:num>
  <w:num w:numId="11">
    <w:abstractNumId w:val="9"/>
  </w:num>
  <w:num w:numId="12">
    <w:abstractNumId w:val="10"/>
  </w:num>
  <w:num w:numId="13">
    <w:abstractNumId w:val="14"/>
  </w:num>
  <w:num w:numId="14">
    <w:abstractNumId w:val="7"/>
  </w:num>
  <w:num w:numId="15">
    <w:abstractNumId w:val="15"/>
  </w:num>
  <w:num w:numId="16">
    <w:abstractNumId w:val="18"/>
  </w:num>
  <w:num w:numId="17">
    <w:abstractNumId w:val="1"/>
  </w:num>
  <w:num w:numId="18">
    <w:abstractNumId w:val="8"/>
  </w:num>
  <w:num w:numId="1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jal Patel">
    <w15:presenceInfo w15:providerId="AD" w15:userId="S-1-5-21-367815720-1072063996-666385194-129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94E25"/>
    <w:rsid w:val="001A196B"/>
    <w:rsid w:val="001A6D05"/>
    <w:rsid w:val="001B38BF"/>
    <w:rsid w:val="001B772D"/>
    <w:rsid w:val="001D5B5D"/>
    <w:rsid w:val="001E6153"/>
    <w:rsid w:val="001F5186"/>
    <w:rsid w:val="001F6E9F"/>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A0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37FEC"/>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178"/>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B5E44"/>
    <w:rsid w:val="006C7F30"/>
    <w:rsid w:val="006D43FF"/>
    <w:rsid w:val="006E4A29"/>
    <w:rsid w:val="006E6FDD"/>
    <w:rsid w:val="006F4B7F"/>
    <w:rsid w:val="006F760B"/>
    <w:rsid w:val="00701CC3"/>
    <w:rsid w:val="00724801"/>
    <w:rsid w:val="00734949"/>
    <w:rsid w:val="00736AEC"/>
    <w:rsid w:val="00736E0F"/>
    <w:rsid w:val="007434FA"/>
    <w:rsid w:val="0075285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15F2"/>
    <w:rsid w:val="00837121"/>
    <w:rsid w:val="008471E5"/>
    <w:rsid w:val="00850C35"/>
    <w:rsid w:val="00851466"/>
    <w:rsid w:val="00863E43"/>
    <w:rsid w:val="008647C3"/>
    <w:rsid w:val="008659ED"/>
    <w:rsid w:val="008708DC"/>
    <w:rsid w:val="00870987"/>
    <w:rsid w:val="0087564A"/>
    <w:rsid w:val="00881160"/>
    <w:rsid w:val="0088371C"/>
    <w:rsid w:val="008A45F3"/>
    <w:rsid w:val="008B149D"/>
    <w:rsid w:val="008B51D9"/>
    <w:rsid w:val="008B652E"/>
    <w:rsid w:val="008C1CD3"/>
    <w:rsid w:val="008D05B7"/>
    <w:rsid w:val="008F1DC6"/>
    <w:rsid w:val="008F6F51"/>
    <w:rsid w:val="00905C5B"/>
    <w:rsid w:val="00923295"/>
    <w:rsid w:val="00925F11"/>
    <w:rsid w:val="00935265"/>
    <w:rsid w:val="0094689F"/>
    <w:rsid w:val="009477D6"/>
    <w:rsid w:val="00953ED3"/>
    <w:rsid w:val="00962726"/>
    <w:rsid w:val="00965FF6"/>
    <w:rsid w:val="00971FFA"/>
    <w:rsid w:val="009846D6"/>
    <w:rsid w:val="0098657F"/>
    <w:rsid w:val="009A3236"/>
    <w:rsid w:val="009A4D30"/>
    <w:rsid w:val="009B5A93"/>
    <w:rsid w:val="009B5BEA"/>
    <w:rsid w:val="009C291F"/>
    <w:rsid w:val="009E37BD"/>
    <w:rsid w:val="009E6B86"/>
    <w:rsid w:val="009F63A5"/>
    <w:rsid w:val="00A03301"/>
    <w:rsid w:val="00A12762"/>
    <w:rsid w:val="00A13867"/>
    <w:rsid w:val="00A26FED"/>
    <w:rsid w:val="00A332D2"/>
    <w:rsid w:val="00A421D4"/>
    <w:rsid w:val="00A44FF0"/>
    <w:rsid w:val="00A50E55"/>
    <w:rsid w:val="00A67EB1"/>
    <w:rsid w:val="00A9011D"/>
    <w:rsid w:val="00A91A47"/>
    <w:rsid w:val="00A95D2B"/>
    <w:rsid w:val="00AA5587"/>
    <w:rsid w:val="00AB4ECE"/>
    <w:rsid w:val="00AC1E53"/>
    <w:rsid w:val="00AD79C8"/>
    <w:rsid w:val="00AE50A0"/>
    <w:rsid w:val="00AE6CE0"/>
    <w:rsid w:val="00B058A6"/>
    <w:rsid w:val="00B117D0"/>
    <w:rsid w:val="00B13998"/>
    <w:rsid w:val="00B35C5F"/>
    <w:rsid w:val="00B439DD"/>
    <w:rsid w:val="00B52E0F"/>
    <w:rsid w:val="00B74629"/>
    <w:rsid w:val="00B91F58"/>
    <w:rsid w:val="00BA579E"/>
    <w:rsid w:val="00BE2295"/>
    <w:rsid w:val="00BE4925"/>
    <w:rsid w:val="00BE6373"/>
    <w:rsid w:val="00BF533A"/>
    <w:rsid w:val="00C41794"/>
    <w:rsid w:val="00C46677"/>
    <w:rsid w:val="00C5180E"/>
    <w:rsid w:val="00C54E40"/>
    <w:rsid w:val="00C55F56"/>
    <w:rsid w:val="00C57BA4"/>
    <w:rsid w:val="00C613EB"/>
    <w:rsid w:val="00C71C1A"/>
    <w:rsid w:val="00C84623"/>
    <w:rsid w:val="00C95321"/>
    <w:rsid w:val="00CB009C"/>
    <w:rsid w:val="00CB06C9"/>
    <w:rsid w:val="00CB1E41"/>
    <w:rsid w:val="00CB271C"/>
    <w:rsid w:val="00CC0F87"/>
    <w:rsid w:val="00CE19C8"/>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C5F14"/>
    <w:rsid w:val="00EE1F87"/>
    <w:rsid w:val="00EE3931"/>
    <w:rsid w:val="00EE5AF6"/>
    <w:rsid w:val="00EF2CEF"/>
    <w:rsid w:val="00F1092D"/>
    <w:rsid w:val="00F22E37"/>
    <w:rsid w:val="00F42C20"/>
    <w:rsid w:val="00F431D8"/>
    <w:rsid w:val="00F63E8D"/>
    <w:rsid w:val="00F67706"/>
    <w:rsid w:val="00F7565E"/>
    <w:rsid w:val="00F81FE3"/>
    <w:rsid w:val="00F90F82"/>
    <w:rsid w:val="00F92D75"/>
    <w:rsid w:val="00F97327"/>
    <w:rsid w:val="00FA094E"/>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xample">
    <w:name w:val="example"/>
    <w:basedOn w:val="Normal"/>
    <w:link w:val="exampleChar"/>
    <w:qFormat/>
    <w:rsid w:val="00962726"/>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962726"/>
    <w:rPr>
      <w:rFonts w:ascii="Trebuchet MS" w:eastAsia="Times New Roman" w:hAnsi="Trebuchet MS" w:cs="Times New Roman"/>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medicine.emory.edu/ger/bibliographies/geriatrics/bibliography87_files/Guidelines_for_Improving_the_Care_of_the_Older_Person_with_Diabetes_Mellitu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www.ncbi.nlm.nih.gov/pmc/articles/PMC4064258/pdf/nihms583558.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care.diabetesjournals.org/content/36/Supplement_1/S11"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care.diabetesjournals.org/content/41/Supplement_1" TargetMode="External"/><Relationship Id="rId23"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Berkeley-Medium">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6C6DC6"/>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purl.org/dc/dcmitype/"/>
    <ds:schemaRef ds:uri="http://schemas.microsoft.com/office/infopath/2007/PartnerControls"/>
    <ds:schemaRef ds:uri="http://purl.org/dc/terms/"/>
    <ds:schemaRef ds:uri="http://schemas.microsoft.com/office/2006/documentManagement/types"/>
    <ds:schemaRef ds:uri="http://www.w3.org/XML/1998/namespace"/>
    <ds:schemaRef ds:uri="http://purl.org/dc/elements/1.1/"/>
    <ds:schemaRef ds:uri="http://schemas.openxmlformats.org/package/2006/metadata/core-properties"/>
    <ds:schemaRef ds:uri="64615f93-1352-4a7e-b7a8-3b07e39b2009"/>
    <ds:schemaRef ds:uri="76bce2c7-2e52-4525-a6e0-24f8a73e605d"/>
    <ds:schemaRef ds:uri="http://schemas.microsoft.com/office/2006/metadata/properties"/>
  </ds:schemaRefs>
</ds:datastoreItem>
</file>

<file path=customXml/itemProps3.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7328C-CF5A-47DB-893D-65077DD68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12</Pages>
  <Words>3847</Words>
  <Characters>21933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Tejal Patel</cp:lastModifiedBy>
  <cp:revision>12</cp:revision>
  <dcterms:created xsi:type="dcterms:W3CDTF">2018-03-19T12:52:00Z</dcterms:created>
  <dcterms:modified xsi:type="dcterms:W3CDTF">2018-04-09T14:33:00Z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