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B8DA2C" w14:textId="77777777"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55B8DA2D" w14:textId="77777777" w:rsidR="00496AF8" w:rsidRPr="00496AF8" w:rsidRDefault="00496AF8" w:rsidP="002E2177">
      <w:pPr>
        <w:ind w:left="0" w:firstLine="0"/>
        <w:rPr>
          <w:noProof/>
        </w:rPr>
      </w:pPr>
    </w:p>
    <w:p w14:paraId="55B8DA2E" w14:textId="6AA41D7B"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906C33" w:rsidRPr="00624A2D">
            <w:rPr>
              <w:rStyle w:val="Style1"/>
              <w:color w:val="FF0000"/>
            </w:rPr>
            <w:t>0057</w:t>
          </w:r>
        </w:sdtContent>
      </w:sdt>
    </w:p>
    <w:p w14:paraId="55B8DA2F" w14:textId="2DD57076"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906C33" w:rsidRPr="00624A2D">
            <w:rPr>
              <w:rStyle w:val="Style1"/>
              <w:color w:val="FF0000"/>
            </w:rPr>
            <w:t>Comprehensive Diabetes Care: Hemoglobin A1c (HbA1c) Testing</w:t>
          </w:r>
        </w:sdtContent>
      </w:sdt>
    </w:p>
    <w:p w14:paraId="55B8DA30" w14:textId="582D7F84" w:rsidR="00114848"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dtPr>
        <w:sdtEndPr>
          <w:rPr>
            <w:rStyle w:val="DefaultParagraphFont"/>
            <w:noProof/>
            <w:color w:val="FF0000"/>
          </w:rPr>
        </w:sdtEndPr>
        <w:sdtContent>
          <w:r w:rsidR="00906C33" w:rsidRPr="00624A2D">
            <w:rPr>
              <w:rStyle w:val="Style1"/>
              <w:color w:val="FF0000"/>
            </w:rPr>
            <w:t>Comprehensive Diabetes Care</w:t>
          </w:r>
        </w:sdtContent>
      </w:sdt>
    </w:p>
    <w:p w14:paraId="55B8DA31" w14:textId="0A751E63"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color w:val="FF0000"/>
            <w:highlight w:val="yellow"/>
          </w:rPr>
          <w:id w:val="-1689821638"/>
          <w:placeholder>
            <w:docPart w:val="6A100845774148B09AFD987423307E3B"/>
          </w:placeholder>
          <w:date w:fullDate="2018-04-09T00:00:00Z">
            <w:dateFormat w:val="M/d/yyyy"/>
            <w:lid w:val="en-US"/>
            <w:storeMappedDataAs w:val="dateTime"/>
            <w:calendar w:val="gregorian"/>
          </w:date>
        </w:sdtPr>
        <w:sdtEndPr>
          <w:rPr>
            <w:rStyle w:val="DefaultParagraphFont"/>
            <w:noProof/>
            <w:u w:val="none"/>
          </w:rPr>
        </w:sdtEndPr>
        <w:sdtContent>
          <w:r w:rsidR="00283901" w:rsidRPr="00624A2D">
            <w:rPr>
              <w:rStyle w:val="Style2"/>
              <w:color w:val="FF0000"/>
              <w:highlight w:val="yellow"/>
            </w:rPr>
            <w:t>4/9/2018</w:t>
          </w:r>
        </w:sdtContent>
      </w:sdt>
    </w:p>
    <w:p w14:paraId="55B8DA32" w14:textId="77777777"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285"/>
      </w:tblGrid>
      <w:tr w:rsidR="00496AF8" w:rsidRPr="003B1CC5" w14:paraId="55B8DA3C" w14:textId="77777777" w:rsidTr="00176E60">
        <w:trPr>
          <w:jc w:val="center"/>
        </w:trPr>
        <w:tc>
          <w:tcPr>
            <w:tcW w:w="9576" w:type="dxa"/>
          </w:tcPr>
          <w:p w14:paraId="55B8DA33"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55B8DA34" w14:textId="7155EBC7" w:rsidR="000F4A7F" w:rsidRDefault="000F4A7F" w:rsidP="00024526">
            <w:pPr>
              <w:pStyle w:val="CommentText"/>
              <w:numPr>
                <w:ilvl w:val="0"/>
                <w:numId w:val="5"/>
              </w:numPr>
              <w:rPr>
                <w:i/>
                <w:sz w:val="22"/>
                <w:szCs w:val="22"/>
              </w:rPr>
            </w:pPr>
            <w:r>
              <w:rPr>
                <w:i/>
                <w:sz w:val="22"/>
                <w:szCs w:val="22"/>
              </w:rPr>
              <w:t xml:space="preserve">Complete 1a.1 </w:t>
            </w:r>
            <w:r w:rsidR="004922E4">
              <w:rPr>
                <w:i/>
                <w:sz w:val="22"/>
                <w:szCs w:val="22"/>
              </w:rPr>
              <w:t>and 1a.</w:t>
            </w:r>
            <w:r>
              <w:rPr>
                <w:i/>
                <w:sz w:val="22"/>
                <w:szCs w:val="22"/>
              </w:rPr>
              <w:t xml:space="preserve">2 for all measures. </w:t>
            </w:r>
            <w:r w:rsidR="004922E4">
              <w:rPr>
                <w:i/>
                <w:sz w:val="22"/>
                <w:szCs w:val="22"/>
              </w:rPr>
              <w:t>If instrument-based measure, complete 1a.3.</w:t>
            </w:r>
          </w:p>
          <w:p w14:paraId="55B8DA35" w14:textId="77777777" w:rsidR="000F4A7F" w:rsidRDefault="000F4A7F" w:rsidP="00024526">
            <w:pPr>
              <w:pStyle w:val="CommentText"/>
              <w:numPr>
                <w:ilvl w:val="0"/>
                <w:numId w:val="5"/>
              </w:numPr>
              <w:rPr>
                <w:i/>
                <w:sz w:val="22"/>
                <w:szCs w:val="22"/>
              </w:rPr>
            </w:pPr>
            <w:r>
              <w:rPr>
                <w:i/>
                <w:sz w:val="22"/>
                <w:szCs w:val="22"/>
              </w:rPr>
              <w:t xml:space="preserve">Complete </w:t>
            </w:r>
            <w:r w:rsidRPr="000F4A7F">
              <w:rPr>
                <w:b/>
                <w:i/>
                <w:sz w:val="22"/>
                <w:szCs w:val="22"/>
              </w:rPr>
              <w:t>EITHER 1a.2, 1a.3 or 1a.4</w:t>
            </w:r>
            <w:r>
              <w:rPr>
                <w:b/>
                <w:i/>
                <w:sz w:val="22"/>
                <w:szCs w:val="22"/>
              </w:rPr>
              <w:t xml:space="preserve"> </w:t>
            </w:r>
            <w:r w:rsidRPr="000F4A7F">
              <w:rPr>
                <w:i/>
                <w:sz w:val="22"/>
                <w:szCs w:val="22"/>
              </w:rPr>
              <w:t xml:space="preserve">as applicable for the </w:t>
            </w:r>
            <w:r>
              <w:rPr>
                <w:i/>
                <w:sz w:val="22"/>
                <w:szCs w:val="22"/>
              </w:rPr>
              <w:t xml:space="preserve">type of </w:t>
            </w:r>
            <w:r w:rsidRPr="000F4A7F">
              <w:rPr>
                <w:i/>
                <w:sz w:val="22"/>
                <w:szCs w:val="22"/>
              </w:rPr>
              <w:t>measure and evidence.</w:t>
            </w:r>
          </w:p>
          <w:p w14:paraId="55B8DA36" w14:textId="77777777"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14:paraId="55B8DA37"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55B8DA38"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55B8DA39" w14:textId="77777777" w:rsidR="002F20A7" w:rsidRPr="003B1CC5" w:rsidRDefault="008B652E" w:rsidP="00024526">
            <w:pPr>
              <w:pStyle w:val="ListParagraph"/>
              <w:numPr>
                <w:ilvl w:val="0"/>
                <w:numId w:val="5"/>
              </w:numPr>
              <w:spacing w:after="0" w:line="240" w:lineRule="auto"/>
            </w:pPr>
            <w:r w:rsidRPr="003B1CC5">
              <w:t xml:space="preserve">All information needed to demonstrate meeting the </w:t>
            </w:r>
            <w:r w:rsidRPr="003B1CC5">
              <w:rPr>
                <w:rFonts w:cstheme="minorHAnsi"/>
              </w:rPr>
              <w:t xml:space="preserve">evidence </w:t>
            </w:r>
            <w:r w:rsidR="00A13867" w:rsidRPr="003B1CC5">
              <w:rPr>
                <w:rFonts w:cstheme="minorHAnsi"/>
              </w:rPr>
              <w:t>sub</w:t>
            </w:r>
            <w:r w:rsidRPr="003B1CC5">
              <w:rPr>
                <w:rFonts w:cstheme="minorHAnsi"/>
              </w:rPr>
              <w:t>criterion (1a)</w:t>
            </w:r>
            <w:r w:rsidRPr="003B1CC5">
              <w:t xml:space="preserve"> must be in this form.  An appendix of </w:t>
            </w:r>
            <w:r w:rsidRPr="003B1CC5">
              <w:rPr>
                <w:i/>
              </w:rPr>
              <w:t>supplemental</w:t>
            </w:r>
            <w:r w:rsidRPr="003B1CC5">
              <w:t xml:space="preserve"> materials may be submitted, but there is no guarantee it will be reviewed.</w:t>
            </w:r>
          </w:p>
          <w:p w14:paraId="55B8DA3A"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55B8DA3B"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11" w:history="1">
              <w:r w:rsidRPr="003B1CC5">
                <w:rPr>
                  <w:rStyle w:val="Hyperlink"/>
                </w:rPr>
                <w:t>Submitting Standards webpage</w:t>
              </w:r>
            </w:hyperlink>
            <w:r w:rsidRPr="003B1CC5">
              <w:t>.</w:t>
            </w:r>
          </w:p>
        </w:tc>
      </w:tr>
    </w:tbl>
    <w:p w14:paraId="55B8DA3D"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285"/>
      </w:tblGrid>
      <w:tr w:rsidR="00176E60" w:rsidRPr="003B1CC5" w14:paraId="55B8DA4D" w14:textId="77777777" w:rsidTr="00F81FE3">
        <w:trPr>
          <w:jc w:val="center"/>
        </w:trPr>
        <w:tc>
          <w:tcPr>
            <w:tcW w:w="10534" w:type="dxa"/>
          </w:tcPr>
          <w:p w14:paraId="55B8DA3E"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w:t>
            </w:r>
            <w:r w:rsidR="00676BD4">
              <w:rPr>
                <w:b/>
                <w:bCs/>
                <w:sz w:val="20"/>
                <w:szCs w:val="20"/>
              </w:rPr>
              <w:t>and</w:t>
            </w:r>
            <w:r w:rsidR="008B652E" w:rsidRPr="003B1CC5">
              <w:rPr>
                <w:b/>
                <w:bCs/>
                <w:sz w:val="20"/>
                <w:szCs w:val="20"/>
              </w:rPr>
              <w:t>ing Committee and other stakeholders in understanding to what degree the evidence for this measure meets NQF’s evaluation criteria.</w:t>
            </w:r>
          </w:p>
          <w:p w14:paraId="55B8DA3F" w14:textId="77777777" w:rsidR="008659ED" w:rsidRPr="003B1CC5" w:rsidRDefault="008659ED" w:rsidP="008659ED">
            <w:pPr>
              <w:ind w:left="90" w:hanging="90"/>
              <w:rPr>
                <w:sz w:val="20"/>
                <w:szCs w:val="20"/>
              </w:rPr>
            </w:pPr>
            <w:bookmarkStart w:id="0" w:name="Note2"/>
            <w:bookmarkEnd w:id="0"/>
          </w:p>
          <w:p w14:paraId="55B8DA40" w14:textId="77777777"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55B8DA41"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55B8DA42" w14:textId="6C3402AF" w:rsidR="008659ED" w:rsidRPr="0061327A" w:rsidRDefault="00B35C5F" w:rsidP="00B35C5F">
            <w:pPr>
              <w:numPr>
                <w:ilvl w:val="0"/>
                <w:numId w:val="7"/>
              </w:numPr>
              <w:rPr>
                <w:rFonts w:eastAsia="Calibri" w:cs="Calibri"/>
                <w:sz w:val="20"/>
                <w:szCs w:val="20"/>
              </w:rPr>
            </w:pPr>
            <w:r w:rsidRPr="00B35C5F">
              <w:rPr>
                <w:rFonts w:eastAsia="Calibri" w:cs="Calibri"/>
                <w:sz w:val="20"/>
                <w:szCs w:val="20"/>
                <w:u w:val="single"/>
              </w:rPr>
              <w:t>O</w:t>
            </w:r>
            <w:r w:rsidR="008659ED" w:rsidRPr="00B35C5F">
              <w:rPr>
                <w:rFonts w:eastAsia="Calibri" w:cs="Calibri"/>
                <w:sz w:val="20"/>
                <w:szCs w:val="20"/>
                <w:u w:val="single"/>
              </w:rPr>
              <w:t>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B35C5F">
              <w:rPr>
                <w:rFonts w:eastAsia="Calibri" w:cs="Calibri"/>
                <w:sz w:val="20"/>
                <w:szCs w:val="20"/>
              </w:rPr>
              <w:t xml:space="preserve">Empirical data demonstrate a relationship between the outcome and at least one healthcare structure, process, intervention, or service.  If not available, wide variation in performance can be used as evidence, assuming the data are from a robust number of providers and results are not subject to systematic bias.  </w:t>
            </w:r>
          </w:p>
          <w:p w14:paraId="55B8DA43"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55B8DA44"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55B8DA45"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56E2DE06" w14:textId="27691AAB" w:rsidR="00B35C5F" w:rsidRPr="00EE6069" w:rsidRDefault="008659ED"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r w:rsidR="00B35C5F" w:rsidRPr="0039109D">
              <w:rPr>
                <w:rFonts w:ascii="Calibri" w:hAnsi="Calibri" w:cstheme="minorHAnsi"/>
                <w:bCs/>
                <w:iCs/>
                <w:sz w:val="20"/>
                <w:szCs w:val="20"/>
              </w:rPr>
              <w:t xml:space="preserve"> </w:t>
            </w:r>
          </w:p>
          <w:p w14:paraId="586C6545" w14:textId="2A0699B5" w:rsidR="00B35C5F" w:rsidRPr="00EE6069" w:rsidRDefault="00B35C5F"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EE6069">
              <w:rPr>
                <w:rFonts w:ascii="Calibri" w:hAnsi="Calibri" w:cstheme="minorHAnsi"/>
                <w:sz w:val="20"/>
                <w:szCs w:val="20"/>
              </w:rPr>
              <w:t xml:space="preserve">For measures derived from </w:t>
            </w:r>
            <w:r w:rsidRPr="00EE6069">
              <w:rPr>
                <w:rFonts w:ascii="Calibri" w:hAnsi="Calibri" w:cstheme="minorHAnsi"/>
                <w:sz w:val="20"/>
                <w:szCs w:val="20"/>
                <w:u w:val="single"/>
              </w:rPr>
              <w:t>patient reports</w:t>
            </w:r>
            <w:r w:rsidRPr="00EE6069">
              <w:rPr>
                <w:rFonts w:ascii="Calibri" w:hAnsi="Calibri" w:cstheme="minorHAnsi"/>
                <w:sz w:val="20"/>
                <w:szCs w:val="20"/>
              </w:rPr>
              <w:t>, evidence should demonstrate that the target population values the measured outcome, process, or st</w:t>
            </w:r>
            <w:r>
              <w:rPr>
                <w:rFonts w:ascii="Calibri" w:hAnsi="Calibri" w:cstheme="minorHAnsi"/>
                <w:sz w:val="20"/>
                <w:szCs w:val="20"/>
              </w:rPr>
              <w:t>ructure and finds it meaningful.</w:t>
            </w:r>
          </w:p>
          <w:p w14:paraId="55B8DA46" w14:textId="429C6E55" w:rsidR="008659ED" w:rsidRPr="003B1CC5" w:rsidRDefault="00B35C5F" w:rsidP="00B35C5F">
            <w:pPr>
              <w:numPr>
                <w:ilvl w:val="0"/>
                <w:numId w:val="8"/>
              </w:numPr>
              <w:autoSpaceDE w:val="0"/>
              <w:autoSpaceDN w:val="0"/>
              <w:adjustRightInd w:val="0"/>
              <w:contextualSpacing/>
              <w:rPr>
                <w:sz w:val="20"/>
                <w:szCs w:val="20"/>
              </w:rPr>
            </w:pPr>
            <w:r>
              <w:rPr>
                <w:rFonts w:ascii="Calibri" w:hAnsi="Calibri" w:cstheme="minorHAnsi"/>
                <w:sz w:val="20"/>
                <w:szCs w:val="20"/>
                <w:u w:val="single"/>
              </w:rPr>
              <w:t>Process m</w:t>
            </w:r>
            <w:r w:rsidRPr="004B26FC">
              <w:rPr>
                <w:rFonts w:ascii="Calibri" w:hAnsi="Calibri" w:cstheme="minorHAnsi"/>
                <w:sz w:val="20"/>
                <w:szCs w:val="20"/>
                <w:u w:val="single"/>
              </w:rPr>
              <w:t>easures incorporating Appropriate Use Criteria:</w:t>
            </w:r>
            <w:r w:rsidRPr="004B26FC">
              <w:rPr>
                <w:sz w:val="20"/>
                <w:szCs w:val="20"/>
              </w:rPr>
              <w:t xml:space="preserve"> </w:t>
            </w:r>
            <w:r>
              <w:rPr>
                <w:sz w:val="20"/>
                <w:szCs w:val="20"/>
              </w:rPr>
              <w:t xml:space="preserve">See </w:t>
            </w:r>
            <w:r w:rsidRPr="004B26FC">
              <w:rPr>
                <w:sz w:val="20"/>
                <w:szCs w:val="20"/>
              </w:rPr>
              <w:t>NQF’s guidance for evidence for measures</w:t>
            </w:r>
            <w:r>
              <w:rPr>
                <w:sz w:val="20"/>
                <w:szCs w:val="20"/>
              </w:rPr>
              <w:t>, in general; guidance for measures</w:t>
            </w:r>
            <w:r w:rsidRPr="004B26FC">
              <w:rPr>
                <w:sz w:val="20"/>
                <w:szCs w:val="20"/>
              </w:rPr>
              <w:t xml:space="preserve"> specifically based on </w:t>
            </w:r>
            <w:r>
              <w:rPr>
                <w:sz w:val="20"/>
                <w:szCs w:val="20"/>
              </w:rPr>
              <w:t>clinical practice guidelines</w:t>
            </w:r>
            <w:r w:rsidRPr="004B26FC">
              <w:rPr>
                <w:sz w:val="20"/>
                <w:szCs w:val="20"/>
              </w:rPr>
              <w:t xml:space="preserve"> apply </w:t>
            </w:r>
            <w:r w:rsidRPr="006D0681">
              <w:rPr>
                <w:sz w:val="20"/>
                <w:szCs w:val="20"/>
              </w:rPr>
              <w:t xml:space="preserve">as well. </w:t>
            </w:r>
          </w:p>
          <w:p w14:paraId="55B8DA47" w14:textId="77777777" w:rsidR="00CB1E41" w:rsidRPr="003B1CC5" w:rsidRDefault="00CB1E41" w:rsidP="008659ED">
            <w:pPr>
              <w:autoSpaceDE w:val="0"/>
              <w:autoSpaceDN w:val="0"/>
              <w:adjustRightInd w:val="0"/>
              <w:rPr>
                <w:rFonts w:eastAsia="Calibri" w:cs="Calibri"/>
                <w:b/>
                <w:bCs/>
                <w:iCs/>
                <w:sz w:val="18"/>
              </w:rPr>
            </w:pPr>
          </w:p>
          <w:p w14:paraId="55B8DA48"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55B8DA49" w14:textId="77777777" w:rsidR="008659ED" w:rsidRPr="003B1CC5" w:rsidRDefault="008659ED" w:rsidP="00CB1E41">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55B8DA4A" w14:textId="17E98CB2" w:rsidR="008659ED" w:rsidRPr="003B1CC5" w:rsidRDefault="008659ED" w:rsidP="00CB1E41">
            <w:pPr>
              <w:ind w:left="0" w:firstLine="0"/>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w:t>
            </w:r>
            <w:r w:rsidR="00B35C5F">
              <w:rPr>
                <w:rFonts w:eastAsia="Calibri" w:cs="Calibri"/>
                <w:sz w:val="20"/>
                <w:szCs w:val="20"/>
              </w:rPr>
              <w:t xml:space="preserve">the </w:t>
            </w:r>
            <w:r w:rsidRPr="003B1CC5">
              <w:rPr>
                <w:rFonts w:eastAsia="Calibri" w:cs="Calibri"/>
                <w:sz w:val="20"/>
                <w:szCs w:val="20"/>
              </w:rPr>
              <w:t xml:space="preserve">Grading of Recommendations, Assessment, Development and Evaluation </w:t>
            </w:r>
            <w:hyperlink r:id="rId12" w:history="1">
              <w:r w:rsidRPr="003B1CC5">
                <w:rPr>
                  <w:rFonts w:eastAsia="Calibri" w:cs="Calibri"/>
                  <w:color w:val="0000FF"/>
                  <w:sz w:val="20"/>
                  <w:szCs w:val="20"/>
                  <w:u w:val="single"/>
                </w:rPr>
                <w:t>(GRADE) guidelines</w:t>
              </w:r>
            </w:hyperlink>
            <w:r w:rsidR="00B35C5F">
              <w:rPr>
                <w:rFonts w:eastAsia="Calibri" w:cs="Calibri"/>
                <w:sz w:val="20"/>
                <w:szCs w:val="20"/>
              </w:rPr>
              <w:t xml:space="preserve"> and/or modified GRADE.</w:t>
            </w:r>
          </w:p>
          <w:p w14:paraId="55B8DA4B" w14:textId="77777777" w:rsidR="008659ED" w:rsidRPr="003B1CC5" w:rsidRDefault="008659ED" w:rsidP="00CB1E41">
            <w:pPr>
              <w:ind w:left="0" w:firstLine="0"/>
              <w:rPr>
                <w:rFonts w:eastAsia="Calibri" w:cs="Calibri"/>
                <w:sz w:val="20"/>
                <w:szCs w:val="20"/>
              </w:rPr>
            </w:pPr>
            <w:bookmarkStart w:id="3" w:name="Note5"/>
            <w:bookmarkEnd w:id="3"/>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w:t>
            </w:r>
            <w:r w:rsidRPr="003B1CC5">
              <w:rPr>
                <w:rFonts w:eastAsia="Calibri" w:cs="Calibri"/>
                <w:sz w:val="20"/>
                <w:szCs w:val="20"/>
              </w:rPr>
              <w:lastRenderedPageBreak/>
              <w:t>step in such a multistep process, the step with the strongest evidence for the link to the desired outcome should be selected as the focus of measurement. Note: A measure focused only on collecting PROM data is not a PRO-PM.</w:t>
            </w:r>
          </w:p>
          <w:p w14:paraId="55B8DA4C" w14:textId="77777777" w:rsidR="008659ED" w:rsidRPr="003B1CC5" w:rsidRDefault="008659ED" w:rsidP="00CB1E41">
            <w:pPr>
              <w:autoSpaceDE w:val="0"/>
              <w:autoSpaceDN w:val="0"/>
              <w:adjustRightInd w:val="0"/>
              <w:ind w:left="0" w:firstLine="0"/>
              <w:contextualSpacing/>
            </w:pPr>
            <w:bookmarkStart w:id="4" w:name="Note6"/>
            <w:bookmarkEnd w:id="4"/>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3"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4"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55B8DA4E" w14:textId="77777777" w:rsidR="00F81FE3" w:rsidRDefault="00F81FE3" w:rsidP="002E2177">
      <w:pPr>
        <w:ind w:left="0" w:firstLine="0"/>
        <w:rPr>
          <w:b/>
          <w:bCs/>
          <w:color w:val="0000FF"/>
        </w:rPr>
      </w:pPr>
    </w:p>
    <w:p w14:paraId="55B8DA4F" w14:textId="77777777" w:rsidR="00A67EB1" w:rsidRPr="003B1CC5" w:rsidRDefault="00496AF8" w:rsidP="002E2177">
      <w:pPr>
        <w:ind w:left="0" w:firstLine="0"/>
        <w:rPr>
          <w:bCs/>
          <w:i/>
        </w:rPr>
      </w:pPr>
      <w:r w:rsidRPr="003B1CC5">
        <w:rPr>
          <w:b/>
          <w:bCs/>
          <w:color w:val="0000FF"/>
        </w:rPr>
        <w:t>1</w:t>
      </w:r>
      <w:r w:rsidR="00773485" w:rsidRPr="003B1CC5">
        <w:rPr>
          <w:b/>
          <w:bCs/>
          <w:color w:val="0000FF"/>
        </w:rPr>
        <w:t>a</w:t>
      </w:r>
      <w:r w:rsidRPr="003B1CC5">
        <w:rPr>
          <w:b/>
          <w:bCs/>
          <w:color w:val="0000FF"/>
        </w:rPr>
        <w:t>.1.</w:t>
      </w:r>
      <w:r w:rsidRPr="008F6F51">
        <w:rPr>
          <w:b/>
          <w:bCs/>
        </w:rPr>
        <w:t>This is a measure</w:t>
      </w:r>
      <w:r w:rsidRPr="003B1CC5">
        <w:rPr>
          <w:b/>
          <w:bCs/>
        </w:rPr>
        <w:t xml:space="preserv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55B8DA50" w14:textId="77777777"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55B8DA51" w14:textId="73B32973" w:rsidR="00496AF8" w:rsidRPr="003B1CC5" w:rsidRDefault="004D71F2" w:rsidP="00A9011D">
      <w:pPr>
        <w:ind w:left="432"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A9011D">
            <w:rPr>
              <w:rFonts w:ascii="MS Gothic" w:eastAsia="MS Gothic" w:hAnsi="MS Gothic" w:hint="eastAsia"/>
              <w:bCs/>
              <w:color w:val="0000FF"/>
              <w:u w:val="single"/>
            </w:rPr>
            <w:t>☐</w:t>
          </w:r>
        </w:sdtContent>
      </w:sdt>
      <w:r w:rsidR="0015535B" w:rsidRPr="003B1CC5">
        <w:rPr>
          <w:bCs/>
          <w:color w:val="0000FF"/>
        </w:rPr>
        <w:t xml:space="preserve"> </w:t>
      </w:r>
      <w:r w:rsidR="00CC0F87">
        <w:rPr>
          <w:bCs/>
          <w:color w:val="0000FF"/>
        </w:rPr>
        <w:t>O</w:t>
      </w:r>
      <w:r w:rsidR="00BE6373" w:rsidRPr="003B1CC5">
        <w:rPr>
          <w:bCs/>
        </w:rPr>
        <w:t>utc</w:t>
      </w:r>
      <w:r w:rsidR="00496AF8" w:rsidRPr="003B1CC5">
        <w:rPr>
          <w:bCs/>
        </w:rPr>
        <w:t>ome</w:t>
      </w:r>
      <w:r w:rsidR="00B117D0" w:rsidRPr="003B1CC5">
        <w:rPr>
          <w:bCs/>
        </w:rPr>
        <w:t xml:space="preserve">: </w:t>
      </w:r>
      <w:sdt>
        <w:sdtPr>
          <w:rPr>
            <w:rStyle w:val="Style2"/>
            <w:rFonts w:cstheme="minorHAnsi"/>
          </w:rPr>
          <w:id w:val="-768232283"/>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14:paraId="55B8DA52" w14:textId="77777777" w:rsidR="00236F87" w:rsidRPr="003B1CC5" w:rsidRDefault="004D71F2" w:rsidP="00A9011D">
      <w:pPr>
        <w:ind w:left="864" w:hanging="432"/>
        <w:rPr>
          <w:b/>
          <w:bCs/>
        </w:rPr>
      </w:pPr>
      <w:sdt>
        <w:sdtPr>
          <w:rPr>
            <w:bCs/>
            <w:color w:val="0000FF"/>
          </w:rPr>
          <w:id w:val="-1541041819"/>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55B8DA53" w14:textId="77777777" w:rsidR="00B117D0" w:rsidRPr="0061327A"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r w:rsidR="005857F8" w:rsidRPr="003B1CC5">
        <w:rPr>
          <w:bCs/>
          <w:i/>
        </w:rPr>
        <w:t>HRQoL/functional status, symptom/</w:t>
      </w:r>
      <w:r w:rsidR="003008F4">
        <w:rPr>
          <w:bCs/>
          <w:i/>
        </w:rPr>
        <w:t xml:space="preserve">symptom </w:t>
      </w:r>
      <w:r w:rsidR="005857F8" w:rsidRPr="003B1CC5">
        <w:rPr>
          <w:bCs/>
          <w:i/>
        </w:rPr>
        <w:t>burden, experience with care, health-related behaviors</w:t>
      </w:r>
      <w:r w:rsidR="0061327A" w:rsidRPr="0061327A">
        <w:rPr>
          <w:bCs/>
          <w:i/>
        </w:rPr>
        <w:t>.</w:t>
      </w:r>
      <w:r w:rsidR="0061327A" w:rsidRPr="0061327A">
        <w:rPr>
          <w:rFonts w:eastAsia="Calibri" w:cs="Calibri"/>
          <w:sz w:val="20"/>
          <w:szCs w:val="20"/>
        </w:rPr>
        <w:t xml:space="preserve"> </w:t>
      </w:r>
      <w:r w:rsidR="0061327A" w:rsidRPr="0061327A">
        <w:rPr>
          <w:rFonts w:eastAsia="Calibri" w:cs="Calibri"/>
        </w:rPr>
        <w:t>(</w:t>
      </w:r>
      <w:r w:rsidR="0061327A" w:rsidRPr="0061327A">
        <w:rPr>
          <w:rFonts w:eastAsia="Calibri" w:cs="Calibri"/>
          <w:i/>
        </w:rPr>
        <w:t>A PRO</w:t>
      </w:r>
      <w:r w:rsidR="00E42FAA">
        <w:rPr>
          <w:rFonts w:eastAsia="Calibri" w:cs="Calibri"/>
          <w:i/>
        </w:rPr>
        <w:t>-based performance</w:t>
      </w:r>
      <w:r w:rsidR="0061327A" w:rsidRPr="0061327A">
        <w:rPr>
          <w:rFonts w:eastAsia="Calibri" w:cs="Calibri"/>
          <w:i/>
        </w:rPr>
        <w:t xml:space="preserve"> measure is not a survey instrument. Data may be collected using a survey instrument to construct a PRO measure.)</w:t>
      </w:r>
    </w:p>
    <w:p w14:paraId="55B8DA54" w14:textId="77777777" w:rsidR="00496AF8" w:rsidRPr="003B1CC5" w:rsidRDefault="004D71F2" w:rsidP="004E7215">
      <w:pPr>
        <w:rPr>
          <w:bCs/>
        </w:rPr>
      </w:pPr>
      <w:sdt>
        <w:sdtPr>
          <w:rPr>
            <w:bCs/>
            <w:color w:val="0000FF"/>
          </w:rPr>
          <w:id w:val="-720977531"/>
          <w14:checkbox>
            <w14:checked w14:val="0"/>
            <w14:checkedState w14:val="2612" w14:font="MS Gothic"/>
            <w14:uncheckedState w14:val="2610" w14:font="MS Gothic"/>
          </w14:checkbox>
        </w:sdtPr>
        <w:sdtEndPr/>
        <w:sdtContent>
          <w:r w:rsidR="00D73685" w:rsidRPr="00D73685">
            <w:rPr>
              <w:rFonts w:ascii="Segoe UI Symbol" w:hAnsi="Segoe UI Symbol" w:cs="Segoe UI Symbol"/>
              <w:bCs/>
              <w:color w:val="0000FF"/>
            </w:rPr>
            <w:t>☐</w:t>
          </w:r>
        </w:sdtContent>
      </w:sdt>
      <w:r w:rsidR="00D73685" w:rsidRPr="00D73685" w:rsidDel="00D73685">
        <w:rPr>
          <w:bCs/>
          <w:color w:val="0000FF"/>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14:paraId="55B8DA55" w14:textId="30AD1FF9" w:rsidR="00D73685" w:rsidRPr="00624A2D" w:rsidRDefault="004D71F2" w:rsidP="00015986">
      <w:pPr>
        <w:ind w:left="432" w:hanging="432"/>
        <w:rPr>
          <w:bCs/>
          <w:color w:val="FF0000"/>
        </w:rPr>
      </w:pPr>
      <w:sdt>
        <w:sdtPr>
          <w:rPr>
            <w:bCs/>
            <w:color w:val="0000FF"/>
          </w:rPr>
          <w:id w:val="-1535727686"/>
          <w14:checkbox>
            <w14:checked w14:val="1"/>
            <w14:checkedState w14:val="2612" w14:font="MS Gothic"/>
            <w14:uncheckedState w14:val="2610" w14:font="MS Gothic"/>
          </w14:checkbox>
        </w:sdtPr>
        <w:sdtEndPr/>
        <w:sdtContent>
          <w:r w:rsidR="00E5175C">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rocess:</w:t>
      </w:r>
      <w:r w:rsidR="00D73685">
        <w:rPr>
          <w:bCs/>
        </w:rPr>
        <w:t xml:space="preserve">  </w:t>
      </w:r>
      <w:sdt>
        <w:sdtPr>
          <w:rPr>
            <w:rStyle w:val="Style2"/>
            <w:rFonts w:cstheme="minorHAnsi"/>
          </w:rPr>
          <w:id w:val="-247648753"/>
        </w:sdtPr>
        <w:sdtEndPr>
          <w:rPr>
            <w:rStyle w:val="DefaultParagraphFont"/>
            <w:rFonts w:cstheme="minorBidi"/>
            <w:bCs/>
            <w:color w:val="FF0000"/>
            <w:u w:val="none"/>
          </w:rPr>
        </w:sdtEndPr>
        <w:sdtContent>
          <w:r w:rsidR="00E5175C" w:rsidRPr="00624A2D">
            <w:rPr>
              <w:rStyle w:val="Style2"/>
              <w:rFonts w:cstheme="minorHAnsi"/>
              <w:color w:val="FF0000"/>
            </w:rPr>
            <w:t>Receiving a HbA1c test during the measurement year</w:t>
          </w:r>
        </w:sdtContent>
      </w:sdt>
    </w:p>
    <w:p w14:paraId="55B8DA56" w14:textId="77777777" w:rsidR="00496AF8" w:rsidRPr="004E7215" w:rsidRDefault="00D73685" w:rsidP="00D73685">
      <w:pPr>
        <w:ind w:left="432" w:hanging="432"/>
        <w:rPr>
          <w:rFonts w:ascii="MS Gothic" w:eastAsia="MS Gothic" w:hAnsi="MS Gothic"/>
          <w:b/>
          <w:bCs/>
          <w:color w:val="0000FF"/>
        </w:rPr>
      </w:pPr>
      <w:r>
        <w:rPr>
          <w:rFonts w:ascii="MS Gothic" w:eastAsia="MS Gothic" w:hAnsi="MS Gothic" w:hint="eastAsia"/>
          <w:bCs/>
          <w:color w:val="0000FF"/>
        </w:rPr>
        <w:t xml:space="preserve">    </w:t>
      </w:r>
      <w:sdt>
        <w:sdtPr>
          <w:rPr>
            <w:rFonts w:ascii="MS Gothic" w:eastAsia="MS Gothic" w:hAnsi="MS Gothic"/>
            <w:bCs/>
            <w:color w:val="0000FF"/>
          </w:rPr>
          <w:id w:val="1303807965"/>
          <w14:checkbox>
            <w14:checked w14:val="0"/>
            <w14:checkedState w14:val="2612" w14:font="MS Gothic"/>
            <w14:uncheckedState w14:val="2610" w14:font="MS Gothic"/>
          </w14:checkbox>
        </w:sdtPr>
        <w:sdtEndPr/>
        <w:sdtContent>
          <w:r w:rsidRPr="00D73685">
            <w:rPr>
              <w:rFonts w:ascii="MS Gothic" w:eastAsia="MS Gothic" w:hAnsi="MS Gothic" w:hint="eastAsia"/>
              <w:bCs/>
              <w:color w:val="0000FF"/>
            </w:rPr>
            <w:t>☐</w:t>
          </w:r>
        </w:sdtContent>
      </w:sdt>
      <w:r>
        <w:rPr>
          <w:rFonts w:ascii="MS Gothic" w:eastAsia="MS Gothic" w:hAnsi="MS Gothic"/>
          <w:bCs/>
          <w:color w:val="0000FF"/>
        </w:rPr>
        <w:t xml:space="preserve"> </w:t>
      </w:r>
      <w:r w:rsidRPr="004E7215">
        <w:rPr>
          <w:rFonts w:eastAsia="MS Gothic"/>
          <w:bCs/>
        </w:rPr>
        <w:t>Appropriate use measure</w:t>
      </w:r>
      <w:r>
        <w:rPr>
          <w:rFonts w:eastAsia="MS Gothic"/>
          <w:bCs/>
        </w:rPr>
        <w:t>:</w:t>
      </w:r>
      <w:r w:rsidR="00496AF8" w:rsidRPr="00D73685">
        <w:rPr>
          <w:bCs/>
        </w:rPr>
        <w:t xml:space="preserve"> </w:t>
      </w:r>
      <w:r w:rsidRPr="00D73685">
        <w:rPr>
          <w:rStyle w:val="Style2"/>
          <w:rFonts w:cstheme="minorHAnsi"/>
        </w:rPr>
        <w:t xml:space="preserve"> </w:t>
      </w:r>
      <w:sdt>
        <w:sdtPr>
          <w:rPr>
            <w:rStyle w:val="Style2"/>
            <w:rFonts w:cstheme="minorHAnsi"/>
          </w:rPr>
          <w:id w:val="-2123911889"/>
          <w:showingPlcHdr/>
        </w:sdtPr>
        <w:sdtEndPr>
          <w:rPr>
            <w:rStyle w:val="DefaultParagraphFont"/>
            <w:rFonts w:cstheme="minorBidi"/>
            <w:bCs/>
            <w:color w:val="auto"/>
            <w:u w:val="none"/>
          </w:rPr>
        </w:sdtEndPr>
        <w:sdtContent>
          <w:r w:rsidRPr="003B1CC5">
            <w:rPr>
              <w:rStyle w:val="PlaceholderText"/>
              <w:rFonts w:cstheme="minorHAnsi"/>
              <w:color w:val="A6A6A6" w:themeColor="background1" w:themeShade="A6"/>
            </w:rPr>
            <w:t>Click here to name what is being measured</w:t>
          </w:r>
        </w:sdtContent>
      </w:sdt>
      <w:r>
        <w:rPr>
          <w:rStyle w:val="Style2"/>
          <w:rFonts w:cstheme="minorHAnsi"/>
        </w:rPr>
        <w:t xml:space="preserve"> </w:t>
      </w:r>
      <w:sdt>
        <w:sdtPr>
          <w:rPr>
            <w:rStyle w:val="Style2"/>
            <w:rFonts w:cstheme="minorHAnsi"/>
          </w:rPr>
          <w:id w:val="-1371599399"/>
          <w:showingPlcHdr/>
        </w:sdtPr>
        <w:sdtEndPr>
          <w:rPr>
            <w:rStyle w:val="DefaultParagraphFont"/>
            <w:rFonts w:cstheme="minorBidi"/>
            <w:bCs/>
            <w:color w:val="auto"/>
            <w:u w:val="none"/>
          </w:rPr>
        </w:sdtEndPr>
        <w:sdtContent>
          <w:r>
            <w:rPr>
              <w:rStyle w:val="Style2"/>
              <w:rFonts w:cstheme="minorHAnsi"/>
            </w:rPr>
            <w:t xml:space="preserve">     </w:t>
          </w:r>
        </w:sdtContent>
      </w:sdt>
    </w:p>
    <w:p w14:paraId="55B8DA57" w14:textId="77777777" w:rsidR="00496AF8" w:rsidRPr="003B1CC5" w:rsidRDefault="004D71F2"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55B8DA58" w14:textId="77777777" w:rsidR="00496AF8" w:rsidRPr="003B1CC5" w:rsidRDefault="004D71F2"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D73685">
        <w:rPr>
          <w:bCs/>
        </w:rPr>
        <w:t>Composite</w:t>
      </w:r>
      <w:r w:rsidR="00496AF8" w:rsidRPr="003B1CC5">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55B8DA59" w14:textId="77777777" w:rsidR="00496AF8" w:rsidRPr="003B1CC5" w:rsidRDefault="00496AF8" w:rsidP="002E2177">
      <w:pPr>
        <w:ind w:left="0" w:firstLine="0"/>
        <w:rPr>
          <w:bCs/>
        </w:rPr>
      </w:pPr>
    </w:p>
    <w:p w14:paraId="55B8DA5A" w14:textId="0E075C21" w:rsidR="002B06BD" w:rsidRDefault="00676BD4" w:rsidP="002B06BD">
      <w:pPr>
        <w:ind w:left="432" w:hanging="432"/>
        <w:rPr>
          <w:iCs/>
        </w:rPr>
      </w:pPr>
      <w:r>
        <w:rPr>
          <w:b/>
          <w:bCs/>
          <w:color w:val="0000FF"/>
        </w:rPr>
        <w:t>1a.</w:t>
      </w:r>
      <w:r w:rsidR="00C41794">
        <w:rPr>
          <w:b/>
          <w:bCs/>
          <w:color w:val="0000FF"/>
        </w:rPr>
        <w:t>2</w:t>
      </w:r>
      <w:r w:rsidR="002B06BD" w:rsidRPr="003B1CC5">
        <w:rPr>
          <w:bCs/>
        </w:rPr>
        <w:t xml:space="preserve"> </w:t>
      </w:r>
      <w:r w:rsidRPr="00676BD4">
        <w:rPr>
          <w:b/>
          <w:bCs/>
        </w:rPr>
        <w:t>LOGIC MODEL</w:t>
      </w:r>
      <w:r>
        <w:rPr>
          <w:bCs/>
        </w:rPr>
        <w:t xml:space="preserve"> </w:t>
      </w:r>
      <w:r w:rsidRPr="00676BD4">
        <w:rPr>
          <w:iCs/>
        </w:rPr>
        <w:t>Diagram or briefly describe</w:t>
      </w:r>
      <w:r w:rsidR="002B06BD" w:rsidRPr="00676BD4">
        <w:rPr>
          <w:iCs/>
        </w:rPr>
        <w:t xml:space="preserve"> the </w:t>
      </w:r>
      <w:r w:rsidRPr="00676BD4">
        <w:rPr>
          <w:iCs/>
        </w:rPr>
        <w:t>steps</w:t>
      </w:r>
      <w:r w:rsidR="00236F87" w:rsidRPr="00676BD4">
        <w:rPr>
          <w:iCs/>
        </w:rPr>
        <w:t xml:space="preserve"> </w:t>
      </w:r>
      <w:r w:rsidR="002B06BD" w:rsidRPr="00676BD4">
        <w:rPr>
          <w:iCs/>
        </w:rPr>
        <w:t xml:space="preserve">between </w:t>
      </w:r>
      <w:r w:rsidR="00CB06C9" w:rsidRPr="00676BD4">
        <w:rPr>
          <w:iCs/>
        </w:rPr>
        <w:t>the</w:t>
      </w:r>
      <w:r w:rsidR="002B06BD" w:rsidRPr="00676BD4">
        <w:rPr>
          <w:iCs/>
        </w:rPr>
        <w:t xml:space="preserve"> healthcare structure</w:t>
      </w:r>
      <w:r w:rsidR="00CB06C9" w:rsidRPr="00676BD4">
        <w:rPr>
          <w:iCs/>
        </w:rPr>
        <w:t>s</w:t>
      </w:r>
      <w:r w:rsidR="00F90F82">
        <w:rPr>
          <w:iCs/>
        </w:rPr>
        <w:t xml:space="preserve"> and</w:t>
      </w:r>
      <w:r w:rsidR="002B06BD" w:rsidRPr="00676BD4">
        <w:rPr>
          <w:iCs/>
        </w:rPr>
        <w:t xml:space="preserve"> process</w:t>
      </w:r>
      <w:r w:rsidR="00CB06C9" w:rsidRPr="00676BD4">
        <w:rPr>
          <w:iCs/>
        </w:rPr>
        <w:t>es</w:t>
      </w:r>
      <w:r>
        <w:rPr>
          <w:iCs/>
        </w:rPr>
        <w:t xml:space="preserve"> (e.g.,</w:t>
      </w:r>
      <w:r w:rsidR="002B06BD" w:rsidRPr="00676BD4">
        <w:rPr>
          <w:iCs/>
        </w:rPr>
        <w:t xml:space="preserve"> intervention</w:t>
      </w:r>
      <w:r w:rsidR="00CB06C9" w:rsidRPr="00676BD4">
        <w:rPr>
          <w:iCs/>
        </w:rPr>
        <w:t>s</w:t>
      </w:r>
      <w:r w:rsidR="002B06BD" w:rsidRPr="00676BD4">
        <w:rPr>
          <w:iCs/>
        </w:rPr>
        <w:t>, or service</w:t>
      </w:r>
      <w:r w:rsidR="00CB06C9" w:rsidRPr="00676BD4">
        <w:rPr>
          <w:iCs/>
        </w:rPr>
        <w:t>s</w:t>
      </w:r>
      <w:r>
        <w:rPr>
          <w:iCs/>
        </w:rPr>
        <w:t>)</w:t>
      </w:r>
      <w:r w:rsidR="00CB06C9" w:rsidRPr="00676BD4">
        <w:rPr>
          <w:iCs/>
        </w:rPr>
        <w:t xml:space="preserve"> </w:t>
      </w:r>
      <w:r w:rsidRPr="00676BD4">
        <w:rPr>
          <w:iCs/>
        </w:rPr>
        <w:t>and the patient</w:t>
      </w:r>
      <w:r>
        <w:rPr>
          <w:iCs/>
        </w:rPr>
        <w:t>’s</w:t>
      </w:r>
      <w:r w:rsidRPr="00676BD4">
        <w:rPr>
          <w:iCs/>
        </w:rPr>
        <w:t xml:space="preserve"> health outcome</w:t>
      </w:r>
      <w:r w:rsidR="00F90F82">
        <w:rPr>
          <w:iCs/>
        </w:rPr>
        <w:t>(s)</w:t>
      </w:r>
      <w:r w:rsidRPr="00676BD4">
        <w:rPr>
          <w:iCs/>
        </w:rPr>
        <w:t>. The relationship</w:t>
      </w:r>
      <w:r>
        <w:rPr>
          <w:iCs/>
        </w:rPr>
        <w:t>s</w:t>
      </w:r>
      <w:r w:rsidRPr="00676BD4">
        <w:rPr>
          <w:iCs/>
        </w:rPr>
        <w:t xml:space="preserve"> in the diagram should be easily understood by general, non-technical audiences.</w:t>
      </w:r>
      <w:r>
        <w:rPr>
          <w:iCs/>
        </w:rPr>
        <w:t xml:space="preserve"> Indicate the </w:t>
      </w:r>
      <w:r w:rsidR="00F90F82">
        <w:rPr>
          <w:iCs/>
        </w:rPr>
        <w:t xml:space="preserve">structure, </w:t>
      </w:r>
      <w:r>
        <w:rPr>
          <w:iCs/>
        </w:rPr>
        <w:t>process o</w:t>
      </w:r>
      <w:r w:rsidRPr="00676BD4">
        <w:rPr>
          <w:iCs/>
        </w:rPr>
        <w:t>r outcome being measured.</w:t>
      </w:r>
    </w:p>
    <w:p w14:paraId="5B761CA3" w14:textId="77777777" w:rsidR="00270F08" w:rsidRDefault="00270F08" w:rsidP="00270F08">
      <w:pPr>
        <w:ind w:left="0" w:firstLine="0"/>
        <w:rPr>
          <w:iCs/>
        </w:rPr>
      </w:pPr>
    </w:p>
    <w:p w14:paraId="4B6623BF" w14:textId="0F2C5084" w:rsidR="00270F08" w:rsidRPr="00624A2D" w:rsidRDefault="00270F08" w:rsidP="00270F08">
      <w:pPr>
        <w:ind w:left="432" w:firstLine="0"/>
        <w:rPr>
          <w:iCs/>
          <w:color w:val="FF0000"/>
        </w:rPr>
      </w:pPr>
      <w:r w:rsidRPr="00624A2D">
        <w:rPr>
          <w:iCs/>
          <w:color w:val="FF0000"/>
        </w:rPr>
        <w:t>Adults with diabetes (type 1 or 2) &gt;&gt;&gt; HbA1c test is performed&gt;&gt;&gt; Test results are evaluated&gt;&gt;&gt;HbA1c Health provider determines treatment to keep HbA1c at desirable level&gt;&gt;&gt;</w:t>
      </w:r>
      <w:r w:rsidR="00410EAA" w:rsidRPr="00624A2D">
        <w:rPr>
          <w:iCs/>
          <w:color w:val="FF0000"/>
        </w:rPr>
        <w:t xml:space="preserve">Maintenance </w:t>
      </w:r>
      <w:r w:rsidRPr="00624A2D">
        <w:rPr>
          <w:iCs/>
          <w:color w:val="FF0000"/>
        </w:rPr>
        <w:t>or improvement in HbA1c level and/or quality of life (desired outcome).</w:t>
      </w:r>
    </w:p>
    <w:p w14:paraId="55B8DA5B" w14:textId="77777777" w:rsidR="002B06BD" w:rsidRPr="003B1CC5" w:rsidRDefault="002B06BD" w:rsidP="002E2177">
      <w:pPr>
        <w:ind w:left="432" w:hanging="432"/>
        <w:rPr>
          <w:color w:val="0000FF"/>
        </w:rPr>
      </w:pPr>
    </w:p>
    <w:p w14:paraId="55B8DA5C" w14:textId="47993695" w:rsidR="00676BD4" w:rsidRDefault="00676BD4" w:rsidP="002E2177">
      <w:pPr>
        <w:ind w:left="432" w:hanging="432"/>
        <w:rPr>
          <w:b/>
          <w:color w:val="0000FF"/>
        </w:rPr>
      </w:pPr>
    </w:p>
    <w:p w14:paraId="33C7741B" w14:textId="142FE964" w:rsidR="004922E4" w:rsidRDefault="004922E4" w:rsidP="004922E4">
      <w:pPr>
        <w:ind w:right="140"/>
        <w:rPr>
          <w:iCs/>
        </w:rPr>
      </w:pPr>
      <w:r>
        <w:rPr>
          <w:b/>
          <w:bCs/>
          <w:color w:val="0000FF"/>
        </w:rPr>
        <w:t>1a.3</w:t>
      </w:r>
      <w:r w:rsidRPr="003B1CC5">
        <w:rPr>
          <w:bCs/>
        </w:rPr>
        <w:t xml:space="preserve"> </w:t>
      </w:r>
      <w:r>
        <w:rPr>
          <w:b/>
          <w:bCs/>
        </w:rPr>
        <w:t xml:space="preserve">Value and Meaningfulness:  </w:t>
      </w:r>
      <w:r>
        <w:rPr>
          <w:bCs/>
        </w:rPr>
        <w:t xml:space="preserve"> </w:t>
      </w:r>
      <w:r w:rsidRPr="004922E4">
        <w:rPr>
          <w:b/>
          <w:iCs/>
        </w:rPr>
        <w:t xml:space="preserve">IF </w:t>
      </w:r>
      <w:r>
        <w:rPr>
          <w:iCs/>
        </w:rPr>
        <w:t xml:space="preserve">this measure is </w:t>
      </w:r>
      <w:r w:rsidRPr="004922E4">
        <w:rPr>
          <w:iCs/>
        </w:rPr>
        <w:t xml:space="preserve">derived from patient report, provide evidence that the target population values the measured </w:t>
      </w:r>
      <w:r w:rsidRPr="004922E4">
        <w:rPr>
          <w:b/>
          <w:i/>
          <w:iCs/>
        </w:rPr>
        <w:t>outcome, process, or structure</w:t>
      </w:r>
      <w:r w:rsidRPr="004922E4">
        <w:rPr>
          <w:iCs/>
        </w:rPr>
        <w:t xml:space="preserve"> and finds it meaningful. (Describe how and from whom their input was obtained.)</w:t>
      </w:r>
    </w:p>
    <w:p w14:paraId="40CEC542" w14:textId="77777777" w:rsidR="00270F08" w:rsidRDefault="00270F08" w:rsidP="00270F08">
      <w:pPr>
        <w:ind w:right="140" w:firstLine="0"/>
        <w:rPr>
          <w:iCs/>
          <w:color w:val="0000CC"/>
        </w:rPr>
      </w:pPr>
    </w:p>
    <w:p w14:paraId="0D19618C" w14:textId="2A6005E4" w:rsidR="00270F08" w:rsidRPr="00624A2D" w:rsidRDefault="00270F08" w:rsidP="00270F08">
      <w:pPr>
        <w:ind w:right="140" w:firstLine="0"/>
        <w:rPr>
          <w:b/>
          <w:iCs/>
          <w:color w:val="FF0000"/>
        </w:rPr>
      </w:pPr>
      <w:r w:rsidRPr="00624A2D">
        <w:rPr>
          <w:iCs/>
          <w:color w:val="FF0000"/>
        </w:rPr>
        <w:t>N/A</w:t>
      </w:r>
    </w:p>
    <w:p w14:paraId="55B8DA5F" w14:textId="77777777" w:rsidR="00676BD4" w:rsidRDefault="00676BD4" w:rsidP="00A9011D">
      <w:pPr>
        <w:ind w:left="0" w:firstLine="0"/>
        <w:rPr>
          <w:b/>
          <w:color w:val="0000FF"/>
        </w:rPr>
      </w:pPr>
    </w:p>
    <w:p w14:paraId="55B8DA60" w14:textId="77777777" w:rsidR="00676BD4" w:rsidRDefault="00676BD4" w:rsidP="002E2177">
      <w:pPr>
        <w:ind w:left="432" w:hanging="432"/>
        <w:rPr>
          <w:b/>
          <w:color w:val="0000FF"/>
        </w:rPr>
      </w:pPr>
    </w:p>
    <w:p w14:paraId="55B8DA61" w14:textId="77777777" w:rsidR="00676BD4" w:rsidRDefault="00C41794" w:rsidP="002E2177">
      <w:pPr>
        <w:ind w:left="432" w:hanging="432"/>
        <w:rPr>
          <w:b/>
          <w:color w:val="0000FF"/>
        </w:rPr>
      </w:pPr>
      <w:r>
        <w:rPr>
          <w:b/>
          <w:color w:val="0000FF"/>
        </w:rPr>
        <w:t xml:space="preserve">**RESPOND TO ONLY ONE SECTION </w:t>
      </w:r>
      <w:r w:rsidR="004E7215">
        <w:rPr>
          <w:b/>
          <w:color w:val="0000FF"/>
        </w:rPr>
        <w:t>BELOW -</w:t>
      </w:r>
      <w:r>
        <w:rPr>
          <w:b/>
          <w:color w:val="0000FF"/>
        </w:rPr>
        <w:t xml:space="preserve">EITHER 1a.2, 1a.3 or 1a.4) </w:t>
      </w:r>
      <w:r w:rsidR="00AB4ECE">
        <w:rPr>
          <w:b/>
          <w:color w:val="0000FF"/>
        </w:rPr>
        <w:t>**</w:t>
      </w:r>
    </w:p>
    <w:p w14:paraId="55B8DA62" w14:textId="77777777" w:rsidR="00676BD4" w:rsidRDefault="00676BD4" w:rsidP="002E2177">
      <w:pPr>
        <w:ind w:left="432" w:hanging="432"/>
        <w:rPr>
          <w:b/>
          <w:color w:val="0000FF"/>
        </w:rPr>
      </w:pPr>
    </w:p>
    <w:p w14:paraId="55B8DA63" w14:textId="68FDCDED" w:rsidR="00496AF8" w:rsidRDefault="00B058A6" w:rsidP="00C41794">
      <w:pPr>
        <w:ind w:left="432" w:hanging="432"/>
        <w:rPr>
          <w:b/>
          <w:iCs/>
        </w:rPr>
      </w:pPr>
      <w:r w:rsidRPr="003B1CC5">
        <w:rPr>
          <w:b/>
          <w:color w:val="0000FF"/>
        </w:rPr>
        <w:t>1</w:t>
      </w:r>
      <w:r w:rsidR="00773485" w:rsidRPr="003B1CC5">
        <w:rPr>
          <w:b/>
          <w:color w:val="0000FF"/>
        </w:rPr>
        <w:t>a</w:t>
      </w:r>
      <w:r w:rsidRPr="003B1CC5">
        <w:rPr>
          <w:b/>
          <w:color w:val="0000FF"/>
        </w:rPr>
        <w:t>.2</w:t>
      </w:r>
      <w:r w:rsidR="00E41417" w:rsidRPr="003B1CC5">
        <w:rPr>
          <w:iCs/>
        </w:rPr>
        <w:t xml:space="preserve"> </w:t>
      </w:r>
      <w:r w:rsidR="00C41794" w:rsidRPr="00676BD4">
        <w:rPr>
          <w:b/>
        </w:rPr>
        <w:t>FOR OUTCOME MEASURES including PATIENT REPORTED OUTCOMES</w:t>
      </w:r>
      <w:r w:rsidR="003D6721">
        <w:rPr>
          <w:b/>
        </w:rPr>
        <w:t xml:space="preserve"> </w:t>
      </w:r>
      <w:r w:rsidR="00C41794">
        <w:rPr>
          <w:b/>
        </w:rPr>
        <w:t>-</w:t>
      </w:r>
      <w:r w:rsidR="00C41794" w:rsidRPr="003B1CC5">
        <w:rPr>
          <w:b/>
          <w:iCs/>
        </w:rPr>
        <w:t xml:space="preserve"> </w:t>
      </w:r>
      <w:r w:rsidR="003D6721">
        <w:rPr>
          <w:b/>
          <w:iCs/>
        </w:rPr>
        <w:t xml:space="preserve">Provide empirical data demonstrating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outcome</w:t>
      </w:r>
      <w:r w:rsidR="005857F8" w:rsidRPr="003B1CC5">
        <w:rPr>
          <w:b/>
          <w:iCs/>
        </w:rPr>
        <w:t xml:space="preserve"> </w:t>
      </w:r>
      <w:r w:rsidR="00AA5587" w:rsidRPr="003B1CC5">
        <w:rPr>
          <w:b/>
          <w:iCs/>
        </w:rPr>
        <w:t>(</w:t>
      </w:r>
      <w:r w:rsidR="005857F8" w:rsidRPr="003B1CC5">
        <w:rPr>
          <w:b/>
          <w:iCs/>
        </w:rPr>
        <w:t>or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3D6721">
        <w:rPr>
          <w:b/>
          <w:iCs/>
        </w:rPr>
        <w:t xml:space="preserve">healthcare structure, process, </w:t>
      </w:r>
      <w:r w:rsidR="00496AF8" w:rsidRPr="003B1CC5">
        <w:rPr>
          <w:b/>
          <w:iCs/>
        </w:rPr>
        <w:t>intervention, or service</w:t>
      </w:r>
      <w:r w:rsidR="00676BD4">
        <w:rPr>
          <w:b/>
          <w:iCs/>
        </w:rPr>
        <w:t>.</w:t>
      </w:r>
      <w:r w:rsidR="00AC1E53">
        <w:rPr>
          <w:b/>
          <w:iCs/>
        </w:rPr>
        <w:t xml:space="preserve"> </w:t>
      </w:r>
    </w:p>
    <w:p w14:paraId="6BD1E1B9" w14:textId="37BE691C" w:rsidR="00860CF2" w:rsidRDefault="00860CF2" w:rsidP="00C41794">
      <w:pPr>
        <w:ind w:left="432" w:hanging="432"/>
        <w:rPr>
          <w:b/>
          <w:color w:val="0000FF"/>
        </w:rPr>
      </w:pPr>
      <w:r>
        <w:rPr>
          <w:b/>
          <w:color w:val="0000FF"/>
        </w:rPr>
        <w:tab/>
      </w:r>
    </w:p>
    <w:p w14:paraId="1ED32493" w14:textId="246C722E" w:rsidR="00860CF2" w:rsidRPr="00624A2D" w:rsidRDefault="00860CF2" w:rsidP="00860CF2">
      <w:pPr>
        <w:ind w:right="140" w:firstLine="0"/>
        <w:rPr>
          <w:b/>
          <w:iCs/>
          <w:color w:val="FF0000"/>
        </w:rPr>
      </w:pPr>
      <w:bookmarkStart w:id="5" w:name="_Hlk510340580"/>
      <w:r w:rsidRPr="00624A2D">
        <w:rPr>
          <w:iCs/>
          <w:color w:val="FF0000"/>
        </w:rPr>
        <w:t>N/A</w:t>
      </w:r>
    </w:p>
    <w:bookmarkEnd w:id="5"/>
    <w:p w14:paraId="55B8DA64" w14:textId="77777777" w:rsidR="00D14F0B" w:rsidRPr="003B1CC5" w:rsidRDefault="00D14F0B" w:rsidP="002E2177">
      <w:pPr>
        <w:ind w:left="0" w:firstLine="0"/>
        <w:rPr>
          <w:iCs/>
        </w:rPr>
      </w:pPr>
    </w:p>
    <w:p w14:paraId="55B8DA65" w14:textId="77777777" w:rsidR="00676BD4" w:rsidRDefault="00676BD4" w:rsidP="002E2177">
      <w:pPr>
        <w:ind w:left="0" w:firstLine="0"/>
        <w:rPr>
          <w:i/>
          <w:iCs/>
          <w:highlight w:val="green"/>
          <w:u w:val="single"/>
        </w:rPr>
      </w:pPr>
    </w:p>
    <w:p w14:paraId="08C792F4" w14:textId="203C87EC" w:rsidR="00860CF2" w:rsidRPr="003B1CC5" w:rsidRDefault="002B06BD" w:rsidP="00C41794">
      <w:pPr>
        <w:ind w:left="0" w:firstLine="0"/>
        <w:rPr>
          <w:b/>
          <w:iCs/>
        </w:rPr>
      </w:pPr>
      <w:bookmarkStart w:id="6" w:name="Section1a3"/>
      <w:bookmarkEnd w:id="6"/>
      <w:r w:rsidRPr="003B1CC5">
        <w:rPr>
          <w:b/>
          <w:iCs/>
          <w:color w:val="0000FF"/>
        </w:rPr>
        <w:t>1a.3.</w:t>
      </w:r>
      <w:r w:rsidRPr="003B1CC5">
        <w:rPr>
          <w:i/>
          <w:iCs/>
          <w:color w:val="0000FF"/>
        </w:rPr>
        <w:t xml:space="preserve"> </w:t>
      </w:r>
      <w:r w:rsidR="00C41794">
        <w:rPr>
          <w:b/>
          <w:iCs/>
          <w:color w:val="0000FF"/>
        </w:rPr>
        <w:t>SYSTEMATIC REVIEW</w:t>
      </w:r>
      <w:r w:rsidR="00AB4ECE">
        <w:rPr>
          <w:b/>
          <w:iCs/>
          <w:color w:val="0000FF"/>
        </w:rPr>
        <w:t>(SR)</w:t>
      </w:r>
      <w:r w:rsidR="00C41794">
        <w:rPr>
          <w:b/>
          <w:iCs/>
          <w:color w:val="0000FF"/>
        </w:rPr>
        <w:t xml:space="preserve"> OF THE EVIDENCE (</w:t>
      </w:r>
      <w:r w:rsidR="00C41794" w:rsidRPr="00F90F82">
        <w:rPr>
          <w:b/>
          <w:iCs/>
        </w:rPr>
        <w:t>for</w:t>
      </w:r>
      <w:r w:rsidR="00C41794" w:rsidRPr="00F90F82">
        <w:rPr>
          <w:b/>
          <w:iCs/>
          <w:caps/>
        </w:rPr>
        <w:t xml:space="preserve"> </w:t>
      </w:r>
      <w:r w:rsidR="00C41794">
        <w:rPr>
          <w:b/>
          <w:iCs/>
          <w:caps/>
        </w:rPr>
        <w:t xml:space="preserve"> </w:t>
      </w:r>
      <w:r w:rsidR="00C41794" w:rsidRPr="003B1CC5">
        <w:rPr>
          <w:b/>
          <w:iCs/>
          <w:caps/>
        </w:rPr>
        <w:t>intermediate outcome, PROCESS, or STRUCTURE PERFORMANCE measure</w:t>
      </w:r>
      <w:r w:rsidR="00C41794">
        <w:rPr>
          <w:b/>
          <w:iCs/>
          <w:caps/>
        </w:rPr>
        <w:t>s</w:t>
      </w:r>
      <w:r w:rsidR="003D6721">
        <w:rPr>
          <w:b/>
          <w:iCs/>
          <w:caps/>
        </w:rPr>
        <w:t>, including those that are instrument-based</w:t>
      </w:r>
      <w:r w:rsidR="00C41794">
        <w:rPr>
          <w:b/>
          <w:iCs/>
          <w:caps/>
        </w:rPr>
        <w:t>)</w:t>
      </w:r>
      <w:r w:rsidR="00C41794" w:rsidRPr="003B1CC5">
        <w:rPr>
          <w:b/>
          <w:iCs/>
        </w:rPr>
        <w:t xml:space="preserve"> </w:t>
      </w:r>
      <w:r w:rsidR="00C41794">
        <w:rPr>
          <w:b/>
          <w:iCs/>
        </w:rPr>
        <w:t>If the evidence is not based on a system</w:t>
      </w:r>
      <w:r w:rsidR="00AB4ECE">
        <w:rPr>
          <w:b/>
          <w:iCs/>
        </w:rPr>
        <w:t>a</w:t>
      </w:r>
      <w:r w:rsidR="00C41794">
        <w:rPr>
          <w:b/>
          <w:iCs/>
        </w:rPr>
        <w:t>tic review go to section 1a.4)</w:t>
      </w:r>
      <w:r w:rsidR="00AB4ECE">
        <w:rPr>
          <w:b/>
          <w:iCs/>
        </w:rPr>
        <w:t xml:space="preserve"> If you wish to include more than one systematic review, add </w:t>
      </w:r>
      <w:r w:rsidR="000F4A7F">
        <w:rPr>
          <w:b/>
          <w:iCs/>
        </w:rPr>
        <w:t>additional tables.</w:t>
      </w:r>
      <w:r w:rsidR="00AB4ECE">
        <w:rPr>
          <w:b/>
          <w:iCs/>
        </w:rPr>
        <w:t xml:space="preserve"> </w:t>
      </w:r>
    </w:p>
    <w:p w14:paraId="55B8DA67" w14:textId="77777777" w:rsidR="00496AF8" w:rsidRDefault="00496AF8" w:rsidP="002E2177">
      <w:pPr>
        <w:ind w:left="0" w:firstLine="0"/>
        <w:rPr>
          <w:i/>
          <w:iCs/>
        </w:rPr>
      </w:pPr>
    </w:p>
    <w:p w14:paraId="55B8DA68" w14:textId="77777777" w:rsidR="00A9011D" w:rsidRPr="00A9011D" w:rsidRDefault="00A9011D" w:rsidP="00A9011D">
      <w:pPr>
        <w:ind w:left="0" w:firstLine="0"/>
        <w:rPr>
          <w:rFonts w:ascii="Calibri" w:eastAsia="Calibri" w:hAnsi="Calibri" w:cs="Times New Roman"/>
          <w:b/>
        </w:rPr>
      </w:pPr>
      <w:r w:rsidRPr="00A9011D">
        <w:rPr>
          <w:rFonts w:ascii="Calibri" w:eastAsia="Calibri" w:hAnsi="Calibri" w:cs="Times New Roman"/>
          <w:b/>
        </w:rPr>
        <w:t xml:space="preserve">What is the source of the </w:t>
      </w:r>
      <w:r w:rsidRPr="00A9011D">
        <w:rPr>
          <w:rFonts w:ascii="Calibri" w:eastAsia="Calibri" w:hAnsi="Calibri" w:cs="Times New Roman"/>
          <w:b/>
          <w:u w:val="single"/>
        </w:rPr>
        <w:t>systematic review of the body of evidence</w:t>
      </w:r>
      <w:r w:rsidRPr="00A9011D">
        <w:rPr>
          <w:rFonts w:ascii="Calibri" w:eastAsia="Calibri" w:hAnsi="Calibri" w:cs="Times New Roman"/>
          <w:b/>
        </w:rPr>
        <w:t xml:space="preserve"> that supports the performance measure?</w:t>
      </w:r>
      <w:r>
        <w:rPr>
          <w:rFonts w:ascii="Calibri" w:eastAsia="Calibri" w:hAnsi="Calibri" w:cs="Times New Roman"/>
          <w:b/>
        </w:rPr>
        <w:t xml:space="preserve">  A systematic review is a scientific investigation that focuses on a specific question and uses explicit, prespecified scientific methods to identify, select, assess, and summarize the findings of similar but separate studies. It may include a quantitative synthesis (meta-analysis), depending on the available data. (IOM)</w:t>
      </w:r>
    </w:p>
    <w:p w14:paraId="55B8DA69" w14:textId="77777777" w:rsidR="00A9011D" w:rsidRPr="00A9011D" w:rsidRDefault="00EC1225" w:rsidP="00A9011D">
      <w:pPr>
        <w:ind w:left="0" w:firstLine="0"/>
        <w:rPr>
          <w:rFonts w:ascii="Calibri" w:eastAsia="Calibri" w:hAnsi="Calibri" w:cs="Times New Roman"/>
        </w:rPr>
      </w:pPr>
      <w:r w:rsidRPr="0067273A">
        <w:rPr>
          <w:rFonts w:ascii="Times New Roman" w:eastAsia="Arial Unicode MS" w:hAnsi="Times New Roman" w:cs="Mangal" w:hint="eastAsia"/>
          <w:color w:val="0000FF"/>
          <w:kern w:val="1"/>
          <w:sz w:val="24"/>
          <w:szCs w:val="24"/>
          <w:highlight w:val="yellow"/>
          <w:lang w:eastAsia="hi-IN" w:bidi="hi-IN"/>
        </w:rPr>
        <w:t>☐</w:t>
      </w:r>
      <w:r w:rsidRPr="0067273A">
        <w:rPr>
          <w:rFonts w:ascii="Times New Roman" w:eastAsia="Arial Unicode MS" w:hAnsi="Times New Roman" w:cs="Mangal"/>
          <w:color w:val="0000FF"/>
          <w:kern w:val="1"/>
          <w:sz w:val="24"/>
          <w:szCs w:val="24"/>
          <w:highlight w:val="yellow"/>
          <w:lang w:eastAsia="hi-IN" w:bidi="hi-IN"/>
        </w:rPr>
        <w:t xml:space="preserve"> </w:t>
      </w:r>
      <w:r w:rsidR="00A9011D" w:rsidRPr="0067273A">
        <w:rPr>
          <w:rFonts w:ascii="Calibri" w:eastAsia="Calibri" w:hAnsi="Calibri" w:cs="Times New Roman"/>
          <w:highlight w:val="yellow"/>
        </w:rPr>
        <w:t xml:space="preserve">Clinical Practice Guideline recommendation </w:t>
      </w:r>
      <w:r w:rsidRPr="0067273A">
        <w:rPr>
          <w:rFonts w:ascii="Calibri" w:eastAsia="Calibri" w:hAnsi="Calibri" w:cs="Times New Roman"/>
          <w:highlight w:val="yellow"/>
        </w:rPr>
        <w:t xml:space="preserve"> (with evidence review)</w:t>
      </w:r>
    </w:p>
    <w:p w14:paraId="55B8DA6A" w14:textId="77777777" w:rsidR="00A9011D" w:rsidRPr="00A9011D" w:rsidRDefault="00A9011D" w:rsidP="00A9011D">
      <w:pPr>
        <w:ind w:left="0" w:firstLine="0"/>
        <w:rPr>
          <w:rFonts w:ascii="Calibri" w:eastAsia="Calibri" w:hAnsi="Calibri" w:cs="Times New Roman"/>
          <w:b/>
          <w:i/>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US Preventive Services Task Force Recommendation</w:t>
      </w:r>
    </w:p>
    <w:p w14:paraId="55B8DA6B" w14:textId="77777777" w:rsidR="00A9011D" w:rsidRPr="00A9011D" w:rsidRDefault="00A9011D" w:rsidP="00A9011D">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systematic review and grading of the body of evidence (</w:t>
      </w:r>
      <w:r w:rsidRPr="00A9011D">
        <w:rPr>
          <w:rFonts w:ascii="Calibri" w:eastAsia="Calibri" w:hAnsi="Calibri" w:cs="Times New Roman"/>
          <w:i/>
        </w:rPr>
        <w:t>e.g., Cochrane Collaboration, AHRQ Evidence Practice Center</w:t>
      </w:r>
      <w:r w:rsidRPr="00A9011D">
        <w:rPr>
          <w:rFonts w:ascii="Calibri" w:eastAsia="Calibri" w:hAnsi="Calibri" w:cs="Times New Roman"/>
        </w:rPr>
        <w:t xml:space="preserve">) </w:t>
      </w:r>
    </w:p>
    <w:p w14:paraId="55B8DA6C" w14:textId="77777777" w:rsidR="00A9011D" w:rsidRPr="000F4A7F" w:rsidRDefault="00A9011D" w:rsidP="002E2177">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w:t>
      </w:r>
    </w:p>
    <w:p w14:paraId="55B8DA6D" w14:textId="77777777" w:rsidR="00A9011D" w:rsidRDefault="00A9011D" w:rsidP="002E2177">
      <w:pPr>
        <w:ind w:left="0" w:firstLine="0"/>
        <w:rPr>
          <w:i/>
          <w:iCs/>
        </w:rPr>
      </w:pPr>
    </w:p>
    <w:p w14:paraId="55B8DA6E" w14:textId="55B84978" w:rsidR="004E7215" w:rsidRPr="00624A2D" w:rsidRDefault="00B61278" w:rsidP="006A1CC2">
      <w:pPr>
        <w:ind w:left="-630" w:firstLine="0"/>
        <w:rPr>
          <w:color w:val="FF0000"/>
        </w:rPr>
      </w:pPr>
      <w:r w:rsidRPr="00624A2D">
        <w:rPr>
          <w:color w:val="FF0000"/>
        </w:rPr>
        <w:t>Table 1. American Diabetes Association Guidelines</w:t>
      </w:r>
    </w:p>
    <w:tbl>
      <w:tblPr>
        <w:tblStyle w:val="TableGrid"/>
        <w:tblW w:w="11030" w:type="dxa"/>
        <w:tblInd w:w="-815" w:type="dxa"/>
        <w:tblLook w:val="04A0" w:firstRow="1" w:lastRow="0" w:firstColumn="1" w:lastColumn="0" w:noHBand="0" w:noVBand="1"/>
      </w:tblPr>
      <w:tblGrid>
        <w:gridCol w:w="1796"/>
        <w:gridCol w:w="9234"/>
      </w:tblGrid>
      <w:tr w:rsidR="00AB4ECE" w14:paraId="55B8DA76" w14:textId="77777777" w:rsidTr="00ED309E">
        <w:tc>
          <w:tcPr>
            <w:tcW w:w="2700" w:type="dxa"/>
          </w:tcPr>
          <w:p w14:paraId="55B8DA6F" w14:textId="77777777" w:rsidR="00AB4ECE" w:rsidRPr="00AB4ECE" w:rsidRDefault="00AB4ECE" w:rsidP="002E2177">
            <w:pPr>
              <w:ind w:left="0" w:firstLine="0"/>
              <w:rPr>
                <w:b/>
              </w:rPr>
            </w:pPr>
            <w:r w:rsidRPr="00AB4ECE">
              <w:rPr>
                <w:b/>
              </w:rPr>
              <w:t>Source of Systematic Review:</w:t>
            </w:r>
          </w:p>
          <w:p w14:paraId="55B8DA70" w14:textId="77777777" w:rsidR="00AB4ECE" w:rsidRPr="00AB4ECE" w:rsidRDefault="00AB4ECE" w:rsidP="00AB4ECE">
            <w:pPr>
              <w:pStyle w:val="ListParagraph"/>
              <w:numPr>
                <w:ilvl w:val="0"/>
                <w:numId w:val="9"/>
              </w:numPr>
              <w:rPr>
                <w:b/>
              </w:rPr>
            </w:pPr>
            <w:r w:rsidRPr="00AB4ECE">
              <w:rPr>
                <w:b/>
              </w:rPr>
              <w:t>Title</w:t>
            </w:r>
          </w:p>
          <w:p w14:paraId="55B8DA71" w14:textId="77777777" w:rsidR="00AB4ECE" w:rsidRPr="00AB4ECE" w:rsidRDefault="00AB4ECE" w:rsidP="00AB4ECE">
            <w:pPr>
              <w:pStyle w:val="ListParagraph"/>
              <w:numPr>
                <w:ilvl w:val="0"/>
                <w:numId w:val="9"/>
              </w:numPr>
              <w:rPr>
                <w:b/>
              </w:rPr>
            </w:pPr>
            <w:r w:rsidRPr="00AB4ECE">
              <w:rPr>
                <w:b/>
              </w:rPr>
              <w:t>Author</w:t>
            </w:r>
          </w:p>
          <w:p w14:paraId="55B8DA72" w14:textId="77777777" w:rsidR="00AB4ECE" w:rsidRPr="00AB4ECE" w:rsidRDefault="00AB4ECE" w:rsidP="00AB4ECE">
            <w:pPr>
              <w:pStyle w:val="ListParagraph"/>
              <w:numPr>
                <w:ilvl w:val="0"/>
                <w:numId w:val="9"/>
              </w:numPr>
              <w:rPr>
                <w:b/>
              </w:rPr>
            </w:pPr>
            <w:r w:rsidRPr="00AB4ECE">
              <w:rPr>
                <w:b/>
              </w:rPr>
              <w:t>Date</w:t>
            </w:r>
          </w:p>
          <w:p w14:paraId="55B8DA73" w14:textId="77777777" w:rsidR="00AB4ECE" w:rsidRPr="00AB4ECE" w:rsidRDefault="00AB4ECE" w:rsidP="00AB4ECE">
            <w:pPr>
              <w:pStyle w:val="ListParagraph"/>
              <w:numPr>
                <w:ilvl w:val="0"/>
                <w:numId w:val="9"/>
              </w:numPr>
              <w:rPr>
                <w:b/>
              </w:rPr>
            </w:pPr>
            <w:r w:rsidRPr="00AB4ECE">
              <w:rPr>
                <w:b/>
              </w:rPr>
              <w:t>Citation, including page number</w:t>
            </w:r>
          </w:p>
          <w:p w14:paraId="55B8DA74" w14:textId="77777777" w:rsidR="00AB4ECE" w:rsidRPr="00AB4ECE" w:rsidRDefault="00AB4ECE" w:rsidP="00AB4ECE">
            <w:pPr>
              <w:pStyle w:val="ListParagraph"/>
              <w:numPr>
                <w:ilvl w:val="0"/>
                <w:numId w:val="9"/>
              </w:numPr>
              <w:rPr>
                <w:b/>
              </w:rPr>
            </w:pPr>
            <w:r w:rsidRPr="00AB4ECE">
              <w:rPr>
                <w:b/>
              </w:rPr>
              <w:t>URL</w:t>
            </w:r>
          </w:p>
        </w:tc>
        <w:tc>
          <w:tcPr>
            <w:tcW w:w="8330" w:type="dxa"/>
          </w:tcPr>
          <w:p w14:paraId="1D89D2F9" w14:textId="135DB57A" w:rsidR="00421E57" w:rsidRPr="00624A2D" w:rsidRDefault="00421E57" w:rsidP="002031B8">
            <w:pPr>
              <w:ind w:left="0" w:firstLine="0"/>
              <w:rPr>
                <w:rFonts w:cs="Arial"/>
                <w:color w:val="FF0000"/>
                <w:u w:val="single"/>
              </w:rPr>
            </w:pPr>
            <w:r w:rsidRPr="00624A2D">
              <w:rPr>
                <w:rFonts w:cs="Arial"/>
                <w:color w:val="FF0000"/>
                <w:u w:val="single"/>
              </w:rPr>
              <w:t>2018</w:t>
            </w:r>
          </w:p>
          <w:p w14:paraId="53ED102B" w14:textId="5DDA5F60" w:rsidR="002031B8" w:rsidRPr="00624A2D" w:rsidRDefault="002031B8" w:rsidP="002031B8">
            <w:pPr>
              <w:ind w:left="0" w:firstLine="0"/>
              <w:rPr>
                <w:rFonts w:cs="Arial"/>
                <w:color w:val="FF0000"/>
                <w:u w:val="single"/>
              </w:rPr>
            </w:pPr>
            <w:r w:rsidRPr="00624A2D">
              <w:rPr>
                <w:rFonts w:cs="Arial"/>
                <w:color w:val="FF0000"/>
              </w:rPr>
              <w:t>Diabetes Care (American Diabetes Association</w:t>
            </w:r>
            <w:r w:rsidRPr="00624A2D">
              <w:rPr>
                <w:rFonts w:cs="Arial"/>
                <w:color w:val="FF0000"/>
                <w:u w:val="single"/>
              </w:rPr>
              <w:t xml:space="preserve">) </w:t>
            </w:r>
          </w:p>
          <w:p w14:paraId="4892334A" w14:textId="0D4352CB" w:rsidR="002031B8" w:rsidRPr="00624A2D" w:rsidRDefault="002031B8" w:rsidP="002031B8">
            <w:pPr>
              <w:ind w:left="0" w:firstLine="0"/>
              <w:rPr>
                <w:rFonts w:cs="Arial"/>
                <w:color w:val="FF0000"/>
              </w:rPr>
            </w:pPr>
            <w:r w:rsidRPr="00624A2D">
              <w:rPr>
                <w:rFonts w:cs="Arial"/>
                <w:color w:val="FF0000"/>
              </w:rPr>
              <w:t xml:space="preserve">Standards </w:t>
            </w:r>
            <w:r w:rsidR="00EC5BDE" w:rsidRPr="00624A2D">
              <w:rPr>
                <w:rFonts w:cs="Arial"/>
                <w:color w:val="FF0000"/>
              </w:rPr>
              <w:t>of Medical Care in Diabetes-2018</w:t>
            </w:r>
            <w:r w:rsidRPr="00624A2D">
              <w:rPr>
                <w:rFonts w:cs="Arial"/>
                <w:color w:val="FF0000"/>
              </w:rPr>
              <w:t>. Diabetes C</w:t>
            </w:r>
            <w:r w:rsidR="00121705" w:rsidRPr="00624A2D">
              <w:rPr>
                <w:rFonts w:cs="Arial"/>
                <w:color w:val="FF0000"/>
              </w:rPr>
              <w:t>are January 2018.</w:t>
            </w:r>
            <w:r w:rsidRPr="00624A2D">
              <w:rPr>
                <w:rFonts w:cs="Arial"/>
                <w:color w:val="FF0000"/>
              </w:rPr>
              <w:t xml:space="preserve"> </w:t>
            </w:r>
            <w:r w:rsidR="00121705" w:rsidRPr="00624A2D">
              <w:rPr>
                <w:rFonts w:cs="Arial"/>
                <w:color w:val="FF0000"/>
              </w:rPr>
              <w:t>41 (Supp 1): S55-64.</w:t>
            </w:r>
            <w:r w:rsidR="00121705" w:rsidRPr="00624A2D">
              <w:rPr>
                <w:color w:val="FF0000"/>
              </w:rPr>
              <w:t xml:space="preserve"> https://doi.org/10.2337/dc18-S006</w:t>
            </w:r>
          </w:p>
          <w:p w14:paraId="63C795FB" w14:textId="22039B0B" w:rsidR="00AB4ECE" w:rsidRPr="00624A2D" w:rsidRDefault="002031B8" w:rsidP="002031B8">
            <w:pPr>
              <w:ind w:left="0" w:firstLine="0"/>
              <w:rPr>
                <w:color w:val="FF0000"/>
              </w:rPr>
            </w:pPr>
            <w:r w:rsidRPr="00624A2D">
              <w:rPr>
                <w:rFonts w:cs="Arial"/>
                <w:color w:val="FF0000"/>
              </w:rPr>
              <w:t xml:space="preserve">URL: </w:t>
            </w:r>
            <w:hyperlink r:id="rId15" w:history="1">
              <w:r w:rsidR="00421E57" w:rsidRPr="00624A2D">
                <w:rPr>
                  <w:rStyle w:val="Hyperlink"/>
                  <w:color w:val="FF0000"/>
                </w:rPr>
                <w:t>http://diabetesed.net/wp-content/uploads/2017/12/2018-ADA-Standards-of-Care.pdf</w:t>
              </w:r>
            </w:hyperlink>
          </w:p>
          <w:p w14:paraId="5AF1EA37" w14:textId="77777777" w:rsidR="00421E57" w:rsidRPr="00624A2D" w:rsidRDefault="00421E57" w:rsidP="002031B8">
            <w:pPr>
              <w:ind w:left="0" w:firstLine="0"/>
              <w:rPr>
                <w:color w:val="FF0000"/>
              </w:rPr>
            </w:pPr>
          </w:p>
          <w:p w14:paraId="12A35CCC" w14:textId="77777777" w:rsidR="00421E57" w:rsidRPr="00624A2D" w:rsidRDefault="00421E57" w:rsidP="002031B8">
            <w:pPr>
              <w:ind w:left="0" w:firstLine="0"/>
              <w:rPr>
                <w:color w:val="FF0000"/>
              </w:rPr>
            </w:pPr>
          </w:p>
          <w:p w14:paraId="588C0F86" w14:textId="17B6D5FC" w:rsidR="00E519D0" w:rsidRPr="00624A2D" w:rsidRDefault="00E519D0" w:rsidP="00421E57">
            <w:pPr>
              <w:ind w:left="0" w:firstLine="0"/>
              <w:rPr>
                <w:rFonts w:cs="Arial"/>
                <w:color w:val="0000CC"/>
                <w:u w:val="single"/>
              </w:rPr>
            </w:pPr>
            <w:r w:rsidRPr="00624A2D">
              <w:rPr>
                <w:rFonts w:cs="Arial"/>
                <w:color w:val="0000CC"/>
                <w:u w:val="single"/>
              </w:rPr>
              <w:t>2013</w:t>
            </w:r>
          </w:p>
          <w:p w14:paraId="6B065084" w14:textId="7788DCD0" w:rsidR="00421E57" w:rsidRPr="00624A2D" w:rsidRDefault="00421E57" w:rsidP="00421E57">
            <w:pPr>
              <w:ind w:left="0" w:firstLine="0"/>
              <w:rPr>
                <w:rFonts w:cs="Arial"/>
                <w:color w:val="0000CC"/>
              </w:rPr>
            </w:pPr>
            <w:r w:rsidRPr="00624A2D">
              <w:rPr>
                <w:rFonts w:cs="Arial"/>
                <w:color w:val="0000CC"/>
              </w:rPr>
              <w:t xml:space="preserve">Diabetes Care (American Diabetes Association) </w:t>
            </w:r>
          </w:p>
          <w:p w14:paraId="6C4BBF5A" w14:textId="77777777" w:rsidR="00421E57" w:rsidRPr="00624A2D" w:rsidRDefault="00421E57" w:rsidP="00421E57">
            <w:pPr>
              <w:ind w:left="0" w:firstLine="0"/>
              <w:rPr>
                <w:rFonts w:cs="Arial"/>
                <w:color w:val="0000CC"/>
              </w:rPr>
            </w:pPr>
            <w:r w:rsidRPr="00624A2D">
              <w:rPr>
                <w:rFonts w:cs="Arial"/>
                <w:color w:val="0000CC"/>
              </w:rPr>
              <w:t>Standards of Medical Care in Diabetes-2013. Diabetes Care January 2013 36:S1-e4; doi: 10.2337/dc13-S001</w:t>
            </w:r>
          </w:p>
          <w:p w14:paraId="192491D8" w14:textId="77777777" w:rsidR="00421E57" w:rsidRPr="00624A2D" w:rsidRDefault="00421E57" w:rsidP="00421E57">
            <w:pPr>
              <w:ind w:left="0" w:firstLine="0"/>
              <w:rPr>
                <w:rStyle w:val="Hyperlink"/>
                <w:rFonts w:cs="Arial"/>
                <w:color w:val="0000CC"/>
              </w:rPr>
            </w:pPr>
            <w:r w:rsidRPr="00624A2D">
              <w:rPr>
                <w:rFonts w:cs="Arial"/>
                <w:color w:val="0000CC"/>
              </w:rPr>
              <w:t xml:space="preserve">URL: </w:t>
            </w:r>
            <w:hyperlink r:id="rId16" w:history="1">
              <w:r w:rsidRPr="00624A2D">
                <w:rPr>
                  <w:rStyle w:val="Hyperlink"/>
                  <w:rFonts w:cs="Arial"/>
                  <w:color w:val="0000CC"/>
                </w:rPr>
                <w:t>http://mcintranet.musc.edu/agingq3/calculationswesbite/ADA%20Guidelines/ADA%20Binder.pdf</w:t>
              </w:r>
            </w:hyperlink>
          </w:p>
          <w:p w14:paraId="55B8DA75" w14:textId="5185E810" w:rsidR="00E519D0" w:rsidRPr="00624A2D" w:rsidRDefault="00E519D0" w:rsidP="00421E57">
            <w:pPr>
              <w:ind w:left="0" w:firstLine="0"/>
              <w:rPr>
                <w:b/>
                <w:color w:val="FF0000"/>
              </w:rPr>
            </w:pPr>
          </w:p>
        </w:tc>
      </w:tr>
      <w:tr w:rsidR="00AB4ECE" w14:paraId="55B8DA79" w14:textId="77777777" w:rsidTr="00ED309E">
        <w:tc>
          <w:tcPr>
            <w:tcW w:w="2700" w:type="dxa"/>
          </w:tcPr>
          <w:p w14:paraId="55B8DA77" w14:textId="77777777" w:rsidR="00AB4ECE" w:rsidRDefault="00AB4ECE" w:rsidP="002E2177">
            <w:pPr>
              <w:ind w:left="0" w:firstLine="0"/>
            </w:pPr>
            <w:r>
              <w:t>Quote the guideline or recommendation verbatim about the process, structure or intermediate outcome being measured.</w:t>
            </w:r>
            <w:r w:rsidR="000E5C93">
              <w:t xml:space="preserve"> If not a guideline, summarize the conclusions from the SR.</w:t>
            </w:r>
          </w:p>
        </w:tc>
        <w:tc>
          <w:tcPr>
            <w:tcW w:w="8330" w:type="dxa"/>
          </w:tcPr>
          <w:p w14:paraId="3A550738" w14:textId="77777777" w:rsidR="00AB4ECE" w:rsidRPr="00624A2D" w:rsidRDefault="00121705" w:rsidP="002E2177">
            <w:pPr>
              <w:ind w:left="0" w:firstLine="0"/>
              <w:rPr>
                <w:color w:val="FF0000"/>
              </w:rPr>
            </w:pPr>
            <w:r w:rsidRPr="00624A2D">
              <w:rPr>
                <w:color w:val="FF0000"/>
              </w:rPr>
              <w:t>Recommendations (2018)</w:t>
            </w:r>
          </w:p>
          <w:p w14:paraId="6E9946B3" w14:textId="77777777" w:rsidR="00121705" w:rsidRPr="00624A2D" w:rsidRDefault="00121705" w:rsidP="00121705">
            <w:pPr>
              <w:pStyle w:val="ListParagraph"/>
              <w:numPr>
                <w:ilvl w:val="0"/>
                <w:numId w:val="12"/>
              </w:numPr>
              <w:rPr>
                <w:color w:val="FF0000"/>
              </w:rPr>
            </w:pPr>
            <w:r w:rsidRPr="00624A2D">
              <w:rPr>
                <w:color w:val="FF0000"/>
              </w:rPr>
              <w:t xml:space="preserve">Perform the A1C test at least two times a year in patients who are meeting treatment goals (and who have stable glycemic control). E  </w:t>
            </w:r>
          </w:p>
          <w:p w14:paraId="3E774D2D" w14:textId="77777777" w:rsidR="00121705" w:rsidRPr="00624A2D" w:rsidRDefault="00121705" w:rsidP="00121705">
            <w:pPr>
              <w:pStyle w:val="ListParagraph"/>
              <w:numPr>
                <w:ilvl w:val="0"/>
                <w:numId w:val="12"/>
              </w:numPr>
              <w:rPr>
                <w:color w:val="FF0000"/>
              </w:rPr>
            </w:pPr>
            <w:r w:rsidRPr="00624A2D">
              <w:rPr>
                <w:color w:val="FF0000"/>
              </w:rPr>
              <w:t xml:space="preserve">Perform the A1C test quarterly in patients whose therapy has changed or who are not meeting glycemic goals. E </w:t>
            </w:r>
          </w:p>
          <w:p w14:paraId="38D2912B" w14:textId="77777777" w:rsidR="00121705" w:rsidRPr="00624A2D" w:rsidRDefault="00121705" w:rsidP="00121705">
            <w:pPr>
              <w:pStyle w:val="ListParagraph"/>
              <w:numPr>
                <w:ilvl w:val="0"/>
                <w:numId w:val="12"/>
              </w:numPr>
              <w:rPr>
                <w:color w:val="FF0000"/>
              </w:rPr>
            </w:pPr>
            <w:r w:rsidRPr="00624A2D">
              <w:rPr>
                <w:color w:val="FF0000"/>
              </w:rPr>
              <w:t>Point-of-care testing for A1C provides the opportunity for more timely treatment changes. E</w:t>
            </w:r>
          </w:p>
          <w:p w14:paraId="5EA6ED00" w14:textId="77777777" w:rsidR="00860CF2" w:rsidRPr="00624A2D" w:rsidRDefault="00860CF2" w:rsidP="00B555AE">
            <w:pPr>
              <w:ind w:left="0" w:firstLine="0"/>
              <w:rPr>
                <w:color w:val="FF0000"/>
              </w:rPr>
            </w:pPr>
          </w:p>
          <w:p w14:paraId="5499BB68" w14:textId="163732DC" w:rsidR="00B555AE" w:rsidRPr="00624A2D" w:rsidRDefault="00860CF2" w:rsidP="00B555AE">
            <w:pPr>
              <w:ind w:left="0" w:firstLine="0"/>
              <w:rPr>
                <w:color w:val="0000CC"/>
              </w:rPr>
            </w:pPr>
            <w:r w:rsidRPr="00624A2D">
              <w:rPr>
                <w:color w:val="0000CC"/>
              </w:rPr>
              <w:t>Recommendations (2013</w:t>
            </w:r>
            <w:r w:rsidR="00B555AE" w:rsidRPr="00624A2D">
              <w:rPr>
                <w:color w:val="0000CC"/>
              </w:rPr>
              <w:t>)</w:t>
            </w:r>
          </w:p>
          <w:p w14:paraId="490A3165" w14:textId="77777777" w:rsidR="00B555AE" w:rsidRPr="00624A2D" w:rsidRDefault="00B555AE" w:rsidP="00B555AE">
            <w:pPr>
              <w:rPr>
                <w:color w:val="0000CC"/>
              </w:rPr>
            </w:pPr>
            <w:r w:rsidRPr="00624A2D">
              <w:rPr>
                <w:color w:val="0000CC"/>
              </w:rPr>
              <w:t>Same as above</w:t>
            </w:r>
          </w:p>
          <w:p w14:paraId="55B8DA78" w14:textId="24C23223" w:rsidR="00B555AE" w:rsidRPr="00624A2D" w:rsidRDefault="00B555AE" w:rsidP="00B555AE">
            <w:pPr>
              <w:rPr>
                <w:color w:val="FF0000"/>
              </w:rPr>
            </w:pPr>
          </w:p>
        </w:tc>
      </w:tr>
      <w:tr w:rsidR="00AB4ECE" w14:paraId="55B8DA7C" w14:textId="77777777" w:rsidTr="00ED309E">
        <w:tc>
          <w:tcPr>
            <w:tcW w:w="2700" w:type="dxa"/>
          </w:tcPr>
          <w:p w14:paraId="55B8DA7A" w14:textId="77777777" w:rsidR="00AB4ECE" w:rsidRDefault="00AB4ECE" w:rsidP="00E42FAA">
            <w:pPr>
              <w:ind w:left="0" w:firstLine="0"/>
            </w:pPr>
            <w:r>
              <w:t xml:space="preserve">Grade assigned to the </w:t>
            </w:r>
            <w:r w:rsidRPr="004E7215">
              <w:rPr>
                <w:b/>
              </w:rPr>
              <w:t>evidence</w:t>
            </w:r>
            <w:r>
              <w:t xml:space="preserve"> associated with the recommendation with the </w:t>
            </w:r>
            <w:r>
              <w:lastRenderedPageBreak/>
              <w:t>definition of the grade</w:t>
            </w:r>
          </w:p>
        </w:tc>
        <w:tc>
          <w:tcPr>
            <w:tcW w:w="8330" w:type="dxa"/>
          </w:tcPr>
          <w:p w14:paraId="71FCCA1E" w14:textId="2A172A9A" w:rsidR="00FD0696" w:rsidRPr="00624A2D" w:rsidRDefault="00FD0696" w:rsidP="00E77A92">
            <w:pPr>
              <w:ind w:left="0" w:firstLine="0"/>
              <w:rPr>
                <w:color w:val="FF0000"/>
                <w:u w:val="single"/>
              </w:rPr>
            </w:pPr>
            <w:r w:rsidRPr="00624A2D">
              <w:rPr>
                <w:color w:val="FF0000"/>
                <w:u w:val="single"/>
              </w:rPr>
              <w:lastRenderedPageBreak/>
              <w:t>2018</w:t>
            </w:r>
          </w:p>
          <w:p w14:paraId="1657F2AC" w14:textId="471B00DC" w:rsidR="00E77A92" w:rsidRPr="00624A2D" w:rsidRDefault="00E77A92" w:rsidP="00E77A92">
            <w:pPr>
              <w:ind w:left="0" w:firstLine="0"/>
              <w:rPr>
                <w:color w:val="FF0000"/>
              </w:rPr>
            </w:pPr>
            <w:r w:rsidRPr="00624A2D">
              <w:rPr>
                <w:color w:val="FF0000"/>
              </w:rPr>
              <w:t>Level of Evidence &amp; Description:</w:t>
            </w:r>
          </w:p>
          <w:p w14:paraId="4705793D" w14:textId="77777777" w:rsidR="00E77A92" w:rsidRPr="00624A2D" w:rsidRDefault="00E77A92" w:rsidP="00E77A92">
            <w:pPr>
              <w:ind w:left="0" w:firstLine="0"/>
              <w:rPr>
                <w:color w:val="FF0000"/>
              </w:rPr>
            </w:pPr>
            <w:r w:rsidRPr="00624A2D">
              <w:rPr>
                <w:color w:val="FF0000"/>
              </w:rPr>
              <w:t xml:space="preserve">E </w:t>
            </w:r>
            <w:r w:rsidRPr="00624A2D">
              <w:rPr>
                <w:color w:val="FF0000"/>
              </w:rPr>
              <w:tab/>
              <w:t>Expert consensus or clinical experience</w:t>
            </w:r>
          </w:p>
          <w:p w14:paraId="700E64B9" w14:textId="77777777" w:rsidR="00FD0696" w:rsidRPr="00624A2D" w:rsidRDefault="00FD0696" w:rsidP="002E2177">
            <w:pPr>
              <w:ind w:left="0" w:firstLine="0"/>
              <w:rPr>
                <w:color w:val="FF0000"/>
              </w:rPr>
            </w:pPr>
          </w:p>
          <w:p w14:paraId="7BBB3429" w14:textId="34E06312" w:rsidR="00FD0696" w:rsidRPr="00624A2D" w:rsidRDefault="00FD0696" w:rsidP="00FD0696">
            <w:pPr>
              <w:ind w:left="0" w:firstLine="0"/>
              <w:rPr>
                <w:color w:val="0000CC"/>
                <w:u w:val="single"/>
              </w:rPr>
            </w:pPr>
            <w:r w:rsidRPr="00624A2D">
              <w:rPr>
                <w:color w:val="0000CC"/>
                <w:u w:val="single"/>
              </w:rPr>
              <w:t>2013</w:t>
            </w:r>
          </w:p>
          <w:p w14:paraId="57CCFAA2" w14:textId="1E1A271F" w:rsidR="00FD0696" w:rsidRPr="00624A2D" w:rsidRDefault="00FD0696" w:rsidP="00FD0696">
            <w:pPr>
              <w:ind w:left="0" w:firstLine="0"/>
              <w:rPr>
                <w:color w:val="0000CC"/>
              </w:rPr>
            </w:pPr>
            <w:r w:rsidRPr="00624A2D">
              <w:rPr>
                <w:color w:val="0000CC"/>
              </w:rPr>
              <w:t>Same as above</w:t>
            </w:r>
          </w:p>
          <w:p w14:paraId="55B8DA7B" w14:textId="352F3B9A" w:rsidR="00FD0696" w:rsidRPr="00624A2D" w:rsidRDefault="00FD0696" w:rsidP="002E2177">
            <w:pPr>
              <w:ind w:left="0" w:firstLine="0"/>
              <w:rPr>
                <w:color w:val="FF0000"/>
              </w:rPr>
            </w:pPr>
          </w:p>
        </w:tc>
      </w:tr>
      <w:tr w:rsidR="00AB4ECE" w14:paraId="55B8DA7F" w14:textId="77777777" w:rsidTr="00ED309E">
        <w:tc>
          <w:tcPr>
            <w:tcW w:w="2700" w:type="dxa"/>
          </w:tcPr>
          <w:p w14:paraId="55B8DA7D" w14:textId="77777777" w:rsidR="00AB4ECE" w:rsidRDefault="00AB4ECE" w:rsidP="00E42FAA">
            <w:pPr>
              <w:ind w:left="0" w:firstLine="0"/>
            </w:pPr>
            <w:r>
              <w:lastRenderedPageBreak/>
              <w:t>Provide all other grades and definitions from the evidence grading system</w:t>
            </w:r>
          </w:p>
        </w:tc>
        <w:tc>
          <w:tcPr>
            <w:tcW w:w="8330" w:type="dxa"/>
          </w:tcPr>
          <w:p w14:paraId="0D27D97D" w14:textId="36116B6E" w:rsidR="00FD0696" w:rsidRPr="00624A2D" w:rsidRDefault="00FD0696" w:rsidP="00E77A92">
            <w:pPr>
              <w:ind w:left="0" w:firstLine="0"/>
              <w:rPr>
                <w:color w:val="FF0000"/>
                <w:u w:val="single"/>
              </w:rPr>
            </w:pPr>
            <w:r w:rsidRPr="00624A2D">
              <w:rPr>
                <w:color w:val="FF0000"/>
                <w:u w:val="single"/>
              </w:rPr>
              <w:t>2018</w:t>
            </w:r>
          </w:p>
          <w:p w14:paraId="356E2158" w14:textId="16B3DCBC" w:rsidR="00E77A92" w:rsidRPr="00624A2D" w:rsidRDefault="00E77A92" w:rsidP="00E77A92">
            <w:pPr>
              <w:ind w:left="0" w:firstLine="0"/>
              <w:rPr>
                <w:color w:val="FF0000"/>
              </w:rPr>
            </w:pPr>
            <w:r w:rsidRPr="00624A2D">
              <w:rPr>
                <w:color w:val="FF0000"/>
              </w:rPr>
              <w:t>Level of Evidence &amp; Description:</w:t>
            </w:r>
          </w:p>
          <w:p w14:paraId="2EE0A67F" w14:textId="51B13D50" w:rsidR="00E77A92" w:rsidRPr="00624A2D" w:rsidRDefault="00E77A92" w:rsidP="00E77A92">
            <w:pPr>
              <w:ind w:left="0" w:firstLine="0"/>
              <w:rPr>
                <w:color w:val="FF0000"/>
              </w:rPr>
            </w:pPr>
            <w:r w:rsidRPr="00624A2D">
              <w:rPr>
                <w:color w:val="FF0000"/>
              </w:rPr>
              <w:t xml:space="preserve">A </w:t>
            </w:r>
            <w:r w:rsidRPr="00624A2D">
              <w:rPr>
                <w:color w:val="FF0000"/>
              </w:rPr>
              <w:tab/>
              <w:t xml:space="preserve"> Clear evidence from well-conducted, generalizable, randomized controlled trials that are adequately powered, including:</w:t>
            </w:r>
          </w:p>
          <w:p w14:paraId="7B602CD3" w14:textId="77777777" w:rsidR="00E77A92" w:rsidRPr="00624A2D" w:rsidRDefault="00E77A92" w:rsidP="00E77A92">
            <w:pPr>
              <w:pStyle w:val="ListParagraph"/>
              <w:numPr>
                <w:ilvl w:val="0"/>
                <w:numId w:val="13"/>
              </w:numPr>
              <w:spacing w:after="0"/>
              <w:rPr>
                <w:color w:val="FF0000"/>
              </w:rPr>
            </w:pPr>
            <w:r w:rsidRPr="00624A2D">
              <w:rPr>
                <w:color w:val="FF0000"/>
              </w:rPr>
              <w:t>Evidence from a well-conducted multicenter trial</w:t>
            </w:r>
          </w:p>
          <w:p w14:paraId="33A4A0ED" w14:textId="77777777" w:rsidR="00E77A92" w:rsidRPr="00624A2D" w:rsidRDefault="00E77A92" w:rsidP="00E77A92">
            <w:pPr>
              <w:pStyle w:val="ListParagraph"/>
              <w:numPr>
                <w:ilvl w:val="0"/>
                <w:numId w:val="13"/>
              </w:numPr>
              <w:spacing w:after="0"/>
              <w:rPr>
                <w:color w:val="FF0000"/>
              </w:rPr>
            </w:pPr>
            <w:r w:rsidRPr="00624A2D">
              <w:rPr>
                <w:color w:val="FF0000"/>
              </w:rPr>
              <w:t>Evidence from a meta-analysis that incorporated quality ratings in the analysis</w:t>
            </w:r>
          </w:p>
          <w:p w14:paraId="4DBE6AC1" w14:textId="77777777" w:rsidR="00E77A92" w:rsidRPr="00624A2D" w:rsidRDefault="00E77A92" w:rsidP="00E77A92">
            <w:pPr>
              <w:ind w:left="720" w:firstLine="0"/>
              <w:rPr>
                <w:color w:val="FF0000"/>
              </w:rPr>
            </w:pPr>
            <w:r w:rsidRPr="00624A2D">
              <w:rPr>
                <w:color w:val="FF0000"/>
              </w:rPr>
              <w:t>Compelling nonexperimental evidence, i.e., the “all or none” rule developed by the Centre for Evidence-Based Medicine at Oxford</w:t>
            </w:r>
          </w:p>
          <w:p w14:paraId="1D1252F8" w14:textId="77777777" w:rsidR="00E77A92" w:rsidRPr="00624A2D" w:rsidRDefault="00E77A92" w:rsidP="00E77A92">
            <w:pPr>
              <w:ind w:left="720" w:firstLine="0"/>
              <w:rPr>
                <w:color w:val="FF0000"/>
              </w:rPr>
            </w:pPr>
            <w:r w:rsidRPr="00624A2D">
              <w:rPr>
                <w:color w:val="FF0000"/>
              </w:rPr>
              <w:t>Supportive evidence from well-conducted randomized controlled trials that are adequately powered, including:</w:t>
            </w:r>
          </w:p>
          <w:p w14:paraId="6305BA4D" w14:textId="77777777" w:rsidR="00E77A92" w:rsidRPr="00624A2D" w:rsidRDefault="00E77A92" w:rsidP="00E77A92">
            <w:pPr>
              <w:pStyle w:val="ListParagraph"/>
              <w:numPr>
                <w:ilvl w:val="0"/>
                <w:numId w:val="14"/>
              </w:numPr>
              <w:rPr>
                <w:color w:val="FF0000"/>
              </w:rPr>
            </w:pPr>
            <w:r w:rsidRPr="00624A2D">
              <w:rPr>
                <w:color w:val="FF0000"/>
              </w:rPr>
              <w:t>Evidence from a well-conducted trial at one or more institutions</w:t>
            </w:r>
          </w:p>
          <w:p w14:paraId="6DC8FD61" w14:textId="7E39E91C" w:rsidR="00E77A92" w:rsidRPr="00624A2D" w:rsidRDefault="00E77A92" w:rsidP="00E77A92">
            <w:pPr>
              <w:pStyle w:val="ListParagraph"/>
              <w:numPr>
                <w:ilvl w:val="0"/>
                <w:numId w:val="14"/>
              </w:numPr>
              <w:rPr>
                <w:color w:val="FF0000"/>
              </w:rPr>
            </w:pPr>
            <w:r w:rsidRPr="00624A2D">
              <w:rPr>
                <w:color w:val="FF0000"/>
              </w:rPr>
              <w:t>Evidence from a meta-analysis that incorporated quality ratings in the analysis</w:t>
            </w:r>
          </w:p>
          <w:p w14:paraId="52AD512C" w14:textId="77777777" w:rsidR="00E77A92" w:rsidRPr="00624A2D" w:rsidRDefault="00E77A92" w:rsidP="00E77A92">
            <w:pPr>
              <w:ind w:left="0" w:firstLine="0"/>
              <w:rPr>
                <w:color w:val="FF0000"/>
              </w:rPr>
            </w:pPr>
            <w:r w:rsidRPr="00624A2D">
              <w:rPr>
                <w:color w:val="FF0000"/>
              </w:rPr>
              <w:t xml:space="preserve">B </w:t>
            </w:r>
            <w:r w:rsidRPr="00624A2D">
              <w:rPr>
                <w:color w:val="FF0000"/>
              </w:rPr>
              <w:tab/>
              <w:t>Supportive evidence from well-conducted cohort studies, including:</w:t>
            </w:r>
          </w:p>
          <w:p w14:paraId="5E0FE437" w14:textId="77777777" w:rsidR="00E77A92" w:rsidRPr="00624A2D" w:rsidRDefault="00E77A92" w:rsidP="00E77A92">
            <w:pPr>
              <w:pStyle w:val="ListParagraph"/>
              <w:numPr>
                <w:ilvl w:val="0"/>
                <w:numId w:val="15"/>
              </w:numPr>
              <w:spacing w:after="0"/>
              <w:rPr>
                <w:color w:val="FF0000"/>
              </w:rPr>
            </w:pPr>
            <w:r w:rsidRPr="00624A2D">
              <w:rPr>
                <w:color w:val="FF0000"/>
              </w:rPr>
              <w:t>Evidence from a well-conducted prospective cohort study or registry</w:t>
            </w:r>
          </w:p>
          <w:p w14:paraId="71C8DC26" w14:textId="6F4081CC" w:rsidR="005926D2" w:rsidRPr="00624A2D" w:rsidRDefault="00E77A92" w:rsidP="00E77A92">
            <w:pPr>
              <w:pStyle w:val="ListParagraph"/>
              <w:numPr>
                <w:ilvl w:val="0"/>
                <w:numId w:val="15"/>
              </w:numPr>
              <w:spacing w:after="0"/>
              <w:rPr>
                <w:color w:val="FF0000"/>
              </w:rPr>
            </w:pPr>
            <w:r w:rsidRPr="00624A2D">
              <w:rPr>
                <w:color w:val="FF0000"/>
              </w:rPr>
              <w:t>Evidence from a well-conducted meta-analysis of cohort studies</w:t>
            </w:r>
          </w:p>
          <w:p w14:paraId="4A070FAB" w14:textId="77777777" w:rsidR="00E77A92" w:rsidRPr="00624A2D" w:rsidRDefault="00E77A92" w:rsidP="00454B9F">
            <w:pPr>
              <w:pStyle w:val="ListParagraph"/>
              <w:numPr>
                <w:ilvl w:val="0"/>
                <w:numId w:val="15"/>
              </w:numPr>
              <w:spacing w:after="0"/>
              <w:rPr>
                <w:color w:val="FF0000"/>
              </w:rPr>
            </w:pPr>
            <w:r w:rsidRPr="00624A2D">
              <w:rPr>
                <w:color w:val="FF0000"/>
              </w:rPr>
              <w:t>Supportive evidence from a well-conducted case-control study</w:t>
            </w:r>
          </w:p>
          <w:p w14:paraId="20661DB5" w14:textId="77777777" w:rsidR="00E77A92" w:rsidRPr="00624A2D" w:rsidRDefault="00E77A92" w:rsidP="00E77A92">
            <w:pPr>
              <w:ind w:left="0" w:firstLine="0"/>
              <w:rPr>
                <w:color w:val="FF0000"/>
              </w:rPr>
            </w:pPr>
          </w:p>
          <w:p w14:paraId="0BF0FC53" w14:textId="4065E745" w:rsidR="00E77A92" w:rsidRPr="00624A2D" w:rsidRDefault="00E77A92" w:rsidP="00E77A92">
            <w:pPr>
              <w:ind w:left="0" w:firstLine="0"/>
              <w:rPr>
                <w:color w:val="FF0000"/>
              </w:rPr>
            </w:pPr>
            <w:r w:rsidRPr="00624A2D">
              <w:rPr>
                <w:color w:val="FF0000"/>
              </w:rPr>
              <w:t xml:space="preserve">C </w:t>
            </w:r>
            <w:r w:rsidRPr="00624A2D">
              <w:rPr>
                <w:color w:val="FF0000"/>
              </w:rPr>
              <w:tab/>
              <w:t>Supportive evidence from poorly controlled or uncontrolled studies, including:</w:t>
            </w:r>
          </w:p>
          <w:p w14:paraId="370CB087" w14:textId="77777777" w:rsidR="00E77A92" w:rsidRPr="00624A2D" w:rsidRDefault="00E77A92" w:rsidP="00E77A92">
            <w:pPr>
              <w:pStyle w:val="ListParagraph"/>
              <w:numPr>
                <w:ilvl w:val="0"/>
                <w:numId w:val="16"/>
              </w:numPr>
              <w:rPr>
                <w:color w:val="FF0000"/>
              </w:rPr>
            </w:pPr>
            <w:r w:rsidRPr="00624A2D">
              <w:rPr>
                <w:color w:val="FF0000"/>
              </w:rPr>
              <w:t>Evidence from randomized clinical trials with one or more major or three or more minor methodological flaws that could invalidate the results</w:t>
            </w:r>
          </w:p>
          <w:p w14:paraId="7CDD039B" w14:textId="77777777" w:rsidR="00E77A92" w:rsidRPr="00624A2D" w:rsidRDefault="00E77A92" w:rsidP="00E77A92">
            <w:pPr>
              <w:pStyle w:val="ListParagraph"/>
              <w:numPr>
                <w:ilvl w:val="0"/>
                <w:numId w:val="16"/>
              </w:numPr>
              <w:spacing w:after="0"/>
              <w:rPr>
                <w:color w:val="FF0000"/>
              </w:rPr>
            </w:pPr>
            <w:r w:rsidRPr="00624A2D">
              <w:rPr>
                <w:color w:val="FF0000"/>
              </w:rPr>
              <w:t>Evidence from observational studies with high potential for bias (such as case series with comparison to historical controls)</w:t>
            </w:r>
          </w:p>
          <w:p w14:paraId="45E045F9" w14:textId="77777777" w:rsidR="00E77A92" w:rsidRPr="00624A2D" w:rsidRDefault="00E77A92" w:rsidP="00E77A92">
            <w:pPr>
              <w:pStyle w:val="ListParagraph"/>
              <w:numPr>
                <w:ilvl w:val="0"/>
                <w:numId w:val="16"/>
              </w:numPr>
              <w:spacing w:after="0"/>
              <w:rPr>
                <w:color w:val="FF0000"/>
              </w:rPr>
            </w:pPr>
            <w:r w:rsidRPr="00624A2D">
              <w:rPr>
                <w:color w:val="FF0000"/>
              </w:rPr>
              <w:t>Evidence from case series or case reports</w:t>
            </w:r>
          </w:p>
          <w:p w14:paraId="47E93441" w14:textId="77777777" w:rsidR="00E77A92" w:rsidRPr="00624A2D" w:rsidRDefault="00E77A92" w:rsidP="00E77A92">
            <w:pPr>
              <w:ind w:left="0" w:firstLine="720"/>
              <w:rPr>
                <w:color w:val="FF0000"/>
              </w:rPr>
            </w:pPr>
            <w:r w:rsidRPr="00624A2D">
              <w:rPr>
                <w:color w:val="FF0000"/>
              </w:rPr>
              <w:t>Conflicting evidence with the weight of evidence supporting the recommendation</w:t>
            </w:r>
          </w:p>
          <w:p w14:paraId="1B201A38" w14:textId="77777777" w:rsidR="00FD0696" w:rsidRPr="00624A2D" w:rsidRDefault="00FD0696" w:rsidP="002E2177">
            <w:pPr>
              <w:ind w:left="0" w:firstLine="0"/>
              <w:rPr>
                <w:color w:val="FF0000"/>
              </w:rPr>
            </w:pPr>
          </w:p>
          <w:p w14:paraId="69DB3FBD" w14:textId="77777777" w:rsidR="00FD0696" w:rsidRPr="00624A2D" w:rsidRDefault="00FD0696" w:rsidP="00FD0696">
            <w:pPr>
              <w:ind w:left="0" w:firstLine="0"/>
              <w:rPr>
                <w:color w:val="0000CC"/>
                <w:u w:val="single"/>
              </w:rPr>
            </w:pPr>
            <w:r w:rsidRPr="00624A2D">
              <w:rPr>
                <w:color w:val="0000CC"/>
                <w:u w:val="single"/>
              </w:rPr>
              <w:t>2013</w:t>
            </w:r>
          </w:p>
          <w:p w14:paraId="1B29180B" w14:textId="77777777" w:rsidR="00FD0696" w:rsidRPr="00624A2D" w:rsidRDefault="00FD0696" w:rsidP="00FD0696">
            <w:pPr>
              <w:ind w:left="0" w:firstLine="0"/>
              <w:rPr>
                <w:color w:val="0000CC"/>
              </w:rPr>
            </w:pPr>
            <w:r w:rsidRPr="00624A2D">
              <w:rPr>
                <w:color w:val="0000CC"/>
              </w:rPr>
              <w:t>Same as above</w:t>
            </w:r>
          </w:p>
          <w:p w14:paraId="55B8DA7E" w14:textId="341B6C8D" w:rsidR="00FD0696" w:rsidRPr="00624A2D" w:rsidRDefault="00FD0696" w:rsidP="002E2177">
            <w:pPr>
              <w:ind w:left="0" w:firstLine="0"/>
              <w:rPr>
                <w:color w:val="FF0000"/>
              </w:rPr>
            </w:pPr>
          </w:p>
        </w:tc>
      </w:tr>
      <w:tr w:rsidR="00AB4ECE" w14:paraId="55B8DA82" w14:textId="77777777" w:rsidTr="00ED309E">
        <w:tc>
          <w:tcPr>
            <w:tcW w:w="2700" w:type="dxa"/>
          </w:tcPr>
          <w:p w14:paraId="55B8DA80" w14:textId="77777777" w:rsidR="00AB4ECE" w:rsidRDefault="00AB4ECE" w:rsidP="00E42FAA">
            <w:pPr>
              <w:ind w:left="0" w:firstLine="0"/>
            </w:pPr>
            <w:r>
              <w:t xml:space="preserve">Grade assigned to the </w:t>
            </w:r>
            <w:r w:rsidRPr="004E7215">
              <w:rPr>
                <w:b/>
              </w:rPr>
              <w:t>recommendation</w:t>
            </w:r>
            <w:r>
              <w:t xml:space="preserve"> with definition of the grade</w:t>
            </w:r>
          </w:p>
        </w:tc>
        <w:tc>
          <w:tcPr>
            <w:tcW w:w="8330" w:type="dxa"/>
          </w:tcPr>
          <w:p w14:paraId="2995B8F2" w14:textId="77777777" w:rsidR="00FD0696" w:rsidRPr="00624A2D" w:rsidRDefault="00FD0696" w:rsidP="00FD0696">
            <w:pPr>
              <w:ind w:left="0" w:firstLine="0"/>
              <w:rPr>
                <w:color w:val="FF0000"/>
                <w:u w:val="single"/>
              </w:rPr>
            </w:pPr>
            <w:r w:rsidRPr="00624A2D">
              <w:rPr>
                <w:color w:val="FF0000"/>
                <w:u w:val="single"/>
              </w:rPr>
              <w:t>2018</w:t>
            </w:r>
          </w:p>
          <w:p w14:paraId="6FE4F706" w14:textId="0C2CE1CF" w:rsidR="00FD0696" w:rsidRPr="00624A2D" w:rsidRDefault="00FD0696" w:rsidP="00FD0696">
            <w:pPr>
              <w:ind w:left="0" w:firstLine="0"/>
              <w:rPr>
                <w:color w:val="FF0000"/>
              </w:rPr>
            </w:pPr>
            <w:r w:rsidRPr="00624A2D">
              <w:rPr>
                <w:color w:val="FF0000"/>
              </w:rPr>
              <w:t>No additional grading was provided, grades assigned to evidence is the same with grades assigned to recommendations.</w:t>
            </w:r>
          </w:p>
          <w:p w14:paraId="1D54EFF0" w14:textId="3FB549A4" w:rsidR="00FD0696" w:rsidRPr="00624A2D" w:rsidRDefault="00FD0696" w:rsidP="00FD0696">
            <w:pPr>
              <w:ind w:left="0" w:firstLine="0"/>
              <w:rPr>
                <w:color w:val="FF0000"/>
                <w:u w:val="single"/>
              </w:rPr>
            </w:pPr>
          </w:p>
          <w:p w14:paraId="4AF4CC2E" w14:textId="7C9C9033" w:rsidR="00FD0696" w:rsidRPr="00624A2D" w:rsidRDefault="00FD0696" w:rsidP="00FD0696">
            <w:pPr>
              <w:ind w:left="0" w:firstLine="0"/>
              <w:rPr>
                <w:color w:val="0000CC"/>
                <w:u w:val="single"/>
              </w:rPr>
            </w:pPr>
            <w:r w:rsidRPr="00624A2D">
              <w:rPr>
                <w:color w:val="0000CC"/>
                <w:u w:val="single"/>
              </w:rPr>
              <w:t>2013</w:t>
            </w:r>
          </w:p>
          <w:p w14:paraId="2C49EDBC" w14:textId="77777777" w:rsidR="00FD0696" w:rsidRPr="00624A2D" w:rsidRDefault="00FD0696" w:rsidP="00FD0696">
            <w:pPr>
              <w:ind w:left="0" w:firstLine="0"/>
              <w:rPr>
                <w:color w:val="0000CC"/>
              </w:rPr>
            </w:pPr>
            <w:r w:rsidRPr="00624A2D">
              <w:rPr>
                <w:color w:val="0000CC"/>
              </w:rPr>
              <w:t>Same as above</w:t>
            </w:r>
          </w:p>
          <w:p w14:paraId="55B8DA81" w14:textId="77777777" w:rsidR="00AB4ECE" w:rsidRPr="00624A2D" w:rsidRDefault="00AB4ECE" w:rsidP="002E2177">
            <w:pPr>
              <w:ind w:left="0" w:firstLine="0"/>
              <w:rPr>
                <w:color w:val="FF0000"/>
              </w:rPr>
            </w:pPr>
          </w:p>
        </w:tc>
      </w:tr>
      <w:tr w:rsidR="00AB4ECE" w14:paraId="55B8DA85" w14:textId="77777777" w:rsidTr="00ED309E">
        <w:tc>
          <w:tcPr>
            <w:tcW w:w="2700" w:type="dxa"/>
          </w:tcPr>
          <w:p w14:paraId="55B8DA83" w14:textId="77777777" w:rsidR="00AB4ECE" w:rsidRDefault="00AB4ECE" w:rsidP="00E42FAA">
            <w:pPr>
              <w:ind w:left="0" w:firstLine="0"/>
            </w:pPr>
            <w:r>
              <w:t>Provide all other grades and definitions from the recommendation grading system</w:t>
            </w:r>
          </w:p>
        </w:tc>
        <w:tc>
          <w:tcPr>
            <w:tcW w:w="8330" w:type="dxa"/>
          </w:tcPr>
          <w:p w14:paraId="104D9910" w14:textId="77777777" w:rsidR="00FD0696" w:rsidRPr="00624A2D" w:rsidRDefault="00FD0696" w:rsidP="00FD0696">
            <w:pPr>
              <w:ind w:left="0" w:firstLine="0"/>
              <w:rPr>
                <w:color w:val="FF0000"/>
                <w:u w:val="single"/>
              </w:rPr>
            </w:pPr>
            <w:r w:rsidRPr="00624A2D">
              <w:rPr>
                <w:color w:val="FF0000"/>
                <w:u w:val="single"/>
              </w:rPr>
              <w:t>2018</w:t>
            </w:r>
          </w:p>
          <w:p w14:paraId="0BF5B6FC" w14:textId="77777777" w:rsidR="00FD0696" w:rsidRPr="00624A2D" w:rsidRDefault="00FD0696" w:rsidP="00FD0696">
            <w:pPr>
              <w:ind w:left="0" w:firstLine="0"/>
              <w:rPr>
                <w:color w:val="FF0000"/>
              </w:rPr>
            </w:pPr>
            <w:r w:rsidRPr="00624A2D">
              <w:rPr>
                <w:color w:val="FF0000"/>
              </w:rPr>
              <w:t>No additional grading was provided, grades assigned to evidence is the same with grades assigned to recommendations.</w:t>
            </w:r>
          </w:p>
          <w:p w14:paraId="5F5AED9E" w14:textId="77777777" w:rsidR="00FD0696" w:rsidRPr="00624A2D" w:rsidRDefault="00FD0696" w:rsidP="00FD0696">
            <w:pPr>
              <w:ind w:left="0" w:firstLine="0"/>
              <w:rPr>
                <w:color w:val="FF0000"/>
                <w:u w:val="single"/>
              </w:rPr>
            </w:pPr>
          </w:p>
          <w:p w14:paraId="5275DE31" w14:textId="53BEF21C" w:rsidR="00FD0696" w:rsidRPr="00624A2D" w:rsidRDefault="00FD0696" w:rsidP="00FD0696">
            <w:pPr>
              <w:ind w:left="0" w:firstLine="0"/>
              <w:rPr>
                <w:color w:val="0000CC"/>
                <w:u w:val="single"/>
              </w:rPr>
            </w:pPr>
            <w:r w:rsidRPr="00624A2D">
              <w:rPr>
                <w:color w:val="0000CC"/>
                <w:u w:val="single"/>
              </w:rPr>
              <w:t>2013</w:t>
            </w:r>
          </w:p>
          <w:p w14:paraId="0ED9EB0D" w14:textId="77777777" w:rsidR="00FD0696" w:rsidRPr="00624A2D" w:rsidRDefault="00FD0696" w:rsidP="00FD0696">
            <w:pPr>
              <w:ind w:left="0" w:firstLine="0"/>
              <w:rPr>
                <w:color w:val="0000CC"/>
              </w:rPr>
            </w:pPr>
            <w:r w:rsidRPr="00624A2D">
              <w:rPr>
                <w:color w:val="0000CC"/>
              </w:rPr>
              <w:t>Same as above</w:t>
            </w:r>
          </w:p>
          <w:p w14:paraId="55B8DA84" w14:textId="77777777" w:rsidR="00AB4ECE" w:rsidRPr="00624A2D" w:rsidRDefault="00AB4ECE" w:rsidP="002E2177">
            <w:pPr>
              <w:ind w:left="0" w:firstLine="0"/>
              <w:rPr>
                <w:color w:val="FF0000"/>
              </w:rPr>
            </w:pPr>
          </w:p>
        </w:tc>
      </w:tr>
      <w:tr w:rsidR="00AB4ECE" w14:paraId="55B8DA8A" w14:textId="77777777" w:rsidTr="00ED309E">
        <w:tc>
          <w:tcPr>
            <w:tcW w:w="2700" w:type="dxa"/>
          </w:tcPr>
          <w:p w14:paraId="55B8DA86" w14:textId="77777777" w:rsidR="00AB4ECE" w:rsidRDefault="000E5C93" w:rsidP="002E2177">
            <w:pPr>
              <w:ind w:left="0" w:firstLine="0"/>
            </w:pPr>
            <w:r>
              <w:lastRenderedPageBreak/>
              <w:t>Body of evidence:</w:t>
            </w:r>
          </w:p>
          <w:p w14:paraId="55B8DA87" w14:textId="77777777" w:rsidR="000E5C93" w:rsidRDefault="000E5C93" w:rsidP="000E5C93">
            <w:pPr>
              <w:pStyle w:val="ListParagraph"/>
              <w:numPr>
                <w:ilvl w:val="0"/>
                <w:numId w:val="10"/>
              </w:numPr>
            </w:pPr>
            <w:r>
              <w:t>Quantity – how many studies?</w:t>
            </w:r>
          </w:p>
          <w:p w14:paraId="55B8DA88" w14:textId="77777777" w:rsidR="000E5C93" w:rsidRDefault="000E5C93" w:rsidP="000E5C93">
            <w:pPr>
              <w:pStyle w:val="ListParagraph"/>
              <w:numPr>
                <w:ilvl w:val="0"/>
                <w:numId w:val="10"/>
              </w:numPr>
            </w:pPr>
            <w:r>
              <w:t>Quality – what type of studies?</w:t>
            </w:r>
          </w:p>
        </w:tc>
        <w:tc>
          <w:tcPr>
            <w:tcW w:w="8330" w:type="dxa"/>
          </w:tcPr>
          <w:p w14:paraId="795D96F9" w14:textId="7D993852" w:rsidR="00FD0696" w:rsidRPr="00624A2D" w:rsidRDefault="00FD0696" w:rsidP="00FD0696">
            <w:pPr>
              <w:pStyle w:val="NormalWeb"/>
              <w:rPr>
                <w:rFonts w:asciiTheme="minorHAnsi" w:hAnsiTheme="minorHAnsi"/>
                <w:color w:val="FF0000"/>
                <w:sz w:val="22"/>
                <w:szCs w:val="22"/>
              </w:rPr>
            </w:pPr>
            <w:r w:rsidRPr="00624A2D">
              <w:rPr>
                <w:rFonts w:asciiTheme="minorHAnsi" w:hAnsiTheme="minorHAnsi"/>
                <w:color w:val="FF0000"/>
                <w:sz w:val="22"/>
                <w:szCs w:val="22"/>
              </w:rPr>
              <w:t>The ADA does not provide information on the systematic revi</w:t>
            </w:r>
            <w:r w:rsidR="00971DC7" w:rsidRPr="00624A2D">
              <w:rPr>
                <w:rFonts w:asciiTheme="minorHAnsi" w:hAnsiTheme="minorHAnsi"/>
                <w:color w:val="FF0000"/>
                <w:sz w:val="22"/>
                <w:szCs w:val="22"/>
              </w:rPr>
              <w:t>ew conducted to support its</w:t>
            </w:r>
            <w:r w:rsidRPr="00624A2D">
              <w:rPr>
                <w:rFonts w:asciiTheme="minorHAnsi" w:hAnsiTheme="minorHAnsi"/>
                <w:color w:val="FF0000"/>
                <w:sz w:val="22"/>
                <w:szCs w:val="22"/>
              </w:rPr>
              <w:t xml:space="preserve"> guideline and the recommendations mentioned above. In lieu of the ADA systematic review, we provide information on two other systematic reviews that support the ADA’s recommendations in Table 3.  </w:t>
            </w:r>
          </w:p>
          <w:p w14:paraId="55B8DA89" w14:textId="77777777" w:rsidR="00AB4ECE" w:rsidRPr="00624A2D" w:rsidRDefault="00AB4ECE" w:rsidP="00586F58">
            <w:pPr>
              <w:ind w:left="0" w:firstLine="0"/>
              <w:rPr>
                <w:color w:val="FF0000"/>
              </w:rPr>
            </w:pPr>
          </w:p>
        </w:tc>
      </w:tr>
      <w:tr w:rsidR="00AB4ECE" w14:paraId="55B8DA8D" w14:textId="77777777" w:rsidTr="00ED309E">
        <w:tc>
          <w:tcPr>
            <w:tcW w:w="2700" w:type="dxa"/>
          </w:tcPr>
          <w:p w14:paraId="55B8DA8B" w14:textId="77777777" w:rsidR="00AB4ECE" w:rsidRDefault="000E5C93" w:rsidP="002E2177">
            <w:pPr>
              <w:ind w:left="0" w:firstLine="0"/>
            </w:pPr>
            <w:r>
              <w:t xml:space="preserve">Estimates of benefit and consistency across studies </w:t>
            </w:r>
          </w:p>
        </w:tc>
        <w:tc>
          <w:tcPr>
            <w:tcW w:w="8330" w:type="dxa"/>
          </w:tcPr>
          <w:p w14:paraId="783F134F" w14:textId="1F73D642" w:rsidR="00586F58" w:rsidRPr="00624A2D" w:rsidRDefault="00586F58" w:rsidP="00586F58">
            <w:pPr>
              <w:ind w:left="720" w:hanging="720"/>
              <w:rPr>
                <w:color w:val="FF0000"/>
              </w:rPr>
            </w:pPr>
            <w:r w:rsidRPr="00624A2D">
              <w:rPr>
                <w:color w:val="FF0000"/>
              </w:rPr>
              <w:t>See Table 3.</w:t>
            </w:r>
          </w:p>
          <w:p w14:paraId="55B8DA8C" w14:textId="77777777" w:rsidR="00AB4ECE" w:rsidRPr="00624A2D" w:rsidRDefault="00AB4ECE" w:rsidP="002E2177">
            <w:pPr>
              <w:ind w:left="0" w:firstLine="0"/>
              <w:rPr>
                <w:color w:val="FF0000"/>
              </w:rPr>
            </w:pPr>
          </w:p>
        </w:tc>
      </w:tr>
      <w:tr w:rsidR="000E5C93" w14:paraId="55B8DA90" w14:textId="77777777" w:rsidTr="00ED309E">
        <w:tc>
          <w:tcPr>
            <w:tcW w:w="2700" w:type="dxa"/>
            <w:tcBorders>
              <w:bottom w:val="single" w:sz="4" w:space="0" w:color="auto"/>
            </w:tcBorders>
          </w:tcPr>
          <w:p w14:paraId="55B8DA8E" w14:textId="77777777" w:rsidR="000E5C93" w:rsidRDefault="000E5C93" w:rsidP="002E2177">
            <w:pPr>
              <w:ind w:left="0" w:firstLine="0"/>
            </w:pPr>
            <w:r>
              <w:t>What harms were identified?</w:t>
            </w:r>
          </w:p>
        </w:tc>
        <w:tc>
          <w:tcPr>
            <w:tcW w:w="8330" w:type="dxa"/>
            <w:tcBorders>
              <w:bottom w:val="single" w:sz="4" w:space="0" w:color="auto"/>
            </w:tcBorders>
          </w:tcPr>
          <w:p w14:paraId="3B523118" w14:textId="4E3D19AB" w:rsidR="00586F58" w:rsidRPr="00624A2D" w:rsidRDefault="00586F58" w:rsidP="00586F58">
            <w:pPr>
              <w:ind w:left="720" w:hanging="720"/>
              <w:rPr>
                <w:color w:val="FF0000"/>
              </w:rPr>
            </w:pPr>
            <w:r w:rsidRPr="00624A2D">
              <w:rPr>
                <w:color w:val="FF0000"/>
              </w:rPr>
              <w:t>See Table 3.</w:t>
            </w:r>
          </w:p>
          <w:p w14:paraId="55B8DA8F" w14:textId="58F49DAF" w:rsidR="000E5C93" w:rsidRPr="00624A2D" w:rsidRDefault="000E5C93" w:rsidP="009D48D4">
            <w:pPr>
              <w:ind w:left="0" w:firstLine="0"/>
              <w:rPr>
                <w:color w:val="FF0000"/>
              </w:rPr>
            </w:pPr>
          </w:p>
        </w:tc>
      </w:tr>
      <w:tr w:rsidR="000E5C93" w14:paraId="55B8DA93" w14:textId="77777777" w:rsidTr="00ED309E">
        <w:tc>
          <w:tcPr>
            <w:tcW w:w="2700" w:type="dxa"/>
            <w:tcBorders>
              <w:bottom w:val="single" w:sz="4" w:space="0" w:color="auto"/>
            </w:tcBorders>
          </w:tcPr>
          <w:p w14:paraId="55B8DA91" w14:textId="77777777" w:rsidR="000E5C93" w:rsidRDefault="000E5C93" w:rsidP="000E5C93">
            <w:pPr>
              <w:ind w:left="0" w:firstLine="0"/>
            </w:pPr>
            <w:r>
              <w:t>Identify any new studies conducted since the SR. Do the new studies change the conclusions from the SR?</w:t>
            </w:r>
          </w:p>
        </w:tc>
        <w:tc>
          <w:tcPr>
            <w:tcW w:w="8330" w:type="dxa"/>
            <w:tcBorders>
              <w:bottom w:val="single" w:sz="4" w:space="0" w:color="auto"/>
            </w:tcBorders>
          </w:tcPr>
          <w:p w14:paraId="43B28E12" w14:textId="77777777" w:rsidR="00C12C79" w:rsidRPr="00624A2D" w:rsidRDefault="00C12C79" w:rsidP="00C12C79">
            <w:pPr>
              <w:ind w:left="0" w:firstLine="0"/>
              <w:rPr>
                <w:color w:val="FF0000"/>
              </w:rPr>
            </w:pPr>
            <w:r w:rsidRPr="00624A2D">
              <w:rPr>
                <w:color w:val="FF0000"/>
              </w:rPr>
              <w:t xml:space="preserve">There have been no new studies that contradict the current body of evidence. </w:t>
            </w:r>
          </w:p>
          <w:p w14:paraId="55B8DA92" w14:textId="77777777" w:rsidR="000E5C93" w:rsidRPr="00624A2D" w:rsidRDefault="000E5C93" w:rsidP="002E2177">
            <w:pPr>
              <w:ind w:left="0" w:firstLine="0"/>
              <w:rPr>
                <w:color w:val="FF0000"/>
              </w:rPr>
            </w:pPr>
          </w:p>
        </w:tc>
      </w:tr>
      <w:tr w:rsidR="007C0A0C" w14:paraId="4D92B109" w14:textId="77777777" w:rsidTr="00ED309E">
        <w:tc>
          <w:tcPr>
            <w:tcW w:w="2700" w:type="dxa"/>
            <w:tcBorders>
              <w:top w:val="single" w:sz="4" w:space="0" w:color="auto"/>
              <w:left w:val="nil"/>
              <w:bottom w:val="nil"/>
              <w:right w:val="nil"/>
            </w:tcBorders>
          </w:tcPr>
          <w:p w14:paraId="2D6BF2F8" w14:textId="77777777" w:rsidR="007C0A0C" w:rsidRDefault="007C0A0C" w:rsidP="000E5C93">
            <w:pPr>
              <w:ind w:left="0" w:firstLine="0"/>
            </w:pPr>
          </w:p>
        </w:tc>
        <w:tc>
          <w:tcPr>
            <w:tcW w:w="8330" w:type="dxa"/>
            <w:tcBorders>
              <w:top w:val="single" w:sz="4" w:space="0" w:color="auto"/>
              <w:left w:val="nil"/>
              <w:bottom w:val="nil"/>
              <w:right w:val="nil"/>
            </w:tcBorders>
          </w:tcPr>
          <w:p w14:paraId="2154CEEA" w14:textId="77777777" w:rsidR="007C0A0C" w:rsidRPr="00C12C79" w:rsidRDefault="007C0A0C" w:rsidP="00C12C79">
            <w:pPr>
              <w:ind w:left="0" w:firstLine="0"/>
              <w:rPr>
                <w:color w:val="0000CC"/>
              </w:rPr>
            </w:pPr>
          </w:p>
        </w:tc>
      </w:tr>
      <w:tr w:rsidR="00B61278" w14:paraId="5A743D08" w14:textId="77777777" w:rsidTr="00BB22E0">
        <w:tc>
          <w:tcPr>
            <w:tcW w:w="11030" w:type="dxa"/>
            <w:gridSpan w:val="2"/>
            <w:tcBorders>
              <w:top w:val="nil"/>
              <w:left w:val="nil"/>
              <w:bottom w:val="nil"/>
              <w:right w:val="nil"/>
            </w:tcBorders>
          </w:tcPr>
          <w:p w14:paraId="49DA657D" w14:textId="54DF5841" w:rsidR="00B61278" w:rsidRPr="00624A2D" w:rsidRDefault="00B61278" w:rsidP="00C12C79">
            <w:pPr>
              <w:ind w:left="0" w:firstLine="0"/>
              <w:rPr>
                <w:color w:val="FF0000"/>
              </w:rPr>
            </w:pPr>
            <w:r w:rsidRPr="00624A2D">
              <w:rPr>
                <w:color w:val="FF0000"/>
              </w:rPr>
              <w:t>Table 2. American Geriatric Society Guidelines</w:t>
            </w:r>
          </w:p>
        </w:tc>
      </w:tr>
      <w:tr w:rsidR="007C0A0C" w14:paraId="0221979B" w14:textId="77777777" w:rsidTr="00ED309E">
        <w:tc>
          <w:tcPr>
            <w:tcW w:w="2700" w:type="dxa"/>
            <w:tcBorders>
              <w:top w:val="single" w:sz="4" w:space="0" w:color="auto"/>
            </w:tcBorders>
          </w:tcPr>
          <w:p w14:paraId="796CF18B" w14:textId="77777777" w:rsidR="007C0A0C" w:rsidRPr="00AB4ECE" w:rsidRDefault="007C0A0C" w:rsidP="008C22EA">
            <w:pPr>
              <w:ind w:left="0" w:firstLine="0"/>
              <w:rPr>
                <w:b/>
              </w:rPr>
            </w:pPr>
            <w:r w:rsidRPr="00AB4ECE">
              <w:rPr>
                <w:b/>
              </w:rPr>
              <w:t>Source of Systematic Review:</w:t>
            </w:r>
          </w:p>
          <w:p w14:paraId="637B61B2" w14:textId="77777777" w:rsidR="007C0A0C" w:rsidRPr="00AB4ECE" w:rsidRDefault="007C0A0C" w:rsidP="008C22EA">
            <w:pPr>
              <w:pStyle w:val="ListParagraph"/>
              <w:numPr>
                <w:ilvl w:val="0"/>
                <w:numId w:val="9"/>
              </w:numPr>
              <w:rPr>
                <w:b/>
              </w:rPr>
            </w:pPr>
            <w:r w:rsidRPr="00AB4ECE">
              <w:rPr>
                <w:b/>
              </w:rPr>
              <w:t>Title</w:t>
            </w:r>
          </w:p>
          <w:p w14:paraId="0F5FE1C7" w14:textId="77777777" w:rsidR="007C0A0C" w:rsidRPr="00AB4ECE" w:rsidRDefault="007C0A0C" w:rsidP="008C22EA">
            <w:pPr>
              <w:pStyle w:val="ListParagraph"/>
              <w:numPr>
                <w:ilvl w:val="0"/>
                <w:numId w:val="9"/>
              </w:numPr>
              <w:rPr>
                <w:b/>
              </w:rPr>
            </w:pPr>
            <w:r w:rsidRPr="00AB4ECE">
              <w:rPr>
                <w:b/>
              </w:rPr>
              <w:t>Author</w:t>
            </w:r>
          </w:p>
          <w:p w14:paraId="6C654949" w14:textId="77777777" w:rsidR="007C0A0C" w:rsidRPr="00AB4ECE" w:rsidRDefault="007C0A0C" w:rsidP="008C22EA">
            <w:pPr>
              <w:pStyle w:val="ListParagraph"/>
              <w:numPr>
                <w:ilvl w:val="0"/>
                <w:numId w:val="9"/>
              </w:numPr>
              <w:rPr>
                <w:b/>
              </w:rPr>
            </w:pPr>
            <w:r w:rsidRPr="00AB4ECE">
              <w:rPr>
                <w:b/>
              </w:rPr>
              <w:t>Date</w:t>
            </w:r>
          </w:p>
          <w:p w14:paraId="04B965FE" w14:textId="77777777" w:rsidR="007C0A0C" w:rsidRPr="00AB4ECE" w:rsidRDefault="007C0A0C" w:rsidP="008C22EA">
            <w:pPr>
              <w:pStyle w:val="ListParagraph"/>
              <w:numPr>
                <w:ilvl w:val="0"/>
                <w:numId w:val="9"/>
              </w:numPr>
              <w:rPr>
                <w:b/>
              </w:rPr>
            </w:pPr>
            <w:r w:rsidRPr="00AB4ECE">
              <w:rPr>
                <w:b/>
              </w:rPr>
              <w:t>Citation, including page number</w:t>
            </w:r>
          </w:p>
          <w:p w14:paraId="578A671C" w14:textId="77777777" w:rsidR="007C0A0C" w:rsidRPr="00AB4ECE" w:rsidRDefault="007C0A0C" w:rsidP="008C22EA">
            <w:pPr>
              <w:pStyle w:val="ListParagraph"/>
              <w:numPr>
                <w:ilvl w:val="0"/>
                <w:numId w:val="9"/>
              </w:numPr>
              <w:rPr>
                <w:b/>
              </w:rPr>
            </w:pPr>
            <w:r w:rsidRPr="00AB4ECE">
              <w:rPr>
                <w:b/>
              </w:rPr>
              <w:t>URL</w:t>
            </w:r>
          </w:p>
        </w:tc>
        <w:tc>
          <w:tcPr>
            <w:tcW w:w="8330" w:type="dxa"/>
            <w:tcBorders>
              <w:top w:val="single" w:sz="4" w:space="0" w:color="auto"/>
            </w:tcBorders>
          </w:tcPr>
          <w:p w14:paraId="4FE7C313" w14:textId="109095A9" w:rsidR="00E418E4" w:rsidRPr="00624A2D" w:rsidRDefault="00E418E4" w:rsidP="008C22EA">
            <w:pPr>
              <w:ind w:left="0" w:firstLine="0"/>
              <w:rPr>
                <w:rFonts w:cs="Arial"/>
                <w:color w:val="FF0000"/>
                <w:u w:val="single"/>
              </w:rPr>
            </w:pPr>
            <w:r w:rsidRPr="00624A2D">
              <w:rPr>
                <w:rFonts w:cs="Arial"/>
                <w:color w:val="FF0000"/>
                <w:u w:val="single"/>
              </w:rPr>
              <w:t>2018</w:t>
            </w:r>
          </w:p>
          <w:p w14:paraId="29D4ED00" w14:textId="5B2C5C8F" w:rsidR="00E418E4" w:rsidRPr="00624A2D" w:rsidRDefault="00E418E4" w:rsidP="008C22EA">
            <w:pPr>
              <w:ind w:left="0" w:firstLine="0"/>
              <w:rPr>
                <w:rFonts w:cs="Arial"/>
                <w:color w:val="FF0000"/>
              </w:rPr>
            </w:pPr>
            <w:r w:rsidRPr="00624A2D">
              <w:rPr>
                <w:rFonts w:cs="Arial"/>
                <w:color w:val="FF0000"/>
              </w:rPr>
              <w:t xml:space="preserve">American Geriatrics Society (AGS). </w:t>
            </w:r>
          </w:p>
          <w:p w14:paraId="7F2464E2" w14:textId="51AE613B" w:rsidR="00E418E4" w:rsidRPr="00624A2D" w:rsidRDefault="00E418E4" w:rsidP="008C22EA">
            <w:pPr>
              <w:ind w:left="0" w:firstLine="0"/>
              <w:rPr>
                <w:rFonts w:cs="Arial"/>
                <w:color w:val="FF0000"/>
                <w:u w:val="single"/>
              </w:rPr>
            </w:pPr>
            <w:r w:rsidRPr="00624A2D">
              <w:rPr>
                <w:rFonts w:cs="Arial"/>
                <w:color w:val="FF0000"/>
              </w:rPr>
              <w:t>Guidelines Abstracted from the American Geriatrics Society Guidelines for Improving the Care of Older Adults with Diabetes Mellitus: 2013 Update. American Geriatrics Society Panel on the Care for Older Adults with Diabetes Mellitus. Journal of American Geriatric Society. 2013 November; 61 (11): 2020-2026. Doi:10.1111/jgs.12514 URL:</w:t>
            </w:r>
          </w:p>
          <w:p w14:paraId="66E87850" w14:textId="6768FC52" w:rsidR="00E418E4" w:rsidRPr="00624A2D" w:rsidRDefault="00E418E4" w:rsidP="008C22EA">
            <w:pPr>
              <w:ind w:left="0" w:firstLine="0"/>
              <w:rPr>
                <w:rFonts w:cs="Arial"/>
                <w:color w:val="FF0000"/>
                <w:u w:val="single"/>
              </w:rPr>
            </w:pPr>
            <w:r w:rsidRPr="00624A2D">
              <w:rPr>
                <w:rFonts w:cs="Arial"/>
                <w:color w:val="FF0000"/>
                <w:u w:val="single"/>
              </w:rPr>
              <w:t>https://www.ncbi.nlm.nih.gov/pmc/articles/PMC4064258/pdf/nihms583558.pdf</w:t>
            </w:r>
          </w:p>
          <w:p w14:paraId="04723E50" w14:textId="77777777" w:rsidR="00E418E4" w:rsidRPr="00624A2D" w:rsidRDefault="00E418E4" w:rsidP="008C22EA">
            <w:pPr>
              <w:ind w:left="0" w:firstLine="0"/>
              <w:rPr>
                <w:rFonts w:cs="Arial"/>
                <w:color w:val="FF0000"/>
                <w:u w:val="single"/>
              </w:rPr>
            </w:pPr>
          </w:p>
          <w:p w14:paraId="0BCEE886" w14:textId="25DE9435" w:rsidR="007C0A0C" w:rsidRPr="00624A2D" w:rsidRDefault="007C0A0C" w:rsidP="008C22EA">
            <w:pPr>
              <w:ind w:left="0" w:firstLine="0"/>
              <w:rPr>
                <w:rFonts w:cs="Arial"/>
                <w:color w:val="0000CC"/>
                <w:u w:val="single"/>
              </w:rPr>
            </w:pPr>
            <w:r w:rsidRPr="00624A2D">
              <w:rPr>
                <w:rFonts w:cs="Arial"/>
                <w:color w:val="0000CC"/>
                <w:u w:val="single"/>
              </w:rPr>
              <w:t>2013</w:t>
            </w:r>
          </w:p>
          <w:p w14:paraId="1BBB14E1" w14:textId="0CE23675" w:rsidR="007C0A0C" w:rsidRPr="00624A2D" w:rsidRDefault="007C0A0C" w:rsidP="008C22EA">
            <w:pPr>
              <w:ind w:left="0" w:firstLine="0"/>
              <w:rPr>
                <w:rFonts w:cs="Arial"/>
                <w:color w:val="0000CC"/>
              </w:rPr>
            </w:pPr>
            <w:r w:rsidRPr="00624A2D">
              <w:rPr>
                <w:rFonts w:cs="Arial"/>
                <w:color w:val="0000CC"/>
              </w:rPr>
              <w:t xml:space="preserve">American Geriatric Society (AGS) </w:t>
            </w:r>
          </w:p>
          <w:p w14:paraId="3125843F" w14:textId="77777777" w:rsidR="007C0A0C" w:rsidRPr="00624A2D" w:rsidRDefault="007C0A0C" w:rsidP="008C22EA">
            <w:pPr>
              <w:ind w:left="0" w:firstLine="0"/>
              <w:rPr>
                <w:rFonts w:cs="Arial"/>
                <w:color w:val="0000CC"/>
              </w:rPr>
            </w:pPr>
            <w:r w:rsidRPr="00624A2D">
              <w:rPr>
                <w:rFonts w:cs="Arial"/>
                <w:color w:val="0000CC"/>
              </w:rPr>
              <w:t xml:space="preserve">Guidelines for Improving Care of the Older Adults with Diabetes Mellitus. </w:t>
            </w:r>
          </w:p>
          <w:p w14:paraId="327D7A23" w14:textId="77777777" w:rsidR="00270F08" w:rsidRPr="00624A2D" w:rsidRDefault="007C0A0C" w:rsidP="008C22EA">
            <w:pPr>
              <w:ind w:left="0" w:firstLine="0"/>
              <w:rPr>
                <w:rFonts w:cs="Arial"/>
                <w:color w:val="0000CC"/>
              </w:rPr>
            </w:pPr>
            <w:r w:rsidRPr="00624A2D">
              <w:rPr>
                <w:rFonts w:cs="Arial"/>
                <w:color w:val="0000CC"/>
              </w:rPr>
              <w:t xml:space="preserve">California Healthcare Foundation/American Geriatric Society Panel on Improving Care for Elders with </w:t>
            </w:r>
          </w:p>
          <w:p w14:paraId="4BFB486E" w14:textId="18B396E4" w:rsidR="007C0A0C" w:rsidRPr="00624A2D" w:rsidRDefault="007C0A0C" w:rsidP="008C22EA">
            <w:pPr>
              <w:ind w:left="0" w:firstLine="0"/>
              <w:rPr>
                <w:rFonts w:cs="Arial"/>
                <w:color w:val="0000CC"/>
              </w:rPr>
            </w:pPr>
            <w:r w:rsidRPr="00624A2D">
              <w:rPr>
                <w:rFonts w:cs="Arial"/>
                <w:color w:val="0000CC"/>
              </w:rPr>
              <w:t>Diabetes. American Geriatric Society. May 2003 – 51</w:t>
            </w:r>
            <w:r w:rsidR="00E418E4" w:rsidRPr="00624A2D">
              <w:rPr>
                <w:rFonts w:cs="Arial"/>
                <w:color w:val="0000CC"/>
              </w:rPr>
              <w:t xml:space="preserve"> (</w:t>
            </w:r>
            <w:r w:rsidRPr="00624A2D">
              <w:rPr>
                <w:rFonts w:cs="Arial"/>
                <w:color w:val="0000CC"/>
              </w:rPr>
              <w:t>5</w:t>
            </w:r>
            <w:r w:rsidR="00E418E4" w:rsidRPr="00624A2D">
              <w:rPr>
                <w:rFonts w:cs="Arial"/>
                <w:color w:val="0000CC"/>
              </w:rPr>
              <w:t>)</w:t>
            </w:r>
            <w:r w:rsidRPr="00624A2D">
              <w:rPr>
                <w:rFonts w:cs="Arial"/>
                <w:color w:val="0000CC"/>
              </w:rPr>
              <w:t xml:space="preserve"> Supplement, JAGS. URL: </w:t>
            </w:r>
          </w:p>
          <w:p w14:paraId="7AE2A958" w14:textId="500EFD34" w:rsidR="00270F08" w:rsidRPr="00624A2D" w:rsidRDefault="004D71F2" w:rsidP="008C22EA">
            <w:pPr>
              <w:ind w:left="0" w:firstLine="0"/>
              <w:rPr>
                <w:rFonts w:cs="Arial"/>
                <w:color w:val="0000CC"/>
                <w:u w:val="single"/>
              </w:rPr>
            </w:pPr>
            <w:hyperlink r:id="rId17" w:history="1">
              <w:r w:rsidR="00270F08" w:rsidRPr="00624A2D">
                <w:rPr>
                  <w:rStyle w:val="Hyperlink"/>
                  <w:rFonts w:cs="Arial"/>
                  <w:color w:val="0000CC"/>
                </w:rPr>
                <w:t>http://www.medicine.emory.edu/ger/bibliographies/geriatrics/bibliography87_files/Guidelines_for_</w:t>
              </w:r>
            </w:hyperlink>
          </w:p>
          <w:p w14:paraId="357B2624" w14:textId="1AB3B2E5" w:rsidR="007C0A0C" w:rsidRPr="00624A2D" w:rsidRDefault="007C0A0C" w:rsidP="008C22EA">
            <w:pPr>
              <w:ind w:left="0" w:firstLine="0"/>
              <w:rPr>
                <w:rFonts w:cs="Arial"/>
                <w:color w:val="0000CC"/>
                <w:u w:val="single"/>
              </w:rPr>
            </w:pPr>
            <w:r w:rsidRPr="00624A2D">
              <w:rPr>
                <w:rFonts w:cs="Arial"/>
                <w:color w:val="0000CC"/>
                <w:u w:val="single"/>
              </w:rPr>
              <w:t>Improving_the_Care_of_the_Older_Person_with_Diabetes_Mellitus.pdf</w:t>
            </w:r>
          </w:p>
          <w:p w14:paraId="06338929" w14:textId="77777777" w:rsidR="007C0A0C" w:rsidRPr="00624A2D" w:rsidRDefault="007C0A0C" w:rsidP="008C22EA">
            <w:pPr>
              <w:ind w:left="0" w:firstLine="0"/>
              <w:rPr>
                <w:b/>
                <w:color w:val="FF0000"/>
              </w:rPr>
            </w:pPr>
          </w:p>
        </w:tc>
      </w:tr>
      <w:tr w:rsidR="007C0A0C" w14:paraId="00E008B1" w14:textId="77777777" w:rsidTr="00ED309E">
        <w:tc>
          <w:tcPr>
            <w:tcW w:w="2700" w:type="dxa"/>
          </w:tcPr>
          <w:p w14:paraId="5DC1C124" w14:textId="77777777" w:rsidR="007C0A0C" w:rsidRDefault="007C0A0C" w:rsidP="008C22EA">
            <w:pPr>
              <w:ind w:left="0" w:firstLine="0"/>
            </w:pPr>
            <w:r>
              <w:t xml:space="preserve">Quote the guideline or recommendation </w:t>
            </w:r>
            <w:r>
              <w:lastRenderedPageBreak/>
              <w:t>verbatim about the process, structure or intermediate outcome being measured. If not a guideline, summarize the conclusions from the SR.</w:t>
            </w:r>
          </w:p>
        </w:tc>
        <w:tc>
          <w:tcPr>
            <w:tcW w:w="8330" w:type="dxa"/>
          </w:tcPr>
          <w:p w14:paraId="6D623589" w14:textId="590EDBAD" w:rsidR="00270F08" w:rsidRPr="00624A2D" w:rsidRDefault="00E418E4" w:rsidP="00270F08">
            <w:pPr>
              <w:rPr>
                <w:color w:val="FF0000"/>
              </w:rPr>
            </w:pPr>
            <w:r w:rsidRPr="00624A2D">
              <w:rPr>
                <w:color w:val="FF0000"/>
              </w:rPr>
              <w:lastRenderedPageBreak/>
              <w:t>Recommendations (2018)</w:t>
            </w:r>
          </w:p>
          <w:p w14:paraId="7D9E76CC" w14:textId="2062C1A2" w:rsidR="00E418E4" w:rsidRPr="00624A2D" w:rsidRDefault="00E418E4" w:rsidP="00270F08">
            <w:pPr>
              <w:rPr>
                <w:color w:val="FF0000"/>
              </w:rPr>
            </w:pPr>
            <w:r w:rsidRPr="00624A2D">
              <w:rPr>
                <w:color w:val="FF0000"/>
              </w:rPr>
              <w:t>Pg. 4</w:t>
            </w:r>
          </w:p>
          <w:p w14:paraId="07AB3826" w14:textId="51DED380" w:rsidR="00E418E4" w:rsidRPr="00624A2D" w:rsidRDefault="00E418E4" w:rsidP="00270F08">
            <w:pPr>
              <w:rPr>
                <w:color w:val="FF0000"/>
              </w:rPr>
            </w:pPr>
            <w:r w:rsidRPr="00624A2D">
              <w:rPr>
                <w:color w:val="FF0000"/>
              </w:rPr>
              <w:t>“Glycemic Control”</w:t>
            </w:r>
          </w:p>
          <w:p w14:paraId="4263046E" w14:textId="7BDD1881" w:rsidR="00E418E4" w:rsidRPr="00624A2D" w:rsidRDefault="00E418E4" w:rsidP="00270F08">
            <w:pPr>
              <w:rPr>
                <w:color w:val="FF0000"/>
              </w:rPr>
            </w:pPr>
            <w:r w:rsidRPr="00624A2D">
              <w:rPr>
                <w:color w:val="FF0000"/>
              </w:rPr>
              <w:lastRenderedPageBreak/>
              <w:t>General Recommendations</w:t>
            </w:r>
          </w:p>
          <w:p w14:paraId="47DF8F0E" w14:textId="5138E007" w:rsidR="00E418E4" w:rsidRPr="00624A2D" w:rsidRDefault="00E418E4" w:rsidP="00454B9F">
            <w:pPr>
              <w:pStyle w:val="ListParagraph"/>
              <w:numPr>
                <w:ilvl w:val="0"/>
                <w:numId w:val="20"/>
              </w:numPr>
              <w:rPr>
                <w:color w:val="FF0000"/>
              </w:rPr>
            </w:pPr>
            <w:r w:rsidRPr="00624A2D">
              <w:rPr>
                <w:color w:val="FF0000"/>
              </w:rPr>
              <w:t>Target goal for glycosylated hemoglobin (HbA1c) in older adults generally should be 7.5% to 8%. HbA1c between 7% and 7.5% may be appropriate if it can be safely achieved in healthy older adults with few comorbidities and good functional status. Higher HbA1c targets (8–9%) are appropriate for older adults with multiple comorbidities, poor health, and limited life expectancy. (1A evidence for HbA1c 7–8%, and IIA for 8–9%) There is potential harm in lowering HbA1c to less than 6.5% in older adults with type 2 DM. (</w:t>
            </w:r>
            <w:r w:rsidR="00454B9F" w:rsidRPr="00624A2D">
              <w:rPr>
                <w:color w:val="FF0000"/>
              </w:rPr>
              <w:t>II</w:t>
            </w:r>
            <w:r w:rsidRPr="00624A2D">
              <w:rPr>
                <w:color w:val="FF0000"/>
              </w:rPr>
              <w:t>A)</w:t>
            </w:r>
          </w:p>
          <w:p w14:paraId="635EF6EB" w14:textId="52340131" w:rsidR="007566BC" w:rsidRPr="00624A2D" w:rsidRDefault="007566BC" w:rsidP="00454B9F">
            <w:pPr>
              <w:pStyle w:val="ListParagraph"/>
              <w:numPr>
                <w:ilvl w:val="0"/>
                <w:numId w:val="20"/>
              </w:numPr>
              <w:rPr>
                <w:color w:val="FF0000"/>
              </w:rPr>
            </w:pPr>
            <w:r w:rsidRPr="00624A2D">
              <w:rPr>
                <w:color w:val="FF0000"/>
              </w:rPr>
              <w:t>Older adults with DM whose individual targets are not being met should have their HbA1c levels measured at least every 6 months and more frequently as needed or indicated. For older adults with stable HbA1c over several years, measurement every 12 months may be appropriate. (IIIB)</w:t>
            </w:r>
          </w:p>
          <w:p w14:paraId="05482748" w14:textId="07A0840D" w:rsidR="00E418E4" w:rsidRPr="00624A2D" w:rsidRDefault="00E418E4" w:rsidP="00270F08">
            <w:pPr>
              <w:rPr>
                <w:color w:val="FF0000"/>
              </w:rPr>
            </w:pPr>
          </w:p>
          <w:p w14:paraId="33F697F4" w14:textId="6E2683CC" w:rsidR="00E418E4" w:rsidRPr="00624A2D" w:rsidRDefault="00E418E4" w:rsidP="00E418E4">
            <w:pPr>
              <w:rPr>
                <w:color w:val="0000CC"/>
              </w:rPr>
            </w:pPr>
            <w:r w:rsidRPr="00624A2D">
              <w:rPr>
                <w:color w:val="0000CC"/>
              </w:rPr>
              <w:t>Recommendations (2013)</w:t>
            </w:r>
          </w:p>
          <w:p w14:paraId="6BACB7A9" w14:textId="26E39E99" w:rsidR="00270F08" w:rsidRPr="00624A2D" w:rsidRDefault="00270F08" w:rsidP="00270F08">
            <w:pPr>
              <w:rPr>
                <w:color w:val="0000CC"/>
              </w:rPr>
            </w:pPr>
            <w:r w:rsidRPr="00624A2D">
              <w:rPr>
                <w:color w:val="0000CC"/>
              </w:rPr>
              <w:t>Pg. S270</w:t>
            </w:r>
          </w:p>
          <w:p w14:paraId="5C0EC800" w14:textId="6ED8C457" w:rsidR="00270F08" w:rsidRPr="00624A2D" w:rsidRDefault="00270F08" w:rsidP="00270F08">
            <w:pPr>
              <w:rPr>
                <w:color w:val="0000CC"/>
              </w:rPr>
            </w:pPr>
            <w:r w:rsidRPr="00624A2D">
              <w:rPr>
                <w:color w:val="0000CC"/>
              </w:rPr>
              <w:t>“Glycemic Control</w:t>
            </w:r>
            <w:r w:rsidR="00E418E4" w:rsidRPr="00624A2D">
              <w:rPr>
                <w:color w:val="0000CC"/>
              </w:rPr>
              <w:t>”</w:t>
            </w:r>
          </w:p>
          <w:p w14:paraId="3E1BA0B6" w14:textId="77777777" w:rsidR="00270F08" w:rsidRPr="00624A2D" w:rsidRDefault="00270F08" w:rsidP="00270F08">
            <w:pPr>
              <w:rPr>
                <w:color w:val="0000CC"/>
              </w:rPr>
            </w:pPr>
            <w:r w:rsidRPr="00624A2D">
              <w:rPr>
                <w:color w:val="0000CC"/>
              </w:rPr>
              <w:t>General Recommendations</w:t>
            </w:r>
          </w:p>
          <w:p w14:paraId="64F0B1C0" w14:textId="2E83AE8E" w:rsidR="007C0A0C" w:rsidRPr="00624A2D" w:rsidRDefault="00270F08" w:rsidP="00270F08">
            <w:pPr>
              <w:rPr>
                <w:color w:val="FF0000"/>
              </w:rPr>
            </w:pPr>
            <w:r w:rsidRPr="00624A2D">
              <w:rPr>
                <w:color w:val="0000CC"/>
              </w:rPr>
              <w:t>1. For older persons, target hemoglobin A1c (A1C) should be individualized. A reasonable goal for A1C in relatively healthy adults with good functional status is 7% or lower. For frail older adults, persons with life expectancy of less than 5 years, and others in whom the risks of intensive glycemic control appear to outweigh the benefits, a less stringent target such as 8% is appropriate. (IIIB)”</w:t>
            </w:r>
          </w:p>
        </w:tc>
      </w:tr>
      <w:tr w:rsidR="007C0A0C" w14:paraId="7110D0DD" w14:textId="77777777" w:rsidTr="00ED309E">
        <w:tc>
          <w:tcPr>
            <w:tcW w:w="2700" w:type="dxa"/>
          </w:tcPr>
          <w:p w14:paraId="2DBA1E08" w14:textId="77777777" w:rsidR="007C0A0C" w:rsidRDefault="007C0A0C" w:rsidP="008C22EA">
            <w:pPr>
              <w:ind w:left="0" w:firstLine="0"/>
            </w:pPr>
            <w:r>
              <w:lastRenderedPageBreak/>
              <w:t xml:space="preserve">Grade assigned to the </w:t>
            </w:r>
            <w:r w:rsidRPr="004E7215">
              <w:rPr>
                <w:b/>
              </w:rPr>
              <w:t>evidence</w:t>
            </w:r>
            <w:r>
              <w:t xml:space="preserve"> associated with the recommendation with the definition of the grade</w:t>
            </w:r>
          </w:p>
        </w:tc>
        <w:tc>
          <w:tcPr>
            <w:tcW w:w="8330" w:type="dxa"/>
          </w:tcPr>
          <w:p w14:paraId="26B25114" w14:textId="1244F5B9" w:rsidR="00E418E4" w:rsidRPr="00624A2D" w:rsidRDefault="00E418E4" w:rsidP="00270F08">
            <w:pPr>
              <w:ind w:left="0" w:firstLine="0"/>
              <w:rPr>
                <w:color w:val="FF0000"/>
                <w:u w:val="single"/>
              </w:rPr>
            </w:pPr>
            <w:r w:rsidRPr="00624A2D">
              <w:rPr>
                <w:color w:val="FF0000"/>
                <w:u w:val="single"/>
              </w:rPr>
              <w:t>2018</w:t>
            </w:r>
          </w:p>
          <w:p w14:paraId="2C4D81DC" w14:textId="3DEC20C7" w:rsidR="00270F08" w:rsidRPr="00624A2D" w:rsidRDefault="00270F08" w:rsidP="00270F08">
            <w:pPr>
              <w:ind w:left="0" w:firstLine="0"/>
              <w:rPr>
                <w:color w:val="FF0000"/>
              </w:rPr>
            </w:pPr>
            <w:r w:rsidRPr="00624A2D">
              <w:rPr>
                <w:color w:val="FF0000"/>
              </w:rPr>
              <w:t>Quality of Evidence</w:t>
            </w:r>
          </w:p>
          <w:p w14:paraId="63B2BF3D" w14:textId="44D0EAD3" w:rsidR="00454B9F" w:rsidRPr="00624A2D" w:rsidRDefault="00454B9F" w:rsidP="00454B9F">
            <w:pPr>
              <w:numPr>
                <w:ilvl w:val="0"/>
                <w:numId w:val="17"/>
              </w:numPr>
              <w:rPr>
                <w:color w:val="FF0000"/>
              </w:rPr>
            </w:pPr>
            <w:r w:rsidRPr="00624A2D">
              <w:rPr>
                <w:color w:val="FF0000"/>
              </w:rPr>
              <w:t>Level II: Evidence from at least one well-designed clinical trial without randomization, from cohort or case-controlled analytic studies, or from multiple time-series studies, or from dramatic results in uncontrolled experiments</w:t>
            </w:r>
          </w:p>
          <w:p w14:paraId="347B93CA" w14:textId="46AC868E" w:rsidR="00270F08" w:rsidRPr="00624A2D" w:rsidRDefault="00270F08" w:rsidP="00270F08">
            <w:pPr>
              <w:numPr>
                <w:ilvl w:val="0"/>
                <w:numId w:val="17"/>
              </w:numPr>
              <w:rPr>
                <w:color w:val="FF0000"/>
              </w:rPr>
            </w:pPr>
            <w:r w:rsidRPr="00624A2D">
              <w:rPr>
                <w:color w:val="FF0000"/>
              </w:rPr>
              <w:t>Level III: Evidence from respected authorities, based on clinical experience, descriptive studies, or reports of expert committee</w:t>
            </w:r>
          </w:p>
          <w:p w14:paraId="03E16F13" w14:textId="77777777" w:rsidR="00270F08" w:rsidRPr="00624A2D" w:rsidRDefault="00270F08" w:rsidP="00270F08">
            <w:pPr>
              <w:ind w:left="0" w:firstLine="0"/>
              <w:rPr>
                <w:color w:val="FF0000"/>
              </w:rPr>
            </w:pPr>
            <w:r w:rsidRPr="00624A2D">
              <w:rPr>
                <w:color w:val="FF0000"/>
              </w:rPr>
              <w:t>Strength of Evidence</w:t>
            </w:r>
          </w:p>
          <w:p w14:paraId="046EE9F2" w14:textId="014E75EB" w:rsidR="007566BC" w:rsidRPr="00624A2D" w:rsidRDefault="007566BC" w:rsidP="00454B9F">
            <w:pPr>
              <w:numPr>
                <w:ilvl w:val="0"/>
                <w:numId w:val="18"/>
              </w:numPr>
              <w:rPr>
                <w:color w:val="FF0000"/>
              </w:rPr>
            </w:pPr>
            <w:r w:rsidRPr="00624A2D">
              <w:rPr>
                <w:color w:val="FF0000"/>
              </w:rPr>
              <w:t>A: Good evidence to support the use of a recommendation; clinicians should do this all the time</w:t>
            </w:r>
          </w:p>
          <w:p w14:paraId="7A6ED256" w14:textId="2E1C0815" w:rsidR="00270F08" w:rsidRPr="00624A2D" w:rsidRDefault="00270F08" w:rsidP="00270F08">
            <w:pPr>
              <w:numPr>
                <w:ilvl w:val="0"/>
                <w:numId w:val="18"/>
              </w:numPr>
              <w:rPr>
                <w:color w:val="FF0000"/>
              </w:rPr>
            </w:pPr>
            <w:r w:rsidRPr="00624A2D">
              <w:rPr>
                <w:color w:val="FF0000"/>
              </w:rPr>
              <w:t>B: Moderate evidence to support the use of a recommendation; clinicians should do this most of the time</w:t>
            </w:r>
          </w:p>
          <w:p w14:paraId="7BC08280" w14:textId="77777777" w:rsidR="007C0A0C" w:rsidRPr="00624A2D" w:rsidRDefault="007C0A0C" w:rsidP="008C22EA">
            <w:pPr>
              <w:ind w:left="0" w:firstLine="0"/>
              <w:rPr>
                <w:color w:val="FF0000"/>
              </w:rPr>
            </w:pPr>
          </w:p>
          <w:p w14:paraId="20802100" w14:textId="77777777" w:rsidR="00E418E4" w:rsidRPr="00624A2D" w:rsidRDefault="00E418E4" w:rsidP="00E418E4">
            <w:pPr>
              <w:ind w:left="0" w:firstLine="0"/>
              <w:rPr>
                <w:color w:val="0000CC"/>
                <w:u w:val="single"/>
              </w:rPr>
            </w:pPr>
            <w:r w:rsidRPr="00624A2D">
              <w:rPr>
                <w:color w:val="0000CC"/>
                <w:u w:val="single"/>
              </w:rPr>
              <w:t>2013</w:t>
            </w:r>
          </w:p>
          <w:p w14:paraId="6E7EB232" w14:textId="77777777" w:rsidR="00E418E4" w:rsidRPr="00624A2D" w:rsidRDefault="00E418E4" w:rsidP="00E418E4">
            <w:pPr>
              <w:ind w:left="0" w:firstLine="0"/>
              <w:rPr>
                <w:color w:val="0000CC"/>
              </w:rPr>
            </w:pPr>
            <w:r w:rsidRPr="00624A2D">
              <w:rPr>
                <w:color w:val="0000CC"/>
              </w:rPr>
              <w:t>Same as above</w:t>
            </w:r>
          </w:p>
          <w:p w14:paraId="2D09EE89" w14:textId="13A9FFA1" w:rsidR="00E418E4" w:rsidRPr="00624A2D" w:rsidRDefault="00E418E4" w:rsidP="008C22EA">
            <w:pPr>
              <w:ind w:left="0" w:firstLine="0"/>
              <w:rPr>
                <w:color w:val="FF0000"/>
              </w:rPr>
            </w:pPr>
          </w:p>
        </w:tc>
      </w:tr>
      <w:tr w:rsidR="007C0A0C" w14:paraId="4DF42A5E" w14:textId="77777777" w:rsidTr="00ED309E">
        <w:tc>
          <w:tcPr>
            <w:tcW w:w="2700" w:type="dxa"/>
          </w:tcPr>
          <w:p w14:paraId="2D2998FC" w14:textId="77777777" w:rsidR="007C0A0C" w:rsidRDefault="007C0A0C" w:rsidP="008C22EA">
            <w:pPr>
              <w:ind w:left="0" w:firstLine="0"/>
            </w:pPr>
            <w:r>
              <w:t>Provide all other grades and definitions from the evidence grading system</w:t>
            </w:r>
          </w:p>
        </w:tc>
        <w:tc>
          <w:tcPr>
            <w:tcW w:w="8330" w:type="dxa"/>
          </w:tcPr>
          <w:p w14:paraId="77DA56A2" w14:textId="13333C86" w:rsidR="00E418E4" w:rsidRPr="00624A2D" w:rsidRDefault="00E418E4" w:rsidP="00270F08">
            <w:pPr>
              <w:ind w:left="0" w:firstLine="0"/>
              <w:rPr>
                <w:color w:val="FF0000"/>
                <w:u w:val="single"/>
              </w:rPr>
            </w:pPr>
            <w:r w:rsidRPr="00624A2D">
              <w:rPr>
                <w:color w:val="FF0000"/>
                <w:u w:val="single"/>
              </w:rPr>
              <w:t>2018</w:t>
            </w:r>
          </w:p>
          <w:p w14:paraId="64FB79D9" w14:textId="076818D0" w:rsidR="00270F08" w:rsidRPr="00624A2D" w:rsidRDefault="00270F08" w:rsidP="00270F08">
            <w:pPr>
              <w:ind w:left="0" w:firstLine="0"/>
              <w:rPr>
                <w:color w:val="FF0000"/>
              </w:rPr>
            </w:pPr>
            <w:r w:rsidRPr="00624A2D">
              <w:rPr>
                <w:color w:val="FF0000"/>
              </w:rPr>
              <w:t>Quality of Evidence</w:t>
            </w:r>
          </w:p>
          <w:p w14:paraId="1E7E6090" w14:textId="17E730E1" w:rsidR="00270F08" w:rsidRPr="00624A2D" w:rsidRDefault="00270F08" w:rsidP="00270F08">
            <w:pPr>
              <w:numPr>
                <w:ilvl w:val="0"/>
                <w:numId w:val="17"/>
              </w:numPr>
              <w:rPr>
                <w:color w:val="FF0000"/>
              </w:rPr>
            </w:pPr>
            <w:r w:rsidRPr="00624A2D">
              <w:rPr>
                <w:color w:val="FF0000"/>
              </w:rPr>
              <w:t>Level I: Evidence from at least one properly designed randomized, controlled trial</w:t>
            </w:r>
          </w:p>
          <w:p w14:paraId="714B28E9" w14:textId="77777777" w:rsidR="00270F08" w:rsidRPr="00624A2D" w:rsidRDefault="00270F08" w:rsidP="00270F08">
            <w:pPr>
              <w:numPr>
                <w:ilvl w:val="0"/>
                <w:numId w:val="17"/>
              </w:numPr>
              <w:rPr>
                <w:color w:val="FF0000"/>
              </w:rPr>
            </w:pPr>
            <w:r w:rsidRPr="00624A2D">
              <w:rPr>
                <w:color w:val="FF0000"/>
              </w:rPr>
              <w:t>Level II: Evidence from at least one well-designed clinical trial without randomization, from cohort or case-controlled analytic studies, or from multiple time-series studies, or from dramatic results in uncontrolled experiments</w:t>
            </w:r>
          </w:p>
          <w:p w14:paraId="6B6D601D" w14:textId="77777777" w:rsidR="00270F08" w:rsidRPr="00624A2D" w:rsidRDefault="00270F08" w:rsidP="00270F08">
            <w:pPr>
              <w:rPr>
                <w:color w:val="FF0000"/>
              </w:rPr>
            </w:pPr>
            <w:r w:rsidRPr="00624A2D">
              <w:rPr>
                <w:color w:val="FF0000"/>
              </w:rPr>
              <w:t>Strength of Evidence</w:t>
            </w:r>
          </w:p>
          <w:p w14:paraId="5E0D20E9" w14:textId="0BD00C67" w:rsidR="00270F08" w:rsidRPr="00624A2D" w:rsidRDefault="00270F08" w:rsidP="00270F08">
            <w:pPr>
              <w:numPr>
                <w:ilvl w:val="0"/>
                <w:numId w:val="18"/>
              </w:numPr>
              <w:rPr>
                <w:color w:val="FF0000"/>
              </w:rPr>
            </w:pPr>
            <w:r w:rsidRPr="00624A2D">
              <w:rPr>
                <w:color w:val="FF0000"/>
              </w:rPr>
              <w:lastRenderedPageBreak/>
              <w:t>A: Good evidence to support the use of a recommendation; clinicians should do this all the time</w:t>
            </w:r>
          </w:p>
          <w:p w14:paraId="47788929" w14:textId="67F741D2" w:rsidR="00454B9F" w:rsidRPr="00624A2D" w:rsidRDefault="00454B9F" w:rsidP="001C1514">
            <w:pPr>
              <w:numPr>
                <w:ilvl w:val="0"/>
                <w:numId w:val="18"/>
              </w:numPr>
              <w:rPr>
                <w:color w:val="FF0000"/>
              </w:rPr>
            </w:pPr>
            <w:r w:rsidRPr="00624A2D">
              <w:rPr>
                <w:color w:val="FF0000"/>
              </w:rPr>
              <w:t>B: Moderate evidence to support the use of a recommendation; clinicians should do this most of the time</w:t>
            </w:r>
          </w:p>
          <w:p w14:paraId="38B46589" w14:textId="77777777" w:rsidR="00270F08" w:rsidRPr="00624A2D" w:rsidRDefault="00270F08" w:rsidP="00270F08">
            <w:pPr>
              <w:numPr>
                <w:ilvl w:val="0"/>
                <w:numId w:val="18"/>
              </w:numPr>
              <w:rPr>
                <w:color w:val="FF0000"/>
              </w:rPr>
            </w:pPr>
            <w:r w:rsidRPr="00624A2D">
              <w:rPr>
                <w:color w:val="FF0000"/>
              </w:rPr>
              <w:t>C: Poor evidence to support or to reject the use of a recommendation; clinicians may or may not follow the recommendation</w:t>
            </w:r>
          </w:p>
          <w:p w14:paraId="7BA7F8E8" w14:textId="77777777" w:rsidR="00270F08" w:rsidRPr="00624A2D" w:rsidRDefault="00270F08" w:rsidP="00270F08">
            <w:pPr>
              <w:numPr>
                <w:ilvl w:val="0"/>
                <w:numId w:val="18"/>
              </w:numPr>
              <w:rPr>
                <w:color w:val="FF0000"/>
              </w:rPr>
            </w:pPr>
            <w:r w:rsidRPr="00624A2D">
              <w:rPr>
                <w:color w:val="FF0000"/>
              </w:rPr>
              <w:t>D: Moderate evidence against the use of a recommendation; clinicians should not do this</w:t>
            </w:r>
          </w:p>
          <w:p w14:paraId="7604C8B3" w14:textId="77777777" w:rsidR="00270F08" w:rsidRPr="00624A2D" w:rsidRDefault="00270F08" w:rsidP="00270F08">
            <w:pPr>
              <w:numPr>
                <w:ilvl w:val="0"/>
                <w:numId w:val="18"/>
              </w:numPr>
              <w:rPr>
                <w:color w:val="FF0000"/>
              </w:rPr>
            </w:pPr>
            <w:r w:rsidRPr="00624A2D">
              <w:rPr>
                <w:color w:val="FF0000"/>
              </w:rPr>
              <w:t>E: Good evidence against the use of a recommendation; clinicians should not do this</w:t>
            </w:r>
          </w:p>
          <w:p w14:paraId="2873BE30" w14:textId="77777777" w:rsidR="007C0A0C" w:rsidRPr="00624A2D" w:rsidRDefault="007C0A0C" w:rsidP="008C22EA">
            <w:pPr>
              <w:ind w:left="0" w:firstLine="0"/>
              <w:rPr>
                <w:color w:val="FF0000"/>
              </w:rPr>
            </w:pPr>
          </w:p>
          <w:p w14:paraId="7328F894" w14:textId="77777777" w:rsidR="00E418E4" w:rsidRPr="00624A2D" w:rsidRDefault="00E418E4" w:rsidP="00E418E4">
            <w:pPr>
              <w:ind w:left="0" w:firstLine="0"/>
              <w:rPr>
                <w:color w:val="0000CC"/>
                <w:u w:val="single"/>
              </w:rPr>
            </w:pPr>
            <w:r w:rsidRPr="00624A2D">
              <w:rPr>
                <w:color w:val="0000CC"/>
                <w:u w:val="single"/>
              </w:rPr>
              <w:t>2013</w:t>
            </w:r>
          </w:p>
          <w:p w14:paraId="05D535F0" w14:textId="77777777" w:rsidR="00E418E4" w:rsidRPr="00624A2D" w:rsidRDefault="00E418E4" w:rsidP="00E418E4">
            <w:pPr>
              <w:ind w:left="0" w:firstLine="0"/>
              <w:rPr>
                <w:color w:val="0000CC"/>
              </w:rPr>
            </w:pPr>
            <w:r w:rsidRPr="00624A2D">
              <w:rPr>
                <w:color w:val="0000CC"/>
              </w:rPr>
              <w:t>Same as above</w:t>
            </w:r>
          </w:p>
          <w:p w14:paraId="42478CDF" w14:textId="7643F750" w:rsidR="00E418E4" w:rsidRPr="00624A2D" w:rsidRDefault="00E418E4" w:rsidP="008C22EA">
            <w:pPr>
              <w:ind w:left="0" w:firstLine="0"/>
              <w:rPr>
                <w:color w:val="FF0000"/>
              </w:rPr>
            </w:pPr>
          </w:p>
        </w:tc>
      </w:tr>
      <w:tr w:rsidR="00971DC7" w14:paraId="0425F99D" w14:textId="77777777" w:rsidTr="00ED309E">
        <w:tc>
          <w:tcPr>
            <w:tcW w:w="2700" w:type="dxa"/>
          </w:tcPr>
          <w:p w14:paraId="2B0A2C72" w14:textId="77777777" w:rsidR="00971DC7" w:rsidRDefault="00971DC7" w:rsidP="00971DC7">
            <w:pPr>
              <w:ind w:left="0" w:firstLine="0"/>
            </w:pPr>
            <w:r>
              <w:lastRenderedPageBreak/>
              <w:t xml:space="preserve">Grade assigned to the </w:t>
            </w:r>
            <w:r w:rsidRPr="004E7215">
              <w:rPr>
                <w:b/>
              </w:rPr>
              <w:t>recommendation</w:t>
            </w:r>
            <w:r>
              <w:t xml:space="preserve"> with definition of the grade</w:t>
            </w:r>
          </w:p>
        </w:tc>
        <w:tc>
          <w:tcPr>
            <w:tcW w:w="8330" w:type="dxa"/>
          </w:tcPr>
          <w:p w14:paraId="4053C333" w14:textId="77777777" w:rsidR="00971DC7" w:rsidRPr="00624A2D" w:rsidRDefault="00971DC7" w:rsidP="00971DC7">
            <w:pPr>
              <w:ind w:left="0" w:firstLine="0"/>
              <w:rPr>
                <w:color w:val="FF0000"/>
                <w:u w:val="single"/>
              </w:rPr>
            </w:pPr>
            <w:r w:rsidRPr="00624A2D">
              <w:rPr>
                <w:color w:val="FF0000"/>
                <w:u w:val="single"/>
              </w:rPr>
              <w:t>2018</w:t>
            </w:r>
          </w:p>
          <w:p w14:paraId="687449C0" w14:textId="77777777" w:rsidR="00971DC7" w:rsidRPr="00624A2D" w:rsidRDefault="00971DC7" w:rsidP="00971DC7">
            <w:pPr>
              <w:ind w:left="0" w:firstLine="0"/>
              <w:rPr>
                <w:color w:val="FF0000"/>
              </w:rPr>
            </w:pPr>
            <w:r w:rsidRPr="00624A2D">
              <w:rPr>
                <w:color w:val="FF0000"/>
              </w:rPr>
              <w:t>No additional grading was provided, grades assigned to evidence is the same with grades assigned to recommendations.</w:t>
            </w:r>
          </w:p>
          <w:p w14:paraId="503E4854" w14:textId="77777777" w:rsidR="00971DC7" w:rsidRPr="00624A2D" w:rsidRDefault="00971DC7" w:rsidP="00971DC7">
            <w:pPr>
              <w:ind w:left="0" w:firstLine="0"/>
              <w:rPr>
                <w:color w:val="FF0000"/>
                <w:u w:val="single"/>
              </w:rPr>
            </w:pPr>
          </w:p>
          <w:p w14:paraId="0069A8D8" w14:textId="77777777" w:rsidR="00971DC7" w:rsidRPr="00624A2D" w:rsidRDefault="00971DC7" w:rsidP="00971DC7">
            <w:pPr>
              <w:ind w:left="0" w:firstLine="0"/>
              <w:rPr>
                <w:color w:val="0000CC"/>
                <w:u w:val="single"/>
              </w:rPr>
            </w:pPr>
            <w:r w:rsidRPr="00624A2D">
              <w:rPr>
                <w:color w:val="0000CC"/>
                <w:u w:val="single"/>
              </w:rPr>
              <w:t>2013</w:t>
            </w:r>
          </w:p>
          <w:p w14:paraId="707F1047" w14:textId="77777777" w:rsidR="00971DC7" w:rsidRPr="00624A2D" w:rsidRDefault="00971DC7" w:rsidP="00971DC7">
            <w:pPr>
              <w:ind w:left="0" w:firstLine="0"/>
              <w:rPr>
                <w:color w:val="0000CC"/>
              </w:rPr>
            </w:pPr>
            <w:r w:rsidRPr="00624A2D">
              <w:rPr>
                <w:color w:val="0000CC"/>
              </w:rPr>
              <w:t>Same as above</w:t>
            </w:r>
          </w:p>
          <w:p w14:paraId="4057D227" w14:textId="77777777" w:rsidR="00971DC7" w:rsidRPr="00624A2D" w:rsidRDefault="00971DC7" w:rsidP="00971DC7">
            <w:pPr>
              <w:ind w:left="0" w:firstLine="0"/>
              <w:rPr>
                <w:color w:val="FF0000"/>
              </w:rPr>
            </w:pPr>
          </w:p>
        </w:tc>
      </w:tr>
      <w:tr w:rsidR="00971DC7" w14:paraId="7BE8B126" w14:textId="77777777" w:rsidTr="00ED309E">
        <w:tc>
          <w:tcPr>
            <w:tcW w:w="2700" w:type="dxa"/>
          </w:tcPr>
          <w:p w14:paraId="3FE5AE8A" w14:textId="77777777" w:rsidR="00971DC7" w:rsidRDefault="00971DC7" w:rsidP="00971DC7">
            <w:pPr>
              <w:ind w:left="0" w:firstLine="0"/>
            </w:pPr>
            <w:r>
              <w:t>Provide all other grades and definitions from the recommendation grading system</w:t>
            </w:r>
          </w:p>
        </w:tc>
        <w:tc>
          <w:tcPr>
            <w:tcW w:w="8330" w:type="dxa"/>
          </w:tcPr>
          <w:p w14:paraId="55A05B45" w14:textId="77777777" w:rsidR="00971DC7" w:rsidRPr="00624A2D" w:rsidRDefault="00971DC7" w:rsidP="00971DC7">
            <w:pPr>
              <w:ind w:left="0" w:firstLine="0"/>
              <w:rPr>
                <w:color w:val="FF0000"/>
                <w:u w:val="single"/>
              </w:rPr>
            </w:pPr>
            <w:r w:rsidRPr="00624A2D">
              <w:rPr>
                <w:color w:val="FF0000"/>
                <w:u w:val="single"/>
              </w:rPr>
              <w:t>2018</w:t>
            </w:r>
          </w:p>
          <w:p w14:paraId="03DA4874" w14:textId="77777777" w:rsidR="00971DC7" w:rsidRPr="00624A2D" w:rsidRDefault="00971DC7" w:rsidP="00971DC7">
            <w:pPr>
              <w:ind w:left="0" w:firstLine="0"/>
              <w:rPr>
                <w:color w:val="FF0000"/>
              </w:rPr>
            </w:pPr>
            <w:r w:rsidRPr="00624A2D">
              <w:rPr>
                <w:color w:val="FF0000"/>
              </w:rPr>
              <w:t>No additional grading was provided, grades assigned to evidence is the same with grades assigned to recommendations.</w:t>
            </w:r>
          </w:p>
          <w:p w14:paraId="681A2A35" w14:textId="77777777" w:rsidR="00971DC7" w:rsidRPr="00624A2D" w:rsidRDefault="00971DC7" w:rsidP="00971DC7">
            <w:pPr>
              <w:ind w:left="0" w:firstLine="0"/>
              <w:rPr>
                <w:color w:val="FF0000"/>
                <w:u w:val="single"/>
              </w:rPr>
            </w:pPr>
          </w:p>
          <w:p w14:paraId="4ED22991" w14:textId="77777777" w:rsidR="00971DC7" w:rsidRPr="00624A2D" w:rsidRDefault="00971DC7" w:rsidP="00971DC7">
            <w:pPr>
              <w:ind w:left="0" w:firstLine="0"/>
              <w:rPr>
                <w:color w:val="0000CC"/>
                <w:u w:val="single"/>
              </w:rPr>
            </w:pPr>
            <w:r w:rsidRPr="00624A2D">
              <w:rPr>
                <w:color w:val="0000CC"/>
                <w:u w:val="single"/>
              </w:rPr>
              <w:t>2013</w:t>
            </w:r>
          </w:p>
          <w:p w14:paraId="6F91723F" w14:textId="77777777" w:rsidR="00971DC7" w:rsidRPr="00624A2D" w:rsidRDefault="00971DC7" w:rsidP="00971DC7">
            <w:pPr>
              <w:ind w:left="0" w:firstLine="0"/>
              <w:rPr>
                <w:color w:val="0000CC"/>
              </w:rPr>
            </w:pPr>
            <w:r w:rsidRPr="00624A2D">
              <w:rPr>
                <w:color w:val="0000CC"/>
              </w:rPr>
              <w:t>Same as above</w:t>
            </w:r>
          </w:p>
          <w:p w14:paraId="6965A7F1" w14:textId="77777777" w:rsidR="00971DC7" w:rsidRPr="00624A2D" w:rsidRDefault="00971DC7" w:rsidP="00971DC7">
            <w:pPr>
              <w:ind w:left="0" w:firstLine="0"/>
              <w:rPr>
                <w:color w:val="FF0000"/>
              </w:rPr>
            </w:pPr>
          </w:p>
        </w:tc>
      </w:tr>
      <w:tr w:rsidR="00971DC7" w14:paraId="7DE617C7" w14:textId="77777777" w:rsidTr="00ED309E">
        <w:tc>
          <w:tcPr>
            <w:tcW w:w="2700" w:type="dxa"/>
          </w:tcPr>
          <w:p w14:paraId="28E0EE86" w14:textId="77777777" w:rsidR="00971DC7" w:rsidRDefault="00971DC7" w:rsidP="00971DC7">
            <w:pPr>
              <w:ind w:left="0" w:firstLine="0"/>
            </w:pPr>
            <w:r>
              <w:t>Body of evidence:</w:t>
            </w:r>
          </w:p>
          <w:p w14:paraId="582B5DED" w14:textId="77777777" w:rsidR="00971DC7" w:rsidRDefault="00971DC7" w:rsidP="00971DC7">
            <w:pPr>
              <w:pStyle w:val="ListParagraph"/>
              <w:numPr>
                <w:ilvl w:val="0"/>
                <w:numId w:val="10"/>
              </w:numPr>
            </w:pPr>
            <w:r>
              <w:t>Quantity – how many studies?</w:t>
            </w:r>
          </w:p>
          <w:p w14:paraId="12BF1F5F" w14:textId="77777777" w:rsidR="00971DC7" w:rsidRDefault="00971DC7" w:rsidP="00971DC7">
            <w:pPr>
              <w:pStyle w:val="ListParagraph"/>
              <w:numPr>
                <w:ilvl w:val="0"/>
                <w:numId w:val="10"/>
              </w:numPr>
            </w:pPr>
            <w:r>
              <w:t>Quality – what type of studies?</w:t>
            </w:r>
          </w:p>
        </w:tc>
        <w:tc>
          <w:tcPr>
            <w:tcW w:w="8330" w:type="dxa"/>
          </w:tcPr>
          <w:p w14:paraId="39D8BB2C" w14:textId="5CD807BC" w:rsidR="00971DC7" w:rsidRPr="00624A2D" w:rsidRDefault="00971DC7" w:rsidP="00971DC7">
            <w:pPr>
              <w:pStyle w:val="NormalWeb"/>
              <w:rPr>
                <w:rFonts w:asciiTheme="minorHAnsi" w:hAnsiTheme="minorHAnsi"/>
                <w:color w:val="FF0000"/>
                <w:sz w:val="22"/>
                <w:szCs w:val="22"/>
              </w:rPr>
            </w:pPr>
            <w:r w:rsidRPr="00624A2D">
              <w:rPr>
                <w:rFonts w:asciiTheme="minorHAnsi" w:hAnsiTheme="minorHAnsi"/>
                <w:color w:val="FF0000"/>
                <w:sz w:val="22"/>
                <w:szCs w:val="22"/>
              </w:rPr>
              <w:t xml:space="preserve">The </w:t>
            </w:r>
            <w:r w:rsidR="00410EAA" w:rsidRPr="00624A2D">
              <w:rPr>
                <w:rFonts w:asciiTheme="minorHAnsi" w:hAnsiTheme="minorHAnsi"/>
                <w:color w:val="FF0000"/>
                <w:sz w:val="22"/>
                <w:szCs w:val="22"/>
              </w:rPr>
              <w:t xml:space="preserve">AGS </w:t>
            </w:r>
            <w:r w:rsidRPr="00624A2D">
              <w:rPr>
                <w:rFonts w:asciiTheme="minorHAnsi" w:hAnsiTheme="minorHAnsi"/>
                <w:color w:val="FF0000"/>
                <w:sz w:val="22"/>
                <w:szCs w:val="22"/>
              </w:rPr>
              <w:t xml:space="preserve">does not provide information on the systematic review conducted to support its guideline and the recommendations mentioned above. In lieu of the </w:t>
            </w:r>
            <w:r w:rsidR="00410EAA" w:rsidRPr="00624A2D">
              <w:rPr>
                <w:rFonts w:asciiTheme="minorHAnsi" w:hAnsiTheme="minorHAnsi"/>
                <w:color w:val="FF0000"/>
                <w:sz w:val="22"/>
                <w:szCs w:val="22"/>
              </w:rPr>
              <w:t xml:space="preserve">AGS </w:t>
            </w:r>
            <w:r w:rsidRPr="00624A2D">
              <w:rPr>
                <w:rFonts w:asciiTheme="minorHAnsi" w:hAnsiTheme="minorHAnsi"/>
                <w:color w:val="FF0000"/>
                <w:sz w:val="22"/>
                <w:szCs w:val="22"/>
              </w:rPr>
              <w:t xml:space="preserve">systematic review, we provide information on two other systematic reviews that support the </w:t>
            </w:r>
            <w:r w:rsidR="00410EAA" w:rsidRPr="00624A2D">
              <w:rPr>
                <w:rFonts w:asciiTheme="minorHAnsi" w:hAnsiTheme="minorHAnsi"/>
                <w:color w:val="FF0000"/>
                <w:sz w:val="22"/>
                <w:szCs w:val="22"/>
              </w:rPr>
              <w:t xml:space="preserve">AGS’s </w:t>
            </w:r>
            <w:r w:rsidRPr="00624A2D">
              <w:rPr>
                <w:rFonts w:asciiTheme="minorHAnsi" w:hAnsiTheme="minorHAnsi"/>
                <w:color w:val="FF0000"/>
                <w:sz w:val="22"/>
                <w:szCs w:val="22"/>
              </w:rPr>
              <w:t xml:space="preserve">recommendations in Table 3.  </w:t>
            </w:r>
          </w:p>
          <w:p w14:paraId="4A914A32" w14:textId="77777777" w:rsidR="00971DC7" w:rsidRPr="00624A2D" w:rsidRDefault="00971DC7" w:rsidP="00971DC7">
            <w:pPr>
              <w:ind w:left="432" w:hanging="432"/>
              <w:rPr>
                <w:noProof/>
                <w:color w:val="FF0000"/>
              </w:rPr>
            </w:pPr>
          </w:p>
          <w:p w14:paraId="22DA5E58" w14:textId="77777777" w:rsidR="00971DC7" w:rsidRPr="00624A2D" w:rsidRDefault="00971DC7" w:rsidP="00971DC7">
            <w:pPr>
              <w:ind w:left="0" w:firstLine="0"/>
              <w:rPr>
                <w:color w:val="FF0000"/>
              </w:rPr>
            </w:pPr>
          </w:p>
          <w:p w14:paraId="2B7335DD" w14:textId="77777777" w:rsidR="00971DC7" w:rsidRPr="00624A2D" w:rsidRDefault="00971DC7" w:rsidP="00586F58">
            <w:pPr>
              <w:ind w:left="0" w:firstLine="0"/>
              <w:rPr>
                <w:color w:val="FF0000"/>
              </w:rPr>
            </w:pPr>
          </w:p>
        </w:tc>
      </w:tr>
      <w:tr w:rsidR="00971DC7" w14:paraId="2B696512" w14:textId="77777777" w:rsidTr="00ED309E">
        <w:tc>
          <w:tcPr>
            <w:tcW w:w="2700" w:type="dxa"/>
          </w:tcPr>
          <w:p w14:paraId="7F2B2BD8" w14:textId="77777777" w:rsidR="00971DC7" w:rsidRDefault="00971DC7" w:rsidP="00971DC7">
            <w:pPr>
              <w:ind w:left="0" w:firstLine="0"/>
            </w:pPr>
            <w:r>
              <w:t xml:space="preserve">Estimates of benefit and consistency across studies </w:t>
            </w:r>
          </w:p>
        </w:tc>
        <w:tc>
          <w:tcPr>
            <w:tcW w:w="8330" w:type="dxa"/>
          </w:tcPr>
          <w:p w14:paraId="78E0BCC3" w14:textId="07C37D9B" w:rsidR="00971DC7" w:rsidRPr="00624A2D" w:rsidRDefault="00586F58" w:rsidP="00971DC7">
            <w:pPr>
              <w:ind w:left="0" w:firstLine="0"/>
              <w:rPr>
                <w:color w:val="FF0000"/>
              </w:rPr>
            </w:pPr>
            <w:r w:rsidRPr="00624A2D">
              <w:rPr>
                <w:color w:val="FF0000"/>
              </w:rPr>
              <w:t>See Table 3.</w:t>
            </w:r>
          </w:p>
          <w:p w14:paraId="40983D03" w14:textId="77777777" w:rsidR="00971DC7" w:rsidRPr="00624A2D" w:rsidRDefault="00971DC7" w:rsidP="00971DC7">
            <w:pPr>
              <w:ind w:left="0" w:firstLine="0"/>
              <w:rPr>
                <w:color w:val="FF0000"/>
              </w:rPr>
            </w:pPr>
          </w:p>
        </w:tc>
      </w:tr>
      <w:tr w:rsidR="007C0A0C" w14:paraId="747EFC42" w14:textId="77777777" w:rsidTr="00ED309E">
        <w:tc>
          <w:tcPr>
            <w:tcW w:w="2700" w:type="dxa"/>
          </w:tcPr>
          <w:p w14:paraId="05573A3C" w14:textId="77777777" w:rsidR="007C0A0C" w:rsidRDefault="007C0A0C" w:rsidP="008C22EA">
            <w:pPr>
              <w:ind w:left="0" w:firstLine="0"/>
            </w:pPr>
            <w:r>
              <w:t>What harms were identified?</w:t>
            </w:r>
          </w:p>
        </w:tc>
        <w:tc>
          <w:tcPr>
            <w:tcW w:w="8330" w:type="dxa"/>
          </w:tcPr>
          <w:p w14:paraId="5E08B9C7" w14:textId="25A5C54B" w:rsidR="00586F58" w:rsidRPr="00624A2D" w:rsidRDefault="00586F58" w:rsidP="00586F58">
            <w:pPr>
              <w:ind w:left="0" w:firstLine="0"/>
              <w:rPr>
                <w:color w:val="FF0000"/>
              </w:rPr>
            </w:pPr>
            <w:r w:rsidRPr="00624A2D">
              <w:rPr>
                <w:color w:val="FF0000"/>
              </w:rPr>
              <w:t>See Table 3.</w:t>
            </w:r>
          </w:p>
          <w:p w14:paraId="31430E0E" w14:textId="3EB0801A" w:rsidR="007C0A0C" w:rsidRPr="00624A2D" w:rsidRDefault="007C0A0C" w:rsidP="008C22EA">
            <w:pPr>
              <w:ind w:left="0" w:firstLine="0"/>
              <w:rPr>
                <w:color w:val="FF0000"/>
              </w:rPr>
            </w:pPr>
          </w:p>
        </w:tc>
      </w:tr>
      <w:tr w:rsidR="007C0A0C" w14:paraId="32DA2FB8" w14:textId="77777777" w:rsidTr="00ED309E">
        <w:tc>
          <w:tcPr>
            <w:tcW w:w="2700" w:type="dxa"/>
          </w:tcPr>
          <w:p w14:paraId="46A073A0" w14:textId="77777777" w:rsidR="007C0A0C" w:rsidRDefault="007C0A0C" w:rsidP="008C22EA">
            <w:pPr>
              <w:ind w:left="0" w:firstLine="0"/>
            </w:pPr>
            <w:r>
              <w:t xml:space="preserve">Identify any new studies </w:t>
            </w:r>
            <w:r>
              <w:lastRenderedPageBreak/>
              <w:t>conducted since the SR. Do the new studies change the conclusions from the SR?</w:t>
            </w:r>
          </w:p>
        </w:tc>
        <w:tc>
          <w:tcPr>
            <w:tcW w:w="8330" w:type="dxa"/>
          </w:tcPr>
          <w:p w14:paraId="1480A083" w14:textId="77777777" w:rsidR="007C0A0C" w:rsidRPr="00624A2D" w:rsidRDefault="007C0A0C" w:rsidP="008C22EA">
            <w:pPr>
              <w:ind w:left="0" w:firstLine="0"/>
              <w:rPr>
                <w:color w:val="FF0000"/>
              </w:rPr>
            </w:pPr>
            <w:r w:rsidRPr="00624A2D">
              <w:rPr>
                <w:color w:val="FF0000"/>
              </w:rPr>
              <w:lastRenderedPageBreak/>
              <w:t xml:space="preserve">There have been no new studies that contradict the current body of evidence. </w:t>
            </w:r>
          </w:p>
          <w:p w14:paraId="259A7DD6" w14:textId="77777777" w:rsidR="007C0A0C" w:rsidRPr="00624A2D" w:rsidRDefault="007C0A0C" w:rsidP="008C22EA">
            <w:pPr>
              <w:ind w:left="0" w:firstLine="0"/>
              <w:rPr>
                <w:color w:val="FF0000"/>
              </w:rPr>
            </w:pPr>
          </w:p>
        </w:tc>
      </w:tr>
    </w:tbl>
    <w:p w14:paraId="51DA3E35" w14:textId="77777777" w:rsidR="00B61278" w:rsidRDefault="00B61278" w:rsidP="002E2177">
      <w:pPr>
        <w:ind w:left="0" w:firstLine="0"/>
        <w:rPr>
          <w:color w:val="0000CC"/>
        </w:rPr>
      </w:pPr>
    </w:p>
    <w:p w14:paraId="55B8DA94" w14:textId="280BD4DF" w:rsidR="007C1887" w:rsidRPr="00624A2D" w:rsidRDefault="00586F58" w:rsidP="006A1CC2">
      <w:pPr>
        <w:ind w:left="-720" w:firstLine="0"/>
        <w:rPr>
          <w:color w:val="FF0000"/>
        </w:rPr>
      </w:pPr>
      <w:r w:rsidRPr="00624A2D">
        <w:rPr>
          <w:color w:val="FF0000"/>
        </w:rPr>
        <w:t>Table 3. Systematic Review</w:t>
      </w:r>
    </w:p>
    <w:tbl>
      <w:tblPr>
        <w:tblStyle w:val="TableGrid"/>
        <w:tblW w:w="10980" w:type="dxa"/>
        <w:tblInd w:w="-815" w:type="dxa"/>
        <w:tblLayout w:type="fixed"/>
        <w:tblLook w:val="04A0" w:firstRow="1" w:lastRow="0" w:firstColumn="1" w:lastColumn="0" w:noHBand="0" w:noVBand="1"/>
      </w:tblPr>
      <w:tblGrid>
        <w:gridCol w:w="1800"/>
        <w:gridCol w:w="9180"/>
      </w:tblGrid>
      <w:tr w:rsidR="00971DC7" w:rsidRPr="00891EE7" w14:paraId="60D81B74" w14:textId="77777777" w:rsidTr="00ED309E">
        <w:tc>
          <w:tcPr>
            <w:tcW w:w="1800" w:type="dxa"/>
          </w:tcPr>
          <w:p w14:paraId="2EB7EA3B" w14:textId="68F2349E" w:rsidR="00971DC7" w:rsidRPr="00624A2D" w:rsidRDefault="00971DC7" w:rsidP="008C22EA">
            <w:pPr>
              <w:ind w:left="0" w:firstLine="0"/>
              <w:rPr>
                <w:b/>
                <w:color w:val="FF0000"/>
              </w:rPr>
            </w:pPr>
            <w:r w:rsidRPr="00624A2D">
              <w:rPr>
                <w:b/>
                <w:color w:val="FF0000"/>
              </w:rPr>
              <w:t>Citation</w:t>
            </w:r>
          </w:p>
        </w:tc>
        <w:tc>
          <w:tcPr>
            <w:tcW w:w="9180" w:type="dxa"/>
          </w:tcPr>
          <w:p w14:paraId="3336FAD5" w14:textId="6DD51D79" w:rsidR="00971DC7" w:rsidRPr="00624A2D" w:rsidRDefault="00971DC7" w:rsidP="008C22EA">
            <w:pPr>
              <w:ind w:left="0" w:firstLine="0"/>
              <w:rPr>
                <w:color w:val="FF0000"/>
              </w:rPr>
            </w:pPr>
            <w:r w:rsidRPr="00624A2D">
              <w:rPr>
                <w:rFonts w:cs="Arial"/>
                <w:color w:val="FF0000"/>
              </w:rPr>
              <w:t xml:space="preserve">Department of Veteran Affairs, Department of Defense. VA/DoD clinical practice guideline for the management of diabetes mellitus. 2010. Washington (DC): Department of Veteran Affairs, Department of Defense. Retrieved from </w:t>
            </w:r>
            <w:hyperlink r:id="rId18" w:history="1">
              <w:r w:rsidRPr="00624A2D">
                <w:rPr>
                  <w:rStyle w:val="Hyperlink"/>
                  <w:rFonts w:cs="Arial"/>
                  <w:color w:val="FF0000"/>
                </w:rPr>
                <w:t>http://www.healthquality.va.gov/diabetes/DM2010_FUL-v4e.pdf</w:t>
              </w:r>
            </w:hyperlink>
            <w:r w:rsidRPr="00624A2D">
              <w:rPr>
                <w:rFonts w:cs="Arial"/>
                <w:color w:val="FF0000"/>
              </w:rPr>
              <w:t xml:space="preserve">.  </w:t>
            </w:r>
          </w:p>
        </w:tc>
      </w:tr>
      <w:tr w:rsidR="00E418E4" w:rsidRPr="00891EE7" w14:paraId="6C92F511" w14:textId="77777777" w:rsidTr="00ED309E">
        <w:tc>
          <w:tcPr>
            <w:tcW w:w="1800" w:type="dxa"/>
          </w:tcPr>
          <w:p w14:paraId="5DA21E16" w14:textId="77777777" w:rsidR="00E418E4" w:rsidRPr="00624A2D" w:rsidRDefault="00E418E4" w:rsidP="008C22EA">
            <w:pPr>
              <w:ind w:left="0" w:firstLine="0"/>
              <w:rPr>
                <w:b/>
                <w:color w:val="FF0000"/>
              </w:rPr>
            </w:pPr>
            <w:r w:rsidRPr="00624A2D">
              <w:rPr>
                <w:b/>
                <w:color w:val="FF0000"/>
              </w:rPr>
              <w:t>What was the specific structure, treatment, intervention, service, or intermediate outcome addressed in the evidence review?</w:t>
            </w:r>
          </w:p>
        </w:tc>
        <w:tc>
          <w:tcPr>
            <w:tcW w:w="9180" w:type="dxa"/>
          </w:tcPr>
          <w:p w14:paraId="2CCF5423" w14:textId="5612B074" w:rsidR="00971DC7" w:rsidRPr="00624A2D" w:rsidRDefault="00971DC7" w:rsidP="00971DC7">
            <w:pPr>
              <w:ind w:left="0" w:firstLine="0"/>
              <w:rPr>
                <w:color w:val="FF0000"/>
              </w:rPr>
            </w:pPr>
            <w:r w:rsidRPr="00624A2D">
              <w:rPr>
                <w:color w:val="FF0000"/>
              </w:rPr>
              <w:t xml:space="preserve">The evidence for this measure is </w:t>
            </w:r>
            <w:r w:rsidR="007429C4">
              <w:rPr>
                <w:color w:val="FF0000"/>
              </w:rPr>
              <w:t>based</w:t>
            </w:r>
            <w:r w:rsidR="007429C4" w:rsidRPr="00624A2D">
              <w:rPr>
                <w:color w:val="FF0000"/>
              </w:rPr>
              <w:t xml:space="preserve"> </w:t>
            </w:r>
            <w:r w:rsidRPr="00624A2D">
              <w:rPr>
                <w:color w:val="FF0000"/>
              </w:rPr>
              <w:t>on measur</w:t>
            </w:r>
            <w:r w:rsidR="007429C4">
              <w:rPr>
                <w:color w:val="FF0000"/>
              </w:rPr>
              <w:t>ement of</w:t>
            </w:r>
            <w:r w:rsidRPr="00624A2D">
              <w:rPr>
                <w:color w:val="FF0000"/>
              </w:rPr>
              <w:t xml:space="preserve"> blood glucose or HbA1c </w:t>
            </w:r>
            <w:r w:rsidR="007429C4">
              <w:rPr>
                <w:color w:val="FF0000"/>
              </w:rPr>
              <w:t xml:space="preserve">to </w:t>
            </w:r>
            <w:r w:rsidR="006B51DD">
              <w:rPr>
                <w:color w:val="FF0000"/>
              </w:rPr>
              <w:t xml:space="preserve">facilitate </w:t>
            </w:r>
            <w:r w:rsidR="006B51DD" w:rsidRPr="00624A2D">
              <w:rPr>
                <w:color w:val="FF0000"/>
              </w:rPr>
              <w:t>glycemic</w:t>
            </w:r>
            <w:r w:rsidRPr="00624A2D">
              <w:rPr>
                <w:color w:val="FF0000"/>
              </w:rPr>
              <w:t xml:space="preserve"> control in adults with diabetes. Monitoring of blood glucose can be conducted by patients through self-monitoring (SBGM) or by the provider through point of care treatment (PoCT). Self-monitoring includes using at home blood glucose tests to continuously measure glucose levels. HbA1c tests are conducted or ordered by a provider to measure the average blood glucose over a three-month period. Results from monitoring assist providers and patients with maintaining or improving glycemic control and reducing complications from diabetes. </w:t>
            </w:r>
          </w:p>
          <w:p w14:paraId="2F690FE1" w14:textId="257C4E29" w:rsidR="00E418E4" w:rsidRPr="00624A2D" w:rsidRDefault="00E418E4" w:rsidP="008C22EA">
            <w:pPr>
              <w:ind w:left="0" w:firstLine="0"/>
              <w:rPr>
                <w:color w:val="FF0000"/>
              </w:rPr>
            </w:pPr>
          </w:p>
        </w:tc>
      </w:tr>
      <w:tr w:rsidR="00E814B7" w:rsidRPr="00891EE7" w14:paraId="23E683B6" w14:textId="77777777" w:rsidTr="00ED309E">
        <w:tc>
          <w:tcPr>
            <w:tcW w:w="1800" w:type="dxa"/>
          </w:tcPr>
          <w:p w14:paraId="281D55A7" w14:textId="1EF00560" w:rsidR="00E814B7" w:rsidRPr="00624A2D" w:rsidRDefault="00E814B7" w:rsidP="00E814B7">
            <w:pPr>
              <w:ind w:left="0" w:firstLine="0"/>
              <w:rPr>
                <w:b/>
                <w:color w:val="FF0000"/>
              </w:rPr>
            </w:pPr>
            <w:r w:rsidRPr="00624A2D">
              <w:rPr>
                <w:b/>
                <w:color w:val="FF0000"/>
              </w:rPr>
              <w:t>Grade assigned for the quality of the quoted evidence with definition of the grade</w:t>
            </w:r>
          </w:p>
        </w:tc>
        <w:tc>
          <w:tcPr>
            <w:tcW w:w="9180" w:type="dxa"/>
          </w:tcPr>
          <w:p w14:paraId="76B09CCE" w14:textId="616B90DD" w:rsidR="00E814B7" w:rsidRPr="00624A2D" w:rsidRDefault="00E814B7" w:rsidP="00E814B7">
            <w:pPr>
              <w:ind w:left="0" w:firstLine="0"/>
              <w:rPr>
                <w:color w:val="FF0000"/>
                <w:u w:val="single"/>
              </w:rPr>
            </w:pPr>
            <w:r w:rsidRPr="00624A2D">
              <w:rPr>
                <w:color w:val="FF0000"/>
                <w:u w:val="single"/>
              </w:rPr>
              <w:t>Level of Evidence (LE)</w:t>
            </w:r>
          </w:p>
          <w:p w14:paraId="707C862A" w14:textId="77777777" w:rsidR="00E814B7" w:rsidRPr="00624A2D" w:rsidRDefault="00E814B7" w:rsidP="00E814B7">
            <w:pPr>
              <w:ind w:left="0" w:firstLine="0"/>
              <w:rPr>
                <w:color w:val="FF0000"/>
              </w:rPr>
            </w:pPr>
            <w:r w:rsidRPr="00624A2D">
              <w:rPr>
                <w:color w:val="FF0000"/>
              </w:rPr>
              <w:t xml:space="preserve"> I</w:t>
            </w:r>
            <w:r w:rsidRPr="00624A2D">
              <w:rPr>
                <w:color w:val="FF0000"/>
              </w:rPr>
              <w:tab/>
              <w:t xml:space="preserve">At least one properly done RCT </w:t>
            </w:r>
          </w:p>
          <w:p w14:paraId="7433F8DC" w14:textId="77777777" w:rsidR="00E814B7" w:rsidRPr="00624A2D" w:rsidRDefault="00E814B7" w:rsidP="00E814B7">
            <w:pPr>
              <w:ind w:left="0" w:firstLine="0"/>
              <w:rPr>
                <w:color w:val="FF0000"/>
              </w:rPr>
            </w:pPr>
            <w:r w:rsidRPr="00624A2D">
              <w:rPr>
                <w:color w:val="FF0000"/>
              </w:rPr>
              <w:t xml:space="preserve">II-1 </w:t>
            </w:r>
            <w:r w:rsidRPr="00624A2D">
              <w:rPr>
                <w:color w:val="FF0000"/>
              </w:rPr>
              <w:tab/>
              <w:t xml:space="preserve">Well designed controlled trial without randomization </w:t>
            </w:r>
          </w:p>
          <w:p w14:paraId="08DEF6A7" w14:textId="77777777" w:rsidR="00E814B7" w:rsidRPr="00624A2D" w:rsidRDefault="00E814B7" w:rsidP="00E814B7">
            <w:pPr>
              <w:ind w:left="0" w:firstLine="0"/>
              <w:rPr>
                <w:color w:val="FF0000"/>
              </w:rPr>
            </w:pPr>
            <w:r w:rsidRPr="00624A2D">
              <w:rPr>
                <w:color w:val="FF0000"/>
              </w:rPr>
              <w:t xml:space="preserve">II-2 </w:t>
            </w:r>
            <w:r w:rsidRPr="00624A2D">
              <w:rPr>
                <w:color w:val="FF0000"/>
              </w:rPr>
              <w:tab/>
              <w:t xml:space="preserve">Well designed cohort or case-control analytic study </w:t>
            </w:r>
          </w:p>
          <w:p w14:paraId="6CA91957" w14:textId="77777777" w:rsidR="00E814B7" w:rsidRPr="00624A2D" w:rsidRDefault="00E814B7" w:rsidP="00E814B7">
            <w:pPr>
              <w:ind w:left="0" w:firstLine="0"/>
              <w:rPr>
                <w:color w:val="FF0000"/>
              </w:rPr>
            </w:pPr>
            <w:r w:rsidRPr="00624A2D">
              <w:rPr>
                <w:color w:val="FF0000"/>
              </w:rPr>
              <w:t xml:space="preserve">II-3 </w:t>
            </w:r>
            <w:r w:rsidRPr="00624A2D">
              <w:rPr>
                <w:color w:val="FF0000"/>
              </w:rPr>
              <w:tab/>
              <w:t xml:space="preserve">Multiple time series, dramatic results of uncontrolled experiment </w:t>
            </w:r>
          </w:p>
          <w:p w14:paraId="2E3E130C" w14:textId="77777777" w:rsidR="00E814B7" w:rsidRPr="00624A2D" w:rsidRDefault="00E814B7" w:rsidP="00E814B7">
            <w:pPr>
              <w:ind w:left="0" w:firstLine="0"/>
              <w:rPr>
                <w:color w:val="FF0000"/>
              </w:rPr>
            </w:pPr>
          </w:p>
          <w:p w14:paraId="1E6D7154" w14:textId="35E72262" w:rsidR="00E814B7" w:rsidRPr="00624A2D" w:rsidRDefault="00E814B7" w:rsidP="00E814B7">
            <w:pPr>
              <w:ind w:left="0" w:firstLine="0"/>
              <w:rPr>
                <w:color w:val="FF0000"/>
                <w:u w:val="single"/>
              </w:rPr>
            </w:pPr>
            <w:r w:rsidRPr="00624A2D">
              <w:rPr>
                <w:color w:val="FF0000"/>
                <w:u w:val="single"/>
              </w:rPr>
              <w:t>Quality of Evidence</w:t>
            </w:r>
          </w:p>
          <w:p w14:paraId="67A15F4E" w14:textId="77777777" w:rsidR="00E814B7" w:rsidRPr="00624A2D" w:rsidRDefault="00E814B7" w:rsidP="00E814B7">
            <w:pPr>
              <w:ind w:left="720" w:hanging="720"/>
              <w:rPr>
                <w:color w:val="FF0000"/>
              </w:rPr>
            </w:pPr>
            <w:r w:rsidRPr="00624A2D">
              <w:rPr>
                <w:color w:val="FF0000"/>
              </w:rPr>
              <w:t xml:space="preserve">Fair </w:t>
            </w:r>
            <w:r w:rsidRPr="00624A2D">
              <w:rPr>
                <w:color w:val="FF0000"/>
              </w:rPr>
              <w:tab/>
              <w:t xml:space="preserve">High grade evidence (I or II-1) linked to intermediate outcome; or Moderate grade evidence (II-2 or II-3) directly linked to health outcome </w:t>
            </w:r>
          </w:p>
          <w:p w14:paraId="27F1972A" w14:textId="77777777" w:rsidR="00E814B7" w:rsidRPr="00624A2D" w:rsidRDefault="00E814B7" w:rsidP="00E814B7">
            <w:pPr>
              <w:ind w:left="0" w:firstLine="0"/>
              <w:rPr>
                <w:color w:val="FF0000"/>
                <w:u w:val="single"/>
              </w:rPr>
            </w:pPr>
          </w:p>
          <w:p w14:paraId="34D23197" w14:textId="7EA8AC94" w:rsidR="00E814B7" w:rsidRPr="00624A2D" w:rsidRDefault="00E814B7" w:rsidP="00E814B7">
            <w:pPr>
              <w:ind w:left="0" w:firstLine="0"/>
              <w:rPr>
                <w:color w:val="FF0000"/>
                <w:u w:val="single"/>
              </w:rPr>
            </w:pPr>
            <w:r w:rsidRPr="00624A2D">
              <w:rPr>
                <w:color w:val="FF0000"/>
                <w:u w:val="single"/>
              </w:rPr>
              <w:t>Strength of Recommendation</w:t>
            </w:r>
          </w:p>
          <w:p w14:paraId="7EC54A2A" w14:textId="60B4773F" w:rsidR="00E814B7" w:rsidRPr="00624A2D" w:rsidRDefault="00E814B7" w:rsidP="00E814B7">
            <w:pPr>
              <w:ind w:left="0" w:firstLine="0"/>
              <w:rPr>
                <w:color w:val="FF0000"/>
              </w:rPr>
            </w:pPr>
            <w:r w:rsidRPr="00624A2D">
              <w:rPr>
                <w:color w:val="FF0000"/>
              </w:rPr>
              <w:t xml:space="preserve">B </w:t>
            </w:r>
            <w:r w:rsidRPr="00624A2D">
              <w:rPr>
                <w:color w:val="FF0000"/>
              </w:rPr>
              <w:tab/>
              <w:t xml:space="preserve">A recommendation that the intervention may be useful/effective </w:t>
            </w:r>
          </w:p>
          <w:p w14:paraId="71BB2511" w14:textId="77777777" w:rsidR="00E814B7" w:rsidRPr="00624A2D" w:rsidRDefault="00E814B7" w:rsidP="00E814B7">
            <w:pPr>
              <w:ind w:left="0" w:firstLine="0"/>
              <w:rPr>
                <w:color w:val="FF0000"/>
              </w:rPr>
            </w:pPr>
            <w:r w:rsidRPr="00624A2D">
              <w:rPr>
                <w:color w:val="FF0000"/>
              </w:rPr>
              <w:t xml:space="preserve">C </w:t>
            </w:r>
            <w:r w:rsidRPr="00624A2D">
              <w:rPr>
                <w:color w:val="FF0000"/>
              </w:rPr>
              <w:tab/>
              <w:t xml:space="preserve">A recommendation that the intervention may be considered </w:t>
            </w:r>
          </w:p>
          <w:p w14:paraId="086BA005" w14:textId="77777777" w:rsidR="00E814B7" w:rsidRPr="00624A2D" w:rsidRDefault="00E814B7" w:rsidP="00E814B7">
            <w:pPr>
              <w:ind w:left="0" w:firstLine="0"/>
              <w:rPr>
                <w:color w:val="FF0000"/>
              </w:rPr>
            </w:pPr>
          </w:p>
        </w:tc>
      </w:tr>
      <w:tr w:rsidR="00E814B7" w:rsidRPr="00891EE7" w14:paraId="12AF35EC" w14:textId="77777777" w:rsidTr="00ED309E">
        <w:tc>
          <w:tcPr>
            <w:tcW w:w="1800" w:type="dxa"/>
          </w:tcPr>
          <w:p w14:paraId="7895C80B" w14:textId="790AF223" w:rsidR="00E814B7" w:rsidRPr="00624A2D" w:rsidRDefault="00E814B7" w:rsidP="00E814B7">
            <w:pPr>
              <w:ind w:left="0" w:firstLine="0"/>
              <w:rPr>
                <w:b/>
                <w:color w:val="FF0000"/>
              </w:rPr>
            </w:pPr>
            <w:r w:rsidRPr="00624A2D">
              <w:rPr>
                <w:b/>
                <w:color w:val="FF0000"/>
              </w:rPr>
              <w:t>Provide all other grades and associated definitions of the evidence in the grading system</w:t>
            </w:r>
          </w:p>
        </w:tc>
        <w:tc>
          <w:tcPr>
            <w:tcW w:w="9180" w:type="dxa"/>
          </w:tcPr>
          <w:p w14:paraId="3C0C1961" w14:textId="77777777" w:rsidR="00E814B7" w:rsidRPr="00624A2D" w:rsidRDefault="00E814B7" w:rsidP="00E814B7">
            <w:pPr>
              <w:ind w:left="0" w:firstLine="0"/>
              <w:rPr>
                <w:color w:val="FF0000"/>
                <w:u w:val="single"/>
              </w:rPr>
            </w:pPr>
            <w:r w:rsidRPr="00624A2D">
              <w:rPr>
                <w:color w:val="FF0000"/>
                <w:u w:val="single"/>
              </w:rPr>
              <w:t>Level of Evidence (QE)</w:t>
            </w:r>
          </w:p>
          <w:p w14:paraId="37368125" w14:textId="77777777" w:rsidR="00E814B7" w:rsidRPr="00624A2D" w:rsidRDefault="00E814B7" w:rsidP="00E814B7">
            <w:pPr>
              <w:ind w:left="0" w:firstLine="0"/>
              <w:rPr>
                <w:color w:val="FF0000"/>
              </w:rPr>
            </w:pPr>
            <w:r w:rsidRPr="00624A2D">
              <w:rPr>
                <w:color w:val="FF0000"/>
              </w:rPr>
              <w:t xml:space="preserve">III </w:t>
            </w:r>
            <w:r w:rsidRPr="00624A2D">
              <w:rPr>
                <w:color w:val="FF0000"/>
              </w:rPr>
              <w:tab/>
              <w:t>Opinion of respected authorities, case reports, and expert committees</w:t>
            </w:r>
          </w:p>
          <w:p w14:paraId="4105394A" w14:textId="77777777" w:rsidR="00E814B7" w:rsidRPr="00624A2D" w:rsidRDefault="00E814B7" w:rsidP="00E814B7">
            <w:pPr>
              <w:ind w:left="0" w:firstLine="0"/>
              <w:rPr>
                <w:color w:val="FF0000"/>
              </w:rPr>
            </w:pPr>
          </w:p>
          <w:p w14:paraId="0073A55A" w14:textId="77777777" w:rsidR="00E814B7" w:rsidRPr="00624A2D" w:rsidRDefault="00E814B7" w:rsidP="00E814B7">
            <w:pPr>
              <w:ind w:left="0" w:firstLine="0"/>
              <w:rPr>
                <w:color w:val="FF0000"/>
                <w:u w:val="single"/>
              </w:rPr>
            </w:pPr>
            <w:r w:rsidRPr="00624A2D">
              <w:rPr>
                <w:color w:val="FF0000"/>
                <w:u w:val="single"/>
              </w:rPr>
              <w:t xml:space="preserve">Quality of Evidence </w:t>
            </w:r>
          </w:p>
          <w:p w14:paraId="6F9B1C86" w14:textId="77777777" w:rsidR="00E814B7" w:rsidRPr="00624A2D" w:rsidRDefault="00E814B7" w:rsidP="00E814B7">
            <w:pPr>
              <w:ind w:left="0" w:firstLine="0"/>
              <w:rPr>
                <w:color w:val="FF0000"/>
              </w:rPr>
            </w:pPr>
            <w:r w:rsidRPr="00624A2D">
              <w:rPr>
                <w:color w:val="FF0000"/>
              </w:rPr>
              <w:t xml:space="preserve">Good </w:t>
            </w:r>
            <w:r w:rsidRPr="00624A2D">
              <w:rPr>
                <w:color w:val="FF0000"/>
              </w:rPr>
              <w:tab/>
              <w:t xml:space="preserve">High grade evidence (I or II-1) directly linked to health outcome </w:t>
            </w:r>
          </w:p>
          <w:p w14:paraId="2CA22EAD" w14:textId="77777777" w:rsidR="00E814B7" w:rsidRPr="00624A2D" w:rsidRDefault="00E814B7" w:rsidP="00E814B7">
            <w:pPr>
              <w:ind w:left="0" w:firstLine="0"/>
              <w:rPr>
                <w:color w:val="FF0000"/>
              </w:rPr>
            </w:pPr>
            <w:r w:rsidRPr="00624A2D">
              <w:rPr>
                <w:color w:val="FF0000"/>
              </w:rPr>
              <w:t xml:space="preserve">Poor </w:t>
            </w:r>
            <w:r w:rsidRPr="00624A2D">
              <w:rPr>
                <w:color w:val="FF0000"/>
              </w:rPr>
              <w:tab/>
              <w:t>Level III evidence or no linkage of evidence to health outcome</w:t>
            </w:r>
          </w:p>
          <w:p w14:paraId="64E57ABD" w14:textId="77777777" w:rsidR="00E814B7" w:rsidRPr="00624A2D" w:rsidRDefault="00E814B7" w:rsidP="00E814B7">
            <w:pPr>
              <w:ind w:left="0" w:firstLine="0"/>
              <w:rPr>
                <w:color w:val="FF0000"/>
              </w:rPr>
            </w:pPr>
          </w:p>
          <w:p w14:paraId="52A280F9" w14:textId="77777777" w:rsidR="00E814B7" w:rsidRPr="00624A2D" w:rsidRDefault="00E814B7" w:rsidP="00E814B7">
            <w:pPr>
              <w:ind w:left="0" w:firstLine="0"/>
              <w:rPr>
                <w:color w:val="FF0000"/>
                <w:u w:val="single"/>
              </w:rPr>
            </w:pPr>
            <w:r w:rsidRPr="00624A2D">
              <w:rPr>
                <w:color w:val="FF0000"/>
                <w:u w:val="single"/>
              </w:rPr>
              <w:t>Strength of Recommendation</w:t>
            </w:r>
          </w:p>
          <w:p w14:paraId="3F3AA1E8" w14:textId="77777777" w:rsidR="00E814B7" w:rsidRPr="00624A2D" w:rsidRDefault="00E814B7" w:rsidP="00E814B7">
            <w:pPr>
              <w:ind w:left="0" w:firstLine="0"/>
              <w:rPr>
                <w:color w:val="FF0000"/>
              </w:rPr>
            </w:pPr>
            <w:r w:rsidRPr="00624A2D">
              <w:rPr>
                <w:color w:val="FF0000"/>
              </w:rPr>
              <w:t xml:space="preserve">A </w:t>
            </w:r>
            <w:r w:rsidRPr="00624A2D">
              <w:rPr>
                <w:color w:val="FF0000"/>
              </w:rPr>
              <w:tab/>
              <w:t xml:space="preserve">A strong recommendation that the intervention is always indicated and acceptable </w:t>
            </w:r>
          </w:p>
          <w:p w14:paraId="476205C4" w14:textId="77777777" w:rsidR="00E814B7" w:rsidRPr="00624A2D" w:rsidRDefault="00E814B7" w:rsidP="00E814B7">
            <w:pPr>
              <w:ind w:left="720" w:hanging="720"/>
              <w:rPr>
                <w:color w:val="FF0000"/>
              </w:rPr>
            </w:pPr>
            <w:r w:rsidRPr="00624A2D">
              <w:rPr>
                <w:color w:val="FF0000"/>
              </w:rPr>
              <w:lastRenderedPageBreak/>
              <w:t xml:space="preserve">D </w:t>
            </w:r>
            <w:r w:rsidRPr="00624A2D">
              <w:rPr>
                <w:color w:val="FF0000"/>
              </w:rPr>
              <w:tab/>
              <w:t xml:space="preserve">A recommendation that a procedure may be considered not useful/effective, or may be harmful. </w:t>
            </w:r>
          </w:p>
          <w:p w14:paraId="16840ACB" w14:textId="77777777" w:rsidR="00E814B7" w:rsidRPr="00624A2D" w:rsidRDefault="00E814B7" w:rsidP="00E814B7">
            <w:pPr>
              <w:ind w:left="0" w:firstLine="0"/>
              <w:rPr>
                <w:color w:val="FF0000"/>
              </w:rPr>
            </w:pPr>
            <w:r w:rsidRPr="00624A2D">
              <w:rPr>
                <w:color w:val="FF0000"/>
              </w:rPr>
              <w:t xml:space="preserve">I </w:t>
            </w:r>
            <w:r w:rsidRPr="00624A2D">
              <w:rPr>
                <w:color w:val="FF0000"/>
              </w:rPr>
              <w:tab/>
              <w:t>Insufficient evidence to recommend for or against – the clinician will use clinical judgment</w:t>
            </w:r>
          </w:p>
          <w:tbl>
            <w:tblPr>
              <w:tblW w:w="8220" w:type="dxa"/>
              <w:tblBorders>
                <w:top w:val="nil"/>
                <w:left w:val="nil"/>
                <w:bottom w:val="nil"/>
                <w:right w:val="nil"/>
              </w:tblBorders>
              <w:tblLayout w:type="fixed"/>
              <w:tblLook w:val="0000" w:firstRow="0" w:lastRow="0" w:firstColumn="0" w:lastColumn="0" w:noHBand="0" w:noVBand="0"/>
            </w:tblPr>
            <w:tblGrid>
              <w:gridCol w:w="1245"/>
              <w:gridCol w:w="6975"/>
            </w:tblGrid>
            <w:tr w:rsidR="008F6009" w:rsidRPr="00624A2D" w14:paraId="35DF1955" w14:textId="77777777" w:rsidTr="00380D83">
              <w:trPr>
                <w:trHeight w:val="429"/>
              </w:trPr>
              <w:tc>
                <w:tcPr>
                  <w:tcW w:w="8220" w:type="dxa"/>
                  <w:gridSpan w:val="2"/>
                </w:tcPr>
                <w:p w14:paraId="5D5430E0" w14:textId="77777777" w:rsidR="00586F58" w:rsidRPr="00624A2D" w:rsidRDefault="00586F58" w:rsidP="00E814B7">
                  <w:pPr>
                    <w:autoSpaceDE w:val="0"/>
                    <w:autoSpaceDN w:val="0"/>
                    <w:adjustRightInd w:val="0"/>
                    <w:ind w:left="0" w:firstLine="0"/>
                    <w:rPr>
                      <w:rFonts w:cs="Times New Roman"/>
                      <w:bCs/>
                      <w:color w:val="FF0000"/>
                      <w:u w:val="single"/>
                    </w:rPr>
                  </w:pPr>
                </w:p>
                <w:p w14:paraId="5D879800" w14:textId="27B81D99" w:rsidR="00E814B7" w:rsidRPr="00624A2D" w:rsidRDefault="00E814B7" w:rsidP="00E814B7">
                  <w:pPr>
                    <w:autoSpaceDE w:val="0"/>
                    <w:autoSpaceDN w:val="0"/>
                    <w:adjustRightInd w:val="0"/>
                    <w:ind w:left="0" w:firstLine="0"/>
                    <w:rPr>
                      <w:rFonts w:cs="Times New Roman"/>
                      <w:bCs/>
                      <w:color w:val="FF0000"/>
                      <w:u w:val="single"/>
                    </w:rPr>
                  </w:pPr>
                  <w:r w:rsidRPr="00624A2D">
                    <w:rPr>
                      <w:rFonts w:cs="Times New Roman"/>
                      <w:bCs/>
                      <w:color w:val="FF0000"/>
                      <w:u w:val="single"/>
                    </w:rPr>
                    <w:t xml:space="preserve">Net Effect of the Intervention </w:t>
                  </w:r>
                </w:p>
              </w:tc>
            </w:tr>
            <w:tr w:rsidR="008F6009" w:rsidRPr="00624A2D" w14:paraId="1F720942" w14:textId="77777777" w:rsidTr="00971DC7">
              <w:trPr>
                <w:trHeight w:val="429"/>
              </w:trPr>
              <w:tc>
                <w:tcPr>
                  <w:tcW w:w="1245" w:type="dxa"/>
                </w:tcPr>
                <w:p w14:paraId="02DFB16C" w14:textId="6AFCC82E" w:rsidR="00E814B7" w:rsidRPr="00624A2D" w:rsidRDefault="00E814B7" w:rsidP="00E814B7">
                  <w:pPr>
                    <w:autoSpaceDE w:val="0"/>
                    <w:autoSpaceDN w:val="0"/>
                    <w:adjustRightInd w:val="0"/>
                    <w:ind w:left="0" w:firstLine="0"/>
                    <w:rPr>
                      <w:rFonts w:cs="Times New Roman"/>
                      <w:color w:val="FF0000"/>
                    </w:rPr>
                  </w:pPr>
                  <w:r w:rsidRPr="00624A2D">
                    <w:rPr>
                      <w:rFonts w:cs="Times New Roman"/>
                      <w:bCs/>
                      <w:color w:val="FF0000"/>
                    </w:rPr>
                    <w:t xml:space="preserve">Substantial </w:t>
                  </w:r>
                </w:p>
              </w:tc>
              <w:tc>
                <w:tcPr>
                  <w:tcW w:w="6975" w:type="dxa"/>
                </w:tcPr>
                <w:p w14:paraId="3353585F" w14:textId="28520BB2" w:rsidR="00E814B7" w:rsidRPr="00624A2D" w:rsidRDefault="00E814B7" w:rsidP="00E814B7">
                  <w:pPr>
                    <w:autoSpaceDE w:val="0"/>
                    <w:autoSpaceDN w:val="0"/>
                    <w:adjustRightInd w:val="0"/>
                    <w:ind w:left="0" w:firstLine="0"/>
                    <w:rPr>
                      <w:rFonts w:cs="Times New Roman"/>
                      <w:color w:val="FF0000"/>
                    </w:rPr>
                  </w:pPr>
                  <w:r w:rsidRPr="00624A2D">
                    <w:rPr>
                      <w:rFonts w:cs="Times New Roman"/>
                      <w:color w:val="FF0000"/>
                    </w:rPr>
                    <w:t xml:space="preserve">More than a small relative impact on a frequent condition with a substantial burden of suffering; </w:t>
                  </w:r>
                  <w:r w:rsidRPr="00624A2D">
                    <w:rPr>
                      <w:rFonts w:cs="Times New Roman"/>
                      <w:i/>
                      <w:iCs/>
                      <w:color w:val="FF0000"/>
                    </w:rPr>
                    <w:t xml:space="preserve">or </w:t>
                  </w:r>
                  <w:r w:rsidRPr="00624A2D">
                    <w:rPr>
                      <w:rFonts w:cs="Times New Roman"/>
                      <w:color w:val="FF0000"/>
                    </w:rPr>
                    <w:t xml:space="preserve">A large impact on an infrequent condition with a significant impact on the individual patient level. </w:t>
                  </w:r>
                </w:p>
              </w:tc>
            </w:tr>
            <w:tr w:rsidR="008F6009" w:rsidRPr="00624A2D" w14:paraId="3A8685A5" w14:textId="77777777" w:rsidTr="00971DC7">
              <w:trPr>
                <w:trHeight w:val="326"/>
              </w:trPr>
              <w:tc>
                <w:tcPr>
                  <w:tcW w:w="1245" w:type="dxa"/>
                </w:tcPr>
                <w:p w14:paraId="74D9ED29" w14:textId="77777777" w:rsidR="00E814B7" w:rsidRPr="00624A2D" w:rsidRDefault="00E814B7" w:rsidP="00E814B7">
                  <w:pPr>
                    <w:autoSpaceDE w:val="0"/>
                    <w:autoSpaceDN w:val="0"/>
                    <w:adjustRightInd w:val="0"/>
                    <w:ind w:left="0" w:firstLine="0"/>
                    <w:rPr>
                      <w:rFonts w:cs="Times New Roman"/>
                      <w:color w:val="FF0000"/>
                    </w:rPr>
                  </w:pPr>
                  <w:r w:rsidRPr="00624A2D">
                    <w:rPr>
                      <w:rFonts w:cs="Times New Roman"/>
                      <w:bCs/>
                      <w:color w:val="FF0000"/>
                    </w:rPr>
                    <w:t xml:space="preserve">Moderate </w:t>
                  </w:r>
                </w:p>
              </w:tc>
              <w:tc>
                <w:tcPr>
                  <w:tcW w:w="6975" w:type="dxa"/>
                </w:tcPr>
                <w:p w14:paraId="279092BB" w14:textId="77777777" w:rsidR="00E814B7" w:rsidRPr="00624A2D" w:rsidRDefault="00E814B7" w:rsidP="00E814B7">
                  <w:pPr>
                    <w:autoSpaceDE w:val="0"/>
                    <w:autoSpaceDN w:val="0"/>
                    <w:adjustRightInd w:val="0"/>
                    <w:ind w:left="0" w:firstLine="0"/>
                    <w:rPr>
                      <w:rFonts w:cs="Times New Roman"/>
                      <w:color w:val="FF0000"/>
                    </w:rPr>
                  </w:pPr>
                  <w:r w:rsidRPr="00624A2D">
                    <w:rPr>
                      <w:rFonts w:cs="Times New Roman"/>
                      <w:color w:val="FF0000"/>
                    </w:rPr>
                    <w:t xml:space="preserve">A small relative impact on a frequent condition with a substantial </w:t>
                  </w:r>
                </w:p>
                <w:p w14:paraId="0C4DCE42" w14:textId="77777777" w:rsidR="00E814B7" w:rsidRPr="00624A2D" w:rsidRDefault="00E814B7" w:rsidP="00E814B7">
                  <w:pPr>
                    <w:autoSpaceDE w:val="0"/>
                    <w:autoSpaceDN w:val="0"/>
                    <w:adjustRightInd w:val="0"/>
                    <w:ind w:left="0" w:firstLine="0"/>
                    <w:rPr>
                      <w:rFonts w:cs="Times New Roman"/>
                      <w:color w:val="FF0000"/>
                    </w:rPr>
                  </w:pPr>
                  <w:r w:rsidRPr="00624A2D">
                    <w:rPr>
                      <w:rFonts w:cs="Times New Roman"/>
                      <w:color w:val="FF0000"/>
                    </w:rPr>
                    <w:t xml:space="preserve">burden of suffering; </w:t>
                  </w:r>
                  <w:r w:rsidRPr="00624A2D">
                    <w:rPr>
                      <w:rFonts w:cs="Times New Roman"/>
                      <w:i/>
                      <w:iCs/>
                      <w:color w:val="FF0000"/>
                    </w:rPr>
                    <w:t xml:space="preserve">or </w:t>
                  </w:r>
                  <w:r w:rsidRPr="00624A2D">
                    <w:rPr>
                      <w:rFonts w:cs="Times New Roman"/>
                      <w:color w:val="FF0000"/>
                    </w:rPr>
                    <w:t xml:space="preserve">A moderate impact on an infrequent </w:t>
                  </w:r>
                </w:p>
                <w:p w14:paraId="676C22F9" w14:textId="4598A70F" w:rsidR="00E814B7" w:rsidRPr="00624A2D" w:rsidRDefault="00E814B7" w:rsidP="00E814B7">
                  <w:pPr>
                    <w:autoSpaceDE w:val="0"/>
                    <w:autoSpaceDN w:val="0"/>
                    <w:adjustRightInd w:val="0"/>
                    <w:ind w:left="0" w:firstLine="0"/>
                    <w:rPr>
                      <w:rFonts w:cs="Times New Roman"/>
                      <w:color w:val="FF0000"/>
                    </w:rPr>
                  </w:pPr>
                  <w:r w:rsidRPr="00624A2D">
                    <w:rPr>
                      <w:rFonts w:cs="Times New Roman"/>
                      <w:color w:val="FF0000"/>
                    </w:rPr>
                    <w:t xml:space="preserve">condition with a significant impact on the individual patient level. </w:t>
                  </w:r>
                </w:p>
              </w:tc>
            </w:tr>
            <w:tr w:rsidR="008F6009" w:rsidRPr="00624A2D" w14:paraId="682AD4BB" w14:textId="77777777" w:rsidTr="00971DC7">
              <w:trPr>
                <w:trHeight w:val="326"/>
              </w:trPr>
              <w:tc>
                <w:tcPr>
                  <w:tcW w:w="1245" w:type="dxa"/>
                </w:tcPr>
                <w:p w14:paraId="55C1E6F4" w14:textId="77777777" w:rsidR="00E814B7" w:rsidRPr="00624A2D" w:rsidRDefault="00E814B7" w:rsidP="00E814B7">
                  <w:pPr>
                    <w:autoSpaceDE w:val="0"/>
                    <w:autoSpaceDN w:val="0"/>
                    <w:adjustRightInd w:val="0"/>
                    <w:ind w:left="0" w:firstLine="0"/>
                    <w:rPr>
                      <w:rFonts w:cs="Times New Roman"/>
                      <w:color w:val="FF0000"/>
                    </w:rPr>
                  </w:pPr>
                  <w:r w:rsidRPr="00624A2D">
                    <w:rPr>
                      <w:rFonts w:cs="Times New Roman"/>
                      <w:bCs/>
                      <w:color w:val="FF0000"/>
                    </w:rPr>
                    <w:t xml:space="preserve">Small </w:t>
                  </w:r>
                </w:p>
              </w:tc>
              <w:tc>
                <w:tcPr>
                  <w:tcW w:w="6975" w:type="dxa"/>
                </w:tcPr>
                <w:p w14:paraId="7EAB8FDC" w14:textId="77777777" w:rsidR="00E814B7" w:rsidRPr="00624A2D" w:rsidRDefault="00E814B7" w:rsidP="00E814B7">
                  <w:pPr>
                    <w:autoSpaceDE w:val="0"/>
                    <w:autoSpaceDN w:val="0"/>
                    <w:adjustRightInd w:val="0"/>
                    <w:ind w:left="0" w:firstLine="0"/>
                    <w:rPr>
                      <w:rFonts w:cs="Times New Roman"/>
                      <w:color w:val="FF0000"/>
                    </w:rPr>
                  </w:pPr>
                  <w:r w:rsidRPr="00624A2D">
                    <w:rPr>
                      <w:rFonts w:cs="Times New Roman"/>
                      <w:color w:val="FF0000"/>
                    </w:rPr>
                    <w:t xml:space="preserve">A negligible relative impact on a frequent condition with a </w:t>
                  </w:r>
                </w:p>
                <w:p w14:paraId="0AC5FA95" w14:textId="3806F9D7" w:rsidR="00E814B7" w:rsidRPr="00624A2D" w:rsidRDefault="00E814B7" w:rsidP="00E814B7">
                  <w:pPr>
                    <w:autoSpaceDE w:val="0"/>
                    <w:autoSpaceDN w:val="0"/>
                    <w:adjustRightInd w:val="0"/>
                    <w:ind w:left="0" w:firstLine="0"/>
                    <w:rPr>
                      <w:rFonts w:cs="Times New Roman"/>
                      <w:color w:val="FF0000"/>
                    </w:rPr>
                  </w:pPr>
                  <w:r w:rsidRPr="00624A2D">
                    <w:rPr>
                      <w:rFonts w:cs="Times New Roman"/>
                      <w:color w:val="FF0000"/>
                    </w:rPr>
                    <w:t xml:space="preserve">substantial burden of suffering; </w:t>
                  </w:r>
                  <w:r w:rsidRPr="00624A2D">
                    <w:rPr>
                      <w:rFonts w:cs="Times New Roman"/>
                      <w:i/>
                      <w:iCs/>
                      <w:color w:val="FF0000"/>
                    </w:rPr>
                    <w:t xml:space="preserve">or </w:t>
                  </w:r>
                  <w:r w:rsidRPr="00624A2D">
                    <w:rPr>
                      <w:rFonts w:cs="Times New Roman"/>
                      <w:color w:val="FF0000"/>
                    </w:rPr>
                    <w:t xml:space="preserve">A small impact on an infrequent condition with a significant impact on the individual patient level. </w:t>
                  </w:r>
                </w:p>
              </w:tc>
            </w:tr>
            <w:tr w:rsidR="008F6009" w:rsidRPr="00624A2D" w14:paraId="25384096" w14:textId="77777777" w:rsidTr="00971DC7">
              <w:trPr>
                <w:trHeight w:val="387"/>
              </w:trPr>
              <w:tc>
                <w:tcPr>
                  <w:tcW w:w="1245" w:type="dxa"/>
                </w:tcPr>
                <w:p w14:paraId="4E300963" w14:textId="77777777" w:rsidR="00E814B7" w:rsidRPr="00624A2D" w:rsidRDefault="00E814B7" w:rsidP="00E814B7">
                  <w:pPr>
                    <w:autoSpaceDE w:val="0"/>
                    <w:autoSpaceDN w:val="0"/>
                    <w:adjustRightInd w:val="0"/>
                    <w:ind w:left="0" w:firstLine="0"/>
                    <w:rPr>
                      <w:rFonts w:cs="Times New Roman"/>
                      <w:color w:val="FF0000"/>
                    </w:rPr>
                  </w:pPr>
                  <w:r w:rsidRPr="00624A2D">
                    <w:rPr>
                      <w:rFonts w:cs="Times New Roman"/>
                      <w:bCs/>
                      <w:color w:val="FF0000"/>
                    </w:rPr>
                    <w:t xml:space="preserve">Zero or Negative </w:t>
                  </w:r>
                </w:p>
              </w:tc>
              <w:tc>
                <w:tcPr>
                  <w:tcW w:w="6975" w:type="dxa"/>
                </w:tcPr>
                <w:p w14:paraId="23E4F3AF" w14:textId="77777777" w:rsidR="00E814B7" w:rsidRPr="00624A2D" w:rsidRDefault="00E814B7" w:rsidP="00E814B7">
                  <w:pPr>
                    <w:autoSpaceDE w:val="0"/>
                    <w:autoSpaceDN w:val="0"/>
                    <w:adjustRightInd w:val="0"/>
                    <w:ind w:left="0" w:firstLine="0"/>
                    <w:rPr>
                      <w:rFonts w:cs="Times New Roman"/>
                      <w:color w:val="FF0000"/>
                    </w:rPr>
                  </w:pPr>
                  <w:r w:rsidRPr="00624A2D">
                    <w:rPr>
                      <w:rFonts w:cs="Times New Roman"/>
                      <w:color w:val="FF0000"/>
                    </w:rPr>
                    <w:t xml:space="preserve">Negative impact on patients; or </w:t>
                  </w:r>
                </w:p>
                <w:p w14:paraId="6C5A8324" w14:textId="77777777" w:rsidR="00E814B7" w:rsidRPr="00624A2D" w:rsidRDefault="00E814B7" w:rsidP="00E814B7">
                  <w:pPr>
                    <w:autoSpaceDE w:val="0"/>
                    <w:autoSpaceDN w:val="0"/>
                    <w:adjustRightInd w:val="0"/>
                    <w:ind w:left="0" w:firstLine="0"/>
                    <w:rPr>
                      <w:rFonts w:cs="Times New Roman"/>
                      <w:color w:val="FF0000"/>
                    </w:rPr>
                  </w:pPr>
                  <w:r w:rsidRPr="00624A2D">
                    <w:rPr>
                      <w:rFonts w:cs="Times New Roman"/>
                      <w:color w:val="FF0000"/>
                    </w:rPr>
                    <w:t xml:space="preserve">No relative impact on either a frequent condition with a </w:t>
                  </w:r>
                </w:p>
                <w:p w14:paraId="21653673" w14:textId="794522F1" w:rsidR="00E814B7" w:rsidRPr="00624A2D" w:rsidRDefault="00E814B7" w:rsidP="00E814B7">
                  <w:pPr>
                    <w:autoSpaceDE w:val="0"/>
                    <w:autoSpaceDN w:val="0"/>
                    <w:adjustRightInd w:val="0"/>
                    <w:ind w:left="0" w:firstLine="0"/>
                    <w:rPr>
                      <w:rFonts w:cs="Times New Roman"/>
                      <w:color w:val="FF0000"/>
                    </w:rPr>
                  </w:pPr>
                  <w:r w:rsidRPr="00624A2D">
                    <w:rPr>
                      <w:rFonts w:cs="Times New Roman"/>
                      <w:color w:val="FF0000"/>
                    </w:rPr>
                    <w:t xml:space="preserve">substantial burden of suffering; </w:t>
                  </w:r>
                  <w:r w:rsidRPr="00624A2D">
                    <w:rPr>
                      <w:rFonts w:cs="Times New Roman"/>
                      <w:i/>
                      <w:iCs/>
                      <w:color w:val="FF0000"/>
                    </w:rPr>
                    <w:t xml:space="preserve">or </w:t>
                  </w:r>
                </w:p>
                <w:p w14:paraId="0CED9766" w14:textId="77777777" w:rsidR="00E814B7" w:rsidRPr="00624A2D" w:rsidRDefault="00E814B7" w:rsidP="00E814B7">
                  <w:pPr>
                    <w:autoSpaceDE w:val="0"/>
                    <w:autoSpaceDN w:val="0"/>
                    <w:adjustRightInd w:val="0"/>
                    <w:ind w:left="0" w:firstLine="0"/>
                    <w:rPr>
                      <w:rFonts w:cs="Times New Roman"/>
                      <w:color w:val="FF0000"/>
                    </w:rPr>
                  </w:pPr>
                  <w:r w:rsidRPr="00624A2D">
                    <w:rPr>
                      <w:rFonts w:cs="Times New Roman"/>
                      <w:color w:val="FF0000"/>
                    </w:rPr>
                    <w:t xml:space="preserve">An infrequent condition with a significant impact on the individual </w:t>
                  </w:r>
                </w:p>
                <w:p w14:paraId="42E6A442" w14:textId="1C79EFB4" w:rsidR="00E814B7" w:rsidRPr="00624A2D" w:rsidRDefault="00E814B7" w:rsidP="00E814B7">
                  <w:pPr>
                    <w:autoSpaceDE w:val="0"/>
                    <w:autoSpaceDN w:val="0"/>
                    <w:adjustRightInd w:val="0"/>
                    <w:ind w:left="0" w:firstLine="0"/>
                    <w:rPr>
                      <w:rFonts w:cs="Times New Roman"/>
                      <w:color w:val="FF0000"/>
                    </w:rPr>
                  </w:pPr>
                  <w:r w:rsidRPr="00624A2D">
                    <w:rPr>
                      <w:rFonts w:cs="Times New Roman"/>
                      <w:color w:val="FF0000"/>
                    </w:rPr>
                    <w:t xml:space="preserve">patient level. </w:t>
                  </w:r>
                </w:p>
              </w:tc>
            </w:tr>
          </w:tbl>
          <w:p w14:paraId="25283613" w14:textId="77777777" w:rsidR="00E814B7" w:rsidRPr="00624A2D" w:rsidRDefault="00E814B7" w:rsidP="00E814B7">
            <w:pPr>
              <w:ind w:left="0" w:firstLine="0"/>
              <w:rPr>
                <w:color w:val="FF0000"/>
              </w:rPr>
            </w:pPr>
          </w:p>
        </w:tc>
      </w:tr>
      <w:tr w:rsidR="00E814B7" w:rsidRPr="00891EE7" w14:paraId="1B1F4A54" w14:textId="77777777" w:rsidTr="00ED309E">
        <w:tc>
          <w:tcPr>
            <w:tcW w:w="1800" w:type="dxa"/>
          </w:tcPr>
          <w:p w14:paraId="157BE2EE" w14:textId="1575DC5D" w:rsidR="00E814B7" w:rsidRPr="00624A2D" w:rsidRDefault="00E814B7" w:rsidP="00E814B7">
            <w:pPr>
              <w:ind w:left="0" w:firstLine="0"/>
              <w:rPr>
                <w:b/>
                <w:color w:val="FF0000"/>
              </w:rPr>
            </w:pPr>
            <w:r w:rsidRPr="00624A2D">
              <w:rPr>
                <w:b/>
                <w:color w:val="FF0000"/>
              </w:rPr>
              <w:lastRenderedPageBreak/>
              <w:t>What is the time period covered by the body of evidence?</w:t>
            </w:r>
          </w:p>
        </w:tc>
        <w:tc>
          <w:tcPr>
            <w:tcW w:w="9180" w:type="dxa"/>
          </w:tcPr>
          <w:p w14:paraId="4CBD7431" w14:textId="03610640" w:rsidR="00E814B7" w:rsidRPr="00624A2D" w:rsidRDefault="00E814B7" w:rsidP="00E814B7">
            <w:pPr>
              <w:ind w:left="0" w:firstLine="0"/>
              <w:rPr>
                <w:color w:val="FF0000"/>
              </w:rPr>
            </w:pPr>
            <w:r w:rsidRPr="00624A2D">
              <w:rPr>
                <w:color w:val="FF0000"/>
              </w:rPr>
              <w:t>1997-2008</w:t>
            </w:r>
          </w:p>
        </w:tc>
      </w:tr>
      <w:tr w:rsidR="00E814B7" w:rsidRPr="00891EE7" w14:paraId="0A8939E6" w14:textId="77777777" w:rsidTr="00ED309E">
        <w:tc>
          <w:tcPr>
            <w:tcW w:w="1800" w:type="dxa"/>
          </w:tcPr>
          <w:p w14:paraId="7F857E59" w14:textId="51F334F1" w:rsidR="00E814B7" w:rsidRPr="00624A2D" w:rsidRDefault="00E814B7" w:rsidP="00E814B7">
            <w:pPr>
              <w:ind w:left="0" w:firstLine="0"/>
              <w:rPr>
                <w:b/>
                <w:color w:val="FF0000"/>
              </w:rPr>
            </w:pPr>
            <w:r w:rsidRPr="00624A2D">
              <w:rPr>
                <w:b/>
                <w:color w:val="FF0000"/>
              </w:rPr>
              <w:t xml:space="preserve">Quantity and Quality of Body of Evidence </w:t>
            </w:r>
          </w:p>
        </w:tc>
        <w:tc>
          <w:tcPr>
            <w:tcW w:w="9180" w:type="dxa"/>
          </w:tcPr>
          <w:p w14:paraId="12EDB569" w14:textId="77777777" w:rsidR="00E814B7" w:rsidRPr="00624A2D" w:rsidRDefault="00E814B7" w:rsidP="00E814B7">
            <w:pPr>
              <w:ind w:left="432" w:hanging="432"/>
              <w:rPr>
                <w:color w:val="FF0000"/>
              </w:rPr>
            </w:pPr>
            <w:r w:rsidRPr="00624A2D">
              <w:rPr>
                <w:noProof/>
                <w:color w:val="FF0000"/>
              </w:rPr>
              <w:t xml:space="preserve">Periodic HbA1c measurements: over 20 studies including 14 RCTs, 4 descriptive prospective studies, 1 comparative retrospective study, clinical trials, observational studies, epidemiological data, and literature reviews. </w:t>
            </w:r>
          </w:p>
          <w:p w14:paraId="4455453A" w14:textId="77777777" w:rsidR="00E814B7" w:rsidRPr="00624A2D" w:rsidRDefault="00E814B7" w:rsidP="00E814B7">
            <w:pPr>
              <w:ind w:left="432" w:hanging="432"/>
              <w:rPr>
                <w:color w:val="FF0000"/>
              </w:rPr>
            </w:pPr>
            <w:r w:rsidRPr="00624A2D">
              <w:rPr>
                <w:color w:val="FF0000"/>
              </w:rPr>
              <w:t>Instruction in interpretation and use of SBGM: over 20 RCTs, clinical trials, and literature reviews</w:t>
            </w:r>
          </w:p>
          <w:p w14:paraId="164D91DF" w14:textId="77777777" w:rsidR="00E814B7" w:rsidRPr="00624A2D" w:rsidRDefault="00E814B7" w:rsidP="00E814B7">
            <w:pPr>
              <w:ind w:left="432" w:hanging="432"/>
              <w:rPr>
                <w:noProof/>
                <w:color w:val="FF0000"/>
              </w:rPr>
            </w:pPr>
            <w:r w:rsidRPr="00624A2D">
              <w:rPr>
                <w:noProof/>
                <w:color w:val="FF0000"/>
              </w:rPr>
              <w:t>SBGM in non-insulin requiring type 2 diabetics to adjust treatment: over 20 studies including RCTs</w:t>
            </w:r>
          </w:p>
          <w:p w14:paraId="38E1DCA6" w14:textId="77777777" w:rsidR="00E814B7" w:rsidRPr="00624A2D" w:rsidRDefault="00E814B7" w:rsidP="00E814B7">
            <w:pPr>
              <w:ind w:left="432" w:hanging="432"/>
              <w:rPr>
                <w:noProof/>
                <w:color w:val="FF0000"/>
              </w:rPr>
            </w:pPr>
            <w:r w:rsidRPr="00624A2D">
              <w:rPr>
                <w:noProof/>
                <w:color w:val="FF0000"/>
              </w:rPr>
              <w:t>Utilizing remote SBGM data: over 40 RCTs</w:t>
            </w:r>
          </w:p>
          <w:p w14:paraId="3F4D10C5" w14:textId="77777777" w:rsidR="00E814B7" w:rsidRPr="00624A2D" w:rsidRDefault="00E814B7" w:rsidP="00E814B7">
            <w:pPr>
              <w:ind w:left="0" w:firstLine="0"/>
              <w:rPr>
                <w:color w:val="FF0000"/>
              </w:rPr>
            </w:pPr>
          </w:p>
        </w:tc>
      </w:tr>
      <w:tr w:rsidR="00E814B7" w:rsidRPr="00891EE7" w14:paraId="05D8FE7A" w14:textId="77777777" w:rsidTr="00ED309E">
        <w:tc>
          <w:tcPr>
            <w:tcW w:w="1800" w:type="dxa"/>
          </w:tcPr>
          <w:p w14:paraId="69DC048C" w14:textId="7A42ED4B" w:rsidR="00E814B7" w:rsidRPr="00624A2D" w:rsidRDefault="00E814B7" w:rsidP="00E814B7">
            <w:pPr>
              <w:ind w:left="0" w:firstLine="0"/>
              <w:rPr>
                <w:b/>
                <w:color w:val="FF0000"/>
              </w:rPr>
            </w:pPr>
            <w:r w:rsidRPr="00624A2D">
              <w:rPr>
                <w:b/>
                <w:color w:val="FF0000"/>
              </w:rPr>
              <w:t xml:space="preserve">What is the overall quality of evidence </w:t>
            </w:r>
            <w:r w:rsidRPr="00624A2D">
              <w:rPr>
                <w:b/>
                <w:color w:val="FF0000"/>
                <w:u w:val="single"/>
              </w:rPr>
              <w:t>across studies</w:t>
            </w:r>
            <w:r w:rsidRPr="00624A2D">
              <w:rPr>
                <w:b/>
                <w:color w:val="FF0000"/>
              </w:rPr>
              <w:t xml:space="preserve"> in the body of evidence?</w:t>
            </w:r>
          </w:p>
        </w:tc>
        <w:tc>
          <w:tcPr>
            <w:tcW w:w="9180" w:type="dxa"/>
          </w:tcPr>
          <w:p w14:paraId="4F127238" w14:textId="77777777" w:rsidR="00E814B7" w:rsidRPr="00624A2D" w:rsidRDefault="00E814B7" w:rsidP="00E814B7">
            <w:pPr>
              <w:ind w:left="0" w:firstLine="0"/>
              <w:rPr>
                <w:color w:val="FF0000"/>
              </w:rPr>
            </w:pPr>
            <w:r w:rsidRPr="00624A2D">
              <w:rPr>
                <w:color w:val="FF0000"/>
              </w:rPr>
              <w:t xml:space="preserve">Overall, the quality of evidence supporting this measure is strong. There are over 100 studies in the evidence review that examine the effectiveness of measuring HbA1c or blood glucose and glycemic control. The evidence for periodic HbA1c measurements is strong. The VA/DoD evidence review gave this recommendation the following grading: LE=II, QE=fair, SR=B. The fair rating for the quality of evidence (see quality grading) indicates that the evidence can be linked to the health outcome. The B grading for this evidence signifies that HbA1c testing may be useful or effective. Furthermore, the level of evidence indicates that the studies used were well designed controlled trials, cohort or case controlled studies, or included multiple time series. </w:t>
            </w:r>
          </w:p>
          <w:p w14:paraId="38A750F1" w14:textId="77777777" w:rsidR="00E814B7" w:rsidRPr="00624A2D" w:rsidRDefault="00E814B7" w:rsidP="00E814B7">
            <w:pPr>
              <w:ind w:left="0" w:firstLine="0"/>
              <w:rPr>
                <w:color w:val="FF0000"/>
              </w:rPr>
            </w:pPr>
          </w:p>
        </w:tc>
      </w:tr>
      <w:tr w:rsidR="00E814B7" w:rsidRPr="00891EE7" w14:paraId="03AD34CB" w14:textId="77777777" w:rsidTr="00ED309E">
        <w:tc>
          <w:tcPr>
            <w:tcW w:w="1800" w:type="dxa"/>
          </w:tcPr>
          <w:p w14:paraId="11CC0D6A" w14:textId="74965E17" w:rsidR="00E814B7" w:rsidRPr="00624A2D" w:rsidRDefault="00E814B7" w:rsidP="00E814B7">
            <w:pPr>
              <w:ind w:left="0" w:firstLine="0"/>
              <w:rPr>
                <w:b/>
                <w:color w:val="FF0000"/>
              </w:rPr>
            </w:pPr>
            <w:r w:rsidRPr="00624A2D">
              <w:rPr>
                <w:b/>
                <w:color w:val="FF0000"/>
              </w:rPr>
              <w:t>Estimates of benefit and consistency across studies in body of evidence – what are the estimates of benefits?</w:t>
            </w:r>
          </w:p>
        </w:tc>
        <w:tc>
          <w:tcPr>
            <w:tcW w:w="9180" w:type="dxa"/>
          </w:tcPr>
          <w:p w14:paraId="682655D2" w14:textId="77777777" w:rsidR="00E814B7" w:rsidRPr="00624A2D" w:rsidRDefault="00E814B7" w:rsidP="00E814B7">
            <w:pPr>
              <w:ind w:left="0" w:firstLine="0"/>
              <w:rPr>
                <w:color w:val="FF0000"/>
              </w:rPr>
            </w:pPr>
            <w:r w:rsidRPr="00624A2D">
              <w:rPr>
                <w:color w:val="FF0000"/>
              </w:rPr>
              <w:t xml:space="preserve">Randomized clinical trials have demonstrated that improved glycemic control, as evidenced by reduced levels of glycohemoglobin, correlates with a reduction in the development of microvascular complications in both Type 1 and Type 2 diabetes (DCCT 1993, Ohkubo 1995). In particular, the Diabetes Control and Complications Trial (DCCT) showed that for patients with Type 1 diabetes mellitus, important clinical outcomes such as retinopathy (an important precursor to blindness), nephropathy (which precedes renal failure), and neuropathy (a significant cause of foot ulcers and amputation in patients with diabetes) are directly related to level of glycemic control (DCCT 1993). Similar reductions in complications were noted in a smaller study of intensive therapy of patients </w:t>
            </w:r>
            <w:r w:rsidRPr="00624A2D">
              <w:rPr>
                <w:color w:val="FF0000"/>
              </w:rPr>
              <w:lastRenderedPageBreak/>
              <w:t>with Type 2 diabetes by Ohkubo and co-workers, which was conducted in the Japanese population (Ohkubo 1995).</w:t>
            </w:r>
          </w:p>
          <w:p w14:paraId="21B75466" w14:textId="77777777" w:rsidR="00E814B7" w:rsidRPr="00624A2D" w:rsidRDefault="00E814B7" w:rsidP="00E814B7">
            <w:pPr>
              <w:ind w:left="0" w:firstLine="0"/>
              <w:rPr>
                <w:color w:val="FF0000"/>
              </w:rPr>
            </w:pPr>
            <w:r w:rsidRPr="00624A2D">
              <w:rPr>
                <w:color w:val="FF0000"/>
              </w:rPr>
              <w:t>Based primarily on the strength of the DCCT study and the corroborating evidence, most experts agree that control of glycemia as measured by glycohemoglobin is an important way to minimize the incidence of the microvascular complications of diabetes (ADA 2013).  Consequently, based on the findings of the DCCT and UKPDS, many organizations in this country published guidelines for the achievement of good metabolic control in diabetes (ADA 2013).</w:t>
            </w:r>
          </w:p>
          <w:p w14:paraId="112D913E" w14:textId="77777777" w:rsidR="00E814B7" w:rsidRPr="00624A2D" w:rsidRDefault="00E814B7" w:rsidP="00E814B7">
            <w:pPr>
              <w:ind w:left="0" w:firstLine="0"/>
              <w:rPr>
                <w:color w:val="FF0000"/>
              </w:rPr>
            </w:pPr>
          </w:p>
          <w:p w14:paraId="1C29B63E" w14:textId="77777777" w:rsidR="00E814B7" w:rsidRPr="00624A2D" w:rsidRDefault="00E814B7" w:rsidP="00E814B7">
            <w:pPr>
              <w:ind w:left="0" w:firstLine="0"/>
              <w:rPr>
                <w:color w:val="FF0000"/>
              </w:rPr>
            </w:pPr>
            <w:r w:rsidRPr="00624A2D">
              <w:rPr>
                <w:color w:val="FF0000"/>
              </w:rPr>
              <w:t>American Diabetes Association.  Standards of Medical Care in Diabetes—2013 Diabetes Care January 2013 36:S11-S66; doi:10.2337/dc13-S011</w:t>
            </w:r>
          </w:p>
          <w:p w14:paraId="07411D47" w14:textId="77777777" w:rsidR="00E814B7" w:rsidRPr="00624A2D" w:rsidRDefault="00E814B7" w:rsidP="00E814B7">
            <w:pPr>
              <w:ind w:left="0" w:firstLine="0"/>
              <w:rPr>
                <w:color w:val="FF0000"/>
              </w:rPr>
            </w:pPr>
          </w:p>
          <w:p w14:paraId="680CDB79" w14:textId="77777777" w:rsidR="00E814B7" w:rsidRPr="00624A2D" w:rsidRDefault="00E814B7" w:rsidP="00E814B7">
            <w:pPr>
              <w:ind w:left="0" w:firstLine="0"/>
              <w:rPr>
                <w:color w:val="FF0000"/>
              </w:rPr>
            </w:pPr>
            <w:r w:rsidRPr="00624A2D">
              <w:rPr>
                <w:color w:val="FF0000"/>
              </w:rPr>
              <w:t>The Diabetes Control and Complications Trial Research Group.  The effect of intensive treatment of diabetes and progression of long-term complications in insulin-dependent mellitus.  N Engl J Med 329:977-86, 1993.</w:t>
            </w:r>
          </w:p>
          <w:p w14:paraId="5C2B4970" w14:textId="77777777" w:rsidR="00E814B7" w:rsidRPr="00624A2D" w:rsidRDefault="00E814B7" w:rsidP="00E814B7">
            <w:pPr>
              <w:ind w:left="0" w:firstLine="0"/>
              <w:rPr>
                <w:color w:val="FF0000"/>
              </w:rPr>
            </w:pPr>
          </w:p>
        </w:tc>
      </w:tr>
      <w:tr w:rsidR="00E814B7" w:rsidRPr="00891EE7" w14:paraId="398E26DF" w14:textId="77777777" w:rsidTr="00ED309E">
        <w:tc>
          <w:tcPr>
            <w:tcW w:w="1800" w:type="dxa"/>
          </w:tcPr>
          <w:p w14:paraId="4579F6A7" w14:textId="2EAFDD3F" w:rsidR="00E814B7" w:rsidRPr="00624A2D" w:rsidRDefault="00E814B7" w:rsidP="00E814B7">
            <w:pPr>
              <w:ind w:left="0" w:firstLine="0"/>
              <w:rPr>
                <w:b/>
                <w:color w:val="FF0000"/>
              </w:rPr>
            </w:pPr>
            <w:r w:rsidRPr="00624A2D">
              <w:rPr>
                <w:b/>
                <w:color w:val="FF0000"/>
              </w:rPr>
              <w:lastRenderedPageBreak/>
              <w:t>What harms were studied and how do they affect the net benefit (benefits over harms)?</w:t>
            </w:r>
          </w:p>
        </w:tc>
        <w:tc>
          <w:tcPr>
            <w:tcW w:w="9180" w:type="dxa"/>
          </w:tcPr>
          <w:p w14:paraId="412891B3" w14:textId="373F61BB" w:rsidR="00E814B7" w:rsidRPr="00624A2D" w:rsidRDefault="00E814B7" w:rsidP="00E814B7">
            <w:pPr>
              <w:ind w:left="0" w:firstLine="0"/>
              <w:rPr>
                <w:color w:val="FF0000"/>
              </w:rPr>
            </w:pPr>
            <w:r w:rsidRPr="00624A2D">
              <w:rPr>
                <w:color w:val="FF0000"/>
              </w:rPr>
              <w:t>No harms associated with testing were identified in the evidence reviewed. However, there are potential harms that may stem from a program of Hba1c testing followed by tight control. This tight glycemic control may result in episodes of hypoglycemia. One study concludes that intensive glycemic control does not seem to reduce all-cause mortality in patients with type 2 diabetes.</w:t>
            </w:r>
            <w:r w:rsidR="006B51DD">
              <w:rPr>
                <w:color w:val="FF0000"/>
              </w:rPr>
              <w:t xml:space="preserve"> </w:t>
            </w:r>
            <w:r w:rsidRPr="00624A2D">
              <w:rPr>
                <w:color w:val="FF0000"/>
              </w:rPr>
              <w:t>Intensive glycemic control increases the relative risk of severe hypoglycemia by 30% (Hemmingsen et al. 2011).</w:t>
            </w:r>
            <w:bookmarkStart w:id="7" w:name="_GoBack"/>
            <w:bookmarkEnd w:id="7"/>
          </w:p>
          <w:p w14:paraId="4C6A657B" w14:textId="77777777" w:rsidR="00E814B7" w:rsidRPr="00624A2D" w:rsidRDefault="00E814B7" w:rsidP="00E814B7">
            <w:pPr>
              <w:ind w:left="0" w:firstLine="0"/>
              <w:rPr>
                <w:color w:val="FF0000"/>
              </w:rPr>
            </w:pPr>
          </w:p>
          <w:p w14:paraId="28C3F747" w14:textId="77777777" w:rsidR="00E814B7" w:rsidRPr="00624A2D" w:rsidRDefault="00E814B7" w:rsidP="00E814B7">
            <w:pPr>
              <w:ind w:left="0" w:firstLine="0"/>
              <w:rPr>
                <w:rStyle w:val="slug-ahead-of-print-date"/>
                <w:rFonts w:ascii="Arial" w:hAnsi="Arial" w:cs="Arial"/>
                <w:i/>
                <w:iCs/>
                <w:color w:val="FF0000"/>
                <w:sz w:val="15"/>
                <w:szCs w:val="15"/>
                <w:lang w:val="en"/>
              </w:rPr>
            </w:pPr>
            <w:r w:rsidRPr="00624A2D">
              <w:rPr>
                <w:color w:val="FF0000"/>
              </w:rPr>
              <w:t>Hemmingsen, B. et al. Intensive glycemic control for patients with type 2 diabetes: systematic review with meta-analysis and trial sequential analysis of randomized clinical trials.  BMJ 2011; 343:d6898. https</w:t>
            </w:r>
            <w:r w:rsidRPr="00624A2D">
              <w:rPr>
                <w:rFonts w:cstheme="minorHAnsi"/>
                <w:color w:val="FF0000"/>
              </w:rPr>
              <w:t>://</w:t>
            </w:r>
            <w:r w:rsidRPr="00624A2D">
              <w:rPr>
                <w:rStyle w:val="PlaceholderText"/>
                <w:rFonts w:cstheme="minorHAnsi"/>
                <w:iCs/>
                <w:color w:val="FF0000"/>
                <w:lang w:val="en"/>
              </w:rPr>
              <w:t xml:space="preserve"> </w:t>
            </w:r>
            <w:r w:rsidRPr="00624A2D">
              <w:rPr>
                <w:rStyle w:val="slug-doi"/>
                <w:rFonts w:cstheme="minorHAnsi"/>
                <w:iCs/>
                <w:color w:val="FF0000"/>
                <w:lang w:val="en"/>
              </w:rPr>
              <w:t>http://dx.doi.org/10.1136/bmj.d6898</w:t>
            </w:r>
            <w:r w:rsidRPr="00624A2D">
              <w:rPr>
                <w:rStyle w:val="HTMLCite"/>
                <w:rFonts w:ascii="Arial" w:hAnsi="Arial" w:cs="Arial"/>
                <w:color w:val="FF0000"/>
                <w:sz w:val="15"/>
                <w:szCs w:val="15"/>
                <w:lang w:val="en"/>
              </w:rPr>
              <w:t xml:space="preserve"> </w:t>
            </w:r>
          </w:p>
          <w:p w14:paraId="72F84579" w14:textId="77777777" w:rsidR="00E814B7" w:rsidRPr="00624A2D" w:rsidRDefault="00E814B7" w:rsidP="00E814B7">
            <w:pPr>
              <w:ind w:left="0" w:firstLine="0"/>
              <w:rPr>
                <w:color w:val="FF0000"/>
              </w:rPr>
            </w:pPr>
          </w:p>
        </w:tc>
      </w:tr>
      <w:tr w:rsidR="00ED309E" w:rsidRPr="00891EE7" w14:paraId="1C567388" w14:textId="77777777" w:rsidTr="00ED309E">
        <w:tc>
          <w:tcPr>
            <w:tcW w:w="1800" w:type="dxa"/>
          </w:tcPr>
          <w:p w14:paraId="4DEEFCA1" w14:textId="7FD6209C" w:rsidR="00ED309E" w:rsidRPr="00624A2D" w:rsidRDefault="00ED309E" w:rsidP="00ED309E">
            <w:pPr>
              <w:ind w:left="0" w:firstLine="0"/>
              <w:rPr>
                <w:b/>
                <w:color w:val="FF0000"/>
              </w:rPr>
            </w:pPr>
            <w:r w:rsidRPr="00624A2D">
              <w:rPr>
                <w:b/>
                <w:color w:val="FF0000"/>
              </w:rPr>
              <w:t>Identify any new studies conducted since the SR. Do the new studies change the conclusions from the SR?</w:t>
            </w:r>
          </w:p>
        </w:tc>
        <w:tc>
          <w:tcPr>
            <w:tcW w:w="9180" w:type="dxa"/>
          </w:tcPr>
          <w:p w14:paraId="54ADF99B" w14:textId="499E0C92" w:rsidR="00ED309E" w:rsidRPr="00624A2D" w:rsidRDefault="00ED309E" w:rsidP="00ED309E">
            <w:pPr>
              <w:ind w:left="0" w:firstLine="0"/>
              <w:rPr>
                <w:color w:val="FF0000"/>
              </w:rPr>
            </w:pPr>
            <w:r w:rsidRPr="00624A2D">
              <w:rPr>
                <w:color w:val="FF0000"/>
              </w:rPr>
              <w:t xml:space="preserve">Numerous studies have been conducted since the systematic reviews we cite in this table, none of which change the conclusion that routine </w:t>
            </w:r>
            <w:r w:rsidR="00D55773">
              <w:rPr>
                <w:color w:val="FF0000"/>
              </w:rPr>
              <w:t>HbA1c testing</w:t>
            </w:r>
            <w:r w:rsidRPr="00624A2D">
              <w:rPr>
                <w:color w:val="FF0000"/>
              </w:rPr>
              <w:t xml:space="preserve"> for individuals with diabetes are appropriate. Below we list two additional studies that support this measure.</w:t>
            </w:r>
          </w:p>
          <w:p w14:paraId="314D8FBE" w14:textId="77777777" w:rsidR="00ED309E" w:rsidRPr="00624A2D" w:rsidRDefault="00ED309E" w:rsidP="00ED309E">
            <w:pPr>
              <w:ind w:left="0" w:firstLine="0"/>
              <w:rPr>
                <w:color w:val="FF0000"/>
              </w:rPr>
            </w:pPr>
          </w:p>
          <w:p w14:paraId="07903D1A" w14:textId="24E09C6D" w:rsidR="00ED309E" w:rsidRPr="00624A2D" w:rsidRDefault="00D55773" w:rsidP="00ED309E">
            <w:pPr>
              <w:rPr>
                <w:color w:val="FF0000"/>
              </w:rPr>
            </w:pPr>
            <w:r>
              <w:rPr>
                <w:color w:val="FF0000"/>
              </w:rPr>
              <w:t>Perrotta PL</w:t>
            </w:r>
            <w:r w:rsidR="00ED309E" w:rsidRPr="00624A2D">
              <w:rPr>
                <w:color w:val="FF0000"/>
              </w:rPr>
              <w:t xml:space="preserve">, </w:t>
            </w:r>
            <w:r>
              <w:rPr>
                <w:color w:val="FF0000"/>
              </w:rPr>
              <w:t>Jones R</w:t>
            </w:r>
            <w:r w:rsidR="00ED309E" w:rsidRPr="00624A2D">
              <w:rPr>
                <w:color w:val="FF0000"/>
              </w:rPr>
              <w:t xml:space="preserve">, </w:t>
            </w:r>
            <w:r>
              <w:rPr>
                <w:color w:val="FF0000"/>
              </w:rPr>
              <w:t>Souers RJ</w:t>
            </w:r>
            <w:r w:rsidR="00ED309E" w:rsidRPr="00624A2D">
              <w:rPr>
                <w:color w:val="FF0000"/>
              </w:rPr>
              <w:t xml:space="preserve">, et al. </w:t>
            </w:r>
            <w:r>
              <w:rPr>
                <w:color w:val="FF0000"/>
              </w:rPr>
              <w:t>Frequency of monitoring hemoglobin A1c, low density lipoprotein and urine protein laboratory testing. Archives of Pathology and Laboratory Medicine</w:t>
            </w:r>
            <w:r w:rsidR="00ED309E" w:rsidRPr="00624A2D">
              <w:rPr>
                <w:color w:val="FF0000"/>
              </w:rPr>
              <w:t xml:space="preserve"> 201</w:t>
            </w:r>
            <w:r>
              <w:rPr>
                <w:color w:val="FF0000"/>
              </w:rPr>
              <w:t xml:space="preserve">4; 138:1009-1014. </w:t>
            </w:r>
            <w:r w:rsidRPr="00D55773">
              <w:rPr>
                <w:color w:val="FF0000"/>
              </w:rPr>
              <w:t>doi: 10.5858/arpa.2013-0349-CP</w:t>
            </w:r>
          </w:p>
          <w:p w14:paraId="4384B017" w14:textId="77777777" w:rsidR="00ED309E" w:rsidRPr="00624A2D" w:rsidRDefault="00ED309E" w:rsidP="00ED309E">
            <w:pPr>
              <w:rPr>
                <w:color w:val="FF0000"/>
              </w:rPr>
            </w:pPr>
          </w:p>
          <w:p w14:paraId="54642B2F" w14:textId="6D1D8CED" w:rsidR="00ED309E" w:rsidRPr="00624A2D" w:rsidRDefault="00BA7939" w:rsidP="00ED309E">
            <w:pPr>
              <w:rPr>
                <w:color w:val="FF0000"/>
              </w:rPr>
            </w:pPr>
            <w:r>
              <w:rPr>
                <w:color w:val="FF0000"/>
              </w:rPr>
              <w:t>Driskell OJ</w:t>
            </w:r>
            <w:r w:rsidR="00ED309E" w:rsidRPr="00624A2D">
              <w:rPr>
                <w:color w:val="FF0000"/>
              </w:rPr>
              <w:t xml:space="preserve">, </w:t>
            </w:r>
            <w:r>
              <w:rPr>
                <w:color w:val="FF0000"/>
              </w:rPr>
              <w:t xml:space="preserve">Holland D, </w:t>
            </w:r>
            <w:r w:rsidR="00774B1D">
              <w:rPr>
                <w:color w:val="FF0000"/>
              </w:rPr>
              <w:t>Waldron JL, et al</w:t>
            </w:r>
            <w:r w:rsidR="00ED309E" w:rsidRPr="00624A2D">
              <w:rPr>
                <w:color w:val="FF0000"/>
              </w:rPr>
              <w:t xml:space="preserve">. </w:t>
            </w:r>
            <w:r w:rsidR="00774B1D">
              <w:rPr>
                <w:color w:val="FF0000"/>
              </w:rPr>
              <w:t>Reducing testing frequency for glycated hemoglobin HbA1c, is associated with deteriorating diabetes control</w:t>
            </w:r>
            <w:r w:rsidR="00ED309E" w:rsidRPr="00624A2D">
              <w:rPr>
                <w:color w:val="FF0000"/>
              </w:rPr>
              <w:t>. Diabetes Care 201</w:t>
            </w:r>
            <w:r w:rsidR="00774B1D">
              <w:rPr>
                <w:color w:val="FF0000"/>
              </w:rPr>
              <w:t>4</w:t>
            </w:r>
            <w:r w:rsidR="00ED309E" w:rsidRPr="00624A2D">
              <w:rPr>
                <w:color w:val="FF0000"/>
              </w:rPr>
              <w:t>;</w:t>
            </w:r>
            <w:r w:rsidR="00774B1D">
              <w:rPr>
                <w:color w:val="FF0000"/>
              </w:rPr>
              <w:t xml:space="preserve"> </w:t>
            </w:r>
            <w:r w:rsidR="00ED309E" w:rsidRPr="00624A2D">
              <w:rPr>
                <w:color w:val="FF0000"/>
              </w:rPr>
              <w:t>3</w:t>
            </w:r>
            <w:r w:rsidR="00774B1D">
              <w:rPr>
                <w:color w:val="FF0000"/>
              </w:rPr>
              <w:t>7(10)</w:t>
            </w:r>
            <w:r w:rsidR="00ED309E" w:rsidRPr="00624A2D">
              <w:rPr>
                <w:color w:val="FF0000"/>
              </w:rPr>
              <w:t>:</w:t>
            </w:r>
            <w:r w:rsidR="00774B1D">
              <w:rPr>
                <w:color w:val="FF0000"/>
              </w:rPr>
              <w:t xml:space="preserve">2731-2737. </w:t>
            </w:r>
            <w:hyperlink r:id="rId19" w:history="1">
              <w:r w:rsidR="00774B1D" w:rsidRPr="00774B1D">
                <w:rPr>
                  <w:rStyle w:val="Hyperlink"/>
                  <w:color w:val="FF0000"/>
                  <w:u w:val="none"/>
                </w:rPr>
                <w:t>https://doi.org/10.2337/dc14-0297</w:t>
              </w:r>
            </w:hyperlink>
          </w:p>
          <w:p w14:paraId="21D99932" w14:textId="77777777" w:rsidR="00ED309E" w:rsidRPr="00624A2D" w:rsidRDefault="00ED309E" w:rsidP="00ED309E">
            <w:pPr>
              <w:rPr>
                <w:color w:val="FF0000"/>
              </w:rPr>
            </w:pPr>
          </w:p>
          <w:p w14:paraId="645E9A68" w14:textId="77777777" w:rsidR="00ED309E" w:rsidRPr="00624A2D" w:rsidRDefault="00ED309E" w:rsidP="00ED309E">
            <w:pPr>
              <w:ind w:left="0" w:firstLine="0"/>
              <w:rPr>
                <w:color w:val="FF0000"/>
              </w:rPr>
            </w:pPr>
          </w:p>
        </w:tc>
      </w:tr>
    </w:tbl>
    <w:p w14:paraId="72AE19B4" w14:textId="77777777" w:rsidR="00E418E4" w:rsidRPr="003B1CC5" w:rsidRDefault="00E418E4" w:rsidP="002E2177">
      <w:pPr>
        <w:ind w:left="0" w:firstLine="0"/>
      </w:pPr>
    </w:p>
    <w:p w14:paraId="55B8DA95" w14:textId="77777777" w:rsidR="0094689F" w:rsidRPr="003B1CC5" w:rsidRDefault="00925F11" w:rsidP="002E2177">
      <w:pPr>
        <w:ind w:left="0" w:firstLine="0"/>
        <w:rPr>
          <w:b/>
          <w:color w:val="0070C0"/>
        </w:rPr>
      </w:pPr>
      <w:r w:rsidRPr="003B1CC5">
        <w:rPr>
          <w:b/>
          <w:iCs/>
          <w:caps/>
        </w:rPr>
        <w:t>________________________</w:t>
      </w:r>
    </w:p>
    <w:p w14:paraId="55B8DA96" w14:textId="77777777" w:rsidR="00837121" w:rsidRPr="003B1CC5" w:rsidRDefault="000E5C93" w:rsidP="002E2177">
      <w:pPr>
        <w:ind w:left="0" w:firstLine="0"/>
        <w:rPr>
          <w:b/>
        </w:rPr>
      </w:pPr>
      <w:bookmarkStart w:id="8" w:name="Section1a8"/>
      <w:bookmarkEnd w:id="8"/>
      <w:r>
        <w:rPr>
          <w:b/>
          <w:color w:val="0000FF"/>
        </w:rPr>
        <w:t>1a.4</w:t>
      </w:r>
      <w:r w:rsidR="00837121" w:rsidRPr="003B1CC5">
        <w:rPr>
          <w:b/>
          <w:color w:val="0000FF"/>
        </w:rPr>
        <w:t xml:space="preserve"> </w:t>
      </w:r>
      <w:r w:rsidR="00837121" w:rsidRPr="003B1CC5">
        <w:rPr>
          <w:b/>
        </w:rPr>
        <w:t>OTHER SOURCE OF EVIDENCE</w:t>
      </w:r>
    </w:p>
    <w:p w14:paraId="55B8DA97" w14:textId="77777777"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14:paraId="55B8DA98" w14:textId="77777777" w:rsidR="00837121" w:rsidRPr="003B1CC5" w:rsidRDefault="00837121" w:rsidP="002E2177">
      <w:pPr>
        <w:ind w:left="0" w:firstLine="0"/>
      </w:pPr>
    </w:p>
    <w:p w14:paraId="55B8DA99" w14:textId="716B8A2A" w:rsidR="000E5C93" w:rsidRDefault="000E5C93" w:rsidP="002E2177">
      <w:pPr>
        <w:ind w:left="0" w:firstLine="0"/>
      </w:pPr>
      <w:r>
        <w:rPr>
          <w:b/>
          <w:color w:val="0000FF"/>
        </w:rPr>
        <w:t>1a.4</w:t>
      </w:r>
      <w:r w:rsidR="00837121" w:rsidRPr="003B1CC5">
        <w:rPr>
          <w:b/>
          <w:color w:val="0000FF"/>
        </w:rPr>
        <w:t>.1</w:t>
      </w:r>
      <w:r w:rsidR="00837121" w:rsidRPr="003B1CC5">
        <w:rPr>
          <w:color w:val="0070C0"/>
        </w:rPr>
        <w:t xml:space="preserve"> </w:t>
      </w:r>
      <w:r w:rsidRPr="000E5C93">
        <w:rPr>
          <w:b/>
        </w:rPr>
        <w:t>B</w:t>
      </w:r>
      <w:r>
        <w:rPr>
          <w:b/>
        </w:rPr>
        <w:t xml:space="preserve">riefly </w:t>
      </w:r>
      <w:r w:rsidR="00E42FAA">
        <w:rPr>
          <w:b/>
        </w:rPr>
        <w:t>SYNTHESIZE</w:t>
      </w:r>
      <w:r w:rsidR="00E42FAA" w:rsidRPr="000E5C93">
        <w:rPr>
          <w:b/>
        </w:rPr>
        <w:t xml:space="preserve"> </w:t>
      </w:r>
      <w:r>
        <w:rPr>
          <w:b/>
        </w:rPr>
        <w:t xml:space="preserve">the evidence that supports the measure. </w:t>
      </w:r>
      <w:r>
        <w:t>A list of references without a summary is not acceptable.</w:t>
      </w:r>
    </w:p>
    <w:p w14:paraId="45A06CC9" w14:textId="068EE305" w:rsidR="00586F58" w:rsidRPr="00624A2D" w:rsidRDefault="00586F58" w:rsidP="002E2177">
      <w:pPr>
        <w:ind w:left="0" w:firstLine="0"/>
        <w:rPr>
          <w:color w:val="FF0000"/>
        </w:rPr>
      </w:pPr>
      <w:r w:rsidRPr="00624A2D">
        <w:rPr>
          <w:color w:val="FF0000"/>
        </w:rPr>
        <w:t>N/A</w:t>
      </w:r>
    </w:p>
    <w:p w14:paraId="55B8DA9A" w14:textId="77777777" w:rsidR="000E5C93" w:rsidRDefault="000E5C93" w:rsidP="002E2177">
      <w:pPr>
        <w:ind w:left="0" w:firstLine="0"/>
        <w:rPr>
          <w:b/>
        </w:rPr>
      </w:pPr>
    </w:p>
    <w:p w14:paraId="55B8DA9B" w14:textId="41D115E6" w:rsidR="00837121" w:rsidRDefault="000E5C93" w:rsidP="002E2177">
      <w:pPr>
        <w:ind w:left="0" w:firstLine="0"/>
        <w:rPr>
          <w:b/>
        </w:rPr>
      </w:pPr>
      <w:r w:rsidRPr="000E5C93">
        <w:rPr>
          <w:b/>
          <w:color w:val="244061" w:themeColor="accent1" w:themeShade="80"/>
        </w:rPr>
        <w:t xml:space="preserve">1a.4.2 </w:t>
      </w:r>
      <w:r w:rsidR="00837121" w:rsidRPr="003B1CC5">
        <w:rPr>
          <w:b/>
        </w:rPr>
        <w:t>What process was used to identify the evidence?</w:t>
      </w:r>
    </w:p>
    <w:p w14:paraId="0D41EF1A" w14:textId="690C5589" w:rsidR="00586F58" w:rsidRPr="00624A2D" w:rsidRDefault="00586F58" w:rsidP="002E2177">
      <w:pPr>
        <w:ind w:left="0" w:firstLine="0"/>
        <w:rPr>
          <w:color w:val="FF0000"/>
        </w:rPr>
      </w:pPr>
      <w:r w:rsidRPr="00624A2D">
        <w:rPr>
          <w:color w:val="FF0000"/>
        </w:rPr>
        <w:t>N/A</w:t>
      </w:r>
    </w:p>
    <w:p w14:paraId="55B8DA9C" w14:textId="77777777" w:rsidR="00837121" w:rsidRPr="003B1CC5" w:rsidRDefault="00837121" w:rsidP="002E2177">
      <w:pPr>
        <w:ind w:left="0" w:firstLine="0"/>
      </w:pPr>
    </w:p>
    <w:p w14:paraId="55B8DA9D" w14:textId="784F3634" w:rsidR="00837121" w:rsidRDefault="000E5C93" w:rsidP="002E2177">
      <w:pPr>
        <w:ind w:left="0" w:firstLine="0"/>
        <w:rPr>
          <w:b/>
        </w:rPr>
      </w:pPr>
      <w:r>
        <w:rPr>
          <w:b/>
          <w:color w:val="0000FF"/>
        </w:rPr>
        <w:t>1a.4.3</w:t>
      </w:r>
      <w:r w:rsidR="00837121" w:rsidRPr="003B1CC5">
        <w:rPr>
          <w:b/>
          <w:color w:val="0000FF"/>
        </w:rPr>
        <w:t>.</w:t>
      </w:r>
      <w:r w:rsidR="00837121" w:rsidRPr="003B1CC5">
        <w:rPr>
          <w:color w:val="0070C0"/>
        </w:rPr>
        <w:t xml:space="preserve"> </w:t>
      </w:r>
      <w:r w:rsidR="006C7F30" w:rsidRPr="003B1CC5">
        <w:rPr>
          <w:b/>
        </w:rPr>
        <w:t>Provide the citation</w:t>
      </w:r>
      <w:r>
        <w:rPr>
          <w:b/>
        </w:rPr>
        <w:t>(s)</w:t>
      </w:r>
      <w:r w:rsidR="009E6B86" w:rsidRPr="003B1CC5">
        <w:rPr>
          <w:b/>
        </w:rPr>
        <w:t xml:space="preserve"> </w:t>
      </w:r>
      <w:r>
        <w:rPr>
          <w:b/>
        </w:rPr>
        <w:t>for the</w:t>
      </w:r>
      <w:r w:rsidR="006C7F30" w:rsidRPr="003B1CC5">
        <w:rPr>
          <w:b/>
        </w:rPr>
        <w:t xml:space="preserve"> evidence.</w:t>
      </w:r>
    </w:p>
    <w:p w14:paraId="11DF632D" w14:textId="2141B42B" w:rsidR="00586F58" w:rsidRPr="00624A2D" w:rsidRDefault="00586F58" w:rsidP="002E2177">
      <w:pPr>
        <w:ind w:left="0" w:firstLine="0"/>
        <w:rPr>
          <w:color w:val="FF0000"/>
        </w:rPr>
      </w:pPr>
      <w:r w:rsidRPr="00624A2D">
        <w:rPr>
          <w:color w:val="FF0000"/>
        </w:rPr>
        <w:t>N/A</w:t>
      </w:r>
    </w:p>
    <w:sectPr w:rsidR="00586F58" w:rsidRPr="00624A2D">
      <w:headerReference w:type="default" r:id="rId20"/>
      <w:foot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B8DAA0" w14:textId="77777777" w:rsidR="0040230E" w:rsidRDefault="0040230E" w:rsidP="007E37A5">
      <w:r>
        <w:separator/>
      </w:r>
    </w:p>
  </w:endnote>
  <w:endnote w:type="continuationSeparator" w:id="0">
    <w:p w14:paraId="55B8DAA1" w14:textId="77777777" w:rsidR="0040230E" w:rsidRDefault="0040230E"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8DAA3" w14:textId="33E7D129" w:rsidR="00440687" w:rsidRDefault="00440687">
    <w:pPr>
      <w:pStyle w:val="Footer"/>
    </w:pPr>
    <w:r w:rsidRPr="00395263">
      <w:t xml:space="preserve">Version </w:t>
    </w:r>
    <w:r w:rsidR="00DC7F67">
      <w:t>7.1</w:t>
    </w:r>
    <w:r w:rsidR="00F63E8D">
      <w:t xml:space="preserve"> </w:t>
    </w:r>
    <w:r w:rsidRPr="00395263">
      <w:t xml:space="preserve"> </w:t>
    </w:r>
    <w:r w:rsidR="00CC0F87">
      <w:t>9/6</w:t>
    </w:r>
    <w:r w:rsidR="00DC7F67">
      <w:t>/17</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4D71F2">
      <w:rPr>
        <w:noProof/>
      </w:rPr>
      <w:t>11</w:t>
    </w:r>
    <w:r w:rsidRPr="00395263">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B8DA9E" w14:textId="77777777" w:rsidR="0040230E" w:rsidRDefault="0040230E" w:rsidP="007E37A5">
      <w:r>
        <w:separator/>
      </w:r>
    </w:p>
  </w:footnote>
  <w:footnote w:type="continuationSeparator" w:id="0">
    <w:p w14:paraId="55B8DA9F" w14:textId="77777777" w:rsidR="0040230E" w:rsidRDefault="0040230E" w:rsidP="007E37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8DAA2" w14:textId="77777777" w:rsidR="00440687" w:rsidRDefault="00440687" w:rsidP="007E37A5">
    <w:pPr>
      <w:pStyle w:val="Header"/>
      <w:ind w:left="0" w:firstLine="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1D18C8"/>
    <w:multiLevelType w:val="hybridMultilevel"/>
    <w:tmpl w:val="CD8AC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520A76"/>
    <w:multiLevelType w:val="hybridMultilevel"/>
    <w:tmpl w:val="E52C48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22C9236D"/>
    <w:multiLevelType w:val="hybridMultilevel"/>
    <w:tmpl w:val="AC12D8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5A13874"/>
    <w:multiLevelType w:val="hybridMultilevel"/>
    <w:tmpl w:val="F490BC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A202329"/>
    <w:multiLevelType w:val="hybridMultilevel"/>
    <w:tmpl w:val="47DC3C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49E22008"/>
    <w:multiLevelType w:val="hybridMultilevel"/>
    <w:tmpl w:val="29FE38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2006832"/>
    <w:multiLevelType w:val="hybridMultilevel"/>
    <w:tmpl w:val="3FC49BB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62342FD0"/>
    <w:multiLevelType w:val="hybridMultilevel"/>
    <w:tmpl w:val="AF90BE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6694128E"/>
    <w:multiLevelType w:val="hybridMultilevel"/>
    <w:tmpl w:val="00EEE6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50F11DF"/>
    <w:multiLevelType w:val="hybridMultilevel"/>
    <w:tmpl w:val="A4CEF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99C24F7"/>
    <w:multiLevelType w:val="hybridMultilevel"/>
    <w:tmpl w:val="7BF6F4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C952666"/>
    <w:multiLevelType w:val="hybridMultilevel"/>
    <w:tmpl w:val="AAE6E4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8"/>
  </w:num>
  <w:num w:numId="2">
    <w:abstractNumId w:val="11"/>
  </w:num>
  <w:num w:numId="3">
    <w:abstractNumId w:val="3"/>
  </w:num>
  <w:num w:numId="4">
    <w:abstractNumId w:val="5"/>
  </w:num>
  <w:num w:numId="5">
    <w:abstractNumId w:val="7"/>
  </w:num>
  <w:num w:numId="6">
    <w:abstractNumId w:val="6"/>
  </w:num>
  <w:num w:numId="7">
    <w:abstractNumId w:val="16"/>
  </w:num>
  <w:num w:numId="8">
    <w:abstractNumId w:val="15"/>
  </w:num>
  <w:num w:numId="9">
    <w:abstractNumId w:val="17"/>
  </w:num>
  <w:num w:numId="10">
    <w:abstractNumId w:val="0"/>
  </w:num>
  <w:num w:numId="11">
    <w:abstractNumId w:val="10"/>
  </w:num>
  <w:num w:numId="12">
    <w:abstractNumId w:val="2"/>
  </w:num>
  <w:num w:numId="13">
    <w:abstractNumId w:val="9"/>
  </w:num>
  <w:num w:numId="14">
    <w:abstractNumId w:val="4"/>
  </w:num>
  <w:num w:numId="15">
    <w:abstractNumId w:val="13"/>
  </w:num>
  <w:num w:numId="16">
    <w:abstractNumId w:val="19"/>
  </w:num>
  <w:num w:numId="17">
    <w:abstractNumId w:val="12"/>
  </w:num>
  <w:num w:numId="18">
    <w:abstractNumId w:val="1"/>
  </w:num>
  <w:num w:numId="19">
    <w:abstractNumId w:val="18"/>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defaultTabStop w:val="720"/>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AF8"/>
    <w:rsid w:val="00015986"/>
    <w:rsid w:val="000160E6"/>
    <w:rsid w:val="00024526"/>
    <w:rsid w:val="00030F43"/>
    <w:rsid w:val="00040DCF"/>
    <w:rsid w:val="00052C0B"/>
    <w:rsid w:val="00061CF3"/>
    <w:rsid w:val="00063601"/>
    <w:rsid w:val="00073079"/>
    <w:rsid w:val="0007593F"/>
    <w:rsid w:val="00095EC9"/>
    <w:rsid w:val="00096A37"/>
    <w:rsid w:val="000A0810"/>
    <w:rsid w:val="000B627F"/>
    <w:rsid w:val="000D649E"/>
    <w:rsid w:val="000D6D06"/>
    <w:rsid w:val="000E5C93"/>
    <w:rsid w:val="000F4A7F"/>
    <w:rsid w:val="00114848"/>
    <w:rsid w:val="00120934"/>
    <w:rsid w:val="00121705"/>
    <w:rsid w:val="00132070"/>
    <w:rsid w:val="00141875"/>
    <w:rsid w:val="0014347E"/>
    <w:rsid w:val="00154438"/>
    <w:rsid w:val="001551F6"/>
    <w:rsid w:val="0015535B"/>
    <w:rsid w:val="00162036"/>
    <w:rsid w:val="001632DD"/>
    <w:rsid w:val="00176E60"/>
    <w:rsid w:val="00194913"/>
    <w:rsid w:val="00194D9A"/>
    <w:rsid w:val="001A196B"/>
    <w:rsid w:val="001A6D05"/>
    <w:rsid w:val="001B38BF"/>
    <w:rsid w:val="001B772D"/>
    <w:rsid w:val="001C1514"/>
    <w:rsid w:val="001D5B5D"/>
    <w:rsid w:val="001E6153"/>
    <w:rsid w:val="00201FF9"/>
    <w:rsid w:val="002031B8"/>
    <w:rsid w:val="00205857"/>
    <w:rsid w:val="002153B3"/>
    <w:rsid w:val="00235ADC"/>
    <w:rsid w:val="00236F87"/>
    <w:rsid w:val="00265702"/>
    <w:rsid w:val="002662B2"/>
    <w:rsid w:val="00270F08"/>
    <w:rsid w:val="002717C7"/>
    <w:rsid w:val="00283901"/>
    <w:rsid w:val="002875E9"/>
    <w:rsid w:val="00287EB3"/>
    <w:rsid w:val="002972CF"/>
    <w:rsid w:val="002A47BA"/>
    <w:rsid w:val="002A6777"/>
    <w:rsid w:val="002B06BD"/>
    <w:rsid w:val="002C0E48"/>
    <w:rsid w:val="002C6F04"/>
    <w:rsid w:val="002E2177"/>
    <w:rsid w:val="002E2E41"/>
    <w:rsid w:val="002E78CD"/>
    <w:rsid w:val="002F20A7"/>
    <w:rsid w:val="003008F4"/>
    <w:rsid w:val="00302B1D"/>
    <w:rsid w:val="00307FA5"/>
    <w:rsid w:val="00324D64"/>
    <w:rsid w:val="00352B52"/>
    <w:rsid w:val="0035760D"/>
    <w:rsid w:val="00361149"/>
    <w:rsid w:val="00363ECC"/>
    <w:rsid w:val="0039020B"/>
    <w:rsid w:val="00391982"/>
    <w:rsid w:val="00395263"/>
    <w:rsid w:val="003956E0"/>
    <w:rsid w:val="0039609A"/>
    <w:rsid w:val="00397500"/>
    <w:rsid w:val="003B1CC5"/>
    <w:rsid w:val="003B65CE"/>
    <w:rsid w:val="003C2261"/>
    <w:rsid w:val="003D6721"/>
    <w:rsid w:val="003E039E"/>
    <w:rsid w:val="0040230E"/>
    <w:rsid w:val="00410EAA"/>
    <w:rsid w:val="0041662F"/>
    <w:rsid w:val="00421E57"/>
    <w:rsid w:val="00422917"/>
    <w:rsid w:val="00440687"/>
    <w:rsid w:val="0044131D"/>
    <w:rsid w:val="00441ADA"/>
    <w:rsid w:val="00454B9F"/>
    <w:rsid w:val="00457E46"/>
    <w:rsid w:val="004922E4"/>
    <w:rsid w:val="00496AF8"/>
    <w:rsid w:val="004A575D"/>
    <w:rsid w:val="004B2A0D"/>
    <w:rsid w:val="004B65C6"/>
    <w:rsid w:val="004D18F5"/>
    <w:rsid w:val="004D1DC7"/>
    <w:rsid w:val="004D71F2"/>
    <w:rsid w:val="004E7215"/>
    <w:rsid w:val="004F7D7E"/>
    <w:rsid w:val="00500B0C"/>
    <w:rsid w:val="00533035"/>
    <w:rsid w:val="00537150"/>
    <w:rsid w:val="00540984"/>
    <w:rsid w:val="00543851"/>
    <w:rsid w:val="0055559D"/>
    <w:rsid w:val="005569AE"/>
    <w:rsid w:val="00564A12"/>
    <w:rsid w:val="005857F8"/>
    <w:rsid w:val="00586F58"/>
    <w:rsid w:val="005926D2"/>
    <w:rsid w:val="00595692"/>
    <w:rsid w:val="005B0D18"/>
    <w:rsid w:val="005B12C3"/>
    <w:rsid w:val="005B409D"/>
    <w:rsid w:val="005D0FDB"/>
    <w:rsid w:val="005D25E9"/>
    <w:rsid w:val="005D6D59"/>
    <w:rsid w:val="0061327A"/>
    <w:rsid w:val="00617390"/>
    <w:rsid w:val="00623420"/>
    <w:rsid w:val="00624A2D"/>
    <w:rsid w:val="00634768"/>
    <w:rsid w:val="0063596F"/>
    <w:rsid w:val="0066717E"/>
    <w:rsid w:val="006709EB"/>
    <w:rsid w:val="0067273A"/>
    <w:rsid w:val="00672824"/>
    <w:rsid w:val="00676BD4"/>
    <w:rsid w:val="0068184A"/>
    <w:rsid w:val="006A0249"/>
    <w:rsid w:val="006A1CC2"/>
    <w:rsid w:val="006B51DD"/>
    <w:rsid w:val="006B5C51"/>
    <w:rsid w:val="006C7F30"/>
    <w:rsid w:val="006D43FF"/>
    <w:rsid w:val="006E6FDD"/>
    <w:rsid w:val="006F4B7F"/>
    <w:rsid w:val="006F760B"/>
    <w:rsid w:val="00701CC3"/>
    <w:rsid w:val="00724801"/>
    <w:rsid w:val="00734949"/>
    <w:rsid w:val="00736AEC"/>
    <w:rsid w:val="00736E0F"/>
    <w:rsid w:val="007429C4"/>
    <w:rsid w:val="007434FA"/>
    <w:rsid w:val="0075285A"/>
    <w:rsid w:val="00752FB6"/>
    <w:rsid w:val="007566BC"/>
    <w:rsid w:val="007573F0"/>
    <w:rsid w:val="00765156"/>
    <w:rsid w:val="00767669"/>
    <w:rsid w:val="00773485"/>
    <w:rsid w:val="00774B1D"/>
    <w:rsid w:val="00776E8F"/>
    <w:rsid w:val="00776F6D"/>
    <w:rsid w:val="007C0297"/>
    <w:rsid w:val="007C0A0C"/>
    <w:rsid w:val="007C1887"/>
    <w:rsid w:val="007D4775"/>
    <w:rsid w:val="007D5DC6"/>
    <w:rsid w:val="007E37A5"/>
    <w:rsid w:val="007F49D8"/>
    <w:rsid w:val="00805940"/>
    <w:rsid w:val="0081599C"/>
    <w:rsid w:val="00837121"/>
    <w:rsid w:val="008471E5"/>
    <w:rsid w:val="00850C35"/>
    <w:rsid w:val="00851466"/>
    <w:rsid w:val="00860CF2"/>
    <w:rsid w:val="00863E43"/>
    <w:rsid w:val="008647C3"/>
    <w:rsid w:val="008659ED"/>
    <w:rsid w:val="008708DC"/>
    <w:rsid w:val="00870987"/>
    <w:rsid w:val="0087564A"/>
    <w:rsid w:val="00881160"/>
    <w:rsid w:val="0088371C"/>
    <w:rsid w:val="008A45F3"/>
    <w:rsid w:val="008B51D9"/>
    <w:rsid w:val="008B652E"/>
    <w:rsid w:val="008D05B7"/>
    <w:rsid w:val="008F1DC6"/>
    <w:rsid w:val="008F6009"/>
    <w:rsid w:val="008F6F51"/>
    <w:rsid w:val="00905C5B"/>
    <w:rsid w:val="00906C33"/>
    <w:rsid w:val="00923295"/>
    <w:rsid w:val="00925F11"/>
    <w:rsid w:val="00935265"/>
    <w:rsid w:val="0094689F"/>
    <w:rsid w:val="009477D6"/>
    <w:rsid w:val="00953ED3"/>
    <w:rsid w:val="00965FF6"/>
    <w:rsid w:val="00971DC7"/>
    <w:rsid w:val="009846D6"/>
    <w:rsid w:val="0098657F"/>
    <w:rsid w:val="009A3236"/>
    <w:rsid w:val="009B5A93"/>
    <w:rsid w:val="009B5BEA"/>
    <w:rsid w:val="009C291F"/>
    <w:rsid w:val="009D48D4"/>
    <w:rsid w:val="009E37BD"/>
    <w:rsid w:val="009E6B86"/>
    <w:rsid w:val="00A03301"/>
    <w:rsid w:val="00A12762"/>
    <w:rsid w:val="00A13867"/>
    <w:rsid w:val="00A26FED"/>
    <w:rsid w:val="00A36F78"/>
    <w:rsid w:val="00A421D4"/>
    <w:rsid w:val="00A44FF0"/>
    <w:rsid w:val="00A50E55"/>
    <w:rsid w:val="00A60AB8"/>
    <w:rsid w:val="00A67EB1"/>
    <w:rsid w:val="00A9011D"/>
    <w:rsid w:val="00A91A47"/>
    <w:rsid w:val="00A95D2B"/>
    <w:rsid w:val="00AA5587"/>
    <w:rsid w:val="00AB4ECE"/>
    <w:rsid w:val="00AC1E53"/>
    <w:rsid w:val="00AD79C8"/>
    <w:rsid w:val="00AE6CE0"/>
    <w:rsid w:val="00B058A6"/>
    <w:rsid w:val="00B117D0"/>
    <w:rsid w:val="00B13998"/>
    <w:rsid w:val="00B35C5F"/>
    <w:rsid w:val="00B439DD"/>
    <w:rsid w:val="00B52E0F"/>
    <w:rsid w:val="00B555AE"/>
    <w:rsid w:val="00B61278"/>
    <w:rsid w:val="00B74629"/>
    <w:rsid w:val="00B91F58"/>
    <w:rsid w:val="00BA579E"/>
    <w:rsid w:val="00BA7939"/>
    <w:rsid w:val="00BE2295"/>
    <w:rsid w:val="00BE6373"/>
    <w:rsid w:val="00BF533A"/>
    <w:rsid w:val="00C12C79"/>
    <w:rsid w:val="00C4114B"/>
    <w:rsid w:val="00C41794"/>
    <w:rsid w:val="00C46677"/>
    <w:rsid w:val="00C5180E"/>
    <w:rsid w:val="00C54E40"/>
    <w:rsid w:val="00C55F56"/>
    <w:rsid w:val="00C57BA4"/>
    <w:rsid w:val="00C613EB"/>
    <w:rsid w:val="00C71C1A"/>
    <w:rsid w:val="00C84623"/>
    <w:rsid w:val="00CB06C9"/>
    <w:rsid w:val="00CB1E41"/>
    <w:rsid w:val="00CB271C"/>
    <w:rsid w:val="00CC0F87"/>
    <w:rsid w:val="00CE4F96"/>
    <w:rsid w:val="00CF0AB1"/>
    <w:rsid w:val="00CF4B9B"/>
    <w:rsid w:val="00CF55E6"/>
    <w:rsid w:val="00CF772F"/>
    <w:rsid w:val="00D048DB"/>
    <w:rsid w:val="00D14F0B"/>
    <w:rsid w:val="00D178CA"/>
    <w:rsid w:val="00D3311C"/>
    <w:rsid w:val="00D53405"/>
    <w:rsid w:val="00D5457B"/>
    <w:rsid w:val="00D55773"/>
    <w:rsid w:val="00D72995"/>
    <w:rsid w:val="00D73685"/>
    <w:rsid w:val="00DA4B98"/>
    <w:rsid w:val="00DA7FA2"/>
    <w:rsid w:val="00DC2D8D"/>
    <w:rsid w:val="00DC7F67"/>
    <w:rsid w:val="00DE1F5D"/>
    <w:rsid w:val="00DE50D8"/>
    <w:rsid w:val="00DF278A"/>
    <w:rsid w:val="00E12B3D"/>
    <w:rsid w:val="00E1664B"/>
    <w:rsid w:val="00E30D12"/>
    <w:rsid w:val="00E3394E"/>
    <w:rsid w:val="00E35241"/>
    <w:rsid w:val="00E41417"/>
    <w:rsid w:val="00E418E4"/>
    <w:rsid w:val="00E42FAA"/>
    <w:rsid w:val="00E5175C"/>
    <w:rsid w:val="00E519D0"/>
    <w:rsid w:val="00E536D3"/>
    <w:rsid w:val="00E57BE2"/>
    <w:rsid w:val="00E62A95"/>
    <w:rsid w:val="00E746A2"/>
    <w:rsid w:val="00E77A92"/>
    <w:rsid w:val="00E814B7"/>
    <w:rsid w:val="00E90D06"/>
    <w:rsid w:val="00E97E59"/>
    <w:rsid w:val="00EA79C9"/>
    <w:rsid w:val="00EB66AC"/>
    <w:rsid w:val="00EC1225"/>
    <w:rsid w:val="00EC2247"/>
    <w:rsid w:val="00EC2364"/>
    <w:rsid w:val="00EC5BDE"/>
    <w:rsid w:val="00ED309E"/>
    <w:rsid w:val="00EE1F87"/>
    <w:rsid w:val="00EE3931"/>
    <w:rsid w:val="00EE5AF6"/>
    <w:rsid w:val="00EF2CEF"/>
    <w:rsid w:val="00F1092D"/>
    <w:rsid w:val="00F14C6F"/>
    <w:rsid w:val="00F42C20"/>
    <w:rsid w:val="00F431D8"/>
    <w:rsid w:val="00F63E8D"/>
    <w:rsid w:val="00F67706"/>
    <w:rsid w:val="00F81FE3"/>
    <w:rsid w:val="00F90F82"/>
    <w:rsid w:val="00F92D75"/>
    <w:rsid w:val="00F97327"/>
    <w:rsid w:val="00FA296F"/>
    <w:rsid w:val="00FA7323"/>
    <w:rsid w:val="00FB1299"/>
    <w:rsid w:val="00FC32D3"/>
    <w:rsid w:val="00FD0696"/>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55B8DA2C"/>
  <w15:docId w15:val="{6ADE2CA3-07E1-4F1F-9A54-EA97C824F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ListParagraphChar">
    <w:name w:val="List Paragraph Char"/>
    <w:basedOn w:val="DefaultParagraphFont"/>
    <w:link w:val="ListParagraph"/>
    <w:uiPriority w:val="34"/>
    <w:locked/>
    <w:rsid w:val="00B35C5F"/>
    <w:rPr>
      <w:rFonts w:eastAsiaTheme="minorEastAsia"/>
    </w:rPr>
  </w:style>
  <w:style w:type="character" w:customStyle="1" w:styleId="slug-doi">
    <w:name w:val="slug-doi"/>
    <w:basedOn w:val="DefaultParagraphFont"/>
    <w:rsid w:val="009D48D4"/>
  </w:style>
  <w:style w:type="character" w:styleId="UnresolvedMention">
    <w:name w:val="Unresolved Mention"/>
    <w:basedOn w:val="DefaultParagraphFont"/>
    <w:uiPriority w:val="99"/>
    <w:semiHidden/>
    <w:unhideWhenUsed/>
    <w:rsid w:val="00421E57"/>
    <w:rPr>
      <w:color w:val="808080"/>
      <w:shd w:val="clear" w:color="auto" w:fill="E6E6E6"/>
    </w:rPr>
  </w:style>
  <w:style w:type="paragraph" w:styleId="NormalWeb">
    <w:name w:val="Normal (Web)"/>
    <w:basedOn w:val="Normal"/>
    <w:uiPriority w:val="99"/>
    <w:semiHidden/>
    <w:unhideWhenUsed/>
    <w:rsid w:val="00FD0696"/>
    <w:pPr>
      <w:spacing w:before="100" w:beforeAutospacing="1" w:after="100" w:afterAutospacing="1"/>
      <w:ind w:left="0" w:firstLine="0"/>
    </w:pPr>
    <w:rPr>
      <w:rFonts w:ascii="Times New Roman" w:eastAsia="Times New Roman" w:hAnsi="Times New Roman" w:cs="Times New Roman"/>
      <w:sz w:val="24"/>
      <w:szCs w:val="24"/>
    </w:rPr>
  </w:style>
  <w:style w:type="character" w:styleId="HTMLCite">
    <w:name w:val="HTML Cite"/>
    <w:basedOn w:val="DefaultParagraphFont"/>
    <w:uiPriority w:val="99"/>
    <w:semiHidden/>
    <w:unhideWhenUsed/>
    <w:rsid w:val="00E814B7"/>
    <w:rPr>
      <w:i/>
      <w:iCs/>
    </w:rPr>
  </w:style>
  <w:style w:type="character" w:customStyle="1" w:styleId="slug-ahead-of-print-date">
    <w:name w:val="slug-ahead-of-print-date"/>
    <w:basedOn w:val="DefaultParagraphFont"/>
    <w:rsid w:val="00E814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2847629">
      <w:bodyDiv w:val="1"/>
      <w:marLeft w:val="0"/>
      <w:marRight w:val="0"/>
      <w:marTop w:val="0"/>
      <w:marBottom w:val="0"/>
      <w:divBdr>
        <w:top w:val="none" w:sz="0" w:space="0" w:color="auto"/>
        <w:left w:val="none" w:sz="0" w:space="0" w:color="auto"/>
        <w:bottom w:val="none" w:sz="0" w:space="0" w:color="auto"/>
        <w:right w:val="none" w:sz="0" w:space="0" w:color="auto"/>
      </w:divBdr>
    </w:div>
    <w:div w:id="1087729723">
      <w:bodyDiv w:val="1"/>
      <w:marLeft w:val="0"/>
      <w:marRight w:val="0"/>
      <w:marTop w:val="0"/>
      <w:marBottom w:val="0"/>
      <w:divBdr>
        <w:top w:val="none" w:sz="0" w:space="0" w:color="auto"/>
        <w:left w:val="none" w:sz="0" w:space="0" w:color="auto"/>
        <w:bottom w:val="none" w:sz="0" w:space="0" w:color="auto"/>
        <w:right w:val="none" w:sz="0" w:space="0" w:color="auto"/>
      </w:divBdr>
    </w:div>
    <w:div w:id="1276669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qualityforum.org/Publications/2010/01/Measurement_Framework__Evaluating_Efficiency_Across_Patient-Focused_Episodes_of_Care.aspx" TargetMode="External"/><Relationship Id="rId18" Type="http://schemas.openxmlformats.org/officeDocument/2006/relationships/hyperlink" Target="http://www.healthquality.va.gov/diabetes/DM2010_FUL-v4e.pdf"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gradeworkinggroup.org" TargetMode="External"/><Relationship Id="rId17" Type="http://schemas.openxmlformats.org/officeDocument/2006/relationships/hyperlink" Target="http://www.medicine.emory.edu/ger/bibliographies/geriatrics/bibliography87_files/Guidelines_for_" TargetMode="External"/><Relationship Id="rId2" Type="http://schemas.openxmlformats.org/officeDocument/2006/relationships/customXml" Target="../customXml/item2.xml"/><Relationship Id="rId16" Type="http://schemas.openxmlformats.org/officeDocument/2006/relationships/hyperlink" Target="http://mcintranet.musc.edu/agingq3/calculationswesbite/ADA%20Guidelines/ADA%20Binder.pdf"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qualityforum.org/Measuring_Performance/Submitting_Standards.aspx"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diabetesed.net/wp-content/uploads/2017/12/2018-ADA-Standards-of-Care.pdf" TargetMode="Externa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yperlink" Target="https://doi.org/10.2337/dc14-0297"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qaalliance.org/files/PrinciplesofEfficiencyMeasurementApril2006.doc" TargetMode="Externa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160241"/>
    <w:rsid w:val="001F47A0"/>
    <w:rsid w:val="002B5F47"/>
    <w:rsid w:val="003A1E4B"/>
    <w:rsid w:val="00455EB5"/>
    <w:rsid w:val="00461C1C"/>
    <w:rsid w:val="004E2027"/>
    <w:rsid w:val="005F21F3"/>
    <w:rsid w:val="007854BD"/>
    <w:rsid w:val="008F6A9B"/>
    <w:rsid w:val="00A77B15"/>
    <w:rsid w:val="00BE0F2D"/>
    <w:rsid w:val="00C03643"/>
    <w:rsid w:val="00C2797F"/>
    <w:rsid w:val="00C80225"/>
    <w:rsid w:val="00D228C9"/>
    <w:rsid w:val="00D2552B"/>
    <w:rsid w:val="00D75B64"/>
    <w:rsid w:val="00DB5324"/>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EB6041B"/>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854BD"/>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73B308F1A99D4788BA3E9AC2AFE5C701">
    <w:name w:val="73B308F1A99D4788BA3E9AC2AFE5C701"/>
    <w:rsid w:val="001F47A0"/>
  </w:style>
  <w:style w:type="paragraph" w:customStyle="1" w:styleId="EE013709A09948248F9AC8F2590E3A14">
    <w:name w:val="EE013709A09948248F9AC8F2590E3A14"/>
    <w:rsid w:val="007854B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9F7F90E6C239F42B2564F20A8AAD4CE" ma:contentTypeVersion="4" ma:contentTypeDescription="Create a new document." ma:contentTypeScope="" ma:versionID="4509ab5feb5a689e277a52d20c2d0810">
  <xsd:schema xmlns:xsd="http://www.w3.org/2001/XMLSchema" xmlns:xs="http://www.w3.org/2001/XMLSchema" xmlns:p="http://schemas.microsoft.com/office/2006/metadata/properties" xmlns:ns2="76bce2c7-2e52-4525-a6e0-24f8a73e605d" xmlns:ns3="64615f93-1352-4a7e-b7a8-3b07e39b2009" targetNamespace="http://schemas.microsoft.com/office/2006/metadata/properties" ma:root="true" ma:fieldsID="a41b81301470b8f0c7f83803bcc9d1d9" ns2:_="" ns3:_="">
    <xsd:import namespace="76bce2c7-2e52-4525-a6e0-24f8a73e605d"/>
    <xsd:import namespace="64615f93-1352-4a7e-b7a8-3b07e39b200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bce2c7-2e52-4525-a6e0-24f8a73e605d"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615f93-1352-4a7e-b7a8-3b07e39b200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A0862A-3E0D-4D4B-86A0-8508DC061C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bce2c7-2e52-4525-a6e0-24f8a73e605d"/>
    <ds:schemaRef ds:uri="64615f93-1352-4a7e-b7a8-3b07e39b20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0DB350-FC8B-4433-8EFB-33E9A67FD251}">
  <ds:schemaRefs>
    <ds:schemaRef ds:uri="http://schemas.microsoft.com/sharepoint/v3/contenttype/forms"/>
  </ds:schemaRefs>
</ds:datastoreItem>
</file>

<file path=customXml/itemProps3.xml><?xml version="1.0" encoding="utf-8"?>
<ds:datastoreItem xmlns:ds="http://schemas.openxmlformats.org/officeDocument/2006/customXml" ds:itemID="{DF2CDBE7-7F08-4F52-B308-EE351D989842}">
  <ds:schemaRefs>
    <ds:schemaRef ds:uri="http://purl.org/dc/terms/"/>
    <ds:schemaRef ds:uri="64615f93-1352-4a7e-b7a8-3b07e39b2009"/>
    <ds:schemaRef ds:uri="76bce2c7-2e52-4525-a6e0-24f8a73e605d"/>
    <ds:schemaRef ds:uri="http://schemas.openxmlformats.org/package/2006/metadata/core-properties"/>
    <ds:schemaRef ds:uri="http://www.w3.org/XML/1998/namespace"/>
    <ds:schemaRef ds:uri="http://schemas.microsoft.com/office/2006/documentManagement/types"/>
    <ds:schemaRef ds:uri="http://purl.org/dc/elements/1.1/"/>
    <ds:schemaRef ds:uri="http://schemas.microsoft.com/office/infopath/2007/PartnerControls"/>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9214088D-1305-4C3B-AD89-93F5526ABF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509</TotalTime>
  <Pages>11</Pages>
  <Words>3871</Words>
  <Characters>22071</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25891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Karen Pace</dc:creator>
  <cp:lastModifiedBy>Tochi Obioha</cp:lastModifiedBy>
  <cp:revision>37</cp:revision>
  <dcterms:created xsi:type="dcterms:W3CDTF">2018-02-05T17:06:00Z</dcterms:created>
  <dcterms:modified xsi:type="dcterms:W3CDTF">2018-04-06T15:49:00Z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0x010100E9F7F90E6C239F42B2564F20A8AAD4CE</vt:lpwstr>
  </property>
</Properties>
</file>